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auto"/>
          <w:kern w:val="0"/>
          <w:sz w:val="36"/>
          <w:szCs w:val="36"/>
          <w:highlight w:val="none"/>
        </w:rPr>
      </w:pPr>
    </w:p>
    <w:p>
      <w:pPr>
        <w:pStyle w:val="25"/>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eastAsia" w:hAnsi="宋体" w:cs="宋体"/>
          <w:b/>
          <w:bCs/>
          <w:color w:val="auto"/>
          <w:kern w:val="0"/>
          <w:sz w:val="32"/>
          <w:szCs w:val="32"/>
          <w:highlight w:val="none"/>
        </w:rPr>
      </w:pPr>
      <w:r>
        <w:rPr>
          <w:rFonts w:hint="eastAsia" w:hAnsi="宋体" w:cs="宋体"/>
          <w:b/>
          <w:bCs/>
          <w:color w:val="auto"/>
          <w:kern w:val="0"/>
          <w:sz w:val="32"/>
          <w:szCs w:val="32"/>
          <w:highlight w:val="none"/>
        </w:rPr>
        <w:t>新疆消防救援总队乌鲁木齐支队“自然灾害应急能力提升工程”装备配备项目（</w:t>
      </w:r>
      <w:r>
        <w:rPr>
          <w:rFonts w:hint="eastAsia" w:hAnsi="宋体" w:cs="宋体"/>
          <w:b/>
          <w:bCs/>
          <w:color w:val="auto"/>
          <w:kern w:val="0"/>
          <w:sz w:val="32"/>
          <w:szCs w:val="32"/>
          <w:highlight w:val="none"/>
          <w:lang w:val="en-US" w:eastAsia="zh-CN"/>
        </w:rPr>
        <w:t>一</w:t>
      </w:r>
      <w:r>
        <w:rPr>
          <w:rFonts w:hint="eastAsia" w:hAnsi="宋体" w:cs="宋体"/>
          <w:b/>
          <w:bCs/>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eastAsia" w:hAnsi="宋体" w:cs="宋体"/>
          <w:b/>
          <w:bCs/>
          <w:color w:val="auto"/>
          <w:kern w:val="0"/>
          <w:sz w:val="32"/>
          <w:szCs w:val="32"/>
          <w:highlight w:val="none"/>
          <w:lang w:eastAsia="zh-CN"/>
        </w:rPr>
      </w:pPr>
      <w:r>
        <w:rPr>
          <w:rFonts w:hint="eastAsia" w:hAnsi="宋体" w:cs="宋体"/>
          <w:b/>
          <w:bCs/>
          <w:color w:val="auto"/>
          <w:kern w:val="0"/>
          <w:sz w:val="32"/>
          <w:szCs w:val="32"/>
          <w:highlight w:val="none"/>
        </w:rPr>
        <w:t>项目编号：hcxjczt-2024-603</w:t>
      </w:r>
    </w:p>
    <w:p>
      <w:pPr>
        <w:spacing w:line="360" w:lineRule="atLeast"/>
        <w:ind w:left="1350" w:hanging="1350" w:hangingChars="450"/>
        <w:jc w:val="center"/>
        <w:rPr>
          <w:color w:val="auto"/>
          <w:sz w:val="30"/>
          <w:szCs w:val="30"/>
          <w:highlight w:val="none"/>
        </w:rPr>
      </w:pPr>
    </w:p>
    <w:p>
      <w:pPr>
        <w:pStyle w:val="58"/>
        <w:rPr>
          <w:color w:val="auto"/>
          <w:sz w:val="30"/>
          <w:szCs w:val="30"/>
          <w:highlight w:val="none"/>
        </w:rPr>
      </w:pPr>
    </w:p>
    <w:p>
      <w:pPr>
        <w:pStyle w:val="58"/>
        <w:rPr>
          <w:color w:val="auto"/>
          <w:sz w:val="30"/>
          <w:szCs w:val="30"/>
          <w:highlight w:val="none"/>
        </w:rPr>
      </w:pPr>
    </w:p>
    <w:p>
      <w:pPr>
        <w:pStyle w:val="58"/>
        <w:rPr>
          <w:color w:val="auto"/>
          <w:sz w:val="30"/>
          <w:szCs w:val="30"/>
          <w:highlight w:val="none"/>
        </w:rPr>
      </w:pPr>
    </w:p>
    <w:p>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招  标  文  件</w:t>
      </w:r>
    </w:p>
    <w:p>
      <w:pPr>
        <w:spacing w:line="360" w:lineRule="auto"/>
        <w:rPr>
          <w:rFonts w:ascii="宋体" w:hAnsi="宋体" w:cs="宋体"/>
          <w:color w:val="auto"/>
          <w:sz w:val="30"/>
          <w:szCs w:val="30"/>
          <w:highlight w:val="none"/>
        </w:rPr>
      </w:pPr>
    </w:p>
    <w:p>
      <w:pPr>
        <w:spacing w:line="360" w:lineRule="auto"/>
        <w:rPr>
          <w:rFonts w:ascii="宋体" w:hAnsi="宋体" w:cs="宋体"/>
          <w:color w:val="auto"/>
          <w:sz w:val="30"/>
          <w:szCs w:val="30"/>
          <w:highlight w:val="none"/>
        </w:rPr>
      </w:pPr>
    </w:p>
    <w:p>
      <w:pPr>
        <w:spacing w:line="360" w:lineRule="auto"/>
        <w:rPr>
          <w:rFonts w:ascii="宋体" w:hAnsi="宋体" w:cs="宋体"/>
          <w:color w:val="auto"/>
          <w:sz w:val="30"/>
          <w:szCs w:val="30"/>
          <w:highlight w:val="none"/>
        </w:rPr>
      </w:pPr>
    </w:p>
    <w:p>
      <w:pPr>
        <w:spacing w:line="360" w:lineRule="auto"/>
        <w:rPr>
          <w:rFonts w:ascii="宋体" w:hAnsi="宋体" w:cs="宋体"/>
          <w:color w:val="auto"/>
          <w:sz w:val="30"/>
          <w:szCs w:val="30"/>
          <w:highlight w:val="none"/>
        </w:rPr>
      </w:pPr>
    </w:p>
    <w:p>
      <w:pPr>
        <w:pStyle w:val="4"/>
        <w:rPr>
          <w:rFonts w:ascii="宋体" w:hAnsi="宋体" w:cs="宋体"/>
          <w:color w:val="auto"/>
          <w:sz w:val="30"/>
          <w:szCs w:val="30"/>
          <w:highlight w:val="none"/>
        </w:rPr>
      </w:pPr>
    </w:p>
    <w:p>
      <w:pPr>
        <w:rPr>
          <w:rFonts w:ascii="宋体" w:hAnsi="宋体" w:cs="宋体"/>
          <w:color w:val="auto"/>
          <w:sz w:val="30"/>
          <w:szCs w:val="30"/>
          <w:highlight w:val="none"/>
        </w:rPr>
      </w:pPr>
    </w:p>
    <w:p>
      <w:pPr>
        <w:pStyle w:val="4"/>
        <w:rPr>
          <w:color w:val="auto"/>
          <w:highlight w:val="none"/>
        </w:rPr>
      </w:pPr>
    </w:p>
    <w:p>
      <w:pPr>
        <w:spacing w:line="360" w:lineRule="auto"/>
        <w:rPr>
          <w:rFonts w:hint="default" w:ascii="宋体" w:hAnsi="宋体" w:eastAsia="宋体" w:cs="宋体"/>
          <w:b/>
          <w:bCs/>
          <w:color w:val="auto"/>
          <w:sz w:val="30"/>
          <w:szCs w:val="30"/>
          <w:highlight w:val="none"/>
          <w:lang w:val="en-US" w:eastAsia="zh-CN"/>
        </w:rPr>
      </w:pPr>
      <w:r>
        <w:rPr>
          <w:rFonts w:hint="eastAsia" w:ascii="宋体" w:hAnsi="宋体" w:cs="宋体"/>
          <w:b/>
          <w:bCs/>
          <w:color w:val="auto"/>
          <w:kern w:val="0"/>
          <w:sz w:val="30"/>
          <w:szCs w:val="30"/>
          <w:highlight w:val="none"/>
          <w:lang w:eastAsia="zh-CN"/>
        </w:rPr>
        <w:t>采购人</w:t>
      </w:r>
      <w:r>
        <w:rPr>
          <w:rFonts w:hint="eastAsia" w:ascii="宋体" w:hAnsi="宋体" w:cs="宋体"/>
          <w:b/>
          <w:bCs/>
          <w:color w:val="auto"/>
          <w:kern w:val="0"/>
          <w:sz w:val="30"/>
          <w:szCs w:val="30"/>
          <w:highlight w:val="none"/>
        </w:rPr>
        <w:t>（盖章）</w:t>
      </w:r>
      <w:r>
        <w:rPr>
          <w:rFonts w:hint="eastAsia" w:ascii="宋体" w:hAnsi="宋体" w:cs="宋体"/>
          <w:b/>
          <w:bCs/>
          <w:color w:val="auto"/>
          <w:sz w:val="30"/>
          <w:szCs w:val="30"/>
          <w:highlight w:val="none"/>
        </w:rPr>
        <w:t>：乌鲁木齐市消防救援支队</w:t>
      </w:r>
    </w:p>
    <w:p>
      <w:pPr>
        <w:spacing w:line="360" w:lineRule="auto"/>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联 系 人：</w:t>
      </w:r>
      <w:r>
        <w:rPr>
          <w:rFonts w:hint="eastAsia" w:ascii="宋体" w:hAnsi="宋体" w:cs="宋体"/>
          <w:b/>
          <w:bCs/>
          <w:color w:val="auto"/>
          <w:sz w:val="30"/>
          <w:szCs w:val="30"/>
          <w:highlight w:val="none"/>
          <w:lang w:eastAsia="zh-CN"/>
        </w:rPr>
        <w:t>邓先生、  阴女士</w:t>
      </w:r>
    </w:p>
    <w:p>
      <w:pPr>
        <w:spacing w:line="360" w:lineRule="auto"/>
        <w:rPr>
          <w:rFonts w:ascii="宋体" w:hAnsi="宋体" w:cs="宋体"/>
          <w:b/>
          <w:bCs/>
          <w:color w:val="auto"/>
          <w:sz w:val="30"/>
          <w:szCs w:val="30"/>
          <w:highlight w:val="none"/>
        </w:rPr>
      </w:pPr>
      <w:r>
        <w:rPr>
          <w:rFonts w:ascii="宋体" w:hAnsi="宋体" w:cs="宋体"/>
          <w:b/>
          <w:bCs/>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361950</wp:posOffset>
                </wp:positionV>
                <wp:extent cx="6019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7.5pt;margin-top:28.5pt;height:0pt;width:474pt;z-index:251659264;mso-width-relative:page;mso-height-relative:page;" filled="f" stroked="t" coordsize="21600,21600" o:gfxdata="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zEHf9YAAAAJAQAADwAAAAAAAAABACAAAAAiAAAAZHJzL2Rvd25yZXYueG1sUEsBAhQAFAAA&#10;AAgAh07iQCY6lI3xAQAA6AMAAA4AAAAAAAAAAQAgAAAAJQEAAGRycy9lMm9Eb2MueG1sUEsFBgAA&#10;AAAGAAYAWQEAAIgFAAAAAA==&#10;">
                <v:fill on="f" focussize="0,0"/>
                <v:stroke weight="1pt" color="#000000" joinstyle="round" dashstyle="1 1"/>
                <v:imagedata o:title=""/>
                <o:lock v:ext="edit" aspectratio="f"/>
              </v:line>
            </w:pict>
          </mc:Fallback>
        </mc:AlternateContent>
      </w:r>
      <w:r>
        <w:rPr>
          <w:rFonts w:hint="eastAsia" w:ascii="宋体" w:hAnsi="宋体" w:cs="宋体"/>
          <w:b/>
          <w:bCs/>
          <w:color w:val="auto"/>
          <w:sz w:val="30"/>
          <w:szCs w:val="30"/>
          <w:highlight w:val="none"/>
        </w:rPr>
        <w:t>联系方式：</w:t>
      </w:r>
      <w:r>
        <w:rPr>
          <w:rFonts w:hint="eastAsia" w:ascii="宋体" w:hAnsi="宋体" w:cs="宋体"/>
          <w:b/>
          <w:bCs/>
          <w:color w:val="auto"/>
          <w:sz w:val="30"/>
          <w:szCs w:val="30"/>
          <w:highlight w:val="none"/>
          <w:lang w:eastAsia="zh-CN"/>
        </w:rPr>
        <w:t xml:space="preserve">18999992360  13699380864 </w:t>
      </w:r>
    </w:p>
    <w:p>
      <w:pPr>
        <w:spacing w:line="360" w:lineRule="auto"/>
        <w:rPr>
          <w:rFonts w:hint="default" w:ascii="宋体" w:hAnsi="宋体" w:eastAsia="宋体" w:cs="宋体"/>
          <w:b/>
          <w:bCs/>
          <w:color w:val="auto"/>
          <w:kern w:val="0"/>
          <w:sz w:val="30"/>
          <w:szCs w:val="30"/>
          <w:highlight w:val="none"/>
          <w:lang w:val="en-US" w:eastAsia="zh-CN"/>
        </w:rPr>
      </w:pPr>
      <w:bookmarkStart w:id="0" w:name="_Toc20823272"/>
      <w:bookmarkStart w:id="1" w:name="_Toc523127445"/>
      <w:bookmarkStart w:id="2" w:name="_Toc494375077"/>
      <w:bookmarkStart w:id="3" w:name="_Toc16938516"/>
      <w:bookmarkStart w:id="4" w:name="_Toc479757206"/>
      <w:bookmarkStart w:id="5" w:name="_Toc513029200"/>
      <w:bookmarkStart w:id="6" w:name="_Toc120614210"/>
      <w:r>
        <w:rPr>
          <w:rFonts w:hint="eastAsia" w:ascii="宋体" w:hAnsi="宋体" w:cs="宋体"/>
          <w:b/>
          <w:bCs/>
          <w:color w:val="auto"/>
          <w:kern w:val="0"/>
          <w:sz w:val="30"/>
          <w:szCs w:val="30"/>
          <w:highlight w:val="none"/>
          <w:lang w:eastAsia="zh-CN"/>
        </w:rPr>
        <w:t>采购代理机构</w:t>
      </w:r>
      <w:r>
        <w:rPr>
          <w:rFonts w:hint="eastAsia" w:ascii="宋体" w:hAnsi="宋体" w:cs="宋体"/>
          <w:b/>
          <w:bCs/>
          <w:color w:val="auto"/>
          <w:kern w:val="0"/>
          <w:sz w:val="30"/>
          <w:szCs w:val="30"/>
          <w:highlight w:val="none"/>
        </w:rPr>
        <w:t>（盖章）：</w:t>
      </w:r>
      <w:r>
        <w:rPr>
          <w:rFonts w:hint="eastAsia" w:ascii="宋体" w:hAnsi="宋体" w:cs="宋体"/>
          <w:b/>
          <w:bCs/>
          <w:color w:val="auto"/>
          <w:kern w:val="0"/>
          <w:sz w:val="30"/>
          <w:szCs w:val="30"/>
          <w:highlight w:val="none"/>
          <w:lang w:val="en-US" w:eastAsia="zh-CN"/>
        </w:rPr>
        <w:t>华春建设工程项目管理有限责任公司</w:t>
      </w:r>
    </w:p>
    <w:p>
      <w:pPr>
        <w:spacing w:line="360" w:lineRule="auto"/>
        <w:rPr>
          <w:rFonts w:hint="eastAsia" w:ascii="宋体" w:hAnsi="宋体" w:eastAsia="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rPr>
        <w:t>法人代表（盖章）：</w:t>
      </w:r>
      <w:r>
        <w:rPr>
          <w:rFonts w:hint="eastAsia" w:ascii="宋体" w:hAnsi="宋体" w:cs="宋体"/>
          <w:b/>
          <w:bCs/>
          <w:color w:val="auto"/>
          <w:kern w:val="0"/>
          <w:sz w:val="30"/>
          <w:szCs w:val="30"/>
          <w:highlight w:val="none"/>
          <w:lang w:val="en-US" w:eastAsia="zh-CN"/>
        </w:rPr>
        <w:t>王莉</w:t>
      </w:r>
    </w:p>
    <w:p>
      <w:pPr>
        <w:spacing w:line="360" w:lineRule="auto"/>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联系人：</w:t>
      </w:r>
      <w:r>
        <w:rPr>
          <w:rFonts w:hint="eastAsia" w:ascii="宋体" w:hAnsi="宋体" w:eastAsia="宋体" w:cs="宋体"/>
          <w:b/>
          <w:bCs/>
          <w:color w:val="auto"/>
          <w:kern w:val="0"/>
          <w:sz w:val="30"/>
          <w:szCs w:val="30"/>
          <w:highlight w:val="none"/>
          <w:lang w:val="en-US" w:eastAsia="zh-CN"/>
        </w:rPr>
        <w:t>李武涛、王园</w:t>
      </w:r>
    </w:p>
    <w:p>
      <w:pPr>
        <w:spacing w:line="360" w:lineRule="auto"/>
        <w:rPr>
          <w:rFonts w:hint="eastAsia" w:ascii="宋体" w:hAnsi="宋体" w:eastAsia="宋体" w:cs="宋体"/>
          <w:b/>
          <w:bCs/>
          <w:color w:val="auto"/>
          <w:kern w:val="0"/>
          <w:sz w:val="30"/>
          <w:szCs w:val="30"/>
          <w:highlight w:val="none"/>
          <w:lang w:val="en-US" w:eastAsia="zh-CN"/>
        </w:rPr>
        <w:sectPr>
          <w:footerReference r:id="rId4" w:type="default"/>
          <w:headerReference r:id="rId3" w:type="even"/>
          <w:footerReference r:id="rId5" w:type="even"/>
          <w:pgSz w:w="11906" w:h="16838"/>
          <w:pgMar w:top="1418" w:right="1417" w:bottom="1418" w:left="1417" w:header="851" w:footer="907" w:gutter="0"/>
          <w:pgBorders>
            <w:top w:val="none" w:sz="0" w:space="0"/>
            <w:left w:val="none" w:sz="0" w:space="0"/>
            <w:bottom w:val="none" w:sz="0" w:space="0"/>
            <w:right w:val="none" w:sz="0" w:space="0"/>
          </w:pgBorders>
          <w:pgNumType w:start="1"/>
          <w:cols w:space="720" w:num="1"/>
          <w:titlePg/>
          <w:docGrid w:type="lines" w:linePitch="290" w:charSpace="0"/>
        </w:sectPr>
      </w:pPr>
      <w:r>
        <w:rPr>
          <w:rFonts w:hint="eastAsia" w:ascii="宋体" w:hAnsi="宋体" w:eastAsia="宋体" w:cs="宋体"/>
          <w:b/>
          <w:bCs/>
          <w:color w:val="auto"/>
          <w:kern w:val="0"/>
          <w:sz w:val="30"/>
          <w:szCs w:val="30"/>
          <w:highlight w:val="none"/>
        </w:rPr>
        <w:t>联系电话：</w:t>
      </w:r>
      <w:r>
        <w:rPr>
          <w:rFonts w:hint="eastAsia" w:ascii="宋体" w:hAnsi="宋体" w:eastAsia="宋体" w:cs="宋体"/>
          <w:b/>
          <w:bCs/>
          <w:color w:val="auto"/>
          <w:kern w:val="0"/>
          <w:sz w:val="30"/>
          <w:szCs w:val="30"/>
          <w:highlight w:val="none"/>
          <w:lang w:val="en-US" w:eastAsia="zh-CN"/>
        </w:rPr>
        <w:t>0991-8897121、18199822872</w:t>
      </w:r>
    </w:p>
    <w:p>
      <w:pPr>
        <w:pStyle w:val="134"/>
        <w:jc w:val="center"/>
        <w:rPr>
          <w:color w:val="auto"/>
          <w:sz w:val="44"/>
          <w:szCs w:val="44"/>
          <w:highlight w:val="none"/>
          <w:lang w:val="zh-CN"/>
        </w:rPr>
      </w:pPr>
      <w:r>
        <w:rPr>
          <w:color w:val="auto"/>
          <w:sz w:val="44"/>
          <w:szCs w:val="44"/>
          <w:highlight w:val="none"/>
          <w:lang w:val="zh-CN"/>
        </w:rPr>
        <w:t>目录</w:t>
      </w:r>
    </w:p>
    <w:p>
      <w:pPr>
        <w:rPr>
          <w:color w:val="auto"/>
          <w:sz w:val="44"/>
          <w:szCs w:val="44"/>
          <w:highlight w:val="none"/>
          <w:lang w:val="zh-CN"/>
        </w:rPr>
      </w:pPr>
    </w:p>
    <w:p>
      <w:pPr>
        <w:pStyle w:val="24"/>
        <w:keepNext w:val="0"/>
        <w:keepLines w:val="0"/>
        <w:pageBreakBefore w:val="0"/>
        <w:widowControl/>
        <w:tabs>
          <w:tab w:val="right" w:leader="dot" w:pos="9072"/>
        </w:tabs>
        <w:kinsoku/>
        <w:wordWrap/>
        <w:overflowPunct/>
        <w:topLinePunct w:val="0"/>
        <w:autoSpaceDE/>
        <w:autoSpaceDN/>
        <w:bidi w:val="0"/>
        <w:adjustRightInd/>
        <w:snapToGrid/>
        <w:spacing w:after="0" w:line="24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"_Toc26965" </w:instrText>
      </w:r>
      <w:r>
        <w:rPr>
          <w:color w:val="auto"/>
          <w:highlight w:val="none"/>
        </w:rPr>
        <w:fldChar w:fldCharType="separate"/>
      </w:r>
      <w:r>
        <w:rPr>
          <w:rFonts w:hint="eastAsia"/>
          <w:color w:val="auto"/>
          <w:sz w:val="28"/>
          <w:szCs w:val="28"/>
          <w:highlight w:val="none"/>
        </w:rPr>
        <w:t>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_Toc26965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24"/>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color w:val="auto"/>
          <w:sz w:val="28"/>
          <w:szCs w:val="28"/>
          <w:highlight w:val="none"/>
        </w:rPr>
      </w:pPr>
      <w:r>
        <w:rPr>
          <w:color w:val="auto"/>
          <w:highlight w:val="none"/>
        </w:rPr>
        <w:fldChar w:fldCharType="begin"/>
      </w:r>
      <w:r>
        <w:rPr>
          <w:color w:val="auto"/>
          <w:highlight w:val="none"/>
        </w:rPr>
        <w:instrText xml:space="preserve"> HYPERLINK \l "_Toc32510" </w:instrText>
      </w:r>
      <w:r>
        <w:rPr>
          <w:color w:val="auto"/>
          <w:highlight w:val="none"/>
        </w:rPr>
        <w:fldChar w:fldCharType="separate"/>
      </w:r>
      <w:r>
        <w:rPr>
          <w:rFonts w:hint="eastAsia"/>
          <w:color w:val="auto"/>
          <w:sz w:val="28"/>
          <w:szCs w:val="28"/>
          <w:highlight w:val="none"/>
        </w:rPr>
        <w:t>第一章 招标邀请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_Toc32510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color w:val="auto"/>
          <w:sz w:val="28"/>
          <w:szCs w:val="28"/>
          <w:highlight w:val="none"/>
        </w:rPr>
        <w:fldChar w:fldCharType="end"/>
      </w:r>
    </w:p>
    <w:p>
      <w:pPr>
        <w:pStyle w:val="24"/>
        <w:keepNext w:val="0"/>
        <w:keepLines w:val="0"/>
        <w:pageBreakBefore w:val="0"/>
        <w:widowControl/>
        <w:tabs>
          <w:tab w:val="right" w:leader="dot" w:pos="9072"/>
        </w:tabs>
        <w:kinsoku/>
        <w:wordWrap/>
        <w:overflowPunct/>
        <w:topLinePunct w:val="0"/>
        <w:autoSpaceDE/>
        <w:autoSpaceDN/>
        <w:bidi w:val="0"/>
        <w:adjustRightInd/>
        <w:snapToGrid/>
        <w:spacing w:after="0" w:line="240" w:lineRule="auto"/>
        <w:textAlignment w:val="auto"/>
        <w:rPr>
          <w:color w:val="auto"/>
          <w:sz w:val="28"/>
          <w:szCs w:val="28"/>
          <w:highlight w:val="none"/>
        </w:rPr>
      </w:pPr>
      <w:r>
        <w:rPr>
          <w:color w:val="auto"/>
          <w:highlight w:val="none"/>
        </w:rPr>
        <w:fldChar w:fldCharType="begin"/>
      </w:r>
      <w:r>
        <w:rPr>
          <w:color w:val="auto"/>
          <w:highlight w:val="none"/>
        </w:rPr>
        <w:instrText xml:space="preserve"> HYPERLINK \l "_Toc26763" </w:instrText>
      </w:r>
      <w:r>
        <w:rPr>
          <w:color w:val="auto"/>
          <w:highlight w:val="none"/>
        </w:rPr>
        <w:fldChar w:fldCharType="separate"/>
      </w:r>
      <w:r>
        <w:rPr>
          <w:rFonts w:hint="eastAsia"/>
          <w:color w:val="auto"/>
          <w:sz w:val="28"/>
          <w:szCs w:val="28"/>
          <w:highlight w:val="none"/>
        </w:rPr>
        <w:t xml:space="preserve">第二章 </w:t>
      </w:r>
      <w:r>
        <w:rPr>
          <w:rFonts w:hint="eastAsia"/>
          <w:color w:val="auto"/>
          <w:sz w:val="28"/>
          <w:szCs w:val="28"/>
          <w:highlight w:val="none"/>
          <w:lang w:eastAsia="zh-CN"/>
        </w:rPr>
        <w:t>供应商</w:t>
      </w:r>
      <w:r>
        <w:rPr>
          <w:rFonts w:hint="eastAsia"/>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_Toc26763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color w:val="auto"/>
          <w:sz w:val="28"/>
          <w:szCs w:val="28"/>
          <w:highlight w:val="none"/>
        </w:rPr>
        <w:fldChar w:fldCharType="end"/>
      </w:r>
    </w:p>
    <w:p>
      <w:pPr>
        <w:pStyle w:val="24"/>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color w:val="auto"/>
          <w:sz w:val="28"/>
          <w:szCs w:val="28"/>
          <w:highlight w:val="none"/>
        </w:rPr>
      </w:pPr>
      <w:r>
        <w:rPr>
          <w:color w:val="auto"/>
          <w:highlight w:val="none"/>
        </w:rPr>
        <w:fldChar w:fldCharType="begin"/>
      </w:r>
      <w:r>
        <w:rPr>
          <w:color w:val="auto"/>
          <w:highlight w:val="none"/>
        </w:rPr>
        <w:instrText xml:space="preserve"> HYPERLINK \l "_Toc30905" </w:instrText>
      </w:r>
      <w:r>
        <w:rPr>
          <w:color w:val="auto"/>
          <w:highlight w:val="none"/>
        </w:rPr>
        <w:fldChar w:fldCharType="separate"/>
      </w:r>
      <w:r>
        <w:rPr>
          <w:rFonts w:hint="eastAsia"/>
          <w:color w:val="auto"/>
          <w:sz w:val="28"/>
          <w:szCs w:val="28"/>
          <w:highlight w:val="none"/>
        </w:rPr>
        <w:t>第三章 评分办法及评分标准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_Toc30905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pPr>
        <w:pStyle w:val="24"/>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color w:val="auto"/>
          <w:sz w:val="28"/>
          <w:szCs w:val="28"/>
          <w:highlight w:val="none"/>
        </w:rPr>
      </w:pPr>
      <w:r>
        <w:rPr>
          <w:color w:val="auto"/>
          <w:highlight w:val="none"/>
        </w:rPr>
        <w:fldChar w:fldCharType="begin"/>
      </w:r>
      <w:r>
        <w:rPr>
          <w:color w:val="auto"/>
          <w:highlight w:val="none"/>
        </w:rPr>
        <w:instrText xml:space="preserve"> HYPERLINK \l "_Toc15450" </w:instrText>
      </w:r>
      <w:r>
        <w:rPr>
          <w:color w:val="auto"/>
          <w:highlight w:val="none"/>
        </w:rPr>
        <w:fldChar w:fldCharType="separate"/>
      </w:r>
      <w:r>
        <w:rPr>
          <w:rFonts w:hint="eastAsia"/>
          <w:color w:val="auto"/>
          <w:sz w:val="28"/>
          <w:szCs w:val="28"/>
          <w:highlight w:val="none"/>
        </w:rPr>
        <w:t xml:space="preserve">第四章 </w:t>
      </w:r>
      <w:r>
        <w:rPr>
          <w:rFonts w:hint="eastAsia"/>
          <w:color w:val="auto"/>
          <w:sz w:val="28"/>
          <w:szCs w:val="28"/>
          <w:highlight w:val="none"/>
          <w:lang w:eastAsia="en-US"/>
        </w:rPr>
        <w:t>拟订立的合同样本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_Toc15450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color w:val="auto"/>
          <w:sz w:val="28"/>
          <w:szCs w:val="28"/>
          <w:highlight w:val="none"/>
        </w:rPr>
        <w:fldChar w:fldCharType="end"/>
      </w:r>
    </w:p>
    <w:p>
      <w:pPr>
        <w:pStyle w:val="24"/>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color w:val="auto"/>
          <w:sz w:val="28"/>
          <w:szCs w:val="28"/>
          <w:highlight w:val="none"/>
        </w:rPr>
      </w:pPr>
      <w:r>
        <w:rPr>
          <w:color w:val="auto"/>
          <w:highlight w:val="none"/>
        </w:rPr>
        <w:fldChar w:fldCharType="begin"/>
      </w:r>
      <w:r>
        <w:rPr>
          <w:color w:val="auto"/>
          <w:highlight w:val="none"/>
        </w:rPr>
        <w:instrText xml:space="preserve"> HYPERLINK \l "_Toc17639" </w:instrText>
      </w:r>
      <w:r>
        <w:rPr>
          <w:color w:val="auto"/>
          <w:highlight w:val="none"/>
        </w:rPr>
        <w:fldChar w:fldCharType="separate"/>
      </w:r>
      <w:r>
        <w:rPr>
          <w:rFonts w:hint="eastAsia"/>
          <w:color w:val="auto"/>
          <w:sz w:val="28"/>
          <w:szCs w:val="28"/>
          <w:highlight w:val="none"/>
        </w:rPr>
        <w:t>第五章 投标文件格式</w:t>
      </w:r>
      <w:r>
        <w:rPr>
          <w:color w:val="auto"/>
          <w:sz w:val="28"/>
          <w:szCs w:val="28"/>
          <w:highlight w:val="none"/>
        </w:rPr>
        <w:tab/>
      </w:r>
      <w:r>
        <w:rPr>
          <w:rFonts w:hint="eastAsia"/>
          <w:color w:val="auto"/>
          <w:sz w:val="28"/>
          <w:szCs w:val="28"/>
          <w:highlight w:val="none"/>
        </w:rPr>
        <w:t>4</w:t>
      </w:r>
      <w:r>
        <w:rPr>
          <w:rFonts w:hint="eastAsia"/>
          <w:color w:val="auto"/>
          <w:sz w:val="28"/>
          <w:szCs w:val="28"/>
          <w:highlight w:val="none"/>
          <w:lang w:val="en-US" w:eastAsia="zh-CN"/>
        </w:rPr>
        <w:t>7</w:t>
      </w:r>
      <w:r>
        <w:rPr>
          <w:rFonts w:hint="eastAsia"/>
          <w:color w:val="auto"/>
          <w:sz w:val="28"/>
          <w:szCs w:val="28"/>
          <w:highlight w:val="none"/>
        </w:rPr>
        <w:fldChar w:fldCharType="end"/>
      </w:r>
    </w:p>
    <w:p>
      <w:pPr>
        <w:pStyle w:val="24"/>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color w:val="auto"/>
          <w:highlight w:val="none"/>
        </w:rPr>
      </w:pPr>
      <w:r>
        <w:rPr>
          <w:color w:val="auto"/>
          <w:highlight w:val="none"/>
        </w:rPr>
        <w:fldChar w:fldCharType="begin"/>
      </w:r>
      <w:r>
        <w:rPr>
          <w:color w:val="auto"/>
          <w:highlight w:val="none"/>
        </w:rPr>
        <w:instrText xml:space="preserve"> HYPERLINK \l "_Toc24870" </w:instrText>
      </w:r>
      <w:r>
        <w:rPr>
          <w:color w:val="auto"/>
          <w:highlight w:val="none"/>
        </w:rPr>
        <w:fldChar w:fldCharType="separate"/>
      </w:r>
      <w:r>
        <w:rPr>
          <w:rFonts w:hint="eastAsia"/>
          <w:color w:val="auto"/>
          <w:sz w:val="28"/>
          <w:szCs w:val="28"/>
          <w:highlight w:val="none"/>
        </w:rPr>
        <w:t>第六章 项目需求</w:t>
      </w:r>
      <w:r>
        <w:rPr>
          <w:color w:val="auto"/>
          <w:sz w:val="28"/>
          <w:szCs w:val="28"/>
          <w:highlight w:val="none"/>
        </w:rPr>
        <w:tab/>
      </w:r>
      <w:r>
        <w:rPr>
          <w:rFonts w:hint="eastAsia"/>
          <w:color w:val="auto"/>
          <w:sz w:val="28"/>
          <w:szCs w:val="28"/>
          <w:highlight w:val="none"/>
        </w:rPr>
        <w:t>7</w:t>
      </w:r>
      <w:r>
        <w:rPr>
          <w:rFonts w:hint="eastAsia"/>
          <w:color w:val="auto"/>
          <w:sz w:val="28"/>
          <w:szCs w:val="28"/>
          <w:highlight w:val="none"/>
          <w:lang w:val="en-US" w:eastAsia="zh-CN"/>
        </w:rPr>
        <w:t>2</w:t>
      </w:r>
      <w:r>
        <w:rPr>
          <w:rFonts w:hint="eastAsia"/>
          <w:color w:val="auto"/>
          <w:sz w:val="28"/>
          <w:szCs w:val="28"/>
          <w:highlight w:val="none"/>
        </w:rPr>
        <w:fldChar w:fldCharType="end"/>
      </w:r>
    </w:p>
    <w:p>
      <w:pPr>
        <w:rPr>
          <w:color w:val="auto"/>
          <w:highlight w:val="none"/>
        </w:rPr>
      </w:pPr>
      <w:r>
        <w:rPr>
          <w:color w:val="auto"/>
          <w:szCs w:val="28"/>
          <w:highlight w:val="none"/>
        </w:rPr>
        <w:fldChar w:fldCharType="end"/>
      </w:r>
    </w:p>
    <w:p>
      <w:pPr>
        <w:pStyle w:val="3"/>
        <w:rPr>
          <w:color w:val="auto"/>
          <w:highlight w:val="none"/>
        </w:rPr>
        <w:sectPr>
          <w:headerReference r:id="rId6" w:type="default"/>
          <w:footerReference r:id="rId7" w:type="default"/>
          <w:pgSz w:w="11906" w:h="16838"/>
          <w:pgMar w:top="1440" w:right="1440" w:bottom="1440" w:left="1440" w:header="851" w:footer="992" w:gutter="0"/>
          <w:cols w:space="0" w:num="1"/>
          <w:rtlGutter w:val="0"/>
          <w:docGrid w:type="lines" w:linePitch="312" w:charSpace="0"/>
        </w:sectPr>
      </w:pPr>
      <w:bookmarkStart w:id="7" w:name="_Toc20753"/>
      <w:bookmarkStart w:id="8" w:name="_Toc21554"/>
      <w:bookmarkStart w:id="9" w:name="_Toc26965"/>
      <w:bookmarkStart w:id="10" w:name="_Toc534725596"/>
      <w:bookmarkStart w:id="11" w:name="_Toc13808"/>
      <w:bookmarkStart w:id="12" w:name="_Toc22122"/>
    </w:p>
    <w:p>
      <w:pPr>
        <w:pStyle w:val="3"/>
        <w:rPr>
          <w:color w:val="auto"/>
          <w:highlight w:val="none"/>
          <w:lang w:eastAsia="en-US"/>
        </w:rPr>
      </w:pPr>
      <w:r>
        <w:rPr>
          <w:rFonts w:hint="eastAsia"/>
          <w:color w:val="auto"/>
          <w:highlight w:val="none"/>
        </w:rPr>
        <w:t>须知前附表</w:t>
      </w:r>
      <w:bookmarkEnd w:id="7"/>
      <w:bookmarkEnd w:id="8"/>
      <w:bookmarkEnd w:id="9"/>
    </w:p>
    <w:tbl>
      <w:tblPr>
        <w:tblStyle w:val="39"/>
        <w:tblW w:w="85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0"/>
        <w:gridCol w:w="1295"/>
        <w:gridCol w:w="66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c>
          <w:tcPr>
            <w:tcW w:w="66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640"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Cs/>
                <w:color w:val="auto"/>
                <w:sz w:val="24"/>
                <w:szCs w:val="24"/>
                <w:highlight w:val="none"/>
                <w:lang w:eastAsia="zh-CN"/>
              </w:rPr>
              <w:t>新疆消防救援总队乌鲁木齐支队“自然灾害应急能力提升工程”装备配备项目（</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40"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招标编号</w:t>
            </w:r>
          </w:p>
        </w:tc>
        <w:tc>
          <w:tcPr>
            <w:tcW w:w="663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项目编号：</w:t>
            </w:r>
            <w:r>
              <w:rPr>
                <w:rFonts w:hint="eastAsia" w:ascii="宋体" w:hAnsi="宋体" w:eastAsia="宋体" w:cs="宋体"/>
                <w:bCs/>
                <w:color w:val="auto"/>
                <w:sz w:val="24"/>
                <w:szCs w:val="24"/>
                <w:highlight w:val="none"/>
                <w:lang w:eastAsia="zh-CN"/>
              </w:rPr>
              <w:t>hcxjczt-2024-603</w:t>
            </w:r>
          </w:p>
          <w:p>
            <w:pPr>
              <w:spacing w:line="400" w:lineRule="exact"/>
              <w:rPr>
                <w:rFonts w:hint="default" w:ascii="宋体" w:hAnsi="宋体" w:eastAsia="宋体" w:cs="宋体"/>
                <w:bCs/>
                <w:color w:val="auto"/>
                <w:sz w:val="24"/>
                <w:szCs w:val="24"/>
                <w:highlight w:val="none"/>
                <w:lang w:val="en-US" w:eastAsia="zh-CN"/>
              </w:rPr>
            </w:pPr>
            <w:r>
              <w:rPr>
                <w:rFonts w:hint="eastAsia"/>
                <w:lang w:eastAsia="zh-CN"/>
              </w:rPr>
              <w:t>标包编号：第一包：</w:t>
            </w:r>
            <w:r>
              <w:rPr>
                <w:rFonts w:hint="eastAsia" w:ascii="宋体" w:hAnsi="宋体" w:eastAsia="宋体" w:cs="宋体"/>
                <w:bCs/>
                <w:color w:val="auto"/>
                <w:sz w:val="24"/>
                <w:szCs w:val="24"/>
                <w:highlight w:val="none"/>
                <w:lang w:eastAsia="zh-CN"/>
              </w:rPr>
              <w:t>hcxjczt-2024-603</w:t>
            </w:r>
            <w:r>
              <w:rPr>
                <w:rFonts w:hint="eastAsia" w:ascii="宋体" w:hAnsi="宋体" w:cs="宋体"/>
                <w:bCs/>
                <w:color w:val="auto"/>
                <w:sz w:val="24"/>
                <w:szCs w:val="24"/>
                <w:highlight w:val="none"/>
                <w:lang w:val="en-US" w:eastAsia="zh-CN"/>
              </w:rPr>
              <w:t>-01</w:t>
            </w:r>
          </w:p>
          <w:p>
            <w:pPr>
              <w:spacing w:line="400" w:lineRule="exact"/>
              <w:rPr>
                <w:rFonts w:hint="default" w:ascii="宋体" w:hAnsi="宋体" w:eastAsia="宋体" w:cs="宋体"/>
                <w:bCs/>
                <w:color w:val="auto"/>
                <w:sz w:val="24"/>
                <w:szCs w:val="24"/>
                <w:highlight w:val="none"/>
                <w:lang w:val="en-US" w:eastAsia="zh-CN"/>
              </w:rPr>
            </w:pPr>
            <w:r>
              <w:rPr>
                <w:rFonts w:hint="eastAsia"/>
                <w:lang w:eastAsia="zh-CN"/>
              </w:rPr>
              <w:t>第二包：</w:t>
            </w:r>
            <w:r>
              <w:rPr>
                <w:rFonts w:hint="eastAsia" w:ascii="宋体" w:hAnsi="宋体" w:eastAsia="宋体" w:cs="宋体"/>
                <w:bCs/>
                <w:color w:val="auto"/>
                <w:sz w:val="24"/>
                <w:szCs w:val="24"/>
                <w:highlight w:val="none"/>
                <w:lang w:eastAsia="zh-CN"/>
              </w:rPr>
              <w:t>hcxjczt-2024-603</w:t>
            </w:r>
            <w:r>
              <w:rPr>
                <w:rFonts w:hint="eastAsia" w:ascii="宋体" w:hAnsi="宋体" w:cs="宋体"/>
                <w:bCs/>
                <w:color w:val="auto"/>
                <w:sz w:val="24"/>
                <w:szCs w:val="24"/>
                <w:highlight w:val="none"/>
                <w:lang w:val="en-US" w:eastAsia="zh-CN"/>
              </w:rPr>
              <w:t>-02</w:t>
            </w:r>
          </w:p>
          <w:p>
            <w:pPr>
              <w:spacing w:line="400" w:lineRule="exact"/>
              <w:rPr>
                <w:rFonts w:hint="eastAsia"/>
                <w:lang w:eastAsia="zh-CN"/>
              </w:rPr>
            </w:pPr>
            <w:r>
              <w:rPr>
                <w:rFonts w:hint="eastAsia"/>
                <w:lang w:eastAsia="zh-CN"/>
              </w:rPr>
              <w:t>第三包：</w:t>
            </w:r>
            <w:r>
              <w:rPr>
                <w:rFonts w:hint="eastAsia" w:ascii="宋体" w:hAnsi="宋体" w:eastAsia="宋体" w:cs="宋体"/>
                <w:bCs/>
                <w:color w:val="auto"/>
                <w:sz w:val="24"/>
                <w:szCs w:val="24"/>
                <w:highlight w:val="none"/>
                <w:lang w:eastAsia="zh-CN"/>
              </w:rPr>
              <w:t>hcxjczt-2024-603</w:t>
            </w:r>
            <w:r>
              <w:rPr>
                <w:rFonts w:hint="eastAsia" w:ascii="宋体" w:hAnsi="宋体" w:cs="宋体"/>
                <w:bCs/>
                <w:color w:val="auto"/>
                <w:sz w:val="24"/>
                <w:szCs w:val="24"/>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40"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资金来源</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国债资金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p>
        </w:tc>
        <w:tc>
          <w:tcPr>
            <w:tcW w:w="1295" w:type="dxa"/>
            <w:vMerge w:val="restart"/>
            <w:tcBorders>
              <w:top w:val="single" w:color="auto" w:sz="4" w:space="0"/>
              <w:left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预算金额</w:t>
            </w:r>
          </w:p>
          <w:p>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预算总金额：</w:t>
            </w:r>
            <w:r>
              <w:rPr>
                <w:rFonts w:hint="eastAsia" w:ascii="宋体" w:hAnsi="宋体" w:eastAsia="宋体" w:cs="宋体"/>
                <w:bCs/>
                <w:color w:val="auto"/>
                <w:sz w:val="24"/>
                <w:szCs w:val="24"/>
                <w:highlight w:val="none"/>
                <w:lang w:val="en-US" w:eastAsia="zh-CN"/>
              </w:rPr>
              <w:t>8</w:t>
            </w:r>
            <w:r>
              <w:rPr>
                <w:rFonts w:hint="eastAsia" w:ascii="宋体" w:hAnsi="宋体" w:cs="宋体"/>
                <w:bCs/>
                <w:color w:val="auto"/>
                <w:sz w:val="24"/>
                <w:szCs w:val="24"/>
                <w:highlight w:val="none"/>
                <w:lang w:val="en-US" w:eastAsia="zh-CN"/>
              </w:rPr>
              <w:t>62</w:t>
            </w:r>
            <w:r>
              <w:rPr>
                <w:rFonts w:hint="eastAsia" w:ascii="宋体" w:hAnsi="宋体" w:eastAsia="宋体" w:cs="宋体"/>
                <w:bCs/>
                <w:color w:val="auto"/>
                <w:sz w:val="24"/>
                <w:szCs w:val="24"/>
                <w:highlight w:val="none"/>
                <w:lang w:val="en-US" w:eastAsia="zh-CN"/>
              </w:rPr>
              <w:t>万元</w:t>
            </w:r>
          </w:p>
          <w:p>
            <w:pPr>
              <w:pStyle w:val="25"/>
              <w:spacing w:line="288"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第一包：</w:t>
            </w:r>
            <w:r>
              <w:rPr>
                <w:rFonts w:hint="eastAsia" w:hAnsi="宋体" w:cs="宋体"/>
                <w:bCs/>
                <w:color w:val="auto"/>
                <w:sz w:val="24"/>
                <w:szCs w:val="24"/>
                <w:highlight w:val="none"/>
                <w:lang w:val="en-US" w:eastAsia="zh-CN"/>
              </w:rPr>
              <w:t>380</w:t>
            </w:r>
            <w:r>
              <w:rPr>
                <w:rFonts w:hint="eastAsia" w:ascii="宋体" w:hAnsi="宋体" w:eastAsia="宋体" w:cs="宋体"/>
                <w:bCs/>
                <w:color w:val="auto"/>
                <w:sz w:val="24"/>
                <w:szCs w:val="24"/>
                <w:highlight w:val="none"/>
              </w:rPr>
              <w:t>万元；第二包：</w:t>
            </w:r>
            <w:r>
              <w:rPr>
                <w:rFonts w:hint="eastAsia" w:ascii="宋体" w:hAnsi="宋体" w:cs="宋体"/>
                <w:color w:val="auto"/>
                <w:sz w:val="24"/>
                <w:szCs w:val="24"/>
                <w:highlight w:val="none"/>
                <w:lang w:val="en-US" w:eastAsia="zh-CN"/>
              </w:rPr>
              <w:t>292</w:t>
            </w:r>
            <w:r>
              <w:rPr>
                <w:rFonts w:hint="eastAsia" w:ascii="宋体" w:hAnsi="宋体" w:eastAsia="宋体" w:cs="宋体"/>
                <w:bCs/>
                <w:color w:val="auto"/>
                <w:sz w:val="24"/>
                <w:szCs w:val="24"/>
                <w:highlight w:val="none"/>
              </w:rPr>
              <w:t>万元；第三包：</w:t>
            </w:r>
            <w:r>
              <w:rPr>
                <w:rFonts w:hint="eastAsia" w:ascii="宋体" w:hAnsi="宋体" w:eastAsia="宋体" w:cs="宋体"/>
                <w:bCs/>
                <w:color w:val="auto"/>
                <w:sz w:val="24"/>
                <w:szCs w:val="24"/>
                <w:highlight w:val="none"/>
                <w:lang w:val="en-US" w:eastAsia="zh-CN"/>
              </w:rPr>
              <w:t>190</w:t>
            </w:r>
            <w:r>
              <w:rPr>
                <w:rFonts w:hint="eastAsia" w:ascii="宋体" w:hAnsi="宋体" w:eastAsia="宋体" w:cs="宋体"/>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p>
        </w:tc>
        <w:tc>
          <w:tcPr>
            <w:tcW w:w="1295" w:type="dxa"/>
            <w:vMerge w:val="continue"/>
            <w:tcBorders>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最高限价：</w:t>
            </w:r>
            <w:r>
              <w:rPr>
                <w:rFonts w:hint="eastAsia" w:ascii="宋体" w:hAnsi="宋体" w:eastAsia="宋体" w:cs="宋体"/>
                <w:bCs/>
                <w:color w:val="auto"/>
                <w:sz w:val="24"/>
                <w:szCs w:val="24"/>
                <w:highlight w:val="none"/>
                <w:lang w:val="en-US" w:eastAsia="zh-CN"/>
              </w:rPr>
              <w:t>8</w:t>
            </w:r>
            <w:r>
              <w:rPr>
                <w:rFonts w:hint="eastAsia" w:ascii="宋体" w:hAnsi="宋体" w:cs="宋体"/>
                <w:bCs/>
                <w:color w:val="auto"/>
                <w:sz w:val="24"/>
                <w:szCs w:val="24"/>
                <w:highlight w:val="none"/>
                <w:lang w:val="en-US" w:eastAsia="zh-CN"/>
              </w:rPr>
              <w:t>62</w:t>
            </w:r>
            <w:r>
              <w:rPr>
                <w:rFonts w:hint="eastAsia" w:ascii="宋体" w:hAnsi="宋体" w:eastAsia="宋体" w:cs="宋体"/>
                <w:bCs/>
                <w:color w:val="auto"/>
                <w:sz w:val="24"/>
                <w:szCs w:val="24"/>
                <w:highlight w:val="none"/>
                <w:lang w:val="en-US" w:eastAsia="zh-CN"/>
              </w:rPr>
              <w:t>万元</w:t>
            </w:r>
          </w:p>
          <w:p>
            <w:pPr>
              <w:pStyle w:val="25"/>
              <w:spacing w:line="288"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第一包：</w:t>
            </w:r>
            <w:r>
              <w:rPr>
                <w:rFonts w:hint="eastAsia" w:hAnsi="宋体" w:cs="宋体"/>
                <w:bCs/>
                <w:color w:val="auto"/>
                <w:sz w:val="24"/>
                <w:szCs w:val="24"/>
                <w:highlight w:val="none"/>
                <w:lang w:val="en-US" w:eastAsia="zh-CN"/>
              </w:rPr>
              <w:t>380</w:t>
            </w:r>
            <w:r>
              <w:rPr>
                <w:rFonts w:hint="eastAsia" w:ascii="宋体" w:hAnsi="宋体" w:eastAsia="宋体" w:cs="宋体"/>
                <w:bCs/>
                <w:color w:val="auto"/>
                <w:sz w:val="24"/>
                <w:szCs w:val="24"/>
                <w:highlight w:val="none"/>
              </w:rPr>
              <w:t>万元；第二包：</w:t>
            </w:r>
            <w:r>
              <w:rPr>
                <w:rFonts w:hint="eastAsia" w:ascii="宋体" w:hAnsi="宋体" w:cs="宋体"/>
                <w:color w:val="auto"/>
                <w:sz w:val="24"/>
                <w:szCs w:val="24"/>
                <w:highlight w:val="none"/>
                <w:lang w:val="en-US" w:eastAsia="zh-CN"/>
              </w:rPr>
              <w:t>292</w:t>
            </w:r>
            <w:r>
              <w:rPr>
                <w:rFonts w:hint="eastAsia" w:ascii="宋体" w:hAnsi="宋体" w:eastAsia="宋体" w:cs="宋体"/>
                <w:bCs/>
                <w:color w:val="auto"/>
                <w:sz w:val="24"/>
                <w:szCs w:val="24"/>
                <w:highlight w:val="none"/>
              </w:rPr>
              <w:t>万元；第三包：</w:t>
            </w:r>
            <w:r>
              <w:rPr>
                <w:rFonts w:hint="eastAsia" w:ascii="宋体" w:hAnsi="宋体" w:eastAsia="宋体" w:cs="宋体"/>
                <w:bCs/>
                <w:color w:val="auto"/>
                <w:sz w:val="24"/>
                <w:szCs w:val="24"/>
                <w:highlight w:val="none"/>
                <w:lang w:val="en-US" w:eastAsia="zh-CN"/>
              </w:rPr>
              <w:t>190</w:t>
            </w:r>
            <w:r>
              <w:rPr>
                <w:rFonts w:hint="eastAsia" w:ascii="宋体" w:hAnsi="宋体" w:eastAsia="宋体" w:cs="宋体"/>
                <w:bCs/>
                <w:color w:val="auto"/>
                <w:sz w:val="24"/>
                <w:szCs w:val="24"/>
                <w:highlight w:val="none"/>
              </w:rPr>
              <w:t>万元</w:t>
            </w:r>
            <w:r>
              <w:rPr>
                <w:rFonts w:hint="eastAsia" w:ascii="宋体" w:hAnsi="宋体" w:eastAsia="宋体" w:cs="宋体"/>
                <w:bCs/>
                <w:color w:val="auto"/>
                <w:sz w:val="24"/>
                <w:szCs w:val="24"/>
                <w:highlight w:val="none"/>
                <w:lang w:eastAsia="zh-CN"/>
              </w:rPr>
              <w:t>（供应商的</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eastAsia="zh-CN"/>
              </w:rPr>
              <w:t>报价不得超过最高限价</w:t>
            </w:r>
            <w:r>
              <w:rPr>
                <w:rFonts w:hint="eastAsia" w:ascii="宋体" w:hAnsi="宋体" w:eastAsia="宋体" w:cs="宋体"/>
                <w:bCs/>
                <w:color w:val="auto"/>
                <w:sz w:val="24"/>
                <w:szCs w:val="24"/>
                <w:highlight w:val="none"/>
                <w:lang w:val="en-US" w:eastAsia="zh-CN"/>
              </w:rPr>
              <w:t>且单价报价</w:t>
            </w:r>
            <w:r>
              <w:rPr>
                <w:rFonts w:hint="eastAsia" w:ascii="宋体" w:hAnsi="宋体" w:eastAsia="宋体" w:cs="宋体"/>
                <w:bCs/>
                <w:color w:val="auto"/>
                <w:sz w:val="24"/>
                <w:szCs w:val="24"/>
                <w:highlight w:val="none"/>
                <w:lang w:eastAsia="zh-CN"/>
              </w:rPr>
              <w:t>不得超过单价最高限价，否则其响应文件将被拒绝）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招标方式</w:t>
            </w:r>
          </w:p>
        </w:tc>
        <w:tc>
          <w:tcPr>
            <w:tcW w:w="6639" w:type="dxa"/>
            <w:tcBorders>
              <w:top w:val="single" w:color="auto" w:sz="4" w:space="0"/>
              <w:left w:val="single" w:color="auto" w:sz="4" w:space="0"/>
              <w:bottom w:val="single" w:color="auto" w:sz="4" w:space="0"/>
              <w:right w:val="single" w:color="auto" w:sz="4" w:space="0"/>
            </w:tcBorders>
            <w:vAlign w:val="center"/>
          </w:tcPr>
          <w:p>
            <w:pPr>
              <w:pStyle w:val="128"/>
              <w:spacing w:line="288" w:lineRule="auto"/>
              <w:ind w:lef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招标内容</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详见本招标文件第六章项目需求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服务地点</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签订合同后90日内交付货物、安装并完成调试，采购人7日内组织初验，通过采购人初验后，试运行1个月，所供货物使用正常，满足采购人需求，采购人7日内出具最终验收意见。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达到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单位按合同约定交付全部产品、安装调试完毕，验收合格并经过结算审计后30日内，采购人按验收报告、结算审计、合同相关条款支付货款100%；如结算审计有审减，按照结算审计结果支付货款；如验收不合格、未完成安装调试，参照违约责任执行。(如采购人有付款需求，在签订合同后，中标单位向采购人提供同等合同金额的银行保函，收到保函，采购人可支付合同金额的100%，待验收合格、安装调试完毕后，根据结算审计结果解除银行质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质量保修期</w:t>
            </w:r>
          </w:p>
        </w:tc>
        <w:tc>
          <w:tcPr>
            <w:tcW w:w="6639" w:type="dxa"/>
            <w:tcBorders>
              <w:top w:val="single" w:color="auto" w:sz="4" w:space="0"/>
              <w:left w:val="single" w:color="auto" w:sz="4" w:space="0"/>
              <w:bottom w:val="single" w:color="auto" w:sz="4" w:space="0"/>
              <w:right w:val="single" w:color="auto" w:sz="4" w:space="0"/>
            </w:tcBorders>
            <w:vAlign w:val="center"/>
          </w:tcPr>
          <w:p>
            <w:pPr>
              <w:pStyle w:val="58"/>
              <w:rPr>
                <w:rFonts w:hint="eastAsia"/>
                <w:highlight w:val="none"/>
              </w:rPr>
            </w:pPr>
            <w:r>
              <w:rPr>
                <w:rFonts w:hint="eastAsia"/>
                <w:highlight w:val="none"/>
                <w:lang w:val="en-US" w:eastAsia="zh-CN"/>
              </w:rPr>
              <w:t>运兵车A</w:t>
            </w:r>
            <w:r>
              <w:rPr>
                <w:rFonts w:hint="eastAsia"/>
                <w:highlight w:val="none"/>
              </w:rPr>
              <w:t>整车质保期自购车发票开具之日起</w:t>
            </w:r>
            <w:r>
              <w:rPr>
                <w:rFonts w:hint="eastAsia"/>
                <w:highlight w:val="none"/>
                <w:lang w:val="en-US" w:eastAsia="zh-CN"/>
              </w:rPr>
              <w:t>三</w:t>
            </w:r>
            <w:r>
              <w:rPr>
                <w:rFonts w:hint="eastAsia"/>
                <w:highlight w:val="none"/>
              </w:rPr>
              <w:t>年</w:t>
            </w:r>
            <w:r>
              <w:rPr>
                <w:rFonts w:hint="eastAsia"/>
                <w:highlight w:val="none"/>
                <w:lang w:eastAsia="zh-CN"/>
              </w:rPr>
              <w:t>，</w:t>
            </w:r>
            <w:r>
              <w:rPr>
                <w:rFonts w:hint="eastAsia"/>
                <w:highlight w:val="none"/>
                <w:lang w:val="en-US" w:eastAsia="zh-CN"/>
              </w:rPr>
              <w:t>其余</w:t>
            </w:r>
            <w:r>
              <w:rPr>
                <w:rFonts w:hint="eastAsia" w:ascii="宋体" w:hAnsi="宋体" w:eastAsia="宋体" w:cs="宋体"/>
                <w:color w:val="auto"/>
                <w:sz w:val="24"/>
                <w:szCs w:val="24"/>
                <w:highlight w:val="none"/>
              </w:rPr>
              <w:t>消防</w:t>
            </w:r>
            <w:r>
              <w:rPr>
                <w:rFonts w:hint="eastAsia" w:ascii="宋体" w:hAnsi="宋体" w:eastAsia="宋体" w:cs="宋体"/>
                <w:color w:val="auto"/>
                <w:sz w:val="24"/>
                <w:szCs w:val="24"/>
                <w:highlight w:val="none"/>
                <w:lang w:eastAsia="zh-CN"/>
              </w:rPr>
              <w:t>车辆</w:t>
            </w:r>
            <w:r>
              <w:rPr>
                <w:rFonts w:hint="eastAsia"/>
                <w:highlight w:val="none"/>
              </w:rPr>
              <w:t>质保期</w:t>
            </w:r>
            <w:r>
              <w:rPr>
                <w:rFonts w:hint="eastAsia" w:ascii="宋体" w:hAnsi="宋体" w:eastAsia="宋体" w:cs="宋体"/>
                <w:color w:val="auto"/>
                <w:sz w:val="24"/>
                <w:szCs w:val="24"/>
                <w:highlight w:val="none"/>
              </w:rPr>
              <w:t>自验收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之日起</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出厂日期不早于2024年</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1月</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1日</w:t>
            </w:r>
            <w:r>
              <w:rPr>
                <w:rFonts w:hint="eastAsia" w:ascii="宋体" w:hAnsi="宋体" w:eastAsia="宋体" w:cs="宋体"/>
                <w:color w:val="auto"/>
                <w:sz w:val="24"/>
                <w:szCs w:val="24"/>
                <w:highlight w:val="none"/>
                <w:lang w:eastAsia="zh-CN"/>
              </w:rPr>
              <w:t>质保期内免费维修更换相关配件。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639" w:type="dxa"/>
            <w:tcBorders>
              <w:top w:val="single" w:color="auto" w:sz="4" w:space="0"/>
              <w:left w:val="single" w:color="auto" w:sz="4" w:space="0"/>
              <w:bottom w:val="single" w:color="auto" w:sz="4" w:space="0"/>
              <w:right w:val="single" w:color="auto" w:sz="4" w:space="0"/>
            </w:tcBorders>
            <w:vAlign w:val="center"/>
          </w:tcPr>
          <w:p>
            <w:pPr>
              <w:pStyle w:val="4"/>
              <w:spacing w:line="440" w:lineRule="exact"/>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第一包：☑有  □无核心产品为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照明消防车</w:t>
            </w:r>
          </w:p>
          <w:p>
            <w:pPr>
              <w:pStyle w:val="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第二包：☑有  □无核心产品为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供气消防车</w:t>
            </w:r>
          </w:p>
          <w:p>
            <w:pPr>
              <w:pStyle w:val="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包：☑有  □无核心产品为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饮食保障车</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构成招标文件的其他文件</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资格要求</w:t>
            </w:r>
          </w:p>
        </w:tc>
        <w:tc>
          <w:tcPr>
            <w:tcW w:w="6639"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288"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满足《中华人民共和国政府采购法》第二十二条规定；</w:t>
            </w:r>
          </w:p>
          <w:p>
            <w:pPr>
              <w:numPr>
                <w:ilvl w:val="0"/>
                <w:numId w:val="0"/>
              </w:numPr>
              <w:spacing w:line="288"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 具有独立承担民事责任的能力；</w:t>
            </w:r>
          </w:p>
          <w:p>
            <w:pPr>
              <w:numPr>
                <w:ilvl w:val="0"/>
                <w:numId w:val="0"/>
              </w:numPr>
              <w:spacing w:line="288"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 具有良好的商业信誉和健全的财务会计制度：应提供本单位2022年度或2023年度经会计师事务所出具的审计报告复印件（报告中须包括资产负债表、利润表、现金流量表及财务报表附注）。</w:t>
            </w:r>
            <w:r>
              <w:rPr>
                <w:rFonts w:hint="eastAsia" w:ascii="宋体" w:hAnsi="宋体" w:cs="宋体"/>
                <w:color w:val="auto"/>
                <w:sz w:val="24"/>
                <w:szCs w:val="24"/>
                <w:highlight w:val="none"/>
              </w:rPr>
              <w:t>如供应商注册不满1年提供具有良好的商业信誉和健全的财务会计制度承诺函</w:t>
            </w:r>
            <w:r>
              <w:rPr>
                <w:rFonts w:hint="eastAsia" w:ascii="宋体" w:hAnsi="宋体" w:eastAsia="宋体" w:cs="宋体"/>
                <w:color w:val="auto"/>
                <w:sz w:val="24"/>
                <w:szCs w:val="24"/>
                <w:highlight w:val="none"/>
                <w:lang w:val="zh-CN"/>
              </w:rPr>
              <w:t xml:space="preserve">； </w:t>
            </w:r>
          </w:p>
          <w:p>
            <w:pPr>
              <w:numPr>
                <w:ilvl w:val="0"/>
                <w:numId w:val="0"/>
              </w:numPr>
              <w:spacing w:line="288"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1.3 具有履行合同所必需的设备和专业技术能力：须附相关证明材料或声明 ；</w:t>
            </w:r>
          </w:p>
          <w:p>
            <w:pPr>
              <w:numPr>
                <w:ilvl w:val="0"/>
                <w:numId w:val="0"/>
              </w:numPr>
              <w:spacing w:line="288"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1.4 有依法缴纳税收和社会保障资金的良好记录：缴纳税收的证明材料，指供应商缴纳增值税和企业所得税两种缴纳凭据；本项目开标前6个月内（至少提供1个月）缴纳税收的凭据（完税证、缴款书、印花税票、银行代扣（代缴）转账凭证等均可）；供应商依法缴纳社会保障资金的证明材料：本项目开标前 6个月内（至少提供1个月）缴纳社会保险的凭据（专用收据或社会保险交纳清单）； 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 </w:t>
            </w:r>
          </w:p>
          <w:p>
            <w:pPr>
              <w:numPr>
                <w:ilvl w:val="0"/>
                <w:numId w:val="0"/>
              </w:numPr>
              <w:spacing w:line="288"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1.5 参加政府采购活动前三年内，在经营活动中没有重大违法记录：提供前三年内在经营活动中没有重大违法记录的书面声明； </w:t>
            </w:r>
          </w:p>
          <w:p>
            <w:pPr>
              <w:numPr>
                <w:ilvl w:val="0"/>
                <w:numId w:val="0"/>
              </w:numPr>
              <w:spacing w:line="288"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 法律、行政法规规定的其他条件。</w:t>
            </w:r>
          </w:p>
          <w:p>
            <w:pPr>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2.落实政府采购政策需满足的资格要求：1）本项目</w:t>
            </w:r>
            <w:r>
              <w:rPr>
                <w:rFonts w:hint="eastAsia" w:ascii="宋体" w:hAnsi="宋体" w:eastAsia="宋体" w:cs="宋体"/>
                <w:color w:val="auto"/>
                <w:sz w:val="24"/>
                <w:szCs w:val="24"/>
                <w:highlight w:val="none"/>
              </w:rPr>
              <w:t>非专门面向</w:t>
            </w:r>
            <w:r>
              <w:rPr>
                <w:rFonts w:hint="eastAsia" w:ascii="宋体" w:hAnsi="宋体" w:eastAsia="宋体" w:cs="宋体"/>
                <w:color w:val="auto"/>
                <w:sz w:val="24"/>
                <w:szCs w:val="24"/>
                <w:highlight w:val="none"/>
                <w:lang w:val="zh-CN"/>
              </w:rPr>
              <w:t>中小企业采购</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供应商所提供货物的制造商为小型、微型企业的，给予10%的价格扣除</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 xml:space="preserve"> 2）落实《关于调整优化节能产品、环境标志产品政府采购执行机制的通知》（财库[2019]9号）、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pPr>
              <w:spacing w:line="288"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.本项目的特定资格要求：</w:t>
            </w:r>
          </w:p>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存在利害关系可能影响招标公正性的法人、其他组织或者个人，不得参加同一标段投标或者未划分标段的同一招标不得参加投标；</w:t>
            </w:r>
          </w:p>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负责人为同一人或者存在控股、管理关系的不同单位，不得同时参加本项目的投标。</w:t>
            </w:r>
          </w:p>
          <w:p>
            <w:pPr>
              <w:pStyle w:val="4"/>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根据《财政部关于在政府采购活动中查询及使用信用记录有关问题的通知》（财库﹝2016﹞125号）的要求，凡拟参加本次招标项目的投标供应商，如在“信用中国”网（www.creditchina.gov.cn）、中国政府采购网（www.ccgp.gov.cn）列入失信被执行人、</w:t>
            </w:r>
            <w:r>
              <w:rPr>
                <w:rFonts w:hint="eastAsia" w:ascii="宋体"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、政府采购严重违法失信行为记录名单的（尚在处罚期内的），将拒绝其参加本次项目投标。</w:t>
            </w:r>
          </w:p>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投标保证金</w:t>
            </w:r>
          </w:p>
        </w:tc>
        <w:tc>
          <w:tcPr>
            <w:tcW w:w="6639"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w:t>
            </w:r>
          </w:p>
          <w:p>
            <w:pPr>
              <w:spacing w:line="28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一包：</w:t>
            </w:r>
            <w:r>
              <w:rPr>
                <w:rFonts w:hint="eastAsia" w:ascii="宋体" w:hAnsi="宋体" w:cs="宋体"/>
                <w:color w:val="auto"/>
                <w:sz w:val="24"/>
                <w:szCs w:val="24"/>
                <w:highlight w:val="none"/>
                <w:lang w:val="en-US" w:eastAsia="zh-CN"/>
              </w:rPr>
              <w:t>19100</w:t>
            </w:r>
            <w:r>
              <w:rPr>
                <w:rFonts w:hint="eastAsia" w:ascii="宋体" w:hAnsi="宋体" w:eastAsia="宋体" w:cs="宋体"/>
                <w:color w:val="auto"/>
                <w:sz w:val="24"/>
                <w:szCs w:val="24"/>
                <w:highlight w:val="none"/>
              </w:rPr>
              <w:t>元，大写：</w:t>
            </w:r>
            <w:r>
              <w:rPr>
                <w:rFonts w:hint="eastAsia" w:ascii="宋体" w:hAnsi="宋体" w:cs="宋体"/>
                <w:color w:val="auto"/>
                <w:sz w:val="24"/>
                <w:szCs w:val="24"/>
                <w:highlight w:val="none"/>
                <w:lang w:val="en-US" w:eastAsia="zh-CN"/>
              </w:rPr>
              <w:t>壹万玖仟壹佰</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p>
          <w:p>
            <w:pPr>
              <w:spacing w:line="28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二包：</w:t>
            </w:r>
            <w:r>
              <w:rPr>
                <w:rFonts w:hint="eastAsia" w:ascii="宋体" w:hAnsi="宋体" w:cs="宋体"/>
                <w:color w:val="auto"/>
                <w:sz w:val="24"/>
                <w:szCs w:val="24"/>
                <w:highlight w:val="none"/>
                <w:lang w:val="en-US" w:eastAsia="zh-CN"/>
              </w:rPr>
              <w:t>1920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元，大写：</w:t>
            </w:r>
            <w:r>
              <w:rPr>
                <w:rFonts w:hint="eastAsia" w:ascii="宋体" w:hAnsi="宋体" w:cs="宋体"/>
                <w:color w:val="auto"/>
                <w:sz w:val="24"/>
                <w:szCs w:val="24"/>
                <w:highlight w:val="none"/>
                <w:lang w:eastAsia="zh-CN"/>
              </w:rPr>
              <w:t>壹万玖仟贰佰</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p>
          <w:p>
            <w:pPr>
              <w:spacing w:line="28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三包：</w:t>
            </w:r>
            <w:r>
              <w:rPr>
                <w:rFonts w:hint="eastAsia" w:ascii="宋体" w:hAnsi="宋体" w:cs="宋体"/>
                <w:color w:val="auto"/>
                <w:sz w:val="24"/>
                <w:szCs w:val="24"/>
                <w:highlight w:val="none"/>
                <w:lang w:val="en-US" w:eastAsia="zh-CN"/>
              </w:rPr>
              <w:t>19000</w:t>
            </w:r>
            <w:r>
              <w:rPr>
                <w:rFonts w:hint="eastAsia" w:ascii="宋体" w:hAnsi="宋体" w:eastAsia="宋体" w:cs="宋体"/>
                <w:color w:val="auto"/>
                <w:sz w:val="24"/>
                <w:szCs w:val="24"/>
                <w:highlight w:val="none"/>
              </w:rPr>
              <w:t>元，大写：</w:t>
            </w:r>
            <w:r>
              <w:rPr>
                <w:rFonts w:hint="eastAsia" w:ascii="宋体" w:hAnsi="宋体" w:cs="宋体"/>
                <w:color w:val="auto"/>
                <w:sz w:val="24"/>
                <w:szCs w:val="24"/>
                <w:highlight w:val="none"/>
                <w:lang w:val="en-US" w:eastAsia="zh-CN"/>
              </w:rPr>
              <w:t>壹万玖仟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p>
          <w:p>
            <w:pPr>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投标保证金递交截止时间：投标文件递交截止时间前。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3.投标保证金缴纳形式：投标保证金应当以支票、汇票、本票或者金融机构、担保机构出具的保函等非现金形式提交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未按照招标文件要求提交投标保证金的，投标无效。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基本账户一次性汇入。投标保证金必须在提交投标文件截止时间前缴纳，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考虑资金到账时间，在规定的时限前自行办妥投标保证金交纳手续。投标保证金采取银行转账、电汇方式递交的，以电汇凭证和网银对账单的时间为准，采取支票、银行汇票、保函方式递交的，以实际递交至</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的时间为准，超过时限交纳投标保证金视为投标无效。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5.投标保证金递交的开户银行及账号如下：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账户名称：华春建设工程项目管理有限责任公司乌鲁木齐分公司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号：30000601040004017</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开户行名称：中国农业银行股份有限公司乌鲁木齐北门支行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    号：103881000068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注意：不得以现金的方式和其他的形式缴纳，不得以办事处或其他机构名义缴纳，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在缴纳保证金时，需在进账凭证上明确自己用途和投标项目简称、标段编号，并注明联系人及电话，以便查对核实。请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按上述要求将投标保证金汇入指定的开户银行，未按规定提交投标保证金的投标，将被视为投标无效。保证金事宜请联系财务室：肖芳 0991-4181809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投标有效期</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递交投标文件的截止之日起90天。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现场踏勘</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本项目不安排现场踏勘。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w:t>
            </w:r>
          </w:p>
          <w:p>
            <w:pPr>
              <w:spacing w:line="288"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要求</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项目采用不见面开标，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需要递交加密的电子投标文件，在投标截止时间前通过新疆政采云平台上传到指定位置。                                       2.本项目采用远程不见面交易的模式。开标当日，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无需到达开标现场，仅需在任意地点登录“政采云”平台 (https://www.zcygov.cn/)开标大厅完成远程解密、提疑澄清、开标唱标、结果公布等交互环节。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必须使用能正确解密投标文件的“新疆政采云数字证书”在规定的时间内完成远程解密，因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原因未能 解密、解密失败或解密超时，视为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撤销其投标文件，系统内投标文件将被退回；因采购人原因或网上招 投标平台发生故障，导致无法按时完成投标文件解密或开、评标工作无法进行的，可根据实际情况相应延迟解密时间或调整开、评标时间。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投标截止时间及投标文件递交地点</w:t>
            </w:r>
          </w:p>
        </w:tc>
        <w:tc>
          <w:tcPr>
            <w:tcW w:w="6639" w:type="dxa"/>
            <w:tcBorders>
              <w:top w:val="single" w:color="auto" w:sz="4" w:space="0"/>
              <w:left w:val="single" w:color="auto" w:sz="4" w:space="0"/>
              <w:bottom w:val="single" w:color="auto" w:sz="4" w:space="0"/>
              <w:right w:val="single" w:color="auto" w:sz="4" w:space="0"/>
            </w:tcBorders>
            <w:vAlign w:val="center"/>
          </w:tcPr>
          <w:p>
            <w:pPr>
              <w:tabs>
                <w:tab w:val="left" w:pos="2520"/>
              </w:tabs>
              <w:spacing w:line="288"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投标截止时间：</w:t>
            </w:r>
            <w:r>
              <w:rPr>
                <w:rFonts w:hint="eastAsia" w:ascii="宋体" w:hAnsi="宋体" w:eastAsia="宋体" w:cs="宋体"/>
                <w:bCs/>
                <w:color w:val="auto"/>
                <w:sz w:val="24"/>
                <w:szCs w:val="24"/>
                <w:highlight w:val="none"/>
                <w:lang w:val="en-US" w:eastAsia="zh-CN"/>
              </w:rPr>
              <w:t>2024</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4</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 xml:space="preserve"> 22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 xml:space="preserve">11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lang w:val="en-US" w:eastAsia="zh-CN"/>
              </w:rPr>
              <w:t xml:space="preserve">00 </w:t>
            </w:r>
            <w:r>
              <w:rPr>
                <w:rFonts w:hint="eastAsia" w:ascii="宋体" w:hAnsi="宋体" w:eastAsia="宋体" w:cs="宋体"/>
                <w:bCs/>
                <w:color w:val="auto"/>
                <w:sz w:val="24"/>
                <w:szCs w:val="24"/>
                <w:highlight w:val="none"/>
              </w:rPr>
              <w:t>分(北京时间)</w:t>
            </w:r>
          </w:p>
          <w:p>
            <w:pPr>
              <w:spacing w:line="288"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投标地点：政采云平台（https://www.zcygov.cn/）不见面开标系统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开标时间</w:t>
            </w:r>
          </w:p>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及地点</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开标时间：2024年04月</w:t>
            </w:r>
            <w:r>
              <w:rPr>
                <w:rFonts w:hint="eastAsia" w:ascii="宋体" w:hAnsi="宋体" w:cs="宋体"/>
                <w:color w:val="auto"/>
                <w:sz w:val="24"/>
                <w:szCs w:val="24"/>
                <w:highlight w:val="none"/>
                <w:lang w:val="en-US" w:eastAsia="zh-CN"/>
              </w:rPr>
              <w:t xml:space="preserve"> 22 </w:t>
            </w:r>
            <w:r>
              <w:rPr>
                <w:rFonts w:hint="eastAsia" w:ascii="宋体" w:hAnsi="宋体" w:eastAsia="宋体" w:cs="宋体"/>
                <w:color w:val="auto"/>
                <w:sz w:val="24"/>
                <w:szCs w:val="24"/>
                <w:highlight w:val="none"/>
              </w:rPr>
              <w:t>日 11:00（北京时间）</w:t>
            </w:r>
          </w:p>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开标地点：“政采云”平台（https://www.zcygov.cn/）政采云平台不见面开标大厅</w:t>
            </w:r>
          </w:p>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解密时长：30分钟。如因供应商自身原因导致在规定时间内无法正常解密的（如：浏览器故障、未安装相关驱动、网络故障、加密CA与解密CA不一致等），采购中心/代理机构不予异常处理，视为供应商自动弃标。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ind w:right="-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评标办法</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合同签订前，中标单位按照中标金额的5%缴纳履约保证金，中标单位按合同约定交付全部产品，安装调试完毕，书面验收合格一年后，采购单位无息退还全部履约保证金。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w:t>
            </w:r>
          </w:p>
        </w:tc>
        <w:tc>
          <w:tcPr>
            <w:tcW w:w="1295"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hint="eastAsia" w:ascii="宋体" w:hAnsi="宋体" w:eastAsia="宋体" w:cs="宋体"/>
                <w:color w:val="auto"/>
                <w:spacing w:val="-4"/>
                <w:sz w:val="24"/>
                <w:szCs w:val="24"/>
                <w:highlight w:val="none"/>
              </w:rPr>
            </w:pPr>
            <w:r>
              <w:rPr>
                <w:rFonts w:hint="eastAsia" w:ascii="宋体" w:hAnsi="宋体" w:eastAsia="宋体" w:cs="宋体"/>
                <w:bCs/>
                <w:color w:val="auto"/>
                <w:spacing w:val="-4"/>
                <w:sz w:val="24"/>
                <w:szCs w:val="24"/>
                <w:highlight w:val="none"/>
                <w:lang w:val="en-US" w:eastAsia="zh-CN"/>
              </w:rPr>
              <w:t>开标准备</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详见本招标文件</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须知第</w:t>
            </w:r>
            <w:r>
              <w:rPr>
                <w:rFonts w:hint="eastAsia" w:ascii="宋体" w:hAnsi="宋体" w:eastAsia="宋体" w:cs="宋体"/>
                <w:color w:val="auto"/>
                <w:spacing w:val="-4"/>
                <w:sz w:val="24"/>
                <w:szCs w:val="24"/>
                <w:highlight w:val="none"/>
                <w:lang w:val="en-US" w:eastAsia="zh-CN"/>
              </w:rPr>
              <w:t>22</w:t>
            </w:r>
            <w:r>
              <w:rPr>
                <w:rFonts w:hint="eastAsia" w:ascii="宋体" w:hAnsi="宋体" w:eastAsia="宋体" w:cs="宋体"/>
                <w:color w:val="auto"/>
                <w:spacing w:val="-4"/>
                <w:sz w:val="24"/>
                <w:szCs w:val="24"/>
                <w:highlight w:val="none"/>
              </w:rPr>
              <w:t>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w:t>
            </w:r>
          </w:p>
        </w:tc>
        <w:tc>
          <w:tcPr>
            <w:tcW w:w="1295"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同品牌投标处理原则</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rPr>
                <w:rFonts w:hint="eastAsia" w:ascii="宋体" w:hAnsi="宋体" w:eastAsia="宋体" w:cs="宋体"/>
                <w:b/>
                <w:bCs/>
                <w:color w:val="auto"/>
                <w:spacing w:val="-4"/>
                <w:sz w:val="24"/>
                <w:szCs w:val="24"/>
                <w:highlight w:val="none"/>
              </w:rPr>
            </w:pPr>
            <w:r>
              <w:rPr>
                <w:rFonts w:hint="eastAsia" w:ascii="宋体" w:hAnsi="宋体" w:eastAsia="宋体" w:cs="宋体"/>
                <w:color w:val="auto"/>
                <w:spacing w:val="-4"/>
                <w:sz w:val="24"/>
                <w:szCs w:val="24"/>
                <w:highlight w:val="none"/>
              </w:rPr>
              <w:t>详见本招标文件</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须知第7条。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w:t>
            </w:r>
          </w:p>
        </w:tc>
        <w:tc>
          <w:tcPr>
            <w:tcW w:w="1295"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国家规定的优先、强制采购范围（节能、环保）</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tabs>
                <w:tab w:val="left" w:pos="720"/>
                <w:tab w:val="left" w:pos="900"/>
                <w:tab w:val="left" w:pos="1080"/>
                <w:tab w:val="left" w:pos="1260"/>
                <w:tab w:val="left" w:pos="1440"/>
                <w:tab w:val="left" w:pos="1800"/>
              </w:tabs>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1.根据《国家市场监督管理总局关于发布强制性产品认证目录描述与界定表的公告》（2023 年第 36 号）要求，本项目的产品如属于《强制性产品认证目录》、《强制性产品认证目录描述与界定表（2023 年修订）》范围内产品的，应取得有效期内的强制性认证证书（CCC认证证书）</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本项目</w:t>
            </w:r>
            <w:r>
              <w:rPr>
                <w:rFonts w:hint="eastAsia" w:ascii="宋体" w:hAnsi="宋体" w:cs="宋体"/>
                <w:color w:val="auto"/>
                <w:sz w:val="24"/>
                <w:szCs w:val="24"/>
                <w:highlight w:val="none"/>
                <w:lang w:val="en-US" w:eastAsia="zh-CN"/>
              </w:rPr>
              <w:t>标包三的运兵车A</w:t>
            </w:r>
            <w:r>
              <w:rPr>
                <w:rFonts w:hint="eastAsia" w:ascii="宋体" w:hAnsi="宋体" w:cs="宋体"/>
                <w:color w:val="auto"/>
                <w:sz w:val="24"/>
                <w:szCs w:val="24"/>
                <w:highlight w:val="none"/>
              </w:rPr>
              <w:t>应取得有效期内的强制性认证证书（CCC认证证书）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供应商须在投标文件中提供认证证书复印件（加盖公章），否则将被视为无效投标。</w:t>
            </w:r>
          </w:p>
          <w:p>
            <w:pPr>
              <w:widowControl/>
              <w:numPr>
                <w:ilvl w:val="0"/>
                <w:numId w:val="0"/>
              </w:numPr>
              <w:tabs>
                <w:tab w:val="left" w:pos="720"/>
                <w:tab w:val="left" w:pos="900"/>
                <w:tab w:val="left" w:pos="1080"/>
                <w:tab w:val="left" w:pos="1260"/>
                <w:tab w:val="left" w:pos="1440"/>
                <w:tab w:val="left" w:pos="1800"/>
              </w:tabs>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财政部、发展改革委、生态环境部、市场监管总局联合发布的《关于调整优化节能产品、环境标志产品政府采购执行机制的通知》(财库[2019]9号)要求,本项目采购产品如属于《关于印发节能产品政府采购品目清单的通知》（财库[2019]19号）范围内的政府强制采购产品的，应取得有效期内的节能产品认证证书，供应商须在投标文件中提供认证证书复印件（加盖公章），否则将被视为无效投标。</w:t>
            </w:r>
          </w:p>
          <w:p>
            <w:pPr>
              <w:widowControl/>
              <w:tabs>
                <w:tab w:val="left" w:pos="720"/>
                <w:tab w:val="left" w:pos="900"/>
                <w:tab w:val="left" w:pos="1080"/>
                <w:tab w:val="left" w:pos="1260"/>
                <w:tab w:val="left" w:pos="1440"/>
                <w:tab w:val="left" w:pos="1800"/>
              </w:tabs>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发展改革委、生态环境部、市场监管总局联合发布的《关于调整优化节能产品、环境标志产品政府采购执行机制的通知》(财库[2019]9号)要求,本项目采购产品如属于《关于印发节能产品政府采购品目清单的通知》（财库[2019]19号）、《关于印发环境标志产品政府采购品目清单的通知》（财库[2019]18号）范围内的政府优先采购产品的，应取得有效期内的节能产品、环境标志产品认证证书，供应商须在投标文件中提供认证证书复印件（加盖公章），否则不予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代理服务费用</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照国家发展改革委员会发改价格【2011】534号、发改办价格【2003】857号文件和国家发展改革委“发改价格”和《招标代理服务收费管理暂行办法》（计价格【2002】1980号），以中标价为基准计算，采用差额定率累进计法计取，下浮</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%，由</w:t>
            </w:r>
            <w:r>
              <w:rPr>
                <w:rFonts w:hint="eastAsia" w:ascii="宋体" w:hAnsi="宋体" w:eastAsia="宋体" w:cs="宋体"/>
                <w:bCs/>
                <w:color w:val="auto"/>
                <w:sz w:val="24"/>
                <w:szCs w:val="24"/>
                <w:highlight w:val="none"/>
                <w:lang w:val="en-US" w:eastAsia="zh-CN"/>
              </w:rPr>
              <w:t>中标人</w:t>
            </w:r>
            <w:r>
              <w:rPr>
                <w:rFonts w:hint="eastAsia" w:ascii="宋体" w:hAnsi="宋体" w:eastAsia="宋体" w:cs="宋体"/>
                <w:bCs/>
                <w:color w:val="auto"/>
                <w:sz w:val="24"/>
                <w:szCs w:val="24"/>
                <w:highlight w:val="none"/>
              </w:rPr>
              <w:t>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w:t>
            </w:r>
          </w:p>
        </w:tc>
        <w:tc>
          <w:tcPr>
            <w:tcW w:w="1295"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hint="eastAsia" w:ascii="宋体" w:hAnsi="宋体" w:eastAsia="宋体" w:cs="宋体"/>
                <w:color w:val="auto"/>
                <w:spacing w:val="-4"/>
                <w:sz w:val="24"/>
                <w:szCs w:val="24"/>
                <w:highlight w:val="none"/>
              </w:rPr>
            </w:pPr>
            <w:r>
              <w:rPr>
                <w:rFonts w:hint="eastAsia" w:ascii="宋体" w:hAnsi="宋体" w:eastAsia="宋体" w:cs="宋体"/>
                <w:bCs/>
                <w:color w:val="auto"/>
                <w:sz w:val="24"/>
                <w:szCs w:val="24"/>
                <w:highlight w:val="none"/>
              </w:rPr>
              <w:t>低于成本价不正当竞争预防措施</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在评标过程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idowControl/>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书面说明应当签字确认并且加盖公章，否则无效。书面说明的签字确认，</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为法人的，由其法定代表人或者代理人签字确认；</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为其他组织的，由其主要负责人或者代理人签字确认；</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为自然人的，由其本人或者代理人签字确认。</w:t>
            </w:r>
          </w:p>
          <w:p>
            <w:pPr>
              <w:widowControl/>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提供书面说明后，评标委员会应当结合采购项目采购需求、专业实际情况、</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财务状况报告、与其他</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比较情况等就</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书面说明进行审查评价。</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7</w:t>
            </w:r>
          </w:p>
        </w:tc>
        <w:tc>
          <w:tcPr>
            <w:tcW w:w="1295"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中小企业所属行业</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本项目采购标的对应的中小企业划分标准所属行业：工业（根据工信部联企业〔2011〕300 号中小企业划型标准规定：工业。从业人员1000 人以下或营业收入 40000 万元以下的为中小微型企业。其中，从业人员300 人及以上，且营业收入 2000 万元及以上的为中型企业；从业人员20 人及以上，且营业收入 300 万元及以上的为小型企业；从业人员20 人以下或营业收入 300 万元以下的为微型企业。）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8</w:t>
            </w:r>
          </w:p>
        </w:tc>
        <w:tc>
          <w:tcPr>
            <w:tcW w:w="1295"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中小企业</w:t>
            </w:r>
          </w:p>
          <w:p>
            <w:pPr>
              <w:widowControl/>
              <w:tabs>
                <w:tab w:val="left" w:pos="720"/>
                <w:tab w:val="left" w:pos="900"/>
                <w:tab w:val="left" w:pos="1080"/>
                <w:tab w:val="left" w:pos="1260"/>
                <w:tab w:val="left" w:pos="1440"/>
                <w:tab w:val="left" w:pos="1800"/>
              </w:tabs>
              <w:spacing w:line="288"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声明函</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本项目</w:t>
            </w:r>
            <w:r>
              <w:rPr>
                <w:rFonts w:hint="eastAsia" w:ascii="宋体" w:hAnsi="宋体" w:eastAsia="宋体" w:cs="宋体"/>
                <w:color w:val="auto"/>
                <w:sz w:val="24"/>
                <w:szCs w:val="24"/>
                <w:highlight w:val="none"/>
              </w:rPr>
              <w:t>非专门面向</w:t>
            </w:r>
            <w:r>
              <w:rPr>
                <w:rFonts w:hint="eastAsia" w:ascii="宋体" w:hAnsi="宋体" w:eastAsia="宋体" w:cs="宋体"/>
                <w:color w:val="auto"/>
                <w:sz w:val="24"/>
                <w:szCs w:val="24"/>
                <w:highlight w:val="none"/>
                <w:lang w:val="zh-CN"/>
              </w:rPr>
              <w:t>中小企业采购，</w:t>
            </w:r>
            <w:r>
              <w:rPr>
                <w:rFonts w:hint="eastAsia" w:ascii="宋体" w:hAnsi="宋体" w:eastAsia="宋体" w:cs="宋体"/>
                <w:color w:val="auto"/>
                <w:sz w:val="24"/>
                <w:szCs w:val="24"/>
                <w:highlight w:val="none"/>
                <w:lang w:val="en-US" w:eastAsia="zh-CN"/>
              </w:rPr>
              <w:t>供应商所提供货物的制造商为小型、微型企业的，给予10%的价格扣除</w:t>
            </w:r>
            <w:r>
              <w:rPr>
                <w:rFonts w:hint="eastAsia" w:ascii="宋体" w:hAnsi="宋体" w:eastAsia="宋体" w:cs="宋体"/>
                <w:color w:val="auto"/>
                <w:sz w:val="24"/>
                <w:szCs w:val="24"/>
                <w:highlight w:val="none"/>
                <w:lang w:val="zh-CN"/>
              </w:rPr>
              <w:t>；</w:t>
            </w:r>
          </w:p>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2.残疾人福利性单位、监狱和戒毒企业（简称监狱企业）视同小型、微型企业；残疾人福利单位、监狱企业同时属于小型、微型企业的，不重复享受财政政策。</w:t>
            </w:r>
          </w:p>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根据《政府采购促进中小企业发展管理办法》（财库[2020]46号）和《财政部关于进一步加大政府采购支持中小企业力度的通知》要求，供应商应提供合格的《中小企业声明函》，如供应商提供的《中小企业声明函》不合格或未提供《中小企业声明函》的，不得享受相关中小微企业扶持政策。</w:t>
            </w:r>
          </w:p>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4.根据《关于政府采购支持监狱企业发展有关问题的通知》（财库[2014]68号）和本招标文件要求，供应商应提供合格的监狱企业</w:t>
            </w:r>
            <w:r>
              <w:rPr>
                <w:rFonts w:hint="eastAsia" w:ascii="宋体" w:hAnsi="宋体" w:cs="宋体"/>
                <w:color w:val="auto"/>
                <w:sz w:val="24"/>
                <w:szCs w:val="24"/>
                <w:highlight w:val="none"/>
                <w:lang w:val="en-US" w:eastAsia="zh-CN"/>
              </w:rPr>
              <w:t>证明文件</w:t>
            </w:r>
            <w:r>
              <w:rPr>
                <w:rFonts w:hint="eastAsia" w:ascii="宋体" w:hAnsi="宋体" w:eastAsia="宋体" w:cs="宋体"/>
                <w:color w:val="auto"/>
                <w:sz w:val="24"/>
                <w:szCs w:val="24"/>
                <w:highlight w:val="none"/>
                <w:lang w:val="en-US" w:eastAsia="zh-CN"/>
              </w:rPr>
              <w:t>，如供应商提供的监狱企业</w:t>
            </w:r>
            <w:r>
              <w:rPr>
                <w:rFonts w:hint="eastAsia" w:ascii="宋体" w:hAnsi="宋体" w:cs="宋体"/>
                <w:color w:val="auto"/>
                <w:sz w:val="24"/>
                <w:szCs w:val="24"/>
                <w:highlight w:val="none"/>
                <w:lang w:val="en-US" w:eastAsia="zh-CN"/>
              </w:rPr>
              <w:t>证明文件</w:t>
            </w:r>
            <w:r>
              <w:rPr>
                <w:rFonts w:hint="eastAsia" w:ascii="宋体" w:hAnsi="宋体" w:eastAsia="宋体" w:cs="宋体"/>
                <w:color w:val="auto"/>
                <w:sz w:val="24"/>
                <w:szCs w:val="24"/>
                <w:highlight w:val="none"/>
                <w:lang w:val="en-US" w:eastAsia="zh-CN"/>
              </w:rPr>
              <w:t>不合格或未提供监狱企业</w:t>
            </w:r>
            <w:r>
              <w:rPr>
                <w:rFonts w:hint="eastAsia" w:ascii="宋体" w:hAnsi="宋体" w:cs="宋体"/>
                <w:color w:val="auto"/>
                <w:sz w:val="24"/>
                <w:szCs w:val="24"/>
                <w:highlight w:val="none"/>
                <w:lang w:val="en-US" w:eastAsia="zh-CN"/>
              </w:rPr>
              <w:t>证明文件</w:t>
            </w:r>
            <w:r>
              <w:rPr>
                <w:rFonts w:hint="eastAsia" w:ascii="宋体" w:hAnsi="宋体" w:eastAsia="宋体" w:cs="宋体"/>
                <w:color w:val="auto"/>
                <w:sz w:val="24"/>
                <w:szCs w:val="24"/>
                <w:highlight w:val="none"/>
                <w:lang w:val="en-US" w:eastAsia="zh-CN"/>
              </w:rPr>
              <w:t>的，不得享受相关中小微企业扶持政策。</w:t>
            </w:r>
          </w:p>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5.根据《关于促进残疾人就业政府采购政策的通知》（财库[2017]141号）要求，供应商应提供合格的《残疾人福利性单位声明函》，如供应商提供的《残疾人福利性单位声明函》不合格或未提供《残疾人福利性单位声明函》的，不得享受相关中小微企业扶持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29</w:t>
            </w:r>
          </w:p>
        </w:tc>
        <w:tc>
          <w:tcPr>
            <w:tcW w:w="1295"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公告及检验</w:t>
            </w:r>
          </w:p>
          <w:p>
            <w:pPr>
              <w:widowControl/>
              <w:tabs>
                <w:tab w:val="left" w:pos="720"/>
                <w:tab w:val="left" w:pos="900"/>
                <w:tab w:val="left" w:pos="1080"/>
                <w:tab w:val="left" w:pos="1260"/>
                <w:tab w:val="left" w:pos="1440"/>
                <w:tab w:val="left" w:pos="1800"/>
              </w:tabs>
              <w:spacing w:line="288"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检测报告</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yellow"/>
                <w:lang w:val="en-US" w:eastAsia="zh-CN"/>
              </w:rPr>
              <w:t>1</w:t>
            </w:r>
            <w:r>
              <w:rPr>
                <w:rFonts w:hint="eastAsia" w:ascii="宋体" w:hAnsi="宋体" w:cs="宋体"/>
                <w:color w:val="auto"/>
                <w:sz w:val="24"/>
                <w:szCs w:val="24"/>
                <w:highlight w:val="yellow"/>
                <w:lang w:val="en-US" w:eastAsia="zh-CN"/>
              </w:rPr>
              <w:t>、</w:t>
            </w:r>
            <w:r>
              <w:rPr>
                <w:rFonts w:hint="eastAsia" w:ascii="宋体" w:hAnsi="宋体" w:eastAsia="宋体" w:cs="宋体"/>
                <w:color w:val="auto"/>
                <w:sz w:val="24"/>
                <w:szCs w:val="24"/>
                <w:highlight w:val="none"/>
              </w:rPr>
              <w:t>有国家或行业标准的产品投标时应提供国家消防产品合格评定中心所属国家消防装备质量检验检测中心（应急管理部上海消防研究所）、国家消防电子产品质量检验检测中心（应急管理部沈阳消防研究所）、国家防火建筑材料质量检验检测中心（应急管理部四川消防研究所）、国家固定灭火系统和耐火构件质量检验检测中心（应急管理部天津消防研究所）、国家消防产品质量检验检测中心（广东）、国家消防及阻燃产品质量检验检测中心（山东）、国家消防产品质量检验检测中心（江苏）、国家五金工具及门类产品质量检验检测中心出具的检验检测报告，或国家级质量检验检测机构出具的检验检测报告。</w:t>
            </w:r>
          </w:p>
          <w:p>
            <w:pPr>
              <w:widowControl/>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pacing w:val="-4"/>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、无国家或行业标准的产品提供国家认可的质量检验检测机构出具的检验检测报告（如有）；如投标时未提供，应在产品交付验收时提供国家认可的质量检验检测机构出具的检验检测报告。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30</w:t>
            </w:r>
          </w:p>
        </w:tc>
        <w:tc>
          <w:tcPr>
            <w:tcW w:w="1295"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其他</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1、根据《国家消防救援局办公室关于推广应用新版消防装备管理系统的通知》要求，中标投标人在交付装备时须附着由“消防装备物资信息采集系统”统一发行的装备物资二维码和 RFID。必需与目前已实施的新版装备管理系统配备的各类标签、二维码和RFID等硬件设施、型号兼容匹配。</w:t>
            </w:r>
          </w:p>
          <w:p>
            <w:pPr>
              <w:widowControl/>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除法律、法规和规章规定外，招标文件中用“拒绝”“不接受”“无效”“不得”“必须”“应当”等文字规定的条款为实质性要求条款（即重要条款），对其中任何一条偏离的，在评标时将其视为无效投标。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857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备注：本</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须知前附表是对招标文件中的重要内容进行罗列；如与招标文件不符，应以本表为准。</w:t>
            </w:r>
          </w:p>
        </w:tc>
      </w:tr>
    </w:tbl>
    <w:p>
      <w:pPr>
        <w:rPr>
          <w:color w:val="auto"/>
          <w:highlight w:val="none"/>
        </w:rPr>
      </w:pPr>
      <w:r>
        <w:rPr>
          <w:rFonts w:hint="eastAsia"/>
          <w:color w:val="auto"/>
          <w:highlight w:val="none"/>
        </w:rPr>
        <w:br w:type="page"/>
      </w:r>
    </w:p>
    <w:bookmarkEnd w:id="0"/>
    <w:bookmarkEnd w:id="1"/>
    <w:bookmarkEnd w:id="2"/>
    <w:bookmarkEnd w:id="3"/>
    <w:bookmarkEnd w:id="4"/>
    <w:bookmarkEnd w:id="5"/>
    <w:bookmarkEnd w:id="6"/>
    <w:bookmarkEnd w:id="10"/>
    <w:bookmarkEnd w:id="11"/>
    <w:bookmarkEnd w:id="12"/>
    <w:p>
      <w:pPr>
        <w:pStyle w:val="3"/>
        <w:numPr>
          <w:ilvl w:val="0"/>
          <w:numId w:val="9"/>
        </w:numPr>
        <w:rPr>
          <w:rFonts w:hint="eastAsia"/>
          <w:color w:val="auto"/>
          <w:highlight w:val="none"/>
        </w:rPr>
      </w:pPr>
      <w:bookmarkStart w:id="13" w:name="_Toc32510"/>
      <w:bookmarkStart w:id="14" w:name="_Toc120614211"/>
      <w:bookmarkStart w:id="15" w:name="_Toc534725597"/>
      <w:bookmarkStart w:id="16" w:name="_Toc20823314"/>
      <w:bookmarkStart w:id="17" w:name="_Toc494375079"/>
      <w:bookmarkStart w:id="18" w:name="_Toc513029242"/>
      <w:bookmarkStart w:id="19" w:name="_Toc479757207"/>
      <w:bookmarkStart w:id="20" w:name="_Toc120614221"/>
      <w:bookmarkStart w:id="21" w:name="_Toc16938558"/>
      <w:r>
        <w:rPr>
          <w:rFonts w:hint="eastAsia"/>
          <w:color w:val="auto"/>
          <w:highlight w:val="none"/>
        </w:rPr>
        <w:t>招标邀请</w:t>
      </w:r>
      <w:bookmarkEnd w:id="13"/>
    </w:p>
    <w:p>
      <w:pPr>
        <w:jc w:val="center"/>
        <w:rPr>
          <w:rFonts w:hint="eastAsia"/>
          <w:b/>
          <w:bCs/>
          <w:color w:val="auto"/>
          <w:sz w:val="28"/>
          <w:szCs w:val="28"/>
          <w:highlight w:val="none"/>
        </w:rPr>
      </w:pPr>
      <w:bookmarkStart w:id="22" w:name="_Toc20000"/>
      <w:r>
        <w:rPr>
          <w:rFonts w:hint="eastAsia"/>
          <w:b/>
          <w:bCs/>
          <w:color w:val="auto"/>
          <w:sz w:val="28"/>
          <w:szCs w:val="28"/>
          <w:highlight w:val="none"/>
          <w:lang w:eastAsia="zh-CN"/>
        </w:rPr>
        <w:t>新疆消防救援总队乌鲁木齐支队“自然灾害应急能力提升工程”装备配备项目</w:t>
      </w:r>
      <w:r>
        <w:rPr>
          <w:rFonts w:hint="eastAsia" w:hAnsi="宋体" w:cs="Arial"/>
          <w:b/>
          <w:bCs/>
          <w:color w:val="auto"/>
          <w:sz w:val="28"/>
          <w:szCs w:val="28"/>
          <w:highlight w:val="none"/>
          <w:lang w:eastAsia="zh-CN"/>
        </w:rPr>
        <w:t>（</w:t>
      </w:r>
      <w:r>
        <w:rPr>
          <w:rFonts w:hint="eastAsia" w:hAnsi="宋体" w:cs="Arial"/>
          <w:b/>
          <w:bCs/>
          <w:color w:val="auto"/>
          <w:sz w:val="28"/>
          <w:szCs w:val="28"/>
          <w:highlight w:val="none"/>
          <w:lang w:val="en-US" w:eastAsia="zh-CN"/>
        </w:rPr>
        <w:t>一</w:t>
      </w:r>
      <w:r>
        <w:rPr>
          <w:rFonts w:hint="eastAsia" w:hAnsi="宋体" w:cs="Arial"/>
          <w:b/>
          <w:bCs/>
          <w:color w:val="auto"/>
          <w:sz w:val="28"/>
          <w:szCs w:val="28"/>
          <w:highlight w:val="none"/>
          <w:lang w:eastAsia="zh-CN"/>
        </w:rPr>
        <w:t>）</w:t>
      </w:r>
      <w:r>
        <w:rPr>
          <w:rFonts w:hint="eastAsia"/>
          <w:b/>
          <w:bCs/>
          <w:color w:val="auto"/>
          <w:sz w:val="28"/>
          <w:szCs w:val="28"/>
          <w:highlight w:val="none"/>
        </w:rPr>
        <w:t>公开</w:t>
      </w:r>
      <w:r>
        <w:rPr>
          <w:b/>
          <w:bCs/>
          <w:color w:val="auto"/>
          <w:sz w:val="28"/>
          <w:szCs w:val="28"/>
          <w:highlight w:val="none"/>
        </w:rPr>
        <w:t>招标</w:t>
      </w:r>
      <w:r>
        <w:rPr>
          <w:rFonts w:hint="eastAsia"/>
          <w:b/>
          <w:bCs/>
          <w:color w:val="auto"/>
          <w:sz w:val="28"/>
          <w:szCs w:val="28"/>
          <w:highlight w:val="none"/>
        </w:rPr>
        <w:t>公告</w:t>
      </w:r>
    </w:p>
    <w:p>
      <w:pPr>
        <w:pStyle w:val="36"/>
        <w:keepNext w:val="0"/>
        <w:keepLines w:val="0"/>
        <w:pageBreakBefore w:val="0"/>
        <w:kinsoku/>
        <w:wordWrap/>
        <w:overflowPunct/>
        <w:topLinePunct w:val="0"/>
        <w:autoSpaceDE w:val="0"/>
        <w:autoSpaceDN w:val="0"/>
        <w:bidi w:val="0"/>
        <w:spacing w:before="0" w:beforeAutospacing="0" w:after="0" w:afterAutospacing="0" w:line="46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kinsoku/>
        <w:wordWrap/>
        <w:overflowPunct/>
        <w:topLinePunct w:val="0"/>
        <w:autoSpaceDE w:val="0"/>
        <w:autoSpaceDN w:val="0"/>
        <w:bidi w:val="0"/>
        <w:spacing w:beforeAutospacing="0" w:afterAutospacing="0" w:line="460" w:lineRule="exact"/>
        <w:ind w:left="0" w:leftChars="0" w:right="0" w:rightChars="0" w:firstLine="480" w:firstLineChars="200"/>
        <w:textAlignment w:val="auto"/>
        <w:rPr>
          <w:rFonts w:hint="eastAsia" w:ascii="宋体" w:hAnsi="宋体" w:eastAsia="宋体" w:cs="宋体"/>
          <w:b/>
          <w:bCs/>
          <w:color w:val="auto"/>
          <w:sz w:val="24"/>
          <w:szCs w:val="24"/>
          <w:highlight w:val="none"/>
        </w:rPr>
      </w:pPr>
      <w:r>
        <w:rPr>
          <w:rStyle w:val="42"/>
          <w:rFonts w:hint="eastAsia" w:ascii="宋体" w:hAnsi="宋体" w:eastAsia="宋体" w:cs="宋体"/>
          <w:b w:val="0"/>
          <w:bCs w:val="0"/>
          <w:color w:val="auto"/>
          <w:sz w:val="24"/>
          <w:szCs w:val="24"/>
          <w:highlight w:val="none"/>
        </w:rPr>
        <w:t>新疆消防救援总队乌鲁木齐支队“自然灾害应急能力提升工程”装备配备项目（一）的潜在</w:t>
      </w:r>
      <w:r>
        <w:rPr>
          <w:rFonts w:hint="eastAsia" w:ascii="宋体" w:hAnsi="宋体" w:eastAsia="宋体" w:cs="宋体"/>
          <w:color w:val="auto"/>
          <w:spacing w:val="-3"/>
          <w:sz w:val="24"/>
          <w:szCs w:val="24"/>
          <w:highlight w:val="none"/>
          <w:lang w:val="en-US" w:eastAsia="zh-CN"/>
        </w:rPr>
        <w:t>供应商</w:t>
      </w:r>
      <w:r>
        <w:rPr>
          <w:rStyle w:val="42"/>
          <w:rFonts w:hint="eastAsia" w:ascii="宋体" w:hAnsi="宋体" w:eastAsia="宋体" w:cs="宋体"/>
          <w:b w:val="0"/>
          <w:bCs w:val="0"/>
          <w:color w:val="auto"/>
          <w:sz w:val="24"/>
          <w:szCs w:val="24"/>
          <w:highlight w:val="none"/>
        </w:rPr>
        <w:t>应在新疆政府采购云平台https://www.zcygov.cn/线上获取招标文件，并于</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日11：00（北京时间）</w:t>
      </w:r>
      <w:r>
        <w:rPr>
          <w:rStyle w:val="42"/>
          <w:rFonts w:hint="eastAsia" w:ascii="宋体" w:hAnsi="宋体" w:eastAsia="宋体" w:cs="宋体"/>
          <w:b w:val="0"/>
          <w:bCs w:val="0"/>
          <w:color w:val="auto"/>
          <w:sz w:val="24"/>
          <w:szCs w:val="24"/>
          <w:highlight w:val="none"/>
        </w:rPr>
        <w:t>前递交投标文件。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22"/>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项目编号：hcxjczt-2024-603</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Style w:val="42"/>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项目名称：</w:t>
      </w:r>
      <w:r>
        <w:rPr>
          <w:rStyle w:val="42"/>
          <w:rFonts w:hint="eastAsia" w:ascii="宋体" w:hAnsi="宋体" w:eastAsia="宋体" w:cs="宋体"/>
          <w:b w:val="0"/>
          <w:bCs w:val="0"/>
          <w:color w:val="auto"/>
          <w:sz w:val="24"/>
          <w:szCs w:val="24"/>
          <w:highlight w:val="none"/>
        </w:rPr>
        <w:t>新疆消防救援总队乌鲁木齐支队“自然灾害应急能力提升工程”装备配备项目（一）</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pPr>
        <w:spacing w:line="288" w:lineRule="auto"/>
        <w:ind w:firstLine="240" w:firstLineChars="10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eastAsia="宋体" w:cs="宋体"/>
          <w:bCs/>
          <w:color w:val="auto"/>
          <w:sz w:val="24"/>
          <w:szCs w:val="24"/>
          <w:highlight w:val="none"/>
          <w:lang w:val="en-US" w:eastAsia="zh-CN"/>
        </w:rPr>
        <w:t>8</w:t>
      </w:r>
      <w:r>
        <w:rPr>
          <w:rFonts w:hint="eastAsia" w:ascii="宋体" w:hAnsi="宋体" w:cs="宋体"/>
          <w:bCs/>
          <w:color w:val="auto"/>
          <w:sz w:val="24"/>
          <w:szCs w:val="24"/>
          <w:highlight w:val="none"/>
          <w:lang w:val="en-US" w:eastAsia="zh-CN"/>
        </w:rPr>
        <w:t>620000.00</w:t>
      </w:r>
    </w:p>
    <w:p>
      <w:pPr>
        <w:spacing w:line="288" w:lineRule="auto"/>
        <w:ind w:firstLine="240" w:firstLineChars="1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ascii="宋体" w:hAnsi="宋体" w:eastAsia="宋体" w:cs="宋体"/>
          <w:bCs/>
          <w:color w:val="auto"/>
          <w:sz w:val="24"/>
          <w:szCs w:val="24"/>
          <w:highlight w:val="none"/>
          <w:lang w:val="en-US" w:eastAsia="zh-CN"/>
        </w:rPr>
        <w:t>8</w:t>
      </w:r>
      <w:r>
        <w:rPr>
          <w:rFonts w:hint="eastAsia" w:ascii="宋体" w:hAnsi="宋体" w:cs="宋体"/>
          <w:bCs/>
          <w:color w:val="auto"/>
          <w:sz w:val="24"/>
          <w:szCs w:val="24"/>
          <w:highlight w:val="none"/>
          <w:lang w:val="en-US" w:eastAsia="zh-CN"/>
        </w:rPr>
        <w:t>620000.00</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Style w:val="58"/>
        <w:rPr>
          <w:rFonts w:hint="eastAsia"/>
        </w:rPr>
      </w:pPr>
      <w:r>
        <w:rPr>
          <w:rFonts w:hint="eastAsia" w:ascii="宋体" w:hAnsi="宋体" w:eastAsia="宋体" w:cs="宋体"/>
          <w:color w:val="auto"/>
          <w:highlight w:val="none"/>
        </w:rPr>
        <w:t xml:space="preserve"> </w:t>
      </w:r>
      <w:r>
        <w:rPr>
          <w:rFonts w:hint="eastAsia" w:hAnsi="宋体" w:cs="宋体"/>
          <w:color w:val="auto"/>
          <w:highlight w:val="none"/>
          <w:lang w:val="en-US" w:eastAsia="zh-CN"/>
        </w:rPr>
        <w:t xml:space="preserve">   </w:t>
      </w:r>
      <w:r>
        <w:rPr>
          <w:rFonts w:hint="eastAsia" w:ascii="宋体" w:hAnsi="宋体" w:eastAsia="宋体" w:cs="宋体"/>
          <w:color w:val="auto"/>
          <w:highlight w:val="none"/>
          <w:lang w:eastAsia="zh-CN"/>
        </w:rPr>
        <w:t>标项一:</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标项名称:</w:t>
      </w:r>
      <w:r>
        <w:rPr>
          <w:rStyle w:val="42"/>
          <w:rFonts w:hint="eastAsia" w:ascii="宋体" w:hAnsi="宋体" w:eastAsia="宋体" w:cs="宋体"/>
          <w:b w:val="0"/>
          <w:bCs w:val="0"/>
          <w:color w:val="auto"/>
          <w:sz w:val="24"/>
          <w:szCs w:val="24"/>
          <w:highlight w:val="none"/>
          <w:lang w:val="en-US" w:eastAsia="zh-CN"/>
        </w:rPr>
        <w:t>第一包</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0</w:t>
      </w:r>
      <w:r>
        <w:rPr>
          <w:rFonts w:hint="eastAsia" w:ascii="宋体" w:hAnsi="宋体" w:cs="宋体"/>
          <w:bCs/>
          <w:color w:val="auto"/>
          <w:sz w:val="24"/>
          <w:szCs w:val="24"/>
          <w:highlight w:val="none"/>
          <w:lang w:val="en-US" w:eastAsia="zh-CN"/>
        </w:rPr>
        <w:t>0000.00</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简要规格描述或项目基本概况介绍、用途：</w:t>
      </w:r>
      <w:r>
        <w:rPr>
          <w:rFonts w:hint="default" w:ascii="宋体" w:hAnsi="宋体" w:eastAsia="宋体" w:cs="宋体"/>
          <w:color w:val="auto"/>
          <w:sz w:val="24"/>
          <w:szCs w:val="24"/>
          <w:highlight w:val="none"/>
          <w:lang w:val="en-US" w:eastAsia="zh-CN"/>
        </w:rPr>
        <w:t>物资运输车（B）</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照明消防车</w:t>
      </w:r>
      <w:r>
        <w:rPr>
          <w:rFonts w:hint="eastAsia" w:cs="宋体"/>
          <w:color w:val="auto"/>
          <w:sz w:val="24"/>
          <w:szCs w:val="24"/>
          <w:highlight w:val="none"/>
          <w:lang w:val="en-US" w:eastAsia="zh-CN"/>
        </w:rPr>
        <w:t>具体详见招标文件。</w:t>
      </w:r>
    </w:p>
    <w:p>
      <w:pPr>
        <w:pStyle w:val="58"/>
        <w:ind w:firstLine="480" w:firstLineChars="200"/>
        <w:rPr>
          <w:rFonts w:hint="eastAsia"/>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标项</w:t>
      </w:r>
      <w:r>
        <w:rPr>
          <w:rFonts w:hint="eastAsia" w:hAnsi="宋体" w:cs="宋体"/>
          <w:color w:val="auto"/>
          <w:highlight w:val="none"/>
          <w:lang w:eastAsia="zh-CN"/>
        </w:rPr>
        <w:t>二</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Style w:val="42"/>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标项名称:</w:t>
      </w:r>
      <w:r>
        <w:rPr>
          <w:rStyle w:val="42"/>
          <w:rFonts w:hint="eastAsia" w:ascii="宋体" w:hAnsi="宋体" w:eastAsia="宋体" w:cs="宋体"/>
          <w:b w:val="0"/>
          <w:bCs w:val="0"/>
          <w:color w:val="auto"/>
          <w:sz w:val="24"/>
          <w:szCs w:val="24"/>
          <w:highlight w:val="none"/>
          <w:lang w:val="en-US" w:eastAsia="zh-CN"/>
        </w:rPr>
        <w:t>第二包</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292</w:t>
      </w:r>
      <w:r>
        <w:rPr>
          <w:rFonts w:hint="eastAsia" w:ascii="宋体" w:hAnsi="宋体" w:cs="宋体"/>
          <w:bCs/>
          <w:color w:val="auto"/>
          <w:sz w:val="24"/>
          <w:szCs w:val="24"/>
          <w:highlight w:val="none"/>
          <w:lang w:val="en-US" w:eastAsia="zh-CN"/>
        </w:rPr>
        <w:t>0000.00</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简要规格描述或项目基本概况介绍、用途：</w:t>
      </w:r>
      <w:r>
        <w:rPr>
          <w:rFonts w:hint="eastAsia" w:ascii="宋体" w:hAnsi="宋体" w:eastAsia="宋体" w:cs="宋体"/>
          <w:color w:val="auto"/>
          <w:sz w:val="24"/>
          <w:szCs w:val="24"/>
          <w:highlight w:val="none"/>
          <w:lang w:val="en-US" w:eastAsia="zh-CN"/>
        </w:rPr>
        <w:t>装备抢修车、</w:t>
      </w:r>
      <w:r>
        <w:rPr>
          <w:rFonts w:hint="default" w:ascii="宋体" w:hAnsi="宋体" w:eastAsia="宋体" w:cs="宋体"/>
          <w:color w:val="auto"/>
          <w:sz w:val="24"/>
          <w:szCs w:val="24"/>
          <w:highlight w:val="none"/>
          <w:lang w:val="en-US" w:eastAsia="zh-CN"/>
        </w:rPr>
        <w:t>供气消防车</w:t>
      </w:r>
      <w:r>
        <w:rPr>
          <w:rFonts w:hint="eastAsia" w:cs="宋体"/>
          <w:color w:val="auto"/>
          <w:sz w:val="24"/>
          <w:szCs w:val="24"/>
          <w:highlight w:val="none"/>
          <w:lang w:val="en-US" w:eastAsia="zh-CN"/>
        </w:rPr>
        <w:t>具体详见招标文件。</w:t>
      </w:r>
    </w:p>
    <w:p>
      <w:pPr>
        <w:pStyle w:val="58"/>
        <w:rPr>
          <w:rFonts w:hint="eastAsia"/>
          <w:lang w:val="en-US" w:eastAsia="zh-CN"/>
        </w:rPr>
      </w:pPr>
      <w:r>
        <w:rPr>
          <w:rFonts w:hint="eastAsia" w:ascii="宋体" w:hAnsi="宋体" w:eastAsia="宋体" w:cs="宋体"/>
          <w:color w:val="auto"/>
          <w:highlight w:val="none"/>
        </w:rPr>
        <w:t xml:space="preserve"> </w:t>
      </w:r>
      <w:r>
        <w:rPr>
          <w:rFonts w:hint="eastAsia" w:hAnsi="宋体" w:cs="宋体"/>
          <w:color w:val="auto"/>
          <w:highlight w:val="none"/>
          <w:lang w:val="en-US" w:eastAsia="zh-CN"/>
        </w:rPr>
        <w:t xml:space="preserve">   </w:t>
      </w:r>
      <w:r>
        <w:rPr>
          <w:rFonts w:hint="eastAsia" w:ascii="宋体" w:hAnsi="宋体" w:eastAsia="宋体" w:cs="宋体"/>
          <w:color w:val="auto"/>
          <w:highlight w:val="none"/>
          <w:lang w:eastAsia="zh-CN"/>
        </w:rPr>
        <w:t>标项</w:t>
      </w:r>
      <w:r>
        <w:rPr>
          <w:rFonts w:hint="eastAsia" w:hAnsi="宋体" w:cs="宋体"/>
          <w:color w:val="auto"/>
          <w:highlight w:val="none"/>
          <w:lang w:eastAsia="zh-CN"/>
        </w:rPr>
        <w:t>三</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Style w:val="42"/>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标项名称:</w:t>
      </w:r>
      <w:r>
        <w:rPr>
          <w:rStyle w:val="42"/>
          <w:rFonts w:hint="eastAsia" w:ascii="宋体" w:hAnsi="宋体" w:eastAsia="宋体" w:cs="宋体"/>
          <w:b w:val="0"/>
          <w:bCs w:val="0"/>
          <w:color w:val="auto"/>
          <w:sz w:val="24"/>
          <w:szCs w:val="24"/>
          <w:highlight w:val="none"/>
          <w:lang w:val="en-US" w:eastAsia="zh-CN"/>
        </w:rPr>
        <w:t>第三包</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Style w:val="42"/>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Style w:val="42"/>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190</w:t>
      </w:r>
      <w:r>
        <w:rPr>
          <w:rFonts w:hint="eastAsia" w:ascii="宋体" w:hAnsi="宋体" w:cs="宋体"/>
          <w:bCs/>
          <w:color w:val="auto"/>
          <w:sz w:val="24"/>
          <w:szCs w:val="24"/>
          <w:highlight w:val="none"/>
          <w:lang w:val="en-US" w:eastAsia="zh-CN"/>
        </w:rPr>
        <w:t>0000.00</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简要规格描述或项目基本概况介绍、用途：</w:t>
      </w:r>
      <w:r>
        <w:rPr>
          <w:rFonts w:hint="default" w:ascii="宋体" w:hAnsi="宋体" w:eastAsia="宋体" w:cs="宋体"/>
          <w:color w:val="auto"/>
          <w:sz w:val="24"/>
          <w:szCs w:val="24"/>
          <w:highlight w:val="none"/>
          <w:lang w:val="en-US" w:eastAsia="zh-CN"/>
        </w:rPr>
        <w:t>运兵车A</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饮食保障车</w:t>
      </w:r>
      <w:r>
        <w:rPr>
          <w:rFonts w:hint="eastAsia" w:cs="宋体"/>
          <w:color w:val="auto"/>
          <w:sz w:val="24"/>
          <w:szCs w:val="24"/>
          <w:highlight w:val="none"/>
          <w:lang w:val="en-US" w:eastAsia="zh-CN"/>
        </w:rPr>
        <w:t>具体详见招标文件。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合同履约期限：</w:t>
      </w:r>
      <w:r>
        <w:rPr>
          <w:rFonts w:hint="eastAsia" w:ascii="宋体" w:hAnsi="宋体" w:cs="宋体"/>
          <w:color w:val="auto"/>
          <w:sz w:val="24"/>
          <w:szCs w:val="24"/>
          <w:highlight w:val="none"/>
          <w:lang w:val="en-US" w:eastAsia="zh-CN"/>
        </w:rPr>
        <w:t>签订合同后90日内交付货物、安装并完成调试，采购人7日内组织初验，通过采购人初验后，试运行1个月，所供货物使用正常，满足采购人需求，采购人7日内出具最终验收意见。</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本项目（否）接受联合体投标。</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仿宋_GB2312" w:hAnsi="仿宋_GB2312" w:eastAsia="仿宋_GB2312" w:cs="仿宋_GB2312"/>
          <w:b/>
          <w:bCs/>
          <w:color w:val="auto"/>
          <w:sz w:val="24"/>
          <w:szCs w:val="24"/>
          <w:highlight w:val="none"/>
        </w:rPr>
      </w:pPr>
      <w:bookmarkStart w:id="23" w:name="_Toc6535"/>
      <w:r>
        <w:rPr>
          <w:rFonts w:hint="eastAsia" w:ascii="仿宋_GB2312" w:hAnsi="仿宋_GB2312" w:eastAsia="仿宋_GB2312" w:cs="仿宋_GB2312"/>
          <w:b/>
          <w:bCs/>
          <w:color w:val="auto"/>
          <w:sz w:val="24"/>
          <w:szCs w:val="24"/>
          <w:highlight w:val="none"/>
        </w:rPr>
        <w:t>申请人的资格要求：</w:t>
      </w:r>
      <w:bookmarkEnd w:id="23"/>
    </w:p>
    <w:p>
      <w:pPr>
        <w:spacing w:line="460" w:lineRule="exact"/>
        <w:ind w:firstLine="480" w:firstLineChars="200"/>
        <w:jc w:val="left"/>
        <w:rPr>
          <w:rFonts w:hint="eastAsia" w:ascii="仿宋_GB2312" w:hAnsi="仿宋_GB2312" w:eastAsia="仿宋_GB2312" w:cs="仿宋_GB2312"/>
          <w:b/>
          <w:bCs/>
          <w:color w:val="auto"/>
          <w:sz w:val="24"/>
          <w:szCs w:val="24"/>
          <w:highlight w:val="none"/>
        </w:rPr>
      </w:pPr>
      <w:r>
        <w:rPr>
          <w:rFonts w:hint="eastAsia" w:ascii="宋体" w:hAnsi="宋体" w:cs="宋体"/>
          <w:color w:val="auto"/>
          <w:sz w:val="24"/>
          <w:szCs w:val="24"/>
          <w:highlight w:val="none"/>
          <w:lang w:val="zh-CN"/>
        </w:rPr>
        <w:t>1.满足《中华人民共和国政府采购法》第二十二条规定；</w:t>
      </w:r>
    </w:p>
    <w:p>
      <w:pPr>
        <w:spacing w:line="460" w:lineRule="exact"/>
        <w:ind w:firstLine="480" w:firstLineChars="200"/>
        <w:jc w:val="left"/>
        <w:rPr>
          <w:rFonts w:ascii="宋体" w:hAnsi="宋体" w:cs="宋体"/>
          <w:color w:val="auto"/>
          <w:sz w:val="24"/>
          <w:szCs w:val="24"/>
          <w:highlight w:val="none"/>
          <w:lang w:val="zh-CN"/>
        </w:rPr>
      </w:pPr>
      <w:bookmarkStart w:id="24" w:name="_Toc11484"/>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.落实政府采购政策需满足的资格要求：1）本项目非专门面向中小企业采购，</w:t>
      </w:r>
      <w:r>
        <w:rPr>
          <w:rFonts w:hint="eastAsia" w:ascii="宋体" w:hAnsi="宋体" w:cs="宋体"/>
          <w:color w:val="auto"/>
          <w:sz w:val="24"/>
          <w:szCs w:val="24"/>
          <w:highlight w:val="none"/>
          <w:lang w:val="zh-CN" w:eastAsia="zh-CN"/>
        </w:rPr>
        <w:t>供应商所提供货物的制造商为小型、微型企业的，给予10%的价格扣除</w:t>
      </w:r>
      <w:r>
        <w:rPr>
          <w:rFonts w:hint="eastAsia" w:ascii="宋体" w:hAnsi="宋体" w:cs="宋体"/>
          <w:color w:val="auto"/>
          <w:sz w:val="24"/>
          <w:szCs w:val="24"/>
          <w:highlight w:val="none"/>
          <w:lang w:val="zh-CN"/>
        </w:rPr>
        <w:t>；2）落实《关于调整优化节能产品、环境标志产品政府采购执行机制的通知》（财库[2019]9号）、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pPr>
        <w:spacing w:line="460" w:lineRule="exact"/>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.本项目的特定资格要求：</w:t>
      </w:r>
    </w:p>
    <w:p>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3.1与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存在利害关系可能影响招标公正性的法人、其他组织或者个人，不得参加同一标段投标或者未划分标段的同一招标不得参加投标；</w:t>
      </w:r>
    </w:p>
    <w:p>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负责人为同一人或者存在控股、管理关系的不同单位，不得同时参加本项目的投标；</w:t>
      </w:r>
    </w:p>
    <w:p>
      <w:pPr>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3.3 根据《财政部关于在政府采购活动中查询及使用信用记录有关问题的通知》（财库﹝2016﹞125号）的要求，凡拟参加本次招标项目的投标供应商，如在“信用中国”网（www.creditchina.gov.cn）、中国政府采购网（www.ccgp.gov.cn）列入失信被执行人、</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、政府采购严重违法失信行为记录名单的（尚在处罚期内的），将拒绝其参加本次项目投标；</w:t>
      </w:r>
    </w:p>
    <w:p>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4.本项目不接受联合体投标。</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三、获取招标文件</w:t>
      </w:r>
      <w:bookmarkEnd w:id="24"/>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日，每天上午0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:00至12:00，下午12:00至</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地点：政采云平台（https://www.zcygov.cn/）</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售价（元）：0元</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宋体" w:hAnsi="宋体" w:eastAsia="宋体" w:cs="宋体"/>
          <w:b/>
          <w:bCs/>
          <w:color w:val="auto"/>
          <w:sz w:val="24"/>
          <w:szCs w:val="24"/>
          <w:highlight w:val="none"/>
        </w:rPr>
      </w:pPr>
      <w:bookmarkStart w:id="25" w:name="_Toc25587"/>
      <w:r>
        <w:rPr>
          <w:rFonts w:hint="eastAsia" w:ascii="宋体" w:hAnsi="宋体" w:eastAsia="宋体" w:cs="宋体"/>
          <w:b/>
          <w:bCs/>
          <w:color w:val="auto"/>
          <w:sz w:val="24"/>
          <w:szCs w:val="24"/>
          <w:highlight w:val="none"/>
        </w:rPr>
        <w:t>四、提交投标文件截止时间、开标时间和地点</w:t>
      </w:r>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4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11:00（北京时间）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投标地点：政采云平台（https://www.zcygov.cn/），本项目采用不见面开标，加密的电子投标文件在投标截止时间前在政采云平台上传。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4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11:00（北京时间）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开标地点：政采云平台（https://www.zcygov.cn/）不见面开标系统</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宋体" w:hAnsi="宋体" w:eastAsia="宋体" w:cs="宋体"/>
          <w:b/>
          <w:bCs/>
          <w:color w:val="auto"/>
          <w:sz w:val="24"/>
          <w:szCs w:val="24"/>
          <w:highlight w:val="none"/>
        </w:rPr>
      </w:pPr>
      <w:bookmarkStart w:id="26" w:name="_Toc13916"/>
      <w:r>
        <w:rPr>
          <w:rFonts w:hint="eastAsia" w:ascii="宋体" w:hAnsi="宋体" w:eastAsia="宋体" w:cs="宋体"/>
          <w:b/>
          <w:bCs/>
          <w:color w:val="auto"/>
          <w:sz w:val="24"/>
          <w:szCs w:val="24"/>
          <w:highlight w:val="none"/>
        </w:rPr>
        <w:t>五、公告期限</w:t>
      </w:r>
      <w:bookmarkEnd w:id="26"/>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宋体" w:hAnsi="宋体" w:eastAsia="宋体" w:cs="宋体"/>
          <w:b/>
          <w:bCs/>
          <w:color w:val="auto"/>
          <w:sz w:val="24"/>
          <w:szCs w:val="24"/>
          <w:highlight w:val="none"/>
        </w:rPr>
      </w:pPr>
      <w:bookmarkStart w:id="27" w:name="_Toc14151"/>
      <w:r>
        <w:rPr>
          <w:rFonts w:hint="eastAsia" w:ascii="宋体" w:hAnsi="宋体" w:eastAsia="宋体" w:cs="宋体"/>
          <w:b/>
          <w:bCs/>
          <w:color w:val="auto"/>
          <w:sz w:val="24"/>
          <w:szCs w:val="24"/>
          <w:highlight w:val="none"/>
        </w:rPr>
        <w:t>六、其他补充事宜</w:t>
      </w:r>
      <w:bookmarkEnd w:id="27"/>
    </w:p>
    <w:p>
      <w:pPr>
        <w:pStyle w:val="36"/>
        <w:spacing w:before="75" w:beforeAutospacing="0" w:after="75" w:afterAutospacing="0" w:line="360" w:lineRule="auto"/>
        <w:ind w:firstLine="480"/>
        <w:rPr>
          <w:rFonts w:hint="eastAsia" w:ascii="宋体" w:hAnsi="宋体" w:eastAsia="宋体" w:cs="宋体"/>
          <w:color w:val="auto"/>
          <w:highlight w:val="none"/>
          <w:lang w:val="en-US" w:eastAsia="zh-CN"/>
        </w:rPr>
      </w:pPr>
      <w:bookmarkStart w:id="28" w:name="_Toc28291"/>
      <w:r>
        <w:rPr>
          <w:rFonts w:hint="eastAsia" w:ascii="宋体" w:hAnsi="宋体" w:eastAsia="宋体" w:cs="宋体"/>
          <w:color w:val="auto"/>
          <w:highlight w:val="none"/>
          <w:lang w:val="en-US" w:eastAsia="zh-CN"/>
        </w:rPr>
        <w:t>1、本项目采用全流程不见面电子开评标，供应商在开标前应确保成为新疆政府采购网正式注册入库供应商，并完成 CA 数字证书申领。因未注册入库、未办理 CA数字证书等原因造成无法投标或投标失败等后果由供应商自行承担。2、供应商可通过新疆数字证书认证中心官网（https://www.xjca.com.cn/）或下载“新疆政务通”APP 自行进行 CA 数字证书申领，也可与新疆 CA 全疆服务机构联系现场办理 CA 数字证书，具体流程请前往新疆政府采购网（http://www.ccgp-xinjiang.gov.cn/）办事指南模块查看《CA 证书办理操作指南》。3、本项目实行网上投标，采用加密电子投标文件(供应商须使用 CA 加密设备通过政采云电子投标客户端制作投标文件)。</w:t>
      </w:r>
    </w:p>
    <w:p>
      <w:pPr>
        <w:pStyle w:val="36"/>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供应商编制电子投标文件应安装“电子招投标供应商投标客户端”软件，并按照本采购文件和政采云投标客户端的要求编制并加密投标文件。未按规定加密的投标文件，将被电子招投标供应商客户端拒收。“电子招投标供应商投标客户端”请至新疆政府采购网下载专区获取，如有问题可拨打政采云客户服务热线 95763 进行咨询。5、供应商在开标时须使用制作加密电子投标文件所使用的 CA 锁及电脑，电脑须提前配置好浏览器（建议使用谷歌浏览器），以便开标时解锁。</w:t>
      </w:r>
    </w:p>
    <w:p>
      <w:pPr>
        <w:pStyle w:val="36"/>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6、供应商对不见面开评 标 系 统 的 技 术 操 作 咨 询 ， 可 通 过https://edu.zcygov.cn/luban/xinjiang-e-biding 自助查询，也可在政采云帮助中心 常 见 问 题 解 答 和 操 作 流 程 讲 解 视 频 中 自 助 查 询 ， 网 址 为 ：</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"https://service.zcygov.cn/#/help，\“项目采购\”—\“操作流程-电子招投标\”—\“政府采购项目电子交易管理操作指南-供应商\”版面获取操作指南。"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https://service.zcygov.cn/#/help，“项目采购”—“操作流程-电子招投标”—“政府采购项目电子交易管理操作指南-供应商”版面获取操作指南。</w:t>
      </w:r>
      <w:r>
        <w:rPr>
          <w:rFonts w:hint="eastAsia" w:ascii="宋体" w:hAnsi="宋体" w:eastAsia="宋体" w:cs="宋体"/>
          <w:color w:val="auto"/>
          <w:highlight w:val="none"/>
          <w:lang w:val="en-US" w:eastAsia="zh-CN"/>
        </w:rPr>
        <w:fldChar w:fldCharType="end"/>
      </w:r>
    </w:p>
    <w:p>
      <w:pPr>
        <w:pStyle w:val="36"/>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7、为了保证开评标顺利进行，政采云线上开标功能完全实现，供应商开标所使用的电脑设备须具有视频及语音功能。</w:t>
      </w:r>
    </w:p>
    <w:p>
      <w:pPr>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8.本公告同时在新疆政府采购网（http://www.ccgp-xinjiang.gov.cn/）、中国政府采购网（http://www.ccgp.gov.cn/）发布。</w:t>
      </w:r>
    </w:p>
    <w:p>
      <w:pPr>
        <w:pStyle w:val="36"/>
        <w:spacing w:before="75" w:beforeAutospacing="0" w:after="75" w:afterAutospacing="0" w:line="360" w:lineRule="auto"/>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pPr>
        <w:pStyle w:val="36"/>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1、采购限额标准以上，200万元以下的货物和服务采购项目、400万元以下的工程采购项目，适宜由中小企业提供的，采购人应当专门面向中小企业采购。</w:t>
      </w:r>
    </w:p>
    <w:p>
      <w:pPr>
        <w:pStyle w:val="36"/>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Style w:val="36"/>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6"/>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七、对本次采购提出询问，请按以下方式联系</w:t>
      </w:r>
      <w:bookmarkEnd w:id="28"/>
    </w:p>
    <w:p>
      <w:pPr>
        <w:spacing w:line="460" w:lineRule="exact"/>
        <w:ind w:firstLine="720" w:firstLineChars="3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none"/>
        </w:rPr>
        <w:t xml:space="preserve"> 乌鲁木齐市消防救援支队 </w:t>
      </w:r>
      <w:r>
        <w:rPr>
          <w:rFonts w:hint="eastAsia" w:ascii="宋体" w:hAnsi="宋体" w:cs="宋体"/>
          <w:color w:val="auto"/>
          <w:sz w:val="24"/>
          <w:szCs w:val="24"/>
          <w:highlight w:val="none"/>
          <w:u w:val="single"/>
        </w:rPr>
        <w:t xml:space="preserve"> </w:t>
      </w:r>
    </w:p>
    <w:p>
      <w:pPr>
        <w:spacing w:line="46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地    址：乌鲁木齐市水磨沟区</w:t>
      </w:r>
      <w:r>
        <w:rPr>
          <w:rFonts w:hint="eastAsia" w:ascii="宋体" w:hAnsi="宋体" w:cs="宋体"/>
          <w:color w:val="auto"/>
          <w:sz w:val="24"/>
          <w:szCs w:val="24"/>
          <w:highlight w:val="none"/>
          <w:lang w:val="en-US" w:eastAsia="zh-CN"/>
        </w:rPr>
        <w:t>七道湾南路凤起街2166号</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p>
    <w:p>
      <w:pPr>
        <w:spacing w:line="460" w:lineRule="exact"/>
        <w:ind w:firstLine="720" w:firstLineChars="300"/>
        <w:jc w:val="left"/>
        <w:rPr>
          <w:rFonts w:ascii="宋体" w:hAnsi="宋体" w:cs="宋体"/>
          <w:color w:val="auto"/>
          <w:sz w:val="24"/>
          <w:szCs w:val="24"/>
          <w:highlight w:val="none"/>
          <w:u w:val="single"/>
        </w:rPr>
      </w:pPr>
      <w:r>
        <w:rPr>
          <w:rFonts w:hint="eastAsia" w:ascii="宋体" w:hAnsi="宋体" w:cs="宋体"/>
          <w:color w:val="auto"/>
          <w:sz w:val="24"/>
          <w:szCs w:val="24"/>
          <w:highlight w:val="none"/>
          <w:lang w:val="zh-CN"/>
        </w:rPr>
        <w:t>联</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系</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人：邓先生、阴女士</w:t>
      </w:r>
    </w:p>
    <w:p>
      <w:pPr>
        <w:pStyle w:val="128"/>
        <w:widowControl w:val="0"/>
        <w:spacing w:line="460" w:lineRule="exact"/>
        <w:ind w:left="0" w:firstLine="720" w:firstLineChars="300"/>
        <w:rPr>
          <w:rFonts w:ascii="宋体" w:hAnsi="宋体" w:cs="宋体"/>
          <w:color w:val="auto"/>
          <w:kern w:val="2"/>
          <w:highlight w:val="none"/>
          <w:u w:val="single"/>
          <w:lang w:eastAsia="zh-CN" w:bidi="ar-SA"/>
        </w:rPr>
      </w:pPr>
      <w:r>
        <w:rPr>
          <w:rFonts w:hint="eastAsia" w:ascii="宋体" w:hAnsi="宋体" w:cs="宋体"/>
          <w:color w:val="auto"/>
          <w:highlight w:val="none"/>
          <w:lang w:eastAsia="zh-CN"/>
        </w:rPr>
        <w:t>联</w:t>
      </w:r>
      <w:r>
        <w:rPr>
          <w:rFonts w:hint="eastAsia" w:ascii="宋体" w:hAnsi="宋体" w:cs="宋体"/>
          <w:color w:val="auto"/>
          <w:kern w:val="2"/>
          <w:highlight w:val="none"/>
          <w:lang w:eastAsia="zh-CN" w:bidi="ar-SA"/>
        </w:rPr>
        <w:t xml:space="preserve">系方式：18999992360、13699380864 </w:t>
      </w:r>
    </w:p>
    <w:p>
      <w:pPr>
        <w:spacing w:line="46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pPr>
        <w:spacing w:line="460" w:lineRule="exact"/>
        <w:ind w:firstLine="720" w:firstLineChars="3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    称：华春建设工程项目管理有限责任公司</w:t>
      </w:r>
    </w:p>
    <w:p>
      <w:pPr>
        <w:spacing w:line="460" w:lineRule="exact"/>
        <w:ind w:left="1798" w:leftChars="342" w:hanging="1080" w:hangingChars="450"/>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地　　址：新疆乌鲁木齐市水磨沟区浙商大厦15楼1505室</w:t>
      </w:r>
    </w:p>
    <w:p>
      <w:pPr>
        <w:spacing w:line="460" w:lineRule="exact"/>
        <w:ind w:left="1198" w:leftChars="342" w:hanging="480" w:hanging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联</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系</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人：李武涛、王园</w:t>
      </w:r>
    </w:p>
    <w:p>
      <w:pPr>
        <w:spacing w:line="460" w:lineRule="exact"/>
        <w:ind w:left="1198" w:leftChars="342" w:hanging="480" w:hangingChars="200"/>
        <w:jc w:val="left"/>
        <w:rPr>
          <w:rFonts w:hint="eastAsia" w:ascii="宋体" w:hAnsi="宋体" w:eastAsia="宋体" w:cs="宋体"/>
          <w:color w:val="auto"/>
          <w:spacing w:val="10"/>
          <w:sz w:val="24"/>
          <w:szCs w:val="24"/>
          <w:highlight w:val="none"/>
          <w:lang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eastAsia="zh-CN"/>
        </w:rPr>
        <w:t>：18199822872、0991-8897121</w:t>
      </w:r>
    </w:p>
    <w:p>
      <w:pPr>
        <w:spacing w:line="460" w:lineRule="exact"/>
        <w:ind w:left="1174" w:leftChars="342" w:hanging="456" w:hangingChars="200"/>
        <w:jc w:val="left"/>
        <w:rPr>
          <w:rFonts w:ascii="宋体" w:hAnsi="宋体" w:cs="宋体"/>
          <w:color w:val="auto"/>
          <w:spacing w:val="-6"/>
          <w:sz w:val="24"/>
          <w:szCs w:val="24"/>
          <w:highlight w:val="none"/>
          <w:u w:val="single"/>
        </w:rPr>
      </w:pPr>
    </w:p>
    <w:p>
      <w:pPr>
        <w:pStyle w:val="128"/>
        <w:ind w:left="432" w:right="130"/>
        <w:jc w:val="right"/>
        <w:rPr>
          <w:rFonts w:ascii="宋体" w:hAnsi="宋体" w:cs="宋体"/>
          <w:color w:val="auto"/>
          <w:spacing w:val="10"/>
          <w:highlight w:val="none"/>
          <w:lang w:eastAsia="zh-CN"/>
        </w:rPr>
      </w:pPr>
      <w:r>
        <w:rPr>
          <w:rFonts w:hint="eastAsia" w:ascii="宋体" w:hAnsi="宋体" w:cs="宋体"/>
          <w:color w:val="auto"/>
          <w:spacing w:val="10"/>
          <w:highlight w:val="none"/>
          <w:lang w:val="en-US" w:eastAsia="zh-CN"/>
        </w:rPr>
        <w:t>2024</w:t>
      </w:r>
      <w:r>
        <w:rPr>
          <w:rFonts w:hint="eastAsia" w:ascii="宋体" w:hAnsi="宋体" w:cs="宋体"/>
          <w:color w:val="auto"/>
          <w:spacing w:val="10"/>
          <w:highlight w:val="none"/>
          <w:lang w:eastAsia="zh-CN"/>
        </w:rPr>
        <w:t>年</w:t>
      </w:r>
      <w:r>
        <w:rPr>
          <w:rFonts w:hint="eastAsia" w:ascii="宋体" w:hAnsi="宋体" w:cs="宋体"/>
          <w:color w:val="auto"/>
          <w:spacing w:val="10"/>
          <w:highlight w:val="none"/>
          <w:lang w:val="en-US" w:eastAsia="zh-CN"/>
        </w:rPr>
        <w:t xml:space="preserve">03 </w:t>
      </w:r>
      <w:r>
        <w:rPr>
          <w:rFonts w:hint="eastAsia" w:ascii="宋体" w:hAnsi="宋体" w:cs="宋体"/>
          <w:color w:val="auto"/>
          <w:spacing w:val="10"/>
          <w:highlight w:val="none"/>
          <w:lang w:eastAsia="zh-CN"/>
        </w:rPr>
        <w:t>月</w:t>
      </w:r>
      <w:r>
        <w:rPr>
          <w:rFonts w:hint="eastAsia" w:ascii="宋体" w:hAnsi="宋体" w:cs="宋体"/>
          <w:color w:val="auto"/>
          <w:spacing w:val="10"/>
          <w:highlight w:val="none"/>
          <w:lang w:val="en-US" w:eastAsia="zh-CN"/>
        </w:rPr>
        <w:t xml:space="preserve">29 </w:t>
      </w:r>
      <w:r>
        <w:rPr>
          <w:rFonts w:hint="eastAsia" w:ascii="宋体" w:hAnsi="宋体" w:cs="宋体"/>
          <w:color w:val="auto"/>
          <w:spacing w:val="10"/>
          <w:highlight w:val="none"/>
          <w:lang w:eastAsia="zh-CN"/>
        </w:rPr>
        <w:t>日</w:t>
      </w:r>
    </w:p>
    <w:p>
      <w:pPr>
        <w:jc w:val="right"/>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br w:type="page"/>
      </w:r>
    </w:p>
    <w:bookmarkEnd w:id="14"/>
    <w:p>
      <w:pPr>
        <w:pStyle w:val="3"/>
        <w:rPr>
          <w:color w:val="auto"/>
          <w:highlight w:val="none"/>
        </w:rPr>
      </w:pPr>
      <w:bookmarkStart w:id="29" w:name="_Toc120614213"/>
      <w:bookmarkStart w:id="30" w:name="_Toc513029202"/>
      <w:bookmarkStart w:id="31" w:name="_Toc9359"/>
      <w:bookmarkStart w:id="32" w:name="_Toc16938518"/>
      <w:bookmarkStart w:id="33" w:name="_Toc13939"/>
      <w:bookmarkStart w:id="34" w:name="_Toc26763"/>
      <w:bookmarkStart w:id="35" w:name="_Toc20823274"/>
      <w:r>
        <w:rPr>
          <w:rFonts w:hint="eastAsia"/>
          <w:color w:val="auto"/>
          <w:highlight w:val="none"/>
        </w:rPr>
        <w:t xml:space="preserve">第二章 </w:t>
      </w:r>
      <w:r>
        <w:rPr>
          <w:rFonts w:hint="eastAsia"/>
          <w:color w:val="auto"/>
          <w:highlight w:val="none"/>
          <w:lang w:eastAsia="zh-CN"/>
        </w:rPr>
        <w:t>供应商</w:t>
      </w:r>
      <w:r>
        <w:rPr>
          <w:rFonts w:hint="eastAsia"/>
          <w:color w:val="auto"/>
          <w:highlight w:val="none"/>
        </w:rPr>
        <w:t>须知</w:t>
      </w:r>
      <w:bookmarkEnd w:id="15"/>
      <w:bookmarkEnd w:id="29"/>
      <w:bookmarkEnd w:id="30"/>
      <w:bookmarkEnd w:id="31"/>
      <w:bookmarkEnd w:id="32"/>
      <w:bookmarkEnd w:id="33"/>
      <w:bookmarkEnd w:id="34"/>
      <w:bookmarkEnd w:id="35"/>
    </w:p>
    <w:p>
      <w:pPr>
        <w:pStyle w:val="5"/>
        <w:rPr>
          <w:color w:val="auto"/>
          <w:highlight w:val="none"/>
        </w:rPr>
      </w:pPr>
      <w:bookmarkStart w:id="36" w:name="_Toc21065"/>
      <w:bookmarkStart w:id="37" w:name="_Toc19352"/>
      <w:bookmarkStart w:id="38" w:name="_Toc534725606"/>
      <w:r>
        <w:rPr>
          <w:rFonts w:hint="eastAsia"/>
          <w:color w:val="auto"/>
          <w:highlight w:val="none"/>
        </w:rPr>
        <w:t xml:space="preserve">一、总  </w:t>
      </w:r>
      <w:bookmarkStart w:id="39" w:name="_Toc9510635"/>
      <w:r>
        <w:rPr>
          <w:rFonts w:hint="eastAsia"/>
          <w:color w:val="auto"/>
          <w:highlight w:val="none"/>
        </w:rPr>
        <w:t>则</w:t>
      </w:r>
      <w:bookmarkEnd w:id="36"/>
      <w:bookmarkEnd w:id="37"/>
    </w:p>
    <w:p>
      <w:pPr>
        <w:pStyle w:val="6"/>
        <w:rPr>
          <w:color w:val="auto"/>
          <w:highlight w:val="none"/>
        </w:rPr>
      </w:pPr>
      <w:bookmarkStart w:id="40" w:name="_Toc26214"/>
      <w:r>
        <w:rPr>
          <w:rFonts w:hint="eastAsia"/>
          <w:color w:val="auto"/>
          <w:highlight w:val="none"/>
        </w:rPr>
        <w:t>1、适用</w:t>
      </w:r>
      <w:bookmarkEnd w:id="39"/>
      <w:r>
        <w:rPr>
          <w:rFonts w:hint="eastAsia"/>
          <w:color w:val="auto"/>
          <w:highlight w:val="none"/>
        </w:rPr>
        <w:t>范围</w:t>
      </w:r>
      <w:bookmarkEnd w:id="40"/>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本招标文件适用于</w:t>
      </w:r>
      <w:r>
        <w:rPr>
          <w:rFonts w:hint="eastAsia" w:asciiTheme="majorEastAsia" w:hAnsiTheme="majorEastAsia" w:eastAsiaTheme="majorEastAsia" w:cstheme="majorEastAsia"/>
          <w:bCs/>
          <w:color w:val="auto"/>
          <w:sz w:val="24"/>
          <w:szCs w:val="24"/>
          <w:highlight w:val="none"/>
        </w:rPr>
        <w:t>本次采购项目</w:t>
      </w:r>
      <w:r>
        <w:rPr>
          <w:rFonts w:hint="eastAsia" w:asciiTheme="majorEastAsia" w:hAnsiTheme="majorEastAsia" w:eastAsiaTheme="majorEastAsia" w:cstheme="majorEastAsia"/>
          <w:color w:val="auto"/>
          <w:sz w:val="24"/>
          <w:szCs w:val="24"/>
          <w:highlight w:val="none"/>
        </w:rPr>
        <w:t>的招标、投标、评标、定标、验收、合同履约、付款等行为（法律、法规另有规定的，从其规定）。</w:t>
      </w:r>
    </w:p>
    <w:p>
      <w:pPr>
        <w:pStyle w:val="6"/>
        <w:rPr>
          <w:color w:val="auto"/>
          <w:highlight w:val="none"/>
        </w:rPr>
      </w:pPr>
      <w:bookmarkStart w:id="41" w:name="_Toc24800"/>
      <w:r>
        <w:rPr>
          <w:rFonts w:hint="eastAsia"/>
          <w:color w:val="auto"/>
          <w:highlight w:val="none"/>
        </w:rPr>
        <w:t>2、定义</w:t>
      </w:r>
      <w:bookmarkEnd w:id="41"/>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 招标采购单位（采购人）系指采购单位。</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2.2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”系指向采购方提交投标文件的法人、其他组织或者自然人。</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 “产品”系指供方按招标文件规定，须向采购人提供的一切设备、保险、税金、备品备件、工具、手册及其它有关技术资料和材料。</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 “服务”系指招标文件规定</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须承担的安装、调试、技术协助、校准、培训、技术指导以及其他类似的义务。</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2.5 “项目”系指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按招标文件规定向采购人提供的产品和服务。</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 “书面形式”包括信函、传真、电子邮件等。</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2.7实质性响应:系指投标文件符合招标文件规定的实质性内容、条件和规定。</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2.8重大偏离或保留：系指将会影响到招标文件规定的服务范围、质量标准，或会给合同中规定的</w:t>
      </w:r>
      <w:r>
        <w:rPr>
          <w:rFonts w:hint="eastAsia" w:asciiTheme="majorEastAsia" w:hAnsiTheme="majorEastAsia" w:eastAsiaTheme="majorEastAsia" w:cstheme="majorEastAsia"/>
          <w:color w:val="auto"/>
          <w:sz w:val="24"/>
          <w:szCs w:val="24"/>
          <w:highlight w:val="none"/>
          <w:lang w:eastAsia="zh-CN"/>
        </w:rPr>
        <w:t>采购人</w:t>
      </w:r>
      <w:r>
        <w:rPr>
          <w:rFonts w:hint="eastAsia" w:asciiTheme="majorEastAsia" w:hAnsiTheme="majorEastAsia" w:eastAsiaTheme="majorEastAsia" w:cstheme="majorEastAsia"/>
          <w:color w:val="auto"/>
          <w:sz w:val="24"/>
          <w:szCs w:val="24"/>
          <w:highlight w:val="none"/>
        </w:rPr>
        <w:t>的权利和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的责任造成实质性限制，而纠正这些偏离或保留将对其他提交了实质性响应的投标文件的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产生不公平影响的。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 细微偏离：系指投标文件对招标文件的非实质性内容存在不完全响应或不响应。</w:t>
      </w:r>
    </w:p>
    <w:p>
      <w:pPr>
        <w:pStyle w:val="6"/>
        <w:rPr>
          <w:color w:val="auto"/>
          <w:highlight w:val="none"/>
        </w:rPr>
      </w:pPr>
      <w:bookmarkStart w:id="42" w:name="_Toc17392"/>
      <w:r>
        <w:rPr>
          <w:rFonts w:hint="eastAsia"/>
          <w:color w:val="auto"/>
          <w:highlight w:val="none"/>
        </w:rPr>
        <w:t>3、招标方式</w:t>
      </w:r>
      <w:bookmarkEnd w:id="42"/>
    </w:p>
    <w:p>
      <w:pPr>
        <w:adjustRightInd w:val="0"/>
        <w:snapToGrid w:val="0"/>
        <w:spacing w:line="4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本项目采用公开招标方式进行。</w:t>
      </w:r>
    </w:p>
    <w:p>
      <w:pPr>
        <w:pStyle w:val="6"/>
        <w:numPr>
          <w:ilvl w:val="0"/>
          <w:numId w:val="11"/>
        </w:numPr>
        <w:rPr>
          <w:rFonts w:hint="eastAsia"/>
          <w:color w:val="auto"/>
          <w:highlight w:val="none"/>
        </w:rPr>
      </w:pPr>
      <w:bookmarkStart w:id="43" w:name="_Toc32376"/>
      <w:r>
        <w:rPr>
          <w:rFonts w:hint="eastAsia"/>
          <w:color w:val="auto"/>
          <w:highlight w:val="none"/>
        </w:rPr>
        <w:t>投标委托</w:t>
      </w:r>
      <w:bookmarkEnd w:id="43"/>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本项目采用远程不见面交易的模式。开标当日，供应商无需到达开标现场，仅需登录“政采云”平台 (https://www.zcygov.cn/)开标大厅完成远程解密、提疑澄清、开标唱标、结果公布等交互环节。</w:t>
      </w:r>
    </w:p>
    <w:p>
      <w:pPr>
        <w:pStyle w:val="6"/>
        <w:rPr>
          <w:color w:val="auto"/>
          <w:highlight w:val="none"/>
        </w:rPr>
      </w:pPr>
      <w:bookmarkStart w:id="44" w:name="_Toc21031"/>
      <w:r>
        <w:rPr>
          <w:rFonts w:hint="eastAsia"/>
          <w:color w:val="auto"/>
          <w:highlight w:val="none"/>
        </w:rPr>
        <w:t>5、投标费用</w:t>
      </w:r>
      <w:bookmarkEnd w:id="44"/>
    </w:p>
    <w:p>
      <w:pPr>
        <w:adjustRightInd w:val="0"/>
        <w:snapToGrid w:val="0"/>
        <w:spacing w:line="4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不论投标结果如何，</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均应自行承担所有与投标有关的全部费用。</w:t>
      </w:r>
    </w:p>
    <w:p>
      <w:pPr>
        <w:pStyle w:val="6"/>
        <w:rPr>
          <w:color w:val="auto"/>
          <w:highlight w:val="none"/>
        </w:rPr>
      </w:pPr>
      <w:bookmarkStart w:id="45" w:name="_Toc505"/>
      <w:r>
        <w:rPr>
          <w:rFonts w:hint="eastAsia"/>
          <w:color w:val="auto"/>
          <w:highlight w:val="none"/>
        </w:rPr>
        <w:t>6、分包转包</w:t>
      </w:r>
      <w:bookmarkEnd w:id="45"/>
    </w:p>
    <w:p>
      <w:pPr>
        <w:adjustRightInd w:val="0"/>
        <w:snapToGrid w:val="0"/>
        <w:spacing w:line="4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本项目不允许分包和转包。</w:t>
      </w:r>
    </w:p>
    <w:p>
      <w:pPr>
        <w:pStyle w:val="6"/>
        <w:rPr>
          <w:color w:val="auto"/>
          <w:highlight w:val="none"/>
        </w:rPr>
      </w:pPr>
      <w:bookmarkStart w:id="46" w:name="_Toc5076"/>
      <w:r>
        <w:rPr>
          <w:rFonts w:hint="eastAsia"/>
          <w:color w:val="auto"/>
          <w:highlight w:val="none"/>
        </w:rPr>
        <w:t>7、提供相同品牌产品处理</w:t>
      </w:r>
      <w:bookmarkEnd w:id="46"/>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提供相同品牌产品且通过资格审查、符合性审查的不同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参加同一合同项下投标的，按一家</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计算，评审后得分最高的同品牌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获得中标人推荐资格；评审得分相同的，商务部分得分最高的获得中标人推荐资格，商务部分得分相同的采取随机抽取方式确定，其他同品牌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 xml:space="preserve">不作为中标候选人。 </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非单一产品采购项目，采购人应当根据采购项目技术构成、产品价格比重等合理确定核心产品，并在招标文件中载明。多家</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提供的任一核心产品品牌相同的，按前款规定处理。</w:t>
      </w:r>
    </w:p>
    <w:p>
      <w:pPr>
        <w:pStyle w:val="6"/>
        <w:rPr>
          <w:color w:val="auto"/>
          <w:highlight w:val="none"/>
        </w:rPr>
      </w:pPr>
      <w:bookmarkStart w:id="47" w:name="_Toc21631"/>
      <w:r>
        <w:rPr>
          <w:rFonts w:hint="eastAsia"/>
          <w:color w:val="auto"/>
          <w:highlight w:val="none"/>
        </w:rPr>
        <w:t>8、特别说明：</w:t>
      </w:r>
      <w:bookmarkEnd w:id="47"/>
    </w:p>
    <w:p>
      <w:pPr>
        <w:adjustRightInd w:val="0"/>
        <w:snapToGrid w:val="0"/>
        <w:spacing w:line="500" w:lineRule="exact"/>
        <w:ind w:firstLine="470"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8.1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投标所使用的资格、信誉、荣誉、业绩与认证证书必须为本法人（其他组织、个人）所拥有。</w:t>
      </w:r>
    </w:p>
    <w:p>
      <w:pPr>
        <w:adjustRightInd w:val="0"/>
        <w:snapToGrid w:val="0"/>
        <w:spacing w:line="500" w:lineRule="exact"/>
        <w:ind w:left="2" w:leftChars="1"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8.2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应仔细阅读招标文件的所有内容，按照招标文件的要求提交投标文件，并对所提供的全部资料的真实性承担法律责任。</w:t>
      </w:r>
    </w:p>
    <w:p>
      <w:pPr>
        <w:adjustRightInd w:val="0"/>
        <w:snapToGrid w:val="0"/>
        <w:spacing w:line="500" w:lineRule="exact"/>
        <w:ind w:left="2" w:leftChars="1"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8.3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在投标活动中提供任何虚假材料,其投标无效，并报监管部门查处；中标后发现的,中标人须依照《中华人民共和国消费者权益保护法》第</w:t>
      </w:r>
      <w:r>
        <w:rPr>
          <w:rFonts w:hint="eastAsia" w:asciiTheme="majorEastAsia" w:hAnsiTheme="majorEastAsia" w:eastAsiaTheme="majorEastAsia" w:cstheme="majorEastAsia"/>
          <w:color w:val="auto"/>
          <w:sz w:val="24"/>
          <w:szCs w:val="24"/>
          <w:highlight w:val="none"/>
          <w:lang w:val="en-US" w:eastAsia="zh-CN"/>
        </w:rPr>
        <w:t>五十五</w:t>
      </w:r>
      <w:r>
        <w:rPr>
          <w:rFonts w:hint="eastAsia" w:asciiTheme="majorEastAsia" w:hAnsiTheme="majorEastAsia" w:eastAsiaTheme="majorEastAsia" w:cstheme="majorEastAsia"/>
          <w:color w:val="auto"/>
          <w:sz w:val="24"/>
          <w:szCs w:val="24"/>
          <w:highlight w:val="none"/>
        </w:rPr>
        <w:t>条之规定赔偿采购人，且民事赔偿并不免除违法</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的行政与刑事责任。</w:t>
      </w:r>
    </w:p>
    <w:p>
      <w:pPr>
        <w:pStyle w:val="6"/>
        <w:rPr>
          <w:color w:val="auto"/>
          <w:highlight w:val="none"/>
        </w:rPr>
      </w:pPr>
      <w:bookmarkStart w:id="48" w:name="_Toc24888"/>
      <w:r>
        <w:rPr>
          <w:rFonts w:hint="eastAsia"/>
          <w:color w:val="auto"/>
          <w:highlight w:val="none"/>
        </w:rPr>
        <w:t>9、质疑</w:t>
      </w:r>
      <w:bookmarkEnd w:id="48"/>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9.1供应商认为招标文件、采购过程和中标、成交结果使自己的权益受到损害的，可以在知道或者应知其权益受到损害之日起七个工作日内，以书面形式向采购人提出质疑。</w:t>
      </w:r>
      <w:r>
        <w:rPr>
          <w:rFonts w:hint="eastAsia" w:asciiTheme="majorEastAsia" w:hAnsiTheme="majorEastAsia" w:eastAsiaTheme="majorEastAsia" w:cstheme="majorEastAsia"/>
          <w:bCs/>
          <w:color w:val="auto"/>
          <w:sz w:val="24"/>
          <w:szCs w:val="24"/>
          <w:highlight w:val="none"/>
          <w:lang w:val="en-US" w:eastAsia="zh-CN"/>
        </w:rPr>
        <w:t>供应商应在法定质疑期内一次性提出针对同一采购程序环节的质疑。</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9.2 质疑、投诉应当采用书面形式，质疑书、投诉书均应明确阐述招标文件、招标过程或中标结果中使自己合法权益受到损害的实质性内容，提供相关事实、依据和证据及其来源或线索，便于有关单位调查、答复和处理。</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9.3质疑（投诉）书应载明质疑（投诉）人全称、地址、邮编、传真、联系人、联系电话，电子邮箱。</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可以委托代理人进行质疑和投诉，其授权委托书应当载明代理人的姓名或者名称、代理事项、具体权限、期限和相关事项。</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为自然人的，应当由本人签字；</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为法人或者其他组织的，应当由法定代表人、主要负责人签字或者盖章，并加盖公章。</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委托代理人提出质疑（投诉），应当提交供应商签署的授权委托书。质疑（投诉）书必须有联系人署名。（质疑函格式见本文件质疑函范本）</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9.4接收质疑函的形式：书面方式</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质疑函接收部门：华春建设工程项目管理有限责任公司</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联系人：李武涛、王园 </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联系电话：1819982287 </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通讯地址：</w:t>
      </w:r>
      <w:r>
        <w:rPr>
          <w:rFonts w:hint="eastAsia" w:asciiTheme="majorEastAsia" w:hAnsiTheme="majorEastAsia" w:eastAsiaTheme="majorEastAsia" w:cstheme="majorEastAsia"/>
          <w:bCs/>
          <w:color w:val="auto"/>
          <w:sz w:val="24"/>
          <w:szCs w:val="24"/>
          <w:highlight w:val="none"/>
        </w:rPr>
        <w:t>新疆乌鲁木齐市水磨沟区浙商大厦15楼1505室</w:t>
      </w:r>
      <w:bookmarkStart w:id="49" w:name="_Toc12925"/>
      <w:bookmarkStart w:id="50" w:name="_Toc31383"/>
    </w:p>
    <w:bookmarkEnd w:id="49"/>
    <w:bookmarkEnd w:id="50"/>
    <w:p>
      <w:pPr>
        <w:pStyle w:val="5"/>
        <w:rPr>
          <w:rFonts w:hint="eastAsia" w:eastAsia="宋体"/>
          <w:color w:val="auto"/>
          <w:highlight w:val="none"/>
        </w:rPr>
      </w:pPr>
      <w:bookmarkStart w:id="51" w:name="_Toc9510636"/>
      <w:r>
        <w:rPr>
          <w:rFonts w:hint="eastAsia" w:eastAsia="宋体"/>
          <w:color w:val="auto"/>
          <w:highlight w:val="none"/>
          <w:lang w:val="en-US" w:eastAsia="zh-CN"/>
        </w:rPr>
        <w:t>二、招标文件</w:t>
      </w:r>
      <w:bookmarkStart w:id="52" w:name="_Toc11465"/>
    </w:p>
    <w:p>
      <w:pPr>
        <w:numPr>
          <w:ilvl w:val="0"/>
          <w:numId w:val="0"/>
        </w:numPr>
        <w:adjustRightInd w:val="0"/>
        <w:snapToGrid w:val="0"/>
        <w:spacing w:line="500" w:lineRule="exact"/>
        <w:ind w:leftChars="0"/>
        <w:rPr>
          <w:rFonts w:hint="eastAsia" w:ascii="Times New Roman" w:hAnsi="Times New Roman" w:eastAsia="宋体" w:cs="Times New Roman"/>
          <w:b/>
          <w:bCs/>
          <w:color w:val="auto"/>
          <w:kern w:val="2"/>
          <w:sz w:val="28"/>
          <w:szCs w:val="32"/>
          <w:highlight w:val="none"/>
          <w:lang w:val="en-US" w:eastAsia="zh-CN" w:bidi="ar-SA"/>
        </w:rPr>
      </w:pPr>
      <w:r>
        <w:rPr>
          <w:rFonts w:hint="eastAsia" w:ascii="Times New Roman" w:hAnsi="Times New Roman" w:eastAsia="宋体" w:cs="Times New Roman"/>
          <w:b/>
          <w:bCs/>
          <w:color w:val="auto"/>
          <w:kern w:val="2"/>
          <w:sz w:val="28"/>
          <w:szCs w:val="32"/>
          <w:highlight w:val="none"/>
          <w:lang w:val="en-US" w:eastAsia="zh-CN" w:bidi="ar-SA"/>
        </w:rPr>
        <w:t>10、</w:t>
      </w:r>
      <w:bookmarkEnd w:id="51"/>
      <w:r>
        <w:rPr>
          <w:rFonts w:hint="eastAsia" w:ascii="Times New Roman" w:hAnsi="Times New Roman" w:eastAsia="宋体" w:cs="Times New Roman"/>
          <w:b/>
          <w:bCs/>
          <w:color w:val="auto"/>
          <w:kern w:val="2"/>
          <w:sz w:val="28"/>
          <w:szCs w:val="32"/>
          <w:highlight w:val="none"/>
          <w:lang w:val="en-US" w:eastAsia="zh-CN" w:bidi="ar-SA"/>
        </w:rPr>
        <w:t>招标文件的构成</w:t>
      </w:r>
      <w:bookmarkEnd w:id="52"/>
      <w:r>
        <w:rPr>
          <w:rFonts w:hint="eastAsia" w:ascii="Times New Roman" w:hAnsi="Times New Roman" w:eastAsia="宋体" w:cs="Times New Roman"/>
          <w:b/>
          <w:bCs/>
          <w:color w:val="auto"/>
          <w:kern w:val="2"/>
          <w:sz w:val="28"/>
          <w:szCs w:val="32"/>
          <w:highlight w:val="none"/>
          <w:lang w:val="en-US" w:eastAsia="zh-CN" w:bidi="ar-SA"/>
        </w:rPr>
        <w:t>（详见本招标文件目录明细）</w:t>
      </w:r>
    </w:p>
    <w:p>
      <w:pPr>
        <w:pStyle w:val="6"/>
        <w:rPr>
          <w:color w:val="auto"/>
          <w:highlight w:val="none"/>
        </w:rPr>
      </w:pPr>
      <w:bookmarkStart w:id="53" w:name="_Toc9329"/>
      <w:r>
        <w:rPr>
          <w:rFonts w:hint="eastAsia"/>
          <w:color w:val="auto"/>
          <w:highlight w:val="none"/>
        </w:rPr>
        <w:t>11、</w:t>
      </w:r>
      <w:r>
        <w:rPr>
          <w:rFonts w:hint="eastAsia"/>
          <w:color w:val="auto"/>
          <w:highlight w:val="none"/>
          <w:lang w:eastAsia="zh-CN"/>
        </w:rPr>
        <w:t>供应商</w:t>
      </w:r>
      <w:r>
        <w:rPr>
          <w:rFonts w:hint="eastAsia"/>
          <w:color w:val="auto"/>
          <w:highlight w:val="none"/>
        </w:rPr>
        <w:t>的风险</w:t>
      </w:r>
      <w:bookmarkEnd w:id="53"/>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没有按照招标文件要求提供全部资料，或者</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没有对招标文件在各方面作出实质性响应是</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的风险，并可能导致其投标被拒绝。</w:t>
      </w:r>
    </w:p>
    <w:p>
      <w:pPr>
        <w:pStyle w:val="6"/>
        <w:rPr>
          <w:color w:val="auto"/>
          <w:highlight w:val="none"/>
        </w:rPr>
      </w:pPr>
      <w:bookmarkStart w:id="54" w:name="_Toc14128"/>
      <w:r>
        <w:rPr>
          <w:rFonts w:hint="eastAsia"/>
          <w:color w:val="auto"/>
          <w:highlight w:val="none"/>
        </w:rPr>
        <w:t>1</w:t>
      </w:r>
      <w:bookmarkStart w:id="55" w:name="_Toc9510637"/>
      <w:r>
        <w:rPr>
          <w:rFonts w:hint="eastAsia"/>
          <w:color w:val="auto"/>
          <w:highlight w:val="none"/>
        </w:rPr>
        <w:t>2、招标文件的澄清与修改</w:t>
      </w:r>
      <w:bookmarkEnd w:id="54"/>
    </w:p>
    <w:p>
      <w:pPr>
        <w:spacing w:line="500" w:lineRule="exact"/>
        <w:ind w:firstLine="480" w:firstLineChars="200"/>
        <w:rPr>
          <w:color w:val="auto"/>
          <w:sz w:val="24"/>
          <w:szCs w:val="24"/>
          <w:highlight w:val="none"/>
        </w:rPr>
      </w:pPr>
      <w:r>
        <w:rPr>
          <w:rFonts w:hint="eastAsia"/>
          <w:color w:val="auto"/>
          <w:sz w:val="24"/>
          <w:szCs w:val="24"/>
          <w:highlight w:val="none"/>
        </w:rPr>
        <w:t>12.1采购人或采购代理机构对已发出的招标文件进行必要澄清或者修改的，应当在</w:t>
      </w:r>
      <w:r>
        <w:rPr>
          <w:rFonts w:hint="eastAsia"/>
          <w:color w:val="auto"/>
          <w:sz w:val="24"/>
          <w:szCs w:val="24"/>
          <w:highlight w:val="none"/>
          <w:lang w:eastAsia="zh-CN"/>
        </w:rPr>
        <w:t>供应商</w:t>
      </w:r>
      <w:r>
        <w:rPr>
          <w:rFonts w:hint="eastAsia"/>
          <w:color w:val="auto"/>
          <w:sz w:val="24"/>
          <w:szCs w:val="24"/>
          <w:highlight w:val="none"/>
        </w:rPr>
        <w:t>须知前附表规定的提交投标文件截止时间15日前，在原刊登招标公告的媒体上发布更正公告</w:t>
      </w:r>
      <w:r>
        <w:rPr>
          <w:rFonts w:hint="eastAsia"/>
          <w:color w:val="auto"/>
          <w:sz w:val="24"/>
          <w:szCs w:val="24"/>
          <w:highlight w:val="none"/>
          <w:lang w:eastAsia="zh-CN"/>
        </w:rPr>
        <w:t>，</w:t>
      </w:r>
      <w:r>
        <w:rPr>
          <w:rFonts w:hint="eastAsia"/>
          <w:color w:val="auto"/>
          <w:sz w:val="24"/>
          <w:szCs w:val="24"/>
          <w:highlight w:val="none"/>
        </w:rPr>
        <w:t>因</w:t>
      </w:r>
      <w:r>
        <w:rPr>
          <w:rFonts w:hint="eastAsia"/>
          <w:color w:val="auto"/>
          <w:sz w:val="24"/>
          <w:szCs w:val="24"/>
          <w:highlight w:val="none"/>
          <w:lang w:eastAsia="zh-CN"/>
        </w:rPr>
        <w:t>供应商</w:t>
      </w:r>
      <w:r>
        <w:rPr>
          <w:rFonts w:hint="eastAsia"/>
          <w:color w:val="auto"/>
          <w:sz w:val="24"/>
          <w:szCs w:val="24"/>
          <w:highlight w:val="none"/>
        </w:rPr>
        <w:t>未及时登陆媒体（网站）查看导致通知未及时收到的，采购人或采购代理机构不承担责任。</w:t>
      </w:r>
    </w:p>
    <w:p>
      <w:pPr>
        <w:spacing w:line="500" w:lineRule="exact"/>
        <w:ind w:firstLine="480" w:firstLineChars="200"/>
        <w:rPr>
          <w:color w:val="auto"/>
          <w:sz w:val="24"/>
          <w:szCs w:val="24"/>
          <w:highlight w:val="none"/>
        </w:rPr>
      </w:pPr>
      <w:r>
        <w:rPr>
          <w:rFonts w:hint="eastAsia"/>
          <w:color w:val="auto"/>
          <w:sz w:val="24"/>
          <w:szCs w:val="24"/>
          <w:highlight w:val="none"/>
        </w:rPr>
        <w:t>12.2澄清或者修改的内容可能影响投标文件编制的，采购人或者采购代理机构应当在投标截止时间至少15日前，原刊登招标公告的媒体上发布更正公告</w:t>
      </w:r>
      <w:r>
        <w:rPr>
          <w:rFonts w:hint="eastAsia"/>
          <w:color w:val="auto"/>
          <w:sz w:val="24"/>
          <w:szCs w:val="24"/>
          <w:highlight w:val="none"/>
          <w:lang w:eastAsia="zh-CN"/>
        </w:rPr>
        <w:t>，</w:t>
      </w:r>
      <w:r>
        <w:rPr>
          <w:rFonts w:hint="eastAsia"/>
          <w:color w:val="auto"/>
          <w:sz w:val="24"/>
          <w:szCs w:val="24"/>
          <w:highlight w:val="none"/>
        </w:rPr>
        <w:t>因</w:t>
      </w:r>
      <w:r>
        <w:rPr>
          <w:rFonts w:hint="eastAsia"/>
          <w:color w:val="auto"/>
          <w:sz w:val="24"/>
          <w:szCs w:val="24"/>
          <w:highlight w:val="none"/>
          <w:lang w:eastAsia="zh-CN"/>
        </w:rPr>
        <w:t>供应商</w:t>
      </w:r>
      <w:r>
        <w:rPr>
          <w:rFonts w:hint="eastAsia"/>
          <w:color w:val="auto"/>
          <w:sz w:val="24"/>
          <w:szCs w:val="24"/>
          <w:highlight w:val="none"/>
        </w:rPr>
        <w:t>未及时登陆媒体（网站）查看导致通知未及时收到的，采购人或采购代理机构不承担责任；不足15日的，采购人或者采购代理机构应当顺延提交投标文件的截止时间。</w:t>
      </w:r>
    </w:p>
    <w:p>
      <w:pPr>
        <w:spacing w:line="500" w:lineRule="exact"/>
        <w:ind w:firstLine="480" w:firstLineChars="200"/>
        <w:rPr>
          <w:color w:val="auto"/>
          <w:sz w:val="24"/>
          <w:szCs w:val="24"/>
          <w:highlight w:val="none"/>
        </w:rPr>
      </w:pPr>
      <w:r>
        <w:rPr>
          <w:rFonts w:hint="eastAsia"/>
          <w:color w:val="auto"/>
          <w:sz w:val="24"/>
          <w:szCs w:val="24"/>
          <w:highlight w:val="none"/>
        </w:rPr>
        <w:t>12.3澄清或者修改内容为招标文件的组成部分，对所有领取了招标文件的潜在</w:t>
      </w:r>
      <w:r>
        <w:rPr>
          <w:rFonts w:hint="eastAsia"/>
          <w:color w:val="auto"/>
          <w:sz w:val="24"/>
          <w:szCs w:val="24"/>
          <w:highlight w:val="none"/>
          <w:lang w:eastAsia="zh-CN"/>
        </w:rPr>
        <w:t>供应商</w:t>
      </w:r>
      <w:r>
        <w:rPr>
          <w:rFonts w:hint="eastAsia"/>
          <w:color w:val="auto"/>
          <w:sz w:val="24"/>
          <w:szCs w:val="24"/>
          <w:highlight w:val="none"/>
        </w:rPr>
        <w:t>均具有约束力。</w:t>
      </w:r>
    </w:p>
    <w:p>
      <w:pPr>
        <w:pStyle w:val="5"/>
        <w:rPr>
          <w:rFonts w:hint="eastAsia" w:eastAsia="宋体"/>
          <w:color w:val="auto"/>
          <w:highlight w:val="none"/>
          <w:lang w:val="en-US" w:eastAsia="zh-CN"/>
        </w:rPr>
      </w:pPr>
      <w:bookmarkStart w:id="56" w:name="_Toc25731"/>
      <w:bookmarkStart w:id="57" w:name="_Toc3009"/>
      <w:r>
        <w:rPr>
          <w:rFonts w:hint="eastAsia" w:eastAsia="宋体"/>
          <w:color w:val="auto"/>
          <w:highlight w:val="none"/>
          <w:lang w:val="en-US" w:eastAsia="zh-CN"/>
        </w:rPr>
        <w:t>三、投标文件的编制</w:t>
      </w:r>
      <w:bookmarkEnd w:id="56"/>
      <w:bookmarkEnd w:id="57"/>
    </w:p>
    <w:bookmarkEnd w:id="55"/>
    <w:p>
      <w:pPr>
        <w:adjustRightInd w:val="0"/>
        <w:snapToGrid w:val="0"/>
        <w:spacing w:line="500" w:lineRule="exact"/>
        <w:ind w:firstLine="470"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应认真阅读招标文件中所有的事项、格式、条款和技术要求等内容。如果</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没有按照招标文件的要求和规定编制投标文件及提交全部资料，或者投标文件没有对招标文件中的各方面作出实质性响应，其风险应由</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承担。</w:t>
      </w:r>
    </w:p>
    <w:p>
      <w:pPr>
        <w:pStyle w:val="6"/>
        <w:rPr>
          <w:color w:val="auto"/>
          <w:highlight w:val="none"/>
        </w:rPr>
      </w:pPr>
      <w:bookmarkStart w:id="58" w:name="_Toc29638"/>
      <w:r>
        <w:rPr>
          <w:rFonts w:hint="eastAsia"/>
          <w:color w:val="auto"/>
          <w:highlight w:val="none"/>
        </w:rPr>
        <w:t>13、投标文件的组成</w:t>
      </w:r>
      <w:bookmarkEnd w:id="58"/>
    </w:p>
    <w:p>
      <w:pPr>
        <w:adjustRightInd w:val="0"/>
        <w:snapToGrid w:val="0"/>
        <w:spacing w:line="500" w:lineRule="exact"/>
        <w:ind w:firstLine="470"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投标文件由报价文件、商务技术文件组成。</w:t>
      </w:r>
    </w:p>
    <w:p>
      <w:pPr>
        <w:adjustRightInd w:val="0"/>
        <w:snapToGrid w:val="0"/>
        <w:spacing w:line="500" w:lineRule="exact"/>
        <w:ind w:firstLine="470"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13.1 报价文件</w:t>
      </w:r>
    </w:p>
    <w:p>
      <w:pPr>
        <w:tabs>
          <w:tab w:val="left" w:pos="3870"/>
          <w:tab w:val="left" w:pos="4085"/>
        </w:tabs>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（1）投标函（格式见附件）；</w:t>
      </w:r>
    </w:p>
    <w:p>
      <w:pPr>
        <w:tabs>
          <w:tab w:val="left" w:pos="3870"/>
          <w:tab w:val="left" w:pos="4085"/>
        </w:tabs>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（2）开标一览表（格式见附件）；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（3）投标报价明细表（格式见附件）；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（4）投标保证金缴纳凭证复印件；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针对报价需要说明的其他文件和资料（如有）。</w:t>
      </w:r>
    </w:p>
    <w:p>
      <w:pPr>
        <w:adjustRightInd w:val="0"/>
        <w:snapToGrid w:val="0"/>
        <w:spacing w:line="500" w:lineRule="exact"/>
        <w:ind w:firstLine="470" w:firstLineChars="196"/>
        <w:jc w:val="left"/>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rPr>
        <w:t>13.2商务</w:t>
      </w:r>
      <w:r>
        <w:rPr>
          <w:rFonts w:hint="eastAsia" w:asciiTheme="majorEastAsia" w:hAnsiTheme="majorEastAsia" w:eastAsiaTheme="majorEastAsia" w:cstheme="majorEastAsia"/>
          <w:b/>
          <w:color w:val="auto"/>
          <w:sz w:val="24"/>
          <w:szCs w:val="24"/>
          <w:highlight w:val="none"/>
          <w:lang w:eastAsia="zh-CN"/>
        </w:rPr>
        <w:t>部分</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（1）投标声明书(格式见附件)；</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（2）授权委托书(格式见附件)；</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（3）有效的营业执照（事业单位法人证书、民办非企业单位登记证书、社会团体法人登记证书、基金会法人登记证书、自然人身份证）副本复印件；</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情况介绍（格式见附件）；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2022或2023</w:t>
      </w:r>
      <w:r>
        <w:rPr>
          <w:rFonts w:hint="eastAsia" w:asciiTheme="majorEastAsia" w:hAnsiTheme="majorEastAsia" w:eastAsiaTheme="majorEastAsia" w:cstheme="majorEastAsia"/>
          <w:color w:val="auto"/>
          <w:sz w:val="24"/>
          <w:szCs w:val="24"/>
          <w:highlight w:val="none"/>
        </w:rPr>
        <w:t>年度经审计的财务</w:t>
      </w:r>
      <w:r>
        <w:rPr>
          <w:rFonts w:hint="eastAsia" w:asciiTheme="majorEastAsia" w:hAnsiTheme="majorEastAsia" w:eastAsiaTheme="majorEastAsia" w:cstheme="majorEastAsia"/>
          <w:color w:val="auto"/>
          <w:sz w:val="24"/>
          <w:szCs w:val="24"/>
          <w:highlight w:val="none"/>
          <w:lang w:eastAsia="zh-CN"/>
        </w:rPr>
        <w:t>报告（</w:t>
      </w:r>
      <w:r>
        <w:rPr>
          <w:rFonts w:hint="eastAsia" w:ascii="宋体" w:hAnsi="宋体" w:cs="宋体"/>
          <w:color w:val="auto"/>
          <w:sz w:val="24"/>
          <w:szCs w:val="24"/>
          <w:highlight w:val="none"/>
        </w:rPr>
        <w:t>如供应商注册不满1年提供具有良好的商业信誉和健全的财务会计制度承诺函</w:t>
      </w:r>
      <w:r>
        <w:rPr>
          <w:rFonts w:hint="eastAsia" w:asciiTheme="majorEastAsia" w:hAnsiTheme="majorEastAsia" w:eastAsiaTheme="majorEastAsia" w:cstheme="majorEastAsia"/>
          <w:color w:val="auto"/>
          <w:sz w:val="24"/>
          <w:szCs w:val="24"/>
          <w:highlight w:val="none"/>
          <w:lang w:eastAsia="zh-CN"/>
        </w:rPr>
        <w:t>）</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须具有履行合同所必需的设备和专业技术能力，须附相关证明材料或声明；</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（7）依法缴纳税收和社会保障资金的良好记录；</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）前三年内在经营活动中没有重大违法记录的书面声明（格式见附件）；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未被列入失信被执行人、</w:t>
      </w:r>
      <w:r>
        <w:rPr>
          <w:rFonts w:hint="eastAsia" w:asciiTheme="majorEastAsia" w:hAnsiTheme="majorEastAsia" w:eastAsiaTheme="majorEastAsia" w:cstheme="majorEastAsia"/>
          <w:color w:val="auto"/>
          <w:sz w:val="24"/>
          <w:szCs w:val="24"/>
          <w:highlight w:val="none"/>
          <w:lang w:eastAsia="zh-CN"/>
        </w:rPr>
        <w:t>重大税收违法失信主体</w:t>
      </w:r>
      <w:r>
        <w:rPr>
          <w:rFonts w:hint="eastAsia" w:asciiTheme="majorEastAsia" w:hAnsiTheme="majorEastAsia" w:eastAsiaTheme="majorEastAsia" w:cstheme="majorEastAsia"/>
          <w:color w:val="auto"/>
          <w:sz w:val="24"/>
          <w:szCs w:val="24"/>
          <w:highlight w:val="none"/>
        </w:rPr>
        <w:t>、政府采购严重违法失信行为记录名单</w:t>
      </w:r>
      <w:r>
        <w:rPr>
          <w:rFonts w:hint="eastAsia" w:asciiTheme="majorEastAsia" w:hAnsiTheme="majorEastAsia" w:eastAsiaTheme="majorEastAsia" w:cstheme="majorEastAsia"/>
          <w:color w:val="auto"/>
          <w:sz w:val="24"/>
          <w:szCs w:val="24"/>
          <w:highlight w:val="none"/>
          <w:lang w:eastAsia="zh-CN"/>
        </w:rPr>
        <w:t>；</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已取得的各种有效认证证书、政府部门（企业）或第三方权威鉴定机构出具的信用等级证书或证明复印件；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20</w:t>
      </w:r>
      <w:r>
        <w:rPr>
          <w:rFonts w:hint="eastAsia" w:asciiTheme="majorEastAsia" w:hAnsiTheme="majorEastAsia" w:eastAsiaTheme="majorEastAsia" w:cstheme="majorEastAsia"/>
          <w:color w:val="auto"/>
          <w:sz w:val="24"/>
          <w:szCs w:val="24"/>
          <w:highlight w:val="none"/>
          <w:lang w:val="en-US" w:eastAsia="zh-CN"/>
        </w:rPr>
        <w:t>21</w:t>
      </w:r>
      <w:r>
        <w:rPr>
          <w:rFonts w:hint="eastAsia" w:asciiTheme="majorEastAsia" w:hAnsiTheme="majorEastAsia" w:eastAsiaTheme="majorEastAsia" w:cstheme="majorEastAsia"/>
          <w:color w:val="auto"/>
          <w:sz w:val="24"/>
          <w:szCs w:val="24"/>
          <w:highlight w:val="none"/>
        </w:rPr>
        <w:t>年</w:t>
      </w:r>
      <w:r>
        <w:rPr>
          <w:rFonts w:hint="eastAsia" w:asciiTheme="majorEastAsia" w:hAnsiTheme="majorEastAsia" w:eastAsiaTheme="majorEastAsia" w:cstheme="majorEastAsia"/>
          <w:color w:val="auto"/>
          <w:sz w:val="24"/>
          <w:szCs w:val="24"/>
          <w:highlight w:val="none"/>
          <w:lang w:val="en-US" w:eastAsia="zh-CN"/>
        </w:rPr>
        <w:t>01</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lang w:val="en-US" w:eastAsia="zh-CN"/>
        </w:rPr>
        <w:t>0</w:t>
      </w:r>
      <w:r>
        <w:rPr>
          <w:rFonts w:hint="eastAsia" w:asciiTheme="majorEastAsia" w:hAnsiTheme="majorEastAsia" w:eastAsiaTheme="majorEastAsia" w:cstheme="majorEastAsia"/>
          <w:color w:val="auto"/>
          <w:sz w:val="24"/>
          <w:szCs w:val="24"/>
          <w:highlight w:val="none"/>
        </w:rPr>
        <w:t>1日</w:t>
      </w:r>
      <w:r>
        <w:rPr>
          <w:rFonts w:hint="eastAsia" w:asciiTheme="majorEastAsia" w:hAnsiTheme="majorEastAsia" w:eastAsiaTheme="majorEastAsia" w:cstheme="majorEastAsia"/>
          <w:color w:val="auto"/>
          <w:sz w:val="24"/>
          <w:szCs w:val="24"/>
          <w:highlight w:val="none"/>
          <w:lang w:eastAsia="zh-CN"/>
        </w:rPr>
        <w:t>至今做过与本项目类似的业绩</w:t>
      </w:r>
      <w:r>
        <w:rPr>
          <w:rFonts w:hint="eastAsia" w:asciiTheme="majorEastAsia" w:hAnsiTheme="majorEastAsia" w:eastAsiaTheme="majorEastAsia" w:cstheme="majorEastAsia"/>
          <w:color w:val="auto"/>
          <w:sz w:val="24"/>
          <w:szCs w:val="24"/>
          <w:highlight w:val="none"/>
        </w:rPr>
        <w:t>；</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政府采购政策扶持证明材料；</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其他证明文件或供应商认为应提交的商务文件（如有）</w:t>
      </w:r>
      <w:r>
        <w:rPr>
          <w:rFonts w:hint="eastAsia" w:asciiTheme="majorEastAsia" w:hAnsiTheme="majorEastAsia" w:eastAsiaTheme="majorEastAsia" w:cstheme="majorEastAsia"/>
          <w:color w:val="auto"/>
          <w:sz w:val="24"/>
          <w:szCs w:val="24"/>
          <w:highlight w:val="none"/>
        </w:rPr>
        <w:t>。</w:t>
      </w:r>
    </w:p>
    <w:p>
      <w:pPr>
        <w:adjustRightInd w:val="0"/>
        <w:snapToGrid w:val="0"/>
        <w:spacing w:line="500" w:lineRule="exact"/>
        <w:ind w:firstLine="470" w:firstLineChars="196"/>
        <w:jc w:val="left"/>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rPr>
        <w:t>13.</w:t>
      </w:r>
      <w:r>
        <w:rPr>
          <w:rFonts w:hint="eastAsia" w:asciiTheme="majorEastAsia" w:hAnsiTheme="majorEastAsia" w:eastAsiaTheme="majorEastAsia" w:cstheme="majorEastAsia"/>
          <w:b/>
          <w:color w:val="auto"/>
          <w:sz w:val="24"/>
          <w:szCs w:val="24"/>
          <w:highlight w:val="none"/>
          <w:lang w:val="en-US" w:eastAsia="zh-CN"/>
        </w:rPr>
        <w:t>3</w:t>
      </w:r>
      <w:r>
        <w:rPr>
          <w:rFonts w:hint="eastAsia" w:asciiTheme="majorEastAsia" w:hAnsiTheme="majorEastAsia" w:eastAsiaTheme="majorEastAsia" w:cstheme="majorEastAsia"/>
          <w:b/>
          <w:color w:val="auto"/>
          <w:sz w:val="24"/>
          <w:szCs w:val="24"/>
          <w:highlight w:val="none"/>
          <w:lang w:eastAsia="zh-CN"/>
        </w:rPr>
        <w:t>技术部分</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（1）技术响应偏离表（格式见附件）；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（2）产品详细技术规格书（包括产品详细配置、技术性能指标等）（格式自拟）；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（3）与产品相关的由国家认可的检测机构出具的检测报告（如有）；</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（4）针对项目的详细组织实施方案：包括（但不限于）项目人员配备、项目供货方案、安装调试方案、验收方案（应说明验收方法和验收条件、安装验收需用的环境及配套条件）等内容（格式自拟）；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（5）针对本项目的详细技术培训方案：包括（但不限于）</w:t>
      </w:r>
      <w:r>
        <w:rPr>
          <w:rFonts w:hint="default" w:asciiTheme="majorEastAsia" w:hAnsiTheme="majorEastAsia" w:eastAsiaTheme="majorEastAsia" w:cstheme="majorEastAsia"/>
          <w:color w:val="auto"/>
          <w:sz w:val="24"/>
          <w:szCs w:val="24"/>
          <w:highlight w:val="none"/>
          <w:lang w:val="en-US" w:eastAsia="zh-CN"/>
        </w:rPr>
        <w:t>培训内容</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培训方式</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培训计划</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培训团队人员配置等</w:t>
      </w:r>
      <w:r>
        <w:rPr>
          <w:rFonts w:hint="eastAsia" w:asciiTheme="majorEastAsia" w:hAnsiTheme="majorEastAsia" w:eastAsiaTheme="majorEastAsia" w:cstheme="majorEastAsia"/>
          <w:color w:val="auto"/>
          <w:sz w:val="24"/>
          <w:szCs w:val="24"/>
          <w:highlight w:val="none"/>
          <w:lang w:val="en-US" w:eastAsia="zh-CN"/>
        </w:rPr>
        <w:t>内容（格式自拟）；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（6）针对本项目的售后服务方案：包括（但不限于）售后</w:t>
      </w:r>
      <w:r>
        <w:rPr>
          <w:rFonts w:hint="default" w:asciiTheme="majorEastAsia" w:hAnsiTheme="majorEastAsia" w:eastAsiaTheme="majorEastAsia" w:cstheme="majorEastAsia"/>
          <w:color w:val="auto"/>
          <w:sz w:val="24"/>
          <w:szCs w:val="24"/>
          <w:highlight w:val="none"/>
          <w:lang w:val="en-US" w:eastAsia="zh-CN"/>
        </w:rPr>
        <w:t>服务承诺</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服务响应方案</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备件（易耗品）供应方案</w:t>
      </w:r>
      <w:r>
        <w:rPr>
          <w:rFonts w:hint="eastAsia" w:asciiTheme="majorEastAsia" w:hAnsiTheme="majorEastAsia" w:eastAsiaTheme="majorEastAsia" w:cstheme="majorEastAsia"/>
          <w:color w:val="auto"/>
          <w:sz w:val="24"/>
          <w:szCs w:val="24"/>
          <w:highlight w:val="none"/>
          <w:lang w:val="en-US" w:eastAsia="zh-CN"/>
        </w:rPr>
        <w:t>（含备件价格）、</w:t>
      </w:r>
      <w:r>
        <w:rPr>
          <w:rFonts w:hint="default" w:asciiTheme="majorEastAsia" w:hAnsiTheme="majorEastAsia" w:eastAsiaTheme="majorEastAsia" w:cstheme="majorEastAsia"/>
          <w:color w:val="auto"/>
          <w:sz w:val="24"/>
          <w:szCs w:val="24"/>
          <w:highlight w:val="none"/>
          <w:lang w:val="en-US" w:eastAsia="zh-CN"/>
        </w:rPr>
        <w:t>服务人员配备</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故障响应</w:t>
      </w:r>
      <w:r>
        <w:rPr>
          <w:rFonts w:hint="eastAsia" w:asciiTheme="majorEastAsia" w:hAnsiTheme="majorEastAsia" w:eastAsiaTheme="majorEastAsia" w:cstheme="majorEastAsia"/>
          <w:color w:val="auto"/>
          <w:sz w:val="24"/>
          <w:szCs w:val="24"/>
          <w:highlight w:val="none"/>
          <w:lang w:val="en-US" w:eastAsia="zh-CN"/>
        </w:rPr>
        <w:t>措施、</w:t>
      </w:r>
      <w:r>
        <w:rPr>
          <w:rFonts w:hint="default" w:asciiTheme="majorEastAsia" w:hAnsiTheme="majorEastAsia" w:eastAsiaTheme="majorEastAsia" w:cstheme="majorEastAsia"/>
          <w:color w:val="auto"/>
          <w:sz w:val="24"/>
          <w:szCs w:val="24"/>
          <w:highlight w:val="none"/>
          <w:lang w:val="en-US" w:eastAsia="zh-CN"/>
        </w:rPr>
        <w:t>质保外服务措施等</w:t>
      </w:r>
      <w:r>
        <w:rPr>
          <w:rFonts w:hint="eastAsia" w:asciiTheme="majorEastAsia" w:hAnsiTheme="majorEastAsia" w:eastAsiaTheme="majorEastAsia" w:cstheme="majorEastAsia"/>
          <w:color w:val="auto"/>
          <w:sz w:val="24"/>
          <w:szCs w:val="24"/>
          <w:highlight w:val="none"/>
          <w:lang w:val="en-US" w:eastAsia="zh-CN"/>
        </w:rPr>
        <w:t>内容（格式自拟）；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（7）其他优惠条件（如有）：供应商承诺给予采购人的各种优惠条件，包括备品备件、专用耗材等；</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（8）供应商需要提供的其他文件或资料（如有）。</w:t>
      </w:r>
    </w:p>
    <w:p>
      <w:pPr>
        <w:adjustRightInd w:val="0"/>
        <w:snapToGrid w:val="0"/>
        <w:spacing w:line="500" w:lineRule="exact"/>
        <w:ind w:left="478" w:leftChars="228" w:firstLine="0" w:firstLineChars="0"/>
        <w:jc w:val="lef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注：a</w:t>
      </w:r>
      <w:r>
        <w:rPr>
          <w:rFonts w:hint="eastAsia" w:asciiTheme="majorEastAsia" w:hAnsiTheme="majorEastAsia" w:eastAsiaTheme="majorEastAsia" w:cstheme="majorEastAsia"/>
          <w:b/>
          <w:bCs/>
          <w:color w:val="auto"/>
          <w:sz w:val="24"/>
          <w:szCs w:val="24"/>
          <w:highlight w:val="none"/>
          <w:lang w:val="en-US" w:eastAsia="zh-CN"/>
        </w:rPr>
        <w:t>.</w:t>
      </w:r>
      <w:r>
        <w:rPr>
          <w:rFonts w:hint="eastAsia" w:asciiTheme="majorEastAsia" w:hAnsiTheme="majorEastAsia" w:eastAsiaTheme="majorEastAsia" w:cstheme="majorEastAsia"/>
          <w:b/>
          <w:bCs/>
          <w:color w:val="auto"/>
          <w:sz w:val="24"/>
          <w:szCs w:val="24"/>
          <w:highlight w:val="none"/>
        </w:rPr>
        <w:t>授权委托书、投标声明书、投标函、开标一览表必须由法定代表人（负责人、自然人）或其授权代表签名（按格式要求）并加盖单位公章。</w:t>
      </w:r>
    </w:p>
    <w:p>
      <w:pPr>
        <w:adjustRightInd w:val="0"/>
        <w:snapToGrid w:val="0"/>
        <w:spacing w:line="500" w:lineRule="exact"/>
        <w:ind w:left="478" w:leftChars="228" w:firstLine="460" w:firstLineChars="192"/>
        <w:jc w:val="lef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b.</w:t>
      </w:r>
      <w:r>
        <w:rPr>
          <w:rFonts w:hint="eastAsia" w:asciiTheme="majorEastAsia" w:hAnsiTheme="majorEastAsia" w:eastAsiaTheme="majorEastAsia" w:cstheme="majorEastAsia"/>
          <w:b/>
          <w:bCs/>
          <w:color w:val="auto"/>
          <w:sz w:val="24"/>
          <w:szCs w:val="24"/>
          <w:highlight w:val="none"/>
        </w:rPr>
        <w:t>以上提供的各种证书、证件、证明资料如是复印件，须在复印件上加盖有效公章，如发现有造假嫌疑的，将根据有关规定以“提供虚假材料谋取中标”予以处罚。</w:t>
      </w:r>
    </w:p>
    <w:p>
      <w:pPr>
        <w:adjustRightInd w:val="0"/>
        <w:snapToGrid w:val="0"/>
        <w:spacing w:line="500" w:lineRule="exact"/>
        <w:ind w:left="478" w:leftChars="228" w:firstLine="460" w:firstLineChars="192"/>
        <w:jc w:val="lef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c.</w:t>
      </w:r>
      <w:r>
        <w:rPr>
          <w:rFonts w:hint="eastAsia" w:asciiTheme="majorEastAsia" w:hAnsiTheme="majorEastAsia" w:eastAsiaTheme="majorEastAsia" w:cstheme="majorEastAsia"/>
          <w:b/>
          <w:bCs/>
          <w:color w:val="auto"/>
          <w:sz w:val="24"/>
          <w:szCs w:val="24"/>
          <w:highlight w:val="none"/>
        </w:rPr>
        <w:t>投标文件中除《报价文件》外，其他部分不得有任何涉及本次投标报价的信息。</w:t>
      </w:r>
    </w:p>
    <w:p>
      <w:pPr>
        <w:adjustRightInd w:val="0"/>
        <w:snapToGrid w:val="0"/>
        <w:spacing w:line="500" w:lineRule="exact"/>
        <w:ind w:left="478" w:leftChars="228" w:firstLine="460" w:firstLineChars="192"/>
        <w:jc w:val="left"/>
        <w:rPr>
          <w:rFonts w:hint="eastAsia" w:eastAsiaTheme="majorEastAsia"/>
          <w:color w:val="auto"/>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d.</w:t>
      </w:r>
      <w:r>
        <w:rPr>
          <w:rFonts w:hint="eastAsia" w:asciiTheme="majorEastAsia" w:hAnsiTheme="majorEastAsia" w:eastAsiaTheme="majorEastAsia" w:cstheme="majorEastAsia"/>
          <w:b/>
          <w:bCs/>
          <w:color w:val="auto"/>
          <w:sz w:val="24"/>
          <w:szCs w:val="24"/>
          <w:highlight w:val="none"/>
        </w:rPr>
        <w:t>以上材料须加盖单位公章，请</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编制投标文件的目录及页码。</w:t>
      </w:r>
    </w:p>
    <w:p>
      <w:pPr>
        <w:pStyle w:val="6"/>
        <w:rPr>
          <w:color w:val="auto"/>
          <w:highlight w:val="none"/>
        </w:rPr>
      </w:pPr>
      <w:bookmarkStart w:id="59" w:name="_Toc26745"/>
      <w:r>
        <w:rPr>
          <w:rFonts w:hint="eastAsia"/>
          <w:color w:val="auto"/>
          <w:highlight w:val="none"/>
        </w:rPr>
        <w:t>14、投标文件的语言及计量</w:t>
      </w:r>
      <w:bookmarkEnd w:id="59"/>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14.1 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14.2 投标计量单位，招标文件已有明确规定的，使用招标文件规定的计量单位；招标文件没有规定的，应采用中华人民共和国法定计量单位（货币单位：人民币元），否则视同未响应。</w:t>
      </w:r>
    </w:p>
    <w:p>
      <w:pPr>
        <w:pStyle w:val="6"/>
        <w:rPr>
          <w:color w:val="auto"/>
          <w:highlight w:val="none"/>
        </w:rPr>
      </w:pPr>
      <w:bookmarkStart w:id="60" w:name="_Toc10847"/>
      <w:r>
        <w:rPr>
          <w:rFonts w:hint="eastAsia"/>
          <w:color w:val="auto"/>
          <w:highlight w:val="none"/>
        </w:rPr>
        <w:t>15、投标报价</w:t>
      </w:r>
      <w:bookmarkEnd w:id="60"/>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15.1 投标报价按招标文件中相关附表格式填写，应为所投标包的产品的单价报价，每个产品只允许一个报价。</w:t>
      </w:r>
      <w:r>
        <w:rPr>
          <w:rFonts w:hint="eastAsia" w:asciiTheme="majorEastAsia" w:hAnsiTheme="majorEastAsia" w:eastAsiaTheme="majorEastAsia" w:cstheme="majorEastAsia"/>
          <w:bCs/>
          <w:color w:val="auto"/>
          <w:sz w:val="24"/>
          <w:szCs w:val="24"/>
          <w:highlight w:val="none"/>
        </w:rPr>
        <w:t>同型号产品参与不同标包投标的，则其报价必须相同，否则视为有选择性报价，按无效标处理</w:t>
      </w:r>
      <w:r>
        <w:rPr>
          <w:rFonts w:hint="eastAsia" w:asciiTheme="majorEastAsia" w:hAnsiTheme="majorEastAsia" w:eastAsiaTheme="majorEastAsia" w:cstheme="majorEastAsia"/>
          <w:color w:val="auto"/>
          <w:sz w:val="24"/>
          <w:szCs w:val="24"/>
          <w:highlight w:val="none"/>
        </w:rPr>
        <w:t>。</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15.2 投标报价应包括货款、标准附件、备品备件、专用工具、包装、运输、装卸、保险、税金、货到就位以及安装、调试、培训、保修等一切税金和费用。</w:t>
      </w:r>
    </w:p>
    <w:p>
      <w:pPr>
        <w:tabs>
          <w:tab w:val="left" w:pos="525"/>
        </w:tabs>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15.3 每种货物只允许有一个报价，有选择的或有条件的报价将不予接受。</w:t>
      </w:r>
    </w:p>
    <w:p>
      <w:pPr>
        <w:pStyle w:val="6"/>
        <w:rPr>
          <w:color w:val="auto"/>
          <w:highlight w:val="none"/>
        </w:rPr>
      </w:pPr>
      <w:bookmarkStart w:id="61" w:name="_Toc11872"/>
      <w:r>
        <w:rPr>
          <w:rFonts w:hint="eastAsia"/>
          <w:color w:val="auto"/>
          <w:highlight w:val="none"/>
        </w:rPr>
        <w:t>16、投标文件的有效期</w:t>
      </w:r>
      <w:bookmarkEnd w:id="61"/>
    </w:p>
    <w:p>
      <w:pPr>
        <w:tabs>
          <w:tab w:val="left" w:pos="454"/>
          <w:tab w:val="left" w:pos="720"/>
        </w:tabs>
        <w:adjustRightInd w:val="0"/>
        <w:snapToGrid w:val="0"/>
        <w:spacing w:line="500" w:lineRule="exact"/>
        <w:ind w:firstLine="480" w:firstLineChars="200"/>
        <w:jc w:val="left"/>
        <w:rPr>
          <w:rFonts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16.1 自投标截止日起</w:t>
      </w:r>
      <w:r>
        <w:rPr>
          <w:rFonts w:hint="eastAsia" w:asciiTheme="majorEastAsia" w:hAnsiTheme="majorEastAsia" w:eastAsiaTheme="majorEastAsia" w:cstheme="majorEastAsia"/>
          <w:color w:val="auto"/>
          <w:kern w:val="0"/>
          <w:sz w:val="24"/>
          <w:szCs w:val="24"/>
          <w:highlight w:val="none"/>
          <w:u w:val="single"/>
        </w:rPr>
        <w:t>90</w:t>
      </w:r>
      <w:r>
        <w:rPr>
          <w:rFonts w:hint="eastAsia" w:asciiTheme="majorEastAsia" w:hAnsiTheme="majorEastAsia" w:eastAsiaTheme="majorEastAsia" w:cstheme="majorEastAsia"/>
          <w:color w:val="auto"/>
          <w:kern w:val="0"/>
          <w:sz w:val="24"/>
          <w:szCs w:val="24"/>
          <w:highlight w:val="none"/>
        </w:rPr>
        <w:t>天投标文件应保持有效。</w:t>
      </w:r>
    </w:p>
    <w:p>
      <w:pPr>
        <w:tabs>
          <w:tab w:val="left" w:pos="454"/>
          <w:tab w:val="left" w:pos="720"/>
        </w:tabs>
        <w:adjustRightInd w:val="0"/>
        <w:snapToGrid w:val="0"/>
        <w:spacing w:line="500" w:lineRule="exact"/>
        <w:ind w:firstLine="480" w:firstLineChars="200"/>
        <w:jc w:val="left"/>
        <w:rPr>
          <w:rFonts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16.2 在特殊情况下，采购人可与</w:t>
      </w:r>
      <w:r>
        <w:rPr>
          <w:rFonts w:hint="eastAsia" w:asciiTheme="majorEastAsia" w:hAnsiTheme="majorEastAsia" w:eastAsiaTheme="majorEastAsia" w:cstheme="majorEastAsia"/>
          <w:color w:val="auto"/>
          <w:kern w:val="0"/>
          <w:sz w:val="24"/>
          <w:szCs w:val="24"/>
          <w:highlight w:val="none"/>
          <w:lang w:eastAsia="zh-CN"/>
        </w:rPr>
        <w:t>供应商</w:t>
      </w:r>
      <w:r>
        <w:rPr>
          <w:rFonts w:hint="eastAsia" w:asciiTheme="majorEastAsia" w:hAnsiTheme="majorEastAsia" w:eastAsiaTheme="majorEastAsia" w:cstheme="majorEastAsia"/>
          <w:color w:val="auto"/>
          <w:kern w:val="0"/>
          <w:sz w:val="24"/>
          <w:szCs w:val="24"/>
          <w:highlight w:val="none"/>
        </w:rPr>
        <w:t>协商延长投标书的有效期，这种要求和答复均以书面形式进行。</w:t>
      </w:r>
    </w:p>
    <w:p>
      <w:pPr>
        <w:adjustRightInd w:val="0"/>
        <w:snapToGrid w:val="0"/>
        <w:spacing w:line="500" w:lineRule="exact"/>
        <w:ind w:firstLine="480" w:firstLineChars="200"/>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16.3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可拒绝接受延期要求而不会导致投标保证金被没收。同意延长有效期的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需要相应延长投标保证金的有效期，但不能修改投标文件。</w:t>
      </w:r>
    </w:p>
    <w:p>
      <w:pPr>
        <w:adjustRightInd w:val="0"/>
        <w:snapToGrid w:val="0"/>
        <w:spacing w:line="500" w:lineRule="exact"/>
        <w:ind w:firstLine="480" w:firstLineChars="200"/>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16.4 中标人的投标文件自开标之日起至合同履行完毕止均应保持有效。</w:t>
      </w:r>
    </w:p>
    <w:p>
      <w:pPr>
        <w:pStyle w:val="6"/>
        <w:rPr>
          <w:color w:val="auto"/>
          <w:highlight w:val="none"/>
        </w:rPr>
      </w:pPr>
      <w:bookmarkStart w:id="62" w:name="_Toc2098"/>
      <w:r>
        <w:rPr>
          <w:rFonts w:hint="eastAsia"/>
          <w:color w:val="auto"/>
          <w:highlight w:val="none"/>
        </w:rPr>
        <w:t>17、投标保证金</w:t>
      </w:r>
      <w:bookmarkEnd w:id="62"/>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17.1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须按规定提交投标保证金。否则，其投标将被拒绝。</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17.2 保证金形式：投标保证金应当以支票、汇票、本票或者金融机构、担保机构出具的保函等非现金形式提交。</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17.3 退还保证金时，</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提供单位账户信息。</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17.4 采购代理机构应当自中标通知书发出之日起5个工作日内退还未中标单位的投标保证金，自政府采购合同签订之日起 5 个工作日内退还中标单位的投标保证金。但因</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自身原因导致无法及时退还的除外。</w:t>
      </w:r>
    </w:p>
    <w:p>
      <w:pPr>
        <w:adjustRightInd w:val="0"/>
        <w:snapToGrid w:val="0"/>
        <w:spacing w:line="500" w:lineRule="exact"/>
        <w:ind w:firstLine="470" w:firstLineChars="196"/>
        <w:jc w:val="lef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 xml:space="preserve">17.5 </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有下列情形之一的，投标保证金将不予退还：</w:t>
      </w:r>
    </w:p>
    <w:p>
      <w:pPr>
        <w:adjustRightInd w:val="0"/>
        <w:snapToGrid w:val="0"/>
        <w:spacing w:line="500" w:lineRule="exact"/>
        <w:ind w:firstLine="470"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在投标有效期内撤回投标文件的；</w:t>
      </w:r>
    </w:p>
    <w:p>
      <w:pPr>
        <w:adjustRightInd w:val="0"/>
        <w:snapToGrid w:val="0"/>
        <w:spacing w:line="500" w:lineRule="exact"/>
        <w:ind w:firstLine="470"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在投标过程中弄虚作假，提供虚假材料的；</w:t>
      </w:r>
    </w:p>
    <w:p>
      <w:pPr>
        <w:adjustRightInd w:val="0"/>
        <w:snapToGrid w:val="0"/>
        <w:spacing w:line="500" w:lineRule="exact"/>
        <w:ind w:firstLine="470" w:firstLineChars="196"/>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（3）中标人无正当理由不与采购人签订合同的；</w:t>
      </w:r>
    </w:p>
    <w:p>
      <w:pPr>
        <w:adjustRightInd w:val="0"/>
        <w:snapToGrid w:val="0"/>
        <w:spacing w:line="500" w:lineRule="exact"/>
        <w:ind w:firstLine="470" w:firstLineChars="196"/>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（4）</w:t>
      </w:r>
      <w:r>
        <w:rPr>
          <w:rFonts w:hint="eastAsia" w:asciiTheme="majorEastAsia" w:hAnsiTheme="majorEastAsia" w:eastAsiaTheme="majorEastAsia" w:cstheme="majorEastAsia"/>
          <w:b/>
          <w:bCs/>
          <w:color w:val="auto"/>
          <w:sz w:val="24"/>
          <w:szCs w:val="24"/>
          <w:highlight w:val="none"/>
        </w:rPr>
        <w:t>将中标项目转让给他人或者在投标文件中未说明且未经招标采购单位同意，将项目分包给他人的；</w:t>
      </w:r>
    </w:p>
    <w:p>
      <w:pPr>
        <w:adjustRightInd w:val="0"/>
        <w:snapToGrid w:val="0"/>
        <w:spacing w:line="500" w:lineRule="exact"/>
        <w:ind w:firstLine="480" w:firstLineChars="200"/>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（5）拒绝履行合同义务的；</w:t>
      </w:r>
    </w:p>
    <w:p>
      <w:pPr>
        <w:adjustRightInd w:val="0"/>
        <w:snapToGrid w:val="0"/>
        <w:spacing w:line="500" w:lineRule="exact"/>
        <w:ind w:firstLine="480" w:firstLineChars="200"/>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（6）其他严重扰乱招投标程序的。</w:t>
      </w:r>
    </w:p>
    <w:p>
      <w:pPr>
        <w:pStyle w:val="6"/>
        <w:rPr>
          <w:rFonts w:asciiTheme="majorEastAsia" w:hAnsiTheme="majorEastAsia" w:eastAsiaTheme="majorEastAsia" w:cstheme="majorEastAsia"/>
          <w:color w:val="auto"/>
          <w:sz w:val="24"/>
          <w:szCs w:val="24"/>
          <w:highlight w:val="none"/>
        </w:rPr>
      </w:pPr>
      <w:bookmarkStart w:id="63" w:name="_Toc16494"/>
      <w:r>
        <w:rPr>
          <w:rFonts w:hint="eastAsia" w:asciiTheme="majorEastAsia" w:hAnsiTheme="majorEastAsia" w:eastAsiaTheme="majorEastAsia" w:cstheme="majorEastAsia"/>
          <w:color w:val="auto"/>
          <w:sz w:val="24"/>
          <w:szCs w:val="24"/>
          <w:highlight w:val="none"/>
        </w:rPr>
        <w:t>18、投标文件的签署</w:t>
      </w:r>
      <w:bookmarkEnd w:id="63"/>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18.1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应按本招标文件规定的格式和顺序编制投标文件并标注页码，投标文件内容不完整、编排混乱导致投标文件被误读、漏读或者查找不到相关内容的，是</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的责任。</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 xml:space="preserve"> 投标文件须由</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在规定位置盖章并由法定代表人（负责人、自然人）或法定代表人（负责人、自然人）的授权代表签署，</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应写全称。</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 xml:space="preserve"> 投标文件不得涂改，若有修改错漏处，须加盖单位公章或者法定代表人（负责人、自然人）或授权代表签字。投标文件因字迹潦草或表达不清所引起的后果由</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负责。</w:t>
      </w:r>
    </w:p>
    <w:p>
      <w:pPr>
        <w:adjustRightInd w:val="0"/>
        <w:snapToGrid w:val="0"/>
        <w:spacing w:line="500" w:lineRule="exact"/>
        <w:ind w:firstLine="480" w:firstLineChars="200"/>
        <w:jc w:val="left"/>
        <w:rPr>
          <w:rFonts w:hint="eastAsia" w:asciiTheme="majorEastAsia" w:hAnsiTheme="majorEastAsia" w:eastAsiaTheme="majorEastAsia" w:cstheme="majorEastAsia"/>
          <w:color w:val="auto"/>
          <w:sz w:val="24"/>
          <w:szCs w:val="24"/>
          <w:highlight w:val="none"/>
        </w:rPr>
      </w:pPr>
      <w:bookmarkStart w:id="64" w:name="_Toc233618975"/>
      <w:bookmarkStart w:id="65" w:name="_Toc86216991"/>
      <w:r>
        <w:rPr>
          <w:rFonts w:hint="eastAsia" w:asciiTheme="majorEastAsia" w:hAnsiTheme="majorEastAsia" w:eastAsiaTheme="majorEastAsia" w:cstheme="majorEastAsia"/>
          <w:color w:val="auto"/>
          <w:sz w:val="24"/>
          <w:szCs w:val="24"/>
          <w:highlight w:val="none"/>
        </w:rPr>
        <w:t>18.</w:t>
      </w:r>
      <w:r>
        <w:rPr>
          <w:rFonts w:hint="eastAsia" w:asciiTheme="majorEastAsia" w:hAnsiTheme="majorEastAsia" w:eastAsiaTheme="majorEastAsia" w:cstheme="majorEastAsia"/>
          <w:color w:val="auto"/>
          <w:sz w:val="24"/>
          <w:szCs w:val="24"/>
          <w:highlight w:val="none"/>
          <w:lang w:val="en-US" w:eastAsia="zh-CN"/>
        </w:rPr>
        <w:t>4</w:t>
      </w:r>
      <w:bookmarkEnd w:id="64"/>
      <w:bookmarkEnd w:id="65"/>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如投多个标包的，应当按照标包编号单独提供每一套投标文件。否则按照无效</w:t>
      </w:r>
      <w:r>
        <w:rPr>
          <w:rFonts w:hint="eastAsia" w:asciiTheme="majorEastAsia" w:hAnsiTheme="majorEastAsia" w:eastAsiaTheme="majorEastAsia" w:cstheme="majorEastAsia"/>
          <w:color w:val="auto"/>
          <w:sz w:val="24"/>
          <w:szCs w:val="24"/>
          <w:highlight w:val="none"/>
          <w:lang w:eastAsia="zh-CN"/>
        </w:rPr>
        <w:t>响应</w:t>
      </w:r>
      <w:r>
        <w:rPr>
          <w:rFonts w:hint="eastAsia" w:asciiTheme="majorEastAsia" w:hAnsiTheme="majorEastAsia" w:eastAsiaTheme="majorEastAsia" w:cstheme="majorEastAsia"/>
          <w:color w:val="auto"/>
          <w:sz w:val="24"/>
          <w:szCs w:val="24"/>
          <w:highlight w:val="none"/>
        </w:rPr>
        <w:t>以处理。</w:t>
      </w:r>
    </w:p>
    <w:p>
      <w:pPr>
        <w:pStyle w:val="6"/>
        <w:rPr>
          <w:color w:val="auto"/>
          <w:highlight w:val="none"/>
        </w:rPr>
      </w:pPr>
      <w:bookmarkStart w:id="66" w:name="_Toc8464"/>
      <w:r>
        <w:rPr>
          <w:rFonts w:hint="eastAsia"/>
          <w:color w:val="auto"/>
          <w:highlight w:val="none"/>
        </w:rPr>
        <w:t>19、投标文件的递交、修改和撤回</w:t>
      </w:r>
      <w:bookmarkEnd w:id="66"/>
    </w:p>
    <w:p>
      <w:pPr>
        <w:spacing w:line="360" w:lineRule="auto"/>
        <w:ind w:firstLine="475" w:firstLineChars="198"/>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highlight w:val="none"/>
          <w:lang w:val="en-US" w:eastAsia="zh-CN" w:bidi="ar-SA"/>
        </w:rPr>
        <w:t>19.1供应商</w:t>
      </w:r>
      <w:r>
        <w:rPr>
          <w:rFonts w:hint="eastAsia" w:ascii="宋体" w:hAnsi="宋体" w:eastAsia="宋体" w:cs="宋体"/>
          <w:color w:val="auto"/>
          <w:sz w:val="24"/>
          <w:highlight w:val="none"/>
        </w:rPr>
        <w:t>应当在投标截止时间前【</w:t>
      </w:r>
      <w:r>
        <w:rPr>
          <w:rFonts w:hint="eastAsia" w:ascii="宋体" w:hAnsi="宋体" w:eastAsia="宋体" w:cs="宋体"/>
          <w:b/>
          <w:color w:val="auto"/>
          <w:sz w:val="24"/>
          <w:highlight w:val="none"/>
        </w:rPr>
        <w:t>即202</w:t>
      </w: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年</w:t>
      </w:r>
      <w:r>
        <w:rPr>
          <w:rFonts w:hint="eastAsia" w:ascii="宋体" w:hAnsi="宋体" w:eastAsia="宋体" w:cs="宋体"/>
          <w:b/>
          <w:color w:val="auto"/>
          <w:sz w:val="24"/>
          <w:highlight w:val="none"/>
          <w:lang w:val="en-US" w:eastAsia="zh-CN"/>
        </w:rPr>
        <w:t>0</w:t>
      </w: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月</w:t>
      </w:r>
      <w:r>
        <w:rPr>
          <w:rFonts w:hint="eastAsia" w:ascii="宋体" w:hAnsi="宋体" w:cs="宋体"/>
          <w:b/>
          <w:color w:val="auto"/>
          <w:sz w:val="24"/>
          <w:highlight w:val="none"/>
          <w:lang w:val="en-US" w:eastAsia="zh-CN"/>
        </w:rPr>
        <w:t xml:space="preserve"> 22  </w:t>
      </w:r>
      <w:r>
        <w:rPr>
          <w:rFonts w:hint="eastAsia" w:ascii="宋体" w:hAnsi="宋体" w:eastAsia="宋体" w:cs="宋体"/>
          <w:b/>
          <w:color w:val="auto"/>
          <w:sz w:val="24"/>
          <w:highlight w:val="none"/>
        </w:rPr>
        <w:t>日</w:t>
      </w: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时</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0分之前</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将生成的“电子加密投标文件”上传递交至“政府采购云平台”,投标截止时间以后上传递交的投标文件将被“政府采购云平台”拒收</w:t>
      </w:r>
      <w:r>
        <w:rPr>
          <w:rFonts w:hint="eastAsia" w:ascii="宋体" w:hAnsi="宋体" w:eastAsia="宋体" w:cs="宋体"/>
          <w:color w:val="auto"/>
          <w:sz w:val="24"/>
          <w:highlight w:val="none"/>
          <w:lang w:eastAsia="zh-CN"/>
        </w:rPr>
        <w:t>。</w:t>
      </w:r>
    </w:p>
    <w:p>
      <w:pPr>
        <w:pStyle w:val="198"/>
        <w:snapToGrid w:val="0"/>
        <w:spacing w:before="0" w:line="500" w:lineRule="exact"/>
        <w:ind w:left="0" w:firstLine="480" w:firstLineChars="200"/>
        <w:rPr>
          <w:rFonts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19.</w:t>
      </w:r>
      <w:r>
        <w:rPr>
          <w:rFonts w:hint="eastAsia" w:asciiTheme="majorEastAsia" w:hAnsiTheme="majorEastAsia" w:eastAsiaTheme="majorEastAsia" w:cstheme="majorEastAsia"/>
          <w:color w:val="auto"/>
          <w:kern w:val="2"/>
          <w:sz w:val="24"/>
          <w:szCs w:val="24"/>
          <w:highlight w:val="none"/>
          <w:lang w:val="en-US" w:eastAsia="zh-CN"/>
        </w:rPr>
        <w:t>2</w:t>
      </w:r>
      <w:r>
        <w:rPr>
          <w:rFonts w:hint="eastAsia" w:asciiTheme="majorEastAsia" w:hAnsiTheme="majorEastAsia" w:eastAsiaTheme="majorEastAsia" w:cstheme="majorEastAsia"/>
          <w:color w:val="auto"/>
          <w:kern w:val="2"/>
          <w:sz w:val="24"/>
          <w:szCs w:val="24"/>
          <w:highlight w:val="none"/>
        </w:rPr>
        <w:t xml:space="preserve"> </w:t>
      </w:r>
      <w:r>
        <w:rPr>
          <w:rFonts w:hint="eastAsia" w:asciiTheme="majorEastAsia" w:hAnsiTheme="majorEastAsia" w:eastAsiaTheme="majorEastAsia" w:cstheme="majorEastAsia"/>
          <w:color w:val="auto"/>
          <w:kern w:val="2"/>
          <w:sz w:val="24"/>
          <w:szCs w:val="24"/>
          <w:highlight w:val="none"/>
          <w:lang w:eastAsia="zh-CN"/>
        </w:rPr>
        <w:t>供应商</w:t>
      </w:r>
      <w:r>
        <w:rPr>
          <w:rFonts w:hint="eastAsia" w:asciiTheme="majorEastAsia" w:hAnsiTheme="majorEastAsia" w:eastAsiaTheme="majorEastAsia" w:cstheme="majorEastAsia"/>
          <w:color w:val="auto"/>
          <w:kern w:val="2"/>
          <w:sz w:val="24"/>
          <w:szCs w:val="24"/>
          <w:highlight w:val="none"/>
        </w:rPr>
        <w:t>在投标截止时间之前，可以对已提交的投标文件进行修改或撤回，并书面通知采购代理机构；投标截止时间后，</w:t>
      </w:r>
      <w:r>
        <w:rPr>
          <w:rFonts w:hint="eastAsia" w:asciiTheme="majorEastAsia" w:hAnsiTheme="majorEastAsia" w:eastAsiaTheme="majorEastAsia" w:cstheme="majorEastAsia"/>
          <w:color w:val="auto"/>
          <w:kern w:val="2"/>
          <w:sz w:val="24"/>
          <w:szCs w:val="24"/>
          <w:highlight w:val="none"/>
          <w:lang w:eastAsia="zh-CN"/>
        </w:rPr>
        <w:t>供应商</w:t>
      </w:r>
      <w:r>
        <w:rPr>
          <w:rFonts w:hint="eastAsia" w:asciiTheme="majorEastAsia" w:hAnsiTheme="majorEastAsia" w:eastAsiaTheme="majorEastAsia" w:cstheme="majorEastAsia"/>
          <w:color w:val="auto"/>
          <w:kern w:val="2"/>
          <w:sz w:val="24"/>
          <w:szCs w:val="24"/>
          <w:highlight w:val="none"/>
        </w:rPr>
        <w:t>不得撤回、修改投标文件。修改后重新递交的投标文件应当按本招标文件的要求签署、盖章。</w:t>
      </w:r>
    </w:p>
    <w:p>
      <w:pPr>
        <w:pStyle w:val="199"/>
        <w:adjustRightInd w:val="0"/>
        <w:snapToGrid w:val="0"/>
        <w:spacing w:before="0" w:line="500" w:lineRule="exact"/>
        <w:ind w:firstLine="482"/>
        <w:rPr>
          <w:rFonts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19.</w:t>
      </w:r>
      <w:r>
        <w:rPr>
          <w:rFonts w:hint="eastAsia" w:asciiTheme="majorEastAsia" w:hAnsiTheme="majorEastAsia" w:eastAsiaTheme="majorEastAsia" w:cstheme="majorEastAsia"/>
          <w:b/>
          <w:color w:val="auto"/>
          <w:szCs w:val="24"/>
          <w:highlight w:val="none"/>
          <w:lang w:val="en-US" w:eastAsia="zh-CN"/>
        </w:rPr>
        <w:t>3</w:t>
      </w:r>
      <w:r>
        <w:rPr>
          <w:rFonts w:hint="eastAsia" w:asciiTheme="majorEastAsia" w:hAnsiTheme="majorEastAsia" w:eastAsiaTheme="majorEastAsia" w:cstheme="majorEastAsia"/>
          <w:b/>
          <w:color w:val="auto"/>
          <w:szCs w:val="24"/>
          <w:highlight w:val="none"/>
        </w:rPr>
        <w:t>投标文件有下列情况之一的将不予接受：</w:t>
      </w:r>
    </w:p>
    <w:p>
      <w:pPr>
        <w:pStyle w:val="198"/>
        <w:snapToGrid w:val="0"/>
        <w:spacing w:before="0" w:line="500" w:lineRule="exact"/>
        <w:ind w:left="0" w:firstLine="480" w:firstLineChars="200"/>
        <w:rPr>
          <w:rFonts w:hint="eastAsia" w:asciiTheme="majorEastAsia" w:hAnsiTheme="majorEastAsia" w:eastAsiaTheme="majorEastAsia" w:cstheme="majorEastAsia"/>
          <w:color w:val="auto"/>
          <w:kern w:val="2"/>
          <w:sz w:val="24"/>
          <w:szCs w:val="24"/>
          <w:highlight w:val="none"/>
          <w:lang w:eastAsia="zh-CN"/>
        </w:rPr>
      </w:pPr>
      <w:r>
        <w:rPr>
          <w:rFonts w:hint="eastAsia" w:asciiTheme="majorEastAsia" w:hAnsiTheme="majorEastAsia" w:eastAsiaTheme="majorEastAsia" w:cstheme="majorEastAsia"/>
          <w:color w:val="auto"/>
          <w:kern w:val="2"/>
          <w:sz w:val="24"/>
          <w:szCs w:val="24"/>
          <w:highlight w:val="none"/>
        </w:rPr>
        <w:t>19.</w:t>
      </w:r>
      <w:r>
        <w:rPr>
          <w:rFonts w:hint="eastAsia" w:asciiTheme="majorEastAsia" w:hAnsiTheme="majorEastAsia" w:eastAsiaTheme="majorEastAsia" w:cstheme="majorEastAsia"/>
          <w:color w:val="auto"/>
          <w:kern w:val="2"/>
          <w:sz w:val="24"/>
          <w:szCs w:val="24"/>
          <w:highlight w:val="none"/>
          <w:lang w:val="en-US" w:eastAsia="zh-CN"/>
        </w:rPr>
        <w:t>3</w:t>
      </w:r>
      <w:r>
        <w:rPr>
          <w:rFonts w:hint="eastAsia" w:asciiTheme="majorEastAsia" w:hAnsiTheme="majorEastAsia" w:eastAsiaTheme="majorEastAsia" w:cstheme="majorEastAsia"/>
          <w:color w:val="auto"/>
          <w:kern w:val="2"/>
          <w:sz w:val="24"/>
          <w:szCs w:val="24"/>
          <w:highlight w:val="none"/>
        </w:rPr>
        <w:t>.1在投标文件递交截止时间以后</w:t>
      </w:r>
      <w:r>
        <w:rPr>
          <w:rFonts w:hint="eastAsia" w:asciiTheme="majorEastAsia" w:hAnsiTheme="majorEastAsia" w:eastAsiaTheme="majorEastAsia" w:cstheme="majorEastAsia"/>
          <w:color w:val="auto"/>
          <w:kern w:val="2"/>
          <w:sz w:val="24"/>
          <w:szCs w:val="24"/>
          <w:highlight w:val="none"/>
          <w:lang w:val="en-US" w:eastAsia="zh-CN"/>
        </w:rPr>
        <w:t>递交</w:t>
      </w:r>
      <w:r>
        <w:rPr>
          <w:rFonts w:hint="eastAsia" w:asciiTheme="majorEastAsia" w:hAnsiTheme="majorEastAsia" w:eastAsiaTheme="majorEastAsia" w:cstheme="majorEastAsia"/>
          <w:color w:val="auto"/>
          <w:kern w:val="2"/>
          <w:sz w:val="24"/>
          <w:szCs w:val="24"/>
          <w:highlight w:val="none"/>
        </w:rPr>
        <w:t>的投标文件</w:t>
      </w:r>
      <w:r>
        <w:rPr>
          <w:rFonts w:hint="eastAsia" w:asciiTheme="majorEastAsia" w:hAnsiTheme="majorEastAsia" w:eastAsiaTheme="majorEastAsia" w:cstheme="majorEastAsia"/>
          <w:color w:val="auto"/>
          <w:kern w:val="2"/>
          <w:sz w:val="24"/>
          <w:szCs w:val="24"/>
          <w:highlight w:val="none"/>
          <w:lang w:eastAsia="zh-CN"/>
        </w:rPr>
        <w:t>。</w:t>
      </w:r>
    </w:p>
    <w:p>
      <w:pPr>
        <w:pStyle w:val="6"/>
        <w:rPr>
          <w:color w:val="auto"/>
          <w:highlight w:val="none"/>
        </w:rPr>
      </w:pPr>
      <w:bookmarkStart w:id="67" w:name="_Toc5085"/>
      <w:r>
        <w:rPr>
          <w:rFonts w:hint="eastAsia"/>
          <w:color w:val="auto"/>
          <w:highlight w:val="none"/>
        </w:rPr>
        <w:t>20、投标截止期</w:t>
      </w:r>
      <w:bookmarkEnd w:id="67"/>
    </w:p>
    <w:p>
      <w:pPr>
        <w:adjustRightInd w:val="0"/>
        <w:snapToGrid w:val="0"/>
        <w:spacing w:line="500" w:lineRule="exact"/>
        <w:ind w:firstLine="42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20.1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应按照前附表规定的日期、时间和地点递交投标文件。</w:t>
      </w:r>
    </w:p>
    <w:p>
      <w:pPr>
        <w:adjustRightInd w:val="0"/>
        <w:snapToGrid w:val="0"/>
        <w:spacing w:line="500" w:lineRule="exact"/>
        <w:ind w:firstLine="42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20.</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 xml:space="preserve"> 采购人可以按本须知第12条的规定，通过修改招标文件适当延长投标截止时间。如投标截止时间有延长的，采购人和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受投标截止期制约的所有权利和义务均应延长至新的截止期。</w:t>
      </w:r>
    </w:p>
    <w:p>
      <w:pPr>
        <w:pStyle w:val="6"/>
        <w:rPr>
          <w:color w:val="auto"/>
          <w:highlight w:val="none"/>
        </w:rPr>
      </w:pPr>
      <w:bookmarkStart w:id="68" w:name="_Toc11084"/>
      <w:r>
        <w:rPr>
          <w:rFonts w:hint="eastAsia"/>
          <w:color w:val="auto"/>
          <w:highlight w:val="none"/>
        </w:rPr>
        <w:t>21、投标无效的情形</w:t>
      </w:r>
      <w:bookmarkEnd w:id="68"/>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实质上没有响应招标文件要求的投标将被视为无效投标。</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不得通过修正或撤销不合要求的偏离或保留从而使其投标成为实质上响应的投标。</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修改、补正投标文件后，不影响评标委员会对其投标文件所作的评价和评分结果。</w:t>
      </w:r>
    </w:p>
    <w:p>
      <w:pPr>
        <w:adjustRightInd w:val="0"/>
        <w:snapToGrid w:val="0"/>
        <w:spacing w:line="500" w:lineRule="exact"/>
        <w:ind w:firstLine="470" w:firstLineChars="196"/>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在评审时，如发现下列情形之一的，由评标委员会按少数服从多数原则进行认定，投标文件将被视为无效：</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 投标方未能提供合格的投标文件；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21.2未采用人民币报价或未按招标文件标明的币种或计量单位报价的；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21.3投标文件有采购人不能接受的附加条件的；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21.4有重大偏离的投标文件；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21.5未提供或未如实提供投标货物产品的技术参数；投标文件标明的商务、技术响应或偏离与事实不符或虚假投标的；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21.6</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报价低于其他有效</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报价算术平均价60%，</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又不能在规定时间内作出合理说明或提供相关证明材料；</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21.7 标包以赠送方式投标的、对一个标包提供两个投标方案或两个报价的；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21.8投标文件应盖公章而未盖公章或盖非公司公章、未按照本招标文件要求</w:t>
      </w:r>
      <w:r>
        <w:rPr>
          <w:rFonts w:hint="eastAsia" w:asciiTheme="majorEastAsia" w:hAnsiTheme="majorEastAsia" w:eastAsiaTheme="majorEastAsia" w:cstheme="majorEastAsia"/>
          <w:color w:val="auto"/>
          <w:sz w:val="24"/>
          <w:szCs w:val="24"/>
          <w:highlight w:val="none"/>
          <w:lang w:val="en-US" w:eastAsia="zh-CN"/>
        </w:rPr>
        <w:t>编制的</w:t>
      </w:r>
      <w:r>
        <w:rPr>
          <w:rFonts w:hint="eastAsia" w:asciiTheme="majorEastAsia" w:hAnsiTheme="majorEastAsia" w:eastAsiaTheme="majorEastAsia" w:cstheme="majorEastAsia"/>
          <w:color w:val="auto"/>
          <w:sz w:val="24"/>
          <w:szCs w:val="24"/>
          <w:highlight w:val="none"/>
        </w:rPr>
        <w:t>、内容字迹严重模糊辨认不清的、未有效授权。</w:t>
      </w:r>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rPr>
      </w:pPr>
      <w:bookmarkStart w:id="69" w:name="_Toc12370"/>
      <w:bookmarkStart w:id="70" w:name="_Toc19368"/>
      <w:r>
        <w:rPr>
          <w:rFonts w:hint="eastAsia" w:asciiTheme="majorEastAsia" w:hAnsiTheme="majorEastAsia" w:eastAsiaTheme="majorEastAsia" w:cstheme="majorEastAsia"/>
          <w:color w:val="auto"/>
          <w:sz w:val="24"/>
          <w:szCs w:val="24"/>
          <w:highlight w:val="none"/>
        </w:rPr>
        <w:t xml:space="preserve">21.9  </w:t>
      </w:r>
      <w:r>
        <w:rPr>
          <w:rFonts w:hint="eastAsia" w:asciiTheme="majorEastAsia" w:hAnsiTheme="majorEastAsia" w:eastAsiaTheme="majorEastAsia" w:cstheme="majorEastAsia"/>
          <w:color w:val="auto"/>
          <w:sz w:val="24"/>
          <w:szCs w:val="24"/>
          <w:highlight w:val="none"/>
          <w:lang w:val="en-US" w:eastAsia="zh-CN"/>
        </w:rPr>
        <w:t>投标</w:t>
      </w:r>
      <w:r>
        <w:rPr>
          <w:rFonts w:hint="eastAsia" w:asciiTheme="majorEastAsia" w:hAnsiTheme="majorEastAsia" w:eastAsiaTheme="majorEastAsia" w:cstheme="majorEastAsia"/>
          <w:color w:val="auto"/>
          <w:sz w:val="24"/>
          <w:szCs w:val="24"/>
          <w:highlight w:val="none"/>
        </w:rPr>
        <w:t>报价超过最高限价</w:t>
      </w:r>
      <w:r>
        <w:rPr>
          <w:rFonts w:hint="eastAsia" w:asciiTheme="majorEastAsia" w:hAnsiTheme="majorEastAsia" w:eastAsiaTheme="majorEastAsia" w:cstheme="majorEastAsia"/>
          <w:color w:val="auto"/>
          <w:sz w:val="24"/>
          <w:szCs w:val="24"/>
          <w:highlight w:val="none"/>
          <w:lang w:val="en-US" w:eastAsia="zh-CN"/>
        </w:rPr>
        <w:t>或</w:t>
      </w:r>
      <w:r>
        <w:rPr>
          <w:rFonts w:hint="eastAsia" w:asciiTheme="majorEastAsia" w:hAnsiTheme="majorEastAsia" w:eastAsiaTheme="majorEastAsia" w:cstheme="majorEastAsia"/>
          <w:color w:val="auto"/>
          <w:sz w:val="24"/>
          <w:szCs w:val="24"/>
          <w:highlight w:val="none"/>
        </w:rPr>
        <w:t>单价</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超过单价最高限价，</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w:t>
      </w:r>
      <w:r>
        <w:rPr>
          <w:rFonts w:hint="eastAsia" w:asciiTheme="majorEastAsia" w:hAnsiTheme="majorEastAsia" w:eastAsiaTheme="majorEastAsia" w:cstheme="majorEastAsia"/>
          <w:color w:val="auto"/>
          <w:sz w:val="24"/>
          <w:szCs w:val="24"/>
          <w:highlight w:val="none"/>
          <w:lang w:val="en-US" w:eastAsia="zh-CN"/>
        </w:rPr>
        <w:t>0</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不能在规定时间内提供原件核实或提供相关证明材料；</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不符合法律、法规和本招标文件明确规定的其他实质性要求的。</w:t>
      </w:r>
    </w:p>
    <w:p>
      <w:pPr>
        <w:pStyle w:val="5"/>
        <w:rPr>
          <w:color w:val="auto"/>
          <w:highlight w:val="none"/>
        </w:rPr>
      </w:pPr>
      <w:r>
        <w:rPr>
          <w:rFonts w:hint="eastAsia"/>
          <w:color w:val="auto"/>
          <w:highlight w:val="none"/>
        </w:rPr>
        <w:t>四、开标</w:t>
      </w:r>
      <w:bookmarkEnd w:id="69"/>
      <w:bookmarkEnd w:id="70"/>
    </w:p>
    <w:p>
      <w:pPr>
        <w:pStyle w:val="6"/>
        <w:rPr>
          <w:color w:val="auto"/>
          <w:highlight w:val="none"/>
        </w:rPr>
      </w:pPr>
      <w:bookmarkStart w:id="71" w:name="_Toc9510638"/>
      <w:bookmarkStart w:id="72" w:name="_Toc21515"/>
      <w:r>
        <w:rPr>
          <w:rFonts w:hint="eastAsia"/>
          <w:color w:val="auto"/>
          <w:highlight w:val="none"/>
        </w:rPr>
        <w:t>22、开</w:t>
      </w:r>
      <w:bookmarkEnd w:id="71"/>
      <w:r>
        <w:rPr>
          <w:rFonts w:hint="eastAsia"/>
          <w:color w:val="auto"/>
          <w:highlight w:val="none"/>
        </w:rPr>
        <w:t>标准备</w:t>
      </w:r>
      <w:bookmarkEnd w:id="72"/>
    </w:p>
    <w:p>
      <w:pPr>
        <w:pStyle w:val="6"/>
        <w:ind w:firstLine="480" w:firstLineChars="200"/>
        <w:rPr>
          <w:rFonts w:hint="eastAsia"/>
          <w:b w:val="0"/>
          <w:bCs w:val="0"/>
          <w:color w:val="auto"/>
          <w:sz w:val="24"/>
          <w:szCs w:val="24"/>
          <w:highlight w:val="none"/>
        </w:rPr>
      </w:pPr>
      <w:bookmarkStart w:id="73" w:name="_Toc26159"/>
      <w:r>
        <w:rPr>
          <w:rFonts w:hint="eastAsia"/>
          <w:b w:val="0"/>
          <w:bCs w:val="0"/>
          <w:color w:val="auto"/>
          <w:sz w:val="24"/>
          <w:szCs w:val="24"/>
          <w:highlight w:val="none"/>
          <w:lang w:val="en-US" w:eastAsia="zh-CN"/>
        </w:rPr>
        <w:t>22.1</w:t>
      </w:r>
      <w:r>
        <w:rPr>
          <w:rFonts w:hint="eastAsia"/>
          <w:b w:val="0"/>
          <w:bCs w:val="0"/>
          <w:color w:val="auto"/>
          <w:sz w:val="24"/>
          <w:szCs w:val="24"/>
          <w:highlight w:val="none"/>
          <w:lang w:eastAsia="zh-CN"/>
        </w:rPr>
        <w:t>采购代理机构</w:t>
      </w:r>
      <w:r>
        <w:rPr>
          <w:rFonts w:hint="eastAsia"/>
          <w:b w:val="0"/>
          <w:bCs w:val="0"/>
          <w:color w:val="auto"/>
          <w:sz w:val="24"/>
          <w:szCs w:val="24"/>
          <w:highlight w:val="none"/>
        </w:rPr>
        <w:t>将于202</w:t>
      </w:r>
      <w:r>
        <w:rPr>
          <w:rFonts w:hint="eastAsia"/>
          <w:b w:val="0"/>
          <w:bCs w:val="0"/>
          <w:color w:val="auto"/>
          <w:sz w:val="24"/>
          <w:szCs w:val="24"/>
          <w:highlight w:val="none"/>
          <w:lang w:val="en-US" w:eastAsia="zh-CN"/>
        </w:rPr>
        <w:t>4</w:t>
      </w:r>
      <w:r>
        <w:rPr>
          <w:rFonts w:hint="eastAsia"/>
          <w:b w:val="0"/>
          <w:bCs w:val="0"/>
          <w:color w:val="auto"/>
          <w:sz w:val="24"/>
          <w:szCs w:val="24"/>
          <w:highlight w:val="none"/>
        </w:rPr>
        <w:t>年0</w:t>
      </w:r>
      <w:r>
        <w:rPr>
          <w:rFonts w:hint="eastAsia"/>
          <w:b w:val="0"/>
          <w:bCs w:val="0"/>
          <w:color w:val="auto"/>
          <w:sz w:val="24"/>
          <w:szCs w:val="24"/>
          <w:highlight w:val="none"/>
          <w:lang w:val="en-US" w:eastAsia="zh-CN"/>
        </w:rPr>
        <w:t>4</w:t>
      </w:r>
      <w:r>
        <w:rPr>
          <w:rFonts w:hint="eastAsia"/>
          <w:b w:val="0"/>
          <w:bCs w:val="0"/>
          <w:color w:val="auto"/>
          <w:sz w:val="24"/>
          <w:szCs w:val="24"/>
          <w:highlight w:val="none"/>
        </w:rPr>
        <w:t>月</w:t>
      </w:r>
      <w:r>
        <w:rPr>
          <w:rFonts w:hint="eastAsia"/>
          <w:b w:val="0"/>
          <w:bCs w:val="0"/>
          <w:color w:val="auto"/>
          <w:sz w:val="24"/>
          <w:szCs w:val="24"/>
          <w:highlight w:val="none"/>
          <w:lang w:val="en-US" w:eastAsia="zh-CN"/>
        </w:rPr>
        <w:t>22</w:t>
      </w:r>
      <w:r>
        <w:rPr>
          <w:rFonts w:hint="eastAsia"/>
          <w:b w:val="0"/>
          <w:bCs w:val="0"/>
          <w:color w:val="auto"/>
          <w:sz w:val="24"/>
          <w:szCs w:val="24"/>
          <w:highlight w:val="none"/>
        </w:rPr>
        <w:t>日11时00分(北京时间）举行此次开标会议，开标地点政采云平台https：//www.zcygov.cn/政采云不见面开标大厅。</w:t>
      </w:r>
    </w:p>
    <w:p>
      <w:pPr>
        <w:pStyle w:val="6"/>
        <w:rPr>
          <w:color w:val="auto"/>
          <w:highlight w:val="none"/>
        </w:rPr>
      </w:pPr>
      <w:r>
        <w:rPr>
          <w:rFonts w:hint="eastAsia"/>
          <w:color w:val="auto"/>
          <w:highlight w:val="none"/>
        </w:rPr>
        <w:t>23、开标程序：</w:t>
      </w:r>
      <w:bookmarkEnd w:id="73"/>
    </w:p>
    <w:p>
      <w:pPr>
        <w:spacing w:line="360" w:lineRule="auto"/>
        <w:ind w:firstLine="480" w:firstLineChars="200"/>
        <w:rPr>
          <w:rFonts w:hint="eastAsia" w:ascii="宋体" w:hAnsi="宋体" w:eastAsia="宋体" w:cs="宋体"/>
          <w:color w:val="auto"/>
          <w:sz w:val="24"/>
          <w:highlight w:val="none"/>
        </w:rPr>
      </w:pPr>
      <w:bookmarkStart w:id="74" w:name="_Toc14026"/>
      <w:r>
        <w:rPr>
          <w:rFonts w:hint="eastAsia" w:ascii="宋体" w:hAnsi="宋体" w:eastAsia="宋体" w:cs="宋体"/>
          <w:color w:val="auto"/>
          <w:sz w:val="24"/>
          <w:highlight w:val="none"/>
          <w:lang w:val="en-US" w:eastAsia="zh-CN"/>
        </w:rPr>
        <w:t>23.1</w:t>
      </w:r>
      <w:r>
        <w:rPr>
          <w:rFonts w:hint="eastAsia" w:ascii="宋体" w:hAnsi="宋体" w:eastAsia="宋体" w:cs="宋体"/>
          <w:color w:val="auto"/>
          <w:sz w:val="24"/>
          <w:highlight w:val="none"/>
        </w:rPr>
        <w:t>开标会议在有关监督部门的监督下，由</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组织并主持。</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23.2</w:t>
      </w:r>
      <w:r>
        <w:rPr>
          <w:rFonts w:hint="eastAsia" w:ascii="宋体" w:hAnsi="宋体" w:eastAsia="宋体" w:cs="宋体"/>
          <w:color w:val="auto"/>
          <w:sz w:val="24"/>
          <w:highlight w:val="none"/>
        </w:rPr>
        <w:t>开标后，将由</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lang w:val="en-US" w:eastAsia="zh-CN"/>
        </w:rPr>
        <w:t>公开</w:t>
      </w:r>
      <w:r>
        <w:rPr>
          <w:rFonts w:hint="eastAsia" w:ascii="宋体" w:hAnsi="宋体" w:eastAsia="宋体" w:cs="宋体"/>
          <w:color w:val="auto"/>
          <w:sz w:val="24"/>
          <w:highlight w:val="none"/>
        </w:rPr>
        <w:t>有效</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的投标报价，以及</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认为必要的其它内容。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23.3</w:t>
      </w:r>
      <w:r>
        <w:rPr>
          <w:rFonts w:hint="eastAsia" w:ascii="宋体" w:hAnsi="宋体" w:eastAsia="宋体" w:cs="宋体"/>
          <w:color w:val="auto"/>
          <w:sz w:val="24"/>
          <w:highlight w:val="none"/>
        </w:rPr>
        <w:t>采购人有权就投标文件中含混之处向</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提出询问或澄清要求。</w:t>
      </w:r>
    </w:p>
    <w:p>
      <w:pPr>
        <w:spacing w:line="360" w:lineRule="auto"/>
        <w:ind w:firstLine="480" w:firstLineChars="200"/>
        <w:rPr>
          <w:rFonts w:hint="eastAsia" w:ascii="宋体" w:hAnsi="宋体" w:eastAsia="宋体" w:cs="宋体"/>
          <w:b w:val="0"/>
          <w:bCs w:val="0"/>
          <w:color w:val="auto"/>
          <w:kern w:val="2"/>
          <w:sz w:val="24"/>
          <w:szCs w:val="21"/>
          <w:highlight w:val="none"/>
          <w:lang w:val="en-US" w:eastAsia="zh-CN" w:bidi="ar-SA"/>
        </w:rPr>
      </w:pPr>
      <w:r>
        <w:rPr>
          <w:rFonts w:hint="eastAsia" w:ascii="宋体" w:hAnsi="宋体" w:eastAsia="宋体" w:cs="宋体"/>
          <w:b w:val="0"/>
          <w:bCs w:val="0"/>
          <w:color w:val="auto"/>
          <w:kern w:val="2"/>
          <w:sz w:val="24"/>
          <w:szCs w:val="21"/>
          <w:highlight w:val="none"/>
          <w:lang w:val="en-US" w:eastAsia="zh-CN" w:bidi="ar-SA"/>
        </w:rPr>
        <w:t>23.4公开开标后，直到向中标的</w:t>
      </w:r>
      <w:r>
        <w:rPr>
          <w:rFonts w:hint="eastAsia" w:ascii="宋体" w:hAnsi="宋体" w:cs="宋体"/>
          <w:b w:val="0"/>
          <w:bCs w:val="0"/>
          <w:color w:val="auto"/>
          <w:kern w:val="2"/>
          <w:sz w:val="24"/>
          <w:szCs w:val="21"/>
          <w:highlight w:val="none"/>
          <w:lang w:val="en-US" w:eastAsia="zh-CN" w:bidi="ar-SA"/>
        </w:rPr>
        <w:t>供应商</w:t>
      </w:r>
      <w:r>
        <w:rPr>
          <w:rFonts w:hint="eastAsia" w:ascii="宋体" w:hAnsi="宋体" w:eastAsia="宋体" w:cs="宋体"/>
          <w:b w:val="0"/>
          <w:bCs w:val="0"/>
          <w:color w:val="auto"/>
          <w:kern w:val="2"/>
          <w:sz w:val="24"/>
          <w:szCs w:val="21"/>
          <w:highlight w:val="none"/>
          <w:lang w:val="en-US" w:eastAsia="zh-CN" w:bidi="ar-SA"/>
        </w:rPr>
        <w:t>授予合同时止，凡与审查、澄清、评价和比较投标的有关资料以及授标意见等均不得向</w:t>
      </w:r>
      <w:r>
        <w:rPr>
          <w:rFonts w:hint="eastAsia" w:ascii="宋体" w:hAnsi="宋体" w:cs="宋体"/>
          <w:b w:val="0"/>
          <w:bCs w:val="0"/>
          <w:color w:val="auto"/>
          <w:kern w:val="2"/>
          <w:sz w:val="24"/>
          <w:szCs w:val="21"/>
          <w:highlight w:val="none"/>
          <w:lang w:val="en-US" w:eastAsia="zh-CN" w:bidi="ar-SA"/>
        </w:rPr>
        <w:t>供应商</w:t>
      </w:r>
      <w:r>
        <w:rPr>
          <w:rFonts w:hint="eastAsia" w:ascii="宋体" w:hAnsi="宋体" w:eastAsia="宋体" w:cs="宋体"/>
          <w:b w:val="0"/>
          <w:bCs w:val="0"/>
          <w:color w:val="auto"/>
          <w:kern w:val="2"/>
          <w:sz w:val="24"/>
          <w:szCs w:val="21"/>
          <w:highlight w:val="none"/>
          <w:lang w:val="en-US" w:eastAsia="zh-CN" w:bidi="ar-SA"/>
        </w:rPr>
        <w:t>及与投标无关的其他人透露。</w:t>
      </w:r>
    </w:p>
    <w:p>
      <w:pPr>
        <w:pStyle w:val="6"/>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24、资格审查</w:t>
      </w:r>
      <w:bookmarkEnd w:id="74"/>
    </w:p>
    <w:p>
      <w:pPr>
        <w:adjustRightInd w:val="0"/>
        <w:snapToGrid w:val="0"/>
        <w:spacing w:line="500" w:lineRule="exact"/>
        <w:ind w:firstLine="523" w:firstLineChars="218"/>
        <w:rPr>
          <w:rFonts w:hint="eastAsia" w:asciiTheme="majorEastAsia" w:hAnsiTheme="majorEastAsia" w:eastAsiaTheme="majorEastAsia" w:cstheme="majorEastAsia"/>
          <w:bCs/>
          <w:color w:val="auto"/>
          <w:sz w:val="24"/>
          <w:szCs w:val="24"/>
          <w:highlight w:val="none"/>
        </w:rPr>
      </w:pPr>
      <w:bookmarkStart w:id="75" w:name="_Toc25332"/>
      <w:bookmarkStart w:id="76" w:name="_Toc21778"/>
      <w:r>
        <w:rPr>
          <w:rFonts w:hint="eastAsia" w:asciiTheme="majorEastAsia" w:hAnsiTheme="majorEastAsia" w:eastAsiaTheme="majorEastAsia" w:cstheme="majorEastAsia"/>
          <w:bCs/>
          <w:color w:val="auto"/>
          <w:sz w:val="24"/>
          <w:szCs w:val="24"/>
          <w:highlight w:val="none"/>
        </w:rPr>
        <w:t>公开招标采购项目开标结束后，采购人或者采购代理机构应当依法对</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的资格进行审查。</w:t>
      </w:r>
    </w:p>
    <w:p>
      <w:pPr>
        <w:pStyle w:val="2"/>
        <w:rPr>
          <w:rFonts w:hint="eastAsia"/>
          <w:color w:val="auto"/>
          <w:highlight w:val="none"/>
        </w:rPr>
      </w:pPr>
    </w:p>
    <w:tbl>
      <w:tblPr>
        <w:tblStyle w:val="39"/>
        <w:tblpPr w:leftFromText="180" w:rightFromText="180" w:vertAnchor="text" w:horzAnchor="page" w:tblpX="1698" w:tblpY="208"/>
        <w:tblOverlap w:val="never"/>
        <w:tblW w:w="869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9"/>
        <w:gridCol w:w="780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序号</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snapToGrid w:val="0"/>
              <w:spacing w:line="40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审查</w:t>
            </w:r>
            <w:r>
              <w:rPr>
                <w:rFonts w:hint="eastAsia" w:asciiTheme="majorEastAsia" w:hAnsiTheme="majorEastAsia" w:eastAsiaTheme="majorEastAsia" w:cstheme="majorEastAsia"/>
                <w:bCs/>
                <w:color w:val="auto"/>
                <w:sz w:val="24"/>
                <w:szCs w:val="24"/>
                <w:highlight w:val="none"/>
              </w:rPr>
              <w:t>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47"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ascii="宋体" w:hAnsi="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在中华人民共和国境内注册或登记，具有有效的营业执照（事业单位法人证书、民办非企业单位登记证书、社会团体法人登记证书、基金会法人登记证书、自然人身份证）；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17"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符合《中华人民共和国政府采购法》第二十二条的相关规定</w:t>
            </w:r>
            <w:r>
              <w:rPr>
                <w:rFonts w:hint="eastAsia" w:ascii="宋体" w:hAnsi="宋体" w:cs="宋体"/>
                <w:color w:val="auto"/>
                <w:sz w:val="24"/>
                <w:szCs w:val="24"/>
                <w:highlight w:val="none"/>
                <w:lang w:eastAsia="zh-CN"/>
              </w:rPr>
              <w:t>；</w:t>
            </w:r>
          </w:p>
          <w:p>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1.1 具有独立承担民事责任的能力；</w:t>
            </w:r>
          </w:p>
          <w:p>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1.2 具有良好的商业信誉和健全的财务会计制度：应提供本单位2022年度或2023年度经会计师事务所出具的审计报告复印件（报告中须包括资产负债表、利润表、现金流量表及财务报表附注）。如供应商注册不满1年提供具有良好的商业信誉和健全的财务会计制度承诺函；</w:t>
            </w:r>
          </w:p>
          <w:p>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1.3 具有履行合同所必需的设备和专业技术能力：须附相关证明材料或声明 ；</w:t>
            </w:r>
          </w:p>
          <w:p>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1.4 有依法缴纳税收和社会保障资金的良好记录：缴纳税收的证明材料，指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缴纳增值税和企业所得税两种缴纳凭据；本项目开标前6个月内（至少提供1个月）缴纳税收的凭据（完税证、缴款书、印花税票、银行代扣（代缴）转账凭证等均可）；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依法缴纳社会保障资金的证明材料：本项目开标前 6个月内（至少提供1个月）缴纳社会保险的凭据（专用收据或社会保险交纳清单）；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为其他组织或自然人的，也需要按此项规定提供缴纳税收的凭据和交纳社会保险的凭据。如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的社会保险为委托第三方代缴，还需同时提供</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与第三方服务机构签署的服务合同（合同中应明确写明第三方为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代缴其社会保险）； </w:t>
            </w:r>
          </w:p>
          <w:p>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1.5 参加政府采购活动前三年内，在经营活动中没有重大违法记录：提供前三年内在经营活动中没有重大违法记录的书面声明； </w:t>
            </w:r>
          </w:p>
          <w:p>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1.6 法律、行政法规规定的其他条件。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w:t>
            </w:r>
          </w:p>
        </w:tc>
        <w:tc>
          <w:tcPr>
            <w:tcW w:w="7807" w:type="dxa"/>
            <w:tcBorders>
              <w:top w:val="nil"/>
              <w:left w:val="nil"/>
              <w:bottom w:val="single" w:color="auto" w:sz="8" w:space="0"/>
              <w:right w:val="single" w:color="auto" w:sz="8" w:space="0"/>
            </w:tcBorders>
            <w:tcMar>
              <w:left w:w="108" w:type="dxa"/>
              <w:right w:w="108" w:type="dxa"/>
            </w:tcMar>
            <w:vAlign w:val="center"/>
          </w:tcPr>
          <w:p>
            <w:pPr>
              <w:widowControl/>
              <w:numPr>
                <w:ilvl w:val="0"/>
                <w:numId w:val="0"/>
              </w:numPr>
              <w:tabs>
                <w:tab w:val="left" w:pos="720"/>
                <w:tab w:val="left" w:pos="900"/>
                <w:tab w:val="left" w:pos="1080"/>
                <w:tab w:val="left" w:pos="1260"/>
                <w:tab w:val="left" w:pos="1440"/>
                <w:tab w:val="left" w:pos="1800"/>
              </w:tabs>
              <w:spacing w:line="288"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本项目</w:t>
            </w:r>
            <w:r>
              <w:rPr>
                <w:rFonts w:hint="eastAsia" w:ascii="宋体" w:hAnsi="宋体" w:cs="宋体"/>
                <w:color w:val="auto"/>
                <w:sz w:val="24"/>
                <w:szCs w:val="24"/>
                <w:highlight w:val="none"/>
                <w:lang w:val="en-US" w:eastAsia="zh-CN"/>
              </w:rPr>
              <w:t>标包三的运兵车A</w:t>
            </w:r>
            <w:r>
              <w:rPr>
                <w:rFonts w:hint="eastAsia" w:ascii="宋体" w:hAnsi="宋体" w:cs="宋体"/>
                <w:color w:val="auto"/>
                <w:sz w:val="24"/>
                <w:szCs w:val="24"/>
                <w:highlight w:val="none"/>
              </w:rPr>
              <w:t>应取得有效期内的强制性认证证书（CCC认证证书）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供应商须在投标文件中提供认证证书复印件（加盖公章），否则将被视为无效投标。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64"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hint="eastAsia" w:ascii="宋体" w:hAnsi="宋体" w:cs="宋体" w:eastAsia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与采购人存在利害关系可能影响招标公正性的法人、其他组织或者个人，不得参加同一标段投标或者未划分标段的同一招标不得参加投标；</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提供声明函</w:t>
            </w:r>
            <w:r>
              <w:rPr>
                <w:rFonts w:hint="eastAsia" w:asciiTheme="majorEastAsia" w:hAnsiTheme="majorEastAsia" w:eastAsiaTheme="majorEastAsia" w:cstheme="maj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36"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5</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投标单位负责人为同一人或者存在直接控股、管理关系的不同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不得参加同一合同项下的采购活动。</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提供声明函</w:t>
            </w:r>
            <w:r>
              <w:rPr>
                <w:rFonts w:hint="eastAsia" w:asciiTheme="majorEastAsia" w:hAnsiTheme="majorEastAsia" w:eastAsiaTheme="majorEastAsia" w:cstheme="maj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6</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投标单位未被列入失信被执行人、</w:t>
            </w:r>
            <w:r>
              <w:rPr>
                <w:rFonts w:hint="eastAsia" w:asciiTheme="majorEastAsia" w:hAnsiTheme="majorEastAsia" w:eastAsiaTheme="majorEastAsia" w:cstheme="majorEastAsia"/>
                <w:color w:val="auto"/>
                <w:sz w:val="24"/>
                <w:szCs w:val="24"/>
                <w:highlight w:val="none"/>
                <w:lang w:eastAsia="zh-CN"/>
              </w:rPr>
              <w:t>重大税收违法失信主体</w:t>
            </w:r>
            <w:r>
              <w:rPr>
                <w:rFonts w:hint="eastAsia" w:asciiTheme="majorEastAsia" w:hAnsiTheme="majorEastAsia" w:eastAsiaTheme="majorEastAsia" w:cstheme="majorEastAsia"/>
                <w:color w:val="auto"/>
                <w:sz w:val="24"/>
                <w:szCs w:val="24"/>
                <w:highlight w:val="none"/>
              </w:rPr>
              <w:t>、政府采购严重违法失信行为记录名单。</w:t>
            </w:r>
          </w:p>
          <w:p>
            <w:pPr>
              <w:snapToGrid w:val="0"/>
              <w:spacing w:line="400" w:lineRule="exact"/>
              <w:rPr>
                <w:rFonts w:ascii="宋体" w:hAnsi="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注：开标当天采购代理机构将通过“信用中国”网站（</w:t>
            </w:r>
            <w:r>
              <w:rPr>
                <w:rFonts w:hint="eastAsia" w:asciiTheme="majorEastAsia" w:hAnsiTheme="majorEastAsia" w:eastAsiaTheme="majorEastAsia" w:cstheme="majorEastAsia"/>
                <w:color w:val="auto"/>
                <w:spacing w:val="-34"/>
                <w:sz w:val="24"/>
                <w:szCs w:val="24"/>
                <w:highlight w:val="none"/>
              </w:rPr>
              <w:t>www.creditchina.gov.cn</w:t>
            </w:r>
            <w:r>
              <w:rPr>
                <w:rFonts w:hint="eastAsia" w:asciiTheme="majorEastAsia" w:hAnsiTheme="majorEastAsia" w:eastAsiaTheme="majorEastAsia" w:cstheme="majorEastAsia"/>
                <w:color w:val="auto"/>
                <w:sz w:val="24"/>
                <w:szCs w:val="24"/>
                <w:highlight w:val="none"/>
              </w:rPr>
              <w:t>）和中国政府采购网（</w:t>
            </w:r>
            <w:r>
              <w:rPr>
                <w:rFonts w:hint="eastAsia" w:asciiTheme="majorEastAsia" w:hAnsiTheme="majorEastAsia" w:eastAsiaTheme="majorEastAsia" w:cstheme="majorEastAsia"/>
                <w:color w:val="auto"/>
                <w:spacing w:val="-34"/>
                <w:sz w:val="24"/>
                <w:szCs w:val="24"/>
                <w:highlight w:val="none"/>
              </w:rPr>
              <w:t>www.ccgp.gov.cn</w:t>
            </w:r>
            <w:r>
              <w:rPr>
                <w:rFonts w:hint="eastAsia" w:asciiTheme="majorEastAsia" w:hAnsiTheme="majorEastAsia" w:eastAsiaTheme="majorEastAsia" w:cstheme="majorEastAsia"/>
                <w:color w:val="auto"/>
                <w:sz w:val="24"/>
                <w:szCs w:val="24"/>
                <w:highlight w:val="none"/>
              </w:rPr>
              <w:t>）对</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的信用信息进行查询，查询截止时间点即投标截止时间。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7</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按招标文件要求缴纳了投标保证金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提供缴纳凭证</w:t>
            </w:r>
            <w:r>
              <w:rPr>
                <w:rFonts w:hint="eastAsia" w:ascii="宋体" w:hAnsi="宋体" w:cs="宋体"/>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80" w:hRule="atLeast"/>
        </w:trPr>
        <w:tc>
          <w:tcPr>
            <w:tcW w:w="8696" w:type="dxa"/>
            <w:gridSpan w:val="2"/>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00" w:lineRule="exact"/>
              <w:ind w:firstLine="33" w:firstLineChars="14"/>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备注：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如果资格评审中有一项不满足审查标准的，将认定该供应商不通过资格审查，不得进入下一阶段评审，并且不允许供应商通过修改或撤销其不符合要求的差异或保留，使其成为实质性响应。</w:t>
            </w:r>
          </w:p>
          <w:p>
            <w:pPr>
              <w:adjustRightInd w:val="0"/>
              <w:snapToGrid w:val="0"/>
              <w:spacing w:line="400" w:lineRule="exact"/>
              <w:ind w:firstLine="751" w:firstLineChars="313"/>
              <w:rPr>
                <w:rFonts w:hint="default"/>
                <w:color w:val="auto"/>
                <w:highlight w:val="none"/>
                <w:lang w:val="en-US"/>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合格供应商不足3家的，不得评标。</w:t>
            </w:r>
          </w:p>
        </w:tc>
      </w:tr>
    </w:tbl>
    <w:p>
      <w:pPr>
        <w:pStyle w:val="2"/>
        <w:rPr>
          <w:rFonts w:hint="eastAsia"/>
          <w:color w:val="auto"/>
          <w:highlight w:val="none"/>
        </w:rPr>
      </w:pPr>
    </w:p>
    <w:p>
      <w:pPr>
        <w:pStyle w:val="5"/>
        <w:rPr>
          <w:color w:val="auto"/>
          <w:highlight w:val="none"/>
        </w:rPr>
      </w:pPr>
      <w:r>
        <w:rPr>
          <w:rFonts w:hint="eastAsia"/>
          <w:color w:val="auto"/>
          <w:highlight w:val="none"/>
        </w:rPr>
        <w:t>五、评标</w:t>
      </w:r>
      <w:bookmarkEnd w:id="75"/>
      <w:bookmarkEnd w:id="76"/>
    </w:p>
    <w:p>
      <w:pPr>
        <w:pStyle w:val="6"/>
        <w:rPr>
          <w:color w:val="auto"/>
          <w:highlight w:val="none"/>
        </w:rPr>
      </w:pPr>
      <w:bookmarkStart w:id="77" w:name="_Toc9510639"/>
      <w:bookmarkStart w:id="78" w:name="_Toc6750"/>
      <w:r>
        <w:rPr>
          <w:rFonts w:hint="eastAsia"/>
          <w:color w:val="auto"/>
          <w:highlight w:val="none"/>
        </w:rPr>
        <w:t>25、组</w:t>
      </w:r>
      <w:bookmarkEnd w:id="77"/>
      <w:r>
        <w:rPr>
          <w:rFonts w:hint="eastAsia"/>
          <w:color w:val="auto"/>
          <w:highlight w:val="none"/>
        </w:rPr>
        <w:t>建评标委员会</w:t>
      </w:r>
      <w:bookmarkEnd w:id="78"/>
    </w:p>
    <w:p>
      <w:pPr>
        <w:pStyle w:val="6"/>
        <w:ind w:firstLine="480" w:firstLineChars="200"/>
        <w:rPr>
          <w:rFonts w:hint="eastAsia" w:ascii="宋体" w:hAnsi="宋体" w:eastAsia="宋体" w:cs="宋体"/>
          <w:b w:val="0"/>
          <w:bCs w:val="0"/>
          <w:color w:val="auto"/>
          <w:kern w:val="2"/>
          <w:sz w:val="24"/>
          <w:szCs w:val="24"/>
          <w:highlight w:val="none"/>
          <w:lang w:val="en-US" w:eastAsia="zh-CN" w:bidi="ar-SA"/>
        </w:rPr>
      </w:pPr>
      <w:bookmarkStart w:id="79" w:name="_Toc14527"/>
      <w:r>
        <w:rPr>
          <w:rFonts w:hint="eastAsia" w:ascii="宋体" w:hAnsi="宋体" w:eastAsia="宋体" w:cs="宋体"/>
          <w:b w:val="0"/>
          <w:bCs w:val="0"/>
          <w:color w:val="auto"/>
          <w:kern w:val="2"/>
          <w:sz w:val="24"/>
          <w:szCs w:val="24"/>
          <w:highlight w:val="none"/>
          <w:lang w:val="en-US" w:eastAsia="zh-CN" w:bidi="ar-SA"/>
        </w:rPr>
        <w:t>按《中华人民共和国政府采购法》相关要求，本项目评标委员会由政采云评标专家库随机抽取的5名评审专家和2名采购人代表组成。</w:t>
      </w:r>
    </w:p>
    <w:p>
      <w:pPr>
        <w:pStyle w:val="6"/>
        <w:rPr>
          <w:rFonts w:asciiTheme="majorEastAsia" w:hAnsiTheme="majorEastAsia" w:eastAsiaTheme="majorEastAsia" w:cstheme="majorEastAsia"/>
          <w:color w:val="auto"/>
          <w:sz w:val="24"/>
          <w:szCs w:val="24"/>
          <w:highlight w:val="none"/>
        </w:rPr>
      </w:pPr>
      <w:r>
        <w:rPr>
          <w:rFonts w:hint="eastAsia"/>
          <w:color w:val="auto"/>
          <w:highlight w:val="none"/>
        </w:rPr>
        <w:t>26、评标程序</w:t>
      </w:r>
      <w:bookmarkEnd w:id="79"/>
    </w:p>
    <w:p>
      <w:pPr>
        <w:adjustRightInd w:val="0"/>
        <w:snapToGrid w:val="0"/>
        <w:spacing w:line="400" w:lineRule="exact"/>
        <w:ind w:firstLine="470" w:firstLineChars="196"/>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26.</w:t>
      </w:r>
      <w:r>
        <w:rPr>
          <w:rFonts w:hint="eastAsia" w:asciiTheme="majorEastAsia" w:hAnsiTheme="majorEastAsia" w:eastAsiaTheme="majorEastAsia" w:cstheme="majorEastAsia"/>
          <w:b/>
          <w:bCs/>
          <w:color w:val="auto"/>
          <w:sz w:val="24"/>
          <w:szCs w:val="24"/>
          <w:highlight w:val="none"/>
          <w:lang w:val="en-US" w:eastAsia="zh-CN"/>
        </w:rPr>
        <w:t>1</w:t>
      </w:r>
      <w:r>
        <w:rPr>
          <w:rFonts w:hint="eastAsia" w:asciiTheme="majorEastAsia" w:hAnsiTheme="majorEastAsia" w:eastAsiaTheme="majorEastAsia" w:cstheme="majorEastAsia"/>
          <w:b/>
          <w:bCs/>
          <w:color w:val="auto"/>
          <w:sz w:val="24"/>
          <w:szCs w:val="24"/>
          <w:highlight w:val="none"/>
        </w:rPr>
        <w:t>符合性审查</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评标委员会对投标文件的完整性、合法性等进行审查。</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下列有一项未通过审查</w:t>
      </w:r>
      <w:r>
        <w:rPr>
          <w:rFonts w:hint="eastAsia" w:asciiTheme="majorEastAsia" w:hAnsiTheme="majorEastAsia" w:eastAsiaTheme="majorEastAsia" w:cstheme="majorEastAsia"/>
          <w:bCs/>
          <w:color w:val="auto"/>
          <w:sz w:val="24"/>
          <w:szCs w:val="24"/>
          <w:highlight w:val="none"/>
        </w:rPr>
        <w:t>内容</w:t>
      </w:r>
      <w:r>
        <w:rPr>
          <w:rFonts w:hint="eastAsia" w:asciiTheme="majorEastAsia" w:hAnsiTheme="majorEastAsia" w:eastAsiaTheme="majorEastAsia" w:cstheme="majorEastAsia"/>
          <w:color w:val="auto"/>
          <w:sz w:val="24"/>
          <w:szCs w:val="24"/>
          <w:highlight w:val="none"/>
        </w:rPr>
        <w:t>的，应在符合性审查时按照无效投标处理：</w:t>
      </w:r>
    </w:p>
    <w:tbl>
      <w:tblPr>
        <w:tblStyle w:val="39"/>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序号</w:t>
            </w:r>
          </w:p>
        </w:tc>
        <w:tc>
          <w:tcPr>
            <w:tcW w:w="7832" w:type="dxa"/>
            <w:vAlign w:val="center"/>
          </w:tcPr>
          <w:p>
            <w:pPr>
              <w:adjustRightInd w:val="0"/>
              <w:snapToGrid w:val="0"/>
              <w:spacing w:line="400" w:lineRule="exact"/>
              <w:jc w:val="center"/>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审查</w:t>
            </w:r>
            <w:r>
              <w:rPr>
                <w:rFonts w:hint="eastAsia" w:asciiTheme="majorEastAsia" w:hAnsiTheme="majorEastAsia" w:eastAsiaTheme="majorEastAsia" w:cstheme="majorEastAsia"/>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1</w:t>
            </w:r>
          </w:p>
        </w:tc>
        <w:tc>
          <w:tcPr>
            <w:tcW w:w="7832" w:type="dxa"/>
            <w:vAlign w:val="center"/>
          </w:tcPr>
          <w:p>
            <w:pPr>
              <w:adjustRightInd w:val="0"/>
              <w:snapToGrid w:val="0"/>
              <w:spacing w:line="400" w:lineRule="exact"/>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合同履约期限必须满足招标文件规定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lang w:val="en-US" w:eastAsia="zh-CN"/>
              </w:rPr>
              <w:t>2</w:t>
            </w:r>
          </w:p>
        </w:tc>
        <w:tc>
          <w:tcPr>
            <w:tcW w:w="7832" w:type="dxa"/>
            <w:vAlign w:val="center"/>
          </w:tcPr>
          <w:p>
            <w:pPr>
              <w:adjustRightInd w:val="0"/>
              <w:snapToGrid w:val="0"/>
              <w:spacing w:line="400" w:lineRule="exact"/>
              <w:ind w:firstLine="33" w:firstLineChars="14"/>
              <w:rPr>
                <w:rFonts w:ascii="宋体" w:hAnsi="宋体" w:cs="宋体"/>
                <w:color w:val="auto"/>
                <w:sz w:val="24"/>
                <w:szCs w:val="24"/>
                <w:highlight w:val="none"/>
              </w:rPr>
            </w:pPr>
            <w:r>
              <w:rPr>
                <w:rFonts w:hint="eastAsia" w:ascii="宋体" w:hAnsi="宋体" w:cs="宋体"/>
                <w:color w:val="auto"/>
                <w:sz w:val="24"/>
                <w:szCs w:val="24"/>
                <w:highlight w:val="none"/>
              </w:rPr>
              <w:t>只允许有一个报价，不接受可变动性报价、赠送及“零”报价。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lang w:val="en-US" w:eastAsia="zh-CN"/>
              </w:rPr>
              <w:t>3</w:t>
            </w:r>
          </w:p>
        </w:tc>
        <w:tc>
          <w:tcPr>
            <w:tcW w:w="7832" w:type="dxa"/>
            <w:vAlign w:val="center"/>
          </w:tcPr>
          <w:p>
            <w:pPr>
              <w:adjustRightInd w:val="0"/>
              <w:snapToGrid w:val="0"/>
              <w:spacing w:line="400" w:lineRule="exact"/>
              <w:ind w:firstLine="33" w:firstLineChars="14"/>
              <w:rPr>
                <w:rFonts w:ascii="宋体" w:hAnsi="宋体" w:cs="宋体"/>
                <w:color w:val="auto"/>
                <w:sz w:val="24"/>
                <w:szCs w:val="24"/>
                <w:highlight w:val="none"/>
              </w:rPr>
            </w:pPr>
            <w:r>
              <w:rPr>
                <w:rFonts w:hint="eastAsia" w:ascii="宋体" w:hAnsi="宋体" w:cs="宋体"/>
                <w:color w:val="auto"/>
                <w:sz w:val="24"/>
                <w:szCs w:val="24"/>
                <w:highlight w:val="none"/>
              </w:rPr>
              <w:t>必须采用人民币报价。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lang w:val="en-US" w:eastAsia="zh-CN"/>
              </w:rPr>
              <w:t>4</w:t>
            </w:r>
          </w:p>
        </w:tc>
        <w:tc>
          <w:tcPr>
            <w:tcW w:w="7832" w:type="dxa"/>
            <w:vAlign w:val="center"/>
          </w:tcPr>
          <w:p>
            <w:pPr>
              <w:adjustRightInd w:val="0"/>
              <w:snapToGrid w:val="0"/>
              <w:spacing w:line="400" w:lineRule="exact"/>
              <w:ind w:firstLine="33" w:firstLineChars="14"/>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的报价，有可能影响产品质量或者不能诚信履约的。若有时，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能在规定时间内作出合理说明或提供相关证明材料。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lang w:val="en-US" w:eastAsia="zh-CN"/>
              </w:rPr>
              <w:t>5</w:t>
            </w:r>
          </w:p>
        </w:tc>
        <w:tc>
          <w:tcPr>
            <w:tcW w:w="7832" w:type="dxa"/>
            <w:vAlign w:val="center"/>
          </w:tcPr>
          <w:p>
            <w:pPr>
              <w:adjustRightInd w:val="0"/>
              <w:snapToGrid w:val="0"/>
              <w:spacing w:line="400" w:lineRule="exact"/>
              <w:ind w:firstLine="33" w:firstLineChars="14"/>
              <w:rPr>
                <w:rFonts w:ascii="宋体" w:hAnsi="宋体" w:cs="宋体"/>
                <w:color w:val="auto"/>
                <w:sz w:val="24"/>
                <w:szCs w:val="24"/>
                <w:highlight w:val="none"/>
              </w:rPr>
            </w:pPr>
            <w:r>
              <w:rPr>
                <w:rFonts w:hint="eastAsia" w:ascii="宋体" w:hAnsi="宋体" w:cs="宋体"/>
                <w:color w:val="auto"/>
                <w:sz w:val="24"/>
                <w:szCs w:val="24"/>
                <w:highlight w:val="none"/>
              </w:rPr>
              <w:t>投标文件必须按招标文件规定格式完整提供，并要盖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章、法定代表人或被授权人签字或盖章。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lang w:val="en-US" w:eastAsia="zh-CN"/>
              </w:rPr>
              <w:t>6</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法定代表人（负责人、自然人）授权委托书必须按招标文件规定格式完整提供，并要盖</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章、法定代表人（负责人、自然人）签字或盖章，被授权人签字或盖章。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lang w:val="en-US" w:eastAsia="zh-CN"/>
              </w:rPr>
              <w:t>7</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投标报价没有超过最高限价</w:t>
            </w:r>
            <w:r>
              <w:rPr>
                <w:rFonts w:hint="eastAsia" w:asciiTheme="majorEastAsia" w:hAnsiTheme="majorEastAsia" w:eastAsiaTheme="majorEastAsia" w:cstheme="majorEastAsia"/>
                <w:color w:val="auto"/>
                <w:sz w:val="24"/>
                <w:szCs w:val="24"/>
                <w:highlight w:val="none"/>
                <w:lang w:val="en-US" w:eastAsia="zh-CN"/>
              </w:rPr>
              <w:t>且单价报价没有超出单价最高限价</w:t>
            </w:r>
            <w:r>
              <w:rPr>
                <w:rFonts w:hint="eastAsia" w:asciiTheme="majorEastAsia" w:hAnsiTheme="majorEastAsia" w:eastAsiaTheme="majorEastAsia" w:cstheme="maj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default"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8</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default"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9</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投标文件与招标文件没有重大偏离的。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default"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10</w:t>
            </w:r>
          </w:p>
        </w:tc>
        <w:tc>
          <w:tcPr>
            <w:tcW w:w="7832" w:type="dxa"/>
            <w:vAlign w:val="center"/>
          </w:tcPr>
          <w:p>
            <w:pPr>
              <w:adjustRightInd w:val="0"/>
              <w:snapToGrid w:val="0"/>
              <w:spacing w:line="400" w:lineRule="exact"/>
              <w:ind w:firstLine="33" w:firstLineChars="1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不存在其他无效情形的，如不符合法律、法规和招标文件规定的。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82" w:type="dxa"/>
            <w:gridSpan w:val="2"/>
            <w:vAlign w:val="center"/>
          </w:tcPr>
          <w:p>
            <w:pPr>
              <w:adjustRightInd w:val="0"/>
              <w:snapToGrid w:val="0"/>
              <w:spacing w:line="400" w:lineRule="exact"/>
              <w:ind w:firstLine="33" w:firstLineChars="14"/>
              <w:rPr>
                <w:rFonts w:hint="eastAsia" w:asciiTheme="majorEastAsia" w:hAnsiTheme="majorEastAsia" w:eastAsiaTheme="majorEastAsia" w:cstheme="majorEastAsia"/>
                <w:color w:val="auto"/>
                <w:sz w:val="24"/>
                <w:szCs w:val="24"/>
                <w:highlight w:val="none"/>
              </w:rPr>
            </w:pPr>
            <w:r>
              <w:rPr>
                <w:rFonts w:hint="eastAsia" w:ascii="宋体" w:hAnsi="宋体" w:cs="宋体"/>
                <w:color w:val="auto"/>
                <w:sz w:val="24"/>
                <w:szCs w:val="24"/>
                <w:highlight w:val="none"/>
                <w:lang w:eastAsia="zh-CN"/>
              </w:rPr>
              <w:t>备注：如果符合性审查中有一项不满足审查标准的，将认定该供应商不通过符合性审查，不得进入下一阶段评审，并且不允许供应商通过修改或撤销其不符合要求的差异或保留，使其成为实质性响应。</w:t>
            </w:r>
          </w:p>
        </w:tc>
      </w:tr>
    </w:tbl>
    <w:p>
      <w:pPr>
        <w:pStyle w:val="25"/>
        <w:rPr>
          <w:color w:val="auto"/>
          <w:highlight w:val="none"/>
        </w:rPr>
      </w:pPr>
    </w:p>
    <w:p>
      <w:pPr>
        <w:adjustRightInd w:val="0"/>
        <w:snapToGrid w:val="0"/>
        <w:spacing w:line="500" w:lineRule="exact"/>
        <w:ind w:firstLine="470" w:firstLineChars="196"/>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26.</w:t>
      </w:r>
      <w:r>
        <w:rPr>
          <w:rFonts w:hint="eastAsia" w:asciiTheme="majorEastAsia" w:hAnsiTheme="majorEastAsia" w:eastAsiaTheme="majorEastAsia" w:cstheme="majorEastAsia"/>
          <w:b/>
          <w:bCs/>
          <w:color w:val="auto"/>
          <w:sz w:val="24"/>
          <w:szCs w:val="24"/>
          <w:highlight w:val="none"/>
          <w:lang w:val="en-US" w:eastAsia="zh-CN"/>
        </w:rPr>
        <w:t>2</w:t>
      </w:r>
      <w:r>
        <w:rPr>
          <w:rFonts w:hint="eastAsia" w:asciiTheme="majorEastAsia" w:hAnsiTheme="majorEastAsia" w:eastAsiaTheme="majorEastAsia" w:cstheme="majorEastAsia"/>
          <w:b/>
          <w:bCs/>
          <w:color w:val="auto"/>
          <w:sz w:val="24"/>
          <w:szCs w:val="24"/>
          <w:highlight w:val="none"/>
        </w:rPr>
        <w:t xml:space="preserve"> 实质审查与比较</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.1评标委员会审查投标文件的实质性内容是否符合招标文件的实质性要求。</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.2评标委员会将根据</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的投标文件进行审查、核对,如有疑问,将对</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进行询标,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要向评标委员会澄清有关问题,并最终以书面形式进行答复。</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.3各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的技术得分为所有评委的有效评分的算术平均数。</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.4采购代理机构工作人员协助评标委员会根据本项目的评分标准计算各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的商务报价得分。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.5评标委员会完成评标后,评委对各部分得分汇总,计算出本项目最终得分。评标委员会按评标原则推荐中标候选人，同时</w:t>
      </w:r>
      <w:r>
        <w:rPr>
          <w:rFonts w:hint="eastAsia" w:asciiTheme="majorEastAsia" w:hAnsiTheme="majorEastAsia" w:eastAsiaTheme="majorEastAsia" w:cstheme="majorEastAsia"/>
          <w:color w:val="auto"/>
          <w:sz w:val="24"/>
          <w:szCs w:val="24"/>
          <w:highlight w:val="none"/>
          <w:lang w:val="en-US" w:eastAsia="zh-CN"/>
        </w:rPr>
        <w:t>提交评审结果</w:t>
      </w:r>
      <w:r>
        <w:rPr>
          <w:rFonts w:hint="eastAsia" w:asciiTheme="majorEastAsia" w:hAnsiTheme="majorEastAsia" w:eastAsiaTheme="majorEastAsia" w:cstheme="majorEastAsia"/>
          <w:color w:val="auto"/>
          <w:sz w:val="24"/>
          <w:szCs w:val="24"/>
          <w:highlight w:val="none"/>
        </w:rPr>
        <w:t>。</w:t>
      </w:r>
    </w:p>
    <w:p>
      <w:pPr>
        <w:pStyle w:val="6"/>
        <w:rPr>
          <w:color w:val="auto"/>
          <w:highlight w:val="none"/>
        </w:rPr>
      </w:pPr>
      <w:bookmarkStart w:id="80" w:name="_Toc26304"/>
      <w:r>
        <w:rPr>
          <w:rFonts w:hint="eastAsia"/>
          <w:color w:val="auto"/>
          <w:highlight w:val="none"/>
        </w:rPr>
        <w:t>27、澄清问题的形式</w:t>
      </w:r>
      <w:bookmarkEnd w:id="80"/>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对投标文件中含义不明确、同类问题表述不一致或者有明显文字和计算错误的内容，评标委员会可要求</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作出必要的澄清、说明或者纠正。</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的澄清、说明或者补正应当采用书面形式，由其授权代表签字或盖章确认，并不得超出投标文件的范围或者改变投标文件的实质性内容。</w:t>
      </w:r>
    </w:p>
    <w:p>
      <w:pPr>
        <w:pStyle w:val="6"/>
        <w:rPr>
          <w:color w:val="auto"/>
          <w:highlight w:val="none"/>
        </w:rPr>
      </w:pPr>
      <w:bookmarkStart w:id="81" w:name="_Toc1409"/>
      <w:r>
        <w:rPr>
          <w:rFonts w:hint="eastAsia"/>
          <w:color w:val="auto"/>
          <w:highlight w:val="none"/>
        </w:rPr>
        <w:t>28、错误修正</w:t>
      </w:r>
      <w:bookmarkEnd w:id="81"/>
    </w:p>
    <w:p>
      <w:pPr>
        <w:adjustRightInd w:val="0"/>
        <w:snapToGrid w:val="0"/>
        <w:spacing w:line="500" w:lineRule="exact"/>
        <w:ind w:left="718" w:leftChars="228" w:hanging="240" w:hangingChars="1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投标文件如果出现计算或表达上的错误，修正错误的原则如下：</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28.1 开标一览表总价与投标报价明细表汇总数不一致的，</w:t>
      </w:r>
      <w:r>
        <w:rPr>
          <w:rFonts w:hint="eastAsia" w:asciiTheme="majorEastAsia" w:hAnsiTheme="majorEastAsia" w:eastAsiaTheme="majorEastAsia" w:cstheme="majorEastAsia"/>
          <w:color w:val="auto"/>
          <w:kern w:val="0"/>
          <w:sz w:val="24"/>
          <w:szCs w:val="24"/>
          <w:highlight w:val="none"/>
        </w:rPr>
        <w:t>以开标一览表为准；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28.2 投标文件的大写金额和小写金额不一致的，以大写金额为准；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28.3 总价金额与按单价汇总金额不一致的，以单价金额计算结果为准；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28.4 对不同文字文本投标文件的解释发生异议的，以中文文本为准。</w:t>
      </w:r>
    </w:p>
    <w:p>
      <w:pPr>
        <w:adjustRightInd w:val="0"/>
        <w:snapToGrid w:val="0"/>
        <w:spacing w:line="500" w:lineRule="exact"/>
        <w:ind w:firstLine="480" w:firstLineChars="200"/>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按上述修正错误的原则及方法调整或修正投标文件的投标报价，</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同意并签字确认后，调整后的投标报价对</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具有约束作用。如果</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不接受修正后的报价，则其投标将作为无效投标处理。</w:t>
      </w:r>
    </w:p>
    <w:p>
      <w:pPr>
        <w:pStyle w:val="6"/>
        <w:rPr>
          <w:color w:val="auto"/>
          <w:highlight w:val="none"/>
        </w:rPr>
      </w:pPr>
      <w:bookmarkStart w:id="82" w:name="_Toc8797"/>
      <w:r>
        <w:rPr>
          <w:rFonts w:hint="eastAsia"/>
          <w:color w:val="auto"/>
          <w:highlight w:val="none"/>
        </w:rPr>
        <w:t>29、评标原则和评标办法</w:t>
      </w:r>
      <w:bookmarkEnd w:id="82"/>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29.1 评标原则。评标委员会必须公平、公正、客观，不带任何倾向性和启发性；不得向外界透露任何与评标有关的内容；任何单位和个人不得干扰、影响评标的正常进行；评标委员会及有关工作人员不得私下与</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接触。</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29.2 评标办法。本项目评标办法是</w:t>
      </w:r>
      <w:r>
        <w:rPr>
          <w:rFonts w:hint="eastAsia" w:asciiTheme="majorEastAsia" w:hAnsiTheme="majorEastAsia" w:eastAsiaTheme="majorEastAsia" w:cstheme="majorEastAsia"/>
          <w:b/>
          <w:color w:val="auto"/>
          <w:sz w:val="24"/>
          <w:szCs w:val="24"/>
          <w:highlight w:val="none"/>
          <w:u w:val="single"/>
        </w:rPr>
        <w:t xml:space="preserve"> 综合评分法 </w:t>
      </w:r>
      <w:r>
        <w:rPr>
          <w:rFonts w:hint="eastAsia" w:asciiTheme="majorEastAsia" w:hAnsiTheme="majorEastAsia" w:eastAsiaTheme="majorEastAsia" w:cstheme="majorEastAsia"/>
          <w:color w:val="auto"/>
          <w:sz w:val="24"/>
          <w:szCs w:val="24"/>
          <w:highlight w:val="none"/>
        </w:rPr>
        <w:t>，具体评标内容及评分标准等详见《第三章 评分办法及评分标准》。</w:t>
      </w:r>
    </w:p>
    <w:p>
      <w:pPr>
        <w:pStyle w:val="21"/>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29.3废标</w:t>
      </w:r>
    </w:p>
    <w:p>
      <w:pPr>
        <w:pStyle w:val="21"/>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在采购中，出现下列情形之一的，本项目或标包应予废标：</w:t>
      </w:r>
    </w:p>
    <w:p>
      <w:pPr>
        <w:pStyle w:val="21"/>
        <w:adjustRightInd w:val="0"/>
        <w:snapToGrid w:val="0"/>
        <w:spacing w:line="500" w:lineRule="exact"/>
        <w:ind w:firstLine="420" w:firstLineChars="1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(1）出现影响采购公正的违法、违规行为的；</w:t>
      </w:r>
    </w:p>
    <w:p>
      <w:pPr>
        <w:pStyle w:val="21"/>
        <w:adjustRightInd w:val="0"/>
        <w:snapToGrid w:val="0"/>
        <w:spacing w:line="500" w:lineRule="exact"/>
        <w:ind w:firstLine="420" w:firstLineChars="1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(2）有效投标单位不足三家的；</w:t>
      </w:r>
    </w:p>
    <w:p>
      <w:pPr>
        <w:pStyle w:val="21"/>
        <w:adjustRightInd w:val="0"/>
        <w:snapToGrid w:val="0"/>
        <w:spacing w:line="500" w:lineRule="exact"/>
        <w:ind w:firstLine="420" w:firstLineChars="1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(3）因重大变故，采购任务取消的。</w:t>
      </w:r>
    </w:p>
    <w:p>
      <w:pPr>
        <w:pStyle w:val="5"/>
        <w:rPr>
          <w:color w:val="auto"/>
          <w:highlight w:val="none"/>
        </w:rPr>
      </w:pPr>
      <w:bookmarkStart w:id="83" w:name="_Toc5562"/>
      <w:bookmarkStart w:id="84" w:name="_Toc17951"/>
      <w:r>
        <w:rPr>
          <w:rFonts w:hint="eastAsia"/>
          <w:color w:val="auto"/>
          <w:highlight w:val="none"/>
        </w:rPr>
        <w:t>六、定标及</w:t>
      </w:r>
      <w:bookmarkStart w:id="85" w:name="_Toc9510640"/>
      <w:r>
        <w:rPr>
          <w:rFonts w:hint="eastAsia"/>
          <w:color w:val="auto"/>
          <w:highlight w:val="none"/>
        </w:rPr>
        <w:t>合同授予</w:t>
      </w:r>
      <w:bookmarkEnd w:id="83"/>
      <w:bookmarkEnd w:id="84"/>
    </w:p>
    <w:p>
      <w:pPr>
        <w:pStyle w:val="6"/>
        <w:rPr>
          <w:color w:val="auto"/>
          <w:highlight w:val="none"/>
        </w:rPr>
      </w:pPr>
      <w:bookmarkStart w:id="86" w:name="_Toc31428"/>
      <w:r>
        <w:rPr>
          <w:rFonts w:hint="eastAsia"/>
          <w:color w:val="auto"/>
          <w:highlight w:val="none"/>
        </w:rPr>
        <w:t>30、确</w:t>
      </w:r>
      <w:bookmarkEnd w:id="85"/>
      <w:r>
        <w:rPr>
          <w:rFonts w:hint="eastAsia"/>
          <w:color w:val="auto"/>
          <w:highlight w:val="none"/>
        </w:rPr>
        <w:t>定中标人</w:t>
      </w:r>
      <w:bookmarkEnd w:id="86"/>
    </w:p>
    <w:p>
      <w:pPr>
        <w:adjustRightInd w:val="0"/>
        <w:snapToGrid w:val="0"/>
        <w:spacing w:line="500" w:lineRule="exact"/>
        <w:ind w:firstLine="470" w:firstLineChars="196"/>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本项目由采购人确定中标人。</w:t>
      </w:r>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30.1本项目由评标委员会推荐每个标包的</w:t>
      </w:r>
      <w:r>
        <w:rPr>
          <w:rFonts w:hint="eastAsia" w:asciiTheme="majorEastAsia" w:hAnsiTheme="majorEastAsia" w:eastAsiaTheme="majorEastAsia" w:cstheme="majorEastAsia"/>
          <w:color w:val="auto"/>
          <w:sz w:val="24"/>
          <w:szCs w:val="24"/>
          <w:highlight w:val="none"/>
          <w:lang w:val="en-US" w:eastAsia="zh-CN"/>
        </w:rPr>
        <w:t>三名</w:t>
      </w:r>
      <w:r>
        <w:rPr>
          <w:rFonts w:hint="eastAsia" w:asciiTheme="majorEastAsia" w:hAnsiTheme="majorEastAsia" w:eastAsiaTheme="majorEastAsia" w:cstheme="majorEastAsia"/>
          <w:color w:val="auto"/>
          <w:sz w:val="24"/>
          <w:szCs w:val="24"/>
          <w:highlight w:val="none"/>
        </w:rPr>
        <w:t>中标候选人，</w:t>
      </w:r>
      <w:r>
        <w:rPr>
          <w:rFonts w:hint="eastAsia" w:cs="宋体" w:asciiTheme="minorEastAsia" w:hAnsiTheme="minorEastAsia"/>
          <w:color w:val="auto"/>
          <w:kern w:val="0"/>
          <w:sz w:val="24"/>
          <w:szCs w:val="24"/>
          <w:highlight w:val="none"/>
        </w:rPr>
        <w:t>采购代理机构应当自评审结束之日起2个工作日内将评审报告送交采购人。采购人应当自收到评审报告之日起5个工作日内在评审报告推荐的中标或者成交候选人中按顺序确定中标或者成交供应商。</w:t>
      </w:r>
    </w:p>
    <w:p>
      <w:pPr>
        <w:adjustRightInd w:val="0"/>
        <w:snapToGrid w:val="0"/>
        <w:spacing w:line="500" w:lineRule="exact"/>
        <w:ind w:firstLine="470" w:firstLineChars="196"/>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30.2</w:t>
      </w:r>
      <w:r>
        <w:rPr>
          <w:rFonts w:hint="eastAsia" w:cs="宋体" w:asciiTheme="minorEastAsia" w:hAnsiTheme="minorEastAsia"/>
          <w:color w:val="auto"/>
          <w:kern w:val="0"/>
          <w:sz w:val="24"/>
          <w:szCs w:val="24"/>
          <w:highlight w:val="none"/>
        </w:rPr>
        <w:t>采购人或者采购代理机构应当自中标、成交供应商确定之日起2个工作日内，发出中标、成交通知书，并在省级以上人民政府财政部门指定的媒体上公告中标、成交结果</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如对评审结果有质疑的，按照《中华人民共和国政府采购法》、《中华人民共和国政府采购法实施条例》等有关程序办理。</w:t>
      </w:r>
    </w:p>
    <w:p>
      <w:pPr>
        <w:pStyle w:val="6"/>
        <w:rPr>
          <w:color w:val="auto"/>
          <w:highlight w:val="none"/>
        </w:rPr>
      </w:pPr>
      <w:bookmarkStart w:id="87" w:name="_Toc4164"/>
      <w:r>
        <w:rPr>
          <w:rFonts w:hint="eastAsia"/>
          <w:color w:val="auto"/>
          <w:highlight w:val="none"/>
        </w:rPr>
        <w:t>31、签订合同</w:t>
      </w:r>
      <w:bookmarkEnd w:id="87"/>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31.1招标文件和中标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的投标文件均为签订采购合同的依据。</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31.2中标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应当在中标通知书发出之日起30日内，与采购人签订采购合同。</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31.3采购人不得与中标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订立背离招标文件确定的合同文本以及采购标的、规格型号、采购金额、采购数量、技术和服务要求等实质性内容的协议。</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31.4自政府采购合同签订之日起2个工作日内，本项目政府采购合同在</w:t>
      </w:r>
      <w:r>
        <w:rPr>
          <w:rFonts w:hint="eastAsia" w:asciiTheme="majorEastAsia" w:hAnsiTheme="majorEastAsia" w:eastAsiaTheme="majorEastAsia" w:cstheme="majorEastAsia"/>
          <w:color w:val="auto"/>
          <w:sz w:val="24"/>
          <w:szCs w:val="24"/>
          <w:highlight w:val="none"/>
          <w:lang w:val="en-US" w:eastAsia="zh-CN"/>
        </w:rPr>
        <w:t>新疆政府采购网（http://www.ccgp-xinjiang.gov.cn/）、中国政府采购网（http://www.ccgp.gov.cn/）</w:t>
      </w:r>
      <w:r>
        <w:rPr>
          <w:rFonts w:hint="eastAsia" w:asciiTheme="majorEastAsia" w:hAnsiTheme="majorEastAsia" w:eastAsiaTheme="majorEastAsia" w:cstheme="majorEastAsia"/>
          <w:color w:val="auto"/>
          <w:sz w:val="24"/>
          <w:szCs w:val="24"/>
          <w:highlight w:val="none"/>
        </w:rPr>
        <w:t>上公告，但政府采购合同中涉及国家秘密、商业秘密的内容除外。</w:t>
      </w:r>
    </w:p>
    <w:p>
      <w:pPr>
        <w:pStyle w:val="6"/>
        <w:rPr>
          <w:color w:val="auto"/>
          <w:highlight w:val="none"/>
        </w:rPr>
      </w:pPr>
      <w:bookmarkStart w:id="88" w:name="_Toc15336"/>
      <w:r>
        <w:rPr>
          <w:rFonts w:hint="eastAsia"/>
          <w:color w:val="auto"/>
          <w:highlight w:val="none"/>
        </w:rPr>
        <w:t>32、其他说明</w:t>
      </w:r>
      <w:bookmarkEnd w:id="88"/>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保密要求：在合同期内或合同终止后，未征得有关方同意，不得泄露与本项目、本合同业务有关的保密资料。</w:t>
      </w:r>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本招标文件未尽事宜按现行招标投标的有关法律法规和规定执行。</w:t>
      </w:r>
    </w:p>
    <w:p>
      <w:pPr>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br w:type="page"/>
      </w:r>
    </w:p>
    <w:p>
      <w:pPr>
        <w:pStyle w:val="3"/>
        <w:rPr>
          <w:color w:val="auto"/>
          <w:highlight w:val="none"/>
        </w:rPr>
      </w:pPr>
      <w:bookmarkStart w:id="89" w:name="_Toc23127"/>
      <w:bookmarkStart w:id="90" w:name="_Toc8515"/>
      <w:bookmarkStart w:id="91" w:name="_Toc30905"/>
      <w:r>
        <w:rPr>
          <w:rFonts w:hint="eastAsia"/>
          <w:color w:val="auto"/>
          <w:highlight w:val="none"/>
        </w:rPr>
        <w:t>第三章 评分</w:t>
      </w:r>
      <w:bookmarkEnd w:id="89"/>
      <w:bookmarkEnd w:id="90"/>
      <w:r>
        <w:rPr>
          <w:rFonts w:hint="eastAsia"/>
          <w:color w:val="auto"/>
          <w:highlight w:val="none"/>
        </w:rPr>
        <w:t>办法及评分标准</w:t>
      </w:r>
      <w:bookmarkEnd w:id="91"/>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为公正、公平、科学地选择中标人，根据有关法律法规的规定，并结合本项目的实际情况，制定本办法。</w:t>
      </w:r>
    </w:p>
    <w:p>
      <w:pPr>
        <w:pStyle w:val="5"/>
        <w:rPr>
          <w:color w:val="auto"/>
          <w:highlight w:val="none"/>
        </w:rPr>
      </w:pPr>
      <w:bookmarkStart w:id="92" w:name="_Toc32479"/>
      <w:bookmarkStart w:id="93" w:name="_Toc29264"/>
      <w:r>
        <w:rPr>
          <w:rFonts w:hint="eastAsia"/>
          <w:color w:val="auto"/>
          <w:highlight w:val="none"/>
        </w:rPr>
        <w:t>一、评标组织</w:t>
      </w:r>
      <w:bookmarkEnd w:id="92"/>
      <w:bookmarkEnd w:id="93"/>
    </w:p>
    <w:p>
      <w:pPr>
        <w:spacing w:line="500" w:lineRule="exact"/>
        <w:ind w:firstLine="480" w:firstLineChars="200"/>
        <w:rPr>
          <w:rFonts w:asciiTheme="minorEastAsia" w:hAnsiTheme="minorEastAsia" w:eastAsiaTheme="minorEastAsia" w:cstheme="minorEastAsia"/>
          <w:color w:val="auto"/>
          <w:sz w:val="24"/>
          <w:szCs w:val="24"/>
          <w:highlight w:val="none"/>
        </w:rPr>
      </w:pPr>
      <w:bookmarkStart w:id="94" w:name="_Toc249760792"/>
      <w:bookmarkStart w:id="95" w:name="_Toc405213814"/>
      <w:bookmarkStart w:id="96" w:name="_Toc251566663"/>
      <w:r>
        <w:rPr>
          <w:rFonts w:hint="eastAsia" w:asciiTheme="minorEastAsia" w:hAnsiTheme="minorEastAsia" w:eastAsiaTheme="minorEastAsia" w:cstheme="minorEastAsia"/>
          <w:color w:val="auto"/>
          <w:sz w:val="24"/>
          <w:szCs w:val="24"/>
          <w:highlight w:val="none"/>
        </w:rPr>
        <w:t>评标工作</w:t>
      </w:r>
      <w:bookmarkEnd w:id="94"/>
      <w:bookmarkEnd w:id="95"/>
      <w:bookmarkEnd w:id="96"/>
      <w:r>
        <w:rPr>
          <w:rFonts w:hint="eastAsia" w:asciiTheme="minorEastAsia" w:hAnsiTheme="minorEastAsia" w:eastAsiaTheme="minorEastAsia" w:cstheme="minorEastAsia"/>
          <w:color w:val="auto"/>
          <w:sz w:val="24"/>
          <w:szCs w:val="24"/>
          <w:highlight w:val="none"/>
        </w:rPr>
        <w:t>由</w:t>
      </w:r>
      <w:bookmarkStart w:id="97" w:name="_Toc249760793"/>
      <w:bookmarkStart w:id="98" w:name="_Toc251566664"/>
      <w:bookmarkStart w:id="99" w:name="_Toc405213815"/>
      <w:r>
        <w:rPr>
          <w:rFonts w:hint="eastAsia" w:asciiTheme="minorEastAsia" w:hAnsiTheme="minorEastAsia" w:eastAsiaTheme="minorEastAsia" w:cstheme="minorEastAsia"/>
          <w:color w:val="auto"/>
          <w:sz w:val="24"/>
          <w:szCs w:val="24"/>
          <w:highlight w:val="none"/>
        </w:rPr>
        <w:t>采购代理机构负责组织，具体评标事务由依法组建的评标委员会负责。</w:t>
      </w:r>
    </w:p>
    <w:p>
      <w:pPr>
        <w:pStyle w:val="5"/>
        <w:rPr>
          <w:color w:val="auto"/>
          <w:highlight w:val="none"/>
        </w:rPr>
      </w:pPr>
      <w:bookmarkStart w:id="100" w:name="_Toc24221"/>
      <w:bookmarkStart w:id="101" w:name="_Toc3581"/>
      <w:r>
        <w:rPr>
          <w:rFonts w:hint="eastAsia"/>
          <w:color w:val="auto"/>
          <w:highlight w:val="none"/>
        </w:rPr>
        <w:t>二、评标纪律</w:t>
      </w:r>
      <w:bookmarkEnd w:id="100"/>
      <w:bookmarkEnd w:id="101"/>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w:t>
      </w:r>
      <w:bookmarkEnd w:id="97"/>
      <w:bookmarkEnd w:id="98"/>
      <w:bookmarkEnd w:id="99"/>
      <w:r>
        <w:rPr>
          <w:rFonts w:hint="eastAsia" w:asciiTheme="minorEastAsia" w:hAnsiTheme="minorEastAsia" w:eastAsiaTheme="minorEastAsia" w:cstheme="minorEastAsia"/>
          <w:color w:val="auto"/>
          <w:sz w:val="24"/>
          <w:szCs w:val="24"/>
          <w:highlight w:val="none"/>
        </w:rPr>
        <w:t>是招标工作的重要环节，评标工作在评标委员会内独立进行。评标委员会将按照评标原则的要求，公正、平等地对待所有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2．所有评标人员应忠于职守、廉洁自律、秉公办事、不徇私情。</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3．评标人员不得接受或参加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或与投标有关的单位、组织或个人的有碍公务的宴请、娱乐活动等，不得以任何形式弄虚作假。</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4．评标期间，评标人员不得随意出入评标地点、与外界通讯、会客等。</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5．在投标文件的审查、澄清、评价和比较以及授予合同的过程中，</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对采购人、采购代理机构人员及评标委员会成员施加影响的任何行为，都将导致被取消投标资格。</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6．为保证评标的公正性，在评标过程中，评标委员会成员不得与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或与中标结果有利害关系的人进行私下接触。在评标工作结束后，凡与评标情况有接触的任何人，不得将评标情况扩散出评标委员会以外。</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7．评标过程中，评标专家对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的优劣情况，以及认为差异较大的情况，应以书面意见作出真实、专业、诚恳负责的表述，不得违背客观、公正的原则。</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8．评标结束后，各评标人员应将全部资料整理上交采购代理机构，严禁将评标过程中的任何资料带出评标现场向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或其他单位提供。</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9．在中标结果公布前应对评标委员会成员名单予以</w:t>
      </w:r>
      <w:r>
        <w:rPr>
          <w:rFonts w:hint="eastAsia" w:asciiTheme="majorEastAsia" w:hAnsiTheme="majorEastAsia" w:eastAsiaTheme="majorEastAsia" w:cstheme="majorEastAsia"/>
          <w:bCs/>
          <w:color w:val="auto"/>
          <w:sz w:val="24"/>
          <w:szCs w:val="24"/>
          <w:highlight w:val="none"/>
        </w:rPr>
        <w:t>保密</w:t>
      </w:r>
      <w:r>
        <w:rPr>
          <w:rFonts w:hint="eastAsia" w:asciiTheme="minorEastAsia" w:hAnsiTheme="minorEastAsia" w:eastAsiaTheme="minorEastAsia" w:cstheme="minorEastAsia"/>
          <w:color w:val="auto"/>
          <w:sz w:val="24"/>
          <w:szCs w:val="24"/>
          <w:highlight w:val="none"/>
        </w:rPr>
        <w:t>。</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10．评标委员会对各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的商业秘密予以</w:t>
      </w:r>
      <w:r>
        <w:rPr>
          <w:rFonts w:hint="eastAsia" w:asciiTheme="majorEastAsia" w:hAnsiTheme="majorEastAsia" w:eastAsiaTheme="majorEastAsia" w:cstheme="majorEastAsia"/>
          <w:bCs/>
          <w:color w:val="auto"/>
          <w:sz w:val="24"/>
          <w:szCs w:val="24"/>
          <w:highlight w:val="none"/>
        </w:rPr>
        <w:t>保密</w:t>
      </w:r>
      <w:r>
        <w:rPr>
          <w:rFonts w:hint="eastAsia" w:asciiTheme="minorEastAsia" w:hAnsiTheme="minorEastAsia" w:eastAsiaTheme="minorEastAsia" w:cstheme="minorEastAsia"/>
          <w:color w:val="auto"/>
          <w:sz w:val="24"/>
          <w:szCs w:val="24"/>
          <w:highlight w:val="none"/>
        </w:rPr>
        <w:t>。</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11．评标委员会成员应当客观、公正地履行职责，遵守职业道德，对所提出的评审意见承担个人责任。</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12．在整个评标过程中，</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企图影响招标结果的任何活动，可能导致其投标失败。如有违法行为，将依法追究其法律责任。</w:t>
      </w:r>
    </w:p>
    <w:p>
      <w:pPr>
        <w:pStyle w:val="5"/>
        <w:rPr>
          <w:color w:val="auto"/>
          <w:highlight w:val="none"/>
        </w:rPr>
      </w:pPr>
      <w:bookmarkStart w:id="102" w:name="_Toc10772"/>
      <w:bookmarkStart w:id="103" w:name="_Toc6124"/>
      <w:r>
        <w:rPr>
          <w:rFonts w:hint="eastAsia"/>
          <w:color w:val="auto"/>
          <w:highlight w:val="none"/>
        </w:rPr>
        <w:t>三、评分标准和细则</w:t>
      </w:r>
      <w:bookmarkEnd w:id="102"/>
      <w:bookmarkEnd w:id="103"/>
    </w:p>
    <w:p>
      <w:pPr>
        <w:spacing w:line="500" w:lineRule="exact"/>
        <w:ind w:firstLine="480"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（一）评分标准：</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1.评标委员会</w:t>
      </w:r>
      <w:r>
        <w:rPr>
          <w:rFonts w:hint="eastAsia" w:asciiTheme="minorEastAsia" w:hAnsiTheme="minorEastAsia" w:eastAsiaTheme="minorEastAsia" w:cstheme="minorEastAsia"/>
          <w:color w:val="auto"/>
          <w:sz w:val="24"/>
          <w:szCs w:val="24"/>
          <w:highlight w:val="none"/>
          <w:lang w:val="en-US" w:eastAsia="zh-CN"/>
        </w:rPr>
        <w:t>各成员独立</w:t>
      </w:r>
      <w:r>
        <w:rPr>
          <w:rFonts w:hint="eastAsia" w:asciiTheme="minorEastAsia" w:hAnsiTheme="minorEastAsia" w:eastAsiaTheme="minorEastAsia" w:cstheme="minorEastAsia"/>
          <w:color w:val="auto"/>
          <w:sz w:val="24"/>
          <w:szCs w:val="24"/>
          <w:highlight w:val="none"/>
        </w:rPr>
        <w:t>根据招标文件对各投标文件技术内容充分审核、评议后，评标委员会</w:t>
      </w:r>
      <w:r>
        <w:rPr>
          <w:rFonts w:hint="eastAsia" w:asciiTheme="minorEastAsia" w:hAnsiTheme="minorEastAsia" w:eastAsiaTheme="minorEastAsia" w:cstheme="minorEastAsia"/>
          <w:color w:val="auto"/>
          <w:sz w:val="24"/>
          <w:szCs w:val="24"/>
          <w:highlight w:val="none"/>
          <w:lang w:val="en-US" w:eastAsia="zh-CN"/>
        </w:rPr>
        <w:t>成员独立</w:t>
      </w:r>
      <w:r>
        <w:rPr>
          <w:rFonts w:hint="eastAsia" w:asciiTheme="minorEastAsia" w:hAnsiTheme="minorEastAsia" w:eastAsiaTheme="minorEastAsia" w:cstheme="minorEastAsia"/>
          <w:color w:val="auto"/>
          <w:sz w:val="24"/>
          <w:szCs w:val="24"/>
          <w:highlight w:val="none"/>
        </w:rPr>
        <w:t>按评分细则，进行评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，各供应商技术的最终评分值为评标委员会</w:t>
      </w:r>
      <w:r>
        <w:rPr>
          <w:rFonts w:hint="eastAsia" w:asciiTheme="minorEastAsia" w:hAnsiTheme="minorEastAsia" w:eastAsiaTheme="minorEastAsia" w:cstheme="minorEastAsia"/>
          <w:color w:val="auto"/>
          <w:sz w:val="24"/>
          <w:szCs w:val="24"/>
          <w:highlight w:val="none"/>
          <w:lang w:val="en-US" w:eastAsia="zh-CN"/>
        </w:rPr>
        <w:t>各成员</w:t>
      </w:r>
      <w:r>
        <w:rPr>
          <w:rFonts w:hint="eastAsia" w:asciiTheme="minorEastAsia" w:hAnsiTheme="minorEastAsia" w:eastAsiaTheme="minorEastAsia" w:cstheme="minorEastAsia"/>
          <w:color w:val="auto"/>
          <w:sz w:val="24"/>
          <w:szCs w:val="24"/>
          <w:highlight w:val="none"/>
        </w:rPr>
        <w:t>的有效评分的算术平均值。</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2.评标委员会成员</w:t>
      </w:r>
      <w:r>
        <w:rPr>
          <w:rFonts w:hint="eastAsia" w:asciiTheme="minorEastAsia" w:hAnsiTheme="minorEastAsia" w:eastAsiaTheme="minorEastAsia" w:cstheme="minorEastAsia"/>
          <w:color w:val="auto"/>
          <w:sz w:val="24"/>
          <w:szCs w:val="24"/>
          <w:highlight w:val="none"/>
          <w:lang w:val="en-US" w:eastAsia="zh-CN"/>
        </w:rPr>
        <w:t>独立</w:t>
      </w:r>
      <w:r>
        <w:rPr>
          <w:rFonts w:hint="eastAsia" w:asciiTheme="minorEastAsia" w:hAnsiTheme="minorEastAsia" w:eastAsiaTheme="minorEastAsia" w:cstheme="minorEastAsia"/>
          <w:color w:val="auto"/>
          <w:sz w:val="24"/>
          <w:szCs w:val="24"/>
          <w:highlight w:val="none"/>
        </w:rPr>
        <w:t>按评分细则对各供应商的最终报价进行统一计算评分，集体统一判定评分。</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的综合评分为技术、商务和投标报价三部分的总计，由指定专人进行计算和复核。中标候选资格按评标得分由高到低顺序排列，得分相同的，按投标报价由低到高顺序排列；得分且投标报价相同的，按技术得分由高到低顺序排列。</w:t>
      </w:r>
    </w:p>
    <w:p>
      <w:pPr>
        <w:spacing w:line="400" w:lineRule="exact"/>
        <w:ind w:firstLine="480" w:firstLineChars="200"/>
        <w:rPr>
          <w:rFonts w:asciiTheme="minorEastAsia" w:hAnsiTheme="minorEastAsia" w:eastAsiaTheme="minorEastAsia" w:cstheme="minorEastAsia"/>
          <w:b/>
          <w:color w:val="auto"/>
          <w:sz w:val="24"/>
          <w:szCs w:val="24"/>
          <w:highlight w:val="none"/>
        </w:rPr>
      </w:pPr>
      <w:r>
        <w:rPr>
          <w:rFonts w:hint="eastAsia" w:ascii="宋体" w:hAnsi="宋体" w:cs="宋体"/>
          <w:b/>
          <w:bCs/>
          <w:color w:val="auto"/>
          <w:sz w:val="24"/>
          <w:szCs w:val="24"/>
          <w:highlight w:val="none"/>
        </w:rPr>
        <w:t>（二）评分细则：</w:t>
      </w:r>
    </w:p>
    <w:p>
      <w:pPr>
        <w:pStyle w:val="4"/>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包评分标准：</w:t>
      </w:r>
    </w:p>
    <w:tbl>
      <w:tblPr>
        <w:tblStyle w:val="39"/>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6"/>
        <w:gridCol w:w="1282"/>
        <w:gridCol w:w="5569"/>
        <w:gridCol w:w="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评分因素及权重</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评标因素</w:t>
            </w:r>
          </w:p>
        </w:tc>
        <w:tc>
          <w:tcPr>
            <w:tcW w:w="5569"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评分标准</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价格部分（30分）</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w:t>
            </w:r>
          </w:p>
        </w:tc>
        <w:tc>
          <w:tcPr>
            <w:tcW w:w="5569" w:type="dxa"/>
            <w:tcMar>
              <w:top w:w="15" w:type="dxa"/>
              <w:left w:w="15" w:type="dxa"/>
              <w:right w:w="15" w:type="dxa"/>
            </w:tcMar>
            <w:vAlign w:val="center"/>
          </w:tcPr>
          <w:p>
            <w:pPr>
              <w:widowControl/>
              <w:spacing w:line="400" w:lineRule="exac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综合评分法中的价格分统一采用低价优先法计算，即满足招标文件要求且投标价格最低的投标报价为评标基准价，其价格分为满分30分，其它投标报价得分=评标基准价/投标报价*30</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jc w:val="center"/>
        </w:trPr>
        <w:tc>
          <w:tcPr>
            <w:tcW w:w="1026" w:type="dxa"/>
            <w:vMerge w:val="restart"/>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技术和商务部分（ 70分）</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技术参数响应评价</w:t>
            </w:r>
          </w:p>
        </w:tc>
        <w:tc>
          <w:tcPr>
            <w:tcW w:w="5569" w:type="dxa"/>
            <w:tcMar>
              <w:top w:w="15" w:type="dxa"/>
              <w:left w:w="15" w:type="dxa"/>
              <w:right w:w="15" w:type="dxa"/>
            </w:tcMar>
            <w:vAlign w:val="center"/>
          </w:tcPr>
          <w:p>
            <w:pPr>
              <w:widowControl/>
              <w:spacing w:line="400" w:lineRule="exact"/>
              <w:ind w:firstLine="480" w:firstLineChars="200"/>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对照“项目需求”技术参数（每条技术参数前标注“★”的为核心技术参数，标注“▲”的为主要技术参数，未标注的为一般参数），根据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提供的产品配置及技术性能指标的响应情况进行评审。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1.本标包2种产品，</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每有一种所投产品技术参数完全响应招标文件要求的，得15分，最多得30分；</w:t>
            </w:r>
          </w:p>
          <w:p>
            <w:pPr>
              <w:widowControl/>
              <w:spacing w:line="400" w:lineRule="exact"/>
              <w:jc w:val="both"/>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每种产品</w:t>
            </w:r>
            <w:r>
              <w:rPr>
                <w:rFonts w:hint="eastAsia" w:asciiTheme="minorEastAsia" w:hAnsiTheme="minorEastAsia" w:eastAsiaTheme="minorEastAsia" w:cstheme="minorEastAsia"/>
                <w:color w:val="auto"/>
                <w:kern w:val="0"/>
                <w:sz w:val="24"/>
                <w:szCs w:val="24"/>
                <w:highlight w:val="none"/>
              </w:rPr>
              <w:t>核心技术参数</w:t>
            </w:r>
            <w:r>
              <w:rPr>
                <w:rFonts w:hint="eastAsia" w:asciiTheme="minorEastAsia" w:hAnsiTheme="minorEastAsia" w:eastAsiaTheme="minorEastAsia" w:cstheme="minorEastAsia"/>
                <w:color w:val="auto"/>
                <w:kern w:val="0"/>
                <w:sz w:val="24"/>
                <w:szCs w:val="24"/>
                <w:highlight w:val="none"/>
                <w:lang w:val="en-US" w:eastAsia="zh-CN"/>
              </w:rPr>
              <w:t>存在负偏离的,该产品技术参数分为0分</w:t>
            </w:r>
            <w:r>
              <w:rPr>
                <w:rFonts w:hint="eastAsia" w:asciiTheme="minorEastAsia" w:hAnsiTheme="minorEastAsia" w:eastAsiaTheme="minorEastAsia" w:cstheme="minorEastAsia"/>
                <w:color w:val="auto"/>
                <w:kern w:val="0"/>
                <w:sz w:val="24"/>
                <w:szCs w:val="24"/>
                <w:highlight w:val="none"/>
              </w:rPr>
              <w:t>；</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3.每种产品主要技术参数存在负偏离的，该产品技术参数分为0分；</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4.每种产品一般技术参数存在负偏离的，每一条扣</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分，每种产品一般技术参数得分最多扣15分。</w:t>
            </w:r>
          </w:p>
          <w:p>
            <w:pPr>
              <w:widowControl/>
              <w:spacing w:line="400" w:lineRule="exact"/>
              <w:ind w:firstLine="480" w:firstLineChars="200"/>
              <w:textAlignment w:val="center"/>
              <w:rPr>
                <w:rFonts w:hint="default" w:eastAsia="宋体"/>
                <w:color w:val="auto"/>
                <w:highlight w:val="none"/>
                <w:lang w:val="en-US" w:eastAsia="zh-CN"/>
              </w:rPr>
            </w:pPr>
            <w:r>
              <w:rPr>
                <w:b/>
                <w:bCs/>
                <w:color w:val="auto"/>
                <w:sz w:val="24"/>
                <w:szCs w:val="24"/>
                <w:highlight w:val="none"/>
              </w:rPr>
              <w:t>注：负偏离评审依据：</w:t>
            </w:r>
            <w:r>
              <w:rPr>
                <w:rFonts w:hint="eastAsia"/>
                <w:b/>
                <w:bCs/>
                <w:color w:val="auto"/>
                <w:sz w:val="24"/>
                <w:szCs w:val="24"/>
                <w:highlight w:val="none"/>
              </w:rPr>
              <w:t>①</w:t>
            </w:r>
            <w:r>
              <w:rPr>
                <w:b/>
                <w:bCs/>
                <w:color w:val="auto"/>
                <w:sz w:val="24"/>
                <w:szCs w:val="24"/>
                <w:highlight w:val="none"/>
              </w:rPr>
              <w:t>所</w:t>
            </w:r>
            <w:r>
              <w:rPr>
                <w:rFonts w:hint="eastAsia"/>
                <w:b/>
                <w:bCs/>
                <w:color w:val="auto"/>
                <w:sz w:val="24"/>
                <w:szCs w:val="24"/>
                <w:highlight w:val="none"/>
              </w:rPr>
              <w:t>提供</w:t>
            </w:r>
            <w:r>
              <w:rPr>
                <w:b/>
                <w:bCs/>
                <w:color w:val="auto"/>
                <w:sz w:val="24"/>
                <w:szCs w:val="24"/>
                <w:highlight w:val="none"/>
              </w:rPr>
              <w:t>产品技术参数低于</w:t>
            </w:r>
            <w:r>
              <w:rPr>
                <w:rFonts w:hint="eastAsia"/>
                <w:b/>
                <w:bCs/>
                <w:color w:val="auto"/>
                <w:sz w:val="24"/>
                <w:szCs w:val="24"/>
                <w:highlight w:val="none"/>
              </w:rPr>
              <w:t>招标</w:t>
            </w:r>
            <w:r>
              <w:rPr>
                <w:b/>
                <w:bCs/>
                <w:color w:val="auto"/>
                <w:sz w:val="24"/>
                <w:szCs w:val="24"/>
                <w:highlight w:val="none"/>
              </w:rPr>
              <w:t>文件要求的，视为负偏离；</w:t>
            </w:r>
            <w:r>
              <w:rPr>
                <w:rFonts w:hint="eastAsia"/>
                <w:b/>
                <w:bCs/>
                <w:color w:val="auto"/>
                <w:sz w:val="24"/>
                <w:szCs w:val="24"/>
                <w:highlight w:val="none"/>
              </w:rPr>
              <w:t>②</w:t>
            </w:r>
            <w:r>
              <w:rPr>
                <w:b/>
                <w:bCs/>
                <w:color w:val="auto"/>
                <w:sz w:val="24"/>
                <w:szCs w:val="24"/>
                <w:highlight w:val="none"/>
              </w:rPr>
              <w:t>技术参数响应条款</w:t>
            </w:r>
            <w:r>
              <w:rPr>
                <w:rFonts w:hint="eastAsia"/>
                <w:b/>
                <w:bCs/>
                <w:color w:val="auto"/>
                <w:sz w:val="24"/>
                <w:szCs w:val="24"/>
                <w:highlight w:val="none"/>
              </w:rPr>
              <w:t>（以投标文件内技术偏离表为准）</w:t>
            </w:r>
            <w:r>
              <w:rPr>
                <w:b/>
                <w:bCs/>
                <w:color w:val="auto"/>
                <w:sz w:val="24"/>
                <w:szCs w:val="24"/>
                <w:highlight w:val="none"/>
              </w:rPr>
              <w:t>与</w:t>
            </w:r>
            <w:r>
              <w:rPr>
                <w:rFonts w:hint="eastAsia"/>
                <w:b/>
                <w:bCs/>
                <w:color w:val="auto"/>
                <w:sz w:val="24"/>
                <w:szCs w:val="24"/>
                <w:highlight w:val="none"/>
              </w:rPr>
              <w:t>招标</w:t>
            </w:r>
            <w:r>
              <w:rPr>
                <w:b/>
                <w:bCs/>
                <w:color w:val="auto"/>
                <w:sz w:val="24"/>
                <w:szCs w:val="24"/>
                <w:highlight w:val="none"/>
              </w:rPr>
              <w:t>文件对比有缺项、漏项的，视为负偏离；</w:t>
            </w:r>
            <w:r>
              <w:rPr>
                <w:rFonts w:hint="eastAsia"/>
                <w:b/>
                <w:bCs/>
                <w:color w:val="auto"/>
                <w:sz w:val="24"/>
                <w:szCs w:val="24"/>
                <w:highlight w:val="none"/>
              </w:rPr>
              <w:t>③投标文件内技术偏离表完全复制招标文件技术参数的（不涉及具体参数指标的描述性技术要求除外），视为负偏离；④</w:t>
            </w:r>
            <w:r>
              <w:rPr>
                <w:rFonts w:hint="eastAsia"/>
                <w:b/>
                <w:bCs/>
                <w:color w:val="auto"/>
                <w:sz w:val="24"/>
                <w:szCs w:val="24"/>
                <w:highlight w:val="none"/>
                <w:lang w:eastAsia="zh-CN"/>
              </w:rPr>
              <w:t>供应商</w:t>
            </w:r>
            <w:r>
              <w:rPr>
                <w:b/>
                <w:bCs/>
                <w:color w:val="auto"/>
                <w:sz w:val="24"/>
                <w:szCs w:val="24"/>
                <w:highlight w:val="none"/>
              </w:rPr>
              <w:t>提供的</w:t>
            </w:r>
            <w:r>
              <w:rPr>
                <w:rFonts w:hint="eastAsia"/>
                <w:b/>
                <w:bCs/>
                <w:color w:val="auto"/>
                <w:sz w:val="24"/>
                <w:szCs w:val="24"/>
                <w:highlight w:val="none"/>
              </w:rPr>
              <w:t>投标</w:t>
            </w:r>
            <w:r>
              <w:rPr>
                <w:b/>
                <w:bCs/>
                <w:color w:val="auto"/>
                <w:sz w:val="24"/>
                <w:szCs w:val="24"/>
                <w:highlight w:val="none"/>
              </w:rPr>
              <w:t>文件中产品技术偏离表、产品技术规格书和产品检测报告内描述的同一产品技术参数响应值不一致的，视为负偏离</w:t>
            </w:r>
            <w:r>
              <w:rPr>
                <w:rFonts w:hint="eastAsia"/>
                <w:b/>
                <w:bCs/>
                <w:color w:val="auto"/>
                <w:sz w:val="24"/>
                <w:szCs w:val="24"/>
                <w:highlight w:val="none"/>
                <w:lang w:eastAsia="zh-CN"/>
              </w:rPr>
              <w:t>；</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color w:val="auto"/>
                <w:sz w:val="24"/>
                <w:szCs w:val="24"/>
                <w:highlight w:val="none"/>
              </w:rPr>
              <w:t>业绩证明</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供应商近三年内（</w:t>
            </w:r>
            <w:r>
              <w:rPr>
                <w:rFonts w:hint="eastAsia" w:asciiTheme="minorEastAsia" w:hAnsiTheme="minorEastAsia" w:eastAsiaTheme="minorEastAsia" w:cstheme="minorEastAsia"/>
                <w:color w:val="auto"/>
                <w:kern w:val="0"/>
                <w:sz w:val="24"/>
                <w:szCs w:val="24"/>
                <w:highlight w:val="none"/>
              </w:rPr>
              <w:t>2021年0</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 xml:space="preserve"> 月 01日</w:t>
            </w:r>
            <w:r>
              <w:rPr>
                <w:rFonts w:hint="eastAsia"/>
                <w:color w:val="auto"/>
                <w:sz w:val="24"/>
                <w:szCs w:val="24"/>
                <w:highlight w:val="none"/>
              </w:rPr>
              <w:t>，以合同签订日期为准）完成类似项目的业绩，每个项目业绩得</w:t>
            </w:r>
            <w:r>
              <w:rPr>
                <w:rFonts w:hint="eastAsia"/>
                <w:color w:val="auto"/>
                <w:sz w:val="24"/>
                <w:szCs w:val="24"/>
                <w:highlight w:val="none"/>
                <w:lang w:val="en-US" w:eastAsia="zh-CN"/>
              </w:rPr>
              <w:t>2</w:t>
            </w:r>
            <w:r>
              <w:rPr>
                <w:rFonts w:hint="eastAsia"/>
                <w:color w:val="auto"/>
                <w:sz w:val="24"/>
                <w:szCs w:val="24"/>
                <w:highlight w:val="none"/>
              </w:rPr>
              <w:t>分，最多得</w:t>
            </w:r>
            <w:r>
              <w:rPr>
                <w:rFonts w:hint="eastAsia"/>
                <w:color w:val="auto"/>
                <w:sz w:val="24"/>
                <w:szCs w:val="24"/>
                <w:highlight w:val="none"/>
                <w:lang w:val="en-US" w:eastAsia="zh-CN"/>
              </w:rPr>
              <w:t>4</w:t>
            </w:r>
            <w:r>
              <w:rPr>
                <w:rFonts w:hint="eastAsia"/>
                <w:color w:val="auto"/>
                <w:sz w:val="24"/>
                <w:szCs w:val="24"/>
                <w:highlight w:val="none"/>
              </w:rPr>
              <w:t>分。</w:t>
            </w:r>
          </w:p>
          <w:p>
            <w:pPr>
              <w:widowControl/>
              <w:spacing w:line="400" w:lineRule="exact"/>
              <w:ind w:firstLine="480" w:firstLineChars="200"/>
              <w:textAlignment w:val="center"/>
              <w:rPr>
                <w:b/>
                <w:bCs/>
                <w:color w:val="auto"/>
                <w:sz w:val="24"/>
                <w:szCs w:val="24"/>
                <w:highlight w:val="none"/>
              </w:rPr>
            </w:pPr>
            <w:r>
              <w:rPr>
                <w:rFonts w:hint="eastAsia"/>
                <w:b/>
                <w:bCs/>
                <w:color w:val="auto"/>
                <w:sz w:val="24"/>
                <w:szCs w:val="24"/>
                <w:highlight w:val="none"/>
              </w:rPr>
              <w:t>注：①提供中标（成交）通知书和合同复印件，未按要求提供不得分；②同一单位近三年的类似合同不重复计算业绩，仅算一个业绩。</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项目组织</w:t>
            </w:r>
          </w:p>
          <w:p>
            <w:pPr>
              <w:widowControl/>
              <w:spacing w:line="400" w:lineRule="exact"/>
              <w:jc w:val="center"/>
              <w:textAlignment w:val="center"/>
              <w:rPr>
                <w:color w:val="auto"/>
                <w:sz w:val="24"/>
                <w:szCs w:val="24"/>
                <w:highlight w:val="none"/>
              </w:rPr>
            </w:pPr>
            <w:r>
              <w:rPr>
                <w:rFonts w:hint="eastAsia" w:asciiTheme="minorEastAsia" w:hAnsiTheme="minorEastAsia" w:eastAsiaTheme="minorEastAsia" w:cstheme="minorEastAsia"/>
                <w:color w:val="auto"/>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根据供应商提供的项目组织方案进行评分：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项目组织方案包括但不限于</w:t>
            </w:r>
            <w:r>
              <w:rPr>
                <w:rFonts w:hint="eastAsia" w:asciiTheme="majorEastAsia" w:hAnsiTheme="majorEastAsia" w:eastAsiaTheme="majorEastAsia" w:cstheme="majorEastAsia"/>
                <w:color w:val="auto"/>
                <w:sz w:val="24"/>
                <w:szCs w:val="24"/>
                <w:highlight w:val="none"/>
              </w:rPr>
              <w:t>项目人员配备、项目供货方案、安装调试方案</w:t>
            </w:r>
            <w:r>
              <w:rPr>
                <w:color w:val="auto"/>
                <w:sz w:val="24"/>
                <w:szCs w:val="24"/>
                <w:highlight w:val="none"/>
              </w:rPr>
              <w:t>等</w:t>
            </w:r>
            <w:r>
              <w:rPr>
                <w:rFonts w:hint="eastAsia"/>
                <w:color w:val="auto"/>
                <w:sz w:val="24"/>
                <w:szCs w:val="24"/>
                <w:highlight w:val="none"/>
              </w:rPr>
              <w:t>内容，方案内容完整齐全，符合项目实际的，得12分；每缺少一项方案内容，或一项内容存在缺陷的，每一项扣4分，扣完为止；未提供项目组织方案的，此项不得分。</w:t>
            </w:r>
          </w:p>
          <w:p>
            <w:pPr>
              <w:widowControl/>
              <w:spacing w:line="400" w:lineRule="exact"/>
              <w:ind w:firstLine="480" w:firstLineChars="200"/>
              <w:rPr>
                <w:b/>
                <w:bCs/>
                <w:color w:val="auto"/>
                <w:sz w:val="24"/>
                <w:szCs w:val="24"/>
                <w:highlight w:val="none"/>
              </w:rPr>
            </w:pPr>
            <w:r>
              <w:rPr>
                <w:rFonts w:hint="eastAsia"/>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技术培训</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根据供应商提供的技术培训方案进行评分：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lang w:val="en-US" w:eastAsia="zh-CN"/>
              </w:rPr>
              <w:t>技术</w:t>
            </w:r>
            <w:r>
              <w:rPr>
                <w:rFonts w:hint="eastAsia"/>
                <w:color w:val="auto"/>
                <w:sz w:val="24"/>
                <w:szCs w:val="24"/>
                <w:highlight w:val="none"/>
              </w:rPr>
              <w:t>培训方案包括但不限于</w:t>
            </w:r>
            <w:r>
              <w:rPr>
                <w:rFonts w:asciiTheme="majorEastAsia" w:hAnsiTheme="majorEastAsia" w:eastAsiaTheme="majorEastAsia" w:cstheme="majorEastAsia"/>
                <w:color w:val="auto"/>
                <w:sz w:val="24"/>
                <w:szCs w:val="24"/>
                <w:highlight w:val="none"/>
              </w:rPr>
              <w:t>培训内容</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培训方式</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培训计划</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培训团队人员配置</w:t>
            </w:r>
            <w:r>
              <w:rPr>
                <w:color w:val="auto"/>
                <w:sz w:val="24"/>
                <w:szCs w:val="24"/>
                <w:highlight w:val="none"/>
              </w:rPr>
              <w:t>等</w:t>
            </w:r>
            <w:r>
              <w:rPr>
                <w:rFonts w:hint="eastAsia"/>
                <w:color w:val="auto"/>
                <w:sz w:val="24"/>
                <w:szCs w:val="24"/>
                <w:highlight w:val="none"/>
              </w:rPr>
              <w:t>4项内容，方案内容完整齐全，符合项目实际的，得12分；每缺少一项方案内容，或一项内容存在缺陷的，每一项扣3分，扣完为止；未提供</w:t>
            </w:r>
            <w:r>
              <w:rPr>
                <w:rFonts w:hint="eastAsia"/>
                <w:color w:val="auto"/>
                <w:sz w:val="24"/>
                <w:szCs w:val="24"/>
                <w:highlight w:val="none"/>
                <w:lang w:val="en-US" w:eastAsia="zh-CN"/>
              </w:rPr>
              <w:t>技术</w:t>
            </w:r>
            <w:r>
              <w:rPr>
                <w:rFonts w:hint="eastAsia"/>
                <w:color w:val="auto"/>
                <w:sz w:val="24"/>
                <w:szCs w:val="24"/>
                <w:highlight w:val="none"/>
              </w:rPr>
              <w:t>培训</w:t>
            </w:r>
            <w:r>
              <w:rPr>
                <w:rFonts w:hint="eastAsia"/>
                <w:color w:val="auto"/>
                <w:sz w:val="24"/>
                <w:szCs w:val="24"/>
                <w:highlight w:val="none"/>
                <w:lang w:val="en-US" w:eastAsia="zh-CN"/>
              </w:rPr>
              <w:t>方案</w:t>
            </w:r>
            <w:r>
              <w:rPr>
                <w:rFonts w:hint="eastAsia"/>
                <w:color w:val="auto"/>
                <w:sz w:val="24"/>
                <w:szCs w:val="24"/>
                <w:highlight w:val="none"/>
              </w:rPr>
              <w:t>的，此项不得分。</w:t>
            </w:r>
          </w:p>
          <w:p>
            <w:pPr>
              <w:snapToGrid w:val="0"/>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根据供应商提供的售后服务方案进行评分：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售后服务方案包括但不限于</w:t>
            </w:r>
            <w:r>
              <w:rPr>
                <w:rFonts w:hint="eastAsia" w:asciiTheme="majorEastAsia" w:hAnsiTheme="majorEastAsia" w:eastAsiaTheme="majorEastAsia" w:cstheme="majorEastAsia"/>
                <w:color w:val="auto"/>
                <w:sz w:val="24"/>
                <w:szCs w:val="24"/>
                <w:highlight w:val="none"/>
              </w:rPr>
              <w:t>售后</w:t>
            </w:r>
            <w:r>
              <w:rPr>
                <w:rFonts w:asciiTheme="majorEastAsia" w:hAnsiTheme="majorEastAsia" w:eastAsiaTheme="majorEastAsia" w:cstheme="majorEastAsia"/>
                <w:color w:val="auto"/>
                <w:sz w:val="24"/>
                <w:szCs w:val="24"/>
                <w:highlight w:val="none"/>
              </w:rPr>
              <w:t>服务承诺</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服务响应方案</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备件（易耗品）供应方案</w:t>
            </w:r>
            <w:r>
              <w:rPr>
                <w:rFonts w:hint="eastAsia" w:asciiTheme="majorEastAsia" w:hAnsiTheme="majorEastAsia" w:eastAsiaTheme="majorEastAsia" w:cstheme="majorEastAsia"/>
                <w:color w:val="auto"/>
                <w:sz w:val="24"/>
                <w:szCs w:val="24"/>
                <w:highlight w:val="none"/>
              </w:rPr>
              <w:t>（含备件价格）、</w:t>
            </w:r>
            <w:r>
              <w:rPr>
                <w:rFonts w:asciiTheme="majorEastAsia" w:hAnsiTheme="majorEastAsia" w:eastAsiaTheme="majorEastAsia" w:cstheme="majorEastAsia"/>
                <w:color w:val="auto"/>
                <w:sz w:val="24"/>
                <w:szCs w:val="24"/>
                <w:highlight w:val="none"/>
              </w:rPr>
              <w:t>服务人员配备</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故障响应</w:t>
            </w:r>
            <w:r>
              <w:rPr>
                <w:rFonts w:hint="eastAsia" w:asciiTheme="majorEastAsia" w:hAnsiTheme="majorEastAsia" w:eastAsiaTheme="majorEastAsia" w:cstheme="majorEastAsia"/>
                <w:color w:val="auto"/>
                <w:sz w:val="24"/>
                <w:szCs w:val="24"/>
                <w:highlight w:val="none"/>
              </w:rPr>
              <w:t>措施、</w:t>
            </w:r>
            <w:r>
              <w:rPr>
                <w:rFonts w:asciiTheme="majorEastAsia" w:hAnsiTheme="majorEastAsia" w:eastAsiaTheme="majorEastAsia" w:cstheme="majorEastAsia"/>
                <w:color w:val="auto"/>
                <w:sz w:val="24"/>
                <w:szCs w:val="24"/>
                <w:highlight w:val="none"/>
              </w:rPr>
              <w:t>质保外服务措施</w:t>
            </w:r>
            <w:r>
              <w:rPr>
                <w:color w:val="auto"/>
                <w:sz w:val="24"/>
                <w:szCs w:val="24"/>
                <w:highlight w:val="none"/>
              </w:rPr>
              <w:t>等</w:t>
            </w:r>
            <w:r>
              <w:rPr>
                <w:rFonts w:hint="eastAsia"/>
                <w:color w:val="auto"/>
                <w:sz w:val="24"/>
                <w:szCs w:val="24"/>
                <w:highlight w:val="none"/>
              </w:rPr>
              <w:t>6项内容，方案内容完整齐全，符合项目实际的，得12分；每缺少一项方案内容，或一项内容存在缺陷的，每一项扣2分，扣完为止；未提供售后服务方案的，此项不得分。</w:t>
            </w:r>
          </w:p>
          <w:p>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519" w:type="dxa"/>
            <w:gridSpan w:val="4"/>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合计：100分</w:t>
            </w:r>
          </w:p>
        </w:tc>
      </w:tr>
    </w:tbl>
    <w:p>
      <w:pPr>
        <w:pStyle w:val="4"/>
        <w:ind w:left="0" w:leftChars="0" w:firstLine="0" w:firstLineChars="0"/>
        <w:rPr>
          <w:rFonts w:hint="eastAsia" w:asciiTheme="minorEastAsia" w:hAnsiTheme="minorEastAsia" w:eastAsiaTheme="minorEastAsia" w:cstheme="minorEastAsia"/>
          <w:b/>
          <w:bCs/>
          <w:color w:val="auto"/>
          <w:sz w:val="24"/>
          <w:szCs w:val="24"/>
          <w:highlight w:val="none"/>
        </w:rPr>
      </w:pPr>
    </w:p>
    <w:p>
      <w:pPr>
        <w:rPr>
          <w:rFonts w:hint="eastAsia"/>
          <w:color w:val="auto"/>
          <w:highlight w:val="none"/>
        </w:rPr>
      </w:pPr>
    </w:p>
    <w:p>
      <w:pPr>
        <w:pStyle w:val="4"/>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包评分标准：</w:t>
      </w:r>
    </w:p>
    <w:tbl>
      <w:tblPr>
        <w:tblStyle w:val="39"/>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6"/>
        <w:gridCol w:w="1282"/>
        <w:gridCol w:w="5569"/>
        <w:gridCol w:w="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评分因素及权重</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评标因素</w:t>
            </w:r>
          </w:p>
        </w:tc>
        <w:tc>
          <w:tcPr>
            <w:tcW w:w="5569"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评分标准</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价格部分（30分）</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w:t>
            </w:r>
          </w:p>
        </w:tc>
        <w:tc>
          <w:tcPr>
            <w:tcW w:w="5569" w:type="dxa"/>
            <w:tcMar>
              <w:top w:w="15" w:type="dxa"/>
              <w:left w:w="15" w:type="dxa"/>
              <w:right w:w="15" w:type="dxa"/>
            </w:tcMar>
            <w:vAlign w:val="center"/>
          </w:tcPr>
          <w:p>
            <w:pPr>
              <w:widowControl/>
              <w:spacing w:line="400" w:lineRule="exac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综合评分法中的价格分统一采用低价优先法计算，即满足招标文件要求且投标价格最低的投标报价为评标基准价，其价格分为满分30分，其它投标报价得分=评标基准价/投标报价*30</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jc w:val="center"/>
        </w:trPr>
        <w:tc>
          <w:tcPr>
            <w:tcW w:w="1026" w:type="dxa"/>
            <w:vMerge w:val="restart"/>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技术和商务部分（ 70分）</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技术参数响应评价</w:t>
            </w:r>
          </w:p>
        </w:tc>
        <w:tc>
          <w:tcPr>
            <w:tcW w:w="5569" w:type="dxa"/>
            <w:tcMar>
              <w:top w:w="15" w:type="dxa"/>
              <w:left w:w="15" w:type="dxa"/>
              <w:right w:w="15" w:type="dxa"/>
            </w:tcMar>
            <w:vAlign w:val="center"/>
          </w:tcPr>
          <w:p>
            <w:pPr>
              <w:widowControl/>
              <w:spacing w:line="400" w:lineRule="exact"/>
              <w:ind w:firstLine="480" w:firstLineChars="200"/>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对照“项目需求”技术参数（每条技术参数前标注“★”的为核心技术参数，标注“▲”的为主要技术参数，未标注的为一般参数），根据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提供的产品配置及技术性能指标的响应情况进行评审。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1.本标包2种产品，</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每有一种所投产品技术参数完全响应招标文件要求的，得15分，最多得30分；</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2.每种产品核心技术参数存在负偏离的,该产品技术参数分为0分；</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3.每种产品主要技术参数存在负偏离的，该产品技术参数分为0分；</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4.每种产品一般技术参数存在负偏离的，每一条扣</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分，每种产品</w:t>
            </w:r>
            <w:r>
              <w:rPr>
                <w:rFonts w:hint="eastAsia" w:asciiTheme="minorEastAsia" w:hAnsiTheme="minorEastAsia" w:eastAsiaTheme="minorEastAsia" w:cstheme="minorEastAsia"/>
                <w:color w:val="auto"/>
                <w:kern w:val="0"/>
                <w:sz w:val="24"/>
                <w:szCs w:val="24"/>
                <w:highlight w:val="none"/>
                <w:lang w:eastAsia="zh-CN"/>
              </w:rPr>
              <w:t>一般</w:t>
            </w:r>
            <w:r>
              <w:rPr>
                <w:rFonts w:hint="eastAsia" w:asciiTheme="minorEastAsia" w:hAnsiTheme="minorEastAsia" w:eastAsiaTheme="minorEastAsia" w:cstheme="minorEastAsia"/>
                <w:color w:val="auto"/>
                <w:kern w:val="0"/>
                <w:sz w:val="24"/>
                <w:szCs w:val="24"/>
                <w:highlight w:val="none"/>
              </w:rPr>
              <w:t>技术参数得分最多扣15分。</w:t>
            </w:r>
          </w:p>
          <w:p>
            <w:pPr>
              <w:widowControl/>
              <w:spacing w:line="400" w:lineRule="exact"/>
              <w:ind w:firstLine="480" w:firstLineChars="200"/>
              <w:textAlignment w:val="center"/>
              <w:rPr>
                <w:rFonts w:eastAsiaTheme="minorEastAsia"/>
                <w:color w:val="auto"/>
                <w:highlight w:val="none"/>
              </w:rPr>
            </w:pPr>
            <w:r>
              <w:rPr>
                <w:b/>
                <w:bCs/>
                <w:color w:val="auto"/>
                <w:sz w:val="24"/>
                <w:szCs w:val="24"/>
                <w:highlight w:val="none"/>
              </w:rPr>
              <w:t>注：负偏离评审依据：</w:t>
            </w:r>
            <w:r>
              <w:rPr>
                <w:rFonts w:hint="eastAsia"/>
                <w:b/>
                <w:bCs/>
                <w:color w:val="auto"/>
                <w:sz w:val="24"/>
                <w:szCs w:val="24"/>
                <w:highlight w:val="none"/>
              </w:rPr>
              <w:t>①</w:t>
            </w:r>
            <w:r>
              <w:rPr>
                <w:b/>
                <w:bCs/>
                <w:color w:val="auto"/>
                <w:sz w:val="24"/>
                <w:szCs w:val="24"/>
                <w:highlight w:val="none"/>
              </w:rPr>
              <w:t>所</w:t>
            </w:r>
            <w:r>
              <w:rPr>
                <w:rFonts w:hint="eastAsia"/>
                <w:b/>
                <w:bCs/>
                <w:color w:val="auto"/>
                <w:sz w:val="24"/>
                <w:szCs w:val="24"/>
                <w:highlight w:val="none"/>
              </w:rPr>
              <w:t>提供</w:t>
            </w:r>
            <w:r>
              <w:rPr>
                <w:b/>
                <w:bCs/>
                <w:color w:val="auto"/>
                <w:sz w:val="24"/>
                <w:szCs w:val="24"/>
                <w:highlight w:val="none"/>
              </w:rPr>
              <w:t>产品技术参数低于</w:t>
            </w:r>
            <w:r>
              <w:rPr>
                <w:rFonts w:hint="eastAsia"/>
                <w:b/>
                <w:bCs/>
                <w:color w:val="auto"/>
                <w:sz w:val="24"/>
                <w:szCs w:val="24"/>
                <w:highlight w:val="none"/>
              </w:rPr>
              <w:t>招标</w:t>
            </w:r>
            <w:r>
              <w:rPr>
                <w:b/>
                <w:bCs/>
                <w:color w:val="auto"/>
                <w:sz w:val="24"/>
                <w:szCs w:val="24"/>
                <w:highlight w:val="none"/>
              </w:rPr>
              <w:t>文件要求的，视为负偏离；</w:t>
            </w:r>
            <w:r>
              <w:rPr>
                <w:rFonts w:hint="eastAsia"/>
                <w:b/>
                <w:bCs/>
                <w:color w:val="auto"/>
                <w:sz w:val="24"/>
                <w:szCs w:val="24"/>
                <w:highlight w:val="none"/>
              </w:rPr>
              <w:t>②</w:t>
            </w:r>
            <w:r>
              <w:rPr>
                <w:b/>
                <w:bCs/>
                <w:color w:val="auto"/>
                <w:sz w:val="24"/>
                <w:szCs w:val="24"/>
                <w:highlight w:val="none"/>
              </w:rPr>
              <w:t>技术参数响应条款</w:t>
            </w:r>
            <w:r>
              <w:rPr>
                <w:rFonts w:hint="eastAsia"/>
                <w:b/>
                <w:bCs/>
                <w:color w:val="auto"/>
                <w:sz w:val="24"/>
                <w:szCs w:val="24"/>
                <w:highlight w:val="none"/>
              </w:rPr>
              <w:t>（以投标文件内技术偏离表为准）</w:t>
            </w:r>
            <w:r>
              <w:rPr>
                <w:b/>
                <w:bCs/>
                <w:color w:val="auto"/>
                <w:sz w:val="24"/>
                <w:szCs w:val="24"/>
                <w:highlight w:val="none"/>
              </w:rPr>
              <w:t>与</w:t>
            </w:r>
            <w:r>
              <w:rPr>
                <w:rFonts w:hint="eastAsia"/>
                <w:b/>
                <w:bCs/>
                <w:color w:val="auto"/>
                <w:sz w:val="24"/>
                <w:szCs w:val="24"/>
                <w:highlight w:val="none"/>
              </w:rPr>
              <w:t>招标</w:t>
            </w:r>
            <w:r>
              <w:rPr>
                <w:b/>
                <w:bCs/>
                <w:color w:val="auto"/>
                <w:sz w:val="24"/>
                <w:szCs w:val="24"/>
                <w:highlight w:val="none"/>
              </w:rPr>
              <w:t>文件对比有缺项、漏项的，视为负偏离；</w:t>
            </w:r>
            <w:r>
              <w:rPr>
                <w:rFonts w:hint="eastAsia"/>
                <w:b/>
                <w:bCs/>
                <w:color w:val="auto"/>
                <w:sz w:val="24"/>
                <w:szCs w:val="24"/>
                <w:highlight w:val="none"/>
              </w:rPr>
              <w:t>③投标文件内技术偏离表完全复制招标文件技术参数的（不涉及具体参数指标的描述性技术要求除外），视为负偏离；④</w:t>
            </w:r>
            <w:r>
              <w:rPr>
                <w:rFonts w:hint="eastAsia"/>
                <w:b/>
                <w:bCs/>
                <w:color w:val="auto"/>
                <w:sz w:val="24"/>
                <w:szCs w:val="24"/>
                <w:highlight w:val="none"/>
                <w:lang w:eastAsia="zh-CN"/>
              </w:rPr>
              <w:t>供应商</w:t>
            </w:r>
            <w:r>
              <w:rPr>
                <w:b/>
                <w:bCs/>
                <w:color w:val="auto"/>
                <w:sz w:val="24"/>
                <w:szCs w:val="24"/>
                <w:highlight w:val="none"/>
              </w:rPr>
              <w:t>提供的</w:t>
            </w:r>
            <w:r>
              <w:rPr>
                <w:rFonts w:hint="eastAsia"/>
                <w:b/>
                <w:bCs/>
                <w:color w:val="auto"/>
                <w:sz w:val="24"/>
                <w:szCs w:val="24"/>
                <w:highlight w:val="none"/>
              </w:rPr>
              <w:t>投标</w:t>
            </w:r>
            <w:r>
              <w:rPr>
                <w:b/>
                <w:bCs/>
                <w:color w:val="auto"/>
                <w:sz w:val="24"/>
                <w:szCs w:val="24"/>
                <w:highlight w:val="none"/>
              </w:rPr>
              <w:t>文件中产品技术偏离表、产品技术规格书和产品检测报告内描述的同一产品技术参数响应值不一致的，视为负偏离</w:t>
            </w:r>
            <w:r>
              <w:rPr>
                <w:rFonts w:hint="eastAsia"/>
                <w:b/>
                <w:bCs/>
                <w:color w:val="auto"/>
                <w:sz w:val="24"/>
                <w:szCs w:val="24"/>
                <w:highlight w:val="none"/>
                <w:lang w:eastAsia="zh-CN"/>
              </w:rPr>
              <w:t>；</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color w:val="auto"/>
                <w:sz w:val="24"/>
                <w:szCs w:val="24"/>
                <w:highlight w:val="none"/>
              </w:rPr>
              <w:t>业绩证明</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供应商近三年内（</w:t>
            </w:r>
            <w:r>
              <w:rPr>
                <w:rFonts w:hint="eastAsia" w:asciiTheme="minorEastAsia" w:hAnsiTheme="minorEastAsia" w:eastAsiaTheme="minorEastAsia" w:cstheme="minorEastAsia"/>
                <w:color w:val="auto"/>
                <w:kern w:val="0"/>
                <w:sz w:val="24"/>
                <w:szCs w:val="24"/>
                <w:highlight w:val="none"/>
              </w:rPr>
              <w:t>2021年0</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 xml:space="preserve"> 月 01日</w:t>
            </w:r>
            <w:r>
              <w:rPr>
                <w:rFonts w:hint="eastAsia"/>
                <w:color w:val="auto"/>
                <w:sz w:val="24"/>
                <w:szCs w:val="24"/>
                <w:highlight w:val="none"/>
              </w:rPr>
              <w:t>，以合同签订日期为准）完成类似项目的业绩，每个项目业绩得</w:t>
            </w:r>
            <w:r>
              <w:rPr>
                <w:rFonts w:hint="eastAsia"/>
                <w:color w:val="auto"/>
                <w:sz w:val="24"/>
                <w:szCs w:val="24"/>
                <w:highlight w:val="none"/>
                <w:lang w:val="en-US" w:eastAsia="zh-CN"/>
              </w:rPr>
              <w:t>2</w:t>
            </w:r>
            <w:r>
              <w:rPr>
                <w:rFonts w:hint="eastAsia"/>
                <w:color w:val="auto"/>
                <w:sz w:val="24"/>
                <w:szCs w:val="24"/>
                <w:highlight w:val="none"/>
              </w:rPr>
              <w:t>分，最多得</w:t>
            </w:r>
            <w:r>
              <w:rPr>
                <w:rFonts w:hint="eastAsia"/>
                <w:color w:val="auto"/>
                <w:sz w:val="24"/>
                <w:szCs w:val="24"/>
                <w:highlight w:val="none"/>
                <w:lang w:val="en-US" w:eastAsia="zh-CN"/>
              </w:rPr>
              <w:t>4</w:t>
            </w:r>
            <w:r>
              <w:rPr>
                <w:rFonts w:hint="eastAsia"/>
                <w:color w:val="auto"/>
                <w:sz w:val="24"/>
                <w:szCs w:val="24"/>
                <w:highlight w:val="none"/>
              </w:rPr>
              <w:t>分。</w:t>
            </w:r>
          </w:p>
          <w:p>
            <w:pPr>
              <w:widowControl/>
              <w:spacing w:line="400" w:lineRule="exact"/>
              <w:ind w:firstLine="480" w:firstLineChars="200"/>
              <w:textAlignment w:val="center"/>
              <w:rPr>
                <w:b/>
                <w:bCs/>
                <w:color w:val="auto"/>
                <w:sz w:val="24"/>
                <w:szCs w:val="24"/>
                <w:highlight w:val="none"/>
              </w:rPr>
            </w:pPr>
            <w:r>
              <w:rPr>
                <w:rFonts w:hint="eastAsia"/>
                <w:b/>
                <w:bCs/>
                <w:color w:val="auto"/>
                <w:sz w:val="24"/>
                <w:szCs w:val="24"/>
                <w:highlight w:val="none"/>
              </w:rPr>
              <w:t>注：①提供中标（成交）通知书和合同复印件，未按要求提供不得分；②同一单位近三年的类似合同不重复计算业绩，仅算一个业绩。</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项目组织</w:t>
            </w:r>
          </w:p>
          <w:p>
            <w:pPr>
              <w:widowControl/>
              <w:spacing w:line="400" w:lineRule="exact"/>
              <w:jc w:val="center"/>
              <w:textAlignment w:val="center"/>
              <w:rPr>
                <w:color w:val="auto"/>
                <w:sz w:val="24"/>
                <w:szCs w:val="24"/>
                <w:highlight w:val="none"/>
              </w:rPr>
            </w:pPr>
            <w:r>
              <w:rPr>
                <w:rFonts w:hint="eastAsia" w:asciiTheme="minorEastAsia" w:hAnsiTheme="minorEastAsia" w:eastAsiaTheme="minorEastAsia" w:cstheme="minorEastAsia"/>
                <w:color w:val="auto"/>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根据供应商提供的项目组织方案进行评分：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项目组织方案包括但不限于</w:t>
            </w:r>
            <w:r>
              <w:rPr>
                <w:rFonts w:hint="eastAsia" w:asciiTheme="majorEastAsia" w:hAnsiTheme="majorEastAsia" w:eastAsiaTheme="majorEastAsia" w:cstheme="majorEastAsia"/>
                <w:color w:val="auto"/>
                <w:sz w:val="24"/>
                <w:szCs w:val="24"/>
                <w:highlight w:val="none"/>
              </w:rPr>
              <w:t>项目人员配备、项目供货方案、安装调试方案</w:t>
            </w:r>
            <w:r>
              <w:rPr>
                <w:color w:val="auto"/>
                <w:sz w:val="24"/>
                <w:szCs w:val="24"/>
                <w:highlight w:val="none"/>
              </w:rPr>
              <w:t>等</w:t>
            </w:r>
            <w:r>
              <w:rPr>
                <w:rFonts w:hint="eastAsia"/>
                <w:color w:val="auto"/>
                <w:sz w:val="24"/>
                <w:szCs w:val="24"/>
                <w:highlight w:val="none"/>
              </w:rPr>
              <w:t>内容，方案内容完整齐全，符合项目实际的，得12分；每缺少一项方案内容，或一项内容存在缺陷的，每一项扣4分，扣完为止；未提供项目组织方案的，此项不得分。</w:t>
            </w:r>
          </w:p>
          <w:p>
            <w:pPr>
              <w:widowControl/>
              <w:spacing w:line="400" w:lineRule="exact"/>
              <w:ind w:firstLine="480" w:firstLineChars="200"/>
              <w:rPr>
                <w:b/>
                <w:bCs/>
                <w:color w:val="auto"/>
                <w:sz w:val="24"/>
                <w:szCs w:val="24"/>
                <w:highlight w:val="none"/>
              </w:rPr>
            </w:pPr>
            <w:r>
              <w:rPr>
                <w:rFonts w:hint="eastAsia"/>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技术培训</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根据供应商提供的技术培训方案进行评分：</w:t>
            </w:r>
          </w:p>
          <w:p>
            <w:pPr>
              <w:widowControl/>
              <w:spacing w:line="400" w:lineRule="exact"/>
              <w:ind w:firstLine="480" w:firstLineChars="200"/>
              <w:rPr>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技术培训</w:t>
            </w:r>
            <w:r>
              <w:rPr>
                <w:rFonts w:hint="eastAsia"/>
                <w:color w:val="auto"/>
                <w:sz w:val="24"/>
                <w:szCs w:val="24"/>
                <w:highlight w:val="none"/>
              </w:rPr>
              <w:t>方案包括但不限于</w:t>
            </w:r>
            <w:r>
              <w:rPr>
                <w:rFonts w:asciiTheme="majorEastAsia" w:hAnsiTheme="majorEastAsia" w:eastAsiaTheme="majorEastAsia" w:cstheme="majorEastAsia"/>
                <w:color w:val="auto"/>
                <w:sz w:val="24"/>
                <w:szCs w:val="24"/>
                <w:highlight w:val="none"/>
              </w:rPr>
              <w:t>培训内容</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培训方式</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培训计划</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培训团队人员配置</w:t>
            </w:r>
            <w:r>
              <w:rPr>
                <w:color w:val="auto"/>
                <w:sz w:val="24"/>
                <w:szCs w:val="24"/>
                <w:highlight w:val="none"/>
              </w:rPr>
              <w:t>等</w:t>
            </w:r>
            <w:r>
              <w:rPr>
                <w:rFonts w:hint="eastAsia"/>
                <w:color w:val="auto"/>
                <w:sz w:val="24"/>
                <w:szCs w:val="24"/>
                <w:highlight w:val="none"/>
              </w:rPr>
              <w:t>4项内容，方案内容完整齐全，符合项目实际的，得12分；每缺少一项方案内容，或一项内容存在缺陷的，每一项扣3分，扣完为止；未提供</w:t>
            </w:r>
            <w:r>
              <w:rPr>
                <w:rFonts w:hint="eastAsia" w:asciiTheme="minorEastAsia" w:hAnsiTheme="minorEastAsia" w:eastAsiaTheme="minorEastAsia" w:cstheme="minorEastAsia"/>
                <w:color w:val="auto"/>
                <w:kern w:val="0"/>
                <w:sz w:val="24"/>
                <w:szCs w:val="24"/>
                <w:highlight w:val="none"/>
              </w:rPr>
              <w:t>技术培训</w:t>
            </w:r>
            <w:r>
              <w:rPr>
                <w:rFonts w:hint="eastAsia"/>
                <w:color w:val="auto"/>
                <w:sz w:val="24"/>
                <w:szCs w:val="24"/>
                <w:highlight w:val="none"/>
              </w:rPr>
              <w:t>方案的，此项不得分。</w:t>
            </w:r>
          </w:p>
          <w:p>
            <w:pPr>
              <w:snapToGrid w:val="0"/>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根据供应商提供的售后服务方案进行评分：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售后服务方案包括但不限于</w:t>
            </w:r>
            <w:r>
              <w:rPr>
                <w:rFonts w:hint="eastAsia" w:asciiTheme="majorEastAsia" w:hAnsiTheme="majorEastAsia" w:eastAsiaTheme="majorEastAsia" w:cstheme="majorEastAsia"/>
                <w:color w:val="auto"/>
                <w:sz w:val="24"/>
                <w:szCs w:val="24"/>
                <w:highlight w:val="none"/>
              </w:rPr>
              <w:t>售后</w:t>
            </w:r>
            <w:r>
              <w:rPr>
                <w:rFonts w:asciiTheme="majorEastAsia" w:hAnsiTheme="majorEastAsia" w:eastAsiaTheme="majorEastAsia" w:cstheme="majorEastAsia"/>
                <w:color w:val="auto"/>
                <w:sz w:val="24"/>
                <w:szCs w:val="24"/>
                <w:highlight w:val="none"/>
              </w:rPr>
              <w:t>服务承诺</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服务响应方案</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备件（易耗品）供应方案</w:t>
            </w:r>
            <w:r>
              <w:rPr>
                <w:rFonts w:hint="eastAsia" w:asciiTheme="majorEastAsia" w:hAnsiTheme="majorEastAsia" w:eastAsiaTheme="majorEastAsia" w:cstheme="majorEastAsia"/>
                <w:color w:val="auto"/>
                <w:sz w:val="24"/>
                <w:szCs w:val="24"/>
                <w:highlight w:val="none"/>
              </w:rPr>
              <w:t>（含备件价格）、</w:t>
            </w:r>
            <w:r>
              <w:rPr>
                <w:rFonts w:asciiTheme="majorEastAsia" w:hAnsiTheme="majorEastAsia" w:eastAsiaTheme="majorEastAsia" w:cstheme="majorEastAsia"/>
                <w:color w:val="auto"/>
                <w:sz w:val="24"/>
                <w:szCs w:val="24"/>
                <w:highlight w:val="none"/>
              </w:rPr>
              <w:t>服务人员配备</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故障响应</w:t>
            </w:r>
            <w:r>
              <w:rPr>
                <w:rFonts w:hint="eastAsia" w:asciiTheme="majorEastAsia" w:hAnsiTheme="majorEastAsia" w:eastAsiaTheme="majorEastAsia" w:cstheme="majorEastAsia"/>
                <w:color w:val="auto"/>
                <w:sz w:val="24"/>
                <w:szCs w:val="24"/>
                <w:highlight w:val="none"/>
              </w:rPr>
              <w:t>措施、</w:t>
            </w:r>
            <w:r>
              <w:rPr>
                <w:rFonts w:asciiTheme="majorEastAsia" w:hAnsiTheme="majorEastAsia" w:eastAsiaTheme="majorEastAsia" w:cstheme="majorEastAsia"/>
                <w:color w:val="auto"/>
                <w:sz w:val="24"/>
                <w:szCs w:val="24"/>
                <w:highlight w:val="none"/>
              </w:rPr>
              <w:t>质保外服务措施</w:t>
            </w:r>
            <w:r>
              <w:rPr>
                <w:color w:val="auto"/>
                <w:sz w:val="24"/>
                <w:szCs w:val="24"/>
                <w:highlight w:val="none"/>
              </w:rPr>
              <w:t>等</w:t>
            </w:r>
            <w:r>
              <w:rPr>
                <w:rFonts w:hint="eastAsia"/>
                <w:color w:val="auto"/>
                <w:sz w:val="24"/>
                <w:szCs w:val="24"/>
                <w:highlight w:val="none"/>
              </w:rPr>
              <w:t>6项内容，方案内容完整齐全，符合项目实际的，得12分；每缺少一项方案内容，或一项内容存在缺陷的，每一项扣2分，扣完为止；未提供售后服务方案的，此项不得分。</w:t>
            </w:r>
          </w:p>
          <w:p>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519" w:type="dxa"/>
            <w:gridSpan w:val="4"/>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合计：100分</w:t>
            </w:r>
          </w:p>
        </w:tc>
      </w:tr>
    </w:tbl>
    <w:p>
      <w:pPr>
        <w:pStyle w:val="4"/>
        <w:ind w:left="0" w:leftChars="0" w:firstLine="0" w:firstLineChars="0"/>
        <w:rPr>
          <w:rFonts w:hint="eastAsia" w:asciiTheme="minorEastAsia" w:hAnsiTheme="minorEastAsia" w:eastAsiaTheme="minorEastAsia" w:cstheme="minorEastAsia"/>
          <w:b/>
          <w:bCs/>
          <w:color w:val="auto"/>
          <w:sz w:val="24"/>
          <w:szCs w:val="24"/>
          <w:highlight w:val="none"/>
        </w:rPr>
      </w:pPr>
    </w:p>
    <w:p>
      <w:pPr>
        <w:pStyle w:val="4"/>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包评分标准：</w:t>
      </w:r>
    </w:p>
    <w:tbl>
      <w:tblPr>
        <w:tblStyle w:val="39"/>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6"/>
        <w:gridCol w:w="1282"/>
        <w:gridCol w:w="5569"/>
        <w:gridCol w:w="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评分因素及权重</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评标因素</w:t>
            </w:r>
          </w:p>
        </w:tc>
        <w:tc>
          <w:tcPr>
            <w:tcW w:w="5569"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评分标准</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价格部分（30分）</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w:t>
            </w:r>
          </w:p>
        </w:tc>
        <w:tc>
          <w:tcPr>
            <w:tcW w:w="5569" w:type="dxa"/>
            <w:tcMar>
              <w:top w:w="15" w:type="dxa"/>
              <w:left w:w="15" w:type="dxa"/>
              <w:right w:w="15" w:type="dxa"/>
            </w:tcMar>
            <w:vAlign w:val="center"/>
          </w:tcPr>
          <w:p>
            <w:pPr>
              <w:widowControl/>
              <w:spacing w:line="400" w:lineRule="exac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综合评分法中的价格分统一采用低价优先法计算，即满足招标文件要求且投标价格最低的投标报价为评标基准价，其价格分为满分30分，其它投标报价得分=评标基准价/投标报价*30</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jc w:val="center"/>
        </w:trPr>
        <w:tc>
          <w:tcPr>
            <w:tcW w:w="1026" w:type="dxa"/>
            <w:vMerge w:val="restart"/>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技术和商务部分（ 70分）</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技术参数响应评价</w:t>
            </w:r>
          </w:p>
        </w:tc>
        <w:tc>
          <w:tcPr>
            <w:tcW w:w="5569" w:type="dxa"/>
            <w:tcMar>
              <w:top w:w="15" w:type="dxa"/>
              <w:left w:w="15" w:type="dxa"/>
              <w:right w:w="15" w:type="dxa"/>
            </w:tcMar>
            <w:vAlign w:val="center"/>
          </w:tcPr>
          <w:p>
            <w:pPr>
              <w:widowControl/>
              <w:spacing w:line="400" w:lineRule="exact"/>
              <w:ind w:firstLine="480" w:firstLineChars="200"/>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对照“项目需求”技术参数（每条技术参数前标注“★”的为核心技术参数，标注“▲”的为主要技术参数，未标注的为一般参数），根据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提供的产品配置及技术性能指标的响应情况进行评审。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1.本标包2种产品，</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每有一种所投产品技术参数完全响应招标文件要求的，得15分，最多得30分；</w:t>
            </w:r>
          </w:p>
          <w:p>
            <w:pPr>
              <w:widowControl/>
              <w:spacing w:line="400" w:lineRule="exact"/>
              <w:jc w:val="both"/>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每种产品</w:t>
            </w:r>
            <w:r>
              <w:rPr>
                <w:rFonts w:hint="eastAsia" w:asciiTheme="minorEastAsia" w:hAnsiTheme="minorEastAsia" w:eastAsiaTheme="minorEastAsia" w:cstheme="minorEastAsia"/>
                <w:color w:val="auto"/>
                <w:kern w:val="0"/>
                <w:sz w:val="24"/>
                <w:szCs w:val="24"/>
                <w:highlight w:val="none"/>
              </w:rPr>
              <w:t>核心技术参数</w:t>
            </w:r>
            <w:r>
              <w:rPr>
                <w:rFonts w:hint="eastAsia" w:asciiTheme="minorEastAsia" w:hAnsiTheme="minorEastAsia" w:eastAsiaTheme="minorEastAsia" w:cstheme="minorEastAsia"/>
                <w:color w:val="auto"/>
                <w:kern w:val="0"/>
                <w:sz w:val="24"/>
                <w:szCs w:val="24"/>
                <w:highlight w:val="none"/>
                <w:lang w:val="en-US" w:eastAsia="zh-CN"/>
              </w:rPr>
              <w:t>存在负偏离的,该产品技术参数分为0分</w:t>
            </w:r>
            <w:r>
              <w:rPr>
                <w:rFonts w:hint="eastAsia" w:asciiTheme="minorEastAsia" w:hAnsiTheme="minorEastAsia" w:eastAsiaTheme="minorEastAsia" w:cstheme="minorEastAsia"/>
                <w:color w:val="auto"/>
                <w:kern w:val="0"/>
                <w:sz w:val="24"/>
                <w:szCs w:val="24"/>
                <w:highlight w:val="none"/>
              </w:rPr>
              <w:t>；</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3.每种产品主要技术参数存在负偏离的，该产品技术参数分为0分；</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4.每种产品一般技术参数存在负偏离的，每一条扣</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分，每种产品</w:t>
            </w:r>
            <w:r>
              <w:rPr>
                <w:rFonts w:hint="eastAsia" w:asciiTheme="minorEastAsia" w:hAnsiTheme="minorEastAsia" w:eastAsiaTheme="minorEastAsia" w:cstheme="minorEastAsia"/>
                <w:color w:val="auto"/>
                <w:kern w:val="0"/>
                <w:sz w:val="24"/>
                <w:szCs w:val="24"/>
                <w:highlight w:val="none"/>
                <w:lang w:eastAsia="zh-CN"/>
              </w:rPr>
              <w:t>一般</w:t>
            </w:r>
            <w:r>
              <w:rPr>
                <w:rFonts w:hint="eastAsia" w:asciiTheme="minorEastAsia" w:hAnsiTheme="minorEastAsia" w:eastAsiaTheme="minorEastAsia" w:cstheme="minorEastAsia"/>
                <w:color w:val="auto"/>
                <w:kern w:val="0"/>
                <w:sz w:val="24"/>
                <w:szCs w:val="24"/>
                <w:highlight w:val="none"/>
              </w:rPr>
              <w:t>技术参数得分最多扣15分。</w:t>
            </w:r>
          </w:p>
          <w:p>
            <w:pPr>
              <w:widowControl/>
              <w:spacing w:line="400" w:lineRule="exact"/>
              <w:ind w:firstLine="480" w:firstLineChars="200"/>
              <w:textAlignment w:val="center"/>
              <w:rPr>
                <w:rFonts w:eastAsiaTheme="minorEastAsia"/>
                <w:color w:val="auto"/>
                <w:highlight w:val="none"/>
              </w:rPr>
            </w:pPr>
            <w:r>
              <w:rPr>
                <w:b/>
                <w:bCs/>
                <w:color w:val="auto"/>
                <w:sz w:val="24"/>
                <w:szCs w:val="24"/>
                <w:highlight w:val="none"/>
              </w:rPr>
              <w:t>注：负偏离评审依据：</w:t>
            </w:r>
            <w:r>
              <w:rPr>
                <w:rFonts w:hint="eastAsia"/>
                <w:b/>
                <w:bCs/>
                <w:color w:val="auto"/>
                <w:sz w:val="24"/>
                <w:szCs w:val="24"/>
                <w:highlight w:val="none"/>
              </w:rPr>
              <w:t>①</w:t>
            </w:r>
            <w:r>
              <w:rPr>
                <w:b/>
                <w:bCs/>
                <w:color w:val="auto"/>
                <w:sz w:val="24"/>
                <w:szCs w:val="24"/>
                <w:highlight w:val="none"/>
              </w:rPr>
              <w:t>所</w:t>
            </w:r>
            <w:r>
              <w:rPr>
                <w:rFonts w:hint="eastAsia"/>
                <w:b/>
                <w:bCs/>
                <w:color w:val="auto"/>
                <w:sz w:val="24"/>
                <w:szCs w:val="24"/>
                <w:highlight w:val="none"/>
              </w:rPr>
              <w:t>提供</w:t>
            </w:r>
            <w:r>
              <w:rPr>
                <w:b/>
                <w:bCs/>
                <w:color w:val="auto"/>
                <w:sz w:val="24"/>
                <w:szCs w:val="24"/>
                <w:highlight w:val="none"/>
              </w:rPr>
              <w:t>产品技术参数低于</w:t>
            </w:r>
            <w:r>
              <w:rPr>
                <w:rFonts w:hint="eastAsia"/>
                <w:b/>
                <w:bCs/>
                <w:color w:val="auto"/>
                <w:sz w:val="24"/>
                <w:szCs w:val="24"/>
                <w:highlight w:val="none"/>
              </w:rPr>
              <w:t>招标</w:t>
            </w:r>
            <w:r>
              <w:rPr>
                <w:b/>
                <w:bCs/>
                <w:color w:val="auto"/>
                <w:sz w:val="24"/>
                <w:szCs w:val="24"/>
                <w:highlight w:val="none"/>
              </w:rPr>
              <w:t>文件要求的，视为负偏离；</w:t>
            </w:r>
            <w:r>
              <w:rPr>
                <w:rFonts w:hint="eastAsia"/>
                <w:b/>
                <w:bCs/>
                <w:color w:val="auto"/>
                <w:sz w:val="24"/>
                <w:szCs w:val="24"/>
                <w:highlight w:val="none"/>
              </w:rPr>
              <w:t>②</w:t>
            </w:r>
            <w:r>
              <w:rPr>
                <w:b/>
                <w:bCs/>
                <w:color w:val="auto"/>
                <w:sz w:val="24"/>
                <w:szCs w:val="24"/>
                <w:highlight w:val="none"/>
              </w:rPr>
              <w:t>技术参数响应条款</w:t>
            </w:r>
            <w:r>
              <w:rPr>
                <w:rFonts w:hint="eastAsia"/>
                <w:b/>
                <w:bCs/>
                <w:color w:val="auto"/>
                <w:sz w:val="24"/>
                <w:szCs w:val="24"/>
                <w:highlight w:val="none"/>
              </w:rPr>
              <w:t>（以投标文件内技术偏离表为准）</w:t>
            </w:r>
            <w:r>
              <w:rPr>
                <w:b/>
                <w:bCs/>
                <w:color w:val="auto"/>
                <w:sz w:val="24"/>
                <w:szCs w:val="24"/>
                <w:highlight w:val="none"/>
              </w:rPr>
              <w:t>与</w:t>
            </w:r>
            <w:r>
              <w:rPr>
                <w:rFonts w:hint="eastAsia"/>
                <w:b/>
                <w:bCs/>
                <w:color w:val="auto"/>
                <w:sz w:val="24"/>
                <w:szCs w:val="24"/>
                <w:highlight w:val="none"/>
              </w:rPr>
              <w:t>招标</w:t>
            </w:r>
            <w:r>
              <w:rPr>
                <w:b/>
                <w:bCs/>
                <w:color w:val="auto"/>
                <w:sz w:val="24"/>
                <w:szCs w:val="24"/>
                <w:highlight w:val="none"/>
              </w:rPr>
              <w:t>文件对比有缺项、漏项的，视为负偏离；</w:t>
            </w:r>
            <w:r>
              <w:rPr>
                <w:rFonts w:hint="eastAsia"/>
                <w:b/>
                <w:bCs/>
                <w:color w:val="auto"/>
                <w:sz w:val="24"/>
                <w:szCs w:val="24"/>
                <w:highlight w:val="none"/>
              </w:rPr>
              <w:t>③投标文件内技术偏离表完全复制招标文件技术参数的（不涉及具体参数指标的描述性技术要求除外），视为负偏离；④</w:t>
            </w:r>
            <w:r>
              <w:rPr>
                <w:rFonts w:hint="eastAsia"/>
                <w:b/>
                <w:bCs/>
                <w:color w:val="auto"/>
                <w:sz w:val="24"/>
                <w:szCs w:val="24"/>
                <w:highlight w:val="none"/>
                <w:lang w:eastAsia="zh-CN"/>
              </w:rPr>
              <w:t>供应商</w:t>
            </w:r>
            <w:r>
              <w:rPr>
                <w:b/>
                <w:bCs/>
                <w:color w:val="auto"/>
                <w:sz w:val="24"/>
                <w:szCs w:val="24"/>
                <w:highlight w:val="none"/>
              </w:rPr>
              <w:t>提供的</w:t>
            </w:r>
            <w:r>
              <w:rPr>
                <w:rFonts w:hint="eastAsia"/>
                <w:b/>
                <w:bCs/>
                <w:color w:val="auto"/>
                <w:sz w:val="24"/>
                <w:szCs w:val="24"/>
                <w:highlight w:val="none"/>
              </w:rPr>
              <w:t>投标</w:t>
            </w:r>
            <w:r>
              <w:rPr>
                <w:b/>
                <w:bCs/>
                <w:color w:val="auto"/>
                <w:sz w:val="24"/>
                <w:szCs w:val="24"/>
                <w:highlight w:val="none"/>
              </w:rPr>
              <w:t>文件中产品技术偏离表、产品技术规格书和产品检测报告内描述的同一产品技术参数响应值不一致的，视为负偏离</w:t>
            </w:r>
            <w:r>
              <w:rPr>
                <w:rFonts w:hint="eastAsia"/>
                <w:b/>
                <w:bCs/>
                <w:color w:val="auto"/>
                <w:sz w:val="24"/>
                <w:szCs w:val="24"/>
                <w:highlight w:val="none"/>
                <w:lang w:eastAsia="zh-CN"/>
              </w:rPr>
              <w:t>；</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color w:val="auto"/>
                <w:sz w:val="24"/>
                <w:szCs w:val="24"/>
                <w:highlight w:val="none"/>
              </w:rPr>
              <w:t>业绩证明</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供应商近三年内（</w:t>
            </w:r>
            <w:r>
              <w:rPr>
                <w:rFonts w:hint="eastAsia" w:asciiTheme="minorEastAsia" w:hAnsiTheme="minorEastAsia" w:eastAsiaTheme="minorEastAsia" w:cstheme="minorEastAsia"/>
                <w:color w:val="auto"/>
                <w:kern w:val="0"/>
                <w:sz w:val="24"/>
                <w:szCs w:val="24"/>
                <w:highlight w:val="none"/>
              </w:rPr>
              <w:t>2021年0</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 xml:space="preserve"> 月 01日</w:t>
            </w:r>
            <w:r>
              <w:rPr>
                <w:rFonts w:hint="eastAsia"/>
                <w:color w:val="auto"/>
                <w:sz w:val="24"/>
                <w:szCs w:val="24"/>
                <w:highlight w:val="none"/>
              </w:rPr>
              <w:t>，以合同签订日期为准）完成类似项目的业绩，每个项目业绩得</w:t>
            </w:r>
            <w:r>
              <w:rPr>
                <w:rFonts w:hint="eastAsia"/>
                <w:color w:val="auto"/>
                <w:sz w:val="24"/>
                <w:szCs w:val="24"/>
                <w:highlight w:val="none"/>
                <w:lang w:val="en-US" w:eastAsia="zh-CN"/>
              </w:rPr>
              <w:t>2</w:t>
            </w:r>
            <w:r>
              <w:rPr>
                <w:rFonts w:hint="eastAsia"/>
                <w:color w:val="auto"/>
                <w:sz w:val="24"/>
                <w:szCs w:val="24"/>
                <w:highlight w:val="none"/>
              </w:rPr>
              <w:t>分，最多得</w:t>
            </w:r>
            <w:r>
              <w:rPr>
                <w:rFonts w:hint="eastAsia"/>
                <w:color w:val="auto"/>
                <w:sz w:val="24"/>
                <w:szCs w:val="24"/>
                <w:highlight w:val="none"/>
                <w:lang w:val="en-US" w:eastAsia="zh-CN"/>
              </w:rPr>
              <w:t>4</w:t>
            </w:r>
            <w:r>
              <w:rPr>
                <w:rFonts w:hint="eastAsia"/>
                <w:color w:val="auto"/>
                <w:sz w:val="24"/>
                <w:szCs w:val="24"/>
                <w:highlight w:val="none"/>
              </w:rPr>
              <w:t>分。</w:t>
            </w:r>
          </w:p>
          <w:p>
            <w:pPr>
              <w:widowControl/>
              <w:spacing w:line="400" w:lineRule="exact"/>
              <w:ind w:firstLine="480" w:firstLineChars="200"/>
              <w:textAlignment w:val="center"/>
              <w:rPr>
                <w:b/>
                <w:bCs/>
                <w:color w:val="auto"/>
                <w:sz w:val="24"/>
                <w:szCs w:val="24"/>
                <w:highlight w:val="none"/>
              </w:rPr>
            </w:pPr>
            <w:r>
              <w:rPr>
                <w:rFonts w:hint="eastAsia"/>
                <w:b/>
                <w:bCs/>
                <w:color w:val="auto"/>
                <w:sz w:val="24"/>
                <w:szCs w:val="24"/>
                <w:highlight w:val="none"/>
              </w:rPr>
              <w:t>注：①提供中标（成交）通知书和合同复印件，未按要求提供不得分；②同一单位近三年的类似合同不重复计算业绩，仅算一个业绩。</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项目组织</w:t>
            </w:r>
          </w:p>
          <w:p>
            <w:pPr>
              <w:widowControl/>
              <w:spacing w:line="400" w:lineRule="exact"/>
              <w:jc w:val="center"/>
              <w:textAlignment w:val="center"/>
              <w:rPr>
                <w:color w:val="auto"/>
                <w:sz w:val="24"/>
                <w:szCs w:val="24"/>
                <w:highlight w:val="none"/>
              </w:rPr>
            </w:pPr>
            <w:r>
              <w:rPr>
                <w:rFonts w:hint="eastAsia" w:asciiTheme="minorEastAsia" w:hAnsiTheme="minorEastAsia" w:eastAsiaTheme="minorEastAsia" w:cstheme="minorEastAsia"/>
                <w:color w:val="auto"/>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根据供应商提供的项目组织方案进行评分：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项目组织方案包括但不限于</w:t>
            </w:r>
            <w:r>
              <w:rPr>
                <w:rFonts w:hint="eastAsia" w:asciiTheme="majorEastAsia" w:hAnsiTheme="majorEastAsia" w:eastAsiaTheme="majorEastAsia" w:cstheme="majorEastAsia"/>
                <w:color w:val="auto"/>
                <w:sz w:val="24"/>
                <w:szCs w:val="24"/>
                <w:highlight w:val="none"/>
              </w:rPr>
              <w:t>项目人员配备、项目供货方案、安装调试方案</w:t>
            </w:r>
            <w:r>
              <w:rPr>
                <w:color w:val="auto"/>
                <w:sz w:val="24"/>
                <w:szCs w:val="24"/>
                <w:highlight w:val="none"/>
              </w:rPr>
              <w:t>等</w:t>
            </w:r>
            <w:r>
              <w:rPr>
                <w:rFonts w:hint="eastAsia"/>
                <w:color w:val="auto"/>
                <w:sz w:val="24"/>
                <w:szCs w:val="24"/>
                <w:highlight w:val="none"/>
              </w:rPr>
              <w:t>内容，方案内容完整齐全，符合项目实际的，得12分；每缺少一项方案内容，或一项内容存在缺陷的，每一项扣4分，扣完为止；未提供项目组织方案的，此项不得分。</w:t>
            </w:r>
          </w:p>
          <w:p>
            <w:pPr>
              <w:widowControl/>
              <w:spacing w:line="400" w:lineRule="exact"/>
              <w:ind w:firstLine="480" w:firstLineChars="200"/>
              <w:rPr>
                <w:b/>
                <w:bCs/>
                <w:color w:val="auto"/>
                <w:sz w:val="24"/>
                <w:szCs w:val="24"/>
                <w:highlight w:val="none"/>
              </w:rPr>
            </w:pPr>
            <w:r>
              <w:rPr>
                <w:rFonts w:hint="eastAsia"/>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技术培训</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根据供应商提供的技术培训方案进行评分：</w:t>
            </w:r>
          </w:p>
          <w:p>
            <w:pPr>
              <w:widowControl/>
              <w:spacing w:line="400" w:lineRule="exact"/>
              <w:ind w:firstLine="480" w:firstLineChars="200"/>
              <w:rPr>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技术培训</w:t>
            </w:r>
            <w:r>
              <w:rPr>
                <w:rFonts w:hint="eastAsia"/>
                <w:color w:val="auto"/>
                <w:sz w:val="24"/>
                <w:szCs w:val="24"/>
                <w:highlight w:val="none"/>
              </w:rPr>
              <w:t>方案包括但不限于</w:t>
            </w:r>
            <w:r>
              <w:rPr>
                <w:rFonts w:asciiTheme="majorEastAsia" w:hAnsiTheme="majorEastAsia" w:eastAsiaTheme="majorEastAsia" w:cstheme="majorEastAsia"/>
                <w:color w:val="auto"/>
                <w:sz w:val="24"/>
                <w:szCs w:val="24"/>
                <w:highlight w:val="none"/>
              </w:rPr>
              <w:t>培训内容</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培训方式</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培训计划</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培训团队人员配置</w:t>
            </w:r>
            <w:r>
              <w:rPr>
                <w:color w:val="auto"/>
                <w:sz w:val="24"/>
                <w:szCs w:val="24"/>
                <w:highlight w:val="none"/>
              </w:rPr>
              <w:t>等</w:t>
            </w:r>
            <w:r>
              <w:rPr>
                <w:rFonts w:hint="eastAsia"/>
                <w:color w:val="auto"/>
                <w:sz w:val="24"/>
                <w:szCs w:val="24"/>
                <w:highlight w:val="none"/>
              </w:rPr>
              <w:t>4项内容，方案内容完整齐全，符合项目实际的，得12分；每缺少一项方案内容，或一项内容存在缺陷的，每一项扣3分，扣完为止；未提供</w:t>
            </w:r>
            <w:r>
              <w:rPr>
                <w:rFonts w:hint="eastAsia" w:asciiTheme="minorEastAsia" w:hAnsiTheme="minorEastAsia" w:eastAsiaTheme="minorEastAsia" w:cstheme="minorEastAsia"/>
                <w:color w:val="auto"/>
                <w:kern w:val="0"/>
                <w:sz w:val="24"/>
                <w:szCs w:val="24"/>
                <w:highlight w:val="none"/>
              </w:rPr>
              <w:t>技术培训</w:t>
            </w:r>
            <w:r>
              <w:rPr>
                <w:rFonts w:hint="eastAsia"/>
                <w:color w:val="auto"/>
                <w:sz w:val="24"/>
                <w:szCs w:val="24"/>
                <w:highlight w:val="none"/>
              </w:rPr>
              <w:t>方案的，此项不得分。</w:t>
            </w:r>
          </w:p>
          <w:p>
            <w:pPr>
              <w:snapToGrid w:val="0"/>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根据供应商提供的售后服务方案进行评分：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售后服务方案包括但不限于</w:t>
            </w:r>
            <w:r>
              <w:rPr>
                <w:rFonts w:hint="eastAsia" w:asciiTheme="majorEastAsia" w:hAnsiTheme="majorEastAsia" w:eastAsiaTheme="majorEastAsia" w:cstheme="majorEastAsia"/>
                <w:color w:val="auto"/>
                <w:sz w:val="24"/>
                <w:szCs w:val="24"/>
                <w:highlight w:val="none"/>
              </w:rPr>
              <w:t>售后</w:t>
            </w:r>
            <w:r>
              <w:rPr>
                <w:rFonts w:asciiTheme="majorEastAsia" w:hAnsiTheme="majorEastAsia" w:eastAsiaTheme="majorEastAsia" w:cstheme="majorEastAsia"/>
                <w:color w:val="auto"/>
                <w:sz w:val="24"/>
                <w:szCs w:val="24"/>
                <w:highlight w:val="none"/>
              </w:rPr>
              <w:t>服务承诺</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服务响应方案</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备件（易耗品）供应方案</w:t>
            </w:r>
            <w:r>
              <w:rPr>
                <w:rFonts w:hint="eastAsia" w:asciiTheme="majorEastAsia" w:hAnsiTheme="majorEastAsia" w:eastAsiaTheme="majorEastAsia" w:cstheme="majorEastAsia"/>
                <w:color w:val="auto"/>
                <w:sz w:val="24"/>
                <w:szCs w:val="24"/>
                <w:highlight w:val="none"/>
              </w:rPr>
              <w:t>（含备件价格）、</w:t>
            </w:r>
            <w:r>
              <w:rPr>
                <w:rFonts w:asciiTheme="majorEastAsia" w:hAnsiTheme="majorEastAsia" w:eastAsiaTheme="majorEastAsia" w:cstheme="majorEastAsia"/>
                <w:color w:val="auto"/>
                <w:sz w:val="24"/>
                <w:szCs w:val="24"/>
                <w:highlight w:val="none"/>
              </w:rPr>
              <w:t>服务人员配备</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故障响应</w:t>
            </w:r>
            <w:r>
              <w:rPr>
                <w:rFonts w:hint="eastAsia" w:asciiTheme="majorEastAsia" w:hAnsiTheme="majorEastAsia" w:eastAsiaTheme="majorEastAsia" w:cstheme="majorEastAsia"/>
                <w:color w:val="auto"/>
                <w:sz w:val="24"/>
                <w:szCs w:val="24"/>
                <w:highlight w:val="none"/>
              </w:rPr>
              <w:t>措施、</w:t>
            </w:r>
            <w:r>
              <w:rPr>
                <w:rFonts w:asciiTheme="majorEastAsia" w:hAnsiTheme="majorEastAsia" w:eastAsiaTheme="majorEastAsia" w:cstheme="majorEastAsia"/>
                <w:color w:val="auto"/>
                <w:sz w:val="24"/>
                <w:szCs w:val="24"/>
                <w:highlight w:val="none"/>
              </w:rPr>
              <w:t>质保外服务措施</w:t>
            </w:r>
            <w:r>
              <w:rPr>
                <w:color w:val="auto"/>
                <w:sz w:val="24"/>
                <w:szCs w:val="24"/>
                <w:highlight w:val="none"/>
              </w:rPr>
              <w:t>等</w:t>
            </w:r>
            <w:r>
              <w:rPr>
                <w:rFonts w:hint="eastAsia"/>
                <w:color w:val="auto"/>
                <w:sz w:val="24"/>
                <w:szCs w:val="24"/>
                <w:highlight w:val="none"/>
              </w:rPr>
              <w:t>6项内容，方案内容完整齐全，符合项目实际的，得12分；每缺少一项方案内容，或一项内容存在缺陷的，每一项扣2分，扣完为止；未提供售后服务方案的，此项不得分。</w:t>
            </w:r>
          </w:p>
          <w:p>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519" w:type="dxa"/>
            <w:gridSpan w:val="4"/>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合计：100分</w:t>
            </w:r>
          </w:p>
        </w:tc>
      </w:tr>
    </w:tbl>
    <w:p>
      <w:pPr>
        <w:rPr>
          <w:rFonts w:hint="eastAsia"/>
          <w:color w:val="auto"/>
          <w:highlight w:val="none"/>
        </w:rPr>
      </w:pPr>
    </w:p>
    <w:p>
      <w:pPr>
        <w:pStyle w:val="4"/>
        <w:rPr>
          <w:rFonts w:hint="eastAsia" w:asciiTheme="minorEastAsia" w:hAnsiTheme="minorEastAsia" w:eastAsiaTheme="minorEastAsia" w:cstheme="minorEastAsia"/>
          <w:b/>
          <w:bCs/>
          <w:color w:val="auto"/>
          <w:sz w:val="24"/>
          <w:szCs w:val="24"/>
          <w:highlight w:val="none"/>
        </w:rPr>
      </w:pPr>
    </w:p>
    <w:p>
      <w:pPr>
        <w:pStyle w:val="4"/>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（三）政府采购政策功能落实</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中小</w:t>
      </w:r>
      <w:r>
        <w:rPr>
          <w:rFonts w:hint="eastAsia" w:asciiTheme="minorEastAsia" w:hAnsiTheme="minorEastAsia" w:eastAsiaTheme="minorEastAsia" w:cstheme="minorEastAsia"/>
          <w:color w:val="auto"/>
          <w:sz w:val="24"/>
          <w:szCs w:val="24"/>
          <w:highlight w:val="none"/>
        </w:rPr>
        <w:t>企业价格扣除</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w:t>
      </w:r>
      <w:r>
        <w:rPr>
          <w:rFonts w:hint="eastAsia" w:asciiTheme="minorEastAsia" w:hAnsiTheme="minorEastAsia" w:eastAsiaTheme="minorEastAsia" w:cstheme="minorEastAsia"/>
          <w:color w:val="auto"/>
          <w:sz w:val="24"/>
          <w:szCs w:val="24"/>
          <w:highlight w:val="none"/>
          <w:lang w:val="en-US" w:eastAsia="zh-CN"/>
        </w:rPr>
        <w:t>供应商所提供货物的制造商为小型、微型企业的，给予10%的价格扣除</w:t>
      </w:r>
      <w:r>
        <w:rPr>
          <w:rFonts w:hint="eastAsia" w:asciiTheme="minorEastAsia" w:hAnsiTheme="minorEastAsia" w:eastAsiaTheme="minorEastAsia" w:cstheme="minorEastAsia"/>
          <w:color w:val="auto"/>
          <w:sz w:val="24"/>
          <w:szCs w:val="24"/>
          <w:highlight w:val="none"/>
        </w:rPr>
        <w:t>，用扣除后的价格参与评审。</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（2）供应商需按照采购文件的要求提供相应的《中小企业声明函》。</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（3）企业标准请参照关于印发《政府采购促进中小企业发展管理办法》的通知（财库[2020]46号）文件规定自行填写。</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2.残疾人福利单位价格扣除</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（1）本项目对残疾人福利性单位视同小型、微型企业，给予10%的价格扣除，用扣除后的价格参与评审。</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（2）残疾人福利单位需按照采购文件的要求提供《残疾人福利性单位声明函》。</w:t>
      </w:r>
    </w:p>
    <w:p>
      <w:pPr>
        <w:spacing w:line="400" w:lineRule="exact"/>
        <w:ind w:firstLine="480" w:firstLineChars="20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（3）残疾人福利单位标准请参照《</w:t>
      </w:r>
      <w:r>
        <w:rPr>
          <w:rFonts w:hint="eastAsia" w:ascii="宋体" w:hAnsi="宋体" w:cs="宋体"/>
          <w:color w:val="auto"/>
          <w:sz w:val="24"/>
          <w:szCs w:val="24"/>
          <w:highlight w:val="none"/>
        </w:rPr>
        <w:t>关于促进残疾人就业政府采购政策的通知</w:t>
      </w:r>
      <w:r>
        <w:rPr>
          <w:rFonts w:hint="eastAsia" w:asciiTheme="minorEastAsia" w:hAnsiTheme="minorEastAsia" w:eastAsiaTheme="minorEastAsia" w:cstheme="minorEastAsia"/>
          <w:color w:val="auto"/>
          <w:sz w:val="24"/>
          <w:szCs w:val="24"/>
          <w:highlight w:val="none"/>
        </w:rPr>
        <w:t>》（财库[2017]141号）。</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3.监狱和戒毒企业价格扣除</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（1）本项目对监狱和戒毒企业（简称监狱企业）视同小型、微型企业，给予10%的价格扣除，用扣除后的价格参与评审。</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（2）监狱企业参加政府采购活动时，需提供由省级以上监狱管理局、戒毒管理局(含新疆生产建设兵团)出具的监狱企业证明文件</w:t>
      </w:r>
      <w:r>
        <w:rPr>
          <w:rFonts w:hint="eastAsia" w:asciiTheme="minorEastAsia" w:hAnsiTheme="minorEastAsia" w:eastAsiaTheme="minorEastAsia" w:cstheme="minorEastAsia"/>
          <w:color w:val="auto"/>
          <w:sz w:val="24"/>
          <w:szCs w:val="24"/>
          <w:highlight w:val="none"/>
          <w:lang w:eastAsia="zh-CN"/>
        </w:rPr>
        <w:t>。</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）监狱企业标准请参照《财政部、司法部关于政府采购支持监狱企业发展有关问题的通知》（财库[2014]68号）。</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4.残疾人福利单位、监狱企业属于小型、微型企业的，不重复享受政策。</w:t>
      </w:r>
    </w:p>
    <w:bookmarkEnd w:id="16"/>
    <w:bookmarkEnd w:id="17"/>
    <w:bookmarkEnd w:id="18"/>
    <w:bookmarkEnd w:id="19"/>
    <w:bookmarkEnd w:id="20"/>
    <w:bookmarkEnd w:id="21"/>
    <w:bookmarkEnd w:id="38"/>
    <w:p>
      <w:pPr>
        <w:pStyle w:val="3"/>
        <w:rPr>
          <w:color w:val="auto"/>
          <w:highlight w:val="none"/>
        </w:rPr>
      </w:pPr>
      <w:bookmarkStart w:id="104" w:name="_Toc15450"/>
      <w:bookmarkStart w:id="105" w:name="_Toc26728"/>
      <w:bookmarkStart w:id="106" w:name="_Toc12223"/>
      <w:bookmarkStart w:id="107" w:name="_Toc20823346"/>
      <w:bookmarkStart w:id="108" w:name="_Toc120614244"/>
      <w:bookmarkStart w:id="109" w:name="_Toc479757211"/>
      <w:bookmarkStart w:id="110" w:name="_Toc462564139"/>
      <w:bookmarkStart w:id="111" w:name="_Toc16938590"/>
      <w:bookmarkStart w:id="112" w:name="_Hlt16619350"/>
      <w:bookmarkStart w:id="113" w:name="_Toc17639"/>
      <w:bookmarkStart w:id="114" w:name="_Toc9411"/>
      <w:bookmarkStart w:id="115" w:name="_Toc31151"/>
    </w:p>
    <w:p>
      <w:pPr>
        <w:pStyle w:val="4"/>
        <w:ind w:firstLine="0"/>
        <w:rPr>
          <w:color w:val="auto"/>
          <w:highlight w:val="none"/>
        </w:rPr>
      </w:pPr>
    </w:p>
    <w:p>
      <w:pPr>
        <w:rPr>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color w:val="auto"/>
          <w:highlight w:val="none"/>
        </w:rPr>
      </w:pPr>
      <w:r>
        <w:rPr>
          <w:rFonts w:hint="eastAsia"/>
          <w:color w:val="auto"/>
          <w:highlight w:val="none"/>
        </w:rPr>
        <w:br w:type="page"/>
      </w:r>
    </w:p>
    <w:p>
      <w:pPr>
        <w:pStyle w:val="3"/>
        <w:rPr>
          <w:color w:val="auto"/>
          <w:highlight w:val="none"/>
        </w:rPr>
      </w:pPr>
      <w:r>
        <w:rPr>
          <w:rFonts w:hint="eastAsia"/>
          <w:color w:val="auto"/>
          <w:highlight w:val="none"/>
        </w:rPr>
        <w:t>第四章拟订立的合同样本</w:t>
      </w:r>
      <w:bookmarkEnd w:id="104"/>
      <w:bookmarkEnd w:id="105"/>
      <w:bookmarkEnd w:id="106"/>
    </w:p>
    <w:p>
      <w:pPr>
        <w:pStyle w:val="4"/>
        <w:ind w:firstLine="0"/>
        <w:rPr>
          <w:color w:val="auto"/>
          <w:highlight w:val="none"/>
        </w:rPr>
      </w:pPr>
    </w:p>
    <w:bookmarkEnd w:id="107"/>
    <w:bookmarkEnd w:id="108"/>
    <w:bookmarkEnd w:id="109"/>
    <w:bookmarkEnd w:id="110"/>
    <w:bookmarkEnd w:id="111"/>
    <w:bookmarkEnd w:id="112"/>
    <w:p>
      <w:pPr>
        <w:widowControl/>
        <w:rPr>
          <w:color w:val="auto"/>
          <w:highlight w:val="none"/>
        </w:rPr>
      </w:pPr>
      <w:bookmarkStart w:id="116" w:name="_Toc9510642"/>
      <w:r>
        <w:rPr>
          <w:rFonts w:hint="eastAsia" w:ascii="宋体" w:hAnsi="宋体" w:cs="宋体"/>
          <w:b/>
          <w:color w:val="auto"/>
          <w:spacing w:val="-4"/>
          <w:sz w:val="30"/>
          <w:szCs w:val="30"/>
          <w:highlight w:val="none"/>
        </w:rPr>
        <w:t>一、拟订立的合同模板</w:t>
      </w:r>
    </w:p>
    <w:p>
      <w:pPr>
        <w:rPr>
          <w:color w:val="auto"/>
          <w:highlight w:val="none"/>
        </w:rPr>
      </w:pPr>
    </w:p>
    <w:p>
      <w:pPr>
        <w:adjustRightInd w:val="0"/>
        <w:snapToGrid w:val="0"/>
        <w:spacing w:line="360" w:lineRule="auto"/>
        <w:jc w:val="center"/>
        <w:rPr>
          <w:rFonts w:hint="eastAsia" w:hAnsi="宋体"/>
          <w:b/>
          <w:bCs/>
          <w:color w:val="auto"/>
          <w:sz w:val="44"/>
          <w:szCs w:val="44"/>
          <w:highlight w:val="none"/>
        </w:rPr>
      </w:pPr>
    </w:p>
    <w:p>
      <w:pPr>
        <w:adjustRightInd w:val="0"/>
        <w:snapToGrid w:val="0"/>
        <w:spacing w:line="360" w:lineRule="auto"/>
        <w:jc w:val="center"/>
        <w:rPr>
          <w:rFonts w:hAnsi="宋体"/>
          <w:b/>
          <w:bCs/>
          <w:color w:val="auto"/>
          <w:sz w:val="44"/>
          <w:szCs w:val="44"/>
          <w:highlight w:val="none"/>
        </w:rPr>
      </w:pPr>
      <w:r>
        <w:rPr>
          <w:rFonts w:hint="eastAsia" w:hAnsi="宋体"/>
          <w:b/>
          <w:bCs/>
          <w:color w:val="auto"/>
          <w:sz w:val="44"/>
          <w:szCs w:val="44"/>
          <w:highlight w:val="none"/>
          <w:lang w:val="en-US" w:eastAsia="zh-CN"/>
        </w:rPr>
        <w:t>**</w:t>
      </w:r>
      <w:r>
        <w:rPr>
          <w:rFonts w:hint="eastAsia" w:hAnsi="宋体"/>
          <w:b/>
          <w:bCs/>
          <w:color w:val="auto"/>
          <w:sz w:val="44"/>
          <w:szCs w:val="44"/>
          <w:highlight w:val="none"/>
        </w:rPr>
        <w:t>项目采购项目合同</w:t>
      </w:r>
    </w:p>
    <w:p>
      <w:pPr>
        <w:pStyle w:val="25"/>
        <w:snapToGrid w:val="0"/>
        <w:spacing w:line="320" w:lineRule="exact"/>
        <w:rPr>
          <w:rFonts w:ascii="黑体" w:eastAsia="黑体"/>
          <w:bCs/>
          <w:color w:val="auto"/>
          <w:sz w:val="44"/>
          <w:highlight w:val="none"/>
        </w:rPr>
      </w:pPr>
    </w:p>
    <w:p>
      <w:pPr>
        <w:pStyle w:val="25"/>
        <w:snapToGrid w:val="0"/>
        <w:spacing w:line="320" w:lineRule="exact"/>
        <w:rPr>
          <w:rFonts w:ascii="黑体" w:eastAsia="黑体"/>
          <w:bCs/>
          <w:color w:val="auto"/>
          <w:sz w:val="44"/>
          <w:highlight w:val="none"/>
        </w:rPr>
      </w:pPr>
    </w:p>
    <w:p>
      <w:pPr>
        <w:pStyle w:val="4"/>
        <w:ind w:firstLine="0"/>
        <w:jc w:val="center"/>
        <w:rPr>
          <w:rFonts w:ascii="宋体" w:hAnsi="宋体" w:cs="宋体"/>
          <w:color w:val="auto"/>
          <w:sz w:val="24"/>
          <w:szCs w:val="24"/>
          <w:highlight w:val="none"/>
        </w:rPr>
      </w:pPr>
      <w:r>
        <w:rPr>
          <w:rFonts w:hint="eastAsia" w:ascii="宋体" w:hAnsi="宋体" w:cs="宋体"/>
          <w:color w:val="auto"/>
          <w:sz w:val="24"/>
          <w:szCs w:val="24"/>
          <w:highlight w:val="none"/>
        </w:rPr>
        <w:t>本合同仅供参考，最终以与采购人实际签订合同为准</w:t>
      </w: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pStyle w:val="25"/>
        <w:snapToGrid w:val="0"/>
        <w:spacing w:line="320" w:lineRule="exact"/>
        <w:rPr>
          <w:rFonts w:ascii="黑体" w:eastAsia="黑体"/>
          <w:bCs/>
          <w:color w:val="auto"/>
          <w:sz w:val="44"/>
          <w:highlight w:val="none"/>
        </w:rPr>
      </w:pPr>
    </w:p>
    <w:p>
      <w:pPr>
        <w:pStyle w:val="25"/>
        <w:snapToGrid w:val="0"/>
        <w:spacing w:line="320" w:lineRule="exact"/>
        <w:rPr>
          <w:rFonts w:ascii="黑体" w:eastAsia="黑体"/>
          <w:bCs/>
          <w:color w:val="auto"/>
          <w:sz w:val="44"/>
          <w:highlight w:val="none"/>
        </w:rPr>
      </w:pP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买方（甲方）：</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指定联系人：              联系电话：                  联系邮箱：</w:t>
      </w: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卖方（乙方）：</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指定联系人：              联系电话：                  联系邮箱：</w:t>
      </w:r>
    </w:p>
    <w:p>
      <w:pPr>
        <w:pStyle w:val="36"/>
        <w:snapToGrid w:val="0"/>
        <w:spacing w:before="0" w:beforeAutospacing="0" w:after="0" w:afterAutospacing="0" w:line="360" w:lineRule="auto"/>
        <w:ind w:firstLine="420"/>
        <w:rPr>
          <w:b/>
          <w:bCs/>
          <w:color w:val="auto"/>
          <w:highlight w:val="none"/>
          <w:u w:val="single"/>
        </w:rPr>
      </w:pPr>
      <w:r>
        <w:rPr>
          <w:rFonts w:hint="eastAsia"/>
          <w:color w:val="auto"/>
          <w:highlight w:val="none"/>
        </w:rPr>
        <w:t>买、卖双方本着公平自愿、平等互利、协商一致的原则，就</w:t>
      </w:r>
      <w:r>
        <w:rPr>
          <w:rFonts w:hint="eastAsia"/>
          <w:b/>
          <w:bCs/>
          <w:color w:val="auto"/>
          <w:highlight w:val="none"/>
          <w:u w:val="single"/>
        </w:rPr>
        <w:t xml:space="preserve">      项目第   包</w:t>
      </w:r>
      <w:r>
        <w:rPr>
          <w:rFonts w:hint="eastAsia"/>
          <w:color w:val="auto"/>
          <w:highlight w:val="none"/>
        </w:rPr>
        <w:t>签订本合同，双方信守执行。</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合同文本组成及解释顺序：</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第一章：合同协议书</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第二章：合同基本条款</w:t>
      </w:r>
    </w:p>
    <w:p>
      <w:pPr>
        <w:pStyle w:val="25"/>
        <w:rPr>
          <w:rFonts w:hAnsi="宋体" w:cs="宋体"/>
          <w:color w:val="auto"/>
          <w:sz w:val="24"/>
          <w:highlight w:val="none"/>
        </w:rPr>
      </w:pPr>
    </w:p>
    <w:p>
      <w:pPr>
        <w:widowControl/>
        <w:snapToGrid w:val="0"/>
        <w:spacing w:line="400" w:lineRule="exact"/>
        <w:jc w:val="center"/>
        <w:rPr>
          <w:rFonts w:hint="eastAsia" w:ascii="宋体" w:hAnsi="宋体" w:cs="宋体"/>
          <w:b/>
          <w:bCs/>
          <w:color w:val="auto"/>
          <w:sz w:val="36"/>
          <w:szCs w:val="36"/>
          <w:highlight w:val="none"/>
        </w:rPr>
      </w:pPr>
    </w:p>
    <w:p>
      <w:pPr>
        <w:widowControl/>
        <w:snapToGrid w:val="0"/>
        <w:spacing w:line="400" w:lineRule="exact"/>
        <w:jc w:val="center"/>
        <w:rPr>
          <w:rFonts w:hint="eastAsia" w:ascii="宋体" w:hAnsi="宋体" w:cs="宋体"/>
          <w:b/>
          <w:bCs/>
          <w:color w:val="auto"/>
          <w:sz w:val="36"/>
          <w:szCs w:val="36"/>
          <w:highlight w:val="none"/>
        </w:rPr>
      </w:pPr>
    </w:p>
    <w:p>
      <w:pPr>
        <w:widowControl/>
        <w:snapToGrid w:val="0"/>
        <w:spacing w:line="400" w:lineRule="exact"/>
        <w:jc w:val="center"/>
        <w:rPr>
          <w:rFonts w:hint="eastAsia" w:ascii="宋体" w:hAnsi="宋体" w:cs="宋体"/>
          <w:b/>
          <w:bCs/>
          <w:color w:val="auto"/>
          <w:sz w:val="36"/>
          <w:szCs w:val="36"/>
          <w:highlight w:val="none"/>
        </w:rPr>
      </w:pPr>
    </w:p>
    <w:p>
      <w:pPr>
        <w:widowControl/>
        <w:snapToGrid w:val="0"/>
        <w:spacing w:line="400" w:lineRule="exact"/>
        <w:jc w:val="center"/>
        <w:rPr>
          <w:rFonts w:hint="eastAsia" w:ascii="宋体" w:hAnsi="宋体" w:cs="宋体"/>
          <w:b/>
          <w:bCs/>
          <w:color w:val="auto"/>
          <w:sz w:val="36"/>
          <w:szCs w:val="36"/>
          <w:highlight w:val="none"/>
        </w:rPr>
      </w:pPr>
    </w:p>
    <w:p>
      <w:pPr>
        <w:widowControl/>
        <w:snapToGrid w:val="0"/>
        <w:spacing w:line="400" w:lineRule="exact"/>
        <w:jc w:val="center"/>
        <w:rPr>
          <w:rFonts w:ascii="宋体" w:hAnsi="宋体" w:cs="宋体"/>
          <w:color w:val="auto"/>
          <w:sz w:val="24"/>
          <w:highlight w:val="none"/>
        </w:rPr>
      </w:pPr>
      <w:r>
        <w:rPr>
          <w:rFonts w:hint="eastAsia" w:ascii="宋体" w:hAnsi="宋体" w:cs="宋体"/>
          <w:b/>
          <w:bCs/>
          <w:color w:val="auto"/>
          <w:sz w:val="36"/>
          <w:szCs w:val="36"/>
          <w:highlight w:val="none"/>
        </w:rPr>
        <w:t>一、  合同协议书</w:t>
      </w:r>
    </w:p>
    <w:p>
      <w:pPr>
        <w:tabs>
          <w:tab w:val="left" w:pos="5940"/>
        </w:tabs>
        <w:snapToGrid w:val="0"/>
        <w:spacing w:line="400" w:lineRule="exact"/>
        <w:ind w:firstLine="480" w:firstLineChars="200"/>
        <w:rPr>
          <w:rFonts w:ascii="宋体" w:hAnsi="宋体" w:cs="宋体"/>
          <w:color w:val="auto"/>
          <w:sz w:val="24"/>
          <w:highlight w:val="none"/>
        </w:rPr>
      </w:pPr>
    </w:p>
    <w:p>
      <w:pPr>
        <w:tabs>
          <w:tab w:val="left" w:pos="594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商品名称、规格、型号、单位、数量、单价、金额详见清单。</w:t>
      </w:r>
    </w:p>
    <w:p>
      <w:pPr>
        <w:tabs>
          <w:tab w:val="left" w:pos="594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单位：人民币：元</w:t>
      </w:r>
    </w:p>
    <w:tbl>
      <w:tblPr>
        <w:tblStyle w:val="39"/>
        <w:tblW w:w="8454" w:type="dxa"/>
        <w:tblInd w:w="0" w:type="dxa"/>
        <w:tblLayout w:type="fixed"/>
        <w:tblCellMar>
          <w:top w:w="0" w:type="dxa"/>
          <w:left w:w="108" w:type="dxa"/>
          <w:bottom w:w="0" w:type="dxa"/>
          <w:right w:w="108" w:type="dxa"/>
        </w:tblCellMar>
      </w:tblPr>
      <w:tblGrid>
        <w:gridCol w:w="934"/>
        <w:gridCol w:w="1766"/>
        <w:gridCol w:w="1509"/>
        <w:gridCol w:w="960"/>
        <w:gridCol w:w="1170"/>
        <w:gridCol w:w="1140"/>
        <w:gridCol w:w="975"/>
      </w:tblGrid>
      <w:tr>
        <w:tblPrEx>
          <w:tblCellMar>
            <w:top w:w="0" w:type="dxa"/>
            <w:left w:w="108" w:type="dxa"/>
            <w:bottom w:w="0" w:type="dxa"/>
            <w:right w:w="108" w:type="dxa"/>
          </w:tblCellMar>
        </w:tblPrEx>
        <w:trPr>
          <w:trHeight w:val="558" w:hRule="atLeast"/>
        </w:trPr>
        <w:tc>
          <w:tcPr>
            <w:tcW w:w="9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0"/>
                <w:highlight w:val="none"/>
              </w:rPr>
            </w:pPr>
            <w:r>
              <w:rPr>
                <w:rFonts w:hint="eastAsia" w:ascii="宋体" w:hAnsi="宋体" w:cs="宋体"/>
                <w:color w:val="auto"/>
                <w:kern w:val="0"/>
                <w:sz w:val="20"/>
                <w:highlight w:val="none"/>
              </w:rPr>
              <w:t>包号</w:t>
            </w:r>
          </w:p>
        </w:tc>
        <w:tc>
          <w:tcPr>
            <w:tcW w:w="1766"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0"/>
                <w:highlight w:val="none"/>
              </w:rPr>
            </w:pPr>
            <w:r>
              <w:rPr>
                <w:rFonts w:hint="eastAsia" w:ascii="宋体" w:hAnsi="宋体" w:cs="宋体"/>
                <w:color w:val="auto"/>
                <w:kern w:val="0"/>
                <w:highlight w:val="none"/>
              </w:rPr>
              <w:t>货物名称</w:t>
            </w:r>
          </w:p>
        </w:tc>
        <w:tc>
          <w:tcPr>
            <w:tcW w:w="1509"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0"/>
                <w:highlight w:val="none"/>
              </w:rPr>
            </w:pPr>
            <w:r>
              <w:rPr>
                <w:rFonts w:hint="eastAsia" w:ascii="宋体" w:hAnsi="宋体" w:cs="宋体"/>
                <w:color w:val="auto"/>
                <w:kern w:val="0"/>
                <w:sz w:val="20"/>
                <w:highlight w:val="none"/>
              </w:rPr>
              <w:t>品名/型号</w:t>
            </w:r>
          </w:p>
        </w:tc>
        <w:tc>
          <w:tcPr>
            <w:tcW w:w="96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0"/>
                <w:highlight w:val="none"/>
              </w:rPr>
            </w:pPr>
            <w:r>
              <w:rPr>
                <w:rFonts w:hint="eastAsia" w:ascii="宋体" w:hAnsi="宋体" w:cs="宋体"/>
                <w:color w:val="auto"/>
                <w:kern w:val="0"/>
                <w:sz w:val="20"/>
                <w:highlight w:val="none"/>
              </w:rPr>
              <w:t xml:space="preserve">单价   </w:t>
            </w:r>
          </w:p>
        </w:tc>
        <w:tc>
          <w:tcPr>
            <w:tcW w:w="117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0"/>
                <w:highlight w:val="none"/>
              </w:rPr>
            </w:pPr>
            <w:r>
              <w:rPr>
                <w:rFonts w:hint="eastAsia" w:ascii="宋体" w:hAnsi="宋体" w:cs="宋体"/>
                <w:color w:val="auto"/>
                <w:kern w:val="0"/>
                <w:sz w:val="20"/>
                <w:highlight w:val="none"/>
              </w:rPr>
              <w:t>数量（辆）</w:t>
            </w:r>
          </w:p>
        </w:tc>
        <w:tc>
          <w:tcPr>
            <w:tcW w:w="114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0"/>
                <w:highlight w:val="none"/>
              </w:rPr>
            </w:pPr>
            <w:r>
              <w:rPr>
                <w:rFonts w:hint="eastAsia" w:ascii="宋体" w:hAnsi="宋体" w:cs="宋体"/>
                <w:color w:val="auto"/>
                <w:kern w:val="0"/>
                <w:sz w:val="20"/>
                <w:highlight w:val="none"/>
              </w:rPr>
              <w:t>中标总价</w:t>
            </w:r>
          </w:p>
        </w:tc>
        <w:tc>
          <w:tcPr>
            <w:tcW w:w="975"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hint="eastAsia" w:ascii="宋体" w:hAnsi="宋体" w:eastAsia="宋体" w:cs="宋体"/>
                <w:color w:val="auto"/>
                <w:kern w:val="0"/>
                <w:sz w:val="20"/>
                <w:highlight w:val="none"/>
                <w:lang w:eastAsia="zh-CN"/>
              </w:rPr>
            </w:pPr>
            <w:r>
              <w:rPr>
                <w:rFonts w:hint="eastAsia" w:ascii="宋体" w:hAnsi="宋体" w:cs="宋体"/>
                <w:color w:val="auto"/>
                <w:kern w:val="0"/>
                <w:sz w:val="20"/>
                <w:highlight w:val="none"/>
                <w:lang w:eastAsia="zh-CN"/>
              </w:rPr>
              <w:t>保修期</w:t>
            </w:r>
          </w:p>
        </w:tc>
      </w:tr>
      <w:tr>
        <w:tblPrEx>
          <w:tblCellMar>
            <w:top w:w="0" w:type="dxa"/>
            <w:left w:w="108" w:type="dxa"/>
            <w:bottom w:w="0" w:type="dxa"/>
            <w:right w:w="108" w:type="dxa"/>
          </w:tblCellMar>
        </w:tblPrEx>
        <w:trPr>
          <w:trHeight w:val="1336" w:hRule="atLeast"/>
        </w:trPr>
        <w:tc>
          <w:tcPr>
            <w:tcW w:w="9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0"/>
                <w:highlight w:val="none"/>
              </w:rPr>
            </w:pPr>
          </w:p>
        </w:tc>
        <w:tc>
          <w:tcPr>
            <w:tcW w:w="17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cs="宋体"/>
                <w:color w:val="auto"/>
                <w:kern w:val="0"/>
                <w:sz w:val="20"/>
                <w:highlight w:val="none"/>
              </w:rPr>
            </w:pPr>
          </w:p>
        </w:tc>
        <w:tc>
          <w:tcPr>
            <w:tcW w:w="15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0"/>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0"/>
                <w:highlight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0"/>
                <w:highlight w:val="none"/>
              </w:rPr>
            </w:pPr>
          </w:p>
        </w:tc>
      </w:tr>
      <w:tr>
        <w:tblPrEx>
          <w:tblCellMar>
            <w:top w:w="0" w:type="dxa"/>
            <w:left w:w="108" w:type="dxa"/>
            <w:bottom w:w="0" w:type="dxa"/>
            <w:right w:w="108" w:type="dxa"/>
          </w:tblCellMar>
        </w:tblPrEx>
        <w:trPr>
          <w:trHeight w:val="1346" w:hRule="atLeast"/>
        </w:trPr>
        <w:tc>
          <w:tcPr>
            <w:tcW w:w="8454" w:type="dxa"/>
            <w:gridSpan w:val="7"/>
            <w:tcBorders>
              <w:top w:val="single" w:color="auto" w:sz="4" w:space="0"/>
              <w:left w:val="single" w:color="auto" w:sz="4" w:space="0"/>
              <w:bottom w:val="single" w:color="auto" w:sz="4" w:space="0"/>
              <w:right w:val="single" w:color="auto" w:sz="4" w:space="0"/>
            </w:tcBorders>
            <w:noWrap/>
          </w:tcPr>
          <w:p>
            <w:pPr>
              <w:widowControl/>
              <w:snapToGrid w:val="0"/>
              <w:spacing w:line="400" w:lineRule="exact"/>
              <w:rPr>
                <w:rFonts w:hint="eastAsia" w:ascii="宋体" w:hAnsi="宋体" w:cs="宋体"/>
                <w:color w:val="auto"/>
                <w:kern w:val="0"/>
                <w:sz w:val="20"/>
                <w:highlight w:val="none"/>
              </w:rPr>
            </w:pPr>
            <w:r>
              <w:rPr>
                <w:rFonts w:hint="eastAsia" w:ascii="宋体" w:hAnsi="宋体" w:cs="宋体"/>
                <w:color w:val="auto"/>
                <w:kern w:val="0"/>
                <w:sz w:val="20"/>
                <w:highlight w:val="none"/>
              </w:rPr>
              <w:t>详细技术参数：</w:t>
            </w:r>
          </w:p>
        </w:tc>
      </w:tr>
    </w:tbl>
    <w:p>
      <w:pPr>
        <w:snapToGrid w:val="0"/>
        <w:spacing w:line="400" w:lineRule="exact"/>
        <w:ind w:firstLine="480" w:firstLineChars="200"/>
        <w:rPr>
          <w:rFonts w:ascii="宋体" w:hAnsi="宋体" w:cs="宋体"/>
          <w:color w:val="auto"/>
          <w:sz w:val="24"/>
          <w:highlight w:val="none"/>
        </w:rPr>
      </w:pPr>
    </w:p>
    <w:p>
      <w:pPr>
        <w:numPr>
          <w:ilvl w:val="0"/>
          <w:numId w:val="8"/>
        </w:numPr>
        <w:snapToGrid w:val="0"/>
        <w:spacing w:line="400" w:lineRule="exact"/>
        <w:ind w:left="0" w:leftChars="0" w:firstLine="0" w:firstLineChars="0"/>
        <w:rPr>
          <w:rFonts w:hint="eastAsia" w:ascii="宋体" w:hAnsi="宋体" w:cs="宋体"/>
          <w:bCs/>
          <w:color w:val="auto"/>
          <w:sz w:val="24"/>
          <w:highlight w:val="none"/>
        </w:rPr>
      </w:pPr>
      <w:r>
        <w:rPr>
          <w:rFonts w:hint="eastAsia" w:ascii="宋体" w:hAnsi="宋体" w:cs="宋体"/>
          <w:color w:val="auto"/>
          <w:sz w:val="24"/>
          <w:highlight w:val="none"/>
        </w:rPr>
        <w:t xml:space="preserve"> 合同价款及结算方式（大写）元整（小写）元。以上价格为合同总价，</w:t>
      </w:r>
      <w:r>
        <w:rPr>
          <w:rFonts w:hint="eastAsia" w:ascii="宋体" w:hAnsi="宋体"/>
          <w:bCs/>
          <w:color w:val="auto"/>
          <w:sz w:val="24"/>
          <w:highlight w:val="none"/>
        </w:rPr>
        <w:t>最终结算按审计价格支付，</w:t>
      </w:r>
      <w:r>
        <w:rPr>
          <w:rFonts w:hint="eastAsia" w:ascii="宋体" w:hAnsi="宋体" w:cs="宋体"/>
          <w:color w:val="auto"/>
          <w:sz w:val="24"/>
          <w:highlight w:val="none"/>
        </w:rPr>
        <w:t>最终结算价格以审定价格为准，包括但不限于</w:t>
      </w:r>
      <w:r>
        <w:rPr>
          <w:rFonts w:hint="eastAsia" w:asciiTheme="majorEastAsia" w:hAnsiTheme="majorEastAsia" w:eastAsiaTheme="majorEastAsia" w:cstheme="majorEastAsia"/>
          <w:color w:val="auto"/>
          <w:sz w:val="24"/>
          <w:szCs w:val="24"/>
          <w:highlight w:val="none"/>
        </w:rPr>
        <w:t>货款、标准附件、备品备件、专用工具、包装、运输、装卸、保险、税金、货到就位以及安装、调试、培训、保修等一切税金和费用</w:t>
      </w:r>
      <w:r>
        <w:rPr>
          <w:rFonts w:hint="eastAsia" w:ascii="宋体" w:hAnsi="宋体" w:cs="宋体"/>
          <w:color w:val="auto"/>
          <w:sz w:val="24"/>
          <w:highlight w:val="none"/>
        </w:rPr>
        <w:t>；也包括买卖双方签订的技术附件中卖方承诺的其它系统配件</w:t>
      </w:r>
      <w:r>
        <w:rPr>
          <w:rFonts w:hint="eastAsia" w:ascii="宋体" w:hAnsi="宋体" w:cs="宋体"/>
          <w:bCs/>
          <w:color w:val="auto"/>
          <w:sz w:val="24"/>
          <w:highlight w:val="none"/>
        </w:rPr>
        <w:t>。</w:t>
      </w:r>
    </w:p>
    <w:p>
      <w:pPr>
        <w:snapToGrid w:val="0"/>
        <w:spacing w:line="400" w:lineRule="exact"/>
        <w:ind w:firstLine="480" w:firstLineChars="200"/>
        <w:rPr>
          <w:rFonts w:ascii="宋体" w:hAnsi="宋体" w:cs="宋体"/>
          <w:bCs/>
          <w:color w:val="auto"/>
          <w:sz w:val="24"/>
          <w:szCs w:val="22"/>
          <w:highlight w:val="none"/>
        </w:rPr>
      </w:pPr>
      <w:r>
        <w:rPr>
          <w:rFonts w:hint="eastAsia" w:ascii="宋体" w:hAnsi="宋体" w:cs="宋体"/>
          <w:bCs/>
          <w:color w:val="auto"/>
          <w:sz w:val="24"/>
          <w:szCs w:val="22"/>
          <w:highlight w:val="none"/>
        </w:rPr>
        <w:t>2.1履约保证金缴纳：</w:t>
      </w:r>
      <w:r>
        <w:rPr>
          <w:rFonts w:hint="eastAsia" w:ascii="宋体" w:hAnsi="宋体"/>
          <w:bCs/>
          <w:color w:val="auto"/>
          <w:sz w:val="24"/>
          <w:highlight w:val="none"/>
        </w:rPr>
        <w:t>合同签订前，中标单位按照中标金额的5%缴纳履约保证金，中标单位按合同约定交付全部产品，安装调试完毕，书面验收合格一年后，采购单位无息退还全部履约保证金。</w:t>
      </w:r>
    </w:p>
    <w:p>
      <w:pPr>
        <w:snapToGrid w:val="0"/>
        <w:spacing w:line="400" w:lineRule="exact"/>
        <w:ind w:left="138" w:leftChars="66" w:firstLine="360" w:firstLineChars="150"/>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rPr>
        <w:t>2.2付款方式：</w:t>
      </w:r>
      <w:r>
        <w:rPr>
          <w:rFonts w:hint="eastAsia" w:ascii="宋体" w:hAnsi="宋体" w:cs="宋体"/>
          <w:bCs/>
          <w:color w:val="auto"/>
          <w:sz w:val="24"/>
          <w:szCs w:val="22"/>
          <w:highlight w:val="none"/>
          <w:lang w:val="en-US" w:eastAsia="zh-CN"/>
        </w:rPr>
        <w:t>中标单位按合同约定交付全部产品、安装调试完毕，验收合格并经过结算审计后30日内，采购人按验收报告、结算审计、合同相关条款支付货款100%；如结算审计有审减，按照结算审计结果支付货款；如验收不合格、未完成安装调试，参照合同样本第二部分合同基本条款第14条违约责任执行。(如采购人有付款需求，在签订合同后，中标单位向采购人提供同等合同金额的银行保函，收到保函，采购人可支付合同金额的100%，待验收合格、安装调试完毕后，根据结算审计结果解除银行质押）</w:t>
      </w:r>
    </w:p>
    <w:p>
      <w:pPr>
        <w:snapToGrid w:val="0"/>
        <w:spacing w:line="400" w:lineRule="exact"/>
        <w:ind w:left="138" w:leftChars="66" w:firstLine="360" w:firstLineChars="150"/>
        <w:rPr>
          <w:rFonts w:ascii="宋体" w:hAnsi="宋体" w:cs="宋体"/>
          <w:b/>
          <w:color w:val="auto"/>
          <w:sz w:val="24"/>
          <w:highlight w:val="none"/>
          <w:u w:val="single"/>
        </w:rPr>
      </w:pPr>
      <w:r>
        <w:rPr>
          <w:rFonts w:hint="eastAsia" w:ascii="宋体" w:hAnsi="宋体" w:cs="宋体"/>
          <w:bCs/>
          <w:color w:val="auto"/>
          <w:sz w:val="24"/>
          <w:highlight w:val="none"/>
        </w:rPr>
        <w:t>3.运输及保险：</w:t>
      </w:r>
      <w:r>
        <w:rPr>
          <w:rFonts w:hint="eastAsia" w:ascii="宋体" w:hAnsi="宋体" w:cs="宋体"/>
          <w:color w:val="auto"/>
          <w:sz w:val="24"/>
          <w:highlight w:val="none"/>
          <w:u w:val="single"/>
        </w:rPr>
        <w:t xml:space="preserve">车辆运输方式不限，运输、保险等运输过程中发生的所有费用均由卖方承担  </w:t>
      </w:r>
      <w:r>
        <w:rPr>
          <w:rFonts w:hint="eastAsia" w:ascii="宋体" w:hAnsi="宋体" w:cs="宋体"/>
          <w:color w:val="auto"/>
          <w:sz w:val="24"/>
          <w:highlight w:val="none"/>
        </w:rPr>
        <w:t>。</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 xml:space="preserve">    4.  运送</w:t>
      </w:r>
    </w:p>
    <w:p>
      <w:pPr>
        <w:snapToGrid w:val="0"/>
        <w:spacing w:line="400" w:lineRule="exact"/>
        <w:ind w:left="243" w:leftChars="116"/>
        <w:rPr>
          <w:rFonts w:ascii="宋体" w:hAnsi="宋体" w:cs="宋体"/>
          <w:color w:val="auto"/>
          <w:sz w:val="24"/>
          <w:highlight w:val="none"/>
        </w:rPr>
      </w:pPr>
      <w:r>
        <w:rPr>
          <w:rFonts w:hint="eastAsia" w:ascii="宋体" w:hAnsi="宋体" w:cs="宋体"/>
          <w:color w:val="auto"/>
          <w:sz w:val="24"/>
          <w:highlight w:val="none"/>
        </w:rPr>
        <w:t xml:space="preserve">  4.1  </w:t>
      </w:r>
      <w:r>
        <w:rPr>
          <w:rFonts w:hint="eastAsia" w:ascii="宋体" w:hAnsi="宋体" w:cs="宋体"/>
          <w:b/>
          <w:color w:val="auto"/>
          <w:sz w:val="24"/>
          <w:highlight w:val="none"/>
        </w:rPr>
        <w:t>运送完整性：保证车辆抵达交货地点时完整无损，对由于运送不善而引起的车辆损坏或损失、耽误交货时限等损失，均由卖方承担责任。</w:t>
      </w:r>
    </w:p>
    <w:p>
      <w:pPr>
        <w:tabs>
          <w:tab w:val="left" w:pos="540"/>
        </w:tabs>
        <w:snapToGrid w:val="0"/>
        <w:spacing w:line="400" w:lineRule="exact"/>
        <w:ind w:firstLine="616" w:firstLineChars="257"/>
        <w:rPr>
          <w:rFonts w:hint="eastAsia" w:ascii="宋体" w:hAnsi="宋体" w:cs="宋体"/>
          <w:bCs/>
          <w:color w:val="auto"/>
          <w:sz w:val="24"/>
          <w:highlight w:val="none"/>
        </w:rPr>
      </w:pPr>
    </w:p>
    <w:p>
      <w:pPr>
        <w:tabs>
          <w:tab w:val="left" w:pos="540"/>
        </w:tabs>
        <w:snapToGrid w:val="0"/>
        <w:spacing w:line="400" w:lineRule="exact"/>
        <w:ind w:firstLine="616" w:firstLineChars="257"/>
        <w:rPr>
          <w:rFonts w:ascii="宋体" w:hAnsi="宋体" w:cs="宋体"/>
          <w:bCs/>
          <w:color w:val="auto"/>
          <w:sz w:val="24"/>
          <w:highlight w:val="none"/>
        </w:rPr>
      </w:pPr>
      <w:r>
        <w:rPr>
          <w:rFonts w:hint="eastAsia" w:ascii="宋体" w:hAnsi="宋体" w:cs="宋体"/>
          <w:bCs/>
          <w:color w:val="auto"/>
          <w:sz w:val="24"/>
          <w:highlight w:val="none"/>
        </w:rPr>
        <w:t>5.交货</w:t>
      </w:r>
    </w:p>
    <w:p>
      <w:pPr>
        <w:snapToGrid w:val="0"/>
        <w:spacing w:line="400" w:lineRule="exact"/>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5.1交货时间：合同签订后</w:t>
      </w:r>
      <w:r>
        <w:rPr>
          <w:rFonts w:hint="eastAsia" w:ascii="宋体" w:hAnsi="宋体" w:cs="宋体"/>
          <w:bCs/>
          <w:color w:val="auto"/>
          <w:sz w:val="24"/>
          <w:highlight w:val="none"/>
          <w:lang w:val="en-US" w:eastAsia="zh-CN"/>
        </w:rPr>
        <w:t>90</w:t>
      </w:r>
      <w:r>
        <w:rPr>
          <w:rFonts w:hint="eastAsia" w:ascii="宋体" w:hAnsi="宋体" w:cs="宋体"/>
          <w:bCs/>
          <w:color w:val="auto"/>
          <w:sz w:val="24"/>
          <w:highlight w:val="none"/>
        </w:rPr>
        <w:t>日内交付货物.</w:t>
      </w:r>
    </w:p>
    <w:p>
      <w:pPr>
        <w:snapToGrid w:val="0"/>
        <w:spacing w:line="400" w:lineRule="exact"/>
        <w:ind w:firstLine="720" w:firstLineChars="300"/>
        <w:jc w:val="left"/>
        <w:rPr>
          <w:rFonts w:ascii="宋体" w:hAnsi="宋体" w:cs="宋体"/>
          <w:color w:val="auto"/>
          <w:highlight w:val="none"/>
        </w:rPr>
      </w:pPr>
      <w:r>
        <w:rPr>
          <w:rFonts w:hint="eastAsia" w:ascii="宋体" w:hAnsi="宋体" w:cs="宋体"/>
          <w:b/>
          <w:bCs/>
          <w:color w:val="auto"/>
          <w:sz w:val="24"/>
          <w:highlight w:val="none"/>
        </w:rPr>
        <w:t>卖方须在上述时限之前，一次完成供货并交付验收。车辆发出后，卖方应发函通知买方，便于买方准备验收。交车时车辆油箱应注入不少于总油箱容积四分之三油料。</w:t>
      </w:r>
      <w:r>
        <w:rPr>
          <w:rFonts w:hint="eastAsia" w:ascii="宋体" w:hAnsi="宋体" w:cs="宋体"/>
          <w:b/>
          <w:bCs/>
          <w:color w:val="auto"/>
          <w:sz w:val="24"/>
          <w:szCs w:val="22"/>
          <w:highlight w:val="none"/>
        </w:rPr>
        <w:t>需提供车辆左前方（车头面左）90°三寸照片1张，发动机号、车架号拓印件2套。车辆交付时整车必须取得工信部公告和国家权威机构出具的检测报告，整车合格证数据必须同步录入工信部相关数据库</w:t>
      </w:r>
    </w:p>
    <w:p>
      <w:pPr>
        <w:pStyle w:val="4"/>
        <w:snapToGrid w:val="0"/>
        <w:spacing w:line="400" w:lineRule="exact"/>
        <w:rPr>
          <w:rFonts w:ascii="宋体" w:hAnsi="宋体" w:cs="宋体"/>
          <w:color w:val="auto"/>
          <w:highlight w:val="none"/>
        </w:rPr>
      </w:pPr>
      <w:r>
        <w:rPr>
          <w:rFonts w:hint="eastAsia" w:ascii="宋体" w:hAnsi="宋体" w:cs="宋体"/>
          <w:bCs/>
          <w:color w:val="auto"/>
          <w:sz w:val="24"/>
          <w:highlight w:val="none"/>
        </w:rPr>
        <w:t>5.2交货地点：</w:t>
      </w:r>
    </w:p>
    <w:p>
      <w:pPr>
        <w:snapToGrid w:val="0"/>
        <w:spacing w:line="400" w:lineRule="exact"/>
        <w:ind w:firstLine="480" w:firstLineChars="200"/>
        <w:rPr>
          <w:rFonts w:ascii="宋体" w:hAnsi="宋体" w:cs="宋体"/>
          <w:b/>
          <w:bCs/>
          <w:color w:val="auto"/>
          <w:sz w:val="24"/>
          <w:highlight w:val="none"/>
        </w:rPr>
      </w:pPr>
      <w:r>
        <w:rPr>
          <w:rFonts w:hint="eastAsia" w:ascii="宋体" w:hAnsi="宋体" w:cs="宋体"/>
          <w:bCs/>
          <w:color w:val="auto"/>
          <w:sz w:val="24"/>
          <w:highlight w:val="none"/>
        </w:rPr>
        <w:t>5.3联系方式：</w:t>
      </w:r>
      <w:r>
        <w:rPr>
          <w:rFonts w:hint="eastAsia" w:ascii="宋体" w:hAnsi="宋体" w:cs="宋体"/>
          <w:b/>
          <w:bCs/>
          <w:color w:val="auto"/>
          <w:sz w:val="24"/>
          <w:highlight w:val="none"/>
          <w:lang w:val="en-US" w:eastAsia="zh-CN"/>
        </w:rPr>
        <w:t>乌鲁木齐市</w:t>
      </w:r>
      <w:r>
        <w:rPr>
          <w:rFonts w:hint="eastAsia" w:ascii="宋体" w:hAnsi="宋体" w:cs="宋体"/>
          <w:b/>
          <w:bCs/>
          <w:color w:val="auto"/>
          <w:sz w:val="24"/>
          <w:highlight w:val="none"/>
        </w:rPr>
        <w:t>消防救援支队</w:t>
      </w:r>
    </w:p>
    <w:p>
      <w:pPr>
        <w:snapToGrid w:val="0"/>
        <w:spacing w:line="400" w:lineRule="exact"/>
        <w:ind w:firstLine="2234" w:firstLineChars="931"/>
        <w:rPr>
          <w:rFonts w:ascii="宋体" w:hAnsi="宋体" w:cs="宋体"/>
          <w:b/>
          <w:bCs/>
          <w:color w:val="auto"/>
          <w:sz w:val="24"/>
          <w:highlight w:val="none"/>
        </w:rPr>
      </w:pPr>
      <w:r>
        <w:rPr>
          <w:rFonts w:hint="eastAsia" w:ascii="宋体" w:hAnsi="宋体" w:cs="宋体"/>
          <w:b/>
          <w:bCs/>
          <w:color w:val="auto"/>
          <w:sz w:val="24"/>
          <w:highlight w:val="none"/>
        </w:rPr>
        <w:t xml:space="preserve">姓  名： </w:t>
      </w:r>
    </w:p>
    <w:p>
      <w:pPr>
        <w:snapToGrid w:val="0"/>
        <w:spacing w:line="400" w:lineRule="exact"/>
        <w:ind w:firstLine="2193" w:firstLineChars="914"/>
        <w:rPr>
          <w:rFonts w:ascii="宋体" w:hAnsi="宋体" w:cs="宋体"/>
          <w:b/>
          <w:bCs/>
          <w:color w:val="auto"/>
          <w:sz w:val="24"/>
          <w:highlight w:val="none"/>
        </w:rPr>
      </w:pPr>
      <w:r>
        <w:rPr>
          <w:rFonts w:hint="eastAsia" w:ascii="宋体" w:hAnsi="宋体" w:cs="宋体"/>
          <w:b/>
          <w:bCs/>
          <w:color w:val="auto"/>
          <w:sz w:val="24"/>
          <w:highlight w:val="none"/>
        </w:rPr>
        <w:t>电  话：</w:t>
      </w:r>
    </w:p>
    <w:p>
      <w:pPr>
        <w:snapToGrid w:val="0"/>
        <w:spacing w:line="400" w:lineRule="exact"/>
        <w:ind w:firstLine="2193" w:firstLineChars="914"/>
        <w:rPr>
          <w:rFonts w:ascii="宋体" w:hAnsi="宋体" w:cs="宋体"/>
          <w:b/>
          <w:bCs/>
          <w:color w:val="auto"/>
          <w:sz w:val="24"/>
          <w:highlight w:val="none"/>
        </w:rPr>
      </w:pPr>
      <w:r>
        <w:rPr>
          <w:rFonts w:hint="eastAsia" w:ascii="宋体" w:hAnsi="宋体" w:cs="宋体"/>
          <w:b/>
          <w:bCs/>
          <w:color w:val="auto"/>
          <w:sz w:val="24"/>
          <w:highlight w:val="none"/>
        </w:rPr>
        <w:t>传  真：</w:t>
      </w:r>
    </w:p>
    <w:p>
      <w:pPr>
        <w:snapToGrid w:val="0"/>
        <w:spacing w:line="400" w:lineRule="exact"/>
        <w:ind w:firstLine="600" w:firstLineChars="250"/>
        <w:rPr>
          <w:rFonts w:ascii="宋体" w:hAnsi="宋体" w:cs="宋体"/>
          <w:bCs/>
          <w:color w:val="auto"/>
          <w:sz w:val="24"/>
          <w:highlight w:val="none"/>
        </w:rPr>
      </w:pPr>
      <w:r>
        <w:rPr>
          <w:rFonts w:hint="eastAsia" w:ascii="宋体" w:hAnsi="宋体" w:cs="宋体"/>
          <w:bCs/>
          <w:color w:val="auto"/>
          <w:sz w:val="24"/>
          <w:highlight w:val="none"/>
        </w:rPr>
        <w:t>6.验收：</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6.1验收标准：依照标书及本合同约定。</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6.2验收时间及组织：全部产品送达分初验、终验两个阶段，初验阶段由支队组织验收，初验通过后，试运行1个月，所有货物使用正常满足甲方需求，出具最终验收意见。</w:t>
      </w:r>
    </w:p>
    <w:p>
      <w:pPr>
        <w:pStyle w:val="4"/>
        <w:snapToGrid w:val="0"/>
        <w:spacing w:line="400" w:lineRule="exact"/>
        <w:ind w:firstLine="480" w:firstLineChars="200"/>
        <w:rPr>
          <w:rFonts w:ascii="宋体" w:hAnsi="宋体" w:cs="宋体"/>
          <w:color w:val="auto"/>
          <w:highlight w:val="none"/>
        </w:rPr>
      </w:pPr>
      <w:r>
        <w:rPr>
          <w:rFonts w:hint="eastAsia" w:ascii="宋体" w:hAnsi="宋体" w:cs="宋体"/>
          <w:b/>
          <w:bCs/>
          <w:color w:val="auto"/>
          <w:sz w:val="24"/>
          <w:highlight w:val="none"/>
        </w:rPr>
        <w:t>6.3验收前买方不负责货物的保管，由卖方负责。</w:t>
      </w:r>
    </w:p>
    <w:p>
      <w:pPr>
        <w:snapToGrid w:val="0"/>
        <w:spacing w:line="400" w:lineRule="exact"/>
        <w:ind w:firstLine="600" w:firstLineChars="250"/>
        <w:rPr>
          <w:rFonts w:ascii="宋体" w:hAnsi="宋体" w:cs="宋体"/>
          <w:bCs/>
          <w:color w:val="auto"/>
          <w:sz w:val="24"/>
          <w:highlight w:val="none"/>
        </w:rPr>
      </w:pPr>
      <w:r>
        <w:rPr>
          <w:rFonts w:hint="eastAsia" w:ascii="宋体" w:hAnsi="宋体" w:cs="宋体"/>
          <w:bCs/>
          <w:color w:val="auto"/>
          <w:sz w:val="24"/>
          <w:highlight w:val="none"/>
        </w:rPr>
        <w:t>7.合同效力</w:t>
      </w:r>
    </w:p>
    <w:p>
      <w:pPr>
        <w:snapToGrid w:val="0"/>
        <w:spacing w:line="400" w:lineRule="exact"/>
        <w:ind w:firstLine="600" w:firstLineChars="250"/>
        <w:rPr>
          <w:rFonts w:ascii="宋体" w:hAnsi="宋体" w:cs="宋体"/>
          <w:bCs/>
          <w:color w:val="auto"/>
          <w:sz w:val="24"/>
          <w:highlight w:val="none"/>
        </w:rPr>
      </w:pPr>
      <w:r>
        <w:rPr>
          <w:rFonts w:hint="eastAsia" w:ascii="宋体" w:hAnsi="宋体" w:cs="宋体"/>
          <w:bCs/>
          <w:color w:val="auto"/>
          <w:sz w:val="24"/>
          <w:highlight w:val="none"/>
        </w:rPr>
        <w:t>7.1  本合同经买卖双方授权代表签署，并经双方盖章后生效。</w:t>
      </w:r>
    </w:p>
    <w:p>
      <w:pPr>
        <w:snapToGrid w:val="0"/>
        <w:spacing w:line="400" w:lineRule="exact"/>
        <w:ind w:firstLine="600" w:firstLineChars="250"/>
        <w:rPr>
          <w:rFonts w:ascii="宋体" w:hAnsi="宋体" w:cs="宋体"/>
          <w:bCs/>
          <w:color w:val="auto"/>
          <w:sz w:val="24"/>
          <w:highlight w:val="none"/>
        </w:rPr>
      </w:pPr>
      <w:r>
        <w:rPr>
          <w:rFonts w:hint="eastAsia" w:ascii="宋体" w:hAnsi="宋体" w:cs="宋体"/>
          <w:bCs/>
          <w:color w:val="auto"/>
          <w:sz w:val="24"/>
          <w:highlight w:val="none"/>
        </w:rPr>
        <w:t>7.2  本合同一式肆份，买卖双方各持两份，具有相同的法律效力。</w:t>
      </w:r>
    </w:p>
    <w:p>
      <w:pPr>
        <w:spacing w:line="360" w:lineRule="auto"/>
        <w:ind w:firstLine="900" w:firstLineChars="250"/>
        <w:jc w:val="center"/>
        <w:rPr>
          <w:rFonts w:ascii="宋体" w:hAnsi="宋体" w:cs="宋体"/>
          <w:b/>
          <w:bCs/>
          <w:color w:val="auto"/>
          <w:sz w:val="36"/>
          <w:szCs w:val="36"/>
          <w:highlight w:val="none"/>
        </w:rPr>
      </w:pPr>
    </w:p>
    <w:p>
      <w:pPr>
        <w:pStyle w:val="4"/>
        <w:rPr>
          <w:rFonts w:ascii="宋体" w:hAnsi="宋体" w:cs="宋体"/>
          <w:b/>
          <w:bCs/>
          <w:color w:val="auto"/>
          <w:sz w:val="36"/>
          <w:szCs w:val="36"/>
          <w:highlight w:val="none"/>
        </w:rPr>
      </w:pPr>
    </w:p>
    <w:p>
      <w:pPr>
        <w:rPr>
          <w:rFonts w:ascii="宋体" w:hAnsi="宋体" w:cs="宋体"/>
          <w:b/>
          <w:bCs/>
          <w:color w:val="auto"/>
          <w:sz w:val="36"/>
          <w:szCs w:val="36"/>
          <w:highlight w:val="none"/>
        </w:rPr>
      </w:pPr>
    </w:p>
    <w:p>
      <w:pPr>
        <w:pStyle w:val="4"/>
        <w:rPr>
          <w:rFonts w:ascii="宋体" w:hAnsi="宋体" w:cs="宋体"/>
          <w:b/>
          <w:bCs/>
          <w:color w:val="auto"/>
          <w:sz w:val="36"/>
          <w:szCs w:val="36"/>
          <w:highlight w:val="none"/>
        </w:rPr>
      </w:pPr>
    </w:p>
    <w:p>
      <w:pPr>
        <w:rPr>
          <w:rFonts w:ascii="宋体" w:hAnsi="宋体" w:cs="宋体"/>
          <w:b/>
          <w:bCs/>
          <w:color w:val="auto"/>
          <w:sz w:val="36"/>
          <w:szCs w:val="36"/>
          <w:highlight w:val="none"/>
        </w:rPr>
      </w:pPr>
    </w:p>
    <w:p>
      <w:pPr>
        <w:pStyle w:val="4"/>
        <w:rPr>
          <w:rFonts w:ascii="宋体" w:hAnsi="宋体" w:cs="宋体"/>
          <w:b/>
          <w:bCs/>
          <w:color w:val="auto"/>
          <w:sz w:val="36"/>
          <w:szCs w:val="36"/>
          <w:highlight w:val="none"/>
        </w:rPr>
      </w:pPr>
    </w:p>
    <w:p>
      <w:pPr>
        <w:rPr>
          <w:rFonts w:ascii="宋体" w:hAnsi="宋体" w:cs="宋体"/>
          <w:b/>
          <w:bCs/>
          <w:color w:val="auto"/>
          <w:sz w:val="36"/>
          <w:szCs w:val="36"/>
          <w:highlight w:val="none"/>
        </w:rPr>
      </w:pPr>
    </w:p>
    <w:p>
      <w:pPr>
        <w:rPr>
          <w:rFonts w:ascii="宋体" w:hAnsi="宋体" w:cs="宋体"/>
          <w:b/>
          <w:bCs/>
          <w:color w:val="auto"/>
          <w:sz w:val="36"/>
          <w:szCs w:val="36"/>
          <w:highlight w:val="none"/>
        </w:rPr>
      </w:pPr>
    </w:p>
    <w:p>
      <w:pPr>
        <w:rPr>
          <w:rFonts w:ascii="宋体" w:hAnsi="宋体" w:cs="宋体"/>
          <w:b/>
          <w:bCs/>
          <w:color w:val="auto"/>
          <w:sz w:val="36"/>
          <w:szCs w:val="36"/>
          <w:highlight w:val="none"/>
        </w:rPr>
      </w:pPr>
    </w:p>
    <w:p>
      <w:pPr>
        <w:rPr>
          <w:rFonts w:ascii="宋体" w:hAnsi="宋体" w:cs="宋体"/>
          <w:b/>
          <w:bCs/>
          <w:color w:val="auto"/>
          <w:sz w:val="36"/>
          <w:szCs w:val="36"/>
          <w:highlight w:val="none"/>
        </w:rPr>
      </w:pPr>
    </w:p>
    <w:p>
      <w:pPr>
        <w:snapToGrid w:val="0"/>
        <w:spacing w:line="400" w:lineRule="exact"/>
        <w:jc w:val="center"/>
        <w:rPr>
          <w:rFonts w:hint="eastAsia" w:ascii="宋体" w:hAnsi="宋体" w:cs="宋体"/>
          <w:b/>
          <w:bCs/>
          <w:color w:val="auto"/>
          <w:sz w:val="36"/>
          <w:szCs w:val="36"/>
          <w:highlight w:val="none"/>
        </w:rPr>
      </w:pPr>
    </w:p>
    <w:p>
      <w:pPr>
        <w:snapToGrid w:val="0"/>
        <w:spacing w:line="4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二、合同基本条款</w:t>
      </w:r>
    </w:p>
    <w:p>
      <w:pPr>
        <w:pStyle w:val="4"/>
        <w:ind w:firstLine="0"/>
        <w:rPr>
          <w:color w:val="auto"/>
          <w:highlight w:val="none"/>
        </w:rPr>
      </w:pP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定义：</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本合同有关术语解释：</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“合同”是指买卖双方签署的用以约定买卖双方买卖事项而达成的协议，包括所有的附件和构成合同的其它文件。</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“合同总价”是指根据本合同约定，卖方在正确地完全履行合同义务后买方应支付给卖方的全部价款。</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“车辆”是指根据合同约定卖方向买方提供的一切设备及相应的配套设施（含备件、工具、操作手册及其他有关技术资料和材料）。</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  “服务”是指根据合同约定卖方向买方承担的与供货有关的辅助服务，如运输、保险、安装、调试、技术支持、检验、维修、培训等与购销有关的义务。</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  “现场”是指合同项下货物实际所在地。</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  “验收”是指合同双方依据约定的程序和条件对合同标的物的数量、质量、性能等进行确认交接的行为。</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   交货时间是指卖方将本合同内全部产品提交给买方验收的最后时间。卖方分几次供货时，以最后一次提交买方验收时间为交货时间。</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标准</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本合同下交付的货物应符合技术规格所述的标准。合同未作特别标注的国产货物，以我国颁布的最新标准为准；如无国家标准的，以行业标准为准；如无行业标准的，按企业标准执行。</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  本合同货物无特别标注的，计量单位均采用中华人民共和国法定计量单位。</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 专利权</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卖方保证，买方在使用合同货物或货物的任何一部分时，免受第三方提出的侵犯其专利权、商标权、著作权或其它知识产权的起诉。卖方应承担由此可能产生的一切法律责任和费用（包括但不限于买方支出的赔偿费、诉讼费、评估费、鉴定费、律师费等）。</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 运送</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  除合同另有规定外，卖方提供的全部车辆，均采用国家或专业标准保护措施（不低于木箱标准）进行运送，使包装适用于海运、空运或陆上的长途运输，并有良好的防潮、防震、防锈和防粗暴装卸等保护措施，确保车辆安全无损运抵现场。这类运送还应足以承受但不限于承受转运过程中的装卸，暴露于恶劣气温，大风和降雨环境，以及露天存放。对由于运送不善而引起的车辆锈蚀、损坏或损失卖方应承担责任。</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 xml:space="preserve">4.2  </w:t>
      </w:r>
      <w:r>
        <w:rPr>
          <w:rFonts w:hint="eastAsia" w:ascii="宋体" w:hAnsi="宋体" w:cs="宋体"/>
          <w:b/>
          <w:color w:val="auto"/>
          <w:sz w:val="24"/>
          <w:highlight w:val="none"/>
        </w:rPr>
        <w:t>卖方必须无偿提供合同内全部货物的中文使用说明书，说明书包括产品的功能、使用方法、技术参数、常见问题解决办法及产品序列号、型号、版本号以及配合使用的主要设备品牌、型号和版本等信息。</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  质量</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 xml:space="preserve">5.1  </w:t>
      </w:r>
      <w:r>
        <w:rPr>
          <w:rFonts w:hint="eastAsia" w:ascii="宋体" w:hAnsi="宋体" w:cs="宋体"/>
          <w:b/>
          <w:color w:val="auto"/>
          <w:sz w:val="24"/>
          <w:szCs w:val="22"/>
          <w:highlight w:val="none"/>
        </w:rPr>
        <w:t>卖方保证所提供的货物是新品。</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5.2  在车辆质保期内，卖方应当对由于设计、工艺、材料和配件的缺陷所产生的不足或故障负责，并承担由此给买方造成的相应损失。</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  验收时，如发现卖方提供的车辆或配件等不符合合同约定或有缺陷时，买方应以书面形式通知卖方，提出索赔，卖方应当在约定的时间内予以更换，并按违约的相关约定向买方给予赔偿，更换的新产品质保期相应顺延；质保期内，如车辆或配件发生质量问题时，按售后服务的约定执行。</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6．交货</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  交货的时间和地点执行本合同《协议书》。</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  延期交货</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6.2.1 卖方应按合同规定的时间交货和提供服务。</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6.2.2  在履行合同过程中，如果卖方遇到不能按期交货和提供服务情况，应及时以书面形式将不能按时交货的理由、可能延误的时间通知买方。买方在收到通知后，应进行分析，如果同意，以书面形式通知卖方,可酌情延长交货时间。</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6.2.3  如果卖方毫无理由拖延交货，将受到扣除履约保证金的制裁或终止合同。</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 技术文件和资料</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  提供技术文件和资料的种类和数量在本采购文件中已规定，买卖双方可根据需要订立具体的资料交付时间和数量。</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  如果买方确认卖方提供的技术文件和资料不完整，或在运输途中丢失，卖方应在收到买方通知后3天内将文件、资料补齐。</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 税费</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  车辆的投标报价为货到采购人指定地点价格。</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  根据国家现行税法征收的与本合同有关的一切税费均由卖方承担。</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8.3  在中国境外发生的与本合同执行有关的一切税费由卖方承担。</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9.  验收</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本合同项下车辆验收遵照以下流程和条件</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9.1 卖方应在供货合同规定的时间内将消防车辆发送收货地点并提交书面验收申请。</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9.2 车辆到达目的地后买卖双方要在现场共同验收。买方将按照合同清点车辆数量，检查车辆外观情况，卖方必须派出代表参加车辆验收工作，否则买方不予验收，按照卖方车辆未到处理。</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9.3 买方组成集中采购装备验收小组，对采购的车辆进行专门验收，不符合合同规定的，买方将不予验收。</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9.4产品验收时，卖方必须要有一名以上厂家技术人员在场，验收完毕后，买方和卖方共同签字确认验收单。买方根据采购验收单按合同支付货款。</w:t>
      </w:r>
    </w:p>
    <w:p>
      <w:pPr>
        <w:adjustRightInd w:val="0"/>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9.5车辆</w:t>
      </w:r>
      <w:r>
        <w:rPr>
          <w:rFonts w:hint="eastAsia" w:ascii="宋体" w:hAnsi="宋体" w:cs="宋体"/>
          <w:b/>
          <w:bCs/>
          <w:color w:val="auto"/>
          <w:sz w:val="24"/>
          <w:highlight w:val="none"/>
        </w:rPr>
        <w:t>的验收，综合判定为“合格”、“不合格”，综合评判为“合格”的车辆，清点接收。综合评判为“不合格”的车辆装备，限期整改并等比例扣除履约保证金，整改完毕后进行复验；限期内未整改完毕的或“复验”不合格的，按合同规定做退货处理，扣除全额履约保证金，并将供货商列入</w:t>
      </w:r>
      <w:r>
        <w:rPr>
          <w:rFonts w:hint="eastAsia" w:ascii="宋体" w:hAnsi="宋体" w:cs="宋体"/>
          <w:b/>
          <w:bCs/>
          <w:color w:val="auto"/>
          <w:sz w:val="24"/>
          <w:highlight w:val="none"/>
          <w:lang w:val="en-US" w:eastAsia="zh-CN"/>
        </w:rPr>
        <w:t>支队</w:t>
      </w:r>
      <w:r>
        <w:rPr>
          <w:rFonts w:hint="eastAsia" w:ascii="宋体" w:hAnsi="宋体" w:cs="宋体"/>
          <w:b/>
          <w:bCs/>
          <w:color w:val="auto"/>
          <w:sz w:val="24"/>
          <w:highlight w:val="none"/>
        </w:rPr>
        <w:t>装备集中采购黑名单，3年内不得参加</w:t>
      </w:r>
      <w:r>
        <w:rPr>
          <w:rFonts w:hint="eastAsia" w:ascii="宋体" w:hAnsi="宋体" w:cs="宋体"/>
          <w:b/>
          <w:bCs/>
          <w:color w:val="auto"/>
          <w:sz w:val="24"/>
          <w:highlight w:val="none"/>
          <w:lang w:val="en-US" w:eastAsia="zh-CN"/>
        </w:rPr>
        <w:t>支队</w:t>
      </w:r>
      <w:r>
        <w:rPr>
          <w:rFonts w:hint="eastAsia" w:ascii="宋体" w:hAnsi="宋体" w:cs="宋体"/>
          <w:b/>
          <w:bCs/>
          <w:color w:val="auto"/>
          <w:sz w:val="24"/>
          <w:highlight w:val="none"/>
        </w:rPr>
        <w:t>装备采购投标工作。</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  付款：执行本合同《协议书》。</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培训</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售后服务</w:t>
      </w:r>
    </w:p>
    <w:p>
      <w:pPr>
        <w:pStyle w:val="36"/>
        <w:adjustRightInd w:val="0"/>
        <w:snapToGrid w:val="0"/>
        <w:spacing w:before="0" w:beforeAutospacing="0" w:after="0" w:afterAutospacing="0" w:line="400" w:lineRule="exact"/>
        <w:ind w:firstLine="480" w:firstLineChars="200"/>
        <w:rPr>
          <w:color w:val="auto"/>
          <w:kern w:val="2"/>
          <w:szCs w:val="20"/>
          <w:highlight w:val="none"/>
        </w:rPr>
      </w:pPr>
      <w:r>
        <w:rPr>
          <w:rFonts w:hint="eastAsia"/>
          <w:color w:val="auto"/>
          <w:kern w:val="2"/>
          <w:szCs w:val="20"/>
          <w:highlight w:val="none"/>
        </w:rPr>
        <w:t xml:space="preserve">  （以中标方投标承诺为准） </w:t>
      </w:r>
    </w:p>
    <w:p>
      <w:pPr>
        <w:pStyle w:val="36"/>
        <w:adjustRightInd w:val="0"/>
        <w:snapToGrid w:val="0"/>
        <w:spacing w:before="0" w:beforeAutospacing="0" w:after="0" w:afterAutospacing="0" w:line="400" w:lineRule="exact"/>
        <w:ind w:firstLine="480" w:firstLineChars="200"/>
        <w:rPr>
          <w:color w:val="auto"/>
          <w:kern w:val="2"/>
          <w:szCs w:val="20"/>
          <w:highlight w:val="none"/>
        </w:rPr>
      </w:pPr>
      <w:r>
        <w:rPr>
          <w:rFonts w:hint="eastAsia"/>
          <w:color w:val="auto"/>
          <w:kern w:val="2"/>
          <w:szCs w:val="20"/>
          <w:highlight w:val="none"/>
        </w:rPr>
        <w:t>13.  双方责任</w:t>
      </w:r>
    </w:p>
    <w:p>
      <w:pPr>
        <w:pStyle w:val="36"/>
        <w:adjustRightInd w:val="0"/>
        <w:snapToGrid w:val="0"/>
        <w:spacing w:before="0" w:beforeAutospacing="0" w:after="0" w:afterAutospacing="0" w:line="400" w:lineRule="exact"/>
        <w:ind w:firstLine="480" w:firstLineChars="200"/>
        <w:rPr>
          <w:color w:val="auto"/>
          <w:kern w:val="2"/>
          <w:szCs w:val="20"/>
          <w:highlight w:val="none"/>
        </w:rPr>
      </w:pPr>
      <w:r>
        <w:rPr>
          <w:rFonts w:hint="eastAsia"/>
          <w:color w:val="auto"/>
          <w:highlight w:val="none"/>
        </w:rPr>
        <w:t>13.1  买方责任</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13.1.1  按合同规定向卖方支付货款。</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13.1.2  组织对车辆的验收。</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  卖方责任</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  按合同要求提供车辆和服务。</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13.2.2  对所提供的车辆和服务质量问题无条件负责处理。</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13.2.3卖方对本合同签订及履行过程中获知的买方信息负有保密义务。</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  违约责任</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  交货违约</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14.1.1 卖方违反本合同约定，延迟交货未取得买方书面同意的，每延迟一天按合同总价的1 ‰扣除履约保证金；延迟超过15日，买方有权单方解除合同，扣除全部履约保证金，还应当承担合同总额30%的违约金，造成买方损失的，卖方还应当赔偿。</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14.1.2卖方所发货品规格、型号、质量等不符合合同约定的，买方有权单方解除合同，拒绝收货和付款，扣除履约保证金，并由卖方承担合同总额30%的违约金，由此所发生的一切费用、损失（包括给双方造成的经济损失），均由卖方负责。</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14.1.3合同生效后，卖方中途解除合同（不可抗力原因除外），应按给买方造成的损失向甲方支付赔偿金，买方有权扣除履约保证金，并由卖方向买方支付合同总金额30%的违约金。</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14.1.4卖方违约，还应赔偿买方因此遭受的其他损失，包括为主张权益所支付的律师费、交通费、公证费、鉴定费、评估费、差旅费等全部费用。</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14.1.5卖方违约的，买方有权将相应违约金、赔偿金从履约保证金及应给卖方支付的货款中直接予以扣除。</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付款违约</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买方接收经验收合格的货物后而未能按合同约定时间付款的，推迟付款时间超过30天时，以未付款为基数，按周期全国银行间同业拆借中心公布的贷款市场报价利率（LPR，一年期），支付逾期付款利息，总额不超过未付款部分的5%。</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ascii="宋体" w:hAnsi="宋体" w:cs="宋体"/>
          <w:color w:val="auto"/>
          <w:sz w:val="24"/>
          <w:highlight w:val="none"/>
        </w:rPr>
        <w:t>3</w:t>
      </w:r>
      <w:r>
        <w:rPr>
          <w:rFonts w:hint="eastAsia" w:ascii="宋体" w:hAnsi="宋体" w:cs="宋体"/>
          <w:color w:val="auto"/>
          <w:sz w:val="24"/>
          <w:highlight w:val="none"/>
        </w:rPr>
        <w:t xml:space="preserve">  任意一方如提出增减合同数量，变动交货的，应提前通知对方，并征得对方同意，否则应承担与之相关的经济责任。</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卖方违反保密义务或违反禁止转让、分包合同义务或违反本合同其他约定的，除本合同另有约定外，应按照本合同总价款的5%向买方支付违约金。</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卖方提供车辆不符合约定或违反本协议其他约定，给买方造成损失的，应赔偿买方的全部损失，包括但不限于直接损失、间接损失、买方为处理违约事件支出的律师费、诉讼费、评估费、鉴定费等。</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本合同所称违约金可以累积计算。</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15.  履约保证金</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合同签订前，中标单位按照中标金额的5%缴纳履约保证金，中标单位按合同约定交付全部产品，安装调试完毕，书面验收合格一年后，采购单位无息退还全部履约保证金。</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帐户名称：</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开 户 行：</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帐    号：</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16.  合同终止</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发生下列情况时，买方有权单方终止合同：</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1）卖方未能在合同规定的期限内或买方同意延长的期限内提供全部车辆；</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2）卖方未能履行合同规定的其他义务，卖方在收到买方发出的违约通知后30天内，或经买方书面认可延长的时间内未能纠正其过失。买方可向卖方发出书面通知，终止部分或全部合同，在这种情况下，并不影响买方向卖方提出的索赔。</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  纠纷解决方式</w:t>
      </w:r>
    </w:p>
    <w:p>
      <w:pPr>
        <w:snapToGrid w:val="0"/>
        <w:spacing w:line="400" w:lineRule="exact"/>
        <w:ind w:firstLine="420"/>
        <w:rPr>
          <w:rFonts w:ascii="宋体" w:hAnsi="宋体" w:cs="宋体"/>
          <w:color w:val="auto"/>
          <w:sz w:val="24"/>
          <w:highlight w:val="none"/>
        </w:rPr>
      </w:pPr>
      <w:r>
        <w:rPr>
          <w:rFonts w:hint="eastAsia" w:ascii="宋体" w:hAnsi="宋体" w:cs="宋体"/>
          <w:color w:val="auto"/>
          <w:sz w:val="24"/>
          <w:highlight w:val="none"/>
        </w:rPr>
        <w:t>本合同在执行中发生纠纷时，双方应友好协商予以解决。如协商解决不成时，双方约定采用第</w:t>
      </w:r>
      <w:r>
        <w:rPr>
          <w:rFonts w:hint="eastAsia" w:ascii="宋体" w:hAnsi="宋体" w:cs="宋体"/>
          <w:color w:val="auto"/>
          <w:sz w:val="24"/>
          <w:highlight w:val="none"/>
          <w:u w:val="single"/>
        </w:rPr>
        <w:t>17.1</w:t>
      </w:r>
      <w:r>
        <w:rPr>
          <w:rFonts w:hint="eastAsia" w:ascii="宋体" w:hAnsi="宋体" w:cs="宋体"/>
          <w:color w:val="auto"/>
          <w:sz w:val="24"/>
          <w:highlight w:val="none"/>
        </w:rPr>
        <w:t>种方式解决。</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  向</w:t>
      </w:r>
      <w:r>
        <w:rPr>
          <w:rFonts w:hint="eastAsia" w:ascii="宋体" w:hAnsi="宋体" w:cs="宋体"/>
          <w:color w:val="auto"/>
          <w:sz w:val="24"/>
          <w:highlight w:val="none"/>
          <w:u w:val="single"/>
          <w:lang w:val="en-US" w:eastAsia="zh-CN"/>
        </w:rPr>
        <w:t>甲方所在</w:t>
      </w:r>
      <w:r>
        <w:rPr>
          <w:rFonts w:hint="eastAsia" w:ascii="宋体" w:hAnsi="宋体" w:cs="宋体"/>
          <w:color w:val="auto"/>
          <w:sz w:val="24"/>
          <w:highlight w:val="none"/>
          <w:u w:val="single"/>
        </w:rPr>
        <w:t>地</w:t>
      </w:r>
      <w:r>
        <w:rPr>
          <w:rFonts w:hint="eastAsia" w:ascii="宋体" w:hAnsi="宋体" w:cs="宋体"/>
          <w:color w:val="auto"/>
          <w:sz w:val="24"/>
          <w:highlight w:val="none"/>
        </w:rPr>
        <w:t>人民法院提出诉讼；因卖方违约，买方主张自身合法权益提起诉讼产生的诉讼费、律师代理费等费用由卖方承担。</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申请</w:t>
      </w:r>
      <w:r>
        <w:rPr>
          <w:rFonts w:hint="eastAsia" w:ascii="宋体" w:hAnsi="宋体" w:cs="宋体"/>
          <w:color w:val="auto"/>
          <w:sz w:val="24"/>
          <w:highlight w:val="none"/>
          <w:u w:val="single"/>
        </w:rPr>
        <w:t>合同签订地</w:t>
      </w:r>
      <w:r>
        <w:rPr>
          <w:rFonts w:hint="eastAsia" w:ascii="宋体" w:hAnsi="宋体" w:cs="宋体"/>
          <w:color w:val="auto"/>
          <w:sz w:val="24"/>
          <w:highlight w:val="none"/>
        </w:rPr>
        <w:t>（仲裁机构）进行仲裁。</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  转让和分包</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卖方不得转让或分包其履行合同的义务。</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  适用法律</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本合同按照中华人民共和国的法律进行解释。</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20.合同生效及其他</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20.1合同效力执行本合同《协议书》。</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  合同执行期间，如因故不能履行或需要修改时，必须经双方同意，并互相换文或另订合同。其它未尽事宜，双方应友好进行协商。协商结果以“补充件”的形式作为本合同的附件，与本合同有同等的法律效力。</w:t>
      </w:r>
    </w:p>
    <w:p>
      <w:pPr>
        <w:snapToGrid w:val="0"/>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20.3其他约定事项：</w:t>
      </w:r>
      <w:r>
        <w:rPr>
          <w:rFonts w:hint="eastAsia" w:ascii="宋体" w:hAnsi="宋体" w:cs="宋体"/>
          <w:color w:val="auto"/>
          <w:sz w:val="24"/>
          <w:highlight w:val="none"/>
          <w:u w:val="single"/>
        </w:rPr>
        <w:t>①合同签订地：</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  合同有效期：年月日至年月日。</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20.5通知和送达买卖双方就本合同中涉及各类通知、协议等文件以及就合同发生纠纷时相关文件和法律文书送达时的送达地址及法律后果作如下约定：</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20.5.1买卖双方确认有效的地址及联系方式以本合同首部列明的为准。</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20.5.2双方该送达地址适用范围包括双方非诉时各类通知、协议等文件以及就合同发生纠纷时相关文件和法律文书的送达，同时包括在争议进入仲裁、民事诉讼程序后的一审、二审、再审和执行程序。</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20.5.3双方上述送达地址需要变更时应当向对方履行书面通知义务。若未履行变更通知义务，双方所确认的送达地址仍视为有效送达地址，因双方提供或者确认的送达地址不准确、送达地址变更后未及时依程序告知对方和法院、其他当事人或指定的接收人拒绝接收等原因，导致法律文书未能被接收方实际接收的，邮寄送达的，以文书退回之日视为送达之日；直接送达的，送达人当场在送达回证上记明情况之日视为送达之日；履行送达地址变更通知义务的，以变更后的送达地址为有效送达地址。对于上述双方在合同中明确约定的送达地址，法院进行送达时可直接邮寄送达，即使接收方未能收到法院邮寄送达的文书，由于其在合同中的约定，也应当视为送达。</w:t>
      </w:r>
    </w:p>
    <w:p>
      <w:pPr>
        <w:snapToGrid w:val="0"/>
        <w:spacing w:line="400" w:lineRule="exact"/>
        <w:ind w:firstLine="208" w:firstLineChars="87"/>
        <w:rPr>
          <w:rFonts w:ascii="宋体" w:hAnsi="宋体" w:cs="宋体"/>
          <w:bCs/>
          <w:color w:val="auto"/>
          <w:sz w:val="24"/>
          <w:highlight w:val="none"/>
        </w:rPr>
      </w:pPr>
    </w:p>
    <w:p>
      <w:pPr>
        <w:snapToGrid w:val="0"/>
        <w:spacing w:line="400" w:lineRule="exact"/>
        <w:rPr>
          <w:rFonts w:ascii="宋体" w:hAnsi="宋体" w:cs="宋体"/>
          <w:bCs/>
          <w:color w:val="auto"/>
          <w:sz w:val="24"/>
          <w:highlight w:val="none"/>
        </w:rPr>
      </w:pP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买方（印章）：                              卖方：（印章） </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法定代表人或委托代理人:（签字）             法定代表人或委托代理人:（签字）</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地址：                                      地址：    </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邮政编码：                                  邮政编码： </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电话：                                      电话： </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传真：                                       传真： </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                                            开户银行及账号：</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日期：      年   月    日                  日 期：    年    月   日</w:t>
      </w: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rPr>
          <w:rFonts w:ascii="宋体" w:hAnsi="宋体" w:cs="宋体"/>
          <w:b/>
          <w:color w:val="auto"/>
          <w:spacing w:val="-4"/>
          <w:sz w:val="30"/>
          <w:szCs w:val="30"/>
          <w:highlight w:val="none"/>
        </w:rPr>
      </w:pPr>
      <w:r>
        <w:rPr>
          <w:rFonts w:ascii="宋体" w:hAnsi="宋体" w:cs="宋体"/>
          <w:b/>
          <w:color w:val="auto"/>
          <w:spacing w:val="-4"/>
          <w:sz w:val="30"/>
          <w:szCs w:val="30"/>
          <w:highlight w:val="none"/>
        </w:rPr>
        <w:br w:type="page"/>
      </w:r>
    </w:p>
    <w:bookmarkEnd w:id="116"/>
    <w:p>
      <w:pPr>
        <w:pStyle w:val="3"/>
        <w:rPr>
          <w:color w:val="auto"/>
          <w:highlight w:val="none"/>
        </w:rPr>
      </w:pPr>
      <w:r>
        <w:rPr>
          <w:rFonts w:hint="eastAsia"/>
          <w:color w:val="auto"/>
          <w:highlight w:val="none"/>
        </w:rPr>
        <w:t>第</w:t>
      </w:r>
      <w:bookmarkStart w:id="117" w:name="_Toc9510643"/>
      <w:r>
        <w:rPr>
          <w:rFonts w:hint="eastAsia"/>
          <w:color w:val="auto"/>
          <w:highlight w:val="none"/>
        </w:rPr>
        <w:t>五章 投标文件格式</w:t>
      </w:r>
      <w:bookmarkEnd w:id="113"/>
      <w:bookmarkEnd w:id="114"/>
      <w:bookmarkEnd w:id="115"/>
    </w:p>
    <w:p>
      <w:pPr>
        <w:adjustRightInd w:val="0"/>
        <w:snapToGrid w:val="0"/>
        <w:spacing w:line="360" w:lineRule="auto"/>
        <w:rPr>
          <w:rFonts w:ascii="宋体" w:hAnsi="宋体" w:cs="宋体"/>
          <w:color w:val="auto"/>
          <w:szCs w:val="24"/>
          <w:highlight w:val="none"/>
        </w:rPr>
      </w:pP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bookmarkEnd w:id="117"/>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提交投标文件须知：</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应严格按照以下顺序填写和提交下述规定的全部格式文件以及其他有关资料，混乱的编排导致投标文件被误读或评标小组查找不到有效文件是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的风险。</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2、所附表格中要求回答的全部问题和/或信息都必须正面回答。</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3、本声明书的签字人应保证全部声明和问题的回答是真实的和准确的。</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4、评标委员会将应用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提交的资料根据自己的判断和考虑决定</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履行合同的合格性及能力。</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提交的材料将在一定期限内被</w:t>
      </w:r>
      <w:r>
        <w:rPr>
          <w:rFonts w:hint="eastAsia" w:asciiTheme="majorEastAsia" w:hAnsiTheme="majorEastAsia" w:eastAsiaTheme="majorEastAsia" w:cstheme="majorEastAsia"/>
          <w:bCs/>
          <w:color w:val="auto"/>
          <w:sz w:val="24"/>
          <w:szCs w:val="24"/>
          <w:highlight w:val="none"/>
        </w:rPr>
        <w:t>保密</w:t>
      </w:r>
      <w:r>
        <w:rPr>
          <w:rFonts w:hint="eastAsia" w:ascii="宋体" w:hAnsi="宋体" w:cs="宋体"/>
          <w:color w:val="auto"/>
          <w:sz w:val="24"/>
          <w:szCs w:val="24"/>
          <w:highlight w:val="none"/>
        </w:rPr>
        <w:t>保存，但不退还。</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6、全部文件应按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须知中</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规定提交。投标文件组成漏项或未按规定的格式编制，内容不全或内容字迹模糊辨认不清的情况，将有可能被评标小组认定为投标无效。</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二、投标文件编制格式及规范要求：</w:t>
      </w:r>
    </w:p>
    <w:p>
      <w:pPr>
        <w:adjustRightInd w:val="0"/>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报价文件、商务技术文件部分，</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在编制投标文件时请按照以下格式进行。</w:t>
      </w:r>
    </w:p>
    <w:p>
      <w:pPr>
        <w:adjustRightInd w:val="0"/>
        <w:snapToGrid w:val="0"/>
        <w:spacing w:before="50" w:after="50" w:line="360" w:lineRule="auto"/>
        <w:rPr>
          <w:rFonts w:ascii="宋体" w:hAnsi="宋体" w:cs="宋体"/>
          <w:color w:val="auto"/>
          <w:sz w:val="32"/>
          <w:highlight w:val="none"/>
        </w:rPr>
      </w:pPr>
    </w:p>
    <w:p>
      <w:pPr>
        <w:adjustRightInd w:val="0"/>
        <w:snapToGrid w:val="0"/>
        <w:spacing w:line="360" w:lineRule="auto"/>
        <w:rPr>
          <w:rFonts w:ascii="宋体" w:hAnsi="宋体" w:cs="宋体"/>
          <w:b/>
          <w:color w:val="auto"/>
          <w:sz w:val="24"/>
          <w:szCs w:val="24"/>
          <w:highlight w:val="none"/>
        </w:rPr>
      </w:pPr>
      <w:r>
        <w:rPr>
          <w:rFonts w:hint="eastAsia" w:ascii="宋体" w:hAnsi="宋体" w:cs="宋体"/>
          <w:color w:val="auto"/>
          <w:sz w:val="32"/>
          <w:highlight w:val="none"/>
        </w:rPr>
        <w:br w:type="page"/>
      </w:r>
      <w:r>
        <w:rPr>
          <w:rFonts w:hint="eastAsia" w:ascii="宋体" w:hAnsi="宋体" w:cs="宋体"/>
          <w:b/>
          <w:color w:val="auto"/>
          <w:sz w:val="24"/>
          <w:szCs w:val="24"/>
          <w:highlight w:val="none"/>
        </w:rPr>
        <w:t>投标文件封面</w:t>
      </w:r>
    </w:p>
    <w:p>
      <w:pPr>
        <w:snapToGrid w:val="0"/>
        <w:spacing w:line="360" w:lineRule="auto"/>
        <w:jc w:val="center"/>
        <w:rPr>
          <w:rFonts w:ascii="宋体" w:hAnsi="宋体" w:cs="宋体"/>
          <w:color w:val="auto"/>
          <w:sz w:val="56"/>
          <w:szCs w:val="20"/>
          <w:highlight w:val="none"/>
        </w:rPr>
      </w:pPr>
    </w:p>
    <w:p>
      <w:pPr>
        <w:snapToGrid w:val="0"/>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(项目名称)项目</w:t>
      </w:r>
    </w:p>
    <w:p>
      <w:pPr>
        <w:snapToGrid w:val="0"/>
        <w:spacing w:line="360" w:lineRule="auto"/>
        <w:jc w:val="center"/>
        <w:rPr>
          <w:rFonts w:ascii="宋体" w:hAnsi="宋体" w:cs="宋体"/>
          <w:color w:val="auto"/>
          <w:sz w:val="28"/>
          <w:szCs w:val="20"/>
          <w:highlight w:val="none"/>
        </w:rPr>
      </w:pPr>
      <w:r>
        <w:rPr>
          <w:rFonts w:hint="eastAsia" w:ascii="宋体" w:hAnsi="宋体" w:cs="宋体"/>
          <w:color w:val="auto"/>
          <w:sz w:val="28"/>
          <w:szCs w:val="20"/>
          <w:highlight w:val="none"/>
        </w:rPr>
        <w:t>标包编号：</w:t>
      </w:r>
    </w:p>
    <w:p>
      <w:pPr>
        <w:snapToGrid w:val="0"/>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报</w:t>
      </w:r>
    </w:p>
    <w:p>
      <w:pPr>
        <w:snapToGrid w:val="0"/>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价</w:t>
      </w:r>
    </w:p>
    <w:p>
      <w:pPr>
        <w:snapToGrid w:val="0"/>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文</w:t>
      </w:r>
    </w:p>
    <w:p>
      <w:pPr>
        <w:snapToGrid w:val="0"/>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件</w:t>
      </w:r>
    </w:p>
    <w:p>
      <w:pPr>
        <w:snapToGrid w:val="0"/>
        <w:spacing w:line="360" w:lineRule="auto"/>
        <w:rPr>
          <w:rFonts w:ascii="宋体" w:hAnsi="宋体" w:cs="宋体"/>
          <w:color w:val="auto"/>
          <w:sz w:val="28"/>
          <w:szCs w:val="20"/>
          <w:highlight w:val="none"/>
        </w:rPr>
      </w:pPr>
    </w:p>
    <w:p>
      <w:pPr>
        <w:snapToGrid w:val="0"/>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投标单位名称：（加盖单位公章）</w:t>
      </w:r>
    </w:p>
    <w:p>
      <w:pPr>
        <w:snapToGrid w:val="0"/>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投标单位地址：</w:t>
      </w:r>
    </w:p>
    <w:p>
      <w:pPr>
        <w:snapToGrid w:val="0"/>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投标单位法定代表人（负责人、自然人）或授权代表姓名：（签字或盖章）</w:t>
      </w:r>
    </w:p>
    <w:p>
      <w:pPr>
        <w:snapToGrid w:val="0"/>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投标单位法定代表人（负责人、自然人）或授权代表职务：</w:t>
      </w:r>
    </w:p>
    <w:p>
      <w:pPr>
        <w:snapToGrid w:val="0"/>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投标单位联系方式：</w:t>
      </w:r>
    </w:p>
    <w:p>
      <w:pPr>
        <w:snapToGrid w:val="0"/>
        <w:spacing w:line="360" w:lineRule="auto"/>
        <w:rPr>
          <w:rFonts w:ascii="宋体" w:hAnsi="宋体" w:cs="宋体"/>
          <w:color w:val="auto"/>
          <w:sz w:val="20"/>
          <w:szCs w:val="20"/>
          <w:highlight w:val="none"/>
        </w:rPr>
      </w:pPr>
    </w:p>
    <w:p>
      <w:pPr>
        <w:adjustRightInd w:val="0"/>
        <w:snapToGrid w:val="0"/>
        <w:spacing w:before="50" w:after="5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pPr>
        <w:rPr>
          <w:rFonts w:ascii="宋体" w:hAnsi="宋体" w:cs="宋体"/>
          <w:b/>
          <w:color w:val="auto"/>
          <w:sz w:val="44"/>
          <w:szCs w:val="44"/>
          <w:highlight w:val="none"/>
        </w:rPr>
      </w:pPr>
      <w:r>
        <w:rPr>
          <w:rFonts w:hint="eastAsia" w:ascii="宋体" w:hAnsi="宋体" w:cs="宋体"/>
          <w:b/>
          <w:color w:val="auto"/>
          <w:sz w:val="44"/>
          <w:szCs w:val="44"/>
          <w:highlight w:val="none"/>
        </w:rPr>
        <w:br w:type="page"/>
      </w:r>
    </w:p>
    <w:p>
      <w:pPr>
        <w:widowControl/>
        <w:snapToGrid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目 </w:t>
      </w:r>
      <w:r>
        <w:rPr>
          <w:rFonts w:hint="eastAsia" w:ascii="宋体" w:hAnsi="宋体" w:cs="宋体"/>
          <w:b/>
          <w:color w:val="auto"/>
          <w:sz w:val="44"/>
          <w:szCs w:val="44"/>
          <w:highlight w:val="none"/>
        </w:rPr>
        <w:tab/>
      </w:r>
      <w:r>
        <w:rPr>
          <w:rFonts w:hint="eastAsia" w:ascii="宋体" w:hAnsi="宋体" w:cs="宋体"/>
          <w:b/>
          <w:color w:val="auto"/>
          <w:sz w:val="44"/>
          <w:szCs w:val="44"/>
          <w:highlight w:val="none"/>
        </w:rPr>
        <w:t>录</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1、投标函…………………………………………………………………（页码）</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2、开标一览表……………………………………………………………（页码）</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3、投标报价明细表………………………………………………………（页码）</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4、投标保证金缴纳凭证复印件…………………………………………（页码）</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针对报价需要说明的其他文件和资料………………………（页码）</w:t>
      </w:r>
    </w:p>
    <w:p>
      <w:pPr>
        <w:adjustRightInd w:val="0"/>
        <w:snapToGrid w:val="0"/>
        <w:spacing w:line="400" w:lineRule="exact"/>
        <w:rPr>
          <w:rFonts w:ascii="宋体" w:hAnsi="宋体" w:cs="宋体"/>
          <w:color w:val="auto"/>
          <w:sz w:val="24"/>
          <w:szCs w:val="24"/>
          <w:highlight w:val="none"/>
        </w:rPr>
      </w:pPr>
    </w:p>
    <w:p>
      <w:pPr>
        <w:widowControl/>
        <w:jc w:val="left"/>
        <w:rPr>
          <w:rFonts w:ascii="宋体" w:hAnsi="宋体"/>
          <w:b/>
          <w:bCs/>
          <w:color w:val="auto"/>
          <w:sz w:val="32"/>
          <w:szCs w:val="32"/>
          <w:highlight w:val="none"/>
        </w:rPr>
      </w:pPr>
      <w:r>
        <w:rPr>
          <w:color w:val="auto"/>
          <w:highlight w:val="none"/>
        </w:rPr>
        <w:br w:type="page"/>
      </w:r>
    </w:p>
    <w:p>
      <w:pPr>
        <w:adjustRightInd w:val="0"/>
        <w:snapToGrid w:val="0"/>
        <w:spacing w:before="50" w:after="5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1、投标函格式：</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 标 函</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（采购代理机构名称）：</w:t>
      </w:r>
    </w:p>
    <w:p>
      <w:pPr>
        <w:adjustRightInd w:val="0"/>
        <w:snapToGrid w:val="0"/>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根据贵方项目（项目编号：）招标公告/投标邀请书，签字代表（全名）经正式授权并代表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名称）提交</w:t>
      </w:r>
      <w:r>
        <w:rPr>
          <w:rFonts w:hint="eastAsia" w:ascii="宋体" w:hAnsi="宋体" w:cs="宋体"/>
          <w:color w:val="auto"/>
          <w:sz w:val="24"/>
          <w:szCs w:val="24"/>
          <w:highlight w:val="none"/>
          <w:u w:val="single"/>
        </w:rPr>
        <w:t>标包编号及内容</w:t>
      </w:r>
      <w:r>
        <w:rPr>
          <w:rFonts w:hint="eastAsia" w:ascii="宋体" w:hAnsi="宋体" w:cs="宋体"/>
          <w:color w:val="auto"/>
          <w:sz w:val="24"/>
          <w:szCs w:val="24"/>
          <w:highlight w:val="none"/>
        </w:rPr>
        <w:t>投标文件。</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已详细审查全部“招标文件”，包括补充文件（如有）以及全部参考资料和有关附件，已经了解我方对于招标文件、采购过程、采购结果有依法进行询问、质疑、投诉的权利及相关渠道和要求。</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在投标之前已经与贵方进行了充分的沟通，完全理解并接受招标文件的各项规定和要求，对招标文件的合理性、合法性不再有异议。</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3、本投标有效期自递交投标文件截止之日起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4、如中标，本投标文件至本项目合同履行完毕止均保持有效，本</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将按“招标文件”及政府采购法律、法规的规定履行合同责任和义务。</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同意按照贵方要求提供与投标有关的一切数据或资料，完全理解采购人不一定接受最低价的投标或收到的任何投标。</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6、与本投标有关的一切正式往来信函请寄：</w:t>
      </w:r>
    </w:p>
    <w:p>
      <w:pPr>
        <w:adjustRightInd w:val="0"/>
        <w:snapToGrid w:val="0"/>
        <w:spacing w:line="400" w:lineRule="exact"/>
        <w:ind w:firstLine="480" w:firstLineChars="200"/>
        <w:rPr>
          <w:rFonts w:ascii="宋体" w:hAnsi="宋体" w:cs="宋体"/>
          <w:color w:val="auto"/>
          <w:sz w:val="24"/>
          <w:szCs w:val="24"/>
          <w:highlight w:val="none"/>
        </w:rPr>
      </w:pP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地址：  邮编：     电话：</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传真：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代表姓名：  职务：</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名称(公章):</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开户银行：    银行帐号：</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授权代表签字:</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日期：年月日</w:t>
      </w:r>
    </w:p>
    <w:p>
      <w:pPr>
        <w:adjustRightInd w:val="0"/>
        <w:snapToGrid w:val="0"/>
        <w:spacing w:line="400" w:lineRule="exact"/>
        <w:rPr>
          <w:rFonts w:ascii="宋体" w:hAnsi="宋体" w:cs="宋体"/>
          <w:color w:val="auto"/>
          <w:sz w:val="24"/>
          <w:szCs w:val="24"/>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pPr>
        <w:adjustRightInd w:val="0"/>
        <w:snapToGrid w:val="0"/>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2、开标一览表</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开标一览表</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标包编号及内容：                          单位：元</w:t>
      </w:r>
    </w:p>
    <w:tbl>
      <w:tblPr>
        <w:tblStyle w:val="39"/>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250"/>
        <w:gridCol w:w="1065"/>
        <w:gridCol w:w="641"/>
        <w:gridCol w:w="1282"/>
        <w:gridCol w:w="898"/>
        <w:gridCol w:w="1153"/>
        <w:gridCol w:w="1154"/>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76"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250"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1065"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品牌</w:t>
            </w:r>
          </w:p>
        </w:tc>
        <w:tc>
          <w:tcPr>
            <w:tcW w:w="641"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产地</w:t>
            </w:r>
          </w:p>
        </w:tc>
        <w:tc>
          <w:tcPr>
            <w:tcW w:w="1282"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898"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153"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154"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合计（元）</w:t>
            </w:r>
          </w:p>
        </w:tc>
        <w:tc>
          <w:tcPr>
            <w:tcW w:w="897"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76" w:type="dxa"/>
            <w:vAlign w:val="center"/>
          </w:tcPr>
          <w:p>
            <w:pPr>
              <w:snapToGrid w:val="0"/>
              <w:spacing w:line="400" w:lineRule="exact"/>
              <w:jc w:val="center"/>
              <w:rPr>
                <w:rFonts w:ascii="宋体" w:hAnsi="宋体" w:cs="宋体"/>
                <w:color w:val="auto"/>
                <w:sz w:val="24"/>
                <w:szCs w:val="24"/>
                <w:highlight w:val="none"/>
              </w:rPr>
            </w:pPr>
          </w:p>
        </w:tc>
        <w:tc>
          <w:tcPr>
            <w:tcW w:w="1250" w:type="dxa"/>
            <w:vAlign w:val="center"/>
          </w:tcPr>
          <w:p>
            <w:pPr>
              <w:snapToGrid w:val="0"/>
              <w:spacing w:line="400" w:lineRule="exact"/>
              <w:jc w:val="center"/>
              <w:rPr>
                <w:rFonts w:ascii="宋体" w:hAnsi="宋体" w:cs="宋体"/>
                <w:color w:val="auto"/>
                <w:sz w:val="24"/>
                <w:szCs w:val="24"/>
                <w:highlight w:val="none"/>
              </w:rPr>
            </w:pPr>
          </w:p>
        </w:tc>
        <w:tc>
          <w:tcPr>
            <w:tcW w:w="1065" w:type="dxa"/>
            <w:vAlign w:val="center"/>
          </w:tcPr>
          <w:p>
            <w:pPr>
              <w:snapToGrid w:val="0"/>
              <w:spacing w:line="400" w:lineRule="exact"/>
              <w:jc w:val="center"/>
              <w:rPr>
                <w:rFonts w:ascii="宋体" w:hAnsi="宋体" w:cs="宋体"/>
                <w:color w:val="auto"/>
                <w:sz w:val="24"/>
                <w:szCs w:val="24"/>
                <w:highlight w:val="none"/>
              </w:rPr>
            </w:pPr>
          </w:p>
        </w:tc>
        <w:tc>
          <w:tcPr>
            <w:tcW w:w="641" w:type="dxa"/>
            <w:vAlign w:val="center"/>
          </w:tcPr>
          <w:p>
            <w:pPr>
              <w:snapToGrid w:val="0"/>
              <w:spacing w:line="400" w:lineRule="exact"/>
              <w:jc w:val="center"/>
              <w:rPr>
                <w:rFonts w:ascii="宋体" w:hAnsi="宋体" w:cs="宋体"/>
                <w:color w:val="auto"/>
                <w:sz w:val="24"/>
                <w:szCs w:val="24"/>
                <w:highlight w:val="none"/>
              </w:rPr>
            </w:pPr>
          </w:p>
        </w:tc>
        <w:tc>
          <w:tcPr>
            <w:tcW w:w="1282" w:type="dxa"/>
            <w:vAlign w:val="center"/>
          </w:tcPr>
          <w:p>
            <w:pPr>
              <w:snapToGrid w:val="0"/>
              <w:spacing w:line="400" w:lineRule="exact"/>
              <w:jc w:val="center"/>
              <w:rPr>
                <w:rFonts w:ascii="宋体" w:hAnsi="宋体" w:cs="宋体"/>
                <w:color w:val="auto"/>
                <w:sz w:val="24"/>
                <w:szCs w:val="24"/>
                <w:highlight w:val="none"/>
              </w:rPr>
            </w:pPr>
          </w:p>
        </w:tc>
        <w:tc>
          <w:tcPr>
            <w:tcW w:w="898" w:type="dxa"/>
            <w:vAlign w:val="center"/>
          </w:tcPr>
          <w:p>
            <w:pPr>
              <w:snapToGrid w:val="0"/>
              <w:spacing w:line="400" w:lineRule="exact"/>
              <w:jc w:val="center"/>
              <w:rPr>
                <w:rFonts w:ascii="宋体" w:hAnsi="宋体" w:cs="宋体"/>
                <w:color w:val="auto"/>
                <w:sz w:val="24"/>
                <w:szCs w:val="24"/>
                <w:highlight w:val="none"/>
              </w:rPr>
            </w:pPr>
          </w:p>
        </w:tc>
        <w:tc>
          <w:tcPr>
            <w:tcW w:w="1153" w:type="dxa"/>
            <w:vAlign w:val="center"/>
          </w:tcPr>
          <w:p>
            <w:pPr>
              <w:snapToGrid w:val="0"/>
              <w:spacing w:line="400" w:lineRule="exact"/>
              <w:jc w:val="left"/>
              <w:rPr>
                <w:rFonts w:ascii="宋体" w:hAnsi="宋体" w:cs="宋体"/>
                <w:color w:val="auto"/>
                <w:sz w:val="24"/>
                <w:szCs w:val="24"/>
                <w:highlight w:val="none"/>
              </w:rPr>
            </w:pPr>
          </w:p>
        </w:tc>
        <w:tc>
          <w:tcPr>
            <w:tcW w:w="1154" w:type="dxa"/>
            <w:vAlign w:val="center"/>
          </w:tcPr>
          <w:p>
            <w:pPr>
              <w:snapToGrid w:val="0"/>
              <w:spacing w:line="400" w:lineRule="exact"/>
              <w:jc w:val="center"/>
              <w:rPr>
                <w:rFonts w:ascii="宋体" w:hAnsi="宋体" w:cs="宋体"/>
                <w:color w:val="auto"/>
                <w:sz w:val="24"/>
                <w:szCs w:val="24"/>
                <w:highlight w:val="none"/>
              </w:rPr>
            </w:pPr>
          </w:p>
        </w:tc>
        <w:tc>
          <w:tcPr>
            <w:tcW w:w="897" w:type="dxa"/>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76" w:type="dxa"/>
            <w:vAlign w:val="center"/>
          </w:tcPr>
          <w:p>
            <w:pPr>
              <w:snapToGrid w:val="0"/>
              <w:spacing w:line="400" w:lineRule="exact"/>
              <w:jc w:val="center"/>
              <w:rPr>
                <w:rFonts w:ascii="宋体" w:hAnsi="宋体" w:cs="宋体"/>
                <w:color w:val="auto"/>
                <w:sz w:val="24"/>
                <w:szCs w:val="24"/>
                <w:highlight w:val="none"/>
              </w:rPr>
            </w:pPr>
          </w:p>
        </w:tc>
        <w:tc>
          <w:tcPr>
            <w:tcW w:w="1250" w:type="dxa"/>
            <w:vAlign w:val="center"/>
          </w:tcPr>
          <w:p>
            <w:pPr>
              <w:snapToGrid w:val="0"/>
              <w:spacing w:line="400" w:lineRule="exact"/>
              <w:jc w:val="center"/>
              <w:rPr>
                <w:rFonts w:ascii="宋体" w:hAnsi="宋体" w:cs="宋体"/>
                <w:color w:val="auto"/>
                <w:sz w:val="24"/>
                <w:szCs w:val="24"/>
                <w:highlight w:val="none"/>
              </w:rPr>
            </w:pPr>
          </w:p>
        </w:tc>
        <w:tc>
          <w:tcPr>
            <w:tcW w:w="1065" w:type="dxa"/>
            <w:vAlign w:val="center"/>
          </w:tcPr>
          <w:p>
            <w:pPr>
              <w:snapToGrid w:val="0"/>
              <w:spacing w:line="400" w:lineRule="exact"/>
              <w:jc w:val="center"/>
              <w:rPr>
                <w:rFonts w:ascii="宋体" w:hAnsi="宋体" w:cs="宋体"/>
                <w:color w:val="auto"/>
                <w:sz w:val="24"/>
                <w:szCs w:val="24"/>
                <w:highlight w:val="none"/>
              </w:rPr>
            </w:pPr>
          </w:p>
        </w:tc>
        <w:tc>
          <w:tcPr>
            <w:tcW w:w="641" w:type="dxa"/>
            <w:vAlign w:val="center"/>
          </w:tcPr>
          <w:p>
            <w:pPr>
              <w:snapToGrid w:val="0"/>
              <w:spacing w:line="400" w:lineRule="exact"/>
              <w:jc w:val="center"/>
              <w:rPr>
                <w:rFonts w:ascii="宋体" w:hAnsi="宋体" w:cs="宋体"/>
                <w:color w:val="auto"/>
                <w:sz w:val="24"/>
                <w:szCs w:val="24"/>
                <w:highlight w:val="none"/>
              </w:rPr>
            </w:pPr>
          </w:p>
        </w:tc>
        <w:tc>
          <w:tcPr>
            <w:tcW w:w="1282" w:type="dxa"/>
            <w:vAlign w:val="center"/>
          </w:tcPr>
          <w:p>
            <w:pPr>
              <w:snapToGrid w:val="0"/>
              <w:spacing w:line="400" w:lineRule="exact"/>
              <w:jc w:val="center"/>
              <w:rPr>
                <w:rFonts w:ascii="宋体" w:hAnsi="宋体" w:cs="宋体"/>
                <w:color w:val="auto"/>
                <w:sz w:val="24"/>
                <w:szCs w:val="24"/>
                <w:highlight w:val="none"/>
              </w:rPr>
            </w:pPr>
          </w:p>
        </w:tc>
        <w:tc>
          <w:tcPr>
            <w:tcW w:w="898" w:type="dxa"/>
            <w:vAlign w:val="center"/>
          </w:tcPr>
          <w:p>
            <w:pPr>
              <w:snapToGrid w:val="0"/>
              <w:spacing w:line="400" w:lineRule="exact"/>
              <w:jc w:val="center"/>
              <w:rPr>
                <w:rFonts w:ascii="宋体" w:hAnsi="宋体" w:cs="宋体"/>
                <w:color w:val="auto"/>
                <w:sz w:val="24"/>
                <w:szCs w:val="24"/>
                <w:highlight w:val="none"/>
              </w:rPr>
            </w:pPr>
          </w:p>
        </w:tc>
        <w:tc>
          <w:tcPr>
            <w:tcW w:w="1153" w:type="dxa"/>
            <w:vAlign w:val="center"/>
          </w:tcPr>
          <w:p>
            <w:pPr>
              <w:snapToGrid w:val="0"/>
              <w:spacing w:line="400" w:lineRule="exact"/>
              <w:jc w:val="left"/>
              <w:rPr>
                <w:rFonts w:ascii="宋体" w:hAnsi="宋体" w:cs="宋体"/>
                <w:color w:val="auto"/>
                <w:sz w:val="24"/>
                <w:szCs w:val="24"/>
                <w:highlight w:val="none"/>
              </w:rPr>
            </w:pPr>
          </w:p>
        </w:tc>
        <w:tc>
          <w:tcPr>
            <w:tcW w:w="1154" w:type="dxa"/>
            <w:vAlign w:val="center"/>
          </w:tcPr>
          <w:p>
            <w:pPr>
              <w:snapToGrid w:val="0"/>
              <w:spacing w:line="400" w:lineRule="exact"/>
              <w:jc w:val="center"/>
              <w:rPr>
                <w:rFonts w:ascii="宋体" w:hAnsi="宋体" w:cs="宋体"/>
                <w:color w:val="auto"/>
                <w:sz w:val="24"/>
                <w:szCs w:val="24"/>
                <w:highlight w:val="none"/>
              </w:rPr>
            </w:pPr>
          </w:p>
        </w:tc>
        <w:tc>
          <w:tcPr>
            <w:tcW w:w="897" w:type="dxa"/>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26" w:type="dxa"/>
            <w:gridSpan w:val="2"/>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投标总价（元）</w:t>
            </w:r>
          </w:p>
        </w:tc>
        <w:tc>
          <w:tcPr>
            <w:tcW w:w="7090" w:type="dxa"/>
            <w:gridSpan w:val="7"/>
            <w:vAlign w:val="center"/>
          </w:tcPr>
          <w:p>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26" w:type="dxa"/>
            <w:gridSpan w:val="2"/>
            <w:vAlign w:val="center"/>
          </w:tcPr>
          <w:p>
            <w:pPr>
              <w:snapToGrid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合同履约期限</w:t>
            </w:r>
          </w:p>
        </w:tc>
        <w:tc>
          <w:tcPr>
            <w:tcW w:w="7090" w:type="dxa"/>
            <w:gridSpan w:val="7"/>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（可填写是\否满足招标文件要求）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26" w:type="dxa"/>
            <w:gridSpan w:val="2"/>
            <w:vAlign w:val="center"/>
          </w:tcPr>
          <w:p>
            <w:pPr>
              <w:snapToGrid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质量保修期</w:t>
            </w:r>
          </w:p>
        </w:tc>
        <w:tc>
          <w:tcPr>
            <w:tcW w:w="7090" w:type="dxa"/>
            <w:gridSpan w:val="7"/>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（可填写是\否满足招标文件要求）</w:t>
            </w:r>
          </w:p>
        </w:tc>
      </w:tr>
    </w:tbl>
    <w:p>
      <w:pPr>
        <w:adjustRightInd w:val="0"/>
        <w:snapToGrid w:val="0"/>
        <w:spacing w:line="400" w:lineRule="exact"/>
        <w:rPr>
          <w:rFonts w:ascii="宋体" w:hAnsi="宋体" w:cs="宋体"/>
          <w:color w:val="auto"/>
          <w:sz w:val="24"/>
          <w:szCs w:val="24"/>
          <w:highlight w:val="none"/>
        </w:rPr>
      </w:pP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注: 投标报价包括</w:t>
      </w:r>
      <w:r>
        <w:rPr>
          <w:rFonts w:hint="eastAsia" w:ascii="宋体" w:hAnsi="宋体" w:cs="宋体"/>
          <w:color w:val="auto"/>
          <w:sz w:val="24"/>
          <w:szCs w:val="24"/>
          <w:highlight w:val="none"/>
          <w:lang w:val="en-US" w:eastAsia="zh-CN"/>
        </w:rPr>
        <w:t>但不限于</w:t>
      </w:r>
      <w:r>
        <w:rPr>
          <w:rFonts w:hint="eastAsia" w:asciiTheme="majorEastAsia" w:hAnsiTheme="majorEastAsia" w:eastAsiaTheme="majorEastAsia" w:cstheme="majorEastAsia"/>
          <w:color w:val="auto"/>
          <w:sz w:val="24"/>
          <w:szCs w:val="24"/>
          <w:highlight w:val="none"/>
        </w:rPr>
        <w:t>货款、标准附件、备品备件、专用工具、包装、运输、装卸、保险、税金、货到就位以及安装、调试、培训、保修等一切税金和费用</w:t>
      </w:r>
      <w:r>
        <w:rPr>
          <w:rFonts w:hint="eastAsia" w:ascii="宋体" w:hAnsi="宋体" w:cs="宋体"/>
          <w:color w:val="auto"/>
          <w:sz w:val="24"/>
          <w:szCs w:val="24"/>
          <w:highlight w:val="none"/>
        </w:rPr>
        <w:t>。</w:t>
      </w:r>
    </w:p>
    <w:p>
      <w:pPr>
        <w:pStyle w:val="4"/>
        <w:rPr>
          <w:color w:val="auto"/>
          <w:highlight w:val="none"/>
        </w:rPr>
      </w:pPr>
    </w:p>
    <w:p>
      <w:pPr>
        <w:adjustRightInd w:val="0"/>
        <w:snapToGrid w:val="0"/>
        <w:spacing w:line="400" w:lineRule="exact"/>
        <w:ind w:left="-4" w:leftChars="-2"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adjustRightInd w:val="0"/>
        <w:snapToGrid w:val="0"/>
        <w:spacing w:line="400" w:lineRule="exact"/>
        <w:ind w:left="-2" w:leftChars="-1"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400" w:lineRule="exact"/>
        <w:rPr>
          <w:color w:val="auto"/>
          <w:highlight w:val="none"/>
        </w:rPr>
      </w:pPr>
      <w:r>
        <w:rPr>
          <w:rFonts w:hint="eastAsia" w:ascii="宋体" w:hAnsi="宋体" w:cs="宋体"/>
          <w:b/>
          <w:color w:val="auto"/>
          <w:sz w:val="24"/>
          <w:szCs w:val="24"/>
          <w:highlight w:val="none"/>
        </w:rPr>
        <w:br w:type="page"/>
      </w:r>
    </w:p>
    <w:p>
      <w:pPr>
        <w:adjustRightInd w:val="0"/>
        <w:snapToGrid w:val="0"/>
        <w:spacing w:line="400" w:lineRule="exact"/>
        <w:rPr>
          <w:rFonts w:ascii="宋体" w:hAnsi="宋体" w:cs="宋体"/>
          <w:color w:val="auto"/>
          <w:sz w:val="24"/>
          <w:szCs w:val="24"/>
          <w:highlight w:val="none"/>
        </w:rPr>
      </w:pPr>
      <w:r>
        <w:rPr>
          <w:rFonts w:hint="eastAsia" w:ascii="宋体" w:hAnsi="宋体" w:cs="宋体"/>
          <w:b/>
          <w:color w:val="auto"/>
          <w:sz w:val="24"/>
          <w:szCs w:val="24"/>
          <w:highlight w:val="none"/>
        </w:rPr>
        <w:t>3、投标报价明细表格式</w:t>
      </w:r>
      <w:r>
        <w:rPr>
          <w:rFonts w:hint="eastAsia" w:ascii="宋体" w:hAnsi="宋体" w:cs="宋体"/>
          <w:color w:val="auto"/>
          <w:sz w:val="24"/>
          <w:szCs w:val="24"/>
          <w:highlight w:val="none"/>
        </w:rPr>
        <w:t xml:space="preserve">：       </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投标报价明细表</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项目名称：</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标包编号及内容：                               金额单位：人民币（元）</w:t>
      </w:r>
    </w:p>
    <w:tbl>
      <w:tblPr>
        <w:tblStyle w:val="39"/>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7"/>
        <w:gridCol w:w="1315"/>
        <w:gridCol w:w="986"/>
        <w:gridCol w:w="1315"/>
        <w:gridCol w:w="1479"/>
        <w:gridCol w:w="903"/>
        <w:gridCol w:w="903"/>
        <w:gridCol w:w="7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序号</w:t>
            </w: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报价组成</w:t>
            </w: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品牌</w:t>
            </w: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规格型号</w:t>
            </w: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单位及数量</w:t>
            </w: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单价</w:t>
            </w: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金额</w:t>
            </w: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w:t>
            </w: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338" w:type="dxa"/>
            <w:gridSpan w:val="8"/>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合计金额：（人民币大写）</w:t>
            </w:r>
          </w:p>
        </w:tc>
      </w:tr>
    </w:tbl>
    <w:p>
      <w:pPr>
        <w:tabs>
          <w:tab w:val="left" w:pos="1418"/>
        </w:tabs>
        <w:snapToGrid w:val="0"/>
        <w:spacing w:line="400" w:lineRule="exact"/>
        <w:rPr>
          <w:rFonts w:ascii="宋体" w:hAnsi="宋体" w:cs="宋体"/>
          <w:color w:val="auto"/>
          <w:spacing w:val="20"/>
          <w:sz w:val="24"/>
          <w:szCs w:val="24"/>
          <w:highlight w:val="none"/>
        </w:rPr>
      </w:pPr>
      <w:r>
        <w:rPr>
          <w:rFonts w:hint="eastAsia" w:ascii="宋体" w:hAnsi="宋体" w:cs="宋体"/>
          <w:color w:val="auto"/>
          <w:sz w:val="24"/>
          <w:szCs w:val="24"/>
          <w:highlight w:val="none"/>
        </w:rPr>
        <w:t>说明：1、若获得中标资格并与采购人签署供货合同，由于报价遗漏而造成在供货、安装、调试、培训等工作中出现费用的增加，均由中标供应商自行承担，采购人将不再支付任何额外费用</w:t>
      </w:r>
      <w:r>
        <w:rPr>
          <w:rFonts w:hint="eastAsia" w:ascii="宋体" w:hAnsi="宋体" w:cs="宋体"/>
          <w:color w:val="auto"/>
          <w:spacing w:val="20"/>
          <w:sz w:val="24"/>
          <w:szCs w:val="24"/>
          <w:highlight w:val="none"/>
        </w:rPr>
        <w:t>。</w:t>
      </w:r>
    </w:p>
    <w:p>
      <w:pPr>
        <w:adjustRightInd w:val="0"/>
        <w:snapToGrid w:val="0"/>
        <w:spacing w:line="400" w:lineRule="exact"/>
        <w:ind w:left="-4" w:leftChars="-2"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3" w:leftChars="-72" w:right="-816" w:rightChars="-389" w:hanging="148" w:hangingChars="62"/>
        <w:rPr>
          <w:rFonts w:ascii="宋体" w:hAnsi="宋体" w:cs="宋体"/>
          <w:color w:val="auto"/>
          <w:sz w:val="24"/>
          <w:szCs w:val="24"/>
          <w:highlight w:val="none"/>
        </w:rPr>
      </w:pPr>
    </w:p>
    <w:p>
      <w:pPr>
        <w:adjustRightInd w:val="0"/>
        <w:snapToGrid w:val="0"/>
        <w:spacing w:line="400" w:lineRule="exact"/>
        <w:ind w:left="-4" w:leftChars="-2"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adjustRightInd w:val="0"/>
        <w:snapToGrid w:val="0"/>
        <w:spacing w:line="400" w:lineRule="exact"/>
        <w:rPr>
          <w:rFonts w:ascii="宋体" w:hAnsi="宋体" w:cs="宋体"/>
          <w:color w:val="auto"/>
          <w:spacing w:val="20"/>
          <w:sz w:val="24"/>
          <w:szCs w:val="24"/>
          <w:highlight w:val="none"/>
        </w:rPr>
      </w:pPr>
    </w:p>
    <w:p>
      <w:pPr>
        <w:adjustRightInd w:val="0"/>
        <w:snapToGrid w:val="0"/>
        <w:spacing w:line="400" w:lineRule="exact"/>
        <w:ind w:left="-2" w:leftChars="-1" w:right="-816"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400" w:lineRule="exact"/>
        <w:rPr>
          <w:rFonts w:ascii="宋体" w:hAnsi="宋体" w:cs="宋体"/>
          <w:color w:val="auto"/>
          <w:sz w:val="24"/>
          <w:szCs w:val="24"/>
          <w:highlight w:val="none"/>
        </w:rPr>
      </w:pPr>
    </w:p>
    <w:p>
      <w:pPr>
        <w:adjustRightInd w:val="0"/>
        <w:snapToGrid w:val="0"/>
        <w:spacing w:line="400" w:lineRule="exact"/>
        <w:rPr>
          <w:rFonts w:ascii="宋体" w:hAnsi="宋体" w:cs="宋体"/>
          <w:color w:val="auto"/>
          <w:spacing w:val="20"/>
          <w:sz w:val="24"/>
          <w:szCs w:val="24"/>
          <w:highlight w:val="none"/>
          <w:u w:val="single"/>
        </w:rPr>
      </w:pPr>
    </w:p>
    <w:p>
      <w:pPr>
        <w:adjustRightInd w:val="0"/>
        <w:snapToGrid w:val="0"/>
        <w:spacing w:line="400" w:lineRule="exact"/>
        <w:rPr>
          <w:rFonts w:ascii="宋体" w:hAnsi="宋体" w:cs="宋体"/>
          <w:color w:val="auto"/>
          <w:spacing w:val="20"/>
          <w:sz w:val="24"/>
          <w:szCs w:val="24"/>
          <w:highlight w:val="none"/>
          <w:u w:val="single"/>
        </w:rPr>
      </w:pP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pPr>
        <w:adjustRightInd w:val="0"/>
        <w:snapToGrid w:val="0"/>
        <w:spacing w:before="50" w:after="5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4、投标保证金缴纳凭证复印件</w:t>
      </w:r>
    </w:p>
    <w:p>
      <w:pPr>
        <w:adjustRightInd w:val="0"/>
        <w:snapToGrid w:val="0"/>
        <w:spacing w:before="50" w:after="50" w:line="400" w:lineRule="exact"/>
        <w:rPr>
          <w:rFonts w:ascii="宋体" w:hAnsi="宋体" w:cs="宋体"/>
          <w:b/>
          <w:color w:val="auto"/>
          <w:sz w:val="24"/>
          <w:szCs w:val="24"/>
          <w:highlight w:val="none"/>
        </w:rPr>
      </w:pPr>
    </w:p>
    <w:p>
      <w:pPr>
        <w:pStyle w:val="58"/>
        <w:rPr>
          <w:rFonts w:ascii="宋体" w:hAnsi="宋体" w:cs="宋体"/>
          <w:b/>
          <w:color w:val="auto"/>
          <w:sz w:val="24"/>
          <w:szCs w:val="24"/>
          <w:highlight w:val="none"/>
        </w:rPr>
      </w:pPr>
    </w:p>
    <w:p>
      <w:pPr>
        <w:pStyle w:val="58"/>
        <w:rPr>
          <w:rFonts w:ascii="宋体" w:hAnsi="宋体" w:cs="宋体"/>
          <w:b/>
          <w:color w:val="auto"/>
          <w:sz w:val="24"/>
          <w:szCs w:val="24"/>
          <w:highlight w:val="none"/>
        </w:rPr>
      </w:pPr>
    </w:p>
    <w:p>
      <w:pPr>
        <w:pStyle w:val="58"/>
        <w:rPr>
          <w:rFonts w:ascii="宋体" w:hAnsi="宋体" w:cs="宋体"/>
          <w:b/>
          <w:color w:val="auto"/>
          <w:sz w:val="24"/>
          <w:szCs w:val="24"/>
          <w:highlight w:val="none"/>
        </w:rPr>
      </w:pPr>
    </w:p>
    <w:p>
      <w:pPr>
        <w:pStyle w:val="58"/>
        <w:rPr>
          <w:rFonts w:ascii="宋体" w:hAnsi="宋体" w:cs="宋体"/>
          <w:b/>
          <w:color w:val="auto"/>
          <w:sz w:val="24"/>
          <w:szCs w:val="24"/>
          <w:highlight w:val="none"/>
        </w:rPr>
      </w:pPr>
    </w:p>
    <w:p>
      <w:pPr>
        <w:pStyle w:val="58"/>
        <w:rPr>
          <w:rFonts w:ascii="宋体" w:hAnsi="宋体" w:cs="宋体"/>
          <w:b/>
          <w:color w:val="auto"/>
          <w:sz w:val="24"/>
          <w:szCs w:val="24"/>
          <w:highlight w:val="none"/>
        </w:rPr>
      </w:pPr>
    </w:p>
    <w:p>
      <w:pPr>
        <w:pStyle w:val="58"/>
        <w:rPr>
          <w:rFonts w:ascii="宋体" w:hAnsi="宋体" w:cs="宋体"/>
          <w:b/>
          <w:color w:val="auto"/>
          <w:sz w:val="24"/>
          <w:szCs w:val="24"/>
          <w:highlight w:val="none"/>
        </w:rPr>
      </w:pPr>
    </w:p>
    <w:p>
      <w:pPr>
        <w:pStyle w:val="58"/>
        <w:rPr>
          <w:rFonts w:ascii="宋体" w:hAnsi="宋体" w:cs="宋体"/>
          <w:b/>
          <w:color w:val="auto"/>
          <w:sz w:val="24"/>
          <w:szCs w:val="24"/>
          <w:highlight w:val="none"/>
        </w:rPr>
      </w:pPr>
    </w:p>
    <w:p>
      <w:pPr>
        <w:pStyle w:val="58"/>
        <w:rPr>
          <w:rFonts w:ascii="宋体" w:hAnsi="宋体" w:cs="宋体"/>
          <w:b/>
          <w:color w:val="auto"/>
          <w:sz w:val="24"/>
          <w:szCs w:val="24"/>
          <w:highlight w:val="none"/>
        </w:rPr>
      </w:pPr>
    </w:p>
    <w:p>
      <w:pPr>
        <w:adjustRightInd w:val="0"/>
        <w:snapToGrid w:val="0"/>
        <w:spacing w:before="50" w:after="5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5、</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针对报价需要说明的其他文件和资料（如有）</w:t>
      </w:r>
    </w:p>
    <w:p>
      <w:pPr>
        <w:adjustRightInd w:val="0"/>
        <w:snapToGrid w:val="0"/>
        <w:spacing w:line="400" w:lineRule="exact"/>
        <w:rPr>
          <w:rFonts w:ascii="宋体" w:hAnsi="宋体" w:cs="宋体"/>
          <w:b/>
          <w:color w:val="auto"/>
          <w:sz w:val="24"/>
          <w:szCs w:val="24"/>
          <w:highlight w:val="none"/>
        </w:rPr>
      </w:pPr>
      <w:r>
        <w:rPr>
          <w:rFonts w:hint="eastAsia" w:ascii="宋体" w:hAnsi="宋体" w:cs="宋体"/>
          <w:b/>
          <w:color w:val="auto"/>
          <w:sz w:val="28"/>
          <w:szCs w:val="28"/>
          <w:highlight w:val="none"/>
        </w:rPr>
        <w:br w:type="page"/>
      </w:r>
      <w:r>
        <w:rPr>
          <w:rFonts w:hint="eastAsia" w:ascii="宋体" w:hAnsi="宋体" w:cs="宋体"/>
          <w:b/>
          <w:color w:val="auto"/>
          <w:sz w:val="24"/>
          <w:szCs w:val="24"/>
          <w:highlight w:val="none"/>
        </w:rPr>
        <w:t>投标文件封面</w:t>
      </w:r>
    </w:p>
    <w:p>
      <w:pPr>
        <w:spacing w:line="360" w:lineRule="auto"/>
        <w:jc w:val="center"/>
        <w:rPr>
          <w:rFonts w:ascii="宋体" w:hAnsi="宋体" w:cs="宋体"/>
          <w:color w:val="auto"/>
          <w:sz w:val="56"/>
          <w:szCs w:val="20"/>
          <w:highlight w:val="none"/>
        </w:rPr>
      </w:pPr>
    </w:p>
    <w:p>
      <w:pPr>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(项目名称)项目</w:t>
      </w:r>
    </w:p>
    <w:p>
      <w:pPr>
        <w:spacing w:line="360" w:lineRule="auto"/>
        <w:jc w:val="center"/>
        <w:rPr>
          <w:rFonts w:ascii="宋体" w:hAnsi="宋体" w:cs="宋体"/>
          <w:color w:val="auto"/>
          <w:sz w:val="28"/>
          <w:szCs w:val="20"/>
          <w:highlight w:val="none"/>
        </w:rPr>
      </w:pPr>
    </w:p>
    <w:p>
      <w:pPr>
        <w:spacing w:line="360" w:lineRule="auto"/>
        <w:jc w:val="center"/>
        <w:rPr>
          <w:rFonts w:ascii="宋体" w:hAnsi="宋体" w:cs="宋体"/>
          <w:color w:val="auto"/>
          <w:sz w:val="28"/>
          <w:szCs w:val="20"/>
          <w:highlight w:val="none"/>
        </w:rPr>
      </w:pPr>
      <w:r>
        <w:rPr>
          <w:rFonts w:hint="eastAsia" w:ascii="宋体" w:hAnsi="宋体" w:cs="宋体"/>
          <w:color w:val="auto"/>
          <w:sz w:val="28"/>
          <w:szCs w:val="20"/>
          <w:highlight w:val="none"/>
        </w:rPr>
        <w:t>标包编号：</w:t>
      </w:r>
    </w:p>
    <w:p>
      <w:pPr>
        <w:spacing w:line="360" w:lineRule="auto"/>
        <w:jc w:val="center"/>
        <w:rPr>
          <w:rFonts w:ascii="宋体" w:hAnsi="宋体" w:cs="宋体"/>
          <w:color w:val="auto"/>
          <w:sz w:val="28"/>
          <w:szCs w:val="20"/>
          <w:highlight w:val="none"/>
        </w:rPr>
      </w:pPr>
    </w:p>
    <w:p>
      <w:pPr>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商务技术文件</w:t>
      </w:r>
    </w:p>
    <w:p>
      <w:pPr>
        <w:spacing w:line="360" w:lineRule="auto"/>
        <w:jc w:val="center"/>
        <w:rPr>
          <w:rFonts w:ascii="宋体" w:hAnsi="宋体" w:cs="宋体"/>
          <w:color w:val="auto"/>
          <w:sz w:val="56"/>
          <w:szCs w:val="20"/>
          <w:highlight w:val="none"/>
        </w:rPr>
      </w:pPr>
    </w:p>
    <w:p>
      <w:pPr>
        <w:spacing w:line="360" w:lineRule="auto"/>
        <w:jc w:val="center"/>
        <w:rPr>
          <w:rFonts w:ascii="宋体" w:hAnsi="宋体" w:cs="宋体"/>
          <w:color w:val="auto"/>
          <w:sz w:val="56"/>
          <w:szCs w:val="20"/>
          <w:highlight w:val="none"/>
        </w:rPr>
      </w:pPr>
    </w:p>
    <w:p>
      <w:pPr>
        <w:spacing w:line="360" w:lineRule="auto"/>
        <w:jc w:val="center"/>
        <w:rPr>
          <w:rFonts w:ascii="宋体" w:hAnsi="宋体" w:cs="宋体"/>
          <w:color w:val="auto"/>
          <w:sz w:val="56"/>
          <w:szCs w:val="20"/>
          <w:highlight w:val="none"/>
        </w:rPr>
      </w:pP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投标单位名称：（加盖单位公章）</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投标单位地址：</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投标单位法定代表人（负责人、自然人）或法人授权代表姓名：（签字或盖章）</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投标单位法定代表人（负责人、自然人）或法人授权代表职务：</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投标单位联系方式：</w:t>
      </w:r>
    </w:p>
    <w:p>
      <w:pPr>
        <w:spacing w:line="360" w:lineRule="auto"/>
        <w:rPr>
          <w:rFonts w:ascii="宋体" w:hAnsi="宋体" w:cs="宋体"/>
          <w:color w:val="auto"/>
          <w:sz w:val="20"/>
          <w:szCs w:val="20"/>
          <w:highlight w:val="none"/>
        </w:rPr>
      </w:pPr>
    </w:p>
    <w:p>
      <w:pPr>
        <w:adjustRightInd w:val="0"/>
        <w:snapToGrid w:val="0"/>
        <w:jc w:val="center"/>
        <w:rPr>
          <w:rFonts w:ascii="宋体" w:hAnsi="宋体" w:cs="宋体"/>
          <w:b/>
          <w:color w:val="auto"/>
          <w:sz w:val="24"/>
          <w:szCs w:val="24"/>
          <w:highlight w:val="none"/>
        </w:rPr>
      </w:pPr>
      <w:r>
        <w:rPr>
          <w:rFonts w:hint="eastAsia" w:ascii="宋体" w:hAnsi="宋体" w:cs="宋体"/>
          <w:color w:val="auto"/>
          <w:sz w:val="28"/>
          <w:szCs w:val="28"/>
          <w:highlight w:val="none"/>
        </w:rPr>
        <w:t>年  月  日</w:t>
      </w:r>
    </w:p>
    <w:p>
      <w:pPr>
        <w:jc w:val="center"/>
        <w:rPr>
          <w:rFonts w:ascii="宋体" w:hAnsi="宋体" w:cs="宋体"/>
          <w:b/>
          <w:color w:val="auto"/>
          <w:sz w:val="44"/>
          <w:szCs w:val="44"/>
          <w:highlight w:val="none"/>
        </w:rPr>
      </w:pPr>
      <w:r>
        <w:rPr>
          <w:rFonts w:hint="eastAsia" w:ascii="宋体" w:hAnsi="宋体" w:cs="宋体"/>
          <w:b/>
          <w:color w:val="auto"/>
          <w:sz w:val="28"/>
          <w:szCs w:val="28"/>
          <w:highlight w:val="none"/>
        </w:rPr>
        <w:br w:type="page"/>
      </w:r>
      <w:r>
        <w:rPr>
          <w:rFonts w:hint="eastAsia" w:ascii="宋体" w:hAnsi="宋体" w:cs="宋体"/>
          <w:b/>
          <w:color w:val="auto"/>
          <w:sz w:val="44"/>
          <w:szCs w:val="44"/>
          <w:highlight w:val="none"/>
        </w:rPr>
        <w:t xml:space="preserve">目 </w:t>
      </w:r>
      <w:r>
        <w:rPr>
          <w:rFonts w:hint="eastAsia" w:ascii="宋体" w:hAnsi="宋体" w:cs="宋体"/>
          <w:b/>
          <w:color w:val="auto"/>
          <w:sz w:val="44"/>
          <w:szCs w:val="44"/>
          <w:highlight w:val="none"/>
        </w:rPr>
        <w:tab/>
      </w:r>
      <w:r>
        <w:rPr>
          <w:rFonts w:hint="eastAsia" w:ascii="宋体" w:hAnsi="宋体" w:cs="宋体"/>
          <w:b/>
          <w:color w:val="auto"/>
          <w:sz w:val="44"/>
          <w:szCs w:val="44"/>
          <w:highlight w:val="none"/>
        </w:rPr>
        <w:t>录</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一、商务部分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投标声明书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法定代表人（负责人、自然人）授权书</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企业法人营业执照（或登记证书、身份证）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情况介绍</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近年财务状况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须具有履行合同所必需的设备和专业技术能力</w:t>
      </w:r>
      <w:r>
        <w:rPr>
          <w:rFonts w:hint="eastAsia" w:ascii="宋体" w:hAnsi="宋体" w:cs="宋体"/>
          <w:color w:val="auto"/>
          <w:sz w:val="24"/>
          <w:szCs w:val="24"/>
          <w:highlight w:val="none"/>
          <w:lang w:eastAsia="zh-CN"/>
        </w:rPr>
        <w:t>证明资料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纳税证明社保证明</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前三年内在经营活动中没有重大违法记录的书面声明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 xml:space="preserve">信用记录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其他认证证书等</w:t>
      </w:r>
      <w:r>
        <w:rPr>
          <w:rFonts w:hint="eastAsia" w:ascii="宋体" w:hAnsi="宋体" w:cs="宋体"/>
          <w:color w:val="auto"/>
          <w:sz w:val="24"/>
          <w:highlight w:val="none"/>
        </w:rPr>
        <w:t>………………………………………………………（页码）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类似成功业绩…………………………………………………………（页码）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政府采购政策扶持证明材料…………………………………………（页码）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其他证明文件或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认为应提交的商务文件……………………（页码）</w:t>
      </w:r>
    </w:p>
    <w:p>
      <w:pPr>
        <w:tabs>
          <w:tab w:val="center" w:pos="4912"/>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二、技术</w:t>
      </w:r>
      <w:r>
        <w:rPr>
          <w:rFonts w:hint="eastAsia" w:ascii="宋体" w:hAnsi="宋体" w:cs="宋体"/>
          <w:color w:val="auto"/>
          <w:sz w:val="24"/>
          <w:szCs w:val="24"/>
          <w:highlight w:val="none"/>
          <w:lang w:val="en-US" w:eastAsia="zh-CN"/>
        </w:rPr>
        <w:t>部分</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.技术响应偏离表</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产品</w:t>
      </w:r>
      <w:r>
        <w:rPr>
          <w:rFonts w:hint="eastAsia" w:ascii="宋体" w:hAnsi="宋体" w:cs="宋体"/>
          <w:color w:val="auto"/>
          <w:sz w:val="24"/>
          <w:szCs w:val="24"/>
          <w:highlight w:val="none"/>
          <w:lang w:eastAsia="zh-CN"/>
        </w:rPr>
        <w:t>详细技术规格书</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.产品检测报告</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 xml:space="preserve">针对本项目的详细组织实施方案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针对本项目的</w:t>
      </w:r>
      <w:r>
        <w:rPr>
          <w:rFonts w:hint="eastAsia" w:ascii="宋体" w:hAnsi="宋体" w:cs="宋体"/>
          <w:color w:val="auto"/>
          <w:sz w:val="24"/>
          <w:szCs w:val="24"/>
          <w:highlight w:val="none"/>
          <w:lang w:eastAsia="zh-CN"/>
        </w:rPr>
        <w:t>详细技术培训</w:t>
      </w:r>
      <w:r>
        <w:rPr>
          <w:rFonts w:hint="eastAsia" w:ascii="宋体" w:hAnsi="宋体" w:cs="宋体"/>
          <w:color w:val="auto"/>
          <w:sz w:val="24"/>
          <w:szCs w:val="24"/>
          <w:highlight w:val="none"/>
        </w:rPr>
        <w:t xml:space="preserve">方案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 xml:space="preserve">针对本项目的售后服务方案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其他优惠条件（如有）</w:t>
      </w:r>
      <w:r>
        <w:rPr>
          <w:rFonts w:hint="eastAsia" w:ascii="宋体" w:hAnsi="宋体" w:cs="宋体"/>
          <w:color w:val="auto"/>
          <w:sz w:val="24"/>
          <w:highlight w:val="none"/>
        </w:rPr>
        <w:t>………………………………………………（页码）</w:t>
      </w:r>
    </w:p>
    <w:p>
      <w:pPr>
        <w:adjustRightInd w:val="0"/>
        <w:snapToGrid w:val="0"/>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认为需要提供的其他技术文件或资料（如有）</w:t>
      </w:r>
      <w:r>
        <w:rPr>
          <w:rFonts w:hint="eastAsia" w:ascii="宋体" w:hAnsi="宋体" w:cs="宋体"/>
          <w:color w:val="auto"/>
          <w:sz w:val="24"/>
          <w:highlight w:val="none"/>
        </w:rPr>
        <w:t>……………（页码）</w:t>
      </w:r>
    </w:p>
    <w:p>
      <w:pPr>
        <w:spacing w:line="360" w:lineRule="auto"/>
        <w:ind w:left="718" w:leftChars="228" w:hanging="240" w:hangingChars="100"/>
        <w:rPr>
          <w:rFonts w:ascii="宋体" w:hAnsi="宋体" w:cs="宋体"/>
          <w:color w:val="auto"/>
          <w:sz w:val="24"/>
          <w:szCs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adjustRightInd w:val="0"/>
        <w:snapToGrid w:val="0"/>
        <w:rPr>
          <w:rFonts w:ascii="宋体" w:hAnsi="宋体" w:cs="宋体"/>
          <w:b/>
          <w:color w:val="auto"/>
          <w:sz w:val="28"/>
          <w:szCs w:val="28"/>
          <w:highlight w:val="none"/>
        </w:rPr>
      </w:pPr>
    </w:p>
    <w:tbl>
      <w:tblPr>
        <w:tblStyle w:val="39"/>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000"/>
        <w:gridCol w:w="2783"/>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4" w:type="dxa"/>
            <w:gridSpan w:val="4"/>
          </w:tcPr>
          <w:p>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评标索引表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000"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评审因素</w:t>
            </w:r>
          </w:p>
        </w:tc>
        <w:tc>
          <w:tcPr>
            <w:tcW w:w="2783"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索引页码</w:t>
            </w:r>
          </w:p>
        </w:tc>
        <w:tc>
          <w:tcPr>
            <w:tcW w:w="2584"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w:t>
            </w:r>
          </w:p>
        </w:tc>
        <w:tc>
          <w:tcPr>
            <w:tcW w:w="2000"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w:t>
            </w:r>
          </w:p>
        </w:tc>
        <w:tc>
          <w:tcPr>
            <w:tcW w:w="2783"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w:t>
            </w:r>
          </w:p>
        </w:tc>
        <w:tc>
          <w:tcPr>
            <w:tcW w:w="2584"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bl>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1、投标声明书格式：</w:t>
      </w:r>
    </w:p>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投标声明书</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（采购代理机构名称）：</w:t>
      </w:r>
    </w:p>
    <w:p>
      <w:pPr>
        <w:adjustRightInd w:val="0"/>
        <w:snapToGrid w:val="0"/>
        <w:spacing w:line="4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名称）系中华人民共和国合法企业（其他组织），经营地址。</w:t>
      </w:r>
    </w:p>
    <w:p>
      <w:pPr>
        <w:adjustRightInd w:val="0"/>
        <w:snapToGrid w:val="0"/>
        <w:spacing w:line="40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我（姓名）系（</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名称）的法定代表人（负责人），我方愿意参加贵方组织的项目（项目编号：）</w:t>
      </w:r>
      <w:r>
        <w:rPr>
          <w:rFonts w:hint="eastAsia" w:ascii="宋体" w:hAnsi="宋体" w:cs="宋体"/>
          <w:color w:val="auto"/>
          <w:sz w:val="24"/>
          <w:szCs w:val="24"/>
          <w:highlight w:val="none"/>
          <w:u w:val="single"/>
        </w:rPr>
        <w:t>标包编号及内容</w:t>
      </w:r>
      <w:r>
        <w:rPr>
          <w:rFonts w:hint="eastAsia" w:ascii="宋体" w:hAnsi="宋体" w:cs="宋体"/>
          <w:color w:val="auto"/>
          <w:sz w:val="24"/>
          <w:szCs w:val="24"/>
          <w:highlight w:val="none"/>
        </w:rPr>
        <w:t xml:space="preserve"> 的投标，为便于贵方公正、择优地确定中标人及其投标产品和服务，我方就本次投标有关事项郑重声明如下：</w:t>
      </w:r>
    </w:p>
    <w:p>
      <w:pPr>
        <w:numPr>
          <w:ilvl w:val="0"/>
          <w:numId w:val="12"/>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投标方已详细审查全部招标文件，同意招标文件的各项要求。</w:t>
      </w:r>
    </w:p>
    <w:p>
      <w:pPr>
        <w:numPr>
          <w:ilvl w:val="0"/>
          <w:numId w:val="12"/>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我方向贵方提交的所有投标文件、资料都是准确的和真实的。</w:t>
      </w:r>
    </w:p>
    <w:p>
      <w:pPr>
        <w:numPr>
          <w:ilvl w:val="0"/>
          <w:numId w:val="12"/>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若中标，我方将按招标文件规定履行合同责任和义务。</w:t>
      </w:r>
    </w:p>
    <w:p>
      <w:pPr>
        <w:numPr>
          <w:ilvl w:val="0"/>
          <w:numId w:val="12"/>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我方郑重承诺：我方所投产品及其任何一部分，免受第三方提出的侵犯其专利权、商标权、著作权或其它知识产权的起诉。我方承担由此可能产生的一切法律责任和费用。</w:t>
      </w:r>
    </w:p>
    <w:p>
      <w:pPr>
        <w:numPr>
          <w:ilvl w:val="0"/>
          <w:numId w:val="12"/>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我方不是采购人的附属机构；在获知本项目采购信息后，与采购人聘请的为此项目提供咨询服务的公司及其附属机构没有任何联系。</w:t>
      </w:r>
    </w:p>
    <w:p>
      <w:pPr>
        <w:numPr>
          <w:ilvl w:val="0"/>
          <w:numId w:val="12"/>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投标书自开标日起有效期为日。以上事项如有虚假或隐瞒，我方愿意承担一切后果，并不再寻求任何旨在减轻或免除法律责任的辩解。</w:t>
      </w:r>
    </w:p>
    <w:p>
      <w:pPr>
        <w:adjustRightInd w:val="0"/>
        <w:snapToGrid w:val="0"/>
        <w:spacing w:line="400" w:lineRule="exact"/>
        <w:ind w:left="-4" w:leftChars="-2" w:right="-816" w:rightChars="-389" w:firstLine="2"/>
        <w:rPr>
          <w:rFonts w:ascii="宋体" w:hAnsi="宋体" w:cs="宋体"/>
          <w:color w:val="auto"/>
          <w:sz w:val="24"/>
          <w:szCs w:val="24"/>
          <w:highlight w:val="none"/>
        </w:rPr>
      </w:pPr>
    </w:p>
    <w:p>
      <w:pPr>
        <w:adjustRightInd w:val="0"/>
        <w:snapToGrid w:val="0"/>
        <w:spacing w:line="400" w:lineRule="exact"/>
        <w:ind w:left="-4" w:leftChars="-2" w:right="-816" w:rightChars="-389" w:firstLine="2"/>
        <w:rPr>
          <w:rFonts w:ascii="宋体" w:hAnsi="宋体" w:cs="宋体"/>
          <w:color w:val="auto"/>
          <w:sz w:val="24"/>
          <w:szCs w:val="24"/>
          <w:highlight w:val="none"/>
        </w:rPr>
      </w:pPr>
    </w:p>
    <w:p>
      <w:pPr>
        <w:adjustRightInd w:val="0"/>
        <w:snapToGrid w:val="0"/>
        <w:spacing w:line="400" w:lineRule="exact"/>
        <w:ind w:left="-4" w:leftChars="-2" w:right="-816" w:rightChars="-389" w:firstLine="2"/>
        <w:rPr>
          <w:rFonts w:ascii="宋体" w:hAnsi="宋体" w:cs="宋体"/>
          <w:color w:val="auto"/>
          <w:sz w:val="24"/>
          <w:szCs w:val="24"/>
          <w:highlight w:val="none"/>
        </w:rPr>
      </w:pPr>
    </w:p>
    <w:p>
      <w:pPr>
        <w:adjustRightInd w:val="0"/>
        <w:snapToGrid w:val="0"/>
        <w:spacing w:line="400" w:lineRule="exact"/>
        <w:ind w:left="-4" w:leftChars="-2"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法定代表人（负责人、自然人）或授权代表（签字）：</w:t>
      </w:r>
    </w:p>
    <w:p>
      <w:pPr>
        <w:adjustRightInd w:val="0"/>
        <w:snapToGrid w:val="0"/>
        <w:spacing w:line="400" w:lineRule="exact"/>
        <w:ind w:left="-2" w:leftChars="-1" w:right="-816"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color w:val="auto"/>
          <w:sz w:val="24"/>
          <w:szCs w:val="24"/>
          <w:highlight w:val="none"/>
        </w:rPr>
        <w:t>2、授权委托书格式：</w:t>
      </w:r>
    </w:p>
    <w:p>
      <w:pPr>
        <w:adjustRightInd w:val="0"/>
        <w:snapToGrid w:val="0"/>
        <w:spacing w:line="360" w:lineRule="auto"/>
        <w:jc w:val="center"/>
        <w:rPr>
          <w:rFonts w:ascii="宋体" w:hAnsi="宋体" w:cs="宋体"/>
          <w:color w:val="auto"/>
          <w:sz w:val="24"/>
          <w:szCs w:val="24"/>
          <w:highlight w:val="none"/>
        </w:rPr>
      </w:pPr>
    </w:p>
    <w:p>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color w:val="auto"/>
          <w:sz w:val="24"/>
          <w:szCs w:val="24"/>
          <w:highlight w:val="none"/>
        </w:rPr>
        <w:t>（采购代理机构名称）：</w:t>
      </w:r>
    </w:p>
    <w:p>
      <w:pPr>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我（姓名）系（</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名称）的法定代表人（负责人、自然人），现授权委托 （姓名）以我方的名义参加</w:t>
      </w:r>
      <w:r>
        <w:rPr>
          <w:rFonts w:hint="eastAsia" w:ascii="宋体" w:hAnsi="宋体" w:cs="宋体"/>
          <w:color w:val="auto"/>
          <w:sz w:val="24"/>
          <w:szCs w:val="24"/>
          <w:highlight w:val="none"/>
          <w:u w:val="single"/>
        </w:rPr>
        <w:t xml:space="preserve">     项目（项目编号：        ）标包编号及内容</w:t>
      </w:r>
      <w:r>
        <w:rPr>
          <w:rFonts w:hint="eastAsia" w:ascii="宋体" w:hAnsi="宋体" w:cs="宋体"/>
          <w:color w:val="auto"/>
          <w:sz w:val="24"/>
          <w:szCs w:val="24"/>
          <w:highlight w:val="none"/>
        </w:rPr>
        <w:t>的投标活动，并代表我方全权办理针对上述项目的投标、开标、评标、签约等具体事务和签署相关文件。</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我方对被授权人的签名事项负全部责任。</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u w:val="single"/>
        </w:rPr>
        <w:t>在撤销授权的书面通知以前，本授权书一直有效。</w:t>
      </w:r>
      <w:r>
        <w:rPr>
          <w:rFonts w:hint="eastAsia" w:ascii="宋体" w:hAnsi="宋体" w:cs="宋体"/>
          <w:color w:val="auto"/>
          <w:sz w:val="24"/>
          <w:szCs w:val="24"/>
          <w:highlight w:val="none"/>
        </w:rPr>
        <w:t>被授权人在授权书有效期内签署的所有文件不因授权的撤销而失效。</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被授权人无转委托权，特此委托。</w:t>
      </w:r>
    </w:p>
    <w:p>
      <w:pPr>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授权代表签名：                      授权人签名：</w:t>
      </w:r>
    </w:p>
    <w:p>
      <w:pPr>
        <w:adjustRightInd w:val="0"/>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职务：                      职务：</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授权代表身份证号码：</w:t>
      </w:r>
    </w:p>
    <w:p>
      <w:pPr>
        <w:adjustRightInd w:val="0"/>
        <w:snapToGrid w:val="0"/>
        <w:spacing w:line="360" w:lineRule="auto"/>
        <w:rPr>
          <w:rFonts w:ascii="宋体" w:hAnsi="宋体" w:cs="宋体"/>
          <w:color w:val="auto"/>
          <w:sz w:val="24"/>
          <w:szCs w:val="24"/>
          <w:highlight w:val="none"/>
        </w:rPr>
      </w:pPr>
    </w:p>
    <w:tbl>
      <w:tblPr>
        <w:tblStyle w:val="39"/>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0"/>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4310" w:type="dxa"/>
            <w:vAlign w:val="center"/>
          </w:tcPr>
          <w:p>
            <w:pPr>
              <w:adjustRightInd w:val="0"/>
              <w:snapToGrid w:val="0"/>
              <w:spacing w:line="360" w:lineRule="auto"/>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授权人身份证正面</w:t>
            </w:r>
          </w:p>
        </w:tc>
        <w:tc>
          <w:tcPr>
            <w:tcW w:w="4310" w:type="dxa"/>
            <w:vAlign w:val="center"/>
          </w:tcPr>
          <w:p>
            <w:pPr>
              <w:adjustRightInd w:val="0"/>
              <w:snapToGrid w:val="0"/>
              <w:spacing w:line="360" w:lineRule="auto"/>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310" w:type="dxa"/>
            <w:vAlign w:val="center"/>
          </w:tcPr>
          <w:p>
            <w:pPr>
              <w:adjustRightInd w:val="0"/>
              <w:snapToGrid w:val="0"/>
              <w:spacing w:line="360" w:lineRule="auto"/>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授权人身份证反面</w:t>
            </w:r>
          </w:p>
        </w:tc>
        <w:tc>
          <w:tcPr>
            <w:tcW w:w="4310" w:type="dxa"/>
            <w:vAlign w:val="center"/>
          </w:tcPr>
          <w:p>
            <w:pPr>
              <w:adjustRightInd w:val="0"/>
              <w:snapToGrid w:val="0"/>
              <w:spacing w:line="360" w:lineRule="auto"/>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被授权人身份证反面</w:t>
            </w:r>
          </w:p>
        </w:tc>
      </w:tr>
    </w:tbl>
    <w:p>
      <w:pPr>
        <w:adjustRightInd w:val="0"/>
        <w:snapToGrid w:val="0"/>
        <w:spacing w:line="360" w:lineRule="auto"/>
        <w:ind w:right="480"/>
        <w:jc w:val="center"/>
        <w:rPr>
          <w:rFonts w:ascii="宋体" w:hAnsi="宋体" w:cs="宋体"/>
          <w:color w:val="auto"/>
          <w:sz w:val="24"/>
          <w:szCs w:val="24"/>
          <w:highlight w:val="none"/>
        </w:rPr>
      </w:pPr>
    </w:p>
    <w:p>
      <w:pPr>
        <w:adjustRightInd w:val="0"/>
        <w:snapToGrid w:val="0"/>
        <w:spacing w:line="360" w:lineRule="auto"/>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360" w:lineRule="auto"/>
        <w:ind w:right="36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360" w:lineRule="auto"/>
        <w:rPr>
          <w:rFonts w:ascii="宋体" w:hAnsi="宋体" w:cs="宋体"/>
          <w:b/>
          <w:color w:val="auto"/>
          <w:sz w:val="24"/>
          <w:szCs w:val="24"/>
          <w:highlight w:val="none"/>
        </w:rPr>
      </w:pPr>
    </w:p>
    <w:p>
      <w:pPr>
        <w:adjustRightInd w:val="0"/>
        <w:snapToGrid w:val="0"/>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3、有效的营业执照（事业单位法人证书、民办非企业单位登记证书、社会团体法人登记证书、基金会法人登记证书、自然人身份证）副本复印件、税务登记证副本（如有）复印件</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4、</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情况介绍格式：</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情况</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名称:                                                   </w:t>
      </w:r>
    </w:p>
    <w:tbl>
      <w:tblPr>
        <w:tblStyle w:val="39"/>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p>
        </w:tc>
        <w:tc>
          <w:tcPr>
            <w:tcW w:w="6994" w:type="dxa"/>
            <w:gridSpan w:val="6"/>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376" w:type="dxa"/>
            <w:gridSpan w:val="3"/>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1453"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165"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053"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323"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1453" w:type="dxa"/>
            <w:vAlign w:val="center"/>
          </w:tcPr>
          <w:p>
            <w:pPr>
              <w:pStyle w:val="187"/>
              <w:numPr>
                <w:ilvl w:val="0"/>
                <w:numId w:val="13"/>
              </w:numPr>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165"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1053"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2323"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1453" w:type="dxa"/>
            <w:vAlign w:val="center"/>
          </w:tcPr>
          <w:p>
            <w:pPr>
              <w:pStyle w:val="187"/>
              <w:numPr>
                <w:ilvl w:val="0"/>
                <w:numId w:val="13"/>
              </w:numPr>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网址</w:t>
            </w:r>
          </w:p>
        </w:tc>
        <w:tc>
          <w:tcPr>
            <w:tcW w:w="2165"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053"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69" w:type="dxa"/>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854"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453" w:type="dxa"/>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765"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400" w:type="dxa"/>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企业负责人</w:t>
            </w:r>
          </w:p>
        </w:tc>
        <w:tc>
          <w:tcPr>
            <w:tcW w:w="1053"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69" w:type="dxa"/>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854"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453" w:type="dxa"/>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765"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400" w:type="dxa"/>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53"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69" w:type="dxa"/>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854"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453" w:type="dxa"/>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765"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400" w:type="dxa"/>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企业资质</w:t>
            </w:r>
          </w:p>
        </w:tc>
        <w:tc>
          <w:tcPr>
            <w:tcW w:w="2522"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2307" w:type="dxa"/>
            <w:gridSpan w:val="2"/>
            <w:vAlign w:val="center"/>
          </w:tcPr>
          <w:p>
            <w:pPr>
              <w:pStyle w:val="187"/>
              <w:spacing w:line="400" w:lineRule="exact"/>
              <w:ind w:left="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2165"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资信等级</w:t>
            </w:r>
          </w:p>
        </w:tc>
        <w:tc>
          <w:tcPr>
            <w:tcW w:w="6994" w:type="dxa"/>
            <w:gridSpan w:val="6"/>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环境管理体系认证</w:t>
            </w:r>
          </w:p>
        </w:tc>
        <w:tc>
          <w:tcPr>
            <w:tcW w:w="2522"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2307" w:type="dxa"/>
            <w:gridSpan w:val="2"/>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职业安全健康管理体系认证</w:t>
            </w:r>
          </w:p>
        </w:tc>
        <w:tc>
          <w:tcPr>
            <w:tcW w:w="2165"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2522"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万元</w:t>
            </w:r>
          </w:p>
        </w:tc>
        <w:tc>
          <w:tcPr>
            <w:tcW w:w="2307" w:type="dxa"/>
            <w:gridSpan w:val="2"/>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固定资产净值</w:t>
            </w:r>
          </w:p>
        </w:tc>
        <w:tc>
          <w:tcPr>
            <w:tcW w:w="2165"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流动资产</w:t>
            </w:r>
          </w:p>
        </w:tc>
        <w:tc>
          <w:tcPr>
            <w:tcW w:w="2522"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万元</w:t>
            </w:r>
          </w:p>
        </w:tc>
        <w:tc>
          <w:tcPr>
            <w:tcW w:w="2307"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2165"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2522"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c>
          <w:tcPr>
            <w:tcW w:w="2307" w:type="dxa"/>
            <w:gridSpan w:val="2"/>
            <w:vAlign w:val="center"/>
          </w:tcPr>
          <w:p>
            <w:pPr>
              <w:pStyle w:val="187"/>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帐号</w:t>
            </w:r>
          </w:p>
        </w:tc>
        <w:tc>
          <w:tcPr>
            <w:tcW w:w="2165" w:type="dxa"/>
            <w:gridSpan w:val="2"/>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652" w:type="dxa"/>
            <w:gridSpan w:val="7"/>
            <w:vAlign w:val="center"/>
          </w:tcPr>
          <w:p>
            <w:pPr>
              <w:pStyle w:val="187"/>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总人数人，其中：具有高级职称的人，中级职称的人。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vAlign w:val="center"/>
          </w:tcPr>
          <w:p>
            <w:pPr>
              <w:pStyle w:val="187"/>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994" w:type="dxa"/>
            <w:gridSpan w:val="6"/>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7"/>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资质范围</w:t>
            </w:r>
          </w:p>
        </w:tc>
        <w:tc>
          <w:tcPr>
            <w:tcW w:w="6994" w:type="dxa"/>
            <w:gridSpan w:val="6"/>
            <w:vAlign w:val="center"/>
          </w:tcPr>
          <w:p>
            <w:pPr>
              <w:pStyle w:val="187"/>
              <w:numPr>
                <w:ilvl w:val="0"/>
                <w:numId w:val="13"/>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7"/>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备  注</w:t>
            </w:r>
          </w:p>
        </w:tc>
        <w:tc>
          <w:tcPr>
            <w:tcW w:w="6994" w:type="dxa"/>
            <w:gridSpan w:val="6"/>
            <w:vAlign w:val="center"/>
          </w:tcPr>
          <w:p>
            <w:pPr>
              <w:pStyle w:val="187"/>
              <w:numPr>
                <w:ilvl w:val="0"/>
                <w:numId w:val="13"/>
              </w:numPr>
              <w:spacing w:line="400" w:lineRule="exact"/>
              <w:ind w:firstLineChars="0"/>
              <w:rPr>
                <w:rFonts w:ascii="宋体" w:hAnsi="宋体" w:cs="宋体"/>
                <w:color w:val="auto"/>
                <w:sz w:val="24"/>
                <w:szCs w:val="24"/>
                <w:highlight w:val="none"/>
              </w:rPr>
            </w:pPr>
          </w:p>
        </w:tc>
      </w:tr>
    </w:tbl>
    <w:p>
      <w:pPr>
        <w:autoSpaceDE w:val="0"/>
        <w:autoSpaceDN w:val="0"/>
        <w:adjustRightInd w:val="0"/>
        <w:snapToGrid w:val="0"/>
        <w:spacing w:line="400" w:lineRule="exact"/>
        <w:ind w:firstLine="470" w:firstLineChars="196"/>
        <w:rPr>
          <w:rFonts w:ascii="宋体" w:hAnsi="宋体" w:cs="宋体"/>
          <w:b/>
          <w:color w:val="auto"/>
          <w:sz w:val="24"/>
          <w:szCs w:val="24"/>
          <w:highlight w:val="none"/>
        </w:rPr>
      </w:pPr>
    </w:p>
    <w:p>
      <w:pPr>
        <w:adjustRightInd w:val="0"/>
        <w:snapToGrid w:val="0"/>
        <w:spacing w:line="400" w:lineRule="exact"/>
        <w:ind w:left="-4" w:leftChars="-2"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法定代表人（负责人、自然人）或授权代表（签字）：</w:t>
      </w:r>
    </w:p>
    <w:p>
      <w:pPr>
        <w:adjustRightInd w:val="0"/>
        <w:snapToGrid w:val="0"/>
        <w:spacing w:line="400" w:lineRule="exact"/>
        <w:ind w:left="-2" w:leftChars="-1" w:right="-816"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5、财务状况报告</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应提供本单位</w:t>
      </w:r>
      <w:r>
        <w:rPr>
          <w:rFonts w:hint="eastAsia"/>
          <w:color w:val="auto"/>
          <w:highlight w:val="none"/>
          <w:lang w:val="zh-CN"/>
        </w:rPr>
        <w:t>2022年度或2023</w:t>
      </w:r>
      <w:r>
        <w:rPr>
          <w:rFonts w:hint="eastAsia"/>
          <w:color w:val="auto"/>
          <w:highlight w:val="none"/>
          <w:lang w:val="en-US" w:eastAsia="zh-CN"/>
        </w:rPr>
        <w:t>年</w:t>
      </w:r>
      <w:r>
        <w:rPr>
          <w:rFonts w:hint="eastAsia" w:ascii="宋体" w:hAnsi="宋体" w:eastAsia="宋体" w:cs="宋体"/>
          <w:color w:val="auto"/>
          <w:sz w:val="24"/>
          <w:szCs w:val="24"/>
          <w:highlight w:val="none"/>
        </w:rPr>
        <w:t>度</w:t>
      </w:r>
      <w:r>
        <w:rPr>
          <w:rFonts w:hint="eastAsia" w:ascii="宋体" w:hAnsi="宋体" w:cs="宋体"/>
          <w:color w:val="auto"/>
          <w:sz w:val="24"/>
          <w:szCs w:val="24"/>
          <w:highlight w:val="none"/>
        </w:rPr>
        <w:t>经会计师事务所出具的审计报告复印件（报告中须包括资产负债表、利润表、现金流量表及财务报表附注）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如供应商注册不满1年提供具有良好的商业信誉和健全的财务会计制度承诺函</w:t>
      </w:r>
      <w:r>
        <w:rPr>
          <w:rFonts w:hint="eastAsia" w:ascii="宋体" w:hAnsi="宋体" w:cs="宋体"/>
          <w:color w:val="auto"/>
          <w:sz w:val="24"/>
          <w:szCs w:val="24"/>
          <w:highlight w:val="none"/>
          <w:lang w:val="en-US" w:eastAsia="zh-CN"/>
        </w:rPr>
        <w:t>。</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6、</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须具有履行合同所必需的设备和专业技术能力，须附相关证明材料或声明：</w:t>
      </w:r>
    </w:p>
    <w:p>
      <w:pPr>
        <w:pStyle w:val="200"/>
        <w:autoSpaceDE w:val="0"/>
        <w:autoSpaceDN w:val="0"/>
        <w:adjustRightInd w:val="0"/>
        <w:snapToGrid w:val="0"/>
        <w:spacing w:line="400" w:lineRule="exact"/>
        <w:ind w:firstLine="115" w:firstLineChars="50"/>
        <w:jc w:val="left"/>
        <w:rPr>
          <w:rFonts w:ascii="宋体" w:hAnsi="宋体" w:cs="宋体"/>
          <w:color w:val="auto"/>
          <w:kern w:val="0"/>
          <w:sz w:val="23"/>
          <w:szCs w:val="23"/>
          <w:highlight w:val="none"/>
        </w:rPr>
      </w:pPr>
      <w:r>
        <w:rPr>
          <w:rFonts w:hint="eastAsia" w:ascii="宋体" w:hAnsi="宋体" w:cs="宋体"/>
          <w:color w:val="auto"/>
          <w:kern w:val="0"/>
          <w:sz w:val="23"/>
          <w:szCs w:val="23"/>
          <w:highlight w:val="none"/>
        </w:rPr>
        <w:t>格式：</w:t>
      </w:r>
    </w:p>
    <w:p>
      <w:pPr>
        <w:pStyle w:val="200"/>
        <w:autoSpaceDE w:val="0"/>
        <w:autoSpaceDN w:val="0"/>
        <w:adjustRightInd w:val="0"/>
        <w:snapToGrid w:val="0"/>
        <w:spacing w:line="400" w:lineRule="exact"/>
        <w:ind w:firstLine="115" w:firstLineChars="50"/>
        <w:jc w:val="center"/>
        <w:rPr>
          <w:rFonts w:ascii="宋体" w:hAnsi="宋体" w:cs="宋体"/>
          <w:color w:val="auto"/>
          <w:kern w:val="0"/>
          <w:sz w:val="23"/>
          <w:szCs w:val="23"/>
          <w:highlight w:val="none"/>
        </w:rPr>
      </w:pPr>
      <w:r>
        <w:rPr>
          <w:rFonts w:hint="eastAsia" w:ascii="宋体" w:hAnsi="宋体" w:cs="宋体"/>
          <w:color w:val="auto"/>
          <w:kern w:val="0"/>
          <w:sz w:val="23"/>
          <w:szCs w:val="23"/>
          <w:highlight w:val="none"/>
        </w:rPr>
        <w:t>本</w:t>
      </w:r>
      <w:r>
        <w:rPr>
          <w:rFonts w:hint="eastAsia" w:ascii="宋体" w:hAnsi="宋体" w:cs="宋体"/>
          <w:color w:val="auto"/>
          <w:kern w:val="0"/>
          <w:sz w:val="23"/>
          <w:szCs w:val="23"/>
          <w:highlight w:val="none"/>
          <w:lang w:eastAsia="zh-CN"/>
        </w:rPr>
        <w:t>供应商</w:t>
      </w:r>
      <w:r>
        <w:rPr>
          <w:rFonts w:hint="eastAsia" w:ascii="宋体" w:hAnsi="宋体" w:cs="宋体"/>
          <w:color w:val="auto"/>
          <w:kern w:val="0"/>
          <w:sz w:val="23"/>
          <w:szCs w:val="23"/>
          <w:highlight w:val="none"/>
        </w:rPr>
        <w:t>郑重声明：</w:t>
      </w:r>
    </w:p>
    <w:p>
      <w:pPr>
        <w:pStyle w:val="200"/>
        <w:autoSpaceDE w:val="0"/>
        <w:autoSpaceDN w:val="0"/>
        <w:adjustRightInd w:val="0"/>
        <w:snapToGrid w:val="0"/>
        <w:spacing w:line="400" w:lineRule="exact"/>
        <w:ind w:firstLine="230" w:firstLineChars="100"/>
        <w:jc w:val="left"/>
        <w:rPr>
          <w:rFonts w:ascii="宋体" w:hAnsi="宋体" w:cs="宋体"/>
          <w:color w:val="auto"/>
          <w:kern w:val="0"/>
          <w:sz w:val="23"/>
          <w:szCs w:val="23"/>
          <w:highlight w:val="none"/>
        </w:rPr>
      </w:pPr>
      <w:r>
        <w:rPr>
          <w:rFonts w:hint="eastAsia" w:ascii="宋体" w:hAnsi="宋体" w:cs="宋体"/>
          <w:color w:val="auto"/>
          <w:kern w:val="0"/>
          <w:sz w:val="23"/>
          <w:szCs w:val="23"/>
          <w:highlight w:val="none"/>
        </w:rPr>
        <w:t xml:space="preserve">本公司（或单位）具备本项目履行合同所必需的设备和专业技术能力，特此承诺。 </w:t>
      </w:r>
    </w:p>
    <w:p>
      <w:pPr>
        <w:pStyle w:val="200"/>
        <w:autoSpaceDE w:val="0"/>
        <w:autoSpaceDN w:val="0"/>
        <w:adjustRightInd w:val="0"/>
        <w:snapToGrid w:val="0"/>
        <w:spacing w:line="400" w:lineRule="exact"/>
        <w:ind w:firstLine="115" w:firstLineChars="50"/>
        <w:jc w:val="left"/>
        <w:rPr>
          <w:rFonts w:ascii="宋体" w:hAnsi="宋体" w:cs="宋体"/>
          <w:color w:val="auto"/>
          <w:kern w:val="0"/>
          <w:sz w:val="23"/>
          <w:szCs w:val="23"/>
          <w:highlight w:val="none"/>
        </w:rPr>
      </w:pPr>
      <w:r>
        <w:rPr>
          <w:rFonts w:hint="eastAsia" w:ascii="宋体" w:hAnsi="宋体" w:cs="宋体"/>
          <w:color w:val="auto"/>
          <w:kern w:val="0"/>
          <w:sz w:val="23"/>
          <w:szCs w:val="23"/>
          <w:highlight w:val="none"/>
        </w:rPr>
        <w:t xml:space="preserve">被授权人签字： </w:t>
      </w:r>
    </w:p>
    <w:p>
      <w:pPr>
        <w:pStyle w:val="200"/>
        <w:autoSpaceDE w:val="0"/>
        <w:autoSpaceDN w:val="0"/>
        <w:adjustRightInd w:val="0"/>
        <w:snapToGrid w:val="0"/>
        <w:spacing w:line="400" w:lineRule="exact"/>
        <w:ind w:firstLine="115" w:firstLineChars="50"/>
        <w:jc w:val="left"/>
        <w:rPr>
          <w:rFonts w:ascii="宋体" w:hAnsi="宋体" w:cs="宋体"/>
          <w:color w:val="auto"/>
          <w:kern w:val="0"/>
          <w:sz w:val="23"/>
          <w:szCs w:val="23"/>
          <w:highlight w:val="none"/>
        </w:rPr>
      </w:pPr>
      <w:r>
        <w:rPr>
          <w:rFonts w:hint="eastAsia" w:ascii="宋体" w:hAnsi="宋体" w:cs="宋体"/>
          <w:color w:val="auto"/>
          <w:kern w:val="0"/>
          <w:sz w:val="23"/>
          <w:szCs w:val="23"/>
          <w:highlight w:val="none"/>
          <w:lang w:eastAsia="zh-CN"/>
        </w:rPr>
        <w:t>供应商</w:t>
      </w:r>
      <w:r>
        <w:rPr>
          <w:rFonts w:hint="eastAsia" w:ascii="宋体" w:hAnsi="宋体" w:cs="宋体"/>
          <w:color w:val="auto"/>
          <w:kern w:val="0"/>
          <w:sz w:val="23"/>
          <w:szCs w:val="23"/>
          <w:highlight w:val="none"/>
        </w:rPr>
        <w:t>名称（加盖公章）：</w:t>
      </w:r>
    </w:p>
    <w:p>
      <w:pPr>
        <w:pStyle w:val="200"/>
        <w:autoSpaceDE w:val="0"/>
        <w:autoSpaceDN w:val="0"/>
        <w:adjustRightInd w:val="0"/>
        <w:snapToGrid w:val="0"/>
        <w:spacing w:line="400" w:lineRule="exact"/>
        <w:ind w:firstLine="115" w:firstLineChars="50"/>
        <w:rPr>
          <w:rFonts w:ascii="宋体" w:hAnsi="宋体" w:cs="宋体"/>
          <w:color w:val="auto"/>
          <w:kern w:val="0"/>
          <w:sz w:val="23"/>
          <w:szCs w:val="23"/>
          <w:highlight w:val="none"/>
        </w:rPr>
      </w:pPr>
      <w:r>
        <w:rPr>
          <w:rFonts w:hint="eastAsia" w:ascii="宋体" w:hAnsi="宋体" w:cs="宋体"/>
          <w:color w:val="auto"/>
          <w:kern w:val="0"/>
          <w:sz w:val="23"/>
          <w:szCs w:val="23"/>
          <w:highlight w:val="none"/>
        </w:rPr>
        <w:t xml:space="preserve">年 月 日 </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7</w:t>
      </w:r>
      <w:r>
        <w:rPr>
          <w:rFonts w:hint="eastAsia" w:ascii="宋体" w:hAnsi="宋体" w:cs="宋体"/>
          <w:b/>
          <w:color w:val="auto"/>
          <w:sz w:val="24"/>
          <w:szCs w:val="24"/>
          <w:highlight w:val="none"/>
        </w:rPr>
        <w:t>、依法缴纳税收和社会保障资金的良好记录</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缴纳税收的证明材料，指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缴纳增值税和企业所得税两种缴纳凭据；本项目</w:t>
      </w:r>
      <w:r>
        <w:rPr>
          <w:rFonts w:hint="eastAsia" w:ascii="宋体" w:hAnsi="宋体" w:cs="宋体"/>
          <w:color w:val="auto"/>
          <w:sz w:val="24"/>
          <w:szCs w:val="24"/>
          <w:highlight w:val="none"/>
          <w:lang w:eastAsia="zh-CN"/>
        </w:rPr>
        <w:t>开标</w:t>
      </w:r>
      <w:r>
        <w:rPr>
          <w:rFonts w:hint="eastAsia" w:ascii="宋体" w:hAnsi="宋体" w:cs="宋体"/>
          <w:color w:val="auto"/>
          <w:sz w:val="24"/>
          <w:szCs w:val="24"/>
          <w:highlight w:val="none"/>
        </w:rPr>
        <w:t xml:space="preserve">前6个月内（至少提供1个月）缴纳税收的凭据（完税证、缴款书、印花税票、银行代扣（代缴）转账凭证等均可）；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依法缴纳社会保障资金的证明材料：本项目</w:t>
      </w:r>
      <w:r>
        <w:rPr>
          <w:rFonts w:hint="eastAsia" w:ascii="宋体" w:hAnsi="宋体" w:cs="宋体"/>
          <w:color w:val="auto"/>
          <w:sz w:val="24"/>
          <w:szCs w:val="24"/>
          <w:highlight w:val="none"/>
          <w:lang w:eastAsia="zh-CN"/>
        </w:rPr>
        <w:t>开标</w:t>
      </w:r>
      <w:r>
        <w:rPr>
          <w:rFonts w:hint="eastAsia" w:ascii="宋体" w:hAnsi="宋体" w:cs="宋体"/>
          <w:color w:val="auto"/>
          <w:sz w:val="24"/>
          <w:szCs w:val="24"/>
          <w:highlight w:val="none"/>
        </w:rPr>
        <w:t xml:space="preserve">前 6个月内（至少提供1个月）缴纳社会保险的凭据（专用收据或社会保险交纳清单）；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为其他组织或自然人的，也需要按此项规定提供缴纳税收的凭据和交纳社会保险的凭据。如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的社会保险为委托第三方代缴，还需同时提供</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与第三方服务机构签署的服务合同（合同中应明确写明第三方为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代缴其社会保险）。</w:t>
      </w:r>
    </w:p>
    <w:p>
      <w:pPr>
        <w:pStyle w:val="2"/>
        <w:rPr>
          <w:color w:val="auto"/>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、前三年内在经营活动中没有重大违法记录的书面声明：</w:t>
      </w:r>
    </w:p>
    <w:p>
      <w:pPr>
        <w:pStyle w:val="200"/>
        <w:adjustRightInd w:val="0"/>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格式：</w:t>
      </w:r>
    </w:p>
    <w:p>
      <w:pPr>
        <w:pStyle w:val="200"/>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pPr>
        <w:pStyle w:val="200"/>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项目名称、编号）投标，并郑重声明，我方参加本项目政府采购活动前三年内无重大违法记录，符合《中华人民共和国政府采购法》规定的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条件。若贵方在本项目采购过程中发现我方政府采购活动前三年内有重大违法记录，我方将无条件退出本项目的投标，并承担因此引起的一切后果。我方对此声明负全部法律责任。</w:t>
      </w:r>
    </w:p>
    <w:p>
      <w:pPr>
        <w:pStyle w:val="200"/>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pPr>
        <w:pStyle w:val="200"/>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（盖单位章）：</w:t>
      </w:r>
    </w:p>
    <w:p>
      <w:pPr>
        <w:pStyle w:val="200"/>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法定代表人（负责人、自然人）或其委托代理人签字：</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9、拒绝列入失信被执行人、</w:t>
      </w:r>
      <w:r>
        <w:rPr>
          <w:rFonts w:hint="eastAsia" w:ascii="宋体" w:hAnsi="宋体" w:cs="宋体"/>
          <w:b/>
          <w:color w:val="auto"/>
          <w:sz w:val="24"/>
          <w:szCs w:val="24"/>
          <w:highlight w:val="none"/>
          <w:lang w:eastAsia="zh-CN"/>
        </w:rPr>
        <w:t>重大税收违法失信主体</w:t>
      </w:r>
      <w:r>
        <w:rPr>
          <w:rFonts w:hint="eastAsia" w:ascii="宋体" w:hAnsi="宋体" w:cs="宋体"/>
          <w:b/>
          <w:color w:val="auto"/>
          <w:sz w:val="24"/>
          <w:szCs w:val="24"/>
          <w:highlight w:val="none"/>
        </w:rPr>
        <w:t>、政府采购严重违法失信行为记录名单及及其他不符合规定条件的</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未被列入“信用中国”网站(www.creditchina.gov.cn)“记录失信被执行人或</w:t>
      </w:r>
      <w:r>
        <w:rPr>
          <w:rFonts w:hint="eastAsia" w:ascii="宋体" w:hAnsi="宋体" w:cs="宋体"/>
          <w:b/>
          <w:color w:val="auto"/>
          <w:sz w:val="24"/>
          <w:szCs w:val="24"/>
          <w:highlight w:val="none"/>
          <w:lang w:eastAsia="zh-CN"/>
        </w:rPr>
        <w:t>重大税收违法失信主体</w:t>
      </w:r>
      <w:r>
        <w:rPr>
          <w:rFonts w:hint="eastAsia" w:ascii="宋体" w:hAnsi="宋体" w:cs="宋体"/>
          <w:b/>
          <w:color w:val="auto"/>
          <w:sz w:val="24"/>
          <w:szCs w:val="24"/>
          <w:highlight w:val="none"/>
        </w:rPr>
        <w:t>或政府采购严重违法失信行为”记录名单；未处于中国政府采购网(www.ccgp.gov.cn)“政府采购严重违法失信行为信息记录”中的禁止参加政府采购活动 期间（以采购代理机构于开标当天在“信用中国”网站（www.creditchina.gov.cn） 及中国政府采购网(www.ccgp.gov.cn)查询结果为准，如相关失信记录已失效，</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需提供相关证明资料）。</w:t>
      </w:r>
    </w:p>
    <w:p>
      <w:pPr>
        <w:adjustRightInd w:val="0"/>
        <w:snapToGrid w:val="0"/>
        <w:spacing w:line="400" w:lineRule="exact"/>
        <w:jc w:val="left"/>
        <w:rPr>
          <w:rFonts w:hint="eastAsia"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已取得的各种有效认证证书、政府部门（企业）或第三方权威鉴定机构出具的信用等级证书或证明复印件 (如有)。</w:t>
      </w:r>
    </w:p>
    <w:p>
      <w:pPr>
        <w:adjustRightInd w:val="0"/>
        <w:snapToGrid w:val="0"/>
        <w:spacing w:line="400" w:lineRule="exact"/>
        <w:jc w:val="left"/>
        <w:rPr>
          <w:rFonts w:ascii="宋体" w:hAnsi="宋体" w:cs="宋体"/>
          <w:b/>
          <w:color w:val="auto"/>
          <w:sz w:val="24"/>
          <w:szCs w:val="24"/>
          <w:highlight w:val="none"/>
        </w:rPr>
      </w:pPr>
    </w:p>
    <w:p>
      <w:pPr>
        <w:widowControl/>
        <w:snapToGrid w:val="0"/>
        <w:spacing w:line="400" w:lineRule="exact"/>
        <w:jc w:val="left"/>
        <w:rPr>
          <w:rFonts w:ascii="宋体" w:hAnsi="宋体" w:cs="宋体"/>
          <w:b/>
          <w:bCs/>
          <w:color w:val="auto"/>
          <w:sz w:val="24"/>
          <w:szCs w:val="24"/>
          <w:highlight w:val="none"/>
        </w:rPr>
      </w:pPr>
    </w:p>
    <w:p>
      <w:pPr>
        <w:adjustRightInd w:val="0"/>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11</w:t>
      </w:r>
      <w:r>
        <w:rPr>
          <w:rFonts w:hint="eastAsia" w:ascii="宋体" w:hAnsi="宋体" w:cs="宋体"/>
          <w:b/>
          <w:color w:val="auto"/>
          <w:sz w:val="24"/>
          <w:szCs w:val="24"/>
          <w:highlight w:val="none"/>
        </w:rPr>
        <w:t>、20</w:t>
      </w:r>
      <w:r>
        <w:rPr>
          <w:rFonts w:hint="eastAsia" w:ascii="宋体" w:hAnsi="宋体" w:cs="宋体"/>
          <w:b/>
          <w:color w:val="auto"/>
          <w:sz w:val="24"/>
          <w:szCs w:val="24"/>
          <w:highlight w:val="none"/>
          <w:lang w:val="en-US" w:eastAsia="zh-CN"/>
        </w:rPr>
        <w:t>21</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lang w:val="en-US" w:eastAsia="zh-CN"/>
        </w:rPr>
        <w:t>01</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lang w:val="en-US" w:eastAsia="zh-CN"/>
        </w:rPr>
        <w:t>0</w:t>
      </w:r>
      <w:r>
        <w:rPr>
          <w:rFonts w:hint="eastAsia" w:ascii="宋体" w:hAnsi="宋体" w:cs="宋体"/>
          <w:b/>
          <w:color w:val="auto"/>
          <w:sz w:val="24"/>
          <w:szCs w:val="24"/>
          <w:highlight w:val="none"/>
        </w:rPr>
        <w:t>1日以来</w:t>
      </w:r>
      <w:r>
        <w:rPr>
          <w:rFonts w:hint="eastAsia" w:ascii="宋体" w:hAnsi="宋体" w:cs="宋体"/>
          <w:b/>
          <w:color w:val="auto"/>
          <w:sz w:val="24"/>
          <w:szCs w:val="24"/>
          <w:highlight w:val="none"/>
          <w:lang w:val="en-US" w:eastAsia="zh-CN"/>
        </w:rPr>
        <w:t>同类</w:t>
      </w:r>
      <w:r>
        <w:rPr>
          <w:rFonts w:hint="eastAsia" w:ascii="宋体" w:hAnsi="宋体" w:cs="宋体"/>
          <w:b/>
          <w:color w:val="auto"/>
          <w:sz w:val="24"/>
          <w:szCs w:val="24"/>
          <w:highlight w:val="none"/>
        </w:rPr>
        <w:t>成功业绩</w:t>
      </w:r>
    </w:p>
    <w:p>
      <w:pPr>
        <w:adjustRightInd w:val="0"/>
        <w:snapToGrid w:val="0"/>
        <w:spacing w:line="400" w:lineRule="exact"/>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以签订合同时间为准，需提供</w:t>
      </w:r>
      <w:r>
        <w:rPr>
          <w:rFonts w:hint="eastAsia" w:ascii="宋体" w:hAnsi="宋体" w:cs="宋体"/>
          <w:color w:val="auto"/>
          <w:sz w:val="24"/>
          <w:szCs w:val="24"/>
          <w:highlight w:val="none"/>
          <w:lang w:eastAsia="zh-CN"/>
        </w:rPr>
        <w:t>中标（成交）通知书、</w:t>
      </w:r>
      <w:r>
        <w:rPr>
          <w:rFonts w:hint="eastAsia" w:ascii="宋体" w:hAnsi="宋体" w:cs="宋体"/>
          <w:color w:val="auto"/>
          <w:sz w:val="24"/>
          <w:szCs w:val="24"/>
          <w:highlight w:val="none"/>
        </w:rPr>
        <w:t>与最终用户合同复印件，复印件并加盖公章，如出现与事实不符等情况，将根据有关规定以“提供虚假材料谋取中标”予以处罚。</w:t>
      </w: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snapToGrid w:val="0"/>
        <w:spacing w:line="400" w:lineRule="exact"/>
        <w:rPr>
          <w:rFonts w:ascii="宋体" w:hAnsi="宋体" w:cs="宋体"/>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、政府采购政策扶持证明材料</w:t>
      </w:r>
    </w:p>
    <w:p>
      <w:pPr>
        <w:widowControl/>
        <w:snapToGrid w:val="0"/>
        <w:spacing w:before="240" w:after="240" w:line="400" w:lineRule="exact"/>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中小企业声明函（货物）</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本公司（联合体）郑重声明，根据关于《政府采购促进中小企业发展管理办法》的通知（财库〔2020〕46号）的规定，本公司（联合体）参加</w:t>
      </w:r>
      <w:r>
        <w:rPr>
          <w:rFonts w:hint="eastAsia" w:ascii="宋体" w:hAnsi="宋体" w:cs="宋体"/>
          <w:color w:val="auto"/>
          <w:kern w:val="0"/>
          <w:sz w:val="24"/>
          <w:szCs w:val="24"/>
          <w:highlight w:val="none"/>
          <w:u w:val="single"/>
        </w:rPr>
        <w:t>（单位名称）</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（招标文件中明确的所属行业）</w:t>
      </w:r>
      <w:r>
        <w:rPr>
          <w:rFonts w:hint="eastAsia"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，从业人员人，营业收入为万元，资产总额为万元，属于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（招标文件中明确的所属行业）</w:t>
      </w:r>
      <w:r>
        <w:rPr>
          <w:rFonts w:hint="eastAsia"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，从业人员人，营业收入为万元，资产总额为万元，属于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pPr>
        <w:widowControl/>
        <w:snapToGrid w:val="0"/>
        <w:spacing w:before="75" w:after="75" w:line="400" w:lineRule="exact"/>
        <w:ind w:firstLine="480" w:firstLineChars="200"/>
        <w:rPr>
          <w:rFonts w:ascii="宋体" w:hAnsi="宋体" w:cs="宋体"/>
          <w:color w:val="auto"/>
          <w:kern w:val="0"/>
          <w:sz w:val="24"/>
          <w:szCs w:val="24"/>
          <w:highlight w:val="none"/>
        </w:rPr>
      </w:pPr>
    </w:p>
    <w:p>
      <w:pPr>
        <w:widowControl/>
        <w:snapToGrid w:val="0"/>
        <w:spacing w:before="75" w:after="75" w:line="400" w:lineRule="exact"/>
        <w:ind w:firstLine="480" w:firstLineChars="200"/>
        <w:rPr>
          <w:rFonts w:ascii="宋体" w:hAnsi="宋体" w:cs="宋体"/>
          <w:color w:val="auto"/>
          <w:kern w:val="0"/>
          <w:sz w:val="24"/>
          <w:szCs w:val="24"/>
          <w:highlight w:val="none"/>
        </w:rPr>
      </w:pPr>
    </w:p>
    <w:p>
      <w:pPr>
        <w:widowControl/>
        <w:snapToGrid w:val="0"/>
        <w:spacing w:before="75" w:after="75" w:line="400" w:lineRule="exact"/>
        <w:ind w:firstLine="4677" w:firstLineChars="1949"/>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企业名称（盖章）：</w:t>
      </w:r>
    </w:p>
    <w:p>
      <w:pPr>
        <w:pStyle w:val="25"/>
        <w:snapToGrid w:val="0"/>
        <w:spacing w:before="156" w:after="156"/>
        <w:ind w:firstLine="4305" w:firstLineChars="2050"/>
        <w:rPr>
          <w:rFonts w:hAnsi="宋体" w:cs="宋体"/>
          <w:color w:val="auto"/>
          <w:highlight w:val="none"/>
        </w:rPr>
      </w:pPr>
      <w:r>
        <w:rPr>
          <w:rFonts w:hint="eastAsia" w:hAnsi="宋体" w:cs="宋体"/>
          <w:color w:val="auto"/>
          <w:kern w:val="0"/>
          <w:highlight w:val="none"/>
        </w:rPr>
        <w:t>日期：</w:t>
      </w:r>
    </w:p>
    <w:p>
      <w:pPr>
        <w:snapToGrid w:val="0"/>
        <w:spacing w:line="400" w:lineRule="exact"/>
        <w:ind w:firstLine="480" w:firstLineChars="200"/>
        <w:rPr>
          <w:rFonts w:hint="eastAsia" w:ascii="宋体" w:hAnsi="宋体" w:cs="宋体"/>
          <w:color w:val="auto"/>
          <w:sz w:val="24"/>
          <w:highlight w:val="none"/>
        </w:rPr>
      </w:pPr>
    </w:p>
    <w:p>
      <w:pPr>
        <w:snapToGri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中小企业参加政府采购活动，应当出具本办法规定的《中小企业声明函》，须提供制造商属于小微企业的声明函,否则不得享受相关中小企业扶持政策。任何单位和个人不得要求供应商提供《中小企业声明函》之外的中小企业身份证明文件。</w:t>
      </w:r>
    </w:p>
    <w:p>
      <w:pPr>
        <w:tabs>
          <w:tab w:val="left" w:pos="3777"/>
          <w:tab w:val="center" w:pos="4819"/>
        </w:tabs>
        <w:snapToGrid w:val="0"/>
        <w:spacing w:line="400" w:lineRule="exact"/>
        <w:ind w:firstLine="3324" w:firstLineChars="1385"/>
        <w:rPr>
          <w:rFonts w:ascii="宋体" w:hAnsi="宋体" w:cs="宋体"/>
          <w:b/>
          <w:color w:val="auto"/>
          <w:sz w:val="24"/>
          <w:szCs w:val="24"/>
          <w:highlight w:val="none"/>
        </w:rPr>
      </w:pPr>
    </w:p>
    <w:p>
      <w:pPr>
        <w:tabs>
          <w:tab w:val="left" w:pos="3777"/>
          <w:tab w:val="center" w:pos="4819"/>
        </w:tabs>
        <w:snapToGrid w:val="0"/>
        <w:spacing w:line="400" w:lineRule="exact"/>
        <w:ind w:firstLine="3324" w:firstLineChars="1385"/>
        <w:rPr>
          <w:rFonts w:ascii="宋体" w:hAnsi="宋体" w:cs="宋体"/>
          <w:b/>
          <w:color w:val="auto"/>
          <w:sz w:val="24"/>
          <w:szCs w:val="24"/>
          <w:highlight w:val="none"/>
        </w:rPr>
      </w:pPr>
    </w:p>
    <w:p>
      <w:pPr>
        <w:tabs>
          <w:tab w:val="left" w:pos="3777"/>
          <w:tab w:val="center" w:pos="4819"/>
        </w:tabs>
        <w:snapToGrid w:val="0"/>
        <w:spacing w:line="400" w:lineRule="exact"/>
        <w:ind w:firstLine="3324" w:firstLineChars="1385"/>
        <w:rPr>
          <w:rFonts w:ascii="宋体" w:hAnsi="宋体" w:cs="宋体"/>
          <w:b/>
          <w:color w:val="auto"/>
          <w:sz w:val="24"/>
          <w:szCs w:val="24"/>
          <w:highlight w:val="none"/>
        </w:rPr>
      </w:pPr>
    </w:p>
    <w:p>
      <w:pPr>
        <w:tabs>
          <w:tab w:val="left" w:pos="3777"/>
          <w:tab w:val="center" w:pos="4819"/>
        </w:tabs>
        <w:snapToGrid w:val="0"/>
        <w:spacing w:line="400" w:lineRule="exact"/>
        <w:ind w:firstLine="3324" w:firstLineChars="1385"/>
        <w:rPr>
          <w:rFonts w:ascii="宋体" w:hAnsi="宋体" w:cs="宋体"/>
          <w:b/>
          <w:color w:val="auto"/>
          <w:sz w:val="24"/>
          <w:szCs w:val="24"/>
          <w:highlight w:val="none"/>
        </w:rPr>
      </w:pPr>
    </w:p>
    <w:p>
      <w:pPr>
        <w:tabs>
          <w:tab w:val="left" w:pos="3777"/>
          <w:tab w:val="center" w:pos="4819"/>
        </w:tabs>
        <w:snapToGrid w:val="0"/>
        <w:spacing w:line="400" w:lineRule="exact"/>
        <w:ind w:firstLine="3324" w:firstLineChars="1385"/>
        <w:rPr>
          <w:rFonts w:ascii="宋体" w:hAnsi="宋体" w:cs="宋体"/>
          <w:b/>
          <w:color w:val="auto"/>
          <w:sz w:val="24"/>
          <w:szCs w:val="24"/>
          <w:highlight w:val="none"/>
        </w:rPr>
      </w:pPr>
    </w:p>
    <w:p>
      <w:pPr>
        <w:rPr>
          <w:rFonts w:ascii="宋体" w:hAnsi="宋体" w:cs="宋体"/>
          <w:b/>
          <w:color w:val="auto"/>
          <w:sz w:val="24"/>
          <w:szCs w:val="24"/>
          <w:highlight w:val="none"/>
        </w:rPr>
      </w:pPr>
    </w:p>
    <w:p>
      <w:pPr>
        <w:tabs>
          <w:tab w:val="left" w:pos="3777"/>
          <w:tab w:val="center" w:pos="4819"/>
        </w:tabs>
        <w:snapToGrid w:val="0"/>
        <w:spacing w:line="400" w:lineRule="exact"/>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监狱企业</w:t>
      </w:r>
      <w:r>
        <w:rPr>
          <w:rFonts w:hint="eastAsia" w:ascii="宋体" w:hAnsi="宋体" w:cs="宋体"/>
          <w:b/>
          <w:color w:val="auto"/>
          <w:sz w:val="24"/>
          <w:szCs w:val="24"/>
          <w:highlight w:val="none"/>
          <w:lang w:eastAsia="zh-CN"/>
        </w:rPr>
        <w:t>的证明文件</w:t>
      </w:r>
    </w:p>
    <w:p>
      <w:pPr>
        <w:pStyle w:val="25"/>
        <w:snapToGrid w:val="0"/>
        <w:spacing w:before="156" w:after="156"/>
        <w:ind w:firstLine="420" w:firstLineChars="200"/>
        <w:jc w:val="left"/>
        <w:rPr>
          <w:rFonts w:hAnsi="宋体" w:cs="宋体"/>
          <w:b/>
          <w:color w:val="auto"/>
          <w:highlight w:val="none"/>
          <w:lang w:val="zh-CN"/>
        </w:rPr>
      </w:pPr>
      <w:r>
        <w:rPr>
          <w:rFonts w:hint="eastAsia" w:hAnsi="宋体" w:cs="宋体"/>
          <w:b/>
          <w:color w:val="auto"/>
          <w:highlight w:val="none"/>
          <w:lang w:val="zh-CN"/>
        </w:rPr>
        <w:t>注：应当提供由省级以上监狱管理局、戒毒管理局（含新疆生产建设兵团）出具的属于监狱企业的证明文件。</w:t>
      </w:r>
    </w:p>
    <w:p>
      <w:pPr>
        <w:pStyle w:val="25"/>
        <w:snapToGrid w:val="0"/>
        <w:spacing w:before="156" w:after="156"/>
        <w:ind w:firstLine="420" w:firstLineChars="200"/>
        <w:jc w:val="center"/>
        <w:rPr>
          <w:rFonts w:hAnsi="宋体" w:cs="宋体"/>
          <w:b/>
          <w:color w:val="auto"/>
          <w:highlight w:val="none"/>
          <w:lang w:val="zh-CN"/>
        </w:rPr>
      </w:pPr>
    </w:p>
    <w:p>
      <w:pPr>
        <w:pStyle w:val="25"/>
        <w:snapToGrid w:val="0"/>
        <w:spacing w:before="156" w:after="156"/>
        <w:ind w:firstLine="560" w:firstLineChars="200"/>
        <w:jc w:val="center"/>
        <w:rPr>
          <w:rFonts w:hAnsi="宋体" w:cs="宋体"/>
          <w:b/>
          <w:color w:val="auto"/>
          <w:sz w:val="28"/>
          <w:szCs w:val="28"/>
          <w:highlight w:val="none"/>
          <w:lang w:val="zh-CN"/>
        </w:rPr>
      </w:pPr>
    </w:p>
    <w:p>
      <w:pPr>
        <w:pStyle w:val="25"/>
        <w:snapToGrid w:val="0"/>
        <w:spacing w:before="156" w:after="156"/>
        <w:ind w:firstLine="560" w:firstLineChars="200"/>
        <w:jc w:val="center"/>
        <w:rPr>
          <w:rFonts w:hAnsi="宋体" w:cs="宋体"/>
          <w:b/>
          <w:color w:val="auto"/>
          <w:sz w:val="28"/>
          <w:szCs w:val="28"/>
          <w:highlight w:val="none"/>
          <w:lang w:val="zh-CN"/>
        </w:rPr>
      </w:pPr>
    </w:p>
    <w:p>
      <w:pPr>
        <w:pStyle w:val="25"/>
        <w:snapToGrid w:val="0"/>
        <w:spacing w:before="156" w:after="156"/>
        <w:ind w:firstLine="560" w:firstLineChars="200"/>
        <w:jc w:val="center"/>
        <w:rPr>
          <w:rFonts w:hAnsi="宋体" w:cs="宋体"/>
          <w:b/>
          <w:color w:val="auto"/>
          <w:sz w:val="28"/>
          <w:szCs w:val="28"/>
          <w:highlight w:val="none"/>
          <w:lang w:val="zh-CN"/>
        </w:rPr>
      </w:pPr>
    </w:p>
    <w:p>
      <w:pPr>
        <w:pStyle w:val="25"/>
        <w:snapToGrid w:val="0"/>
        <w:spacing w:before="156" w:after="156"/>
        <w:ind w:firstLine="560" w:firstLineChars="200"/>
        <w:jc w:val="center"/>
        <w:rPr>
          <w:rFonts w:hAnsi="宋体" w:cs="宋体"/>
          <w:b/>
          <w:color w:val="auto"/>
          <w:sz w:val="28"/>
          <w:szCs w:val="28"/>
          <w:highlight w:val="none"/>
          <w:lang w:val="zh-CN"/>
        </w:rPr>
      </w:pPr>
    </w:p>
    <w:p>
      <w:pPr>
        <w:pStyle w:val="25"/>
        <w:snapToGrid w:val="0"/>
        <w:spacing w:before="156" w:after="156"/>
        <w:ind w:firstLine="560" w:firstLineChars="200"/>
        <w:jc w:val="center"/>
        <w:rPr>
          <w:rFonts w:hAnsi="宋体" w:cs="宋体"/>
          <w:b/>
          <w:color w:val="auto"/>
          <w:sz w:val="28"/>
          <w:szCs w:val="28"/>
          <w:highlight w:val="none"/>
          <w:lang w:val="zh-CN"/>
        </w:rPr>
      </w:pPr>
    </w:p>
    <w:p>
      <w:pPr>
        <w:pStyle w:val="25"/>
        <w:snapToGrid w:val="0"/>
        <w:spacing w:before="156" w:after="156"/>
        <w:ind w:firstLine="560" w:firstLineChars="200"/>
        <w:jc w:val="center"/>
        <w:rPr>
          <w:rFonts w:hAnsi="宋体" w:cs="宋体"/>
          <w:b/>
          <w:color w:val="auto"/>
          <w:sz w:val="28"/>
          <w:szCs w:val="28"/>
          <w:highlight w:val="none"/>
          <w:lang w:val="zh-CN"/>
        </w:rPr>
      </w:pPr>
    </w:p>
    <w:p>
      <w:pPr>
        <w:pStyle w:val="25"/>
        <w:snapToGrid w:val="0"/>
        <w:spacing w:before="156" w:after="156"/>
        <w:ind w:firstLine="560" w:firstLineChars="200"/>
        <w:jc w:val="center"/>
        <w:rPr>
          <w:rFonts w:hAnsi="宋体" w:cs="宋体"/>
          <w:b/>
          <w:color w:val="auto"/>
          <w:sz w:val="28"/>
          <w:szCs w:val="28"/>
          <w:highlight w:val="none"/>
          <w:lang w:val="zh-CN"/>
        </w:rPr>
      </w:pPr>
    </w:p>
    <w:p>
      <w:pPr>
        <w:pStyle w:val="25"/>
        <w:snapToGrid w:val="0"/>
        <w:spacing w:before="156" w:after="156"/>
        <w:ind w:firstLine="560" w:firstLineChars="200"/>
        <w:jc w:val="center"/>
        <w:rPr>
          <w:rFonts w:hAnsi="宋体" w:cs="宋体"/>
          <w:b/>
          <w:color w:val="auto"/>
          <w:sz w:val="28"/>
          <w:szCs w:val="28"/>
          <w:highlight w:val="none"/>
          <w:lang w:val="zh-CN"/>
        </w:rPr>
      </w:pPr>
    </w:p>
    <w:p>
      <w:pPr>
        <w:pStyle w:val="25"/>
        <w:snapToGrid w:val="0"/>
        <w:spacing w:before="156" w:after="156"/>
        <w:ind w:firstLine="560" w:firstLineChars="200"/>
        <w:jc w:val="center"/>
        <w:rPr>
          <w:rFonts w:hAnsi="宋体" w:cs="宋体"/>
          <w:b/>
          <w:color w:val="auto"/>
          <w:sz w:val="28"/>
          <w:szCs w:val="28"/>
          <w:highlight w:val="none"/>
          <w:lang w:val="zh-CN"/>
        </w:rPr>
      </w:pPr>
    </w:p>
    <w:p>
      <w:pPr>
        <w:pStyle w:val="25"/>
        <w:snapToGrid w:val="0"/>
        <w:spacing w:before="156" w:after="156"/>
        <w:ind w:firstLine="560" w:firstLineChars="200"/>
        <w:jc w:val="left"/>
        <w:rPr>
          <w:rFonts w:hAnsi="宋体" w:cs="宋体"/>
          <w:b/>
          <w:color w:val="auto"/>
          <w:sz w:val="28"/>
          <w:szCs w:val="28"/>
          <w:highlight w:val="none"/>
          <w:lang w:val="zh-CN"/>
        </w:rPr>
      </w:pPr>
    </w:p>
    <w:p>
      <w:pPr>
        <w:widowControl/>
        <w:snapToGrid w:val="0"/>
        <w:spacing w:line="400" w:lineRule="exact"/>
        <w:jc w:val="center"/>
        <w:rPr>
          <w:rFonts w:ascii="宋体" w:hAnsi="宋体" w:cs="宋体"/>
          <w:b/>
          <w:color w:val="auto"/>
          <w:spacing w:val="6"/>
          <w:sz w:val="32"/>
          <w:szCs w:val="32"/>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残疾人</w:t>
      </w:r>
      <w:bookmarkStart w:id="118" w:name="OLE_LINK14"/>
      <w:bookmarkStart w:id="119" w:name="OLE_LINK13"/>
      <w:r>
        <w:rPr>
          <w:rFonts w:hint="eastAsia" w:ascii="宋体" w:hAnsi="宋体" w:cs="宋体"/>
          <w:b/>
          <w:color w:val="auto"/>
          <w:sz w:val="24"/>
          <w:szCs w:val="24"/>
          <w:highlight w:val="none"/>
        </w:rPr>
        <w:t>福利性单位声明函</w:t>
      </w:r>
    </w:p>
    <w:p>
      <w:pPr>
        <w:snapToGrid w:val="0"/>
        <w:spacing w:line="400" w:lineRule="exact"/>
        <w:ind w:firstLine="504" w:firstLineChars="200"/>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w:t>
      </w:r>
      <w:r>
        <w:rPr>
          <w:rFonts w:hint="eastAsia" w:ascii="宋体" w:hAnsi="宋体" w:cs="宋体"/>
          <w:color w:val="auto"/>
          <w:sz w:val="24"/>
          <w:highlight w:val="none"/>
        </w:rPr>
        <w:t>残疾人福</w:t>
      </w:r>
      <w:bookmarkEnd w:id="118"/>
      <w:bookmarkEnd w:id="119"/>
      <w:r>
        <w:rPr>
          <w:rFonts w:hint="eastAsia" w:ascii="宋体" w:hAnsi="宋体" w:cs="宋体"/>
          <w:color w:val="auto"/>
          <w:sz w:val="24"/>
          <w:highlight w:val="none"/>
        </w:rPr>
        <w:t>利性单位适用</w:t>
      </w:r>
      <w:r>
        <w:rPr>
          <w:rFonts w:hint="eastAsia" w:ascii="宋体" w:hAnsi="宋体" w:cs="宋体"/>
          <w:color w:val="auto"/>
          <w:spacing w:val="6"/>
          <w:sz w:val="24"/>
          <w:szCs w:val="24"/>
          <w:highlight w:val="none"/>
        </w:rPr>
        <w:t>）</w:t>
      </w:r>
    </w:p>
    <w:p>
      <w:pPr>
        <w:snapToGrid w:val="0"/>
        <w:spacing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5"/>
        <w:snapToGrid w:val="0"/>
        <w:spacing w:before="156" w:after="156"/>
        <w:ind w:firstLine="504" w:firstLineChars="200"/>
        <w:jc w:val="center"/>
        <w:rPr>
          <w:rFonts w:hAnsi="宋体" w:cs="宋体"/>
          <w:color w:val="auto"/>
          <w:spacing w:val="6"/>
          <w:sz w:val="24"/>
          <w:szCs w:val="24"/>
          <w:highlight w:val="none"/>
        </w:rPr>
      </w:pPr>
      <w:r>
        <w:rPr>
          <w:rFonts w:hint="eastAsia" w:hAnsi="宋体" w:cs="宋体"/>
          <w:color w:val="auto"/>
          <w:spacing w:val="6"/>
          <w:sz w:val="24"/>
          <w:szCs w:val="24"/>
          <w:highlight w:val="none"/>
        </w:rPr>
        <w:t>本单位对上述声明的真实性负责。如有虚假，将依法承担相应责任。</w:t>
      </w:r>
    </w:p>
    <w:p>
      <w:pPr>
        <w:pStyle w:val="25"/>
        <w:snapToGrid w:val="0"/>
        <w:spacing w:before="156" w:after="156"/>
        <w:ind w:firstLine="444" w:firstLineChars="200"/>
        <w:jc w:val="center"/>
        <w:rPr>
          <w:rFonts w:hAnsi="宋体" w:cs="宋体"/>
          <w:color w:val="auto"/>
          <w:spacing w:val="6"/>
          <w:highlight w:val="none"/>
        </w:rPr>
      </w:pPr>
    </w:p>
    <w:p>
      <w:pPr>
        <w:pStyle w:val="25"/>
        <w:snapToGrid w:val="0"/>
        <w:spacing w:before="156" w:after="156"/>
        <w:ind w:firstLine="480" w:firstLineChars="200"/>
        <w:rPr>
          <w:rFonts w:hAnsi="宋体" w:cs="宋体"/>
          <w:color w:val="auto"/>
          <w:sz w:val="24"/>
          <w:szCs w:val="24"/>
          <w:highlight w:val="none"/>
        </w:rPr>
      </w:pPr>
      <w:r>
        <w:rPr>
          <w:rFonts w:hint="eastAsia" w:hAnsi="宋体" w:cs="宋体"/>
          <w:color w:val="auto"/>
          <w:sz w:val="24"/>
          <w:szCs w:val="24"/>
          <w:highlight w:val="none"/>
        </w:rPr>
        <w:t>供应商名称(公章)：____________</w:t>
      </w:r>
      <w:r>
        <w:rPr>
          <w:rFonts w:hint="eastAsia" w:hAnsi="宋体" w:cs="宋体"/>
          <w:color w:val="auto"/>
          <w:sz w:val="24"/>
          <w:szCs w:val="24"/>
          <w:highlight w:val="none"/>
        </w:rPr>
        <w:tab/>
      </w:r>
      <w:r>
        <w:rPr>
          <w:rFonts w:hint="eastAsia" w:hAnsi="宋体" w:cs="宋体"/>
          <w:color w:val="auto"/>
          <w:sz w:val="24"/>
          <w:szCs w:val="24"/>
          <w:highlight w:val="none"/>
        </w:rPr>
        <w:tab/>
      </w:r>
    </w:p>
    <w:p>
      <w:pPr>
        <w:pStyle w:val="25"/>
        <w:snapToGrid w:val="0"/>
        <w:spacing w:before="156" w:after="156"/>
        <w:ind w:firstLine="480" w:firstLineChars="200"/>
        <w:rPr>
          <w:rFonts w:hAnsi="宋体" w:cs="宋体"/>
          <w:color w:val="auto"/>
          <w:sz w:val="24"/>
          <w:szCs w:val="24"/>
          <w:highlight w:val="none"/>
        </w:rPr>
      </w:pPr>
      <w:r>
        <w:rPr>
          <w:rFonts w:hint="eastAsia" w:hAnsi="宋体" w:cs="宋体"/>
          <w:color w:val="auto"/>
          <w:sz w:val="24"/>
          <w:szCs w:val="24"/>
          <w:highlight w:val="none"/>
        </w:rPr>
        <w:t>日期：________________________</w:t>
      </w:r>
    </w:p>
    <w:p>
      <w:pPr>
        <w:pStyle w:val="25"/>
        <w:snapToGrid w:val="0"/>
        <w:spacing w:before="156" w:after="156"/>
        <w:jc w:val="center"/>
        <w:rPr>
          <w:rFonts w:hint="eastAsia" w:hAnsi="宋体" w:cs="宋体"/>
          <w:b/>
          <w:color w:val="auto"/>
          <w:highlight w:val="none"/>
        </w:rPr>
      </w:pPr>
      <w:r>
        <w:rPr>
          <w:rFonts w:hint="eastAsia" w:hAnsi="宋体" w:cs="宋体"/>
          <w:color w:val="auto"/>
          <w:highlight w:val="none"/>
        </w:rPr>
        <w:br w:type="page"/>
      </w:r>
      <w:r>
        <w:rPr>
          <w:rFonts w:hint="eastAsia" w:ascii="宋体" w:hAnsi="宋体" w:eastAsia="宋体" w:cs="宋体"/>
          <w:b/>
          <w:color w:val="auto"/>
          <w:kern w:val="2"/>
          <w:sz w:val="24"/>
          <w:szCs w:val="24"/>
          <w:highlight w:val="none"/>
          <w:lang w:val="en-US" w:eastAsia="zh-CN" w:bidi="ar-SA"/>
        </w:rPr>
        <w:t>节能、环境标志产品证明文件</w:t>
      </w:r>
    </w:p>
    <w:p>
      <w:pPr>
        <w:pStyle w:val="202"/>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3）节能产品明细表</w:t>
      </w:r>
    </w:p>
    <w:p>
      <w:pPr>
        <w:pStyle w:val="201"/>
        <w:snapToGrid w:val="0"/>
        <w:spacing w:line="400" w:lineRule="exact"/>
        <w:ind w:left="0" w:leftChars="0" w:firstLine="0" w:firstLineChars="0"/>
        <w:rPr>
          <w:rFonts w:hint="eastAsia" w:ascii="宋体" w:hAnsi="宋体" w:cs="宋体"/>
          <w:color w:val="auto"/>
          <w:highlight w:val="none"/>
        </w:rPr>
      </w:pPr>
      <w:r>
        <w:rPr>
          <w:rFonts w:hint="eastAsia" w:ascii="宋体" w:hAnsi="宋体" w:cs="宋体"/>
          <w:color w:val="auto"/>
          <w:highlight w:val="none"/>
        </w:rPr>
        <w:t>项目编号、包号</w:t>
      </w:r>
      <w:r>
        <w:rPr>
          <w:rFonts w:hint="eastAsia" w:ascii="宋体" w:hAnsi="宋体" w:cs="宋体"/>
          <w:color w:val="auto"/>
          <w:highlight w:val="none"/>
          <w:lang w:eastAsia="zh-CN"/>
        </w:rPr>
        <w:t>（如有）</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价格单位：元</w:t>
      </w:r>
    </w:p>
    <w:tbl>
      <w:tblPr>
        <w:tblStyle w:val="39"/>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324"/>
        <w:gridCol w:w="1161"/>
        <w:gridCol w:w="1288"/>
        <w:gridCol w:w="1556"/>
        <w:gridCol w:w="1799"/>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61" w:type="dxa"/>
            <w:tcBorders>
              <w:top w:val="single" w:color="auto" w:sz="12" w:space="0"/>
              <w:left w:val="single" w:color="auto" w:sz="12" w:space="0"/>
            </w:tcBorders>
            <w:noWrap w:val="0"/>
            <w:vAlign w:val="center"/>
          </w:tcPr>
          <w:p>
            <w:pPr>
              <w:pStyle w:val="202"/>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324" w:type="dxa"/>
            <w:tcBorders>
              <w:top w:val="single" w:color="auto" w:sz="12" w:space="0"/>
            </w:tcBorders>
            <w:noWrap w:val="0"/>
            <w:vAlign w:val="center"/>
          </w:tcPr>
          <w:p>
            <w:pPr>
              <w:pStyle w:val="202"/>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161" w:type="dxa"/>
            <w:tcBorders>
              <w:top w:val="single" w:color="auto" w:sz="12" w:space="0"/>
            </w:tcBorders>
            <w:noWrap w:val="0"/>
            <w:vAlign w:val="center"/>
          </w:tcPr>
          <w:p>
            <w:pPr>
              <w:pStyle w:val="202"/>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制造商</w:t>
            </w:r>
          </w:p>
        </w:tc>
        <w:tc>
          <w:tcPr>
            <w:tcW w:w="1288" w:type="dxa"/>
            <w:tcBorders>
              <w:top w:val="single" w:color="auto" w:sz="12" w:space="0"/>
            </w:tcBorders>
            <w:noWrap w:val="0"/>
            <w:vAlign w:val="center"/>
          </w:tcPr>
          <w:p>
            <w:pPr>
              <w:pStyle w:val="202"/>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产品型号</w:t>
            </w:r>
          </w:p>
        </w:tc>
        <w:tc>
          <w:tcPr>
            <w:tcW w:w="1556" w:type="dxa"/>
            <w:tcBorders>
              <w:top w:val="single" w:color="auto" w:sz="12" w:space="0"/>
            </w:tcBorders>
            <w:noWrap w:val="0"/>
            <w:vAlign w:val="center"/>
          </w:tcPr>
          <w:p>
            <w:pPr>
              <w:pStyle w:val="202"/>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节能标志认证证书号</w:t>
            </w:r>
          </w:p>
        </w:tc>
        <w:tc>
          <w:tcPr>
            <w:tcW w:w="1799" w:type="dxa"/>
            <w:tcBorders>
              <w:top w:val="single" w:color="auto" w:sz="12" w:space="0"/>
            </w:tcBorders>
            <w:noWrap w:val="0"/>
            <w:vAlign w:val="center"/>
          </w:tcPr>
          <w:p>
            <w:pPr>
              <w:pStyle w:val="202"/>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节能产品认证证书有效截止日期</w:t>
            </w:r>
          </w:p>
        </w:tc>
        <w:tc>
          <w:tcPr>
            <w:tcW w:w="928" w:type="dxa"/>
            <w:tcBorders>
              <w:top w:val="single" w:color="auto" w:sz="12" w:space="0"/>
              <w:right w:val="single" w:color="auto" w:sz="12" w:space="0"/>
            </w:tcBorders>
            <w:noWrap w:val="0"/>
            <w:vAlign w:val="center"/>
          </w:tcPr>
          <w:p>
            <w:pPr>
              <w:pStyle w:val="202"/>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1" w:type="dxa"/>
            <w:tcBorders>
              <w:left w:val="single" w:color="auto" w:sz="12" w:space="0"/>
            </w:tcBorders>
            <w:noWrap w:val="0"/>
            <w:vAlign w:val="center"/>
          </w:tcPr>
          <w:p>
            <w:pPr>
              <w:pStyle w:val="202"/>
              <w:snapToGrid w:val="0"/>
              <w:spacing w:line="400" w:lineRule="exact"/>
              <w:ind w:right="48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24"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161"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288"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556"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799"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928" w:type="dxa"/>
            <w:tcBorders>
              <w:right w:val="single" w:color="auto" w:sz="12" w:space="0"/>
            </w:tcBorders>
            <w:noWrap w:val="0"/>
            <w:vAlign w:val="center"/>
          </w:tcPr>
          <w:p>
            <w:pPr>
              <w:pStyle w:val="202"/>
              <w:snapToGrid w:val="0"/>
              <w:spacing w:line="400" w:lineRule="exact"/>
              <w:ind w:right="48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1" w:type="dxa"/>
            <w:tcBorders>
              <w:left w:val="single" w:color="auto" w:sz="12" w:space="0"/>
            </w:tcBorders>
            <w:noWrap w:val="0"/>
            <w:vAlign w:val="center"/>
          </w:tcPr>
          <w:p>
            <w:pPr>
              <w:pStyle w:val="202"/>
              <w:snapToGrid w:val="0"/>
              <w:spacing w:line="400" w:lineRule="exact"/>
              <w:ind w:right="48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324"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161"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288"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556"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799"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928" w:type="dxa"/>
            <w:tcBorders>
              <w:right w:val="single" w:color="auto" w:sz="12" w:space="0"/>
            </w:tcBorders>
            <w:noWrap w:val="0"/>
            <w:vAlign w:val="center"/>
          </w:tcPr>
          <w:p>
            <w:pPr>
              <w:pStyle w:val="202"/>
              <w:snapToGrid w:val="0"/>
              <w:spacing w:line="400" w:lineRule="exact"/>
              <w:ind w:right="48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1" w:type="dxa"/>
            <w:tcBorders>
              <w:left w:val="single" w:color="auto" w:sz="12" w:space="0"/>
            </w:tcBorders>
            <w:noWrap w:val="0"/>
            <w:vAlign w:val="center"/>
          </w:tcPr>
          <w:p>
            <w:pPr>
              <w:pStyle w:val="202"/>
              <w:snapToGrid w:val="0"/>
              <w:spacing w:line="400" w:lineRule="exact"/>
              <w:ind w:right="48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324" w:type="dxa"/>
            <w:noWrap w:val="0"/>
            <w:vAlign w:val="center"/>
          </w:tcPr>
          <w:p>
            <w:pPr>
              <w:pStyle w:val="202"/>
              <w:snapToGrid w:val="0"/>
              <w:spacing w:line="400" w:lineRule="exact"/>
              <w:ind w:right="480" w:firstLine="600" w:firstLineChars="25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161"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288"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556"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799" w:type="dxa"/>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928" w:type="dxa"/>
            <w:tcBorders>
              <w:right w:val="single" w:color="auto" w:sz="12" w:space="0"/>
            </w:tcBorders>
            <w:noWrap w:val="0"/>
            <w:vAlign w:val="center"/>
          </w:tcPr>
          <w:p>
            <w:pPr>
              <w:pStyle w:val="202"/>
              <w:snapToGrid w:val="0"/>
              <w:spacing w:line="400" w:lineRule="exact"/>
              <w:ind w:right="48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1" w:type="dxa"/>
            <w:tcBorders>
              <w:left w:val="single" w:color="auto" w:sz="12" w:space="0"/>
              <w:bottom w:val="single" w:color="auto" w:sz="12" w:space="0"/>
            </w:tcBorders>
            <w:noWrap w:val="0"/>
            <w:vAlign w:val="center"/>
          </w:tcPr>
          <w:p>
            <w:pPr>
              <w:pStyle w:val="202"/>
              <w:snapToGrid w:val="0"/>
              <w:spacing w:line="400" w:lineRule="exact"/>
              <w:ind w:right="48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324" w:type="dxa"/>
            <w:tcBorders>
              <w:bottom w:val="single" w:color="auto" w:sz="12" w:space="0"/>
            </w:tcBorders>
            <w:noWrap w:val="0"/>
            <w:vAlign w:val="center"/>
          </w:tcPr>
          <w:p>
            <w:pPr>
              <w:pStyle w:val="202"/>
              <w:snapToGrid w:val="0"/>
              <w:spacing w:line="400" w:lineRule="exact"/>
              <w:ind w:right="83"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合计</w:t>
            </w:r>
          </w:p>
        </w:tc>
        <w:tc>
          <w:tcPr>
            <w:tcW w:w="1161" w:type="dxa"/>
            <w:tcBorders>
              <w:bottom w:val="single" w:color="auto" w:sz="12" w:space="0"/>
            </w:tcBorders>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288" w:type="dxa"/>
            <w:tcBorders>
              <w:bottom w:val="single" w:color="auto" w:sz="12" w:space="0"/>
            </w:tcBorders>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556" w:type="dxa"/>
            <w:tcBorders>
              <w:bottom w:val="single" w:color="auto" w:sz="12" w:space="0"/>
            </w:tcBorders>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1799" w:type="dxa"/>
            <w:tcBorders>
              <w:bottom w:val="single" w:color="auto" w:sz="12" w:space="0"/>
            </w:tcBorders>
            <w:noWrap w:val="0"/>
            <w:vAlign w:val="center"/>
          </w:tcPr>
          <w:p>
            <w:pPr>
              <w:pStyle w:val="202"/>
              <w:snapToGrid w:val="0"/>
              <w:spacing w:line="400" w:lineRule="exact"/>
              <w:ind w:right="480"/>
              <w:jc w:val="center"/>
              <w:rPr>
                <w:rFonts w:hint="eastAsia" w:ascii="宋体" w:hAnsi="宋体" w:cs="宋体"/>
                <w:color w:val="auto"/>
                <w:sz w:val="24"/>
                <w:highlight w:val="none"/>
              </w:rPr>
            </w:pPr>
          </w:p>
        </w:tc>
        <w:tc>
          <w:tcPr>
            <w:tcW w:w="928" w:type="dxa"/>
            <w:tcBorders>
              <w:bottom w:val="single" w:color="auto" w:sz="12" w:space="0"/>
              <w:right w:val="single" w:color="auto" w:sz="12" w:space="0"/>
            </w:tcBorders>
            <w:noWrap w:val="0"/>
            <w:vAlign w:val="center"/>
          </w:tcPr>
          <w:p>
            <w:pPr>
              <w:pStyle w:val="202"/>
              <w:snapToGrid w:val="0"/>
              <w:spacing w:line="400" w:lineRule="exact"/>
              <w:ind w:right="480"/>
              <w:jc w:val="center"/>
              <w:rPr>
                <w:rFonts w:hint="eastAsia" w:ascii="宋体" w:hAnsi="宋体" w:cs="宋体"/>
                <w:color w:val="auto"/>
                <w:sz w:val="24"/>
                <w:highlight w:val="none"/>
              </w:rPr>
            </w:pPr>
          </w:p>
        </w:tc>
      </w:tr>
    </w:tbl>
    <w:p>
      <w:pPr>
        <w:pStyle w:val="202"/>
        <w:snapToGrid w:val="0"/>
        <w:spacing w:line="400" w:lineRule="exact"/>
        <w:ind w:left="1080" w:right="-96" w:hanging="1080" w:hangingChars="450"/>
        <w:rPr>
          <w:rFonts w:hint="eastAsia" w:ascii="宋体" w:hAnsi="宋体" w:cs="宋体"/>
          <w:color w:val="auto"/>
          <w:sz w:val="24"/>
          <w:highlight w:val="none"/>
        </w:rPr>
      </w:pPr>
      <w:r>
        <w:rPr>
          <w:rFonts w:hint="eastAsia" w:ascii="宋体" w:hAnsi="宋体" w:cs="宋体"/>
          <w:color w:val="auto"/>
          <w:sz w:val="24"/>
          <w:highlight w:val="none"/>
        </w:rPr>
        <w:t>说明：</w:t>
      </w:r>
    </w:p>
    <w:p>
      <w:pPr>
        <w:pStyle w:val="202"/>
        <w:snapToGrid w:val="0"/>
        <w:spacing w:line="400" w:lineRule="exact"/>
        <w:ind w:right="-96"/>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1、节能产品根据《财库【</w:t>
      </w:r>
      <w:r>
        <w:rPr>
          <w:rFonts w:hint="eastAsia" w:ascii="宋体" w:hAnsi="宋体" w:cs="宋体"/>
          <w:color w:val="auto"/>
          <w:sz w:val="24"/>
          <w:highlight w:val="none"/>
          <w:lang w:val="en-US" w:eastAsia="zh-CN"/>
        </w:rPr>
        <w:t>2019</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19号</w:t>
      </w:r>
      <w:r>
        <w:rPr>
          <w:rFonts w:hint="eastAsia" w:ascii="宋体" w:hAnsi="宋体" w:cs="宋体"/>
          <w:color w:val="auto"/>
          <w:sz w:val="24"/>
          <w:highlight w:val="none"/>
          <w:lang w:eastAsia="zh-CN"/>
        </w:rPr>
        <w:t>》文件公布的节能产品政府采购品目清单确定。</w:t>
      </w:r>
    </w:p>
    <w:p>
      <w:pPr>
        <w:pStyle w:val="202"/>
        <w:snapToGrid w:val="0"/>
        <w:spacing w:line="400" w:lineRule="exact"/>
        <w:ind w:right="-96"/>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表内所列</w:t>
      </w:r>
      <w:r>
        <w:rPr>
          <w:rFonts w:hint="eastAsia" w:ascii="宋体" w:hAnsi="宋体" w:cs="宋体"/>
          <w:color w:val="auto"/>
          <w:sz w:val="24"/>
          <w:highlight w:val="none"/>
        </w:rPr>
        <w:t>节能产品，须</w:t>
      </w:r>
      <w:r>
        <w:rPr>
          <w:rFonts w:hint="eastAsia" w:ascii="宋体" w:hAnsi="宋体" w:cs="宋体"/>
          <w:color w:val="auto"/>
          <w:sz w:val="24"/>
          <w:highlight w:val="none"/>
          <w:lang w:eastAsia="zh-CN"/>
        </w:rPr>
        <w:t>附该</w:t>
      </w:r>
      <w:r>
        <w:rPr>
          <w:rFonts w:hint="eastAsia" w:ascii="宋体" w:hAnsi="宋体" w:cs="宋体"/>
          <w:color w:val="auto"/>
          <w:sz w:val="24"/>
          <w:highlight w:val="none"/>
        </w:rPr>
        <w:t>产品</w:t>
      </w:r>
      <w:r>
        <w:rPr>
          <w:rFonts w:hint="eastAsia" w:ascii="宋体" w:hAnsi="宋体" w:cs="宋体"/>
          <w:color w:val="auto"/>
          <w:sz w:val="24"/>
          <w:highlight w:val="none"/>
          <w:lang w:eastAsia="zh-CN"/>
        </w:rPr>
        <w:t>取得的由国家认可的认证机构出具的、处于有效期内的节能产品认证证书复印件</w:t>
      </w:r>
      <w:r>
        <w:rPr>
          <w:rFonts w:hint="eastAsia" w:ascii="宋体" w:hAnsi="宋体" w:cs="宋体"/>
          <w:color w:val="auto"/>
          <w:sz w:val="24"/>
          <w:highlight w:val="none"/>
        </w:rPr>
        <w:t>。</w:t>
      </w:r>
    </w:p>
    <w:p>
      <w:pPr>
        <w:pStyle w:val="202"/>
        <w:snapToGrid w:val="0"/>
        <w:spacing w:line="400" w:lineRule="exact"/>
        <w:ind w:right="17"/>
        <w:jc w:val="right"/>
        <w:rPr>
          <w:rFonts w:hint="eastAsia" w:ascii="宋体" w:hAnsi="宋体" w:cs="宋体"/>
          <w:color w:val="auto"/>
          <w:sz w:val="24"/>
          <w:highlight w:val="none"/>
        </w:rPr>
      </w:pPr>
      <w:r>
        <w:rPr>
          <w:rFonts w:hint="eastAsia" w:ascii="宋体" w:hAnsi="宋体" w:cs="宋体"/>
          <w:color w:val="auto"/>
          <w:sz w:val="24"/>
          <w:highlight w:val="none"/>
        </w:rPr>
        <w:t>年   月   日</w:t>
      </w:r>
    </w:p>
    <w:p>
      <w:pP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2）环境标志产品明细表</w:t>
      </w:r>
    </w:p>
    <w:p>
      <w:pPr>
        <w:pStyle w:val="201"/>
        <w:snapToGrid w:val="0"/>
        <w:spacing w:line="400" w:lineRule="exact"/>
        <w:ind w:left="0" w:leftChars="0" w:firstLine="0" w:firstLineChars="0"/>
        <w:rPr>
          <w:rFonts w:hint="eastAsia" w:ascii="宋体" w:hAnsi="宋体" w:cs="宋体"/>
          <w:color w:val="auto"/>
          <w:highlight w:val="none"/>
        </w:rPr>
      </w:pPr>
      <w:r>
        <w:rPr>
          <w:rFonts w:hint="eastAsia" w:ascii="宋体" w:hAnsi="宋体" w:cs="宋体"/>
          <w:color w:val="auto"/>
          <w:highlight w:val="none"/>
        </w:rPr>
        <w:t>项目编号、包号</w:t>
      </w:r>
      <w:r>
        <w:rPr>
          <w:rFonts w:hint="eastAsia" w:ascii="宋体" w:hAnsi="宋体" w:cs="宋体"/>
          <w:color w:val="auto"/>
          <w:highlight w:val="none"/>
          <w:lang w:eastAsia="zh-CN"/>
        </w:rPr>
        <w:t>（如有）</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价格单位：元</w:t>
      </w:r>
    </w:p>
    <w:tbl>
      <w:tblPr>
        <w:tblStyle w:val="39"/>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139"/>
        <w:gridCol w:w="1139"/>
        <w:gridCol w:w="1139"/>
        <w:gridCol w:w="1139"/>
        <w:gridCol w:w="1533"/>
        <w:gridCol w:w="1257"/>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31" w:type="dxa"/>
            <w:tcBorders>
              <w:top w:val="single" w:color="auto" w:sz="12" w:space="0"/>
              <w:left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1139" w:type="dxa"/>
            <w:tcBorders>
              <w:top w:val="single" w:color="auto" w:sz="12" w:space="0"/>
            </w:tcBorders>
            <w:noWrap w:val="0"/>
            <w:vAlign w:val="center"/>
          </w:tcPr>
          <w:p>
            <w:pPr>
              <w:pStyle w:val="202"/>
              <w:tabs>
                <w:tab w:val="left" w:pos="60"/>
                <w:tab w:val="center" w:pos="4777"/>
              </w:tabs>
              <w:snapToGrid w:val="0"/>
              <w:spacing w:line="240" w:lineRule="exact"/>
              <w:ind w:right="-8439" w:rightChars="-4019"/>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产品名称</w:t>
            </w:r>
            <w:r>
              <w:rPr>
                <w:rFonts w:hint="eastAsia" w:ascii="宋体" w:hAnsi="宋体" w:cs="宋体"/>
                <w:color w:val="auto"/>
                <w:kern w:val="0"/>
                <w:sz w:val="24"/>
                <w:highlight w:val="none"/>
              </w:rPr>
              <w:tab/>
            </w:r>
            <w:r>
              <w:rPr>
                <w:rFonts w:hint="eastAsia" w:ascii="宋体" w:hAnsi="宋体" w:cs="宋体"/>
                <w:color w:val="auto"/>
                <w:kern w:val="0"/>
                <w:sz w:val="24"/>
                <w:highlight w:val="none"/>
              </w:rPr>
              <w:t>产品名称</w:t>
            </w:r>
          </w:p>
        </w:tc>
        <w:tc>
          <w:tcPr>
            <w:tcW w:w="1139" w:type="dxa"/>
            <w:tcBorders>
              <w:top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企业名称</w:t>
            </w:r>
          </w:p>
        </w:tc>
        <w:tc>
          <w:tcPr>
            <w:tcW w:w="1139" w:type="dxa"/>
            <w:tcBorders>
              <w:top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注册商标</w:t>
            </w:r>
          </w:p>
        </w:tc>
        <w:tc>
          <w:tcPr>
            <w:tcW w:w="1139" w:type="dxa"/>
            <w:tcBorders>
              <w:top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533" w:type="dxa"/>
            <w:tcBorders>
              <w:top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中国环境标志认证证书编号</w:t>
            </w:r>
          </w:p>
        </w:tc>
        <w:tc>
          <w:tcPr>
            <w:tcW w:w="1257" w:type="dxa"/>
            <w:tcBorders>
              <w:top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认证证书有效截止日期</w:t>
            </w:r>
          </w:p>
        </w:tc>
        <w:tc>
          <w:tcPr>
            <w:tcW w:w="860" w:type="dxa"/>
            <w:tcBorders>
              <w:top w:val="single" w:color="auto" w:sz="12" w:space="0"/>
              <w:right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31" w:type="dxa"/>
            <w:tcBorders>
              <w:left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533"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257"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860" w:type="dxa"/>
            <w:tcBorders>
              <w:right w:val="single" w:color="auto" w:sz="12" w:space="0"/>
            </w:tcBorders>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31" w:type="dxa"/>
            <w:tcBorders>
              <w:left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533"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257"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860" w:type="dxa"/>
            <w:tcBorders>
              <w:right w:val="single" w:color="auto" w:sz="12" w:space="0"/>
            </w:tcBorders>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31" w:type="dxa"/>
            <w:tcBorders>
              <w:left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139"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533"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257" w:type="dxa"/>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860" w:type="dxa"/>
            <w:tcBorders>
              <w:right w:val="single" w:color="auto" w:sz="12" w:space="0"/>
            </w:tcBorders>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31" w:type="dxa"/>
            <w:tcBorders>
              <w:left w:val="single" w:color="auto" w:sz="12" w:space="0"/>
              <w:bottom w:val="single" w:color="auto" w:sz="12" w:space="0"/>
            </w:tcBorders>
            <w:noWrap w:val="0"/>
            <w:vAlign w:val="center"/>
          </w:tcPr>
          <w:p>
            <w:pPr>
              <w:pStyle w:val="202"/>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139" w:type="dxa"/>
            <w:tcBorders>
              <w:bottom w:val="single" w:color="auto" w:sz="12" w:space="0"/>
            </w:tcBorders>
            <w:noWrap w:val="0"/>
            <w:vAlign w:val="center"/>
          </w:tcPr>
          <w:p>
            <w:pPr>
              <w:pStyle w:val="202"/>
              <w:snapToGrid w:val="0"/>
              <w:spacing w:line="240" w:lineRule="exact"/>
              <w:ind w:right="154" w:firstLine="120" w:firstLineChars="5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合计</w:t>
            </w:r>
          </w:p>
        </w:tc>
        <w:tc>
          <w:tcPr>
            <w:tcW w:w="1139" w:type="dxa"/>
            <w:tcBorders>
              <w:bottom w:val="single" w:color="auto" w:sz="12" w:space="0"/>
            </w:tcBorders>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139" w:type="dxa"/>
            <w:tcBorders>
              <w:bottom w:val="single" w:color="auto" w:sz="12" w:space="0"/>
            </w:tcBorders>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139" w:type="dxa"/>
            <w:tcBorders>
              <w:bottom w:val="single" w:color="auto" w:sz="12" w:space="0"/>
            </w:tcBorders>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533" w:type="dxa"/>
            <w:tcBorders>
              <w:bottom w:val="single" w:color="auto" w:sz="12" w:space="0"/>
            </w:tcBorders>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1257" w:type="dxa"/>
            <w:tcBorders>
              <w:bottom w:val="single" w:color="auto" w:sz="12" w:space="0"/>
            </w:tcBorders>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c>
          <w:tcPr>
            <w:tcW w:w="860" w:type="dxa"/>
            <w:tcBorders>
              <w:bottom w:val="single" w:color="auto" w:sz="12" w:space="0"/>
              <w:right w:val="single" w:color="auto" w:sz="12" w:space="0"/>
            </w:tcBorders>
            <w:noWrap w:val="0"/>
            <w:vAlign w:val="center"/>
          </w:tcPr>
          <w:p>
            <w:pPr>
              <w:pStyle w:val="202"/>
              <w:snapToGrid w:val="0"/>
              <w:spacing w:line="240" w:lineRule="exact"/>
              <w:ind w:right="480"/>
              <w:jc w:val="center"/>
              <w:rPr>
                <w:rFonts w:hint="eastAsia" w:ascii="宋体" w:hAnsi="宋体" w:cs="宋体"/>
                <w:color w:val="auto"/>
                <w:kern w:val="0"/>
                <w:sz w:val="24"/>
                <w:highlight w:val="none"/>
              </w:rPr>
            </w:pPr>
          </w:p>
        </w:tc>
      </w:tr>
    </w:tbl>
    <w:p>
      <w:pPr>
        <w:pStyle w:val="202"/>
        <w:snapToGrid w:val="0"/>
        <w:spacing w:line="400" w:lineRule="exact"/>
        <w:ind w:right="-88"/>
        <w:rPr>
          <w:rFonts w:hint="eastAsia" w:ascii="宋体" w:hAnsi="宋体" w:cs="宋体"/>
          <w:color w:val="auto"/>
          <w:sz w:val="24"/>
          <w:highlight w:val="none"/>
        </w:rPr>
      </w:pPr>
      <w:r>
        <w:rPr>
          <w:rFonts w:hint="eastAsia" w:ascii="宋体" w:hAnsi="宋体" w:cs="宋体"/>
          <w:color w:val="auto"/>
          <w:sz w:val="24"/>
          <w:highlight w:val="none"/>
        </w:rPr>
        <w:t>说明：</w:t>
      </w:r>
    </w:p>
    <w:p>
      <w:pPr>
        <w:pStyle w:val="202"/>
        <w:snapToGrid w:val="0"/>
        <w:spacing w:line="400" w:lineRule="exact"/>
        <w:ind w:right="-96"/>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w:t>
      </w:r>
      <w:r>
        <w:rPr>
          <w:rFonts w:hint="eastAsia" w:ascii="宋体" w:hAnsi="宋体" w:eastAsia="宋体" w:cs="宋体"/>
          <w:color w:val="auto"/>
          <w:sz w:val="24"/>
          <w:highlight w:val="none"/>
          <w:lang w:eastAsia="zh-CN"/>
        </w:rPr>
        <w:t>环境</w:t>
      </w:r>
      <w:r>
        <w:rPr>
          <w:rFonts w:hint="eastAsia" w:ascii="宋体" w:hAnsi="宋体" w:cs="宋体"/>
          <w:color w:val="auto"/>
          <w:sz w:val="24"/>
          <w:highlight w:val="none"/>
          <w:lang w:eastAsia="zh-CN"/>
        </w:rPr>
        <w:t>标志</w:t>
      </w:r>
      <w:r>
        <w:rPr>
          <w:rFonts w:hint="eastAsia" w:ascii="宋体" w:hAnsi="宋体" w:eastAsia="宋体" w:cs="宋体"/>
          <w:color w:val="auto"/>
          <w:sz w:val="24"/>
          <w:highlight w:val="none"/>
          <w:lang w:eastAsia="zh-CN"/>
        </w:rPr>
        <w:t>产</w:t>
      </w:r>
      <w:r>
        <w:rPr>
          <w:rFonts w:hint="eastAsia" w:ascii="宋体" w:hAnsi="宋体" w:cs="宋体"/>
          <w:color w:val="auto"/>
          <w:sz w:val="24"/>
          <w:highlight w:val="none"/>
          <w:lang w:eastAsia="zh-CN"/>
        </w:rPr>
        <w:t>品根据《财库【</w:t>
      </w:r>
      <w:r>
        <w:rPr>
          <w:rFonts w:hint="eastAsia" w:ascii="宋体" w:hAnsi="宋体" w:cs="宋体"/>
          <w:color w:val="auto"/>
          <w:sz w:val="24"/>
          <w:highlight w:val="none"/>
          <w:lang w:val="en-US" w:eastAsia="zh-CN"/>
        </w:rPr>
        <w:t>2019</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18号</w:t>
      </w:r>
      <w:r>
        <w:rPr>
          <w:rFonts w:hint="eastAsia" w:ascii="宋体" w:hAnsi="宋体" w:cs="宋体"/>
          <w:color w:val="auto"/>
          <w:sz w:val="24"/>
          <w:highlight w:val="none"/>
          <w:lang w:eastAsia="zh-CN"/>
        </w:rPr>
        <w:t>》文件公布的环境标志产品政府采购品目清单确定。</w:t>
      </w:r>
    </w:p>
    <w:p>
      <w:pPr>
        <w:pStyle w:val="202"/>
        <w:snapToGrid w:val="0"/>
        <w:spacing w:line="400" w:lineRule="exact"/>
        <w:ind w:right="-96"/>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表内所列环境标志</w:t>
      </w:r>
      <w:r>
        <w:rPr>
          <w:rFonts w:hint="eastAsia" w:ascii="宋体" w:hAnsi="宋体" w:cs="宋体"/>
          <w:color w:val="auto"/>
          <w:sz w:val="24"/>
          <w:highlight w:val="none"/>
        </w:rPr>
        <w:t>产品，须</w:t>
      </w:r>
      <w:r>
        <w:rPr>
          <w:rFonts w:hint="eastAsia" w:ascii="宋体" w:hAnsi="宋体" w:cs="宋体"/>
          <w:color w:val="auto"/>
          <w:sz w:val="24"/>
          <w:highlight w:val="none"/>
          <w:lang w:eastAsia="zh-CN"/>
        </w:rPr>
        <w:t>附该</w:t>
      </w:r>
      <w:r>
        <w:rPr>
          <w:rFonts w:hint="eastAsia" w:ascii="宋体" w:hAnsi="宋体" w:cs="宋体"/>
          <w:color w:val="auto"/>
          <w:sz w:val="24"/>
          <w:highlight w:val="none"/>
        </w:rPr>
        <w:t>产品</w:t>
      </w:r>
      <w:r>
        <w:rPr>
          <w:rFonts w:hint="eastAsia" w:ascii="宋体" w:hAnsi="宋体" w:cs="宋体"/>
          <w:color w:val="auto"/>
          <w:sz w:val="24"/>
          <w:highlight w:val="none"/>
          <w:lang w:eastAsia="zh-CN"/>
        </w:rPr>
        <w:t>取得的由国家认可的认证机构出具的、处于有效期内的环境标志产品认证证书复印件</w:t>
      </w:r>
      <w:r>
        <w:rPr>
          <w:rFonts w:hint="eastAsia" w:ascii="宋体" w:hAnsi="宋体" w:cs="宋体"/>
          <w:color w:val="auto"/>
          <w:sz w:val="24"/>
          <w:highlight w:val="none"/>
        </w:rPr>
        <w:t>。</w:t>
      </w:r>
    </w:p>
    <w:p>
      <w:pPr>
        <w:pStyle w:val="202"/>
        <w:snapToGrid w:val="0"/>
        <w:spacing w:line="400" w:lineRule="exact"/>
        <w:ind w:right="17"/>
        <w:jc w:val="right"/>
        <w:rPr>
          <w:rFonts w:ascii="宋体" w:hAnsi="宋体" w:cs="宋体"/>
          <w:color w:val="auto"/>
          <w:sz w:val="24"/>
          <w:highlight w:val="none"/>
        </w:rPr>
      </w:pPr>
      <w:r>
        <w:rPr>
          <w:rFonts w:hint="eastAsia" w:ascii="宋体" w:hAnsi="宋体" w:cs="宋体"/>
          <w:color w:val="auto"/>
          <w:sz w:val="24"/>
          <w:highlight w:val="none"/>
        </w:rPr>
        <w:t>年   月   日</w:t>
      </w:r>
    </w:p>
    <w:p>
      <w:pPr>
        <w:adjustRightInd w:val="0"/>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、其他证明文件或</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认为应提交的商务文件</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（1）其他生产经营该产品所必需的证明文件、制造商授权书等（如有）；</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（2）其他</w:t>
      </w:r>
    </w:p>
    <w:p>
      <w:pPr>
        <w:widowControl/>
        <w:snapToGrid w:val="0"/>
        <w:spacing w:line="400" w:lineRule="exact"/>
        <w:jc w:val="left"/>
        <w:rPr>
          <w:rFonts w:hint="eastAsia" w:ascii="宋体" w:hAnsi="宋体" w:cs="宋体"/>
          <w:b/>
          <w:bCs/>
          <w:color w:val="auto"/>
          <w:sz w:val="24"/>
          <w:szCs w:val="24"/>
          <w:highlight w:val="none"/>
        </w:rPr>
      </w:pPr>
    </w:p>
    <w:p>
      <w:pPr>
        <w:snapToGrid w:val="0"/>
        <w:spacing w:line="400" w:lineRule="exact"/>
        <w:rPr>
          <w:rFonts w:ascii="宋体" w:hAnsi="宋体" w:cs="宋体"/>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、技术偏离表格式：</w:t>
      </w:r>
    </w:p>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b/>
          <w:bCs/>
          <w:color w:val="auto"/>
          <w:sz w:val="24"/>
          <w:szCs w:val="24"/>
          <w:highlight w:val="none"/>
        </w:rPr>
        <w:t>技术偏离表</w:t>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color w:val="auto"/>
          <w:sz w:val="24"/>
          <w:szCs w:val="24"/>
          <w:highlight w:val="none"/>
        </w:rPr>
        <w:t>项目名称：</w:t>
      </w:r>
    </w:p>
    <w:p>
      <w:pPr>
        <w:adjustRightInd w:val="0"/>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项目编号：</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标包编号及内容： </w:t>
      </w:r>
    </w:p>
    <w:tbl>
      <w:tblPr>
        <w:tblStyle w:val="39"/>
        <w:tblW w:w="86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2"/>
        <w:gridCol w:w="1836"/>
        <w:gridCol w:w="1994"/>
        <w:gridCol w:w="2030"/>
        <w:gridCol w:w="12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3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招标文件要求</w:t>
            </w:r>
          </w:p>
        </w:tc>
        <w:tc>
          <w:tcPr>
            <w:tcW w:w="40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投标文件响应</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6"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要求</w:t>
            </w: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性能及指标</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bl>
    <w:p>
      <w:pPr>
        <w:adjustRightInd w:val="0"/>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注：1、</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应根据投标设备的性能指标、对照招标文件要求在“偏离情况”栏注明“正偏离”、“负偏离”或“无偏离”。</w:t>
      </w:r>
    </w:p>
    <w:p>
      <w:pPr>
        <w:adjustRightInd w:val="0"/>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2、每项技术参数须针对项目需求提供相关佐证材料（包括但不限于检测报告、技术规格书等）。</w:t>
      </w:r>
    </w:p>
    <w:p>
      <w:pPr>
        <w:adjustRightInd w:val="0"/>
        <w:snapToGrid w:val="0"/>
        <w:spacing w:line="400" w:lineRule="exact"/>
        <w:rPr>
          <w:rFonts w:ascii="宋体" w:hAnsi="宋体" w:cs="宋体"/>
          <w:b/>
          <w:bCs/>
          <w:color w:val="auto"/>
          <w:spacing w:val="20"/>
          <w:sz w:val="24"/>
          <w:szCs w:val="24"/>
          <w:highlight w:val="none"/>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提供投标设备的性能指标与实际不符的且产生偏离的，评标委员会有权认定该投标文件为无效响应。</w:t>
      </w:r>
    </w:p>
    <w:p>
      <w:pPr>
        <w:adjustRightInd w:val="0"/>
        <w:snapToGrid w:val="0"/>
        <w:spacing w:line="400" w:lineRule="exact"/>
        <w:ind w:right="-816" w:rightChars="-389"/>
        <w:rPr>
          <w:rFonts w:ascii="宋体" w:hAnsi="宋体" w:cs="宋体"/>
          <w:color w:val="auto"/>
          <w:sz w:val="24"/>
          <w:szCs w:val="24"/>
          <w:highlight w:val="none"/>
        </w:rPr>
      </w:pPr>
    </w:p>
    <w:p>
      <w:pPr>
        <w:adjustRightInd w:val="0"/>
        <w:snapToGrid w:val="0"/>
        <w:spacing w:line="400" w:lineRule="exact"/>
        <w:ind w:left="-4" w:leftChars="-2"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6"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法定代表人（负责人、自然人）或授权代表（签字）：</w:t>
      </w:r>
    </w:p>
    <w:p>
      <w:pPr>
        <w:adjustRightInd w:val="0"/>
        <w:snapToGrid w:val="0"/>
        <w:spacing w:line="400" w:lineRule="exact"/>
        <w:ind w:left="-2" w:leftChars="-1" w:right="-816"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2"/>
        <w:rPr>
          <w:rFonts w:hint="eastAsia"/>
          <w:color w:val="auto"/>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widowControl/>
        <w:snapToGrid w:val="0"/>
        <w:spacing w:line="400" w:lineRule="exact"/>
        <w:jc w:val="left"/>
        <w:rPr>
          <w:rFonts w:hint="eastAsia" w:ascii="宋体" w:hAnsi="宋体" w:eastAsia="宋体" w:cs="宋体"/>
          <w:b/>
          <w:color w:val="auto"/>
          <w:sz w:val="24"/>
          <w:szCs w:val="24"/>
          <w:highlight w:val="none"/>
          <w:lang w:eastAsia="zh-CN"/>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lang w:eastAsia="zh-CN"/>
        </w:rPr>
        <w:t>产品详细技术规格书</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货物说明包括：</w:t>
      </w:r>
    </w:p>
    <w:p>
      <w:pPr>
        <w:numPr>
          <w:ilvl w:val="0"/>
          <w:numId w:val="14"/>
        </w:numPr>
        <w:snapToGri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产品技术参数（指标）、功能等性能描述；</w:t>
      </w:r>
    </w:p>
    <w:p>
      <w:pPr>
        <w:numPr>
          <w:ilvl w:val="0"/>
          <w:numId w:val="14"/>
        </w:num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(2)产品的规范资料、外观彩图及尺寸等描述（要求提供复印件）；</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(3)配置先进合理，技术成熟，安全可靠；</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(4)货物优势介绍；</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(5)产品耐用性及使用功能安全性、采用新技术、新工艺或选用新材料情况；</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认为有必要提供的其他说明材料。</w:t>
      </w:r>
    </w:p>
    <w:p>
      <w:pPr>
        <w:pStyle w:val="2"/>
        <w:rPr>
          <w:rFonts w:hint="eastAsia" w:ascii="宋体" w:hAnsi="宋体" w:cs="宋体"/>
          <w:b/>
          <w:bCs/>
          <w:color w:val="auto"/>
          <w:sz w:val="24"/>
          <w:szCs w:val="24"/>
          <w:highlight w:val="none"/>
        </w:rPr>
      </w:pPr>
    </w:p>
    <w:p>
      <w:pPr>
        <w:widowControl/>
        <w:snapToGrid w:val="0"/>
        <w:spacing w:line="400" w:lineRule="exact"/>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16、</w:t>
      </w:r>
      <w:r>
        <w:rPr>
          <w:rFonts w:hint="eastAsia" w:ascii="宋体" w:hAnsi="宋体" w:eastAsia="宋体" w:cs="宋体"/>
          <w:b/>
          <w:color w:val="auto"/>
          <w:sz w:val="24"/>
          <w:szCs w:val="24"/>
          <w:highlight w:val="none"/>
          <w:lang w:eastAsia="zh-CN"/>
        </w:rPr>
        <w:t>与产品相关的由国家认可的检测机构出具的检测报告</w:t>
      </w:r>
      <w:r>
        <w:rPr>
          <w:rFonts w:hint="eastAsia" w:ascii="宋体" w:hAnsi="宋体" w:cs="宋体"/>
          <w:b/>
          <w:color w:val="auto"/>
          <w:sz w:val="24"/>
          <w:szCs w:val="24"/>
          <w:highlight w:val="none"/>
          <w:lang w:eastAsia="zh-CN"/>
        </w:rPr>
        <w:t>（如有）。</w:t>
      </w: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17、针对项目的详细组织实施方案：包括（但不限于）项目人员配备、项目供货方案、安装调试方案、验收方案（应说明验收方法和验收条件、安装验收需用的环境及配套条件）等内容；</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18、针对本项目的详细技术培训方案：包括（但不限于）</w:t>
      </w:r>
      <w:r>
        <w:rPr>
          <w:rFonts w:hint="default" w:ascii="宋体" w:hAnsi="宋体" w:eastAsia="宋体" w:cs="宋体"/>
          <w:b/>
          <w:color w:val="auto"/>
          <w:sz w:val="24"/>
          <w:szCs w:val="24"/>
          <w:highlight w:val="none"/>
          <w:lang w:val="en-US" w:eastAsia="zh-CN"/>
        </w:rPr>
        <w:t>培训内容</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培训方式</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培训计划</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培训团队人员配置等</w:t>
      </w:r>
      <w:r>
        <w:rPr>
          <w:rFonts w:hint="eastAsia" w:ascii="宋体" w:hAnsi="宋体" w:eastAsia="宋体" w:cs="宋体"/>
          <w:b/>
          <w:color w:val="auto"/>
          <w:sz w:val="24"/>
          <w:szCs w:val="24"/>
          <w:highlight w:val="none"/>
          <w:lang w:val="en-US" w:eastAsia="zh-CN"/>
        </w:rPr>
        <w:t>内容。</w:t>
      </w: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19、针对本项目的售后服务方案：包括（但不限于）售后</w:t>
      </w:r>
      <w:r>
        <w:rPr>
          <w:rFonts w:hint="default" w:ascii="宋体" w:hAnsi="宋体" w:eastAsia="宋体" w:cs="宋体"/>
          <w:b/>
          <w:color w:val="auto"/>
          <w:sz w:val="24"/>
          <w:szCs w:val="24"/>
          <w:highlight w:val="none"/>
          <w:lang w:val="en-US" w:eastAsia="zh-CN"/>
        </w:rPr>
        <w:t>服务承诺</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服务响应方案</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备件（易耗品）供应方案</w:t>
      </w:r>
      <w:r>
        <w:rPr>
          <w:rFonts w:hint="eastAsia" w:ascii="宋体" w:hAnsi="宋体" w:eastAsia="宋体" w:cs="宋体"/>
          <w:b/>
          <w:color w:val="auto"/>
          <w:sz w:val="24"/>
          <w:szCs w:val="24"/>
          <w:highlight w:val="none"/>
          <w:lang w:val="en-US" w:eastAsia="zh-CN"/>
        </w:rPr>
        <w:t>（含备件价格）、</w:t>
      </w:r>
      <w:r>
        <w:rPr>
          <w:rFonts w:hint="default" w:ascii="宋体" w:hAnsi="宋体" w:eastAsia="宋体" w:cs="宋体"/>
          <w:b/>
          <w:color w:val="auto"/>
          <w:sz w:val="24"/>
          <w:szCs w:val="24"/>
          <w:highlight w:val="none"/>
          <w:lang w:val="en-US" w:eastAsia="zh-CN"/>
        </w:rPr>
        <w:t>服务人员配备</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故障响应</w:t>
      </w:r>
      <w:r>
        <w:rPr>
          <w:rFonts w:hint="eastAsia" w:ascii="宋体" w:hAnsi="宋体" w:eastAsia="宋体" w:cs="宋体"/>
          <w:b/>
          <w:color w:val="auto"/>
          <w:sz w:val="24"/>
          <w:szCs w:val="24"/>
          <w:highlight w:val="none"/>
          <w:lang w:val="en-US" w:eastAsia="zh-CN"/>
        </w:rPr>
        <w:t>措施、</w:t>
      </w:r>
      <w:r>
        <w:rPr>
          <w:rFonts w:hint="default" w:ascii="宋体" w:hAnsi="宋体" w:eastAsia="宋体" w:cs="宋体"/>
          <w:b/>
          <w:color w:val="auto"/>
          <w:sz w:val="24"/>
          <w:szCs w:val="24"/>
          <w:highlight w:val="none"/>
          <w:lang w:val="en-US" w:eastAsia="zh-CN"/>
        </w:rPr>
        <w:t>质保外服务措施等</w:t>
      </w:r>
      <w:r>
        <w:rPr>
          <w:rFonts w:hint="eastAsia" w:ascii="宋体" w:hAnsi="宋体" w:eastAsia="宋体" w:cs="宋体"/>
          <w:b/>
          <w:color w:val="auto"/>
          <w:sz w:val="24"/>
          <w:szCs w:val="24"/>
          <w:highlight w:val="none"/>
          <w:lang w:val="en-US" w:eastAsia="zh-CN"/>
        </w:rPr>
        <w:t>内容。</w:t>
      </w:r>
    </w:p>
    <w:p>
      <w:pPr>
        <w:widowControl/>
        <w:snapToGrid w:val="0"/>
        <w:spacing w:line="400" w:lineRule="exact"/>
        <w:jc w:val="center"/>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售后服务附表</w:t>
      </w:r>
    </w:p>
    <w:p>
      <w:pPr>
        <w:snapToGrid w:val="0"/>
        <w:spacing w:line="400" w:lineRule="exact"/>
        <w:jc w:val="left"/>
        <w:rPr>
          <w:rFonts w:asciiTheme="minorEastAsia" w:hAnsiTheme="minorEastAsia" w:eastAsiaTheme="minorEastAsia" w:cstheme="minorEastAsia"/>
          <w:color w:val="auto"/>
          <w:spacing w:val="1"/>
          <w:kern w:val="0"/>
          <w:sz w:val="24"/>
          <w:szCs w:val="24"/>
          <w:highlight w:val="none"/>
          <w:u w:val="single"/>
        </w:rPr>
      </w:pPr>
      <w:r>
        <w:rPr>
          <w:rFonts w:hint="eastAsia" w:asciiTheme="minorEastAsia" w:hAnsiTheme="minorEastAsia" w:eastAsiaTheme="minorEastAsia" w:cstheme="minorEastAsia"/>
          <w:color w:val="auto"/>
          <w:spacing w:val="1"/>
          <w:kern w:val="0"/>
          <w:sz w:val="24"/>
          <w:szCs w:val="24"/>
          <w:highlight w:val="none"/>
        </w:rPr>
        <w:t>项目名称：</w:t>
      </w:r>
    </w:p>
    <w:p>
      <w:pPr>
        <w:snapToGrid w:val="0"/>
        <w:spacing w:line="400" w:lineRule="exact"/>
        <w:jc w:val="left"/>
        <w:rPr>
          <w:rFonts w:asciiTheme="minorEastAsia" w:hAnsiTheme="minorEastAsia" w:eastAsiaTheme="minorEastAsia" w:cstheme="minorEastAsia"/>
          <w:color w:val="auto"/>
          <w:spacing w:val="1"/>
          <w:kern w:val="0"/>
          <w:sz w:val="24"/>
          <w:szCs w:val="24"/>
          <w:highlight w:val="none"/>
          <w:u w:val="single"/>
        </w:rPr>
      </w:pPr>
      <w:r>
        <w:rPr>
          <w:rFonts w:hint="eastAsia" w:asciiTheme="minorEastAsia" w:hAnsiTheme="minorEastAsia" w:eastAsiaTheme="minorEastAsia" w:cstheme="minorEastAsia"/>
          <w:color w:val="auto"/>
          <w:spacing w:val="1"/>
          <w:kern w:val="0"/>
          <w:sz w:val="24"/>
          <w:szCs w:val="24"/>
          <w:highlight w:val="none"/>
        </w:rPr>
        <w:t>标包编号：</w:t>
      </w:r>
    </w:p>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标包编号及内容： </w:t>
      </w:r>
    </w:p>
    <w:tbl>
      <w:tblPr>
        <w:tblStyle w:val="39"/>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46"/>
        <w:gridCol w:w="2151"/>
        <w:gridCol w:w="1253"/>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服务网点名称</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地址</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注册资本金</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其中：</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出资比例</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员工总人数</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其中：技术人员数</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经营期限</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售后服务协议</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提供相关</w:t>
            </w:r>
          </w:p>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售后服务内容</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此部分内容做附件进行详细说明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服务承诺</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业务咨询电话</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传真</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附人员身份证等相关证件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负责人</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联系电话</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bl>
    <w:p>
      <w:pPr>
        <w:snapToGrid w:val="0"/>
        <w:spacing w:line="400" w:lineRule="exact"/>
        <w:jc w:val="left"/>
        <w:rPr>
          <w:rFonts w:asciiTheme="minorEastAsia" w:hAnsiTheme="minorEastAsia" w:eastAsiaTheme="minorEastAsia" w:cstheme="minorEastAsia"/>
          <w:color w:val="auto"/>
          <w:kern w:val="0"/>
          <w:sz w:val="24"/>
          <w:szCs w:val="24"/>
          <w:highlight w:val="none"/>
        </w:rPr>
      </w:pPr>
    </w:p>
    <w:p>
      <w:pPr>
        <w:pStyle w:val="200"/>
        <w:adjustRightInd w:val="0"/>
        <w:snapToGrid w:val="0"/>
        <w:spacing w:line="400" w:lineRule="exact"/>
        <w:ind w:left="1747" w:firstLine="470"/>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（盖单位章）：</w:t>
      </w:r>
    </w:p>
    <w:p>
      <w:pPr>
        <w:snapToGrid w:val="0"/>
        <w:spacing w:line="400" w:lineRule="exact"/>
        <w:jc w:val="left"/>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法定代表人或其委托代理人（签字或盖章）：</w:t>
      </w:r>
    </w:p>
    <w:p>
      <w:pPr>
        <w:snapToGrid w:val="0"/>
        <w:spacing w:line="40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        年    月    日</w:t>
      </w: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pStyle w:val="2"/>
        <w:rPr>
          <w:rFonts w:hint="eastAsia" w:ascii="宋体" w:hAnsi="宋体" w:eastAsia="宋体" w:cs="宋体"/>
          <w:b/>
          <w:color w:val="auto"/>
          <w:sz w:val="24"/>
          <w:szCs w:val="24"/>
          <w:highlight w:val="none"/>
          <w:lang w:val="en-US" w:eastAsia="zh-CN"/>
        </w:rPr>
      </w:pPr>
    </w:p>
    <w:p>
      <w:pPr>
        <w:pStyle w:val="2"/>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20、其他优惠条件（如有）：</w:t>
      </w:r>
      <w:r>
        <w:rPr>
          <w:rFonts w:hint="eastAsia" w:ascii="宋体" w:hAnsi="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en-US" w:eastAsia="zh-CN"/>
        </w:rPr>
        <w:t>承诺给予采购人的各种优惠条件，包括备品备件、专用耗材等；</w:t>
      </w: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w:t>
      </w:r>
      <w:r>
        <w:rPr>
          <w:rFonts w:hint="eastAsia" w:ascii="宋体" w:hAnsi="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en-US" w:eastAsia="zh-CN"/>
        </w:rPr>
        <w:t>需要提供的其他文件或资料（如有）。</w:t>
      </w: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widowControl/>
        <w:snapToGrid w:val="0"/>
        <w:spacing w:line="400" w:lineRule="exact"/>
        <w:jc w:val="left"/>
        <w:rPr>
          <w:rFonts w:hint="eastAsia" w:ascii="宋体" w:hAnsi="宋体" w:cs="宋体"/>
          <w:b/>
          <w:bCs/>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p>
    <w:p>
      <w:pPr>
        <w:pStyle w:val="18"/>
        <w:spacing w:line="480" w:lineRule="exact"/>
        <w:rPr>
          <w:rFonts w:ascii="仿宋" w:hAnsi="仿宋" w:eastAsia="仿宋" w:cs="仿宋"/>
          <w:b/>
          <w:bCs/>
          <w:color w:val="auto"/>
          <w:kern w:val="0"/>
          <w:sz w:val="24"/>
          <w:szCs w:val="24"/>
          <w:highlight w:val="none"/>
        </w:rPr>
      </w:pPr>
    </w:p>
    <w:p>
      <w:pPr>
        <w:pStyle w:val="18"/>
        <w:spacing w:line="480" w:lineRule="exact"/>
        <w:jc w:val="center"/>
        <w:rPr>
          <w:rFonts w:ascii="仿宋" w:hAnsi="仿宋" w:eastAsia="仿宋" w:cs="仿宋"/>
          <w:b/>
          <w:bCs/>
          <w:color w:val="auto"/>
          <w:kern w:val="0"/>
          <w:sz w:val="24"/>
          <w:szCs w:val="24"/>
          <w:highlight w:val="none"/>
        </w:rPr>
      </w:pPr>
    </w:p>
    <w:p>
      <w:pPr>
        <w:pStyle w:val="38"/>
        <w:ind w:firstLine="0" w:firstLineChars="0"/>
        <w:rPr>
          <w:rFonts w:hint="eastAsia"/>
          <w:color w:val="auto"/>
          <w:sz w:val="24"/>
          <w:szCs w:val="22"/>
          <w:highlight w:val="none"/>
        </w:rPr>
      </w:pPr>
    </w:p>
    <w:p>
      <w:pPr>
        <w:pStyle w:val="38"/>
        <w:ind w:firstLine="0" w:firstLineChars="0"/>
        <w:rPr>
          <w:rFonts w:hint="eastAsia"/>
          <w:color w:val="auto"/>
          <w:sz w:val="24"/>
          <w:szCs w:val="22"/>
          <w:highlight w:val="none"/>
        </w:rPr>
      </w:pPr>
    </w:p>
    <w:p>
      <w:pPr>
        <w:pStyle w:val="38"/>
        <w:ind w:firstLine="0" w:firstLineChars="0"/>
        <w:rPr>
          <w:rFonts w:hint="eastAsia"/>
          <w:color w:val="auto"/>
          <w:sz w:val="24"/>
          <w:szCs w:val="22"/>
          <w:highlight w:val="none"/>
        </w:rPr>
      </w:pPr>
    </w:p>
    <w:p>
      <w:pPr>
        <w:pStyle w:val="38"/>
        <w:ind w:firstLine="0" w:firstLineChars="0"/>
        <w:rPr>
          <w:rFonts w:hint="eastAsia"/>
          <w:color w:val="auto"/>
          <w:sz w:val="24"/>
          <w:szCs w:val="22"/>
          <w:highlight w:val="none"/>
        </w:rPr>
      </w:pPr>
    </w:p>
    <w:p>
      <w:pPr>
        <w:pStyle w:val="38"/>
        <w:ind w:firstLine="0" w:firstLineChars="0"/>
        <w:rPr>
          <w:color w:val="auto"/>
          <w:sz w:val="24"/>
          <w:szCs w:val="22"/>
          <w:highlight w:val="none"/>
        </w:rPr>
      </w:pPr>
      <w:r>
        <w:rPr>
          <w:rFonts w:hint="eastAsia"/>
          <w:color w:val="auto"/>
          <w:sz w:val="24"/>
          <w:szCs w:val="22"/>
          <w:highlight w:val="none"/>
        </w:rPr>
        <w:t>附：</w:t>
      </w:r>
    </w:p>
    <w:p>
      <w:pPr>
        <w:pStyle w:val="38"/>
        <w:ind w:firstLine="0" w:firstLineChars="0"/>
        <w:jc w:val="center"/>
        <w:rPr>
          <w:color w:val="auto"/>
          <w:sz w:val="24"/>
          <w:szCs w:val="22"/>
          <w:highlight w:val="none"/>
        </w:rPr>
      </w:pPr>
      <w:r>
        <w:rPr>
          <w:rFonts w:hint="eastAsia"/>
          <w:color w:val="auto"/>
          <w:sz w:val="24"/>
          <w:szCs w:val="22"/>
          <w:highlight w:val="none"/>
        </w:rPr>
        <w:t>质疑函范本</w:t>
      </w:r>
    </w:p>
    <w:p>
      <w:pPr>
        <w:pStyle w:val="38"/>
        <w:ind w:firstLine="480"/>
        <w:rPr>
          <w:color w:val="auto"/>
          <w:sz w:val="24"/>
          <w:szCs w:val="22"/>
          <w:highlight w:val="none"/>
        </w:rPr>
      </w:pPr>
      <w:r>
        <w:rPr>
          <w:rFonts w:hint="eastAsia"/>
          <w:color w:val="auto"/>
          <w:sz w:val="24"/>
          <w:szCs w:val="22"/>
          <w:highlight w:val="none"/>
        </w:rPr>
        <w:t>一、质疑供应商基本信息</w:t>
      </w:r>
    </w:p>
    <w:p>
      <w:pPr>
        <w:pStyle w:val="38"/>
        <w:ind w:firstLine="480"/>
        <w:rPr>
          <w:color w:val="auto"/>
          <w:sz w:val="24"/>
          <w:szCs w:val="22"/>
          <w:highlight w:val="none"/>
          <w:u w:val="single"/>
        </w:rPr>
      </w:pPr>
      <w:r>
        <w:rPr>
          <w:rFonts w:hint="eastAsia"/>
          <w:color w:val="auto"/>
          <w:sz w:val="24"/>
          <w:szCs w:val="22"/>
          <w:highlight w:val="none"/>
        </w:rPr>
        <w:t xml:space="preserve">质疑供应商：  </w:t>
      </w:r>
    </w:p>
    <w:p>
      <w:pPr>
        <w:pStyle w:val="38"/>
        <w:ind w:firstLine="480"/>
        <w:rPr>
          <w:color w:val="auto"/>
          <w:sz w:val="24"/>
          <w:szCs w:val="22"/>
          <w:highlight w:val="none"/>
        </w:rPr>
      </w:pPr>
      <w:r>
        <w:rPr>
          <w:rFonts w:hint="eastAsia"/>
          <w:color w:val="auto"/>
          <w:sz w:val="24"/>
          <w:szCs w:val="22"/>
          <w:highlight w:val="none"/>
        </w:rPr>
        <w:t xml:space="preserve">地址：                          邮编：                  </w:t>
      </w:r>
    </w:p>
    <w:p>
      <w:pPr>
        <w:pStyle w:val="38"/>
        <w:ind w:firstLine="480"/>
        <w:rPr>
          <w:color w:val="auto"/>
          <w:sz w:val="24"/>
          <w:szCs w:val="22"/>
          <w:highlight w:val="none"/>
        </w:rPr>
      </w:pPr>
      <w:r>
        <w:rPr>
          <w:rFonts w:hint="eastAsia"/>
          <w:color w:val="auto"/>
          <w:sz w:val="24"/>
          <w:szCs w:val="22"/>
          <w:highlight w:val="none"/>
        </w:rPr>
        <w:t xml:space="preserve">联系人：                      联系电话：                 </w:t>
      </w:r>
    </w:p>
    <w:p>
      <w:pPr>
        <w:pStyle w:val="38"/>
        <w:ind w:firstLine="480"/>
        <w:rPr>
          <w:color w:val="auto"/>
          <w:sz w:val="24"/>
          <w:szCs w:val="22"/>
          <w:highlight w:val="none"/>
        </w:rPr>
      </w:pPr>
      <w:r>
        <w:rPr>
          <w:rFonts w:hint="eastAsia"/>
          <w:color w:val="auto"/>
          <w:sz w:val="24"/>
          <w:szCs w:val="22"/>
          <w:highlight w:val="none"/>
        </w:rPr>
        <w:t xml:space="preserve">授权代表：                                          </w:t>
      </w:r>
    </w:p>
    <w:p>
      <w:pPr>
        <w:pStyle w:val="38"/>
        <w:ind w:firstLine="480"/>
        <w:rPr>
          <w:color w:val="auto"/>
          <w:sz w:val="24"/>
          <w:szCs w:val="22"/>
          <w:highlight w:val="none"/>
        </w:rPr>
      </w:pPr>
      <w:r>
        <w:rPr>
          <w:rFonts w:hint="eastAsia"/>
          <w:color w:val="auto"/>
          <w:sz w:val="24"/>
          <w:szCs w:val="22"/>
          <w:highlight w:val="none"/>
        </w:rPr>
        <w:t xml:space="preserve">联系电话：                                            </w:t>
      </w:r>
    </w:p>
    <w:p>
      <w:pPr>
        <w:pStyle w:val="38"/>
        <w:ind w:firstLine="480"/>
        <w:rPr>
          <w:color w:val="auto"/>
          <w:sz w:val="24"/>
          <w:szCs w:val="22"/>
          <w:highlight w:val="none"/>
        </w:rPr>
      </w:pPr>
      <w:r>
        <w:rPr>
          <w:rFonts w:hint="eastAsia"/>
          <w:color w:val="auto"/>
          <w:sz w:val="24"/>
          <w:szCs w:val="22"/>
          <w:highlight w:val="none"/>
        </w:rPr>
        <w:t xml:space="preserve">地址：                         邮编：                    </w:t>
      </w:r>
    </w:p>
    <w:p>
      <w:pPr>
        <w:pStyle w:val="38"/>
        <w:ind w:firstLine="480"/>
        <w:rPr>
          <w:color w:val="auto"/>
          <w:sz w:val="24"/>
          <w:szCs w:val="22"/>
          <w:highlight w:val="none"/>
        </w:rPr>
      </w:pPr>
      <w:r>
        <w:rPr>
          <w:rFonts w:hint="eastAsia"/>
          <w:color w:val="auto"/>
          <w:sz w:val="24"/>
          <w:szCs w:val="22"/>
          <w:highlight w:val="none"/>
        </w:rPr>
        <w:t>二、质疑项目基本情况</w:t>
      </w:r>
    </w:p>
    <w:p>
      <w:pPr>
        <w:pStyle w:val="38"/>
        <w:ind w:firstLine="480"/>
        <w:rPr>
          <w:color w:val="auto"/>
          <w:sz w:val="24"/>
          <w:szCs w:val="22"/>
          <w:highlight w:val="none"/>
        </w:rPr>
      </w:pPr>
      <w:r>
        <w:rPr>
          <w:rFonts w:hint="eastAsia"/>
          <w:color w:val="auto"/>
          <w:sz w:val="24"/>
          <w:szCs w:val="22"/>
          <w:highlight w:val="none"/>
        </w:rPr>
        <w:t xml:space="preserve">质疑项目的名称：                                      </w:t>
      </w:r>
    </w:p>
    <w:p>
      <w:pPr>
        <w:pStyle w:val="38"/>
        <w:ind w:firstLine="480"/>
        <w:rPr>
          <w:color w:val="auto"/>
          <w:sz w:val="24"/>
          <w:szCs w:val="22"/>
          <w:highlight w:val="none"/>
        </w:rPr>
      </w:pPr>
      <w:r>
        <w:rPr>
          <w:rFonts w:hint="eastAsia"/>
          <w:color w:val="auto"/>
          <w:sz w:val="24"/>
          <w:szCs w:val="22"/>
          <w:highlight w:val="none"/>
        </w:rPr>
        <w:t xml:space="preserve">质疑项目的编号：               包号：                 </w:t>
      </w:r>
    </w:p>
    <w:p>
      <w:pPr>
        <w:pStyle w:val="38"/>
        <w:ind w:firstLine="480"/>
        <w:rPr>
          <w:color w:val="auto"/>
          <w:sz w:val="24"/>
          <w:szCs w:val="22"/>
          <w:highlight w:val="none"/>
        </w:rPr>
      </w:pPr>
      <w:r>
        <w:rPr>
          <w:rFonts w:hint="eastAsia"/>
          <w:color w:val="auto"/>
          <w:sz w:val="24"/>
          <w:szCs w:val="22"/>
          <w:highlight w:val="none"/>
        </w:rPr>
        <w:t xml:space="preserve">采购人名称：                                         </w:t>
      </w:r>
    </w:p>
    <w:p>
      <w:pPr>
        <w:pStyle w:val="38"/>
        <w:ind w:firstLine="480"/>
        <w:rPr>
          <w:color w:val="auto"/>
          <w:sz w:val="24"/>
          <w:szCs w:val="22"/>
          <w:highlight w:val="none"/>
        </w:rPr>
      </w:pPr>
      <w:r>
        <w:rPr>
          <w:rFonts w:hint="eastAsia"/>
          <w:color w:val="auto"/>
          <w:sz w:val="24"/>
          <w:szCs w:val="22"/>
          <w:highlight w:val="none"/>
        </w:rPr>
        <w:t xml:space="preserve">招标文件获取日期：                                           </w:t>
      </w:r>
    </w:p>
    <w:p>
      <w:pPr>
        <w:pStyle w:val="38"/>
        <w:ind w:firstLine="480"/>
        <w:rPr>
          <w:color w:val="auto"/>
          <w:sz w:val="24"/>
          <w:szCs w:val="22"/>
          <w:highlight w:val="none"/>
        </w:rPr>
      </w:pPr>
      <w:r>
        <w:rPr>
          <w:rFonts w:hint="eastAsia"/>
          <w:color w:val="auto"/>
          <w:sz w:val="24"/>
          <w:szCs w:val="22"/>
          <w:highlight w:val="none"/>
        </w:rPr>
        <w:t>三、质疑事项具体内容</w:t>
      </w:r>
    </w:p>
    <w:p>
      <w:pPr>
        <w:pStyle w:val="38"/>
        <w:ind w:firstLine="480"/>
        <w:rPr>
          <w:color w:val="auto"/>
          <w:sz w:val="24"/>
          <w:szCs w:val="22"/>
          <w:highlight w:val="none"/>
        </w:rPr>
      </w:pPr>
      <w:r>
        <w:rPr>
          <w:rFonts w:hint="eastAsia"/>
          <w:color w:val="auto"/>
          <w:sz w:val="24"/>
          <w:szCs w:val="22"/>
          <w:highlight w:val="none"/>
        </w:rPr>
        <w:t xml:space="preserve">质疑事项1：                                         </w:t>
      </w:r>
    </w:p>
    <w:p>
      <w:pPr>
        <w:pStyle w:val="38"/>
        <w:ind w:firstLine="480"/>
        <w:rPr>
          <w:color w:val="auto"/>
          <w:sz w:val="24"/>
          <w:szCs w:val="22"/>
          <w:highlight w:val="none"/>
        </w:rPr>
      </w:pPr>
      <w:r>
        <w:rPr>
          <w:rFonts w:hint="eastAsia"/>
          <w:color w:val="auto"/>
          <w:sz w:val="24"/>
          <w:szCs w:val="22"/>
          <w:highlight w:val="none"/>
        </w:rPr>
        <w:t xml:space="preserve">事实依据：                                          </w:t>
      </w:r>
    </w:p>
    <w:p>
      <w:pPr>
        <w:pStyle w:val="38"/>
        <w:ind w:firstLine="480"/>
        <w:rPr>
          <w:color w:val="auto"/>
          <w:sz w:val="24"/>
          <w:szCs w:val="22"/>
          <w:highlight w:val="none"/>
        </w:rPr>
      </w:pPr>
    </w:p>
    <w:p>
      <w:pPr>
        <w:pStyle w:val="38"/>
        <w:ind w:firstLine="480"/>
        <w:rPr>
          <w:color w:val="auto"/>
          <w:sz w:val="24"/>
          <w:szCs w:val="22"/>
          <w:highlight w:val="none"/>
        </w:rPr>
      </w:pPr>
      <w:r>
        <w:rPr>
          <w:rFonts w:hint="eastAsia"/>
          <w:color w:val="auto"/>
          <w:sz w:val="24"/>
          <w:szCs w:val="22"/>
          <w:highlight w:val="none"/>
        </w:rPr>
        <w:t xml:space="preserve">法律依据：                                          </w:t>
      </w:r>
    </w:p>
    <w:p>
      <w:pPr>
        <w:pStyle w:val="38"/>
        <w:ind w:firstLine="480"/>
        <w:rPr>
          <w:color w:val="auto"/>
          <w:sz w:val="24"/>
          <w:szCs w:val="22"/>
          <w:highlight w:val="none"/>
        </w:rPr>
      </w:pPr>
    </w:p>
    <w:p>
      <w:pPr>
        <w:pStyle w:val="38"/>
        <w:ind w:firstLine="480"/>
        <w:rPr>
          <w:color w:val="auto"/>
          <w:sz w:val="24"/>
          <w:szCs w:val="22"/>
          <w:highlight w:val="none"/>
        </w:rPr>
      </w:pPr>
      <w:r>
        <w:rPr>
          <w:rFonts w:hint="eastAsia"/>
          <w:color w:val="auto"/>
          <w:sz w:val="24"/>
          <w:szCs w:val="22"/>
          <w:highlight w:val="none"/>
        </w:rPr>
        <w:t>质疑事项2</w:t>
      </w:r>
    </w:p>
    <w:p>
      <w:pPr>
        <w:pStyle w:val="38"/>
        <w:ind w:firstLine="480"/>
        <w:rPr>
          <w:color w:val="auto"/>
          <w:sz w:val="24"/>
          <w:szCs w:val="22"/>
          <w:highlight w:val="none"/>
        </w:rPr>
      </w:pPr>
      <w:r>
        <w:rPr>
          <w:rFonts w:hint="eastAsia"/>
          <w:color w:val="auto"/>
          <w:sz w:val="24"/>
          <w:szCs w:val="22"/>
          <w:highlight w:val="none"/>
        </w:rPr>
        <w:t>……</w:t>
      </w:r>
    </w:p>
    <w:p>
      <w:pPr>
        <w:pStyle w:val="38"/>
        <w:ind w:firstLine="480"/>
        <w:rPr>
          <w:color w:val="auto"/>
          <w:sz w:val="24"/>
          <w:szCs w:val="22"/>
          <w:highlight w:val="none"/>
        </w:rPr>
      </w:pPr>
      <w:r>
        <w:rPr>
          <w:rFonts w:hint="eastAsia"/>
          <w:color w:val="auto"/>
          <w:sz w:val="24"/>
          <w:szCs w:val="22"/>
          <w:highlight w:val="none"/>
        </w:rPr>
        <w:t>四、与质疑事项相关的质疑请求</w:t>
      </w:r>
    </w:p>
    <w:p>
      <w:pPr>
        <w:pStyle w:val="38"/>
        <w:ind w:firstLine="480"/>
        <w:rPr>
          <w:color w:val="auto"/>
          <w:sz w:val="24"/>
          <w:szCs w:val="22"/>
          <w:highlight w:val="none"/>
        </w:rPr>
      </w:pPr>
      <w:r>
        <w:rPr>
          <w:rFonts w:hint="eastAsia"/>
          <w:color w:val="auto"/>
          <w:sz w:val="24"/>
          <w:szCs w:val="22"/>
          <w:highlight w:val="none"/>
        </w:rPr>
        <w:t xml:space="preserve">请求：                                               </w:t>
      </w:r>
    </w:p>
    <w:p>
      <w:pPr>
        <w:pStyle w:val="38"/>
        <w:ind w:firstLine="480"/>
        <w:rPr>
          <w:color w:val="auto"/>
          <w:sz w:val="24"/>
          <w:szCs w:val="22"/>
          <w:highlight w:val="none"/>
        </w:rPr>
      </w:pPr>
      <w:r>
        <w:rPr>
          <w:rFonts w:hint="eastAsia"/>
          <w:color w:val="auto"/>
          <w:sz w:val="24"/>
          <w:szCs w:val="22"/>
          <w:highlight w:val="none"/>
        </w:rPr>
        <w:t xml:space="preserve">签字(签章)：                   公章：                      </w:t>
      </w:r>
    </w:p>
    <w:p>
      <w:pPr>
        <w:pStyle w:val="38"/>
        <w:ind w:firstLine="480"/>
        <w:rPr>
          <w:color w:val="auto"/>
          <w:sz w:val="24"/>
          <w:szCs w:val="22"/>
          <w:highlight w:val="none"/>
        </w:rPr>
      </w:pPr>
      <w:r>
        <w:rPr>
          <w:rFonts w:hint="eastAsia"/>
          <w:color w:val="auto"/>
          <w:sz w:val="24"/>
          <w:szCs w:val="22"/>
          <w:highlight w:val="none"/>
        </w:rPr>
        <w:t xml:space="preserve">日期：    </w:t>
      </w:r>
    </w:p>
    <w:p>
      <w:pPr>
        <w:rPr>
          <w:color w:val="auto"/>
          <w:sz w:val="24"/>
          <w:szCs w:val="22"/>
          <w:highlight w:val="none"/>
        </w:rPr>
      </w:pPr>
      <w:r>
        <w:rPr>
          <w:rFonts w:hint="eastAsia"/>
          <w:color w:val="auto"/>
          <w:sz w:val="24"/>
          <w:szCs w:val="22"/>
          <w:highlight w:val="none"/>
        </w:rPr>
        <w:br w:type="page"/>
      </w:r>
    </w:p>
    <w:p>
      <w:pPr>
        <w:pStyle w:val="38"/>
        <w:ind w:firstLine="480"/>
        <w:rPr>
          <w:color w:val="auto"/>
          <w:sz w:val="24"/>
          <w:szCs w:val="22"/>
          <w:highlight w:val="none"/>
        </w:rPr>
      </w:pPr>
      <w:r>
        <w:rPr>
          <w:rFonts w:hint="eastAsia"/>
          <w:color w:val="auto"/>
          <w:sz w:val="24"/>
          <w:szCs w:val="22"/>
          <w:highlight w:val="none"/>
        </w:rPr>
        <w:t>质疑函制作说明：</w:t>
      </w:r>
    </w:p>
    <w:p>
      <w:pPr>
        <w:pStyle w:val="38"/>
        <w:ind w:firstLine="480"/>
        <w:rPr>
          <w:color w:val="auto"/>
          <w:sz w:val="24"/>
          <w:szCs w:val="22"/>
          <w:highlight w:val="none"/>
        </w:rPr>
      </w:pPr>
      <w:r>
        <w:rPr>
          <w:rFonts w:hint="eastAsia"/>
          <w:color w:val="auto"/>
          <w:sz w:val="24"/>
          <w:szCs w:val="22"/>
          <w:highlight w:val="none"/>
        </w:rPr>
        <w:t>1.供应商提出质疑时，应提交质疑函和必要的证明材料。</w:t>
      </w:r>
    </w:p>
    <w:p>
      <w:pPr>
        <w:pStyle w:val="38"/>
        <w:ind w:firstLine="480"/>
        <w:rPr>
          <w:color w:val="auto"/>
          <w:sz w:val="24"/>
          <w:szCs w:val="22"/>
          <w:highlight w:val="none"/>
        </w:rPr>
      </w:pPr>
      <w:r>
        <w:rPr>
          <w:rFonts w:hint="eastAsia"/>
          <w:color w:val="auto"/>
          <w:sz w:val="24"/>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8"/>
        <w:ind w:firstLine="480"/>
        <w:rPr>
          <w:color w:val="auto"/>
          <w:sz w:val="24"/>
          <w:szCs w:val="22"/>
          <w:highlight w:val="none"/>
        </w:rPr>
      </w:pPr>
      <w:r>
        <w:rPr>
          <w:rFonts w:hint="eastAsia"/>
          <w:color w:val="auto"/>
          <w:sz w:val="24"/>
          <w:szCs w:val="22"/>
          <w:highlight w:val="none"/>
        </w:rPr>
        <w:t>3.质疑供应商若对项目的某一分包进行质疑，质疑函中应列明具体分包号。</w:t>
      </w:r>
    </w:p>
    <w:p>
      <w:pPr>
        <w:pStyle w:val="38"/>
        <w:ind w:firstLine="480"/>
        <w:rPr>
          <w:color w:val="auto"/>
          <w:sz w:val="24"/>
          <w:szCs w:val="22"/>
          <w:highlight w:val="none"/>
        </w:rPr>
      </w:pPr>
      <w:r>
        <w:rPr>
          <w:rFonts w:hint="eastAsia"/>
          <w:color w:val="auto"/>
          <w:sz w:val="24"/>
          <w:szCs w:val="22"/>
          <w:highlight w:val="none"/>
        </w:rPr>
        <w:t>4.质疑函的质疑事项应具体、明确，并有必要的事实依据和法律依据。</w:t>
      </w:r>
    </w:p>
    <w:p>
      <w:pPr>
        <w:pStyle w:val="38"/>
        <w:ind w:firstLine="480"/>
        <w:rPr>
          <w:color w:val="auto"/>
          <w:sz w:val="24"/>
          <w:szCs w:val="22"/>
          <w:highlight w:val="none"/>
        </w:rPr>
      </w:pPr>
      <w:r>
        <w:rPr>
          <w:rFonts w:hint="eastAsia"/>
          <w:color w:val="auto"/>
          <w:sz w:val="24"/>
          <w:szCs w:val="22"/>
          <w:highlight w:val="none"/>
        </w:rPr>
        <w:t>5.质疑函的质疑请求应与质疑事项相关。</w:t>
      </w:r>
    </w:p>
    <w:p>
      <w:pPr>
        <w:pStyle w:val="38"/>
        <w:ind w:firstLine="480"/>
        <w:rPr>
          <w:rFonts w:hint="eastAsia"/>
          <w:color w:val="auto"/>
          <w:sz w:val="24"/>
          <w:szCs w:val="22"/>
          <w:highlight w:val="none"/>
        </w:rPr>
      </w:pPr>
      <w:r>
        <w:rPr>
          <w:rFonts w:hint="eastAsia"/>
          <w:color w:val="auto"/>
          <w:sz w:val="24"/>
          <w:szCs w:val="22"/>
          <w:highlight w:val="none"/>
        </w:rPr>
        <w:t>6.质疑供应商为自然人的，质疑函应由本人签字；质疑供应商为法人或者其他组织的，质疑函应由法定代表人、主要负责人，或者其授权代表签字或者盖章，并加盖公章。</w:t>
      </w:r>
    </w:p>
    <w:p>
      <w:pPr>
        <w:rPr>
          <w:rFonts w:hint="eastAsia"/>
          <w:color w:val="auto"/>
          <w:sz w:val="24"/>
          <w:szCs w:val="22"/>
          <w:highlight w:val="none"/>
        </w:rPr>
      </w:pPr>
      <w:r>
        <w:rPr>
          <w:rFonts w:hint="eastAsia"/>
          <w:color w:val="auto"/>
          <w:sz w:val="24"/>
          <w:szCs w:val="22"/>
          <w:highlight w:val="none"/>
        </w:rPr>
        <w:br w:type="page"/>
      </w:r>
    </w:p>
    <w:p/>
    <w:p>
      <w:pPr>
        <w:pStyle w:val="3"/>
        <w:numPr>
          <w:ilvl w:val="0"/>
          <w:numId w:val="15"/>
        </w:numPr>
        <w:rPr>
          <w:rFonts w:hint="eastAsia"/>
          <w:color w:val="auto"/>
          <w:highlight w:val="none"/>
        </w:rPr>
      </w:pPr>
      <w:r>
        <w:rPr>
          <w:rFonts w:hint="eastAsia"/>
          <w:color w:val="auto"/>
          <w:highlight w:val="none"/>
        </w:rPr>
        <w:t>项目需求</w:t>
      </w:r>
    </w:p>
    <w:p>
      <w:pPr>
        <w:pStyle w:val="4"/>
        <w:numPr>
          <w:ilvl w:val="0"/>
          <w:numId w:val="0"/>
        </w:numPr>
        <w:rPr>
          <w:color w:val="auto"/>
          <w:highlight w:val="none"/>
        </w:rPr>
      </w:pPr>
    </w:p>
    <w:tbl>
      <w:tblPr>
        <w:tblStyle w:val="39"/>
        <w:tblpPr w:leftFromText="180" w:rightFromText="180" w:vertAnchor="text" w:horzAnchor="page" w:tblpX="1427" w:tblpY="217"/>
        <w:tblOverlap w:val="never"/>
        <w:tblW w:w="8539" w:type="dxa"/>
        <w:tblInd w:w="0" w:type="dxa"/>
        <w:tblLayout w:type="fixed"/>
        <w:tblCellMar>
          <w:top w:w="0" w:type="dxa"/>
          <w:left w:w="0" w:type="dxa"/>
          <w:bottom w:w="0" w:type="dxa"/>
          <w:right w:w="0" w:type="dxa"/>
        </w:tblCellMar>
      </w:tblPr>
      <w:tblGrid>
        <w:gridCol w:w="864"/>
        <w:gridCol w:w="1687"/>
        <w:gridCol w:w="872"/>
        <w:gridCol w:w="972"/>
        <w:gridCol w:w="1561"/>
        <w:gridCol w:w="1250"/>
        <w:gridCol w:w="1333"/>
      </w:tblGrid>
      <w:tr>
        <w:tblPrEx>
          <w:tblCellMar>
            <w:top w:w="0" w:type="dxa"/>
            <w:left w:w="0" w:type="dxa"/>
            <w:bottom w:w="0" w:type="dxa"/>
            <w:right w:w="0" w:type="dxa"/>
          </w:tblCellMar>
        </w:tblPrEx>
        <w:trPr>
          <w:trHeight w:val="84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包 号</w:t>
            </w:r>
          </w:p>
        </w:tc>
        <w:tc>
          <w:tcPr>
            <w:tcW w:w="16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val="en-US" w:eastAsia="zh-CN" w:bidi="ar"/>
              </w:rPr>
              <w:t>车辆</w:t>
            </w:r>
            <w:r>
              <w:rPr>
                <w:rFonts w:hint="eastAsia" w:ascii="宋体" w:hAnsi="宋体" w:cs="宋体"/>
                <w:b/>
                <w:color w:val="auto"/>
                <w:kern w:val="0"/>
                <w:sz w:val="24"/>
                <w:szCs w:val="24"/>
                <w:highlight w:val="none"/>
                <w:lang w:bidi="ar"/>
              </w:rPr>
              <w:t>名称</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 xml:space="preserve">数 量    </w:t>
            </w:r>
          </w:p>
        </w:tc>
        <w:tc>
          <w:tcPr>
            <w:tcW w:w="15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单价最高限价</w:t>
            </w:r>
          </w:p>
          <w:p>
            <w:pPr>
              <w:widowControl/>
              <w:jc w:val="center"/>
              <w:textAlignment w:val="center"/>
              <w:rPr>
                <w:rFonts w:hint="default"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val="en-US" w:eastAsia="zh-CN" w:bidi="ar"/>
              </w:rPr>
              <w:t>最高限价</w:t>
            </w:r>
            <w:r>
              <w:rPr>
                <w:rFonts w:hint="eastAsia" w:ascii="宋体" w:hAnsi="宋体" w:cs="宋体"/>
                <w:b/>
                <w:color w:val="auto"/>
                <w:kern w:val="0"/>
                <w:sz w:val="24"/>
                <w:szCs w:val="24"/>
                <w:highlight w:val="none"/>
                <w:lang w:bidi="ar"/>
              </w:rPr>
              <w:t xml:space="preserve">    （万元）</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val="en-US" w:eastAsia="zh-CN" w:bidi="ar"/>
              </w:rPr>
              <w:t>是否</w:t>
            </w:r>
            <w:r>
              <w:rPr>
                <w:rFonts w:hint="eastAsia" w:ascii="宋体" w:hAnsi="宋体" w:cs="宋体"/>
                <w:b/>
                <w:color w:val="auto"/>
                <w:kern w:val="0"/>
                <w:sz w:val="24"/>
                <w:szCs w:val="24"/>
                <w:highlight w:val="none"/>
                <w:lang w:bidi="ar"/>
              </w:rPr>
              <w:t>核心产品</w:t>
            </w:r>
          </w:p>
        </w:tc>
      </w:tr>
      <w:tr>
        <w:tblPrEx>
          <w:tblCellMar>
            <w:top w:w="0" w:type="dxa"/>
            <w:left w:w="0" w:type="dxa"/>
            <w:bottom w:w="0" w:type="dxa"/>
            <w:right w:w="0" w:type="dxa"/>
          </w:tblCellMar>
        </w:tblPrEx>
        <w:trPr>
          <w:trHeight w:val="830" w:hRule="exact"/>
        </w:trPr>
        <w:tc>
          <w:tcPr>
            <w:tcW w:w="8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第一包</w:t>
            </w:r>
          </w:p>
        </w:tc>
        <w:tc>
          <w:tcPr>
            <w:tcW w:w="16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物资运输车（B）</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辆</w:t>
            </w:r>
          </w:p>
        </w:tc>
        <w:tc>
          <w:tcPr>
            <w:tcW w:w="9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pStyle w:val="2"/>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160</w:t>
            </w:r>
          </w:p>
        </w:tc>
        <w:tc>
          <w:tcPr>
            <w:tcW w:w="125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default" w:ascii="宋体" w:hAnsi="宋体" w:eastAsia="宋体" w:cs="宋体"/>
                <w:b w:val="0"/>
                <w:bCs/>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tblPrEx>
          <w:tblCellMar>
            <w:top w:w="0" w:type="dxa"/>
            <w:left w:w="0" w:type="dxa"/>
            <w:bottom w:w="0" w:type="dxa"/>
            <w:right w:w="0" w:type="dxa"/>
          </w:tblCellMar>
        </w:tblPrEx>
        <w:trPr>
          <w:trHeight w:val="830" w:hRule="exact"/>
        </w:trPr>
        <w:tc>
          <w:tcPr>
            <w:tcW w:w="86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eastAsia="宋体" w:cs="宋体"/>
                <w:color w:val="auto"/>
                <w:sz w:val="24"/>
                <w:szCs w:val="24"/>
                <w:highlight w:val="none"/>
                <w:lang w:val="en-US" w:eastAsia="zh-CN"/>
              </w:rPr>
            </w:pP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照明消防车</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9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220</w:t>
            </w:r>
          </w:p>
        </w:tc>
        <w:tc>
          <w:tcPr>
            <w:tcW w:w="1250"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p>
        </w:tc>
        <w:tc>
          <w:tcPr>
            <w:tcW w:w="133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是</w:t>
            </w:r>
          </w:p>
        </w:tc>
      </w:tr>
      <w:tr>
        <w:tblPrEx>
          <w:tblCellMar>
            <w:top w:w="0" w:type="dxa"/>
            <w:left w:w="0" w:type="dxa"/>
            <w:bottom w:w="0" w:type="dxa"/>
            <w:right w:w="0" w:type="dxa"/>
          </w:tblCellMar>
        </w:tblPrEx>
        <w:trPr>
          <w:trHeight w:val="830" w:hRule="exact"/>
        </w:trPr>
        <w:tc>
          <w:tcPr>
            <w:tcW w:w="86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第二包</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装备抢修车</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9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120</w:t>
            </w:r>
          </w:p>
        </w:tc>
        <w:tc>
          <w:tcPr>
            <w:tcW w:w="125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292</w:t>
            </w:r>
          </w:p>
        </w:tc>
        <w:tc>
          <w:tcPr>
            <w:tcW w:w="133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color w:val="auto"/>
                <w:sz w:val="24"/>
                <w:szCs w:val="24"/>
                <w:highlight w:val="none"/>
                <w:lang w:val="en-US" w:eastAsia="zh-CN"/>
              </w:rPr>
              <w:t>/</w:t>
            </w:r>
          </w:p>
        </w:tc>
      </w:tr>
      <w:tr>
        <w:tblPrEx>
          <w:tblCellMar>
            <w:top w:w="0" w:type="dxa"/>
            <w:left w:w="0" w:type="dxa"/>
            <w:bottom w:w="0" w:type="dxa"/>
            <w:right w:w="0" w:type="dxa"/>
          </w:tblCellMar>
        </w:tblPrEx>
        <w:trPr>
          <w:trHeight w:val="830" w:hRule="exact"/>
        </w:trPr>
        <w:tc>
          <w:tcPr>
            <w:tcW w:w="86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供气消防车</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9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 xml:space="preserve"> 172</w:t>
            </w:r>
          </w:p>
        </w:tc>
        <w:tc>
          <w:tcPr>
            <w:tcW w:w="125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p>
        </w:tc>
        <w:tc>
          <w:tcPr>
            <w:tcW w:w="1333"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是</w:t>
            </w:r>
          </w:p>
        </w:tc>
      </w:tr>
      <w:tr>
        <w:tblPrEx>
          <w:tblCellMar>
            <w:top w:w="0" w:type="dxa"/>
            <w:left w:w="0" w:type="dxa"/>
            <w:bottom w:w="0" w:type="dxa"/>
            <w:right w:w="0" w:type="dxa"/>
          </w:tblCellMar>
        </w:tblPrEx>
        <w:trPr>
          <w:trHeight w:val="830" w:hRule="exact"/>
        </w:trPr>
        <w:tc>
          <w:tcPr>
            <w:tcW w:w="86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第三包</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运兵车A</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9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c>
          <w:tcPr>
            <w:tcW w:w="12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190</w:t>
            </w:r>
          </w:p>
        </w:tc>
        <w:tc>
          <w:tcPr>
            <w:tcW w:w="13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color w:val="auto"/>
                <w:sz w:val="24"/>
                <w:szCs w:val="24"/>
                <w:highlight w:val="none"/>
                <w:lang w:val="en-US" w:eastAsia="zh-CN"/>
              </w:rPr>
              <w:t>/</w:t>
            </w:r>
          </w:p>
        </w:tc>
      </w:tr>
      <w:tr>
        <w:tblPrEx>
          <w:tblCellMar>
            <w:top w:w="0" w:type="dxa"/>
            <w:left w:w="0" w:type="dxa"/>
            <w:bottom w:w="0" w:type="dxa"/>
            <w:right w:w="0" w:type="dxa"/>
          </w:tblCellMar>
        </w:tblPrEx>
        <w:trPr>
          <w:trHeight w:val="879" w:hRule="exact"/>
        </w:trPr>
        <w:tc>
          <w:tcPr>
            <w:tcW w:w="86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eastAsia" w:ascii="宋体" w:hAnsi="宋体" w:eastAsia="宋体" w:cs="宋体"/>
                <w:color w:val="auto"/>
                <w:sz w:val="24"/>
                <w:szCs w:val="24"/>
                <w:highlight w:val="none"/>
                <w:lang w:val="en-US" w:eastAsia="zh-CN"/>
              </w:rPr>
            </w:pP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color w:val="auto"/>
                <w:highlight w:val="none"/>
                <w:lang w:val="en-US" w:eastAsia="zh-CN"/>
              </w:rPr>
            </w:pPr>
            <w:r>
              <w:rPr>
                <w:rFonts w:hint="default" w:ascii="宋体" w:hAnsi="宋体" w:cs="宋体"/>
                <w:color w:val="auto"/>
                <w:sz w:val="24"/>
                <w:szCs w:val="24"/>
                <w:highlight w:val="none"/>
                <w:lang w:val="en-US" w:eastAsia="zh-CN"/>
              </w:rPr>
              <w:t>饮食保障车</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辆</w:t>
            </w:r>
          </w:p>
        </w:tc>
        <w:tc>
          <w:tcPr>
            <w:tcW w:w="9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130</w:t>
            </w:r>
          </w:p>
        </w:tc>
        <w:tc>
          <w:tcPr>
            <w:tcW w:w="12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default" w:ascii="宋体" w:hAnsi="宋体" w:eastAsia="宋体" w:cs="宋体"/>
                <w:color w:val="auto"/>
                <w:sz w:val="24"/>
                <w:szCs w:val="24"/>
                <w:highlight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是</w:t>
            </w:r>
          </w:p>
        </w:tc>
      </w:tr>
    </w:tbl>
    <w:p>
      <w:pPr>
        <w:pStyle w:val="25"/>
        <w:rPr>
          <w:rFonts w:hint="default" w:eastAsia="宋体"/>
          <w:color w:val="auto"/>
          <w:highlight w:val="none"/>
          <w:lang w:val="en-US" w:eastAsia="zh-CN"/>
        </w:rPr>
      </w:pPr>
    </w:p>
    <w:p>
      <w:pPr>
        <w:pStyle w:val="25"/>
        <w:rPr>
          <w:color w:val="auto"/>
          <w:highlight w:val="none"/>
        </w:rPr>
      </w:pPr>
    </w:p>
    <w:p>
      <w:pPr>
        <w:pStyle w:val="25"/>
        <w:rPr>
          <w:color w:val="auto"/>
          <w:highlight w:val="none"/>
        </w:rPr>
        <w:sectPr>
          <w:headerReference r:id="rId8" w:type="default"/>
          <w:footerReference r:id="rId9" w:type="default"/>
          <w:pgSz w:w="11906" w:h="16838"/>
          <w:pgMar w:top="1440" w:right="1803" w:bottom="1440" w:left="1803" w:header="851" w:footer="992" w:gutter="0"/>
          <w:pgNumType w:start="1"/>
          <w:cols w:space="0" w:num="1"/>
          <w:docGrid w:type="linesAndChars" w:linePitch="319" w:charSpace="0"/>
        </w:sectPr>
      </w:pPr>
    </w:p>
    <w:p>
      <w:pPr>
        <w:pStyle w:val="25"/>
        <w:jc w:val="center"/>
        <w:rPr>
          <w:rFonts w:hint="eastAsia" w:ascii="宋体" w:hAnsi="宋体" w:eastAsia="宋体" w:cs="宋体"/>
          <w:color w:val="auto"/>
          <w:sz w:val="21"/>
          <w:szCs w:val="21"/>
          <w:highlight w:val="none"/>
          <w:lang w:val="en-US" w:eastAsia="zh-CN"/>
        </w:rPr>
      </w:pPr>
      <w:r>
        <w:rPr>
          <w:rFonts w:hint="eastAsia"/>
          <w:color w:val="auto"/>
          <w:sz w:val="30"/>
          <w:szCs w:val="30"/>
          <w:highlight w:val="none"/>
          <w:lang w:val="en-US" w:eastAsia="zh-CN"/>
        </w:rPr>
        <w:t>第一包</w:t>
      </w:r>
    </w:p>
    <w:tbl>
      <w:tblPr>
        <w:tblStyle w:val="39"/>
        <w:tblW w:w="81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3970"/>
        <w:gridCol w:w="1323"/>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93"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标的名称</w:t>
            </w:r>
          </w:p>
        </w:tc>
        <w:tc>
          <w:tcPr>
            <w:tcW w:w="397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购置单位</w:t>
            </w:r>
          </w:p>
        </w:tc>
        <w:tc>
          <w:tcPr>
            <w:tcW w:w="1323"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预算价格（万元）</w:t>
            </w:r>
          </w:p>
        </w:tc>
        <w:tc>
          <w:tcPr>
            <w:tcW w:w="2073" w:type="dxa"/>
            <w:tcBorders>
              <w:top w:val="single" w:color="000000" w:sz="8"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79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物资运输车（B）</w:t>
            </w:r>
          </w:p>
        </w:tc>
        <w:tc>
          <w:tcPr>
            <w:tcW w:w="3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乌鲁木齐市消防救援支队</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160</w:t>
            </w:r>
          </w:p>
        </w:tc>
        <w:tc>
          <w:tcPr>
            <w:tcW w:w="207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93" w:type="dxa"/>
            <w:tcBorders>
              <w:top w:val="single" w:color="000000" w:sz="4" w:space="0"/>
              <w:left w:val="single" w:color="000000" w:sz="8"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7366" w:type="dxa"/>
            <w:gridSpan w:val="3"/>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93"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底盘</w:t>
            </w:r>
          </w:p>
        </w:tc>
        <w:tc>
          <w:tcPr>
            <w:tcW w:w="7366" w:type="dxa"/>
            <w:gridSpan w:val="3"/>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1、品牌型号：/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▲2、驱动型式：6×4；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▲3、最大允许总质量：≥30000kg；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▲4、发动机额定功率：≥290kW；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5、排放标准：满足国Ⅵb及以上标准；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6、燃油类型：柴油；</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7、变速箱：手动/自动；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8、轮胎：钢丝胎或优于。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6" w:hRule="atLeast"/>
        </w:trPr>
        <w:tc>
          <w:tcPr>
            <w:tcW w:w="79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驾驶室</w:t>
            </w:r>
          </w:p>
        </w:tc>
        <w:tc>
          <w:tcPr>
            <w:tcW w:w="7366" w:type="dxa"/>
            <w:gridSpan w:val="3"/>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1、电源总开关安装驾驶室，预留北斗接口和功率≥1000W的逆变器（12V、24V、220V)；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安装360°全景行车记录仪及辅助系统，全车倒车雷达探头≥4个，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3、主副电动车窗，驾驶室翻转具有电动助力系统，采用双缸支撑机构；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4、原装驾驶室为双门单排，全员配备安全带；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5、配备车载台，与采购方通信指挥系统配套使用，并根据客户需求写入通信频段。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2" w:hRule="atLeast"/>
        </w:trPr>
        <w:tc>
          <w:tcPr>
            <w:tcW w:w="79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拉臂钩</w:t>
            </w:r>
          </w:p>
        </w:tc>
        <w:tc>
          <w:tcPr>
            <w:tcW w:w="73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▲1、最大装卸质量：≥20000kg；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2、自卸角度：≥40°；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3、钩心高度：≥1200mm；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4、适合箱体长度：3900-8000mm；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5、控制方式：手动和遥控两种以上控制方式。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79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车厢</w:t>
            </w:r>
          </w:p>
        </w:tc>
        <w:tc>
          <w:tcPr>
            <w:tcW w:w="7366" w:type="dxa"/>
            <w:gridSpan w:val="3"/>
            <w:tcBorders>
              <w:top w:val="single" w:color="000000" w:sz="4" w:space="0"/>
              <w:left w:val="single" w:color="000000" w:sz="4"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内部器材架：箱体采用耐腐蚀材料或表面经防腐处理，任何部件构建都不应有使人致伤的尖锐突出物或锐利边缘，应为设备器材提供固定夹持装置和空间，箱体内根据器材使用方式不同设置有各种专用拖架、旋转架、可调器材盒等机构放置和固定各种器材装备，器材箱骨架后期可按照使用方需求（根据各类器材实际配置情况）进行拆卸、调节，在装卸和运输过程中不会发生移动，器材箱的设计箱体应通风、防潮、且能排除箱内积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2、内部照明：器材箱内应设有LED照明装置，实现全方位照明，且自带电源可独立照明(带充电装置)；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3、厢体开启方式：拉杆式卷帘门、上下翻门等两种以上方案，可根据用户需求调整；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4、▲模块厢数量：≥2套，器材箱用途根据采购单位需求定制，（空气呼吸器模块、地震救援模块、个人防护模块等）；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5、▲可根据使用单位需求调整，其中空气呼吸器模块随车配备电动气瓶运输车符合路面、攀登楼梯使用要求，装载气瓶数量≥12个；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9" w:hRule="atLeast"/>
        </w:trPr>
        <w:tc>
          <w:tcPr>
            <w:tcW w:w="79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电气系统</w:t>
            </w:r>
          </w:p>
        </w:tc>
        <w:tc>
          <w:tcPr>
            <w:tcW w:w="73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1、电源总开关安装在驾驶室，预留北斗接口和功率≥1000W的逆变器（12V、24V、220v)；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2、安装360度全景行车记录仪及辅助系统，系统配备超清夜视摄像头和彩色显示屏，显示屏分辨率≥1080P，屏幕尺寸≥7寸，支持分屏、单屏等多种模式，存储卡容量≥128G，可自动分段录制、循环保存；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3、主副电动车窗，驾驶室翻转具有液压助力系统，采用双缸支撑机构；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4、驾驶室顶部前端装配有红色长排LED警灯；警灯警报功率≥200W，警灯、电路为独立式附加电路，控制器件安装在驾驶室内；</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5、配备车载台，与采购方通信指挥系统配套使用，并根据客户需求写入通信频段。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9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油箱</w:t>
            </w:r>
          </w:p>
        </w:tc>
        <w:tc>
          <w:tcPr>
            <w:tcW w:w="73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配有针对严寒地区的燃油油箱及管路加热保温系统，容积≥300L。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9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随车器材</w:t>
            </w:r>
          </w:p>
        </w:tc>
        <w:tc>
          <w:tcPr>
            <w:tcW w:w="73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1、底盘操作手册、维护保养手册；消防车使用说明书；底盘车架及发动机拓印号；底盘合格证；消防车合格证；消防产品认证证书；随车器材明细；所配备总成及附件的合格证和使用说明书；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2、手提式干粉灭火器ABC（2具）；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3、应急救援组合扳手（2个），高强度超轻材质（具备开启消火栓、泡沫桶、电梯三角钥匙等功能）；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4、水带推车（数量4个，每个可放置6盘水带）可铺设或收卷≥20m水带（DN80）；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5、配备钢链或优于此材质的防滑链一套（满足在驱动轮安装）。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trPr>
        <w:tc>
          <w:tcPr>
            <w:tcW w:w="79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上装-信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息采集装</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置</w:t>
            </w:r>
          </w:p>
        </w:tc>
        <w:tc>
          <w:tcPr>
            <w:tcW w:w="7366"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1、采集底盘系统输出信息主要包含里程、燃油使用总量、发动机工作时间、燃料液面、发动机转速、车速、发动机夜温度高报警、机油液位低报警等信息；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2、具有上装及底盘系统信息采集与远程传输功能，同时具有独立管理平台，实现采集信息接收、存储及业务管理功能，相关采集信息能够接入到新版消防装备物资管理系统中。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9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总体要求</w:t>
            </w:r>
          </w:p>
        </w:tc>
        <w:tc>
          <w:tcPr>
            <w:tcW w:w="7366" w:type="dxa"/>
            <w:gridSpan w:val="3"/>
            <w:tcBorders>
              <w:top w:val="single" w:color="000000" w:sz="4" w:space="0"/>
              <w:left w:val="single" w:color="000000" w:sz="4"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1、所有操作开关、仪表、器材架及车辆均有符合规范的中文防水标识铭牌。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73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2、车用易损件按照1:2随车配备，交车时燃油量处于满载状态。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73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3、整车质保期5年，质保期间免费维修，底盘出厂日期不早于2024年1月1日。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73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★4、整车满足GB 7956.1-2014、GA39-2016标准，GB1589-2016《汽车、挂车及汽车列车外廓尺寸、轴荷及质量限值》和GB 7956.1-2014《消防车第1部分：通用技术条件》相关规定；提供整车设计效果图，包括整车结构图、三维效果图等。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366" w:type="dxa"/>
            <w:gridSpan w:val="3"/>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highlight w:val="none"/>
              </w:rPr>
              <w:t xml:space="preserve"> 5、厢体所有焊接金属面应打磨光滑、无毛刺，并喷漆处理。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366" w:type="dxa"/>
            <w:gridSpan w:val="3"/>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highlight w:val="none"/>
              </w:rPr>
              <w:t xml:space="preserve"> 6、所有操作开关及仪表均有符合规范的中文防水金属标识。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366" w:type="dxa"/>
            <w:gridSpan w:val="3"/>
            <w:tcBorders>
              <w:top w:val="single" w:color="000000" w:sz="4" w:space="0"/>
              <w:left w:val="single" w:color="000000" w:sz="4"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7、涂装要求：外观标识符合《消防救援局关于做好消防救援车辆外观制式涂装工作的通知》应急消〔2019〕76号文件要求。</w:t>
            </w:r>
          </w:p>
        </w:tc>
      </w:tr>
    </w:tbl>
    <w:p>
      <w:pPr>
        <w:pStyle w:val="25"/>
        <w:rPr>
          <w:color w:val="auto"/>
          <w:highlight w:val="none"/>
        </w:rPr>
      </w:pPr>
    </w:p>
    <w:p>
      <w:pPr>
        <w:pStyle w:val="25"/>
        <w:rPr>
          <w:color w:val="auto"/>
          <w:highlight w:val="none"/>
        </w:rPr>
      </w:pPr>
    </w:p>
    <w:p>
      <w:pPr>
        <w:pStyle w:val="25"/>
        <w:rPr>
          <w:rFonts w:hint="eastAsia" w:ascii="宋体" w:hAnsi="宋体" w:eastAsia="宋体" w:cs="宋体"/>
          <w:color w:val="auto"/>
          <w:sz w:val="21"/>
          <w:szCs w:val="21"/>
          <w:highlight w:val="none"/>
        </w:rPr>
      </w:pPr>
    </w:p>
    <w:p>
      <w:pPr>
        <w:pStyle w:val="25"/>
        <w:rPr>
          <w:rFonts w:hint="eastAsia" w:ascii="宋体" w:hAnsi="宋体" w:eastAsia="宋体" w:cs="宋体"/>
          <w:color w:val="auto"/>
          <w:sz w:val="21"/>
          <w:szCs w:val="21"/>
          <w:highlight w:val="none"/>
        </w:rPr>
      </w:pPr>
    </w:p>
    <w:tbl>
      <w:tblPr>
        <w:tblStyle w:val="39"/>
        <w:tblW w:w="79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9"/>
        <w:gridCol w:w="4199"/>
        <w:gridCol w:w="1399"/>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99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标的名称</w:t>
            </w:r>
          </w:p>
        </w:tc>
        <w:tc>
          <w:tcPr>
            <w:tcW w:w="41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购置单位</w:t>
            </w:r>
          </w:p>
        </w:tc>
        <w:tc>
          <w:tcPr>
            <w:tcW w:w="13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预算单价（万元）</w:t>
            </w:r>
          </w:p>
        </w:tc>
        <w:tc>
          <w:tcPr>
            <w:tcW w:w="140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照明消防车</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乌鲁木齐市消防救援支队</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99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6998"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99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底盘</w:t>
            </w:r>
          </w:p>
        </w:tc>
        <w:tc>
          <w:tcPr>
            <w:tcW w:w="6998"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▲1、发动机功率≥250kW，驱动形式4×2，排放标准：国Ⅵb；</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2、上车脚踏板全部采用新型鱼鳞式不锈钢材质，且用直径60mm钢管将踏板与底盘连接固定。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3" w:hRule="atLeast"/>
        </w:trPr>
        <w:tc>
          <w:tcPr>
            <w:tcW w:w="9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驾驶室</w:t>
            </w: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1、原装单排驾驶室，多功能方向盘，电动升降玻璃，电子中控锁；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2、电源总开关安装驾驶室，切换时有声音提示；预留北斗单独接口和功率≥1000W的逆变器（12V、24V、220V)；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安装360度全景行车记录仪及辅助系统，全车倒车雷达探头≥4个，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4、主副电动车窗，多功能方向盘,驾驶室翻转具有电动助力系统，采用双缸支撑机构；</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5、配备车载台，与采购方通信指挥系统配套使用，并根据客户需求写入通信频段。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9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w:t>
            </w: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▲额定功率≥90kW；最大功率≥100kW；频率50Hz；电压220-230V/380-400V，连续工作时间≥12h。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3" w:hRule="atLeast"/>
        </w:trPr>
        <w:tc>
          <w:tcPr>
            <w:tcW w:w="9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照明升降系统</w:t>
            </w: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▲1、主照明系统：型式：液压升降回转；主照明灯功率≥20kW、主照明灯≥18盏；主照明灯照度：100m 处各测试点照度≥5Lx，灯头防震，高压钠灯，工作高度≥15m，水平旋转角≥±360°，臂架俯仰角≥-60～60°，起升速度≤18s，具有旋转云台（仰俯、水平），无线遥控等功能；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▲2、辅助照明系统：主灯功率≥4×1000W ；最大举升高度≥10m；石英卤素灯；辅助照明灯照度：30m处各测试点照度≥5Lx；</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3、配电柜：设有AC220V输出接口和AC380V输出接口，可通过发电机为照明灯、卷线盘等器材供电。设有过载保护系统和监视仪表，各操作按钮均标有明显的操作标识，并带有漏电保护、短路保护和接地保护装置。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9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移动照明灯具</w:t>
            </w: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▲1、数量：≥2套（每套≥2盏），每盏功率≥500W，石英卤素灯，灯架举升高度≥3m；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2、电缆线盘：电压：220V/380V、频率：50Hz、数量：30m（220V）≥6盘，30米（380V）≥4盘。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3、含静音发电机2套，每台功率≥4kW；</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4、配备充电式移动照明灯≥6套，具备背负及拖行功能，额定电压≥20V，额定功率≥40W，满电状态下连续工作时间≥12h，重量≤10kg，器材箱内设置相应充电底座，实现同时自主充电和存放功能。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9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臂架系统</w:t>
            </w: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▲臂架结构：3节伸缩臂，旋转角≥±170°，支腿设置水平仪、配备备用动力应急泵、液压油箱应设置温度油位计，标明限位、工作压力≥15MPa、抗风等级大于十级、有风速风向检测装置和报警系统。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9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器材箱</w:t>
            </w: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1、材质：骨架为优质不锈钢型材。内饰板为≥2.0mm、内饰底板为≥2.5mm氧化铝合金花纹板或不低于同等性能材质；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2、结构：器材放置位置设计合理，放置器材隔断空间可调整；对车厢内部需要检测的部件，在适当部位须安有活门，其他需要进入车内部检查和维修的地方也应敞开或有可移动的板；</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卷帘门：所有器材厢采用带锁卷帘门，把手和锁坚固耐用，不宜变形，密封性能要经过水淋试验，卷帘门两侧滑道内固定滑块有固定装置以免脱落。每个器材厢内有LED照明灯带，由卷帘门开闭控制，并在驾驶室内有集中控制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3" w:hRule="atLeast"/>
        </w:trPr>
        <w:tc>
          <w:tcPr>
            <w:tcW w:w="9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电气系统</w:t>
            </w:r>
          </w:p>
        </w:tc>
        <w:tc>
          <w:tcPr>
            <w:tcW w:w="699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驾驶室顶部前端装配有红色长排LED警灯；车顶两侧装配红色频闪警灯；车辆两侧及后方，加装LED长条照明射灯，左右各2个，后侧1个，照明功率≥200W，所有控制开关设在驾驶室内，两侧警灯及照明灯安装防护网；安装警报器，功率≥200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2、警报器、警灯、电台、器材箱照明等上装部分电气为独立式附加电路，控制器件安装在驾驶室内，所有操作按钮有中文防水标识；</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电气系统线路改装要求：整车电路标识清楚，每根电线都具备单独编号，整车电气系统线路采用铜芯电线，正负电极线路颜色区分明显，改装线路具有防水、防尘性能，各线路捆扎整齐，线路铺设位置便于检查维修；改装线路裸露在车体外部、接近热源、靠近油箱等情况下应加装隔板或相应的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9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随车资料</w:t>
            </w: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整车使用说明书、消防车使用说明书及电子版光盘、维修保养手册、整车合格证、底盘合格证、消防泵、消防炮使用说明书、底盘随车工具和随车器材及易损件清单；操作培训视频，消防车VIN码及发动机号拓印件2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99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总体要求</w:t>
            </w: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1、所有操作开关、仪表、器材架及车辆均有符合规范的中文防水标识铭牌，加装应急充电、充气装置。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9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2、配备钢链或优于此材质的防滑链一套（满足在驱动轮安装）。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9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3、车顶设有高度为150mm～200mm的防护栏板、车顶喷涂防滑颗粒并设置锚点装置；车辆后尾部设有铝合金爬梯。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9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4、车用易损件按照1:2随车配备，交车时燃油量处于满载状态。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9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5、整车质保期5年，底盘出厂日期不早于2024年1月1日。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99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000000" w:themeColor="text1"/>
                <w:sz w:val="21"/>
                <w:szCs w:val="21"/>
                <w:highlight w:val="none"/>
                <w14:textFill>
                  <w14:solidFill>
                    <w14:schemeClr w14:val="tx1"/>
                  </w14:solidFill>
                </w14:textFill>
              </w:rPr>
              <w:t xml:space="preserve"> ★6、所投型号车辆，应符合《消防车 第 1 部分：通用技术条件》( GB7956.1-2014)、《消防车 第16部分：照明消防车》（GB 7956.16-2019）的标准要求，提供整车设计效果图，包括整车结构图、三维效果图等。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99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998"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7、外观标识符合《消防救援局关于做好消防救援车辆外观制式涂装工作的通知》应急消〔2019〕76号文件要求。</w:t>
            </w:r>
          </w:p>
        </w:tc>
      </w:tr>
    </w:tbl>
    <w:p>
      <w:pPr>
        <w:pStyle w:val="25"/>
        <w:rPr>
          <w:color w:val="auto"/>
          <w:highlight w:val="none"/>
        </w:rPr>
      </w:pPr>
    </w:p>
    <w:p>
      <w:pPr>
        <w:pStyle w:val="25"/>
        <w:jc w:val="center"/>
        <w:rPr>
          <w:rFonts w:hint="eastAsia"/>
          <w:color w:val="auto"/>
          <w:sz w:val="30"/>
          <w:szCs w:val="30"/>
          <w:highlight w:val="none"/>
          <w:lang w:val="en-US" w:eastAsia="zh-CN"/>
        </w:rPr>
      </w:pPr>
    </w:p>
    <w:p>
      <w:pPr>
        <w:pStyle w:val="25"/>
        <w:jc w:val="center"/>
        <w:rPr>
          <w:rFonts w:hint="eastAsia"/>
          <w:color w:val="auto"/>
          <w:sz w:val="30"/>
          <w:szCs w:val="30"/>
          <w:highlight w:val="none"/>
          <w:lang w:val="en-US" w:eastAsia="zh-CN"/>
        </w:rPr>
      </w:pPr>
      <w:r>
        <w:rPr>
          <w:rFonts w:hint="eastAsia"/>
          <w:color w:val="auto"/>
          <w:sz w:val="30"/>
          <w:szCs w:val="30"/>
          <w:highlight w:val="none"/>
          <w:lang w:val="en-US" w:eastAsia="zh-CN"/>
        </w:rPr>
        <w:t>第二包</w:t>
      </w:r>
    </w:p>
    <w:p>
      <w:pPr>
        <w:pStyle w:val="25"/>
        <w:rPr>
          <w:color w:val="auto"/>
          <w:highlight w:val="none"/>
        </w:rPr>
      </w:pPr>
    </w:p>
    <w:tbl>
      <w:tblPr>
        <w:tblStyle w:val="39"/>
        <w:tblW w:w="82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6"/>
        <w:gridCol w:w="1574"/>
        <w:gridCol w:w="4295"/>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83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标的名称</w:t>
            </w:r>
          </w:p>
        </w:tc>
        <w:tc>
          <w:tcPr>
            <w:tcW w:w="157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购置单位</w:t>
            </w:r>
          </w:p>
        </w:tc>
        <w:tc>
          <w:tcPr>
            <w:tcW w:w="429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预算价格（万元）</w:t>
            </w:r>
          </w:p>
        </w:tc>
        <w:tc>
          <w:tcPr>
            <w:tcW w:w="157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装备抢修车</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乌鲁木齐市消防救援支队</w:t>
            </w:r>
          </w:p>
        </w:tc>
        <w:tc>
          <w:tcPr>
            <w:tcW w:w="4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120</w:t>
            </w:r>
          </w:p>
        </w:tc>
        <w:tc>
          <w:tcPr>
            <w:tcW w:w="157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83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744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3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底盘</w:t>
            </w:r>
          </w:p>
        </w:tc>
        <w:tc>
          <w:tcPr>
            <w:tcW w:w="744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▲1、国产货车或消防车专用底盘，比功率≥11kW/t。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3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▲2、发动机功率≥250kW。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3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3、尾气排放满足国VIb标准。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4、轮胎使用钢丝胎（含三包凭证）。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驾驶室</w:t>
            </w: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1、原车驾驶室，配备空调和暖风系统，座位数≥3(设置安全带)。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2、电源总开关安装驾驶室，切换时有声音提示，预留北斗独立接口和功率≥1000W的逆变器（12V、24V、220V)。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3、安装360°全景行车记录仪及辅助系统，具有转向影像功能，全车倒车雷达探头≥4个，系统配备超清夜视摄像头和彩色显示屏，显示屏分辨率≥1080P，屏幕尺寸≥7寸，支持分屏、单屏等多种模式，存储卡容量≥128G，可自动分段录制、循环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4、配备车载台，与采购方通信指挥系统配套使用，并根据客户需求写入通信频段。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电气系统</w:t>
            </w: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1、驾驶室顶部前端装配备红色长排频闪警灯，车体两侧、车尾部及车辆前脸安装红色频闪警灯，车辆两侧及尾部加装外部工作照明灯，采用LED光源；安装警报器，功率≥200W。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2、警报器、警灯、电台、器材箱照明等上装部分电气为独立式附加电路，控制器件安装在驾驶室内。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3、安装360度全景行车记录仪辅助系统，配备超清夜视摄像头和彩色显示屏，分辨率≥1080P，尺寸≥7寸，支持分屏、单屏等多种模式，存储卡≥32G；行车记录仪采用自动分段录制，记录卡录满后可以自行删除最早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4、加装快速充电充气装置，外接220V电源时，完成快速充电、充气两种功能，启动车辆时插头自动弹开，保证消防车辆快速出警，双用接头。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器材箱</w:t>
            </w: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1、车厢主体骨架为高强度铝型焊接结构，外蒙板为优质铝合金，地面采用防滑耐磨材料。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2、车厢按功能进行分舱，分为工具配件舱、维修作业舱、设备舱和油品舱等，可装配操作台、供电、供气、照明、拖车、维修工具、量具、检测工具等维修设备和警戒器材等（维修设备配置清单由需求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3、车厢右侧前部设置一扇手推拉门，左右两侧各设置若干个向外开启的手推拉窗，顶部设置1个换气窗。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▲4、尾部配备液压尾板，额定起重≥2吨。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5、预留液压绞盘安装位置，液压系统根据采购方需求协商确定。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6、具备硬牵引拖车功能，可实现给故障车快速充气、充电功能。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供电系统</w:t>
            </w: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▲1、配备独立供电系统，发电机功率≥30KW，可输出220V和380V电压，配备线盘各2盘，每盘长度≥40米，同时，可外接电源220V市电。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▲2、配备2套移动照明灯架和LED照明灯组，车厢各仓采用LED照明灯，车厢外部上方设置向下的泛光灯（每侧至少3个，可单边控制）；工作台设置单独照明灯和220V电源插座，每侧各3个。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▲3、车厢内配备冷暖变频吸顶式空调1台；空气压缩机1台，排气量≥550L/min，工作压力≥1.6Mpa，电机功率≥4KW。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上装-信</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息采集装</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置</w:t>
            </w:r>
          </w:p>
        </w:tc>
        <w:tc>
          <w:tcPr>
            <w:tcW w:w="7443"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1、采集底盘系统输出信息主要包含里程、燃油使用总量、发动机工作时间、燃料液面、发动机转速、车速、发动机夜温度高报警、机油液位低报警等信息。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2、具有上装及底盘系统信息采集与远程传输功能，同时具有独立管理平台，实现采集信息接收、存储及业务管理功能，相关采集信息能够接入到新版消防装备物资管理系统中。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8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总体要求</w:t>
            </w: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1、所有操作开关、仪表、器材架及车辆均有符合规范的中文防水标识标注。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★2、所投型号车辆，总体性能符合《消防车 第1部分：通用技术条件》（GB7956.1-2014）《消防车 第14部分：抢险救援消防车》（GB7956.14-2015），提供整车设计效果图，包括整车结构图、三维效果图等。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3、外观标识符合《消防救援局关于做好消防救援车辆外观制式涂装工作的通知》应急消〔2019〕76号文件要求。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4、车用易损件按照1:2随车配备（含1条全尺寸原装备胎），交车时车用油、水、电、气等各项指标处于齐备状态。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5、随车配备液压绞盘1台（牵引力≥10t），配备钢链或优于此材质的防滑链一套（满足在驱动轮安装）。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6、整车质保5年，底盘出厂日期不早于2024年1月1日。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44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 xml:space="preserve"> 7、投标时，投标商要提供整车设计效果图，包括整体结构图、三维效果图等。</w:t>
            </w:r>
          </w:p>
        </w:tc>
      </w:tr>
    </w:tbl>
    <w:p>
      <w:pPr>
        <w:pStyle w:val="25"/>
        <w:rPr>
          <w:color w:val="auto"/>
          <w:highlight w:val="none"/>
        </w:rPr>
      </w:pPr>
    </w:p>
    <w:p>
      <w:pPr>
        <w:pStyle w:val="25"/>
        <w:rPr>
          <w:color w:val="auto"/>
          <w:highlight w:val="none"/>
        </w:rPr>
      </w:pPr>
    </w:p>
    <w:p>
      <w:pPr>
        <w:pStyle w:val="25"/>
        <w:jc w:val="center"/>
        <w:rPr>
          <w:rFonts w:hint="eastAsia"/>
          <w:color w:val="auto"/>
          <w:sz w:val="30"/>
          <w:szCs w:val="30"/>
          <w:highlight w:val="none"/>
          <w:lang w:val="en-US" w:eastAsia="zh-CN"/>
        </w:rPr>
      </w:pPr>
    </w:p>
    <w:tbl>
      <w:tblPr>
        <w:tblStyle w:val="39"/>
        <w:tblW w:w="81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1"/>
        <w:gridCol w:w="4228"/>
        <w:gridCol w:w="1410"/>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1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标的名称</w:t>
            </w:r>
          </w:p>
        </w:tc>
        <w:tc>
          <w:tcPr>
            <w:tcW w:w="422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购置单位</w:t>
            </w:r>
          </w:p>
        </w:tc>
        <w:tc>
          <w:tcPr>
            <w:tcW w:w="141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预算单价（万元）</w:t>
            </w:r>
          </w:p>
        </w:tc>
        <w:tc>
          <w:tcPr>
            <w:tcW w:w="140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111"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供气消防车</w:t>
            </w: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乌鲁木齐市消防救援支队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172</w:t>
            </w:r>
          </w:p>
        </w:tc>
        <w:tc>
          <w:tcPr>
            <w:tcW w:w="14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11"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7047"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11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底盘</w:t>
            </w:r>
          </w:p>
        </w:tc>
        <w:tc>
          <w:tcPr>
            <w:tcW w:w="7047"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1、底盘:/；</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2、驱动形式：4×2。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5"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驾驶室</w:t>
            </w: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1、原装单排驾驶室，多功能方向盘，电动升降玻璃，电子中控锁；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2、电源总开关安装驾驶室，切换时有声音提示；预留北斗单独接口和功率≥1000W的逆变器（12V、24V、220V)；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安装360度全景行车记录仪及辅助系统，全车倒车雷达探头≥4个，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4、主副电动车窗，多功能方向盘,驾驶室翻转具有电动助力系统，采用双缸支撑机构；</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5、配备品牌车载台，与采购方通信指挥系统配套使用，并根据客户需求写入通信频段。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8"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发动机</w:t>
            </w: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柴油发动机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▲1．额定功率：≥250kW；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▲2.排放标准：满足国Ⅵb；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3.变速箱：手动变速箱；</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4.取力器：底盘原装取力器。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9"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车厢</w:t>
            </w: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1、材质：车厢采用高强度铝合金型材，内饰板采用铝合金板；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结构：车厢骨架采用焊接、搭接、铆接、螺栓连接等有效连接方式，确保牢固可靠，外蒙皮为铝合金板粘接；车厢内器材骨架能根据采购人要求灵活布局，最大限度地提高空间利用率，在器材箱内可选用新型滑动托架、拖板或高强度的塑料存放盒等存放结构，经久耐用；内饰板和底板均为光面拉丝铝合金板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3、车厢门：左右两侧采用上下双开式电控液压翻转门，尾部采用上翻式板式门；</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4、后爬梯：车厢后部右侧设置一架通往车顶的铝合金安全爬梯。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脚踏板</w:t>
            </w: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1、材质：铝合金；</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2、结构：踏板面采用防滑设计，带双重锁定功能，防止踏板在行车过程中发生翻转。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9"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电气系统</w:t>
            </w: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驾驶室顶部前端装配有红色长排LED警灯；车顶两侧装配红色频闪警灯；安装警报器，功率≥200W；车辆两侧及后方，加装LED长条照明射灯，左右各2个，后侧1个，照明功率≥200W，所有控制开关设在驾驶室内，两侧警灯及照明灯安装防护网；安装警报器，功率≥200W；</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电气系统线路改装要求：整车电路标识清楚，每根电线都具备单独编号，整车电气系统线路采用铜芯电线，正负电极线路颜色区分明显，改装线路具有防水、防尘性能，各线路捆扎整齐，线路铺设位置便于检查维修。改装线路裸露在车体外部、接近热源、靠近油箱等情况下应加装隔板或相应的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车载供气系统</w:t>
            </w:r>
          </w:p>
        </w:tc>
        <w:tc>
          <w:tcPr>
            <w:tcW w:w="7047"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1、系统组成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2、品牌：/</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组成：系统由高压压缩机、呼吸空气净化过滤系统、高压空气储存系统、全自动阶梯式充气控制系统：采用4阶梯全自动充气控制、防爆充气箱、PLC全自动控制系统、全自动空气质量监控系统、空气冷干机等组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4、▲充气时间： 单个6.8L气瓶由空气储存装置充气≤125s ；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5、▲单个6.8L气瓶由空压机直接充气≤140s。</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6、高压压缩机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7、驱动型式：发电机驱动；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8、排气压力：≥40MPa；</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9、▲最大流量：≥2000 L/min；</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10、最大驱动功率：≥45kW；</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11、环境温度：3～45 ℃ /min；</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12、呼吸空气过滤净化系统</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13、净化系统包含机械式过滤分离器以及由活性碳、分子筛、一氧化碳吸收分子构成三重呼吸空 气净化过滤器,并且配有安全阀、压力表、背压阀、单向阀及自手动排污装置等；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14、▲过滤能力（30MPa 排气压力下）：≥7000m³；</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15、过滤效果：一氧化碳（CO）: ≤15ppm，二氧化碳（CO2）: ≤500ppm，压力露点: ≤ 环境温度5℃，水含量: ≤ 35mg/m3，油含量：≤0.5ppm。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16、高压空气储存系统</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17、高压空气储存系统包含16个50L、40MPa钢瓶，钢瓶压力表、钢瓶安全阀、钢瓶截止阀、钢瓶支架等，同时配有钢瓶压力监视开关，一旦钢瓶内空气压力在存储过程中出现压力不足，及时发出声光报警，提示操作人员及时检查并补充空气，防止在紧急状况时没有足够的空气进行充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18、总容积：≥800L；</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19、最大工作压力≥40MPa；</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20、▲钢瓶：≥16个（50L，40MPa），钢瓶截止阀：4个（每组钢瓶一个），压力表： 4 个（每组钢瓶一个），安全阀：4 个（每组钢瓶一个），低压报警：1 套（监控钢瓶压力，过低声光报警），钢瓶支架：1 套，含钢瓶固定架，橡胶垫，前后封板；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21、防爆充气箱</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22、▲设计：≥2套，外箱采用双层钢板；内箱中碳纤维瓶放置位置单独隔开，中间采用钢板分割，防爆箱和人员间的钢板厚度≥9mm，保障人员的安全。外箱内层和箱体底部开有泄压孔，气瓶发生爆破时，膨胀的压缩空气可通过内外箱之间的空间和箱体底部泄压孔排出，防止对人员的伤害。</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23、单个防爆充气箱参数：工位≥4个（满足放置9L气瓶)，进气调压阀：≥1个，压力表：≥6个，压力报警器：≥1个（用于纤维瓶），充气/泄压阀：≥4套（充气及用于纤维瓶连接软管泄压），软管：≥4根（用于纤维瓶连接软管泄压）。</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24、全自动控制系统</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25、该控制系统可对充填泵、钢瓶组等系统进行监视、设定和安全保护。自动控制充填泵的运行，提供故障报警及停机，显示故障原因，显示维护建议。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26、全自动空气质量监控系统</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27、▲功能：（1）实时测量呼吸空气中H2O（水含量）含量，反应滤芯的使用情况提示更换滤芯；</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28、（2）空气质量通过PLC显示。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29、空气冷干机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30、通过使用呼吸空气冷冻干燥机将压缩空气温度降低至2～10摄氏度，大部分冷凝液通过冷冻式干燥机在气液分离器中分离，从而达到进行额外冷却净化的目的。</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31、▲最大流量：≥2000L/min。空呼架 空气呼吸器备用瓶架可摆放9L通用空呼器瓶≥50具。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空呼架</w:t>
            </w:r>
          </w:p>
        </w:tc>
        <w:tc>
          <w:tcPr>
            <w:tcW w:w="7047"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空气呼吸器备用瓶架可摆放9L通用空呼器瓶≥50具。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11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上装-信息采集装置</w:t>
            </w: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1、采集底盘系统输出信息主要包含里程、燃油使用总量、发动机工作时间、燃料液面、发动机转速、车速、发动机夜温度高报警、机油液位低报警等信息。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2、具有上装及底盘系统信息采集与远程传输功能，同时具有独立管理平台，实现采集信息接收、存储及业务管理功能，相关采集信息能够接入到新版消防装备物资管理系统中。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11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总体要求</w:t>
            </w: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 xml:space="preserve"> 1、所有操作开关、仪表、器材架及车辆均有符合规范的中文防水标识铭牌，加装应急充电、充气装置。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 xml:space="preserve"> 2、配备钢链或优于此材质的防滑链一套（满足在驱动轮安装）。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 xml:space="preserve"> 3、车顶设有高度为150mm～200mm的防护栏板、车顶喷涂防滑颗粒并设置锚点装置；车辆后尾部设有铝合金爬梯。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 xml:space="preserve"> 4、车用易损件按照1:2随车配备，交车时燃油量处于满载状态。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 xml:space="preserve"> 5、整车质保期5年，底盘出厂日期不早于2024年1月1日。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000000" w:themeColor="text1"/>
                <w:sz w:val="21"/>
                <w:szCs w:val="21"/>
                <w:highlight w:val="none"/>
                <w14:textFill>
                  <w14:solidFill>
                    <w14:schemeClr w14:val="tx1"/>
                  </w14:solidFill>
                </w14:textFill>
              </w:rPr>
              <w:t xml:space="preserve"> ★6、所投型号车辆，应符合《消防车 第 1 部分：通用技术条件》( GB7956.1-2014)《消防车 第23部分：供气消防车》 （GB 7956.23-2019 ）的标准要求，提供整车设计效果图，包括整车结构图、三维效果图等。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47"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 xml:space="preserve"> 7、外观标识符合《消防救援局关于做好消防救援车辆外观制式涂装工作的通知》应急消〔2019〕76号文件要求。</w:t>
            </w:r>
          </w:p>
        </w:tc>
      </w:tr>
    </w:tbl>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rFonts w:hint="eastAsia"/>
          <w:color w:val="auto"/>
          <w:highlight w:val="none"/>
          <w:lang w:eastAsia="zh-CN"/>
        </w:rPr>
      </w:pPr>
    </w:p>
    <w:p>
      <w:pPr>
        <w:pStyle w:val="25"/>
        <w:rPr>
          <w:rFonts w:hint="eastAsia"/>
          <w:color w:val="auto"/>
          <w:highlight w:val="none"/>
          <w:lang w:eastAsia="zh-CN"/>
        </w:rPr>
      </w:pPr>
    </w:p>
    <w:p>
      <w:pPr>
        <w:pStyle w:val="25"/>
        <w:rPr>
          <w:rFonts w:hint="eastAsia"/>
          <w:color w:val="auto"/>
          <w:highlight w:val="none"/>
          <w:lang w:eastAsia="zh-CN"/>
        </w:rPr>
      </w:pPr>
    </w:p>
    <w:p>
      <w:pPr>
        <w:pStyle w:val="25"/>
        <w:rPr>
          <w:rFonts w:hint="eastAsia"/>
          <w:color w:val="auto"/>
          <w:highlight w:val="none"/>
          <w:lang w:eastAsia="zh-CN"/>
        </w:rPr>
      </w:pPr>
    </w:p>
    <w:p>
      <w:pPr>
        <w:pStyle w:val="25"/>
        <w:rPr>
          <w:rFonts w:hint="eastAsia"/>
          <w:color w:val="auto"/>
          <w:highlight w:val="none"/>
          <w:lang w:eastAsia="zh-CN"/>
        </w:rPr>
      </w:pPr>
    </w:p>
    <w:p>
      <w:pPr>
        <w:pStyle w:val="25"/>
        <w:rPr>
          <w:rFonts w:hint="eastAsia"/>
          <w:color w:val="auto"/>
          <w:highlight w:val="none"/>
          <w:lang w:eastAsia="zh-CN"/>
        </w:rPr>
      </w:pPr>
    </w:p>
    <w:p>
      <w:pPr>
        <w:pStyle w:val="25"/>
        <w:rPr>
          <w:rFonts w:hint="eastAsia"/>
          <w:color w:val="auto"/>
          <w:highlight w:val="none"/>
          <w:lang w:eastAsia="zh-CN"/>
        </w:rPr>
      </w:pPr>
    </w:p>
    <w:p>
      <w:pPr>
        <w:pStyle w:val="25"/>
        <w:rPr>
          <w:rFonts w:hint="eastAsia"/>
          <w:color w:val="auto"/>
          <w:highlight w:val="none"/>
          <w:lang w:eastAsia="zh-CN"/>
        </w:rPr>
      </w:pPr>
    </w:p>
    <w:p>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p>
    <w:p>
      <w:pPr>
        <w:pStyle w:val="38"/>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color w:val="auto"/>
          <w:kern w:val="2"/>
          <w:sz w:val="24"/>
          <w:szCs w:val="24"/>
          <w:highlight w:val="none"/>
          <w:lang w:val="en-US" w:eastAsia="zh-CN" w:bidi="ar-SA"/>
        </w:rPr>
      </w:pPr>
    </w:p>
    <w:p>
      <w:pPr>
        <w:pStyle w:val="38"/>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color w:val="auto"/>
          <w:kern w:val="2"/>
          <w:sz w:val="24"/>
          <w:szCs w:val="24"/>
          <w:highlight w:val="none"/>
          <w:lang w:val="en-US" w:eastAsia="zh-CN" w:bidi="ar-SA"/>
        </w:rPr>
      </w:pPr>
    </w:p>
    <w:p>
      <w:pPr>
        <w:rPr>
          <w:rFonts w:hint="eastAsia"/>
          <w:color w:val="auto"/>
          <w:highlight w:val="none"/>
          <w:lang w:val="en-US" w:eastAsia="zh-CN"/>
        </w:rPr>
      </w:pPr>
      <w:r>
        <w:rPr>
          <w:rFonts w:hint="eastAsia"/>
          <w:color w:val="auto"/>
          <w:highlight w:val="none"/>
          <w:lang w:val="en-US" w:eastAsia="zh-CN"/>
        </w:rPr>
        <w:br w:type="page"/>
      </w:r>
    </w:p>
    <w:p>
      <w:pPr>
        <w:jc w:val="center"/>
        <w:rPr>
          <w:rFonts w:hint="eastAsia"/>
          <w:color w:val="auto"/>
          <w:sz w:val="30"/>
          <w:szCs w:val="30"/>
          <w:highlight w:val="none"/>
          <w:lang w:val="en-US" w:eastAsia="zh-CN"/>
        </w:rPr>
      </w:pPr>
      <w:r>
        <w:rPr>
          <w:rFonts w:hint="eastAsia"/>
          <w:color w:val="auto"/>
          <w:sz w:val="30"/>
          <w:szCs w:val="30"/>
          <w:highlight w:val="none"/>
          <w:lang w:val="en-US" w:eastAsia="zh-CN"/>
        </w:rPr>
        <w:t>第三包</w:t>
      </w:r>
    </w:p>
    <w:tbl>
      <w:tblPr>
        <w:tblStyle w:val="39"/>
        <w:tblW w:w="78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2"/>
        <w:gridCol w:w="1417"/>
        <w:gridCol w:w="1417"/>
        <w:gridCol w:w="2834"/>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812"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标的名称</w:t>
            </w:r>
          </w:p>
        </w:tc>
        <w:tc>
          <w:tcPr>
            <w:tcW w:w="141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购置单位</w:t>
            </w:r>
          </w:p>
        </w:tc>
        <w:tc>
          <w:tcPr>
            <w:tcW w:w="141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座位数</w:t>
            </w:r>
          </w:p>
        </w:tc>
        <w:tc>
          <w:tcPr>
            <w:tcW w:w="283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预算价格（万元）</w:t>
            </w:r>
          </w:p>
        </w:tc>
        <w:tc>
          <w:tcPr>
            <w:tcW w:w="1417"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1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运兵车A</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乌鲁木齐市消防救援支队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41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12"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7085"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1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底盘</w:t>
            </w:r>
          </w:p>
        </w:tc>
        <w:tc>
          <w:tcPr>
            <w:tcW w:w="7085"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1、国产底盘，4×2驱动形式，车辆长度≥10500mm、宽度≥2500mm、高度≥3400mm。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1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 xml:space="preserve"> ▲2、发动机功率≥230kW，燃油形式：柴油；变速箱采用自动或手动变速箱。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1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085"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 xml:space="preserve"> 3、尾气排放满足国VIb标准。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1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驾驶室</w:t>
            </w:r>
          </w:p>
        </w:tc>
        <w:tc>
          <w:tcPr>
            <w:tcW w:w="7085"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 xml:space="preserve"> 1、选用双风挡玻璃新款车型，驾驶室与乘员室相通，安装电动后视镜并具有加热除霜功能。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1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085"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 xml:space="preserve"> 2、除原车设备外，加装广播系统、200W警报器、预留北斗和笔记本电脑电源接口、电源接口(12V、24V)，车顶设扬声器等设备。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1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 xml:space="preserve"> ▲3、座位数≥40（不含驾驶员）。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1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座椅系统</w:t>
            </w:r>
          </w:p>
        </w:tc>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1、乘客座椅：带扶手、靠背可调。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1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 xml:space="preserve"> 2、全车两点式卷收安全带（左右第一排、应急门后第一排、最后排座椅三点式安全带）。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1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空调系统</w:t>
            </w:r>
          </w:p>
        </w:tc>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▲空调，制冷量≥28000KCal/h；带换气扇顶风窗，数量≥2个。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1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暖风系统</w:t>
            </w:r>
          </w:p>
        </w:tc>
        <w:tc>
          <w:tcPr>
            <w:tcW w:w="7085"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配备燃油暖风机，乘员室内散热器数量≥6组，安装有前挡风玻璃和驾驶区侧玻璃大功率除霜器。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trPr>
        <w:tc>
          <w:tcPr>
            <w:tcW w:w="81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电气系统</w:t>
            </w:r>
          </w:p>
        </w:tc>
        <w:tc>
          <w:tcPr>
            <w:tcW w:w="7085"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1、驾驶室顶部前端装配有红色长排LED超薄红色警灯；车辆前脸和尾部、车顶两侧装配红色爆闪警灯；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2、车顶两侧及尾部安装外照明灯，采用LED光源，用于夜间辅助照明；</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2、安装警报器，功率≥200W；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3、配备车载台，与采购方通信指挥系统配套使用，并根据客户需求写入通信频段；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4、安装360°全景行车记录仪及辅助系统，系统配备超清夜视摄像头和彩色显示屏，显示屏分辨率1080P，屏幕尺寸7寸，支持分屏、单屏等多种模式，存储卡容量128G，可自动分段录制、循环保存。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1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w:t>
            </w:r>
          </w:p>
        </w:tc>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★1、整车性能符合国家规定，车身颜色符合 GB/T3181中规定的RO3大红色，外观标识符合《消防救援局关于做好消防救援车辆外观制式涂装工作的通知》应急消〔2019〕76号文件要求。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trPr>
        <w:tc>
          <w:tcPr>
            <w:tcW w:w="81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FF0000"/>
                <w:kern w:val="0"/>
                <w:sz w:val="21"/>
                <w:szCs w:val="21"/>
                <w:highlight w:val="none"/>
                <w:u w:val="none"/>
                <w:lang w:val="en-US" w:eastAsia="zh-CN" w:bidi="ar"/>
              </w:rPr>
              <w:t>随车资料</w:t>
            </w:r>
          </w:p>
        </w:tc>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交车时提供整车合格证1份、底盘合格证1份、</w:t>
            </w:r>
            <w:r>
              <w:rPr>
                <w:rFonts w:hint="eastAsia" w:ascii="宋体" w:hAnsi="宋体" w:eastAsia="宋体" w:cs="宋体"/>
                <w:i w:val="0"/>
                <w:iCs w:val="0"/>
                <w:color w:val="FF0000"/>
                <w:kern w:val="0"/>
                <w:sz w:val="21"/>
                <w:szCs w:val="21"/>
                <w:highlight w:val="none"/>
                <w:u w:val="none"/>
                <w:lang w:val="en-US" w:eastAsia="zh-CN" w:bidi="ar"/>
              </w:rPr>
              <w:t>一致性证书1份、</w:t>
            </w:r>
            <w:r>
              <w:rPr>
                <w:rFonts w:hint="eastAsia" w:ascii="宋体" w:hAnsi="宋体" w:eastAsia="宋体" w:cs="宋体"/>
                <w:i w:val="0"/>
                <w:iCs w:val="0"/>
                <w:color w:val="auto"/>
                <w:kern w:val="0"/>
                <w:sz w:val="21"/>
                <w:szCs w:val="21"/>
                <w:highlight w:val="none"/>
                <w:u w:val="none"/>
                <w:lang w:val="en-US" w:eastAsia="zh-CN" w:bidi="ar"/>
              </w:rPr>
              <w:t>提供3C证书、整车购置发票1套、底盘发动机号拓印件2份、车架识别代号拓印件2份、整车照片（车头左前方45°角方向拍摄）2份、底盘使用说明书、底盘质量保修卡、车辆使用说明书、随车器材清单、车辆跟踪服务卡、车辆交接清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总体要求</w:t>
            </w:r>
          </w:p>
        </w:tc>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 xml:space="preserve"> 1、所有操作开关、仪表均有符合规范的中文防水标识铭牌。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1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 xml:space="preserve"> 2、车用易损件按照1:2随车配备，交车时车用油、水、电、气等各项指标处于齐备状态。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1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3、整车质保期自购车发票开具之日起</w:t>
            </w:r>
            <w:r>
              <w:rPr>
                <w:rFonts w:hint="eastAsia"/>
                <w:color w:val="000000" w:themeColor="text1"/>
                <w:sz w:val="21"/>
                <w:szCs w:val="21"/>
                <w:highlight w:val="none"/>
                <w:lang w:val="en-US" w:eastAsia="zh-CN"/>
                <w14:textFill>
                  <w14:solidFill>
                    <w14:schemeClr w14:val="tx1"/>
                  </w14:solidFill>
                </w14:textFill>
              </w:rPr>
              <w:t>三</w:t>
            </w:r>
            <w:r>
              <w:rPr>
                <w:rFonts w:hint="eastAsia"/>
                <w:color w:val="000000" w:themeColor="text1"/>
                <w:sz w:val="21"/>
                <w:szCs w:val="21"/>
                <w:highlight w:val="none"/>
                <w14:textFill>
                  <w14:solidFill>
                    <w14:schemeClr w14:val="tx1"/>
                  </w14:solidFill>
                </w14:textFill>
              </w:rPr>
              <w:t>年，底盘出厂日期不早于2024年1月1日。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1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085" w:type="dxa"/>
            <w:gridSpan w:val="4"/>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符合市场准入要求和国家相关标准（规范）要求，提供整车设计效果图，包括整车结构图、三维效果图等。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1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c>
          <w:tcPr>
            <w:tcW w:w="7085"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sz w:val="21"/>
                <w:szCs w:val="21"/>
                <w:highlight w:val="none"/>
              </w:rPr>
              <w:t xml:space="preserve"> 5、车辆交付时，可根据采购人需求定制座椅套和车窗玻璃膜。</w:t>
            </w:r>
          </w:p>
        </w:tc>
      </w:tr>
    </w:tbl>
    <w:p>
      <w:pPr>
        <w:rPr>
          <w:rFonts w:hint="default"/>
          <w:color w:val="auto"/>
          <w:highlight w:val="none"/>
          <w:lang w:val="en-US" w:eastAsia="zh-CN"/>
        </w:rPr>
      </w:pPr>
      <w:r>
        <w:rPr>
          <w:rFonts w:hint="default"/>
          <w:color w:val="auto"/>
          <w:highlight w:val="none"/>
          <w:lang w:val="en-US" w:eastAsia="zh-CN"/>
        </w:rPr>
        <w:br w:type="page"/>
      </w:r>
    </w:p>
    <w:tbl>
      <w:tblPr>
        <w:tblStyle w:val="39"/>
        <w:tblW w:w="81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4"/>
        <w:gridCol w:w="2617"/>
        <w:gridCol w:w="2817"/>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64"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标的名称</w:t>
            </w:r>
          </w:p>
        </w:tc>
        <w:tc>
          <w:tcPr>
            <w:tcW w:w="261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购置单位</w:t>
            </w:r>
          </w:p>
        </w:tc>
        <w:tc>
          <w:tcPr>
            <w:tcW w:w="281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预算单价（万元）</w:t>
            </w:r>
          </w:p>
        </w:tc>
        <w:tc>
          <w:tcPr>
            <w:tcW w:w="168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饮食保障车</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乌鲁木齐市消防救援支队</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130</w:t>
            </w:r>
          </w:p>
        </w:tc>
        <w:tc>
          <w:tcPr>
            <w:tcW w:w="168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064"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名称</w:t>
            </w:r>
          </w:p>
        </w:tc>
        <w:tc>
          <w:tcPr>
            <w:tcW w:w="71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64"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整车参数</w:t>
            </w:r>
          </w:p>
        </w:tc>
        <w:tc>
          <w:tcPr>
            <w:tcW w:w="7114"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1、整车外形尺寸(长×宽×高)：≥9500×2500×3500mm；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2、最高车速：≥90km/h；</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▲3、保障能力：一次可满足≥150人次用餐。具有蒸、煮、炒等功能；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2"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底盘参数</w:t>
            </w: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1、底盘型号：国产优质底盘；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▲2、排放：国Ⅵb及以上标准；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▲3、底盘发动机：最大功率≥210kW ，比功率≥9kW/t，最大扭矩 ≥1100N·m；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▲4、驱动方式：4×2；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5、底盘油箱容积≥300L；</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6、变速箱：手动或自动；</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7、配置子午线钢丝胎或真空胎、配备原车全尺寸备胎，发动机及主要部件监测系统等设备；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3"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驾驶室参数</w:t>
            </w: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1、原装单排驾驶室，多功能方向盘，电动升降玻璃，电子中控锁；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2、电源总开关安装驾驶室，切换时有声音提示；预留北斗单独接口和功率≥1000W的逆变器（12V、24V、220V)；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安装360度全景行车记录仪及辅助系统，全车倒车雷达探头≥4个，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4、主副电动车窗，多功能方向盘,驾驶室翻转具有电动助力系统，采用双缸支撑机构；</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5、配备车载台，与采购方通信指挥系统配套使用，并根据客户需求写入通信频段。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4"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电气系统</w:t>
            </w: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1、车辆顶部安装有长排红色警灯，驾驶室内设置警灯警报器(功率≥200W)，厢体左右和后部安装有频闪警灯，数量≥6个；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2、舱内照明灯采用外部供电和车载发电机供电且能自动切换，满足整个箱体的照明；</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3、车外照明：车厢左、右、后上部各配置LED照明灯；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4、车厢两侧安装有内嵌式黄色警示闪光灯；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安装360度全景行车记录仪及辅助系统，全车倒车雷达探头≥4个，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6、配静音发电机，发电机满负荷工作时室内噪音≤60dB（可采用外置式发电机，工作时可将发电机移动到车外，从而降低车内噪音），发电机功率能满足车内电器供电需求，连续供电时间≥72小时。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3"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厢体</w:t>
            </w: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1、箱体采用复合大板结构，采用优质碳钢焊接而成，箱体外粘铆复合大板,箱体边线采用专用型材包覆；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厢体两侧板采用液压双开翼门，内部操作空间可满足操作人员在展开、半展开、未展开三种状态下正常炊事作业，展开后下翼开门有多点支撑平台，上部翼展门打开可作为遮雨棚。下部翼展门要求配不锈钢扶手，保证操作人员在车边时的安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3、厢体尾部要求设置一扇上车门，配上车梯；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4、厢体左右两侧分别设计有玻璃窗，供厢体内采光；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5、车辆后部设计有登顶爬梯；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6、在厢体左右两侧面的下方分别制有裙箱，配上掀式门；</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7、车厢底部加装电动液压驻车支腿。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6"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车辆布局</w:t>
            </w: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1、厢体内顶部安装换气天窗，具有进气、排气及掀开的功能，辅助对厢体内的空气进行交流；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2、在厢体内靠近前墙壁处安装一台冰柜及一套储物柜；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在厢体内布置有：1台副食灶至少具有两个灶眼并配两个炒锅，一个炖锅。具有独立的灶具内油箱，在灶台上方设计有烟道，同时安装有1台至少双抽油烟口的抽油烟机,烟道通过抽油烟机罩伸出车顶，将燃烧器的废气排出车外；</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4、副食灶有淘菜盆和不锈钢调理台。炊事用具在不使用时均固定存放在储藏柜内，以保证车辆在行驶时不移动、不发响；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5、厢体内适当位置安装有灭火器，发电机室安装有汽溶胶自动灭火装置；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、洗菜池、蒸箱、副食灶的污水可通过排水管汇入到污水箱，并可将箱内的污水统一排放到指定的位置；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、可采用车载发电机及外接市电的方式为整车各设备供电，具有电源逆变器，冰箱行驶过程中能正常使用；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、所有水箱及裸漏在外的水路设施做保温处理；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、厢体内应满足夏季高温及冬季严寒气候下人员炊事的适宜温度；</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、厢体内所有设备安装永久性操作流程示意图。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7"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饮食保障设备</w:t>
            </w: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蒸饭柜：不锈钢蒸饭柜的主要材料由不锈钢方管、不锈钢板（不低于1.2/1.5等不锈钢板）构成；箱体上端为蒸饭箱（蒸箱必须采用不低于304），为双门结构，须满足高原环境下正常使用（自动减压阀、压力需达到一个标准大气压），燃烧性能良好，要能够调整火苗大小；配备蒸箱液位观察计及箱内清洗排污口；顶部需配备压力表，以便观察蒸箱内的压力；箱内设计米饭蒸格和馒头蒸格应保证每次满足≥150人次食用，蒸饭能力≥80Kg/次，馒头≥450个/次，作业效率≥50min/次，额定热负荷≥50kW。整体进行隔热处理、设计排气管道及排热管道；配备使用及维护说明标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▲2、副食灶：包括两个炒锅（含增压锅盖）、一个炖锅（含增压锅盖）、一个不锈钢水池（洗菜盆）、切菜板和调料盒，以及烟道、排水槽等，应保证每次在一个小时内满足≥150人的供餐；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冰柜：采用不锈钢本色面板，双温冰箱，总容量≥900L、电子温控，由面板操作控制，温度可调；用于食品冷冻冷藏储存；配备逆变器，保障车辆行驶时冰箱正常工作，车辆驻车后切换电源，采用发电机或者市电供电；额定电压/频率：220V/50Hz；输入功率：≥400W；温度范围：-15～10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4、自动切菜机：功率≥550W，作业模式切片、切丝、切丁、切块，作业能力≥350Kg/h；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5、和面机：容积≥20L，单次和面≥8kg；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6、绞肉机：全不锈钢材质，具备绞肉、切肉功能，功率≥800W，作业能力≥150Kg/h；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▲7、开水器：直饮开水器，不锈钢材质，食品级≥304级别内胆，可提供温水和开水，温度可调，具备多重过滤、缺水防干烧、换芯提醒功能，开水供应量≥15L/h，温水供应量≥55L/h；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8、储物柜：采用≥1.2mm的不锈钢板折弯拼装焊接成型，安装可靠，柜门配装有不锈钢铰链、拉手和磁铁，以及限位器、要求各门板开关自如、无异响、锁止可靠；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9、油烟机：抽油烟机外壳采用≥1.5mm的不锈钢板制作，在其前端设计风机开关和滤网式反边（防滴油）；</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10、设置净水系统、微波炉、电磁炉等配套保障设备；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▲11、水箱：配备净水箱和污水箱，采用不锈钢材质，净水箱容量≥1000L，预留注水口，可通过自来水或消防车水泵注水；污水箱容量≥200L；</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12、炊事燃油箱：储油箱和工作油箱各一个，储油箱配电动油泵实现向工作油箱电动供油，带油位显示及控制，容量≥150L。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技术指标</w:t>
            </w: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1、要求投标厂家具有机器人焊机自动化工作站，投标时需提供自动化工作站采购合同复印件作为证明文件；</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2、供应商工艺装备情况(拥用先进的数控折弯机、激光切割机，数控剪板、数控冲床机、专业喷漆烤房等（需提供设备照片和购买合同证明材料）。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064"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上装-信息采集装置</w:t>
            </w: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1、采集底盘系统输出信息主要包含里程、燃油使用总量、发动机工作时间、燃料液面、发动机转速、车速、发动机夜温度高报警、机油液位低报警等信息；</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2、具有上装及底盘系统信息采集与远程传输功能，同时具有独立管理平台，实现采集信息接收、存储及业务管理功能，相关采集信息能够接入到新版消防装备物资管理系统中。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随车资料</w:t>
            </w:r>
          </w:p>
        </w:tc>
        <w:tc>
          <w:tcPr>
            <w:tcW w:w="71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交车时提供整车合格证1份、底盘合格证1份、一致性证书1份、整车购置发票1套、底盘发动机号拓印件2份、车架识别代号拓印件2份、整车照片（车头左前方45°角方向拍摄）2份、上装电器原理图、底盘使用说明书、底盘质量保修卡、车辆使用说明书、随车器材清单、车辆跟踪服务卡、车辆交接清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064" w:type="dxa"/>
            <w:vMerge w:val="restar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总体要求</w:t>
            </w: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1、所有操作开关、仪表、器材架及车辆均有符合规范的中文防水标识铭牌；加装应急充电、充气装置。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064"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 xml:space="preserve"> 2、配备钢链或优于此材质的防滑链一套（满足在驱动轮安装）。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4"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 xml:space="preserve"> 3、车用易损件按照1:2随车配备，交车时燃油量处于满载状态。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4"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 xml:space="preserve"> 4、整车质保期5年，底盘出厂日期不早于2024年1月1日。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1064"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bookmarkStart w:id="120" w:name="_GoBack"/>
            <w:r>
              <w:rPr>
                <w:rFonts w:hint="eastAsia"/>
                <w:color w:val="000000" w:themeColor="text1"/>
                <w:sz w:val="21"/>
                <w:szCs w:val="21"/>
                <w:highlight w:val="none"/>
                <w:lang w:val="en-US" w:eastAsia="zh-CN"/>
                <w14:textFill>
                  <w14:solidFill>
                    <w14:schemeClr w14:val="tx1"/>
                  </w14:solidFill>
                </w14:textFill>
              </w:rPr>
              <w:t>5</w:t>
            </w:r>
            <w:r>
              <w:rPr>
                <w:rFonts w:hint="eastAsia"/>
                <w:color w:val="000000" w:themeColor="text1"/>
                <w:sz w:val="21"/>
                <w:szCs w:val="21"/>
                <w:highlight w:val="none"/>
                <w14:textFill>
                  <w14:solidFill>
                    <w14:schemeClr w14:val="tx1"/>
                  </w14:solidFill>
                </w14:textFill>
              </w:rPr>
              <w:t>、符合市场准入要求和国家相关标准（规范）要求，提供整车设计效果图，包括整车结构图、三维效果图等。</w:t>
            </w:r>
            <w:bookmarkEnd w:id="12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064"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1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sz w:val="21"/>
                <w:szCs w:val="21"/>
                <w:highlight w:val="none"/>
              </w:rPr>
              <w:t xml:space="preserve"> 6、外观标识符合《消防救援局关于做好消防救援车辆外观制式涂装工作的通知》应急消〔2019〕76号文件要求。</w:t>
            </w:r>
          </w:p>
        </w:tc>
      </w:tr>
    </w:tbl>
    <w:p>
      <w:pPr>
        <w:rPr>
          <w:rFonts w:hint="default"/>
          <w:color w:val="auto"/>
          <w:highlight w:val="none"/>
          <w:lang w:val="en-US" w:eastAsia="zh-CN"/>
        </w:rPr>
      </w:pPr>
    </w:p>
    <w:sectPr>
      <w:pgSz w:w="11906" w:h="16838"/>
      <w:pgMar w:top="1440" w:right="1803" w:bottom="1440" w:left="1803" w:header="851" w:footer="992" w:gutter="0"/>
      <w:cols w:space="0" w:num="1"/>
      <w:rtlGutter w:val="0"/>
      <w:docGrid w:type="linesAndChars" w:linePitch="319"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Courier New"/>
    <w:panose1 w:val="00000000000000000000"/>
    <w:charset w:val="00"/>
    <w:family w:val="auto"/>
    <w:pitch w:val="default"/>
    <w:sig w:usb0="00000000" w:usb1="00000000" w:usb2="00000000" w:usb3="00000000" w:csb0="00000001" w:csb1="00000000"/>
  </w:font>
  <w:font w:name="Helvetica Neue">
    <w:altName w:val="Times New Roman"/>
    <w:panose1 w:val="02000503000000020004"/>
    <w:charset w:val="00"/>
    <w:family w:val="auto"/>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305"/>
      </w:tabs>
      <w:ind w:right="360"/>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FBF18"/>
    <w:multiLevelType w:val="singleLevel"/>
    <w:tmpl w:val="90DFBF18"/>
    <w:lvl w:ilvl="0" w:tentative="0">
      <w:start w:val="1"/>
      <w:numFmt w:val="chineseCounting"/>
      <w:suff w:val="space"/>
      <w:lvlText w:val="第%1章"/>
      <w:lvlJc w:val="left"/>
      <w:rPr>
        <w:rFonts w:hint="eastAsia"/>
      </w:rPr>
    </w:lvl>
  </w:abstractNum>
  <w:abstractNum w:abstractNumId="1">
    <w:nsid w:val="B1690540"/>
    <w:multiLevelType w:val="singleLevel"/>
    <w:tmpl w:val="B1690540"/>
    <w:lvl w:ilvl="0" w:tentative="0">
      <w:start w:val="1"/>
      <w:numFmt w:val="decimal"/>
      <w:lvlText w:val="(%1)"/>
      <w:lvlJc w:val="left"/>
      <w:pPr>
        <w:tabs>
          <w:tab w:val="left" w:pos="312"/>
        </w:tabs>
      </w:pPr>
    </w:lvl>
  </w:abstractNum>
  <w:abstractNum w:abstractNumId="2">
    <w:nsid w:val="C828F304"/>
    <w:multiLevelType w:val="singleLevel"/>
    <w:tmpl w:val="C828F304"/>
    <w:lvl w:ilvl="0" w:tentative="0">
      <w:start w:val="1"/>
      <w:numFmt w:val="decimal"/>
      <w:suff w:val="space"/>
      <w:lvlText w:val="%1."/>
      <w:lvlJc w:val="left"/>
    </w:lvl>
  </w:abstractNum>
  <w:abstractNum w:abstractNumId="3">
    <w:nsid w:val="06784D56"/>
    <w:multiLevelType w:val="singleLevel"/>
    <w:tmpl w:val="06784D56"/>
    <w:lvl w:ilvl="0" w:tentative="0">
      <w:start w:val="1"/>
      <w:numFmt w:val="upperLetter"/>
      <w:pStyle w:val="121"/>
      <w:lvlText w:val="附录%1."/>
      <w:lvlJc w:val="left"/>
      <w:pPr>
        <w:tabs>
          <w:tab w:val="left" w:pos="907"/>
        </w:tabs>
        <w:ind w:left="907" w:hanging="907"/>
      </w:pPr>
      <w:rPr>
        <w:rFonts w:hint="eastAsia"/>
      </w:rPr>
    </w:lvl>
  </w:abstractNum>
  <w:abstractNum w:abstractNumId="4">
    <w:nsid w:val="253E05EF"/>
    <w:multiLevelType w:val="multilevel"/>
    <w:tmpl w:val="253E05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542B949"/>
    <w:multiLevelType w:val="singleLevel"/>
    <w:tmpl w:val="2542B949"/>
    <w:lvl w:ilvl="0" w:tentative="0">
      <w:start w:val="2"/>
      <w:numFmt w:val="chineseCounting"/>
      <w:suff w:val="nothing"/>
      <w:lvlText w:val="%1、"/>
      <w:lvlJc w:val="left"/>
      <w:rPr>
        <w:rFonts w:hint="eastAsia"/>
      </w:rPr>
    </w:lvl>
  </w:abstractNum>
  <w:abstractNum w:abstractNumId="6">
    <w:nsid w:val="3A15682F"/>
    <w:multiLevelType w:val="singleLevel"/>
    <w:tmpl w:val="3A15682F"/>
    <w:lvl w:ilvl="0" w:tentative="0">
      <w:start w:val="0"/>
      <w:numFmt w:val="none"/>
      <w:lvlText w:val=""/>
      <w:lvlJc w:val="left"/>
      <w:pPr>
        <w:tabs>
          <w:tab w:val="left" w:pos="360"/>
        </w:tabs>
      </w:p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19505E7"/>
    <w:multiLevelType w:val="singleLevel"/>
    <w:tmpl w:val="419505E7"/>
    <w:lvl w:ilvl="0" w:tentative="0">
      <w:start w:val="4"/>
      <w:numFmt w:val="decimal"/>
      <w:suff w:val="nothing"/>
      <w:lvlText w:val="%1、"/>
      <w:lvlJc w:val="left"/>
    </w:lvl>
  </w:abstractNum>
  <w:abstractNum w:abstractNumId="9">
    <w:nsid w:val="420C153B"/>
    <w:multiLevelType w:val="multilevel"/>
    <w:tmpl w:val="420C153B"/>
    <w:lvl w:ilvl="0" w:tentative="0">
      <w:start w:val="1"/>
      <w:numFmt w:val="decimal"/>
      <w:pStyle w:val="10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61"/>
      <w:lvlText w:val="%1.%2"/>
      <w:lvlJc w:val="left"/>
      <w:pPr>
        <w:tabs>
          <w:tab w:val="left" w:pos="718"/>
        </w:tabs>
        <w:ind w:left="718"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abstractNum w:abstractNumId="11">
    <w:nsid w:val="4C0C1BFB"/>
    <w:multiLevelType w:val="singleLevel"/>
    <w:tmpl w:val="4C0C1BFB"/>
    <w:lvl w:ilvl="0" w:tentative="0">
      <w:start w:val="1"/>
      <w:numFmt w:val="decimal"/>
      <w:pStyle w:val="126"/>
      <w:lvlText w:val="（%1）"/>
      <w:lvlJc w:val="left"/>
      <w:pPr>
        <w:tabs>
          <w:tab w:val="left" w:pos="810"/>
        </w:tabs>
        <w:ind w:left="810" w:hanging="810"/>
      </w:pPr>
      <w:rPr>
        <w:rFonts w:hint="eastAsia"/>
      </w:rPr>
    </w:lvl>
  </w:abstractNum>
  <w:abstractNum w:abstractNumId="1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3">
    <w:nsid w:val="6CA22357"/>
    <w:multiLevelType w:val="singleLevel"/>
    <w:tmpl w:val="6CA22357"/>
    <w:lvl w:ilvl="0" w:tentative="0">
      <w:start w:val="1"/>
      <w:numFmt w:val="decimal"/>
      <w:lvlText w:val="%1."/>
      <w:lvlJc w:val="left"/>
      <w:pPr>
        <w:tabs>
          <w:tab w:val="left" w:pos="312"/>
        </w:tabs>
      </w:pPr>
    </w:lvl>
  </w:abstractNum>
  <w:abstractNum w:abstractNumId="14">
    <w:nsid w:val="7AE2AB42"/>
    <w:multiLevelType w:val="singleLevel"/>
    <w:tmpl w:val="7AE2AB42"/>
    <w:lvl w:ilvl="0" w:tentative="0">
      <w:start w:val="6"/>
      <w:numFmt w:val="chineseCounting"/>
      <w:suff w:val="space"/>
      <w:lvlText w:val="第%1章"/>
      <w:lvlJc w:val="left"/>
      <w:rPr>
        <w:rFonts w:hint="eastAsia"/>
      </w:rPr>
    </w:lvl>
  </w:abstractNum>
  <w:num w:numId="1">
    <w:abstractNumId w:val="12"/>
  </w:num>
  <w:num w:numId="2">
    <w:abstractNumId w:val="10"/>
  </w:num>
  <w:num w:numId="3">
    <w:abstractNumId w:val="7"/>
  </w:num>
  <w:num w:numId="4">
    <w:abstractNumId w:val="9"/>
  </w:num>
  <w:num w:numId="5">
    <w:abstractNumId w:val="3"/>
  </w:num>
  <w:num w:numId="6">
    <w:abstractNumId w:val="11"/>
  </w:num>
  <w:num w:numId="7">
    <w:abstractNumId w:val="13"/>
  </w:num>
  <w:num w:numId="8">
    <w:abstractNumId w:val="2"/>
  </w:num>
  <w:num w:numId="9">
    <w:abstractNumId w:val="0"/>
  </w:num>
  <w:num w:numId="10">
    <w:abstractNumId w:val="5"/>
  </w:num>
  <w:num w:numId="11">
    <w:abstractNumId w:val="8"/>
  </w:num>
  <w:num w:numId="12">
    <w:abstractNumId w:val="4"/>
  </w:num>
  <w:num w:numId="13">
    <w:abstractNumId w:val="6"/>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6"/>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mIwYjJlMDkzZjJjMDJiMWUxMzE1MjA2MmY0NGQifQ=="/>
    <w:docVar w:name="KSO_WPS_MARK_KEY" w:val="Ā"/>
  </w:docVars>
  <w:rsids>
    <w:rsidRoot w:val="00172A27"/>
    <w:rsid w:val="00000B50"/>
    <w:rsid w:val="000012AD"/>
    <w:rsid w:val="00002023"/>
    <w:rsid w:val="00002A41"/>
    <w:rsid w:val="00003038"/>
    <w:rsid w:val="000036FB"/>
    <w:rsid w:val="00003E3B"/>
    <w:rsid w:val="000040E6"/>
    <w:rsid w:val="000044C5"/>
    <w:rsid w:val="00004833"/>
    <w:rsid w:val="00004C7F"/>
    <w:rsid w:val="00005A61"/>
    <w:rsid w:val="00005C0D"/>
    <w:rsid w:val="00006327"/>
    <w:rsid w:val="00006AA3"/>
    <w:rsid w:val="00006E32"/>
    <w:rsid w:val="00010521"/>
    <w:rsid w:val="00010E39"/>
    <w:rsid w:val="00010EC6"/>
    <w:rsid w:val="00011619"/>
    <w:rsid w:val="00011FF2"/>
    <w:rsid w:val="000126A3"/>
    <w:rsid w:val="00012BC2"/>
    <w:rsid w:val="0001340E"/>
    <w:rsid w:val="00013C36"/>
    <w:rsid w:val="000144A3"/>
    <w:rsid w:val="00015CBB"/>
    <w:rsid w:val="000178E0"/>
    <w:rsid w:val="00017D33"/>
    <w:rsid w:val="000209DD"/>
    <w:rsid w:val="000214BA"/>
    <w:rsid w:val="000217F4"/>
    <w:rsid w:val="00023805"/>
    <w:rsid w:val="0002607A"/>
    <w:rsid w:val="00026720"/>
    <w:rsid w:val="000269AE"/>
    <w:rsid w:val="00026D40"/>
    <w:rsid w:val="0002771F"/>
    <w:rsid w:val="000300C7"/>
    <w:rsid w:val="00031135"/>
    <w:rsid w:val="000313D5"/>
    <w:rsid w:val="00031400"/>
    <w:rsid w:val="0003239D"/>
    <w:rsid w:val="00033D51"/>
    <w:rsid w:val="00034EE1"/>
    <w:rsid w:val="000355B7"/>
    <w:rsid w:val="00035B84"/>
    <w:rsid w:val="00035DB5"/>
    <w:rsid w:val="00035FD3"/>
    <w:rsid w:val="0003628F"/>
    <w:rsid w:val="00036464"/>
    <w:rsid w:val="000368D5"/>
    <w:rsid w:val="000404B4"/>
    <w:rsid w:val="00041C0C"/>
    <w:rsid w:val="000426B0"/>
    <w:rsid w:val="000448ED"/>
    <w:rsid w:val="00045FCC"/>
    <w:rsid w:val="0004682D"/>
    <w:rsid w:val="00047D80"/>
    <w:rsid w:val="00050598"/>
    <w:rsid w:val="00050F3A"/>
    <w:rsid w:val="000523C9"/>
    <w:rsid w:val="000527CA"/>
    <w:rsid w:val="00052F6E"/>
    <w:rsid w:val="000533AB"/>
    <w:rsid w:val="00054001"/>
    <w:rsid w:val="00055613"/>
    <w:rsid w:val="00055942"/>
    <w:rsid w:val="00055E74"/>
    <w:rsid w:val="000574F5"/>
    <w:rsid w:val="0006136C"/>
    <w:rsid w:val="00063CEE"/>
    <w:rsid w:val="00063F19"/>
    <w:rsid w:val="00063F82"/>
    <w:rsid w:val="00064391"/>
    <w:rsid w:val="0006639D"/>
    <w:rsid w:val="000664B9"/>
    <w:rsid w:val="0006714F"/>
    <w:rsid w:val="00071811"/>
    <w:rsid w:val="00071CEE"/>
    <w:rsid w:val="00071E07"/>
    <w:rsid w:val="0007307E"/>
    <w:rsid w:val="00073596"/>
    <w:rsid w:val="00075DBF"/>
    <w:rsid w:val="000760C9"/>
    <w:rsid w:val="00076450"/>
    <w:rsid w:val="00076D7B"/>
    <w:rsid w:val="00076DB5"/>
    <w:rsid w:val="0007732F"/>
    <w:rsid w:val="00077725"/>
    <w:rsid w:val="00082FDE"/>
    <w:rsid w:val="0008349C"/>
    <w:rsid w:val="00083A9A"/>
    <w:rsid w:val="00083E1C"/>
    <w:rsid w:val="00083F9C"/>
    <w:rsid w:val="00084F92"/>
    <w:rsid w:val="000874A6"/>
    <w:rsid w:val="00087583"/>
    <w:rsid w:val="00087AC3"/>
    <w:rsid w:val="00087F97"/>
    <w:rsid w:val="00090237"/>
    <w:rsid w:val="00091368"/>
    <w:rsid w:val="00091374"/>
    <w:rsid w:val="0009190E"/>
    <w:rsid w:val="000920C7"/>
    <w:rsid w:val="00094CF9"/>
    <w:rsid w:val="0009585A"/>
    <w:rsid w:val="00095E05"/>
    <w:rsid w:val="000965F2"/>
    <w:rsid w:val="00097697"/>
    <w:rsid w:val="000A1DC0"/>
    <w:rsid w:val="000A437C"/>
    <w:rsid w:val="000B09F2"/>
    <w:rsid w:val="000B0F3D"/>
    <w:rsid w:val="000B1318"/>
    <w:rsid w:val="000B2104"/>
    <w:rsid w:val="000B2ADE"/>
    <w:rsid w:val="000B51A5"/>
    <w:rsid w:val="000B6C52"/>
    <w:rsid w:val="000C095E"/>
    <w:rsid w:val="000C0CB7"/>
    <w:rsid w:val="000C26EA"/>
    <w:rsid w:val="000C4195"/>
    <w:rsid w:val="000C42B7"/>
    <w:rsid w:val="000C42F3"/>
    <w:rsid w:val="000C5411"/>
    <w:rsid w:val="000C54F2"/>
    <w:rsid w:val="000C676C"/>
    <w:rsid w:val="000C77A1"/>
    <w:rsid w:val="000D0BBA"/>
    <w:rsid w:val="000D1844"/>
    <w:rsid w:val="000D1950"/>
    <w:rsid w:val="000D2400"/>
    <w:rsid w:val="000D26C1"/>
    <w:rsid w:val="000D26D8"/>
    <w:rsid w:val="000D3A32"/>
    <w:rsid w:val="000D3CF7"/>
    <w:rsid w:val="000D3EE4"/>
    <w:rsid w:val="000D4D2B"/>
    <w:rsid w:val="000D6565"/>
    <w:rsid w:val="000D7692"/>
    <w:rsid w:val="000E0173"/>
    <w:rsid w:val="000E0F51"/>
    <w:rsid w:val="000E157E"/>
    <w:rsid w:val="000E1A22"/>
    <w:rsid w:val="000E5078"/>
    <w:rsid w:val="000E6A6F"/>
    <w:rsid w:val="000F0EB5"/>
    <w:rsid w:val="000F3923"/>
    <w:rsid w:val="000F4D9E"/>
    <w:rsid w:val="000F5242"/>
    <w:rsid w:val="000F5CDE"/>
    <w:rsid w:val="000F6E74"/>
    <w:rsid w:val="000F7537"/>
    <w:rsid w:val="00100053"/>
    <w:rsid w:val="00100A5E"/>
    <w:rsid w:val="00101DB7"/>
    <w:rsid w:val="00102619"/>
    <w:rsid w:val="00102D5E"/>
    <w:rsid w:val="00103454"/>
    <w:rsid w:val="00103E0B"/>
    <w:rsid w:val="00105903"/>
    <w:rsid w:val="00107536"/>
    <w:rsid w:val="001077C0"/>
    <w:rsid w:val="001101E9"/>
    <w:rsid w:val="00111226"/>
    <w:rsid w:val="00111F3D"/>
    <w:rsid w:val="00114CA6"/>
    <w:rsid w:val="001160D7"/>
    <w:rsid w:val="001170D2"/>
    <w:rsid w:val="00120A69"/>
    <w:rsid w:val="00121CC9"/>
    <w:rsid w:val="00124CD5"/>
    <w:rsid w:val="00124F52"/>
    <w:rsid w:val="001252B0"/>
    <w:rsid w:val="00126FD7"/>
    <w:rsid w:val="00127A72"/>
    <w:rsid w:val="00127C63"/>
    <w:rsid w:val="00131277"/>
    <w:rsid w:val="00131881"/>
    <w:rsid w:val="001319ED"/>
    <w:rsid w:val="00131A58"/>
    <w:rsid w:val="001333E9"/>
    <w:rsid w:val="0013433C"/>
    <w:rsid w:val="00134831"/>
    <w:rsid w:val="001372D8"/>
    <w:rsid w:val="00140DFA"/>
    <w:rsid w:val="00141F88"/>
    <w:rsid w:val="0014204A"/>
    <w:rsid w:val="00143575"/>
    <w:rsid w:val="0014483C"/>
    <w:rsid w:val="00146F7C"/>
    <w:rsid w:val="001477FB"/>
    <w:rsid w:val="001510B7"/>
    <w:rsid w:val="0015158B"/>
    <w:rsid w:val="00151C50"/>
    <w:rsid w:val="001525DE"/>
    <w:rsid w:val="00152F20"/>
    <w:rsid w:val="00152FA5"/>
    <w:rsid w:val="001541B9"/>
    <w:rsid w:val="001544A4"/>
    <w:rsid w:val="0015497E"/>
    <w:rsid w:val="00154CA1"/>
    <w:rsid w:val="001551BF"/>
    <w:rsid w:val="0015531C"/>
    <w:rsid w:val="00155D52"/>
    <w:rsid w:val="00157E5B"/>
    <w:rsid w:val="00160AE5"/>
    <w:rsid w:val="001637D2"/>
    <w:rsid w:val="0016437E"/>
    <w:rsid w:val="00164C69"/>
    <w:rsid w:val="00165AF0"/>
    <w:rsid w:val="001667D0"/>
    <w:rsid w:val="00166EFF"/>
    <w:rsid w:val="00170749"/>
    <w:rsid w:val="00170A2D"/>
    <w:rsid w:val="00171360"/>
    <w:rsid w:val="00171D87"/>
    <w:rsid w:val="00172A27"/>
    <w:rsid w:val="00172FF1"/>
    <w:rsid w:val="00173033"/>
    <w:rsid w:val="001749B6"/>
    <w:rsid w:val="0017505E"/>
    <w:rsid w:val="00176950"/>
    <w:rsid w:val="00181110"/>
    <w:rsid w:val="0018156A"/>
    <w:rsid w:val="00182E37"/>
    <w:rsid w:val="00183EB5"/>
    <w:rsid w:val="001864A5"/>
    <w:rsid w:val="00186705"/>
    <w:rsid w:val="00187B49"/>
    <w:rsid w:val="00187C1F"/>
    <w:rsid w:val="00187DC4"/>
    <w:rsid w:val="0019076F"/>
    <w:rsid w:val="00193274"/>
    <w:rsid w:val="00193DAC"/>
    <w:rsid w:val="00194202"/>
    <w:rsid w:val="001946FF"/>
    <w:rsid w:val="001947C5"/>
    <w:rsid w:val="001953B0"/>
    <w:rsid w:val="00195808"/>
    <w:rsid w:val="00195A83"/>
    <w:rsid w:val="001A1033"/>
    <w:rsid w:val="001A187D"/>
    <w:rsid w:val="001A18C0"/>
    <w:rsid w:val="001A1D99"/>
    <w:rsid w:val="001A26B5"/>
    <w:rsid w:val="001A57FF"/>
    <w:rsid w:val="001A6C7F"/>
    <w:rsid w:val="001A7BA0"/>
    <w:rsid w:val="001A7F3C"/>
    <w:rsid w:val="001B1D18"/>
    <w:rsid w:val="001B2822"/>
    <w:rsid w:val="001B34C4"/>
    <w:rsid w:val="001B37C7"/>
    <w:rsid w:val="001B4172"/>
    <w:rsid w:val="001B452D"/>
    <w:rsid w:val="001B4A8B"/>
    <w:rsid w:val="001B52A8"/>
    <w:rsid w:val="001B5378"/>
    <w:rsid w:val="001B6B93"/>
    <w:rsid w:val="001B79B5"/>
    <w:rsid w:val="001B7A07"/>
    <w:rsid w:val="001B7A15"/>
    <w:rsid w:val="001C02D6"/>
    <w:rsid w:val="001C077B"/>
    <w:rsid w:val="001C21EF"/>
    <w:rsid w:val="001C2404"/>
    <w:rsid w:val="001C2429"/>
    <w:rsid w:val="001C2454"/>
    <w:rsid w:val="001C3136"/>
    <w:rsid w:val="001C37D3"/>
    <w:rsid w:val="001C3F88"/>
    <w:rsid w:val="001C573D"/>
    <w:rsid w:val="001C6670"/>
    <w:rsid w:val="001C7269"/>
    <w:rsid w:val="001D03CD"/>
    <w:rsid w:val="001D0B04"/>
    <w:rsid w:val="001D1063"/>
    <w:rsid w:val="001D1087"/>
    <w:rsid w:val="001D1E13"/>
    <w:rsid w:val="001D3DF4"/>
    <w:rsid w:val="001D4B6D"/>
    <w:rsid w:val="001D5588"/>
    <w:rsid w:val="001D690B"/>
    <w:rsid w:val="001D6F14"/>
    <w:rsid w:val="001E1785"/>
    <w:rsid w:val="001E19C0"/>
    <w:rsid w:val="001E218A"/>
    <w:rsid w:val="001E2A27"/>
    <w:rsid w:val="001E2AB5"/>
    <w:rsid w:val="001E3117"/>
    <w:rsid w:val="001E3212"/>
    <w:rsid w:val="001E48AF"/>
    <w:rsid w:val="001E4C69"/>
    <w:rsid w:val="001E6CFD"/>
    <w:rsid w:val="001F35A1"/>
    <w:rsid w:val="001F4946"/>
    <w:rsid w:val="001F4B41"/>
    <w:rsid w:val="001F58DB"/>
    <w:rsid w:val="001F5F91"/>
    <w:rsid w:val="001F64B1"/>
    <w:rsid w:val="001F6652"/>
    <w:rsid w:val="00200726"/>
    <w:rsid w:val="00201570"/>
    <w:rsid w:val="00201AAD"/>
    <w:rsid w:val="00201B5C"/>
    <w:rsid w:val="002026FD"/>
    <w:rsid w:val="002029A0"/>
    <w:rsid w:val="00203FDB"/>
    <w:rsid w:val="00204503"/>
    <w:rsid w:val="00204B0E"/>
    <w:rsid w:val="00207854"/>
    <w:rsid w:val="002114C5"/>
    <w:rsid w:val="0021150E"/>
    <w:rsid w:val="00211D84"/>
    <w:rsid w:val="002129B4"/>
    <w:rsid w:val="00213554"/>
    <w:rsid w:val="002135F1"/>
    <w:rsid w:val="00213952"/>
    <w:rsid w:val="0021413E"/>
    <w:rsid w:val="002150AA"/>
    <w:rsid w:val="00215D7A"/>
    <w:rsid w:val="0021681C"/>
    <w:rsid w:val="00216D78"/>
    <w:rsid w:val="0022068B"/>
    <w:rsid w:val="0022183A"/>
    <w:rsid w:val="00224BF6"/>
    <w:rsid w:val="00224D56"/>
    <w:rsid w:val="002250E1"/>
    <w:rsid w:val="0022514B"/>
    <w:rsid w:val="002251B2"/>
    <w:rsid w:val="00225592"/>
    <w:rsid w:val="00225C8B"/>
    <w:rsid w:val="00225CD5"/>
    <w:rsid w:val="00227982"/>
    <w:rsid w:val="00227C43"/>
    <w:rsid w:val="0023202D"/>
    <w:rsid w:val="00232077"/>
    <w:rsid w:val="0023283A"/>
    <w:rsid w:val="00232BF5"/>
    <w:rsid w:val="002331F2"/>
    <w:rsid w:val="00235603"/>
    <w:rsid w:val="002369AF"/>
    <w:rsid w:val="00236A1C"/>
    <w:rsid w:val="00237C74"/>
    <w:rsid w:val="00241187"/>
    <w:rsid w:val="00241203"/>
    <w:rsid w:val="002412FF"/>
    <w:rsid w:val="002414E0"/>
    <w:rsid w:val="00241671"/>
    <w:rsid w:val="00243079"/>
    <w:rsid w:val="00243975"/>
    <w:rsid w:val="002447BD"/>
    <w:rsid w:val="00246C19"/>
    <w:rsid w:val="00250E77"/>
    <w:rsid w:val="002514DA"/>
    <w:rsid w:val="00252722"/>
    <w:rsid w:val="00252AA4"/>
    <w:rsid w:val="002537B2"/>
    <w:rsid w:val="00254207"/>
    <w:rsid w:val="00254B9B"/>
    <w:rsid w:val="00255C8D"/>
    <w:rsid w:val="00255FEB"/>
    <w:rsid w:val="00257A01"/>
    <w:rsid w:val="00261A7E"/>
    <w:rsid w:val="002623E9"/>
    <w:rsid w:val="0026387F"/>
    <w:rsid w:val="002640B2"/>
    <w:rsid w:val="0026470C"/>
    <w:rsid w:val="00264902"/>
    <w:rsid w:val="00264B13"/>
    <w:rsid w:val="00264D4D"/>
    <w:rsid w:val="00264FAC"/>
    <w:rsid w:val="002657FF"/>
    <w:rsid w:val="00266329"/>
    <w:rsid w:val="002665DA"/>
    <w:rsid w:val="00266BA2"/>
    <w:rsid w:val="00267D06"/>
    <w:rsid w:val="00267D13"/>
    <w:rsid w:val="002702B6"/>
    <w:rsid w:val="00270609"/>
    <w:rsid w:val="002706C2"/>
    <w:rsid w:val="002707A9"/>
    <w:rsid w:val="00270858"/>
    <w:rsid w:val="00270E78"/>
    <w:rsid w:val="00270EEE"/>
    <w:rsid w:val="00270F7A"/>
    <w:rsid w:val="00271354"/>
    <w:rsid w:val="0027159B"/>
    <w:rsid w:val="002750C2"/>
    <w:rsid w:val="00275F24"/>
    <w:rsid w:val="0027611E"/>
    <w:rsid w:val="00276467"/>
    <w:rsid w:val="002767AF"/>
    <w:rsid w:val="002769A6"/>
    <w:rsid w:val="00276C85"/>
    <w:rsid w:val="002773BE"/>
    <w:rsid w:val="00280CC5"/>
    <w:rsid w:val="00280F9F"/>
    <w:rsid w:val="00281C6E"/>
    <w:rsid w:val="00282FDE"/>
    <w:rsid w:val="0028368D"/>
    <w:rsid w:val="00284A73"/>
    <w:rsid w:val="00284F56"/>
    <w:rsid w:val="0028524A"/>
    <w:rsid w:val="00285266"/>
    <w:rsid w:val="0028532D"/>
    <w:rsid w:val="002854C9"/>
    <w:rsid w:val="00286E46"/>
    <w:rsid w:val="00287A23"/>
    <w:rsid w:val="0029224A"/>
    <w:rsid w:val="0029269B"/>
    <w:rsid w:val="00293DBF"/>
    <w:rsid w:val="00293ED7"/>
    <w:rsid w:val="00296520"/>
    <w:rsid w:val="00296EE7"/>
    <w:rsid w:val="00297C93"/>
    <w:rsid w:val="002A006D"/>
    <w:rsid w:val="002A1B0C"/>
    <w:rsid w:val="002A35C8"/>
    <w:rsid w:val="002A67A6"/>
    <w:rsid w:val="002A693A"/>
    <w:rsid w:val="002A7962"/>
    <w:rsid w:val="002B084C"/>
    <w:rsid w:val="002B11E6"/>
    <w:rsid w:val="002B1B75"/>
    <w:rsid w:val="002B3E53"/>
    <w:rsid w:val="002B4B17"/>
    <w:rsid w:val="002B5620"/>
    <w:rsid w:val="002B6716"/>
    <w:rsid w:val="002B70EF"/>
    <w:rsid w:val="002C00C1"/>
    <w:rsid w:val="002C067B"/>
    <w:rsid w:val="002C29A7"/>
    <w:rsid w:val="002C3863"/>
    <w:rsid w:val="002C4077"/>
    <w:rsid w:val="002C4418"/>
    <w:rsid w:val="002C5B63"/>
    <w:rsid w:val="002C75A7"/>
    <w:rsid w:val="002D046F"/>
    <w:rsid w:val="002D1163"/>
    <w:rsid w:val="002D15D0"/>
    <w:rsid w:val="002D3E1D"/>
    <w:rsid w:val="002D4138"/>
    <w:rsid w:val="002D44AA"/>
    <w:rsid w:val="002D6759"/>
    <w:rsid w:val="002D703B"/>
    <w:rsid w:val="002D78A6"/>
    <w:rsid w:val="002D7B1C"/>
    <w:rsid w:val="002E0200"/>
    <w:rsid w:val="002E0546"/>
    <w:rsid w:val="002E1397"/>
    <w:rsid w:val="002E192A"/>
    <w:rsid w:val="002E2B69"/>
    <w:rsid w:val="002E3028"/>
    <w:rsid w:val="002E4A67"/>
    <w:rsid w:val="002E4B77"/>
    <w:rsid w:val="002E4D8D"/>
    <w:rsid w:val="002E717B"/>
    <w:rsid w:val="002E7638"/>
    <w:rsid w:val="002E7821"/>
    <w:rsid w:val="002E7FEC"/>
    <w:rsid w:val="002F080F"/>
    <w:rsid w:val="002F0B59"/>
    <w:rsid w:val="002F0E29"/>
    <w:rsid w:val="002F2018"/>
    <w:rsid w:val="002F3084"/>
    <w:rsid w:val="002F3C42"/>
    <w:rsid w:val="002F3DAA"/>
    <w:rsid w:val="002F45B0"/>
    <w:rsid w:val="002F56BB"/>
    <w:rsid w:val="002F57C5"/>
    <w:rsid w:val="002F5A9D"/>
    <w:rsid w:val="002F7C78"/>
    <w:rsid w:val="002F7F15"/>
    <w:rsid w:val="00302002"/>
    <w:rsid w:val="00303AB3"/>
    <w:rsid w:val="00303E18"/>
    <w:rsid w:val="00304294"/>
    <w:rsid w:val="003065CE"/>
    <w:rsid w:val="003077D7"/>
    <w:rsid w:val="00310052"/>
    <w:rsid w:val="003105BC"/>
    <w:rsid w:val="00310924"/>
    <w:rsid w:val="00310A49"/>
    <w:rsid w:val="003119DF"/>
    <w:rsid w:val="00313D00"/>
    <w:rsid w:val="003146AA"/>
    <w:rsid w:val="00314D7A"/>
    <w:rsid w:val="00315BB3"/>
    <w:rsid w:val="00315D25"/>
    <w:rsid w:val="00316838"/>
    <w:rsid w:val="003176F0"/>
    <w:rsid w:val="00317A43"/>
    <w:rsid w:val="00317CA3"/>
    <w:rsid w:val="003203FB"/>
    <w:rsid w:val="00320A43"/>
    <w:rsid w:val="00320F55"/>
    <w:rsid w:val="00321DA1"/>
    <w:rsid w:val="003238EE"/>
    <w:rsid w:val="00325989"/>
    <w:rsid w:val="003267CD"/>
    <w:rsid w:val="00326BC1"/>
    <w:rsid w:val="003306B8"/>
    <w:rsid w:val="003306B9"/>
    <w:rsid w:val="003313D8"/>
    <w:rsid w:val="003320F3"/>
    <w:rsid w:val="003323B2"/>
    <w:rsid w:val="00332D6E"/>
    <w:rsid w:val="003346DE"/>
    <w:rsid w:val="00334AA9"/>
    <w:rsid w:val="00336151"/>
    <w:rsid w:val="0033681E"/>
    <w:rsid w:val="0034142F"/>
    <w:rsid w:val="00341757"/>
    <w:rsid w:val="00341E0E"/>
    <w:rsid w:val="00342DCC"/>
    <w:rsid w:val="00343BB6"/>
    <w:rsid w:val="00344805"/>
    <w:rsid w:val="00344B6D"/>
    <w:rsid w:val="0034542F"/>
    <w:rsid w:val="003458F9"/>
    <w:rsid w:val="0034648C"/>
    <w:rsid w:val="0034699A"/>
    <w:rsid w:val="00346D70"/>
    <w:rsid w:val="00347AB6"/>
    <w:rsid w:val="0035011B"/>
    <w:rsid w:val="00350189"/>
    <w:rsid w:val="003508CE"/>
    <w:rsid w:val="0035183D"/>
    <w:rsid w:val="00351988"/>
    <w:rsid w:val="00351C56"/>
    <w:rsid w:val="00352EFB"/>
    <w:rsid w:val="003543A9"/>
    <w:rsid w:val="003545FF"/>
    <w:rsid w:val="00356239"/>
    <w:rsid w:val="003570D2"/>
    <w:rsid w:val="00357549"/>
    <w:rsid w:val="00357654"/>
    <w:rsid w:val="00357F4D"/>
    <w:rsid w:val="00361201"/>
    <w:rsid w:val="00361C5C"/>
    <w:rsid w:val="00362C38"/>
    <w:rsid w:val="00363F37"/>
    <w:rsid w:val="003643E2"/>
    <w:rsid w:val="003646CC"/>
    <w:rsid w:val="00364EDB"/>
    <w:rsid w:val="00366A96"/>
    <w:rsid w:val="003670B2"/>
    <w:rsid w:val="0036776C"/>
    <w:rsid w:val="00367FE7"/>
    <w:rsid w:val="00370A2C"/>
    <w:rsid w:val="003715B6"/>
    <w:rsid w:val="00373601"/>
    <w:rsid w:val="00373708"/>
    <w:rsid w:val="00373911"/>
    <w:rsid w:val="003758D1"/>
    <w:rsid w:val="00375F18"/>
    <w:rsid w:val="0037721C"/>
    <w:rsid w:val="00377CC7"/>
    <w:rsid w:val="00381306"/>
    <w:rsid w:val="00381464"/>
    <w:rsid w:val="003817C2"/>
    <w:rsid w:val="0038282F"/>
    <w:rsid w:val="00382FB7"/>
    <w:rsid w:val="003849D4"/>
    <w:rsid w:val="00385814"/>
    <w:rsid w:val="00385B86"/>
    <w:rsid w:val="0038623D"/>
    <w:rsid w:val="00386ACE"/>
    <w:rsid w:val="003872C9"/>
    <w:rsid w:val="00391270"/>
    <w:rsid w:val="003919D8"/>
    <w:rsid w:val="00391DF3"/>
    <w:rsid w:val="003931D2"/>
    <w:rsid w:val="00393A1F"/>
    <w:rsid w:val="00394D4B"/>
    <w:rsid w:val="003957DF"/>
    <w:rsid w:val="0039611D"/>
    <w:rsid w:val="00396232"/>
    <w:rsid w:val="00396B6D"/>
    <w:rsid w:val="00396C2C"/>
    <w:rsid w:val="0039729F"/>
    <w:rsid w:val="003979B3"/>
    <w:rsid w:val="003A0F75"/>
    <w:rsid w:val="003A1161"/>
    <w:rsid w:val="003A201F"/>
    <w:rsid w:val="003A2A26"/>
    <w:rsid w:val="003A359F"/>
    <w:rsid w:val="003A3E40"/>
    <w:rsid w:val="003A543B"/>
    <w:rsid w:val="003A56A9"/>
    <w:rsid w:val="003A6696"/>
    <w:rsid w:val="003A787B"/>
    <w:rsid w:val="003B0C2E"/>
    <w:rsid w:val="003B1B8D"/>
    <w:rsid w:val="003B2DBA"/>
    <w:rsid w:val="003B3157"/>
    <w:rsid w:val="003B4334"/>
    <w:rsid w:val="003B43AD"/>
    <w:rsid w:val="003B515E"/>
    <w:rsid w:val="003B529D"/>
    <w:rsid w:val="003B5AD2"/>
    <w:rsid w:val="003B5EF0"/>
    <w:rsid w:val="003B7727"/>
    <w:rsid w:val="003C0167"/>
    <w:rsid w:val="003C10FE"/>
    <w:rsid w:val="003C1167"/>
    <w:rsid w:val="003C19FD"/>
    <w:rsid w:val="003C1CD0"/>
    <w:rsid w:val="003C2871"/>
    <w:rsid w:val="003C2A77"/>
    <w:rsid w:val="003C351A"/>
    <w:rsid w:val="003C3568"/>
    <w:rsid w:val="003C3C93"/>
    <w:rsid w:val="003C45FD"/>
    <w:rsid w:val="003C4D5A"/>
    <w:rsid w:val="003C56E8"/>
    <w:rsid w:val="003C5927"/>
    <w:rsid w:val="003C5C27"/>
    <w:rsid w:val="003C70E2"/>
    <w:rsid w:val="003C71C6"/>
    <w:rsid w:val="003D2469"/>
    <w:rsid w:val="003D3332"/>
    <w:rsid w:val="003D3B66"/>
    <w:rsid w:val="003D784D"/>
    <w:rsid w:val="003E1622"/>
    <w:rsid w:val="003E18FC"/>
    <w:rsid w:val="003E1E7B"/>
    <w:rsid w:val="003E2237"/>
    <w:rsid w:val="003E264C"/>
    <w:rsid w:val="003E2E2E"/>
    <w:rsid w:val="003E33E7"/>
    <w:rsid w:val="003E3E53"/>
    <w:rsid w:val="003E4E2B"/>
    <w:rsid w:val="003E7B57"/>
    <w:rsid w:val="003F0211"/>
    <w:rsid w:val="003F121A"/>
    <w:rsid w:val="003F28E4"/>
    <w:rsid w:val="003F421A"/>
    <w:rsid w:val="003F4303"/>
    <w:rsid w:val="003F4C69"/>
    <w:rsid w:val="003F518D"/>
    <w:rsid w:val="003F564E"/>
    <w:rsid w:val="003F5F28"/>
    <w:rsid w:val="003F5F35"/>
    <w:rsid w:val="00401CB7"/>
    <w:rsid w:val="00401E65"/>
    <w:rsid w:val="00402203"/>
    <w:rsid w:val="0040243C"/>
    <w:rsid w:val="00402F1F"/>
    <w:rsid w:val="0040487A"/>
    <w:rsid w:val="00406032"/>
    <w:rsid w:val="00407C08"/>
    <w:rsid w:val="00411EE8"/>
    <w:rsid w:val="00412DDC"/>
    <w:rsid w:val="004132F7"/>
    <w:rsid w:val="00413748"/>
    <w:rsid w:val="004159DA"/>
    <w:rsid w:val="004177AB"/>
    <w:rsid w:val="00417D89"/>
    <w:rsid w:val="00420F30"/>
    <w:rsid w:val="0042107D"/>
    <w:rsid w:val="004224DE"/>
    <w:rsid w:val="00422896"/>
    <w:rsid w:val="004241F1"/>
    <w:rsid w:val="00424246"/>
    <w:rsid w:val="0042442B"/>
    <w:rsid w:val="00425878"/>
    <w:rsid w:val="00426093"/>
    <w:rsid w:val="004263B3"/>
    <w:rsid w:val="00426987"/>
    <w:rsid w:val="0043085D"/>
    <w:rsid w:val="00430CEA"/>
    <w:rsid w:val="0043137F"/>
    <w:rsid w:val="00432B25"/>
    <w:rsid w:val="00432CC5"/>
    <w:rsid w:val="00433E58"/>
    <w:rsid w:val="004342CE"/>
    <w:rsid w:val="004365F0"/>
    <w:rsid w:val="004372D1"/>
    <w:rsid w:val="00437676"/>
    <w:rsid w:val="00441C99"/>
    <w:rsid w:val="00442013"/>
    <w:rsid w:val="0044504A"/>
    <w:rsid w:val="0044618B"/>
    <w:rsid w:val="004472F6"/>
    <w:rsid w:val="004474F1"/>
    <w:rsid w:val="004508AB"/>
    <w:rsid w:val="00451204"/>
    <w:rsid w:val="00451285"/>
    <w:rsid w:val="004519BB"/>
    <w:rsid w:val="00451C2C"/>
    <w:rsid w:val="00454102"/>
    <w:rsid w:val="00455551"/>
    <w:rsid w:val="004559D5"/>
    <w:rsid w:val="00457712"/>
    <w:rsid w:val="00460782"/>
    <w:rsid w:val="00461077"/>
    <w:rsid w:val="004613FD"/>
    <w:rsid w:val="0046161D"/>
    <w:rsid w:val="00461967"/>
    <w:rsid w:val="00461A67"/>
    <w:rsid w:val="004629B0"/>
    <w:rsid w:val="004639B1"/>
    <w:rsid w:val="00463AFA"/>
    <w:rsid w:val="00466966"/>
    <w:rsid w:val="004710C4"/>
    <w:rsid w:val="00471489"/>
    <w:rsid w:val="0047189B"/>
    <w:rsid w:val="0047253D"/>
    <w:rsid w:val="00472CBE"/>
    <w:rsid w:val="00473367"/>
    <w:rsid w:val="0047381F"/>
    <w:rsid w:val="00473C95"/>
    <w:rsid w:val="00474D40"/>
    <w:rsid w:val="00476ACD"/>
    <w:rsid w:val="0047734E"/>
    <w:rsid w:val="00477ADD"/>
    <w:rsid w:val="00477F45"/>
    <w:rsid w:val="00480225"/>
    <w:rsid w:val="00480325"/>
    <w:rsid w:val="004803B5"/>
    <w:rsid w:val="00480999"/>
    <w:rsid w:val="00482268"/>
    <w:rsid w:val="00482632"/>
    <w:rsid w:val="00482710"/>
    <w:rsid w:val="00482774"/>
    <w:rsid w:val="004839CA"/>
    <w:rsid w:val="004839E9"/>
    <w:rsid w:val="00484112"/>
    <w:rsid w:val="00484166"/>
    <w:rsid w:val="00484277"/>
    <w:rsid w:val="004852FF"/>
    <w:rsid w:val="0048538E"/>
    <w:rsid w:val="00486582"/>
    <w:rsid w:val="00486E6C"/>
    <w:rsid w:val="00486FDA"/>
    <w:rsid w:val="00487BD0"/>
    <w:rsid w:val="00487C85"/>
    <w:rsid w:val="00490194"/>
    <w:rsid w:val="00491209"/>
    <w:rsid w:val="004917D5"/>
    <w:rsid w:val="00491927"/>
    <w:rsid w:val="0049277B"/>
    <w:rsid w:val="00492C84"/>
    <w:rsid w:val="0049420D"/>
    <w:rsid w:val="00495FD5"/>
    <w:rsid w:val="00496C5F"/>
    <w:rsid w:val="004A00A9"/>
    <w:rsid w:val="004A147C"/>
    <w:rsid w:val="004A1507"/>
    <w:rsid w:val="004A16D9"/>
    <w:rsid w:val="004A1865"/>
    <w:rsid w:val="004A21EF"/>
    <w:rsid w:val="004A23FD"/>
    <w:rsid w:val="004A2DA5"/>
    <w:rsid w:val="004A4E03"/>
    <w:rsid w:val="004A5003"/>
    <w:rsid w:val="004A58A4"/>
    <w:rsid w:val="004B246E"/>
    <w:rsid w:val="004B4AF9"/>
    <w:rsid w:val="004B4CC3"/>
    <w:rsid w:val="004B5F0A"/>
    <w:rsid w:val="004B6D38"/>
    <w:rsid w:val="004B6FBF"/>
    <w:rsid w:val="004C0A0F"/>
    <w:rsid w:val="004C0C79"/>
    <w:rsid w:val="004C1EDB"/>
    <w:rsid w:val="004C35DD"/>
    <w:rsid w:val="004C3779"/>
    <w:rsid w:val="004C44BC"/>
    <w:rsid w:val="004C5E96"/>
    <w:rsid w:val="004C64CB"/>
    <w:rsid w:val="004C6752"/>
    <w:rsid w:val="004C6900"/>
    <w:rsid w:val="004C6B7A"/>
    <w:rsid w:val="004C70CE"/>
    <w:rsid w:val="004C71F0"/>
    <w:rsid w:val="004C774A"/>
    <w:rsid w:val="004C7A80"/>
    <w:rsid w:val="004D009E"/>
    <w:rsid w:val="004D10CE"/>
    <w:rsid w:val="004D1DAE"/>
    <w:rsid w:val="004D20D8"/>
    <w:rsid w:val="004D3D3B"/>
    <w:rsid w:val="004D4416"/>
    <w:rsid w:val="004D5A75"/>
    <w:rsid w:val="004D6F55"/>
    <w:rsid w:val="004E03BC"/>
    <w:rsid w:val="004E1641"/>
    <w:rsid w:val="004E1780"/>
    <w:rsid w:val="004E241E"/>
    <w:rsid w:val="004E2B96"/>
    <w:rsid w:val="004E3C48"/>
    <w:rsid w:val="004E3C8C"/>
    <w:rsid w:val="004E4069"/>
    <w:rsid w:val="004E42B6"/>
    <w:rsid w:val="004E59D5"/>
    <w:rsid w:val="004E7DFC"/>
    <w:rsid w:val="004F05EC"/>
    <w:rsid w:val="004F0B8C"/>
    <w:rsid w:val="004F0FA7"/>
    <w:rsid w:val="004F1130"/>
    <w:rsid w:val="004F2D73"/>
    <w:rsid w:val="004F2FEF"/>
    <w:rsid w:val="004F3277"/>
    <w:rsid w:val="004F4320"/>
    <w:rsid w:val="004F4FE8"/>
    <w:rsid w:val="004F543A"/>
    <w:rsid w:val="004F5FE8"/>
    <w:rsid w:val="004F6692"/>
    <w:rsid w:val="004F76A4"/>
    <w:rsid w:val="005000AE"/>
    <w:rsid w:val="00500F24"/>
    <w:rsid w:val="0050144C"/>
    <w:rsid w:val="00502618"/>
    <w:rsid w:val="00503278"/>
    <w:rsid w:val="00503D2C"/>
    <w:rsid w:val="005056C0"/>
    <w:rsid w:val="005069E2"/>
    <w:rsid w:val="00506DCB"/>
    <w:rsid w:val="005116ED"/>
    <w:rsid w:val="00512587"/>
    <w:rsid w:val="005130CC"/>
    <w:rsid w:val="005140BE"/>
    <w:rsid w:val="0051457B"/>
    <w:rsid w:val="0051588C"/>
    <w:rsid w:val="005164B9"/>
    <w:rsid w:val="00516F0A"/>
    <w:rsid w:val="00517791"/>
    <w:rsid w:val="00517F84"/>
    <w:rsid w:val="00520B4F"/>
    <w:rsid w:val="00523526"/>
    <w:rsid w:val="0052372F"/>
    <w:rsid w:val="005241ED"/>
    <w:rsid w:val="00524999"/>
    <w:rsid w:val="00525ABC"/>
    <w:rsid w:val="00525C95"/>
    <w:rsid w:val="005274DB"/>
    <w:rsid w:val="0052786A"/>
    <w:rsid w:val="00530081"/>
    <w:rsid w:val="005303F9"/>
    <w:rsid w:val="00531126"/>
    <w:rsid w:val="00531461"/>
    <w:rsid w:val="00532144"/>
    <w:rsid w:val="00532583"/>
    <w:rsid w:val="00533C4E"/>
    <w:rsid w:val="00534E21"/>
    <w:rsid w:val="0053652A"/>
    <w:rsid w:val="00536C3C"/>
    <w:rsid w:val="005370DA"/>
    <w:rsid w:val="00537C9F"/>
    <w:rsid w:val="00540FEA"/>
    <w:rsid w:val="00541234"/>
    <w:rsid w:val="005413F9"/>
    <w:rsid w:val="00541D72"/>
    <w:rsid w:val="00542948"/>
    <w:rsid w:val="00544C26"/>
    <w:rsid w:val="0054560C"/>
    <w:rsid w:val="0055051E"/>
    <w:rsid w:val="00550E5A"/>
    <w:rsid w:val="00551CC7"/>
    <w:rsid w:val="00551FA0"/>
    <w:rsid w:val="00553521"/>
    <w:rsid w:val="005542B5"/>
    <w:rsid w:val="00555955"/>
    <w:rsid w:val="00557558"/>
    <w:rsid w:val="00560104"/>
    <w:rsid w:val="0056019B"/>
    <w:rsid w:val="00560D0C"/>
    <w:rsid w:val="00560E9F"/>
    <w:rsid w:val="00561076"/>
    <w:rsid w:val="0056140C"/>
    <w:rsid w:val="00562990"/>
    <w:rsid w:val="00562C82"/>
    <w:rsid w:val="00562D2C"/>
    <w:rsid w:val="00563224"/>
    <w:rsid w:val="0056324E"/>
    <w:rsid w:val="005641A4"/>
    <w:rsid w:val="005644FD"/>
    <w:rsid w:val="00564883"/>
    <w:rsid w:val="00564F7B"/>
    <w:rsid w:val="00564F9A"/>
    <w:rsid w:val="00570226"/>
    <w:rsid w:val="00570533"/>
    <w:rsid w:val="00571918"/>
    <w:rsid w:val="0057213D"/>
    <w:rsid w:val="00573D5C"/>
    <w:rsid w:val="00574032"/>
    <w:rsid w:val="0057530D"/>
    <w:rsid w:val="00576232"/>
    <w:rsid w:val="0057660D"/>
    <w:rsid w:val="00577F13"/>
    <w:rsid w:val="00580612"/>
    <w:rsid w:val="00580814"/>
    <w:rsid w:val="00580A8F"/>
    <w:rsid w:val="005814EE"/>
    <w:rsid w:val="00581985"/>
    <w:rsid w:val="00581A36"/>
    <w:rsid w:val="00581CC3"/>
    <w:rsid w:val="00581D84"/>
    <w:rsid w:val="005821DF"/>
    <w:rsid w:val="0058318B"/>
    <w:rsid w:val="00583D3B"/>
    <w:rsid w:val="00584298"/>
    <w:rsid w:val="005862F7"/>
    <w:rsid w:val="00587127"/>
    <w:rsid w:val="005879B9"/>
    <w:rsid w:val="00587EC6"/>
    <w:rsid w:val="00590EE1"/>
    <w:rsid w:val="00594762"/>
    <w:rsid w:val="00594C98"/>
    <w:rsid w:val="005957FD"/>
    <w:rsid w:val="00595D5A"/>
    <w:rsid w:val="00597277"/>
    <w:rsid w:val="00597651"/>
    <w:rsid w:val="00597C31"/>
    <w:rsid w:val="005A1802"/>
    <w:rsid w:val="005A1FD8"/>
    <w:rsid w:val="005A4AC9"/>
    <w:rsid w:val="005A4DAF"/>
    <w:rsid w:val="005B0D40"/>
    <w:rsid w:val="005B0D5A"/>
    <w:rsid w:val="005B1A8B"/>
    <w:rsid w:val="005B20EB"/>
    <w:rsid w:val="005B2186"/>
    <w:rsid w:val="005B2208"/>
    <w:rsid w:val="005B25E7"/>
    <w:rsid w:val="005B284F"/>
    <w:rsid w:val="005B3EE0"/>
    <w:rsid w:val="005B3F4A"/>
    <w:rsid w:val="005B41AD"/>
    <w:rsid w:val="005B520E"/>
    <w:rsid w:val="005B6BCB"/>
    <w:rsid w:val="005C02DA"/>
    <w:rsid w:val="005C19D0"/>
    <w:rsid w:val="005C2806"/>
    <w:rsid w:val="005C2941"/>
    <w:rsid w:val="005C526F"/>
    <w:rsid w:val="005C6801"/>
    <w:rsid w:val="005C7A3E"/>
    <w:rsid w:val="005C7DD2"/>
    <w:rsid w:val="005D197A"/>
    <w:rsid w:val="005D1C6C"/>
    <w:rsid w:val="005D27E4"/>
    <w:rsid w:val="005D2838"/>
    <w:rsid w:val="005D34D5"/>
    <w:rsid w:val="005D452A"/>
    <w:rsid w:val="005D59C2"/>
    <w:rsid w:val="005D6EFD"/>
    <w:rsid w:val="005D7200"/>
    <w:rsid w:val="005E1A40"/>
    <w:rsid w:val="005E22B7"/>
    <w:rsid w:val="005E232E"/>
    <w:rsid w:val="005E6055"/>
    <w:rsid w:val="005E79EF"/>
    <w:rsid w:val="005E7D55"/>
    <w:rsid w:val="005F0CA7"/>
    <w:rsid w:val="005F3081"/>
    <w:rsid w:val="005F3B87"/>
    <w:rsid w:val="005F4E1F"/>
    <w:rsid w:val="005F50AA"/>
    <w:rsid w:val="005F61E0"/>
    <w:rsid w:val="005F6E74"/>
    <w:rsid w:val="005F7393"/>
    <w:rsid w:val="005F754E"/>
    <w:rsid w:val="00601800"/>
    <w:rsid w:val="006026CF"/>
    <w:rsid w:val="006037E7"/>
    <w:rsid w:val="00604122"/>
    <w:rsid w:val="00604EE1"/>
    <w:rsid w:val="0060514E"/>
    <w:rsid w:val="00605499"/>
    <w:rsid w:val="00606153"/>
    <w:rsid w:val="00606829"/>
    <w:rsid w:val="00607BDE"/>
    <w:rsid w:val="00610478"/>
    <w:rsid w:val="00611B7B"/>
    <w:rsid w:val="006125F6"/>
    <w:rsid w:val="00613EC9"/>
    <w:rsid w:val="00615C60"/>
    <w:rsid w:val="00615EA1"/>
    <w:rsid w:val="00616B9A"/>
    <w:rsid w:val="006176D8"/>
    <w:rsid w:val="00620646"/>
    <w:rsid w:val="00620798"/>
    <w:rsid w:val="00620A02"/>
    <w:rsid w:val="00620FB8"/>
    <w:rsid w:val="0062161E"/>
    <w:rsid w:val="00622100"/>
    <w:rsid w:val="00622BBE"/>
    <w:rsid w:val="006233F1"/>
    <w:rsid w:val="006235A4"/>
    <w:rsid w:val="006264C0"/>
    <w:rsid w:val="006304F2"/>
    <w:rsid w:val="00630DEF"/>
    <w:rsid w:val="0063168A"/>
    <w:rsid w:val="006334DB"/>
    <w:rsid w:val="0063359A"/>
    <w:rsid w:val="0063389F"/>
    <w:rsid w:val="0063484A"/>
    <w:rsid w:val="00635FBA"/>
    <w:rsid w:val="006366D3"/>
    <w:rsid w:val="00636D68"/>
    <w:rsid w:val="00636F10"/>
    <w:rsid w:val="006375B9"/>
    <w:rsid w:val="0063764D"/>
    <w:rsid w:val="00637F29"/>
    <w:rsid w:val="00640A52"/>
    <w:rsid w:val="006414AE"/>
    <w:rsid w:val="00641D5B"/>
    <w:rsid w:val="00642C5D"/>
    <w:rsid w:val="00643113"/>
    <w:rsid w:val="00643235"/>
    <w:rsid w:val="00644264"/>
    <w:rsid w:val="006444FB"/>
    <w:rsid w:val="00644F9E"/>
    <w:rsid w:val="00646E6B"/>
    <w:rsid w:val="006470D3"/>
    <w:rsid w:val="00647B5F"/>
    <w:rsid w:val="00647DCD"/>
    <w:rsid w:val="00650DAE"/>
    <w:rsid w:val="00652A80"/>
    <w:rsid w:val="00652D1E"/>
    <w:rsid w:val="0065333B"/>
    <w:rsid w:val="00654EC5"/>
    <w:rsid w:val="0065652B"/>
    <w:rsid w:val="00656E91"/>
    <w:rsid w:val="00657D19"/>
    <w:rsid w:val="006602B2"/>
    <w:rsid w:val="00660571"/>
    <w:rsid w:val="006625D5"/>
    <w:rsid w:val="00662AA0"/>
    <w:rsid w:val="006666E7"/>
    <w:rsid w:val="006669B9"/>
    <w:rsid w:val="00666AA4"/>
    <w:rsid w:val="00666D45"/>
    <w:rsid w:val="00666E2E"/>
    <w:rsid w:val="00667933"/>
    <w:rsid w:val="0067155D"/>
    <w:rsid w:val="00671D55"/>
    <w:rsid w:val="00672174"/>
    <w:rsid w:val="00672511"/>
    <w:rsid w:val="006727DB"/>
    <w:rsid w:val="00672AC0"/>
    <w:rsid w:val="0067457D"/>
    <w:rsid w:val="00677215"/>
    <w:rsid w:val="00677D3C"/>
    <w:rsid w:val="006806A0"/>
    <w:rsid w:val="00680FBF"/>
    <w:rsid w:val="00680FD5"/>
    <w:rsid w:val="006821F1"/>
    <w:rsid w:val="0068231F"/>
    <w:rsid w:val="00682BB2"/>
    <w:rsid w:val="006835EF"/>
    <w:rsid w:val="00683881"/>
    <w:rsid w:val="006838D3"/>
    <w:rsid w:val="00683D2C"/>
    <w:rsid w:val="00684443"/>
    <w:rsid w:val="00684688"/>
    <w:rsid w:val="0068608D"/>
    <w:rsid w:val="00691E5A"/>
    <w:rsid w:val="00692790"/>
    <w:rsid w:val="006932A6"/>
    <w:rsid w:val="00693B8D"/>
    <w:rsid w:val="00693E0F"/>
    <w:rsid w:val="006952FE"/>
    <w:rsid w:val="0069530B"/>
    <w:rsid w:val="006965B4"/>
    <w:rsid w:val="0069777E"/>
    <w:rsid w:val="00697F18"/>
    <w:rsid w:val="006A0DFB"/>
    <w:rsid w:val="006A2053"/>
    <w:rsid w:val="006A20A7"/>
    <w:rsid w:val="006A2213"/>
    <w:rsid w:val="006A2E48"/>
    <w:rsid w:val="006A3865"/>
    <w:rsid w:val="006A41F7"/>
    <w:rsid w:val="006A530E"/>
    <w:rsid w:val="006A7659"/>
    <w:rsid w:val="006A77B9"/>
    <w:rsid w:val="006A7E1D"/>
    <w:rsid w:val="006B014A"/>
    <w:rsid w:val="006B2566"/>
    <w:rsid w:val="006B2E16"/>
    <w:rsid w:val="006B39DB"/>
    <w:rsid w:val="006B442F"/>
    <w:rsid w:val="006B57E8"/>
    <w:rsid w:val="006B66B1"/>
    <w:rsid w:val="006B79C6"/>
    <w:rsid w:val="006C010E"/>
    <w:rsid w:val="006C0263"/>
    <w:rsid w:val="006C1436"/>
    <w:rsid w:val="006C24A6"/>
    <w:rsid w:val="006C29A8"/>
    <w:rsid w:val="006C3527"/>
    <w:rsid w:val="006C3D35"/>
    <w:rsid w:val="006C6406"/>
    <w:rsid w:val="006C7F12"/>
    <w:rsid w:val="006D16AB"/>
    <w:rsid w:val="006D1BFF"/>
    <w:rsid w:val="006D2BBC"/>
    <w:rsid w:val="006D2E1F"/>
    <w:rsid w:val="006D2FBF"/>
    <w:rsid w:val="006D3A19"/>
    <w:rsid w:val="006D577B"/>
    <w:rsid w:val="006D5D29"/>
    <w:rsid w:val="006D5E0C"/>
    <w:rsid w:val="006D6BB0"/>
    <w:rsid w:val="006D6D4D"/>
    <w:rsid w:val="006E1B1C"/>
    <w:rsid w:val="006E1E98"/>
    <w:rsid w:val="006E2AB6"/>
    <w:rsid w:val="006E311E"/>
    <w:rsid w:val="006E48D6"/>
    <w:rsid w:val="006E62B8"/>
    <w:rsid w:val="006E74AB"/>
    <w:rsid w:val="006F0737"/>
    <w:rsid w:val="006F0B53"/>
    <w:rsid w:val="006F0BB9"/>
    <w:rsid w:val="006F109E"/>
    <w:rsid w:val="006F1814"/>
    <w:rsid w:val="006F2BF0"/>
    <w:rsid w:val="006F4417"/>
    <w:rsid w:val="006F4A43"/>
    <w:rsid w:val="006F4C11"/>
    <w:rsid w:val="006F5368"/>
    <w:rsid w:val="006F60F7"/>
    <w:rsid w:val="006F7BDC"/>
    <w:rsid w:val="007000A4"/>
    <w:rsid w:val="00702618"/>
    <w:rsid w:val="00703E9E"/>
    <w:rsid w:val="00704E67"/>
    <w:rsid w:val="00705115"/>
    <w:rsid w:val="0070651C"/>
    <w:rsid w:val="00707755"/>
    <w:rsid w:val="00711C3B"/>
    <w:rsid w:val="00711E18"/>
    <w:rsid w:val="00713F73"/>
    <w:rsid w:val="00713FFA"/>
    <w:rsid w:val="0071427C"/>
    <w:rsid w:val="007146F7"/>
    <w:rsid w:val="007149B2"/>
    <w:rsid w:val="007158EF"/>
    <w:rsid w:val="0071631E"/>
    <w:rsid w:val="00716632"/>
    <w:rsid w:val="00716702"/>
    <w:rsid w:val="00720115"/>
    <w:rsid w:val="007210EF"/>
    <w:rsid w:val="007227FE"/>
    <w:rsid w:val="00722A7B"/>
    <w:rsid w:val="007250CA"/>
    <w:rsid w:val="00725731"/>
    <w:rsid w:val="0072667B"/>
    <w:rsid w:val="00726C14"/>
    <w:rsid w:val="007277F0"/>
    <w:rsid w:val="00727A7D"/>
    <w:rsid w:val="00727D39"/>
    <w:rsid w:val="00733908"/>
    <w:rsid w:val="00734AA6"/>
    <w:rsid w:val="00735288"/>
    <w:rsid w:val="00737EBA"/>
    <w:rsid w:val="007406DB"/>
    <w:rsid w:val="00740C8C"/>
    <w:rsid w:val="00741C51"/>
    <w:rsid w:val="007439BF"/>
    <w:rsid w:val="0074531B"/>
    <w:rsid w:val="0074572F"/>
    <w:rsid w:val="00745CA2"/>
    <w:rsid w:val="007501AF"/>
    <w:rsid w:val="00751574"/>
    <w:rsid w:val="007515CC"/>
    <w:rsid w:val="00752B83"/>
    <w:rsid w:val="00753568"/>
    <w:rsid w:val="00753D56"/>
    <w:rsid w:val="00755371"/>
    <w:rsid w:val="00761DEC"/>
    <w:rsid w:val="00762CE9"/>
    <w:rsid w:val="007638CF"/>
    <w:rsid w:val="0076480E"/>
    <w:rsid w:val="00766A0D"/>
    <w:rsid w:val="0076701E"/>
    <w:rsid w:val="00767FBB"/>
    <w:rsid w:val="007700D4"/>
    <w:rsid w:val="007703DD"/>
    <w:rsid w:val="007721EB"/>
    <w:rsid w:val="00774164"/>
    <w:rsid w:val="007743C6"/>
    <w:rsid w:val="00775A41"/>
    <w:rsid w:val="00777D52"/>
    <w:rsid w:val="00780CDB"/>
    <w:rsid w:val="00781A33"/>
    <w:rsid w:val="0078474D"/>
    <w:rsid w:val="00784763"/>
    <w:rsid w:val="00785A40"/>
    <w:rsid w:val="00790661"/>
    <w:rsid w:val="00791230"/>
    <w:rsid w:val="00791649"/>
    <w:rsid w:val="00794260"/>
    <w:rsid w:val="00794C51"/>
    <w:rsid w:val="007952DF"/>
    <w:rsid w:val="00795557"/>
    <w:rsid w:val="00795A57"/>
    <w:rsid w:val="007969C1"/>
    <w:rsid w:val="007A08E7"/>
    <w:rsid w:val="007A2791"/>
    <w:rsid w:val="007A383E"/>
    <w:rsid w:val="007A74E5"/>
    <w:rsid w:val="007A7A18"/>
    <w:rsid w:val="007B14B1"/>
    <w:rsid w:val="007B16DD"/>
    <w:rsid w:val="007B20C4"/>
    <w:rsid w:val="007B2ECE"/>
    <w:rsid w:val="007B708C"/>
    <w:rsid w:val="007B7ABF"/>
    <w:rsid w:val="007C1569"/>
    <w:rsid w:val="007C4A2C"/>
    <w:rsid w:val="007D06B7"/>
    <w:rsid w:val="007D1506"/>
    <w:rsid w:val="007D40E2"/>
    <w:rsid w:val="007D490C"/>
    <w:rsid w:val="007D5132"/>
    <w:rsid w:val="007D5221"/>
    <w:rsid w:val="007D6351"/>
    <w:rsid w:val="007D68FB"/>
    <w:rsid w:val="007E1466"/>
    <w:rsid w:val="007E2571"/>
    <w:rsid w:val="007E302C"/>
    <w:rsid w:val="007E325F"/>
    <w:rsid w:val="007E4185"/>
    <w:rsid w:val="007E4A08"/>
    <w:rsid w:val="007E4FAB"/>
    <w:rsid w:val="007E5799"/>
    <w:rsid w:val="007E5A1C"/>
    <w:rsid w:val="007E5CFD"/>
    <w:rsid w:val="007E5DE0"/>
    <w:rsid w:val="007E7CC0"/>
    <w:rsid w:val="007E7E9F"/>
    <w:rsid w:val="007F2020"/>
    <w:rsid w:val="007F2FB0"/>
    <w:rsid w:val="007F4C3B"/>
    <w:rsid w:val="007F53E2"/>
    <w:rsid w:val="007F561B"/>
    <w:rsid w:val="007F5749"/>
    <w:rsid w:val="007F6AC8"/>
    <w:rsid w:val="007F6F33"/>
    <w:rsid w:val="00800BAC"/>
    <w:rsid w:val="00801272"/>
    <w:rsid w:val="0080467D"/>
    <w:rsid w:val="00805C95"/>
    <w:rsid w:val="00806153"/>
    <w:rsid w:val="008063C6"/>
    <w:rsid w:val="008063CB"/>
    <w:rsid w:val="00810100"/>
    <w:rsid w:val="008109B0"/>
    <w:rsid w:val="00810C91"/>
    <w:rsid w:val="00815852"/>
    <w:rsid w:val="008158EF"/>
    <w:rsid w:val="00816EE6"/>
    <w:rsid w:val="0081732B"/>
    <w:rsid w:val="00820D79"/>
    <w:rsid w:val="008210D4"/>
    <w:rsid w:val="00821AEF"/>
    <w:rsid w:val="00821FA6"/>
    <w:rsid w:val="00822573"/>
    <w:rsid w:val="008227E2"/>
    <w:rsid w:val="00822AC8"/>
    <w:rsid w:val="00822B35"/>
    <w:rsid w:val="00823272"/>
    <w:rsid w:val="008232BD"/>
    <w:rsid w:val="00823D0E"/>
    <w:rsid w:val="00826134"/>
    <w:rsid w:val="008263E2"/>
    <w:rsid w:val="00830585"/>
    <w:rsid w:val="00831B06"/>
    <w:rsid w:val="00832016"/>
    <w:rsid w:val="00832B8C"/>
    <w:rsid w:val="00832E5D"/>
    <w:rsid w:val="0083356B"/>
    <w:rsid w:val="008338D8"/>
    <w:rsid w:val="008355D4"/>
    <w:rsid w:val="008370C1"/>
    <w:rsid w:val="00842EAC"/>
    <w:rsid w:val="00843EED"/>
    <w:rsid w:val="0084407C"/>
    <w:rsid w:val="0084414A"/>
    <w:rsid w:val="00844875"/>
    <w:rsid w:val="00845A4C"/>
    <w:rsid w:val="00846062"/>
    <w:rsid w:val="0084647B"/>
    <w:rsid w:val="0084796E"/>
    <w:rsid w:val="00850B80"/>
    <w:rsid w:val="00851E51"/>
    <w:rsid w:val="008520C9"/>
    <w:rsid w:val="008539C7"/>
    <w:rsid w:val="008547DC"/>
    <w:rsid w:val="00854A2D"/>
    <w:rsid w:val="00854A8D"/>
    <w:rsid w:val="008551BA"/>
    <w:rsid w:val="008568AC"/>
    <w:rsid w:val="008576EF"/>
    <w:rsid w:val="00860E5C"/>
    <w:rsid w:val="00861F00"/>
    <w:rsid w:val="0086232B"/>
    <w:rsid w:val="00863D85"/>
    <w:rsid w:val="00864C9C"/>
    <w:rsid w:val="008659D6"/>
    <w:rsid w:val="00866672"/>
    <w:rsid w:val="0086712E"/>
    <w:rsid w:val="00870AAD"/>
    <w:rsid w:val="008715E0"/>
    <w:rsid w:val="00874BAB"/>
    <w:rsid w:val="00875931"/>
    <w:rsid w:val="00876248"/>
    <w:rsid w:val="0087713C"/>
    <w:rsid w:val="0087740E"/>
    <w:rsid w:val="00880159"/>
    <w:rsid w:val="0088393E"/>
    <w:rsid w:val="00885FC4"/>
    <w:rsid w:val="00886D12"/>
    <w:rsid w:val="00886F84"/>
    <w:rsid w:val="00887E94"/>
    <w:rsid w:val="008928E6"/>
    <w:rsid w:val="00892DC1"/>
    <w:rsid w:val="0089354A"/>
    <w:rsid w:val="00894558"/>
    <w:rsid w:val="0089738C"/>
    <w:rsid w:val="008A004C"/>
    <w:rsid w:val="008A067E"/>
    <w:rsid w:val="008A0C4A"/>
    <w:rsid w:val="008A1810"/>
    <w:rsid w:val="008A212F"/>
    <w:rsid w:val="008A21EC"/>
    <w:rsid w:val="008A291B"/>
    <w:rsid w:val="008A318E"/>
    <w:rsid w:val="008A70C8"/>
    <w:rsid w:val="008A793D"/>
    <w:rsid w:val="008A7B56"/>
    <w:rsid w:val="008B0885"/>
    <w:rsid w:val="008B3B09"/>
    <w:rsid w:val="008B4097"/>
    <w:rsid w:val="008B45DD"/>
    <w:rsid w:val="008B48DE"/>
    <w:rsid w:val="008C0EFC"/>
    <w:rsid w:val="008C1620"/>
    <w:rsid w:val="008C294F"/>
    <w:rsid w:val="008C2A57"/>
    <w:rsid w:val="008C399B"/>
    <w:rsid w:val="008C4171"/>
    <w:rsid w:val="008C429A"/>
    <w:rsid w:val="008C675A"/>
    <w:rsid w:val="008C70A7"/>
    <w:rsid w:val="008C7BF9"/>
    <w:rsid w:val="008D055B"/>
    <w:rsid w:val="008D199A"/>
    <w:rsid w:val="008D29E2"/>
    <w:rsid w:val="008D2D5F"/>
    <w:rsid w:val="008D4366"/>
    <w:rsid w:val="008D46B1"/>
    <w:rsid w:val="008D7C24"/>
    <w:rsid w:val="008E206E"/>
    <w:rsid w:val="008E211B"/>
    <w:rsid w:val="008E22E9"/>
    <w:rsid w:val="008E2666"/>
    <w:rsid w:val="008E296A"/>
    <w:rsid w:val="008E35A7"/>
    <w:rsid w:val="008E3E12"/>
    <w:rsid w:val="008E4BC0"/>
    <w:rsid w:val="008E538F"/>
    <w:rsid w:val="008E5B0E"/>
    <w:rsid w:val="008E5B74"/>
    <w:rsid w:val="008E5E3A"/>
    <w:rsid w:val="008E72FC"/>
    <w:rsid w:val="008F00AF"/>
    <w:rsid w:val="008F01A8"/>
    <w:rsid w:val="008F1CB9"/>
    <w:rsid w:val="008F2197"/>
    <w:rsid w:val="008F3B99"/>
    <w:rsid w:val="008F445F"/>
    <w:rsid w:val="008F5128"/>
    <w:rsid w:val="008F5184"/>
    <w:rsid w:val="008F5D65"/>
    <w:rsid w:val="008F628A"/>
    <w:rsid w:val="008F67D0"/>
    <w:rsid w:val="008F6BC2"/>
    <w:rsid w:val="008F6F05"/>
    <w:rsid w:val="00901675"/>
    <w:rsid w:val="00902139"/>
    <w:rsid w:val="00902860"/>
    <w:rsid w:val="00902884"/>
    <w:rsid w:val="00902D61"/>
    <w:rsid w:val="00907908"/>
    <w:rsid w:val="00910D58"/>
    <w:rsid w:val="009124E3"/>
    <w:rsid w:val="009125AE"/>
    <w:rsid w:val="00912C3E"/>
    <w:rsid w:val="0091343D"/>
    <w:rsid w:val="00915D17"/>
    <w:rsid w:val="00917031"/>
    <w:rsid w:val="009171C9"/>
    <w:rsid w:val="00917A79"/>
    <w:rsid w:val="0092024E"/>
    <w:rsid w:val="00920842"/>
    <w:rsid w:val="00920FE4"/>
    <w:rsid w:val="00921D77"/>
    <w:rsid w:val="009222B0"/>
    <w:rsid w:val="00923406"/>
    <w:rsid w:val="0092428A"/>
    <w:rsid w:val="0092484B"/>
    <w:rsid w:val="009249B4"/>
    <w:rsid w:val="009269A2"/>
    <w:rsid w:val="00927DDF"/>
    <w:rsid w:val="00927FE6"/>
    <w:rsid w:val="009310E4"/>
    <w:rsid w:val="009316D2"/>
    <w:rsid w:val="00931CE7"/>
    <w:rsid w:val="009334EE"/>
    <w:rsid w:val="00935971"/>
    <w:rsid w:val="009364DE"/>
    <w:rsid w:val="00936B2E"/>
    <w:rsid w:val="00937108"/>
    <w:rsid w:val="00937B24"/>
    <w:rsid w:val="00941790"/>
    <w:rsid w:val="009438EB"/>
    <w:rsid w:val="00943A59"/>
    <w:rsid w:val="00943F44"/>
    <w:rsid w:val="009446B1"/>
    <w:rsid w:val="009447DC"/>
    <w:rsid w:val="009448EB"/>
    <w:rsid w:val="00945114"/>
    <w:rsid w:val="00945370"/>
    <w:rsid w:val="00946ABA"/>
    <w:rsid w:val="00946C15"/>
    <w:rsid w:val="00947663"/>
    <w:rsid w:val="00947E99"/>
    <w:rsid w:val="009525C3"/>
    <w:rsid w:val="0095341B"/>
    <w:rsid w:val="00953BBB"/>
    <w:rsid w:val="00954BFE"/>
    <w:rsid w:val="00954E69"/>
    <w:rsid w:val="009554AC"/>
    <w:rsid w:val="00956694"/>
    <w:rsid w:val="0095690A"/>
    <w:rsid w:val="00961EC8"/>
    <w:rsid w:val="009625D4"/>
    <w:rsid w:val="009631FA"/>
    <w:rsid w:val="0096362C"/>
    <w:rsid w:val="00965AEC"/>
    <w:rsid w:val="009668C2"/>
    <w:rsid w:val="00967B62"/>
    <w:rsid w:val="0097077D"/>
    <w:rsid w:val="00971E52"/>
    <w:rsid w:val="00971FF7"/>
    <w:rsid w:val="00972AF9"/>
    <w:rsid w:val="00974F8C"/>
    <w:rsid w:val="00975A18"/>
    <w:rsid w:val="00976082"/>
    <w:rsid w:val="00976359"/>
    <w:rsid w:val="009770AB"/>
    <w:rsid w:val="009803F5"/>
    <w:rsid w:val="009810FC"/>
    <w:rsid w:val="00981AED"/>
    <w:rsid w:val="0098223A"/>
    <w:rsid w:val="00982397"/>
    <w:rsid w:val="009828F8"/>
    <w:rsid w:val="00982C4F"/>
    <w:rsid w:val="009835BB"/>
    <w:rsid w:val="00983904"/>
    <w:rsid w:val="0098642B"/>
    <w:rsid w:val="00987188"/>
    <w:rsid w:val="00987369"/>
    <w:rsid w:val="00987EEB"/>
    <w:rsid w:val="00990589"/>
    <w:rsid w:val="00990672"/>
    <w:rsid w:val="00990CF7"/>
    <w:rsid w:val="00992D59"/>
    <w:rsid w:val="00994812"/>
    <w:rsid w:val="009948ED"/>
    <w:rsid w:val="00995AF3"/>
    <w:rsid w:val="00995B1C"/>
    <w:rsid w:val="0099603D"/>
    <w:rsid w:val="009A0FE1"/>
    <w:rsid w:val="009A1207"/>
    <w:rsid w:val="009A12CC"/>
    <w:rsid w:val="009A1E6A"/>
    <w:rsid w:val="009A322D"/>
    <w:rsid w:val="009A4021"/>
    <w:rsid w:val="009A5A12"/>
    <w:rsid w:val="009A5E63"/>
    <w:rsid w:val="009A6055"/>
    <w:rsid w:val="009A6718"/>
    <w:rsid w:val="009A6AA0"/>
    <w:rsid w:val="009B00F8"/>
    <w:rsid w:val="009B0EBA"/>
    <w:rsid w:val="009B2512"/>
    <w:rsid w:val="009B4072"/>
    <w:rsid w:val="009B4657"/>
    <w:rsid w:val="009B5096"/>
    <w:rsid w:val="009B79E5"/>
    <w:rsid w:val="009B7E34"/>
    <w:rsid w:val="009B7FEF"/>
    <w:rsid w:val="009C2B21"/>
    <w:rsid w:val="009C2BC4"/>
    <w:rsid w:val="009C3CC4"/>
    <w:rsid w:val="009C4D7A"/>
    <w:rsid w:val="009C57D2"/>
    <w:rsid w:val="009C6D07"/>
    <w:rsid w:val="009C7CC2"/>
    <w:rsid w:val="009D18C4"/>
    <w:rsid w:val="009D4829"/>
    <w:rsid w:val="009D4EA6"/>
    <w:rsid w:val="009D4EB3"/>
    <w:rsid w:val="009D4F38"/>
    <w:rsid w:val="009D6298"/>
    <w:rsid w:val="009D6C9B"/>
    <w:rsid w:val="009D7D5C"/>
    <w:rsid w:val="009D7F85"/>
    <w:rsid w:val="009E50F7"/>
    <w:rsid w:val="009E7800"/>
    <w:rsid w:val="009F3B3B"/>
    <w:rsid w:val="009F512E"/>
    <w:rsid w:val="009F7CB7"/>
    <w:rsid w:val="00A00F8D"/>
    <w:rsid w:val="00A019F4"/>
    <w:rsid w:val="00A01BA0"/>
    <w:rsid w:val="00A02040"/>
    <w:rsid w:val="00A02D65"/>
    <w:rsid w:val="00A0357B"/>
    <w:rsid w:val="00A037B8"/>
    <w:rsid w:val="00A03C0A"/>
    <w:rsid w:val="00A03DE2"/>
    <w:rsid w:val="00A059FE"/>
    <w:rsid w:val="00A05F20"/>
    <w:rsid w:val="00A06AAA"/>
    <w:rsid w:val="00A11095"/>
    <w:rsid w:val="00A11229"/>
    <w:rsid w:val="00A122DF"/>
    <w:rsid w:val="00A12567"/>
    <w:rsid w:val="00A13BEA"/>
    <w:rsid w:val="00A14171"/>
    <w:rsid w:val="00A15232"/>
    <w:rsid w:val="00A15EDE"/>
    <w:rsid w:val="00A16B79"/>
    <w:rsid w:val="00A16E24"/>
    <w:rsid w:val="00A20C90"/>
    <w:rsid w:val="00A20F13"/>
    <w:rsid w:val="00A22C11"/>
    <w:rsid w:val="00A237AF"/>
    <w:rsid w:val="00A24A78"/>
    <w:rsid w:val="00A25378"/>
    <w:rsid w:val="00A25803"/>
    <w:rsid w:val="00A269BE"/>
    <w:rsid w:val="00A26F02"/>
    <w:rsid w:val="00A27013"/>
    <w:rsid w:val="00A2716D"/>
    <w:rsid w:val="00A273E5"/>
    <w:rsid w:val="00A27EDD"/>
    <w:rsid w:val="00A315F2"/>
    <w:rsid w:val="00A31FDD"/>
    <w:rsid w:val="00A33A76"/>
    <w:rsid w:val="00A33BAB"/>
    <w:rsid w:val="00A34A44"/>
    <w:rsid w:val="00A35926"/>
    <w:rsid w:val="00A35BA2"/>
    <w:rsid w:val="00A35C68"/>
    <w:rsid w:val="00A37278"/>
    <w:rsid w:val="00A37D8B"/>
    <w:rsid w:val="00A40BCD"/>
    <w:rsid w:val="00A411A3"/>
    <w:rsid w:val="00A42755"/>
    <w:rsid w:val="00A438A7"/>
    <w:rsid w:val="00A43E05"/>
    <w:rsid w:val="00A44A1A"/>
    <w:rsid w:val="00A467C8"/>
    <w:rsid w:val="00A46DBC"/>
    <w:rsid w:val="00A478B1"/>
    <w:rsid w:val="00A51444"/>
    <w:rsid w:val="00A516A8"/>
    <w:rsid w:val="00A51E42"/>
    <w:rsid w:val="00A52F13"/>
    <w:rsid w:val="00A5322E"/>
    <w:rsid w:val="00A53677"/>
    <w:rsid w:val="00A548B5"/>
    <w:rsid w:val="00A5594C"/>
    <w:rsid w:val="00A55B0B"/>
    <w:rsid w:val="00A56003"/>
    <w:rsid w:val="00A56D55"/>
    <w:rsid w:val="00A60265"/>
    <w:rsid w:val="00A6109B"/>
    <w:rsid w:val="00A63987"/>
    <w:rsid w:val="00A63D7C"/>
    <w:rsid w:val="00A6507F"/>
    <w:rsid w:val="00A66FF6"/>
    <w:rsid w:val="00A70CA8"/>
    <w:rsid w:val="00A7113D"/>
    <w:rsid w:val="00A71E75"/>
    <w:rsid w:val="00A72E9B"/>
    <w:rsid w:val="00A747FA"/>
    <w:rsid w:val="00A74DBB"/>
    <w:rsid w:val="00A765DF"/>
    <w:rsid w:val="00A808DD"/>
    <w:rsid w:val="00A820A8"/>
    <w:rsid w:val="00A821B5"/>
    <w:rsid w:val="00A869AC"/>
    <w:rsid w:val="00A86C3B"/>
    <w:rsid w:val="00A87912"/>
    <w:rsid w:val="00A90070"/>
    <w:rsid w:val="00A90235"/>
    <w:rsid w:val="00A902F6"/>
    <w:rsid w:val="00A90BE2"/>
    <w:rsid w:val="00A90CBF"/>
    <w:rsid w:val="00A90E4D"/>
    <w:rsid w:val="00A93324"/>
    <w:rsid w:val="00A94729"/>
    <w:rsid w:val="00A970B8"/>
    <w:rsid w:val="00A97174"/>
    <w:rsid w:val="00AA0091"/>
    <w:rsid w:val="00AA00AD"/>
    <w:rsid w:val="00AA0803"/>
    <w:rsid w:val="00AA0888"/>
    <w:rsid w:val="00AA12D7"/>
    <w:rsid w:val="00AA3408"/>
    <w:rsid w:val="00AA45A7"/>
    <w:rsid w:val="00AA46B9"/>
    <w:rsid w:val="00AA4F80"/>
    <w:rsid w:val="00AA575E"/>
    <w:rsid w:val="00AA5ADD"/>
    <w:rsid w:val="00AA5D39"/>
    <w:rsid w:val="00AA650F"/>
    <w:rsid w:val="00AB01B2"/>
    <w:rsid w:val="00AB0247"/>
    <w:rsid w:val="00AB0265"/>
    <w:rsid w:val="00AB03C2"/>
    <w:rsid w:val="00AB1105"/>
    <w:rsid w:val="00AB2564"/>
    <w:rsid w:val="00AB3BA3"/>
    <w:rsid w:val="00AB490F"/>
    <w:rsid w:val="00AB547D"/>
    <w:rsid w:val="00AC01B5"/>
    <w:rsid w:val="00AC0CA1"/>
    <w:rsid w:val="00AC13F4"/>
    <w:rsid w:val="00AC25D1"/>
    <w:rsid w:val="00AC3044"/>
    <w:rsid w:val="00AC3EAF"/>
    <w:rsid w:val="00AC5641"/>
    <w:rsid w:val="00AC6560"/>
    <w:rsid w:val="00AC70DD"/>
    <w:rsid w:val="00AD107E"/>
    <w:rsid w:val="00AD1611"/>
    <w:rsid w:val="00AD2B10"/>
    <w:rsid w:val="00AD3297"/>
    <w:rsid w:val="00AD3405"/>
    <w:rsid w:val="00AD394E"/>
    <w:rsid w:val="00AD4493"/>
    <w:rsid w:val="00AD5653"/>
    <w:rsid w:val="00AD7D87"/>
    <w:rsid w:val="00AE2384"/>
    <w:rsid w:val="00AE24D0"/>
    <w:rsid w:val="00AE666E"/>
    <w:rsid w:val="00AE6D69"/>
    <w:rsid w:val="00AF2825"/>
    <w:rsid w:val="00AF2E9A"/>
    <w:rsid w:val="00AF3FB7"/>
    <w:rsid w:val="00AF4183"/>
    <w:rsid w:val="00AF4DC6"/>
    <w:rsid w:val="00AF4DEC"/>
    <w:rsid w:val="00AF4FF8"/>
    <w:rsid w:val="00AF50B7"/>
    <w:rsid w:val="00AF5117"/>
    <w:rsid w:val="00AF609E"/>
    <w:rsid w:val="00AF6367"/>
    <w:rsid w:val="00B00498"/>
    <w:rsid w:val="00B00823"/>
    <w:rsid w:val="00B0089D"/>
    <w:rsid w:val="00B01606"/>
    <w:rsid w:val="00B02505"/>
    <w:rsid w:val="00B042EE"/>
    <w:rsid w:val="00B0452E"/>
    <w:rsid w:val="00B05012"/>
    <w:rsid w:val="00B05BB3"/>
    <w:rsid w:val="00B060E2"/>
    <w:rsid w:val="00B10DDB"/>
    <w:rsid w:val="00B10F04"/>
    <w:rsid w:val="00B1130A"/>
    <w:rsid w:val="00B11DC0"/>
    <w:rsid w:val="00B12AF7"/>
    <w:rsid w:val="00B12BDA"/>
    <w:rsid w:val="00B13827"/>
    <w:rsid w:val="00B150F7"/>
    <w:rsid w:val="00B15380"/>
    <w:rsid w:val="00B175A0"/>
    <w:rsid w:val="00B20552"/>
    <w:rsid w:val="00B2069B"/>
    <w:rsid w:val="00B214D3"/>
    <w:rsid w:val="00B2406E"/>
    <w:rsid w:val="00B24A27"/>
    <w:rsid w:val="00B25B24"/>
    <w:rsid w:val="00B27108"/>
    <w:rsid w:val="00B3037F"/>
    <w:rsid w:val="00B30769"/>
    <w:rsid w:val="00B319DD"/>
    <w:rsid w:val="00B31D2C"/>
    <w:rsid w:val="00B329B6"/>
    <w:rsid w:val="00B3349F"/>
    <w:rsid w:val="00B33DCE"/>
    <w:rsid w:val="00B34013"/>
    <w:rsid w:val="00B34F8F"/>
    <w:rsid w:val="00B353E9"/>
    <w:rsid w:val="00B3738F"/>
    <w:rsid w:val="00B37C39"/>
    <w:rsid w:val="00B4071D"/>
    <w:rsid w:val="00B41D59"/>
    <w:rsid w:val="00B42AC5"/>
    <w:rsid w:val="00B43774"/>
    <w:rsid w:val="00B43C1B"/>
    <w:rsid w:val="00B444B6"/>
    <w:rsid w:val="00B44752"/>
    <w:rsid w:val="00B447B4"/>
    <w:rsid w:val="00B45AEE"/>
    <w:rsid w:val="00B465BD"/>
    <w:rsid w:val="00B469E5"/>
    <w:rsid w:val="00B46A45"/>
    <w:rsid w:val="00B471A4"/>
    <w:rsid w:val="00B47BD3"/>
    <w:rsid w:val="00B500DB"/>
    <w:rsid w:val="00B5089C"/>
    <w:rsid w:val="00B51AA4"/>
    <w:rsid w:val="00B52721"/>
    <w:rsid w:val="00B54757"/>
    <w:rsid w:val="00B54EFD"/>
    <w:rsid w:val="00B555CE"/>
    <w:rsid w:val="00B55870"/>
    <w:rsid w:val="00B56214"/>
    <w:rsid w:val="00B5651F"/>
    <w:rsid w:val="00B56C7F"/>
    <w:rsid w:val="00B579E5"/>
    <w:rsid w:val="00B60093"/>
    <w:rsid w:val="00B60ECC"/>
    <w:rsid w:val="00B612CF"/>
    <w:rsid w:val="00B62EA8"/>
    <w:rsid w:val="00B63002"/>
    <w:rsid w:val="00B633C0"/>
    <w:rsid w:val="00B63FB6"/>
    <w:rsid w:val="00B64F87"/>
    <w:rsid w:val="00B64FE3"/>
    <w:rsid w:val="00B66533"/>
    <w:rsid w:val="00B66B50"/>
    <w:rsid w:val="00B6704D"/>
    <w:rsid w:val="00B67F4F"/>
    <w:rsid w:val="00B71427"/>
    <w:rsid w:val="00B71AD4"/>
    <w:rsid w:val="00B72829"/>
    <w:rsid w:val="00B72948"/>
    <w:rsid w:val="00B72DA5"/>
    <w:rsid w:val="00B73520"/>
    <w:rsid w:val="00B7368F"/>
    <w:rsid w:val="00B745FB"/>
    <w:rsid w:val="00B74AD0"/>
    <w:rsid w:val="00B76488"/>
    <w:rsid w:val="00B764B0"/>
    <w:rsid w:val="00B77D12"/>
    <w:rsid w:val="00B8043E"/>
    <w:rsid w:val="00B80864"/>
    <w:rsid w:val="00B817CF"/>
    <w:rsid w:val="00B8269F"/>
    <w:rsid w:val="00B82EDC"/>
    <w:rsid w:val="00B830EF"/>
    <w:rsid w:val="00B83201"/>
    <w:rsid w:val="00B8338B"/>
    <w:rsid w:val="00B83C43"/>
    <w:rsid w:val="00B83E72"/>
    <w:rsid w:val="00B851FB"/>
    <w:rsid w:val="00B873C2"/>
    <w:rsid w:val="00B908E7"/>
    <w:rsid w:val="00B93186"/>
    <w:rsid w:val="00B9472A"/>
    <w:rsid w:val="00B94780"/>
    <w:rsid w:val="00B974E5"/>
    <w:rsid w:val="00BA0A43"/>
    <w:rsid w:val="00BA2102"/>
    <w:rsid w:val="00BA4D63"/>
    <w:rsid w:val="00BA5C53"/>
    <w:rsid w:val="00BA6021"/>
    <w:rsid w:val="00BA6BC8"/>
    <w:rsid w:val="00BB0257"/>
    <w:rsid w:val="00BB0292"/>
    <w:rsid w:val="00BB02DB"/>
    <w:rsid w:val="00BB19B7"/>
    <w:rsid w:val="00BB32B8"/>
    <w:rsid w:val="00BB4322"/>
    <w:rsid w:val="00BB5B80"/>
    <w:rsid w:val="00BB60B8"/>
    <w:rsid w:val="00BC085E"/>
    <w:rsid w:val="00BC5FDF"/>
    <w:rsid w:val="00BC634D"/>
    <w:rsid w:val="00BC6E2A"/>
    <w:rsid w:val="00BC6E3B"/>
    <w:rsid w:val="00BC7FE9"/>
    <w:rsid w:val="00BD3E0D"/>
    <w:rsid w:val="00BD4529"/>
    <w:rsid w:val="00BD4CA2"/>
    <w:rsid w:val="00BD4E96"/>
    <w:rsid w:val="00BD589C"/>
    <w:rsid w:val="00BD60AF"/>
    <w:rsid w:val="00BE095B"/>
    <w:rsid w:val="00BE0A0A"/>
    <w:rsid w:val="00BE1DC6"/>
    <w:rsid w:val="00BE22B6"/>
    <w:rsid w:val="00BE2857"/>
    <w:rsid w:val="00BE4C09"/>
    <w:rsid w:val="00BE4D08"/>
    <w:rsid w:val="00BE4FC8"/>
    <w:rsid w:val="00BE5551"/>
    <w:rsid w:val="00BE58B4"/>
    <w:rsid w:val="00BE5DB0"/>
    <w:rsid w:val="00BE766E"/>
    <w:rsid w:val="00BE7F6A"/>
    <w:rsid w:val="00BF0209"/>
    <w:rsid w:val="00BF063B"/>
    <w:rsid w:val="00BF06A4"/>
    <w:rsid w:val="00BF08F0"/>
    <w:rsid w:val="00BF0A60"/>
    <w:rsid w:val="00BF195B"/>
    <w:rsid w:val="00BF289F"/>
    <w:rsid w:val="00BF2B03"/>
    <w:rsid w:val="00BF2B1B"/>
    <w:rsid w:val="00BF2D29"/>
    <w:rsid w:val="00BF2F55"/>
    <w:rsid w:val="00BF32B7"/>
    <w:rsid w:val="00BF3DA2"/>
    <w:rsid w:val="00BF4F27"/>
    <w:rsid w:val="00BF6D0B"/>
    <w:rsid w:val="00BF7E18"/>
    <w:rsid w:val="00BF7F82"/>
    <w:rsid w:val="00C00C3B"/>
    <w:rsid w:val="00C01F08"/>
    <w:rsid w:val="00C0268E"/>
    <w:rsid w:val="00C0358B"/>
    <w:rsid w:val="00C0449D"/>
    <w:rsid w:val="00C06083"/>
    <w:rsid w:val="00C064A7"/>
    <w:rsid w:val="00C102D6"/>
    <w:rsid w:val="00C103E2"/>
    <w:rsid w:val="00C110AA"/>
    <w:rsid w:val="00C11385"/>
    <w:rsid w:val="00C11843"/>
    <w:rsid w:val="00C11AF0"/>
    <w:rsid w:val="00C12152"/>
    <w:rsid w:val="00C1217A"/>
    <w:rsid w:val="00C12ED0"/>
    <w:rsid w:val="00C13613"/>
    <w:rsid w:val="00C14128"/>
    <w:rsid w:val="00C1468B"/>
    <w:rsid w:val="00C149A5"/>
    <w:rsid w:val="00C16CA0"/>
    <w:rsid w:val="00C2149B"/>
    <w:rsid w:val="00C22419"/>
    <w:rsid w:val="00C245D1"/>
    <w:rsid w:val="00C262BA"/>
    <w:rsid w:val="00C27D64"/>
    <w:rsid w:val="00C304E4"/>
    <w:rsid w:val="00C30E16"/>
    <w:rsid w:val="00C34B28"/>
    <w:rsid w:val="00C35E83"/>
    <w:rsid w:val="00C3779A"/>
    <w:rsid w:val="00C37D5E"/>
    <w:rsid w:val="00C410A8"/>
    <w:rsid w:val="00C41C1F"/>
    <w:rsid w:val="00C4245A"/>
    <w:rsid w:val="00C44C80"/>
    <w:rsid w:val="00C45335"/>
    <w:rsid w:val="00C509EA"/>
    <w:rsid w:val="00C51F9F"/>
    <w:rsid w:val="00C52130"/>
    <w:rsid w:val="00C52361"/>
    <w:rsid w:val="00C524ED"/>
    <w:rsid w:val="00C52A0B"/>
    <w:rsid w:val="00C57489"/>
    <w:rsid w:val="00C604BD"/>
    <w:rsid w:val="00C61872"/>
    <w:rsid w:val="00C61A15"/>
    <w:rsid w:val="00C631D2"/>
    <w:rsid w:val="00C63E2A"/>
    <w:rsid w:val="00C6424B"/>
    <w:rsid w:val="00C6614D"/>
    <w:rsid w:val="00C671D3"/>
    <w:rsid w:val="00C67D52"/>
    <w:rsid w:val="00C67F47"/>
    <w:rsid w:val="00C707AA"/>
    <w:rsid w:val="00C70DEB"/>
    <w:rsid w:val="00C71983"/>
    <w:rsid w:val="00C7234D"/>
    <w:rsid w:val="00C72DEB"/>
    <w:rsid w:val="00C74171"/>
    <w:rsid w:val="00C74338"/>
    <w:rsid w:val="00C74C4D"/>
    <w:rsid w:val="00C77337"/>
    <w:rsid w:val="00C774C9"/>
    <w:rsid w:val="00C801A7"/>
    <w:rsid w:val="00C8036D"/>
    <w:rsid w:val="00C80841"/>
    <w:rsid w:val="00C80A33"/>
    <w:rsid w:val="00C80DCA"/>
    <w:rsid w:val="00C84E9B"/>
    <w:rsid w:val="00C86851"/>
    <w:rsid w:val="00C86BF0"/>
    <w:rsid w:val="00C923A0"/>
    <w:rsid w:val="00C926A4"/>
    <w:rsid w:val="00C92B56"/>
    <w:rsid w:val="00C930DF"/>
    <w:rsid w:val="00C93737"/>
    <w:rsid w:val="00C9402E"/>
    <w:rsid w:val="00C9461A"/>
    <w:rsid w:val="00C94F87"/>
    <w:rsid w:val="00C95C4E"/>
    <w:rsid w:val="00C969D1"/>
    <w:rsid w:val="00C9789E"/>
    <w:rsid w:val="00C97927"/>
    <w:rsid w:val="00C97A9F"/>
    <w:rsid w:val="00C97AE2"/>
    <w:rsid w:val="00CA0D6F"/>
    <w:rsid w:val="00CA33F8"/>
    <w:rsid w:val="00CA3732"/>
    <w:rsid w:val="00CA3A65"/>
    <w:rsid w:val="00CA584B"/>
    <w:rsid w:val="00CA735A"/>
    <w:rsid w:val="00CB04A4"/>
    <w:rsid w:val="00CB0C94"/>
    <w:rsid w:val="00CB28E7"/>
    <w:rsid w:val="00CB2DEE"/>
    <w:rsid w:val="00CB4260"/>
    <w:rsid w:val="00CB449E"/>
    <w:rsid w:val="00CB5475"/>
    <w:rsid w:val="00CB54F4"/>
    <w:rsid w:val="00CB5A5A"/>
    <w:rsid w:val="00CB5CA9"/>
    <w:rsid w:val="00CB649B"/>
    <w:rsid w:val="00CB6718"/>
    <w:rsid w:val="00CC0807"/>
    <w:rsid w:val="00CC0852"/>
    <w:rsid w:val="00CC09C8"/>
    <w:rsid w:val="00CC0DB4"/>
    <w:rsid w:val="00CC0DF1"/>
    <w:rsid w:val="00CC1DED"/>
    <w:rsid w:val="00CC1E5D"/>
    <w:rsid w:val="00CC257A"/>
    <w:rsid w:val="00CC2AA5"/>
    <w:rsid w:val="00CC48AC"/>
    <w:rsid w:val="00CC4CA4"/>
    <w:rsid w:val="00CC513F"/>
    <w:rsid w:val="00CC7B85"/>
    <w:rsid w:val="00CD17D5"/>
    <w:rsid w:val="00CD2D1F"/>
    <w:rsid w:val="00CD3B53"/>
    <w:rsid w:val="00CD3B69"/>
    <w:rsid w:val="00CD5B08"/>
    <w:rsid w:val="00CD5C8A"/>
    <w:rsid w:val="00CD76A5"/>
    <w:rsid w:val="00CD7BA5"/>
    <w:rsid w:val="00CE00D2"/>
    <w:rsid w:val="00CE08E1"/>
    <w:rsid w:val="00CE114E"/>
    <w:rsid w:val="00CE1389"/>
    <w:rsid w:val="00CE15BC"/>
    <w:rsid w:val="00CE27A9"/>
    <w:rsid w:val="00CE3355"/>
    <w:rsid w:val="00CE36C3"/>
    <w:rsid w:val="00CE43FB"/>
    <w:rsid w:val="00CE55F3"/>
    <w:rsid w:val="00CE660C"/>
    <w:rsid w:val="00CE66EA"/>
    <w:rsid w:val="00CE720B"/>
    <w:rsid w:val="00CE7C56"/>
    <w:rsid w:val="00CE7ED3"/>
    <w:rsid w:val="00CF170D"/>
    <w:rsid w:val="00CF2B49"/>
    <w:rsid w:val="00CF3F63"/>
    <w:rsid w:val="00CF4C60"/>
    <w:rsid w:val="00CF60E0"/>
    <w:rsid w:val="00CF61E2"/>
    <w:rsid w:val="00CF716B"/>
    <w:rsid w:val="00D00673"/>
    <w:rsid w:val="00D0198A"/>
    <w:rsid w:val="00D0245A"/>
    <w:rsid w:val="00D03AF1"/>
    <w:rsid w:val="00D0437F"/>
    <w:rsid w:val="00D05470"/>
    <w:rsid w:val="00D06750"/>
    <w:rsid w:val="00D06C89"/>
    <w:rsid w:val="00D06FC1"/>
    <w:rsid w:val="00D06FE4"/>
    <w:rsid w:val="00D106B9"/>
    <w:rsid w:val="00D14C64"/>
    <w:rsid w:val="00D164D5"/>
    <w:rsid w:val="00D16B57"/>
    <w:rsid w:val="00D16B59"/>
    <w:rsid w:val="00D17428"/>
    <w:rsid w:val="00D21203"/>
    <w:rsid w:val="00D21E78"/>
    <w:rsid w:val="00D22497"/>
    <w:rsid w:val="00D224A3"/>
    <w:rsid w:val="00D228EA"/>
    <w:rsid w:val="00D2329C"/>
    <w:rsid w:val="00D23717"/>
    <w:rsid w:val="00D23D3B"/>
    <w:rsid w:val="00D24BF5"/>
    <w:rsid w:val="00D25C8B"/>
    <w:rsid w:val="00D25D12"/>
    <w:rsid w:val="00D25DC4"/>
    <w:rsid w:val="00D27188"/>
    <w:rsid w:val="00D27859"/>
    <w:rsid w:val="00D309E8"/>
    <w:rsid w:val="00D31430"/>
    <w:rsid w:val="00D33ACB"/>
    <w:rsid w:val="00D352A3"/>
    <w:rsid w:val="00D363FD"/>
    <w:rsid w:val="00D37234"/>
    <w:rsid w:val="00D37FE6"/>
    <w:rsid w:val="00D4096C"/>
    <w:rsid w:val="00D40EB1"/>
    <w:rsid w:val="00D416E3"/>
    <w:rsid w:val="00D41EDC"/>
    <w:rsid w:val="00D41F7E"/>
    <w:rsid w:val="00D428A0"/>
    <w:rsid w:val="00D43564"/>
    <w:rsid w:val="00D43750"/>
    <w:rsid w:val="00D44AF3"/>
    <w:rsid w:val="00D4667B"/>
    <w:rsid w:val="00D47001"/>
    <w:rsid w:val="00D5001E"/>
    <w:rsid w:val="00D504EE"/>
    <w:rsid w:val="00D51AFA"/>
    <w:rsid w:val="00D51B3B"/>
    <w:rsid w:val="00D52153"/>
    <w:rsid w:val="00D52403"/>
    <w:rsid w:val="00D5327B"/>
    <w:rsid w:val="00D5379A"/>
    <w:rsid w:val="00D55F4E"/>
    <w:rsid w:val="00D565C9"/>
    <w:rsid w:val="00D57629"/>
    <w:rsid w:val="00D60878"/>
    <w:rsid w:val="00D60ECA"/>
    <w:rsid w:val="00D63683"/>
    <w:rsid w:val="00D63B86"/>
    <w:rsid w:val="00D64531"/>
    <w:rsid w:val="00D647E8"/>
    <w:rsid w:val="00D64944"/>
    <w:rsid w:val="00D664E3"/>
    <w:rsid w:val="00D67710"/>
    <w:rsid w:val="00D71906"/>
    <w:rsid w:val="00D7435C"/>
    <w:rsid w:val="00D74539"/>
    <w:rsid w:val="00D74984"/>
    <w:rsid w:val="00D750F5"/>
    <w:rsid w:val="00D775DD"/>
    <w:rsid w:val="00D775EF"/>
    <w:rsid w:val="00D77E69"/>
    <w:rsid w:val="00D803E8"/>
    <w:rsid w:val="00D805DB"/>
    <w:rsid w:val="00D819E2"/>
    <w:rsid w:val="00D822F1"/>
    <w:rsid w:val="00D824F4"/>
    <w:rsid w:val="00D8372F"/>
    <w:rsid w:val="00D84905"/>
    <w:rsid w:val="00D90332"/>
    <w:rsid w:val="00D9073B"/>
    <w:rsid w:val="00D9264B"/>
    <w:rsid w:val="00D92988"/>
    <w:rsid w:val="00D9377B"/>
    <w:rsid w:val="00D94EAB"/>
    <w:rsid w:val="00D95DB2"/>
    <w:rsid w:val="00D96031"/>
    <w:rsid w:val="00D96ABC"/>
    <w:rsid w:val="00D9727A"/>
    <w:rsid w:val="00D97622"/>
    <w:rsid w:val="00DA003A"/>
    <w:rsid w:val="00DA2415"/>
    <w:rsid w:val="00DA27AF"/>
    <w:rsid w:val="00DA3A59"/>
    <w:rsid w:val="00DA3CED"/>
    <w:rsid w:val="00DA421F"/>
    <w:rsid w:val="00DA5D20"/>
    <w:rsid w:val="00DA6586"/>
    <w:rsid w:val="00DA66CE"/>
    <w:rsid w:val="00DA6B93"/>
    <w:rsid w:val="00DB0DF4"/>
    <w:rsid w:val="00DB2DE1"/>
    <w:rsid w:val="00DB3230"/>
    <w:rsid w:val="00DB3AA4"/>
    <w:rsid w:val="00DB50FF"/>
    <w:rsid w:val="00DB5495"/>
    <w:rsid w:val="00DB5C36"/>
    <w:rsid w:val="00DB7367"/>
    <w:rsid w:val="00DC0208"/>
    <w:rsid w:val="00DC09F8"/>
    <w:rsid w:val="00DC195D"/>
    <w:rsid w:val="00DC1A7E"/>
    <w:rsid w:val="00DC25D6"/>
    <w:rsid w:val="00DC3351"/>
    <w:rsid w:val="00DC393F"/>
    <w:rsid w:val="00DC3C3D"/>
    <w:rsid w:val="00DC4761"/>
    <w:rsid w:val="00DC4B2D"/>
    <w:rsid w:val="00DC54A5"/>
    <w:rsid w:val="00DC55B3"/>
    <w:rsid w:val="00DC5853"/>
    <w:rsid w:val="00DC5DCA"/>
    <w:rsid w:val="00DC79F4"/>
    <w:rsid w:val="00DD16BB"/>
    <w:rsid w:val="00DD1D6F"/>
    <w:rsid w:val="00DD32B0"/>
    <w:rsid w:val="00DD341D"/>
    <w:rsid w:val="00DD45D1"/>
    <w:rsid w:val="00DD4895"/>
    <w:rsid w:val="00DD6E5D"/>
    <w:rsid w:val="00DD6EBE"/>
    <w:rsid w:val="00DD7087"/>
    <w:rsid w:val="00DD76FD"/>
    <w:rsid w:val="00DE106B"/>
    <w:rsid w:val="00DE19C0"/>
    <w:rsid w:val="00DE2F57"/>
    <w:rsid w:val="00DE30B0"/>
    <w:rsid w:val="00DE496D"/>
    <w:rsid w:val="00DE4D98"/>
    <w:rsid w:val="00DE515C"/>
    <w:rsid w:val="00DE5BB1"/>
    <w:rsid w:val="00DE60C5"/>
    <w:rsid w:val="00DE6E8A"/>
    <w:rsid w:val="00DF073F"/>
    <w:rsid w:val="00DF28B5"/>
    <w:rsid w:val="00DF2B05"/>
    <w:rsid w:val="00DF2D4B"/>
    <w:rsid w:val="00DF3107"/>
    <w:rsid w:val="00DF3E3C"/>
    <w:rsid w:val="00DF3E6E"/>
    <w:rsid w:val="00DF47D8"/>
    <w:rsid w:val="00DF4A95"/>
    <w:rsid w:val="00DF4C89"/>
    <w:rsid w:val="00DF617D"/>
    <w:rsid w:val="00DF7578"/>
    <w:rsid w:val="00DF7E7B"/>
    <w:rsid w:val="00E0089B"/>
    <w:rsid w:val="00E01093"/>
    <w:rsid w:val="00E0185C"/>
    <w:rsid w:val="00E02A6B"/>
    <w:rsid w:val="00E02E0E"/>
    <w:rsid w:val="00E0302B"/>
    <w:rsid w:val="00E030E1"/>
    <w:rsid w:val="00E033BE"/>
    <w:rsid w:val="00E042A2"/>
    <w:rsid w:val="00E04CB5"/>
    <w:rsid w:val="00E06D95"/>
    <w:rsid w:val="00E075CF"/>
    <w:rsid w:val="00E10563"/>
    <w:rsid w:val="00E10FD4"/>
    <w:rsid w:val="00E118A4"/>
    <w:rsid w:val="00E11C4A"/>
    <w:rsid w:val="00E12F28"/>
    <w:rsid w:val="00E13183"/>
    <w:rsid w:val="00E1445A"/>
    <w:rsid w:val="00E160F7"/>
    <w:rsid w:val="00E1696F"/>
    <w:rsid w:val="00E17816"/>
    <w:rsid w:val="00E17F27"/>
    <w:rsid w:val="00E20A8B"/>
    <w:rsid w:val="00E2125F"/>
    <w:rsid w:val="00E21D8C"/>
    <w:rsid w:val="00E22B48"/>
    <w:rsid w:val="00E22FFC"/>
    <w:rsid w:val="00E233FF"/>
    <w:rsid w:val="00E23836"/>
    <w:rsid w:val="00E2403C"/>
    <w:rsid w:val="00E25019"/>
    <w:rsid w:val="00E2511A"/>
    <w:rsid w:val="00E258C4"/>
    <w:rsid w:val="00E27092"/>
    <w:rsid w:val="00E31792"/>
    <w:rsid w:val="00E32577"/>
    <w:rsid w:val="00E33C3D"/>
    <w:rsid w:val="00E33FBD"/>
    <w:rsid w:val="00E341B6"/>
    <w:rsid w:val="00E34476"/>
    <w:rsid w:val="00E34B93"/>
    <w:rsid w:val="00E34BB9"/>
    <w:rsid w:val="00E34C91"/>
    <w:rsid w:val="00E35C21"/>
    <w:rsid w:val="00E360F0"/>
    <w:rsid w:val="00E366C8"/>
    <w:rsid w:val="00E36B2F"/>
    <w:rsid w:val="00E370FB"/>
    <w:rsid w:val="00E37BDE"/>
    <w:rsid w:val="00E42A0C"/>
    <w:rsid w:val="00E4567F"/>
    <w:rsid w:val="00E4613C"/>
    <w:rsid w:val="00E46249"/>
    <w:rsid w:val="00E4629B"/>
    <w:rsid w:val="00E478EE"/>
    <w:rsid w:val="00E51CE6"/>
    <w:rsid w:val="00E5230E"/>
    <w:rsid w:val="00E52D43"/>
    <w:rsid w:val="00E540B0"/>
    <w:rsid w:val="00E54D0D"/>
    <w:rsid w:val="00E5551B"/>
    <w:rsid w:val="00E55610"/>
    <w:rsid w:val="00E558FB"/>
    <w:rsid w:val="00E562AB"/>
    <w:rsid w:val="00E56C8B"/>
    <w:rsid w:val="00E57705"/>
    <w:rsid w:val="00E601A3"/>
    <w:rsid w:val="00E60794"/>
    <w:rsid w:val="00E60E34"/>
    <w:rsid w:val="00E613FD"/>
    <w:rsid w:val="00E61B17"/>
    <w:rsid w:val="00E62119"/>
    <w:rsid w:val="00E6227E"/>
    <w:rsid w:val="00E62669"/>
    <w:rsid w:val="00E62CAC"/>
    <w:rsid w:val="00E638F7"/>
    <w:rsid w:val="00E65370"/>
    <w:rsid w:val="00E65BF4"/>
    <w:rsid w:val="00E663BB"/>
    <w:rsid w:val="00E664A2"/>
    <w:rsid w:val="00E669BF"/>
    <w:rsid w:val="00E72582"/>
    <w:rsid w:val="00E72D56"/>
    <w:rsid w:val="00E72F5C"/>
    <w:rsid w:val="00E73AB0"/>
    <w:rsid w:val="00E747B3"/>
    <w:rsid w:val="00E74A51"/>
    <w:rsid w:val="00E75210"/>
    <w:rsid w:val="00E76839"/>
    <w:rsid w:val="00E77326"/>
    <w:rsid w:val="00E800B0"/>
    <w:rsid w:val="00E81067"/>
    <w:rsid w:val="00E810A8"/>
    <w:rsid w:val="00E82405"/>
    <w:rsid w:val="00E83644"/>
    <w:rsid w:val="00E83C7C"/>
    <w:rsid w:val="00E83CC4"/>
    <w:rsid w:val="00E84EF4"/>
    <w:rsid w:val="00E86820"/>
    <w:rsid w:val="00E87244"/>
    <w:rsid w:val="00E873DB"/>
    <w:rsid w:val="00E906F2"/>
    <w:rsid w:val="00E90895"/>
    <w:rsid w:val="00E90F03"/>
    <w:rsid w:val="00E911E7"/>
    <w:rsid w:val="00E91CB2"/>
    <w:rsid w:val="00E92641"/>
    <w:rsid w:val="00E9286E"/>
    <w:rsid w:val="00E94FF5"/>
    <w:rsid w:val="00E96E22"/>
    <w:rsid w:val="00E97C51"/>
    <w:rsid w:val="00E97D4D"/>
    <w:rsid w:val="00EA0150"/>
    <w:rsid w:val="00EA0F0F"/>
    <w:rsid w:val="00EA1E79"/>
    <w:rsid w:val="00EA3015"/>
    <w:rsid w:val="00EA33D9"/>
    <w:rsid w:val="00EA3579"/>
    <w:rsid w:val="00EA3B1D"/>
    <w:rsid w:val="00EA3B91"/>
    <w:rsid w:val="00EA3FFB"/>
    <w:rsid w:val="00EA49EF"/>
    <w:rsid w:val="00EA4A0F"/>
    <w:rsid w:val="00EA6769"/>
    <w:rsid w:val="00EA6BFD"/>
    <w:rsid w:val="00EA71ED"/>
    <w:rsid w:val="00EB0ADA"/>
    <w:rsid w:val="00EB18C1"/>
    <w:rsid w:val="00EB3DA1"/>
    <w:rsid w:val="00EB3ED3"/>
    <w:rsid w:val="00EB447F"/>
    <w:rsid w:val="00EB44E2"/>
    <w:rsid w:val="00EB6AB1"/>
    <w:rsid w:val="00EB6E10"/>
    <w:rsid w:val="00EB7353"/>
    <w:rsid w:val="00EB7A1B"/>
    <w:rsid w:val="00EC021F"/>
    <w:rsid w:val="00EC0C4E"/>
    <w:rsid w:val="00EC21F9"/>
    <w:rsid w:val="00EC44AB"/>
    <w:rsid w:val="00EC4A1F"/>
    <w:rsid w:val="00EC4CA9"/>
    <w:rsid w:val="00EC6204"/>
    <w:rsid w:val="00EC720C"/>
    <w:rsid w:val="00EC7C03"/>
    <w:rsid w:val="00ED0230"/>
    <w:rsid w:val="00ED2C73"/>
    <w:rsid w:val="00ED2D71"/>
    <w:rsid w:val="00ED498B"/>
    <w:rsid w:val="00ED58B2"/>
    <w:rsid w:val="00ED5A1C"/>
    <w:rsid w:val="00ED6A6E"/>
    <w:rsid w:val="00ED7AB9"/>
    <w:rsid w:val="00ED7FA7"/>
    <w:rsid w:val="00EE0555"/>
    <w:rsid w:val="00EE3ED6"/>
    <w:rsid w:val="00EE5504"/>
    <w:rsid w:val="00EE6C71"/>
    <w:rsid w:val="00EE7B20"/>
    <w:rsid w:val="00EF0017"/>
    <w:rsid w:val="00EF21B3"/>
    <w:rsid w:val="00EF2464"/>
    <w:rsid w:val="00EF2999"/>
    <w:rsid w:val="00EF2C5B"/>
    <w:rsid w:val="00EF3CEF"/>
    <w:rsid w:val="00EF3D14"/>
    <w:rsid w:val="00EF4A01"/>
    <w:rsid w:val="00EF60ED"/>
    <w:rsid w:val="00EF6956"/>
    <w:rsid w:val="00EF6B64"/>
    <w:rsid w:val="00EF784D"/>
    <w:rsid w:val="00F01D2A"/>
    <w:rsid w:val="00F02034"/>
    <w:rsid w:val="00F044BE"/>
    <w:rsid w:val="00F048B9"/>
    <w:rsid w:val="00F05B56"/>
    <w:rsid w:val="00F0624B"/>
    <w:rsid w:val="00F0711A"/>
    <w:rsid w:val="00F10334"/>
    <w:rsid w:val="00F1056F"/>
    <w:rsid w:val="00F11686"/>
    <w:rsid w:val="00F11EC8"/>
    <w:rsid w:val="00F12B32"/>
    <w:rsid w:val="00F1330A"/>
    <w:rsid w:val="00F14F0B"/>
    <w:rsid w:val="00F15061"/>
    <w:rsid w:val="00F150FA"/>
    <w:rsid w:val="00F15826"/>
    <w:rsid w:val="00F203D0"/>
    <w:rsid w:val="00F20A51"/>
    <w:rsid w:val="00F2131E"/>
    <w:rsid w:val="00F23C3B"/>
    <w:rsid w:val="00F243B5"/>
    <w:rsid w:val="00F26400"/>
    <w:rsid w:val="00F30066"/>
    <w:rsid w:val="00F31969"/>
    <w:rsid w:val="00F32880"/>
    <w:rsid w:val="00F32D9A"/>
    <w:rsid w:val="00F334FF"/>
    <w:rsid w:val="00F33A69"/>
    <w:rsid w:val="00F368DF"/>
    <w:rsid w:val="00F370C1"/>
    <w:rsid w:val="00F40D6E"/>
    <w:rsid w:val="00F4207B"/>
    <w:rsid w:val="00F4475E"/>
    <w:rsid w:val="00F44C48"/>
    <w:rsid w:val="00F44C84"/>
    <w:rsid w:val="00F44EF3"/>
    <w:rsid w:val="00F4581C"/>
    <w:rsid w:val="00F4684B"/>
    <w:rsid w:val="00F505B0"/>
    <w:rsid w:val="00F5105B"/>
    <w:rsid w:val="00F511B6"/>
    <w:rsid w:val="00F524CD"/>
    <w:rsid w:val="00F52998"/>
    <w:rsid w:val="00F53CA2"/>
    <w:rsid w:val="00F5401C"/>
    <w:rsid w:val="00F542CA"/>
    <w:rsid w:val="00F5466F"/>
    <w:rsid w:val="00F54DCB"/>
    <w:rsid w:val="00F56116"/>
    <w:rsid w:val="00F56661"/>
    <w:rsid w:val="00F56888"/>
    <w:rsid w:val="00F56C22"/>
    <w:rsid w:val="00F602FE"/>
    <w:rsid w:val="00F60457"/>
    <w:rsid w:val="00F60F9B"/>
    <w:rsid w:val="00F61917"/>
    <w:rsid w:val="00F62167"/>
    <w:rsid w:val="00F62CC1"/>
    <w:rsid w:val="00F6339C"/>
    <w:rsid w:val="00F636A8"/>
    <w:rsid w:val="00F63B77"/>
    <w:rsid w:val="00F64DDC"/>
    <w:rsid w:val="00F653D7"/>
    <w:rsid w:val="00F6609A"/>
    <w:rsid w:val="00F66557"/>
    <w:rsid w:val="00F71770"/>
    <w:rsid w:val="00F717A5"/>
    <w:rsid w:val="00F72576"/>
    <w:rsid w:val="00F7304D"/>
    <w:rsid w:val="00F73C1D"/>
    <w:rsid w:val="00F742BF"/>
    <w:rsid w:val="00F748DD"/>
    <w:rsid w:val="00F753A9"/>
    <w:rsid w:val="00F759D6"/>
    <w:rsid w:val="00F75E96"/>
    <w:rsid w:val="00F766B8"/>
    <w:rsid w:val="00F77D9D"/>
    <w:rsid w:val="00F77FA4"/>
    <w:rsid w:val="00F81FFE"/>
    <w:rsid w:val="00F829A0"/>
    <w:rsid w:val="00F830BF"/>
    <w:rsid w:val="00F83B35"/>
    <w:rsid w:val="00F8496D"/>
    <w:rsid w:val="00F84F4E"/>
    <w:rsid w:val="00F855DC"/>
    <w:rsid w:val="00F908C6"/>
    <w:rsid w:val="00F90B9C"/>
    <w:rsid w:val="00F91316"/>
    <w:rsid w:val="00F91828"/>
    <w:rsid w:val="00F91D71"/>
    <w:rsid w:val="00F91DD2"/>
    <w:rsid w:val="00F92310"/>
    <w:rsid w:val="00F93137"/>
    <w:rsid w:val="00F94F34"/>
    <w:rsid w:val="00F94F3F"/>
    <w:rsid w:val="00F94F68"/>
    <w:rsid w:val="00F9567C"/>
    <w:rsid w:val="00F95967"/>
    <w:rsid w:val="00F9605D"/>
    <w:rsid w:val="00F96BC7"/>
    <w:rsid w:val="00F97DE9"/>
    <w:rsid w:val="00FA09E1"/>
    <w:rsid w:val="00FA15BA"/>
    <w:rsid w:val="00FA2C0E"/>
    <w:rsid w:val="00FA3DAE"/>
    <w:rsid w:val="00FA4D54"/>
    <w:rsid w:val="00FA5745"/>
    <w:rsid w:val="00FA67C1"/>
    <w:rsid w:val="00FA7FE2"/>
    <w:rsid w:val="00FB1683"/>
    <w:rsid w:val="00FB3149"/>
    <w:rsid w:val="00FB391B"/>
    <w:rsid w:val="00FB402B"/>
    <w:rsid w:val="00FB40CB"/>
    <w:rsid w:val="00FB4175"/>
    <w:rsid w:val="00FB457A"/>
    <w:rsid w:val="00FB629C"/>
    <w:rsid w:val="00FB772E"/>
    <w:rsid w:val="00FB7E93"/>
    <w:rsid w:val="00FB7F02"/>
    <w:rsid w:val="00FC0948"/>
    <w:rsid w:val="00FC188D"/>
    <w:rsid w:val="00FC4BB2"/>
    <w:rsid w:val="00FC6466"/>
    <w:rsid w:val="00FC796E"/>
    <w:rsid w:val="00FD104A"/>
    <w:rsid w:val="00FD207C"/>
    <w:rsid w:val="00FD2B77"/>
    <w:rsid w:val="00FD3E2A"/>
    <w:rsid w:val="00FD4832"/>
    <w:rsid w:val="00FD5311"/>
    <w:rsid w:val="00FD54C6"/>
    <w:rsid w:val="00FD6445"/>
    <w:rsid w:val="00FD7C18"/>
    <w:rsid w:val="00FE2A0B"/>
    <w:rsid w:val="00FE453C"/>
    <w:rsid w:val="00FE7430"/>
    <w:rsid w:val="00FF03A7"/>
    <w:rsid w:val="00FF0EE1"/>
    <w:rsid w:val="00FF1B23"/>
    <w:rsid w:val="00FF29B8"/>
    <w:rsid w:val="00FF2FAE"/>
    <w:rsid w:val="00FF38FA"/>
    <w:rsid w:val="00FF5B2A"/>
    <w:rsid w:val="00FF6DB0"/>
    <w:rsid w:val="00FF74FF"/>
    <w:rsid w:val="00FF76BA"/>
    <w:rsid w:val="01087389"/>
    <w:rsid w:val="01142947"/>
    <w:rsid w:val="01200505"/>
    <w:rsid w:val="0122216F"/>
    <w:rsid w:val="01325A8F"/>
    <w:rsid w:val="013516BE"/>
    <w:rsid w:val="014A0D22"/>
    <w:rsid w:val="015E6884"/>
    <w:rsid w:val="01747137"/>
    <w:rsid w:val="017E3632"/>
    <w:rsid w:val="01BB5FED"/>
    <w:rsid w:val="01FB1BFF"/>
    <w:rsid w:val="0205056A"/>
    <w:rsid w:val="020531A4"/>
    <w:rsid w:val="020A35B3"/>
    <w:rsid w:val="02190BBE"/>
    <w:rsid w:val="021B6D21"/>
    <w:rsid w:val="02322F28"/>
    <w:rsid w:val="023B08EE"/>
    <w:rsid w:val="023F388C"/>
    <w:rsid w:val="02421CC3"/>
    <w:rsid w:val="02445A7A"/>
    <w:rsid w:val="024E68F9"/>
    <w:rsid w:val="02561DE2"/>
    <w:rsid w:val="02695A35"/>
    <w:rsid w:val="02725E2D"/>
    <w:rsid w:val="027D11A2"/>
    <w:rsid w:val="028227B2"/>
    <w:rsid w:val="0286314D"/>
    <w:rsid w:val="02935814"/>
    <w:rsid w:val="02A0096B"/>
    <w:rsid w:val="02AE013F"/>
    <w:rsid w:val="02B64DFD"/>
    <w:rsid w:val="02C1579F"/>
    <w:rsid w:val="02C32118"/>
    <w:rsid w:val="02CA6108"/>
    <w:rsid w:val="02D60F91"/>
    <w:rsid w:val="02D76984"/>
    <w:rsid w:val="02E40D97"/>
    <w:rsid w:val="02E85072"/>
    <w:rsid w:val="02F333A9"/>
    <w:rsid w:val="02FB21AB"/>
    <w:rsid w:val="02FC6355"/>
    <w:rsid w:val="030247BA"/>
    <w:rsid w:val="030544FF"/>
    <w:rsid w:val="030D1793"/>
    <w:rsid w:val="030E29BA"/>
    <w:rsid w:val="03357038"/>
    <w:rsid w:val="033A0C2B"/>
    <w:rsid w:val="03654039"/>
    <w:rsid w:val="03663018"/>
    <w:rsid w:val="03704A13"/>
    <w:rsid w:val="037D1336"/>
    <w:rsid w:val="038E120F"/>
    <w:rsid w:val="039E1095"/>
    <w:rsid w:val="03A30167"/>
    <w:rsid w:val="03A54CF2"/>
    <w:rsid w:val="03AA04B8"/>
    <w:rsid w:val="03AE3642"/>
    <w:rsid w:val="03AF714B"/>
    <w:rsid w:val="03B57082"/>
    <w:rsid w:val="03BE7AAE"/>
    <w:rsid w:val="03C345D9"/>
    <w:rsid w:val="03CD305E"/>
    <w:rsid w:val="03E80CD8"/>
    <w:rsid w:val="03EE48EF"/>
    <w:rsid w:val="03F11BF1"/>
    <w:rsid w:val="03F24DC9"/>
    <w:rsid w:val="03F34100"/>
    <w:rsid w:val="04161F26"/>
    <w:rsid w:val="04170DF7"/>
    <w:rsid w:val="04320854"/>
    <w:rsid w:val="043D5D21"/>
    <w:rsid w:val="04483D61"/>
    <w:rsid w:val="045020EC"/>
    <w:rsid w:val="046A53CB"/>
    <w:rsid w:val="047821E2"/>
    <w:rsid w:val="04947470"/>
    <w:rsid w:val="04C40E62"/>
    <w:rsid w:val="04D05CEB"/>
    <w:rsid w:val="04D66201"/>
    <w:rsid w:val="04DA0918"/>
    <w:rsid w:val="04DB2929"/>
    <w:rsid w:val="04FC3F5D"/>
    <w:rsid w:val="04FF5314"/>
    <w:rsid w:val="05010644"/>
    <w:rsid w:val="051313AC"/>
    <w:rsid w:val="05144C7F"/>
    <w:rsid w:val="05187E5E"/>
    <w:rsid w:val="053013D0"/>
    <w:rsid w:val="056612F2"/>
    <w:rsid w:val="057B42FE"/>
    <w:rsid w:val="05B37535"/>
    <w:rsid w:val="05C173E2"/>
    <w:rsid w:val="05CF4081"/>
    <w:rsid w:val="05D709B3"/>
    <w:rsid w:val="05DC08CF"/>
    <w:rsid w:val="05E31168"/>
    <w:rsid w:val="05E40F06"/>
    <w:rsid w:val="060646BB"/>
    <w:rsid w:val="06096F34"/>
    <w:rsid w:val="061C53B3"/>
    <w:rsid w:val="064017F2"/>
    <w:rsid w:val="064737C1"/>
    <w:rsid w:val="065B3392"/>
    <w:rsid w:val="06626E56"/>
    <w:rsid w:val="06636C72"/>
    <w:rsid w:val="0672304F"/>
    <w:rsid w:val="06835943"/>
    <w:rsid w:val="0686299B"/>
    <w:rsid w:val="068A2316"/>
    <w:rsid w:val="068C384C"/>
    <w:rsid w:val="068D21A7"/>
    <w:rsid w:val="069B4513"/>
    <w:rsid w:val="06A17F3E"/>
    <w:rsid w:val="06A20FC1"/>
    <w:rsid w:val="06A833F4"/>
    <w:rsid w:val="06B34496"/>
    <w:rsid w:val="06B66577"/>
    <w:rsid w:val="06B95AC7"/>
    <w:rsid w:val="06C158EB"/>
    <w:rsid w:val="06C74C9F"/>
    <w:rsid w:val="06CC3929"/>
    <w:rsid w:val="06CF60DB"/>
    <w:rsid w:val="06E82CFE"/>
    <w:rsid w:val="06F313BF"/>
    <w:rsid w:val="07000CCC"/>
    <w:rsid w:val="071C0C28"/>
    <w:rsid w:val="07300CC3"/>
    <w:rsid w:val="073B74A1"/>
    <w:rsid w:val="074B379C"/>
    <w:rsid w:val="07561504"/>
    <w:rsid w:val="07565F25"/>
    <w:rsid w:val="075864F0"/>
    <w:rsid w:val="076C4500"/>
    <w:rsid w:val="07751C03"/>
    <w:rsid w:val="0777098F"/>
    <w:rsid w:val="07841BEF"/>
    <w:rsid w:val="0786398B"/>
    <w:rsid w:val="078932FF"/>
    <w:rsid w:val="07B224B6"/>
    <w:rsid w:val="07B5030F"/>
    <w:rsid w:val="07B75BB0"/>
    <w:rsid w:val="07BF3D6F"/>
    <w:rsid w:val="07D12B5A"/>
    <w:rsid w:val="07E037EB"/>
    <w:rsid w:val="07E71830"/>
    <w:rsid w:val="07F53F9D"/>
    <w:rsid w:val="07FA0547"/>
    <w:rsid w:val="080571A2"/>
    <w:rsid w:val="080A2255"/>
    <w:rsid w:val="080D777F"/>
    <w:rsid w:val="0814117C"/>
    <w:rsid w:val="0828314D"/>
    <w:rsid w:val="084E0BD6"/>
    <w:rsid w:val="08503979"/>
    <w:rsid w:val="085A158C"/>
    <w:rsid w:val="085D7497"/>
    <w:rsid w:val="086428B3"/>
    <w:rsid w:val="08656BD0"/>
    <w:rsid w:val="08713341"/>
    <w:rsid w:val="087760D1"/>
    <w:rsid w:val="087B0710"/>
    <w:rsid w:val="08844E22"/>
    <w:rsid w:val="088A7F5F"/>
    <w:rsid w:val="089D7D7B"/>
    <w:rsid w:val="08B35707"/>
    <w:rsid w:val="08DC7509"/>
    <w:rsid w:val="08DD6B03"/>
    <w:rsid w:val="08E43B0F"/>
    <w:rsid w:val="08FF7DDD"/>
    <w:rsid w:val="090166A2"/>
    <w:rsid w:val="09022534"/>
    <w:rsid w:val="090D5D07"/>
    <w:rsid w:val="0922667C"/>
    <w:rsid w:val="09275236"/>
    <w:rsid w:val="092B119A"/>
    <w:rsid w:val="09306D58"/>
    <w:rsid w:val="09390B9F"/>
    <w:rsid w:val="093B1164"/>
    <w:rsid w:val="0940385B"/>
    <w:rsid w:val="0941465B"/>
    <w:rsid w:val="094F6709"/>
    <w:rsid w:val="0952183D"/>
    <w:rsid w:val="0966277A"/>
    <w:rsid w:val="09664528"/>
    <w:rsid w:val="096C5C58"/>
    <w:rsid w:val="096D038B"/>
    <w:rsid w:val="097848B8"/>
    <w:rsid w:val="0983683C"/>
    <w:rsid w:val="09853824"/>
    <w:rsid w:val="09985395"/>
    <w:rsid w:val="099F7FEA"/>
    <w:rsid w:val="09B01C47"/>
    <w:rsid w:val="09B65D38"/>
    <w:rsid w:val="09CB3C0A"/>
    <w:rsid w:val="09D24C53"/>
    <w:rsid w:val="09EF672A"/>
    <w:rsid w:val="09FA3203"/>
    <w:rsid w:val="09FF7BFE"/>
    <w:rsid w:val="0A2479D9"/>
    <w:rsid w:val="0A285C81"/>
    <w:rsid w:val="0A3D1A29"/>
    <w:rsid w:val="0A3F5CD9"/>
    <w:rsid w:val="0A5A637B"/>
    <w:rsid w:val="0A663B0A"/>
    <w:rsid w:val="0A6D2417"/>
    <w:rsid w:val="0A6E4652"/>
    <w:rsid w:val="0A7C228C"/>
    <w:rsid w:val="0AA536BF"/>
    <w:rsid w:val="0AA82F3B"/>
    <w:rsid w:val="0AB75001"/>
    <w:rsid w:val="0AD754CD"/>
    <w:rsid w:val="0ADD4CBE"/>
    <w:rsid w:val="0AE83ED5"/>
    <w:rsid w:val="0B0634FA"/>
    <w:rsid w:val="0B0C5CC4"/>
    <w:rsid w:val="0B1612A2"/>
    <w:rsid w:val="0B212588"/>
    <w:rsid w:val="0B217B56"/>
    <w:rsid w:val="0B2C6CAB"/>
    <w:rsid w:val="0B3F2C19"/>
    <w:rsid w:val="0B420C77"/>
    <w:rsid w:val="0B436951"/>
    <w:rsid w:val="0B5012DA"/>
    <w:rsid w:val="0B523A95"/>
    <w:rsid w:val="0B681ED1"/>
    <w:rsid w:val="0B6B22C9"/>
    <w:rsid w:val="0B72147D"/>
    <w:rsid w:val="0B7725F4"/>
    <w:rsid w:val="0B7F5D75"/>
    <w:rsid w:val="0B8B2703"/>
    <w:rsid w:val="0B8D3F60"/>
    <w:rsid w:val="0B951D43"/>
    <w:rsid w:val="0B9A1F23"/>
    <w:rsid w:val="0B9B6EF1"/>
    <w:rsid w:val="0B9C1C9D"/>
    <w:rsid w:val="0BA706AC"/>
    <w:rsid w:val="0BB02E2A"/>
    <w:rsid w:val="0BB8526F"/>
    <w:rsid w:val="0BC71C64"/>
    <w:rsid w:val="0BC8644B"/>
    <w:rsid w:val="0BDB78F8"/>
    <w:rsid w:val="0BE502CE"/>
    <w:rsid w:val="0BFC49CA"/>
    <w:rsid w:val="0BFF7F8F"/>
    <w:rsid w:val="0C1A74BA"/>
    <w:rsid w:val="0C2658DC"/>
    <w:rsid w:val="0C3410D8"/>
    <w:rsid w:val="0C410A25"/>
    <w:rsid w:val="0C463724"/>
    <w:rsid w:val="0C477D93"/>
    <w:rsid w:val="0C55652A"/>
    <w:rsid w:val="0C5C1C12"/>
    <w:rsid w:val="0C5E1BFD"/>
    <w:rsid w:val="0C66143F"/>
    <w:rsid w:val="0C7042B9"/>
    <w:rsid w:val="0C71390F"/>
    <w:rsid w:val="0C7512C7"/>
    <w:rsid w:val="0C777867"/>
    <w:rsid w:val="0C793191"/>
    <w:rsid w:val="0C7B02EA"/>
    <w:rsid w:val="0C937576"/>
    <w:rsid w:val="0C992063"/>
    <w:rsid w:val="0C9F6118"/>
    <w:rsid w:val="0CA14B3C"/>
    <w:rsid w:val="0CC441C8"/>
    <w:rsid w:val="0CC53C5B"/>
    <w:rsid w:val="0CCD169F"/>
    <w:rsid w:val="0CCD5722"/>
    <w:rsid w:val="0CDC0754"/>
    <w:rsid w:val="0CE831C7"/>
    <w:rsid w:val="0D033888"/>
    <w:rsid w:val="0D1A0B50"/>
    <w:rsid w:val="0D2C070A"/>
    <w:rsid w:val="0D2C767A"/>
    <w:rsid w:val="0D2E1801"/>
    <w:rsid w:val="0D3247FD"/>
    <w:rsid w:val="0D4F346B"/>
    <w:rsid w:val="0D694F5F"/>
    <w:rsid w:val="0D6A79DB"/>
    <w:rsid w:val="0DA6181C"/>
    <w:rsid w:val="0DAE75C1"/>
    <w:rsid w:val="0DAF2A5B"/>
    <w:rsid w:val="0DB00D5C"/>
    <w:rsid w:val="0DB8226D"/>
    <w:rsid w:val="0DB902A0"/>
    <w:rsid w:val="0DC61A39"/>
    <w:rsid w:val="0DC85F26"/>
    <w:rsid w:val="0DD2548D"/>
    <w:rsid w:val="0DDF7BF6"/>
    <w:rsid w:val="0DE133C7"/>
    <w:rsid w:val="0DE657DA"/>
    <w:rsid w:val="0DF03072"/>
    <w:rsid w:val="0DF575E7"/>
    <w:rsid w:val="0E0B0E89"/>
    <w:rsid w:val="0E191823"/>
    <w:rsid w:val="0E227B23"/>
    <w:rsid w:val="0E2E708F"/>
    <w:rsid w:val="0E3A292E"/>
    <w:rsid w:val="0E502AAA"/>
    <w:rsid w:val="0E5D364A"/>
    <w:rsid w:val="0E883192"/>
    <w:rsid w:val="0E9E4764"/>
    <w:rsid w:val="0EA86FBB"/>
    <w:rsid w:val="0EC842D6"/>
    <w:rsid w:val="0ED8416C"/>
    <w:rsid w:val="0EEA02B1"/>
    <w:rsid w:val="0EED0C82"/>
    <w:rsid w:val="0EF42513"/>
    <w:rsid w:val="0EFC6C34"/>
    <w:rsid w:val="0F020558"/>
    <w:rsid w:val="0F052A35"/>
    <w:rsid w:val="0F18383B"/>
    <w:rsid w:val="0F196507"/>
    <w:rsid w:val="0F204B19"/>
    <w:rsid w:val="0F2D739E"/>
    <w:rsid w:val="0F343334"/>
    <w:rsid w:val="0F375BC5"/>
    <w:rsid w:val="0F3B242E"/>
    <w:rsid w:val="0F3B3452"/>
    <w:rsid w:val="0F4E2DD2"/>
    <w:rsid w:val="0F5A5D56"/>
    <w:rsid w:val="0F661A9F"/>
    <w:rsid w:val="0F7D081D"/>
    <w:rsid w:val="0F8344AB"/>
    <w:rsid w:val="0F8632D3"/>
    <w:rsid w:val="0F8F1D65"/>
    <w:rsid w:val="0F915FE1"/>
    <w:rsid w:val="0F9C07C7"/>
    <w:rsid w:val="0FA20284"/>
    <w:rsid w:val="0FBE047A"/>
    <w:rsid w:val="0FD757AD"/>
    <w:rsid w:val="0FE07CC3"/>
    <w:rsid w:val="0FF44CA3"/>
    <w:rsid w:val="0FFA61B0"/>
    <w:rsid w:val="100173F2"/>
    <w:rsid w:val="100B7BD7"/>
    <w:rsid w:val="100C4023"/>
    <w:rsid w:val="10101691"/>
    <w:rsid w:val="10132D37"/>
    <w:rsid w:val="102121B6"/>
    <w:rsid w:val="102313C5"/>
    <w:rsid w:val="102E22AB"/>
    <w:rsid w:val="103A2F9B"/>
    <w:rsid w:val="103C085C"/>
    <w:rsid w:val="10532861"/>
    <w:rsid w:val="106D3EDC"/>
    <w:rsid w:val="109B3F51"/>
    <w:rsid w:val="10AA3894"/>
    <w:rsid w:val="10AC4127"/>
    <w:rsid w:val="10BE21EF"/>
    <w:rsid w:val="10F44B0F"/>
    <w:rsid w:val="110C7F5E"/>
    <w:rsid w:val="111431D1"/>
    <w:rsid w:val="112278CE"/>
    <w:rsid w:val="112C3B78"/>
    <w:rsid w:val="113F131D"/>
    <w:rsid w:val="11402938"/>
    <w:rsid w:val="11512B20"/>
    <w:rsid w:val="115305C3"/>
    <w:rsid w:val="11563AAD"/>
    <w:rsid w:val="11610A29"/>
    <w:rsid w:val="11671A45"/>
    <w:rsid w:val="11682FBD"/>
    <w:rsid w:val="117046DB"/>
    <w:rsid w:val="11992D75"/>
    <w:rsid w:val="119B31DD"/>
    <w:rsid w:val="11A93A6B"/>
    <w:rsid w:val="11A97B89"/>
    <w:rsid w:val="11B54ED8"/>
    <w:rsid w:val="11BD1C00"/>
    <w:rsid w:val="11BF511D"/>
    <w:rsid w:val="11C9491E"/>
    <w:rsid w:val="11CE5425"/>
    <w:rsid w:val="11D94B5E"/>
    <w:rsid w:val="11ED1B8B"/>
    <w:rsid w:val="11F40BF5"/>
    <w:rsid w:val="11F528ED"/>
    <w:rsid w:val="11FA5A8C"/>
    <w:rsid w:val="11FC73C1"/>
    <w:rsid w:val="120945EA"/>
    <w:rsid w:val="121B3B70"/>
    <w:rsid w:val="121C4D18"/>
    <w:rsid w:val="122300F0"/>
    <w:rsid w:val="12377FD1"/>
    <w:rsid w:val="124F3FCF"/>
    <w:rsid w:val="125515DD"/>
    <w:rsid w:val="125F3B3E"/>
    <w:rsid w:val="12601EFA"/>
    <w:rsid w:val="126401D3"/>
    <w:rsid w:val="12662A16"/>
    <w:rsid w:val="12734291"/>
    <w:rsid w:val="127614B6"/>
    <w:rsid w:val="12771554"/>
    <w:rsid w:val="127F42ED"/>
    <w:rsid w:val="12917963"/>
    <w:rsid w:val="129206AA"/>
    <w:rsid w:val="12932067"/>
    <w:rsid w:val="12970D18"/>
    <w:rsid w:val="12997F32"/>
    <w:rsid w:val="12A7080A"/>
    <w:rsid w:val="12A70C59"/>
    <w:rsid w:val="12B3472F"/>
    <w:rsid w:val="12B65663"/>
    <w:rsid w:val="12BA7692"/>
    <w:rsid w:val="12C329EB"/>
    <w:rsid w:val="12D13428"/>
    <w:rsid w:val="12D1659E"/>
    <w:rsid w:val="12DF77AA"/>
    <w:rsid w:val="12E02E18"/>
    <w:rsid w:val="12E35613"/>
    <w:rsid w:val="13013A04"/>
    <w:rsid w:val="130A326B"/>
    <w:rsid w:val="13142C82"/>
    <w:rsid w:val="1320256D"/>
    <w:rsid w:val="13250FB0"/>
    <w:rsid w:val="132E3653"/>
    <w:rsid w:val="132F4AB0"/>
    <w:rsid w:val="132F62D2"/>
    <w:rsid w:val="133B323C"/>
    <w:rsid w:val="133E409F"/>
    <w:rsid w:val="134279E1"/>
    <w:rsid w:val="13524BCD"/>
    <w:rsid w:val="13541569"/>
    <w:rsid w:val="135610DD"/>
    <w:rsid w:val="135B7BC8"/>
    <w:rsid w:val="135D4BEE"/>
    <w:rsid w:val="136649CE"/>
    <w:rsid w:val="137D5290"/>
    <w:rsid w:val="137E5CEB"/>
    <w:rsid w:val="13983E78"/>
    <w:rsid w:val="13AA53FC"/>
    <w:rsid w:val="13AE5829"/>
    <w:rsid w:val="13C76879"/>
    <w:rsid w:val="13C90091"/>
    <w:rsid w:val="13D562D3"/>
    <w:rsid w:val="13EE3A98"/>
    <w:rsid w:val="13F31769"/>
    <w:rsid w:val="13FF65A9"/>
    <w:rsid w:val="140E7C96"/>
    <w:rsid w:val="142851FC"/>
    <w:rsid w:val="143516C6"/>
    <w:rsid w:val="1440200A"/>
    <w:rsid w:val="144E09DA"/>
    <w:rsid w:val="1450411B"/>
    <w:rsid w:val="145C7AB8"/>
    <w:rsid w:val="14751C07"/>
    <w:rsid w:val="147B7D72"/>
    <w:rsid w:val="148A7C64"/>
    <w:rsid w:val="14A2036B"/>
    <w:rsid w:val="14A6471E"/>
    <w:rsid w:val="14A81CBB"/>
    <w:rsid w:val="14AA20B4"/>
    <w:rsid w:val="14AE1156"/>
    <w:rsid w:val="14CB13CC"/>
    <w:rsid w:val="14DC1B42"/>
    <w:rsid w:val="14DD1797"/>
    <w:rsid w:val="14EC1251"/>
    <w:rsid w:val="14FD767C"/>
    <w:rsid w:val="1500607F"/>
    <w:rsid w:val="150263BE"/>
    <w:rsid w:val="15036EB4"/>
    <w:rsid w:val="15417FCB"/>
    <w:rsid w:val="157955E3"/>
    <w:rsid w:val="157F3DAD"/>
    <w:rsid w:val="15810381"/>
    <w:rsid w:val="158F7650"/>
    <w:rsid w:val="15AB60E4"/>
    <w:rsid w:val="15CF75C2"/>
    <w:rsid w:val="15DB4E8B"/>
    <w:rsid w:val="15DB629E"/>
    <w:rsid w:val="16005B4D"/>
    <w:rsid w:val="16023749"/>
    <w:rsid w:val="16117F11"/>
    <w:rsid w:val="16122D70"/>
    <w:rsid w:val="161F618A"/>
    <w:rsid w:val="163500E7"/>
    <w:rsid w:val="16390BF0"/>
    <w:rsid w:val="16394F6A"/>
    <w:rsid w:val="163A5649"/>
    <w:rsid w:val="16511CDE"/>
    <w:rsid w:val="165C63EB"/>
    <w:rsid w:val="166169AF"/>
    <w:rsid w:val="166805E8"/>
    <w:rsid w:val="166A3A8D"/>
    <w:rsid w:val="166D5CF9"/>
    <w:rsid w:val="1679677C"/>
    <w:rsid w:val="16806F5F"/>
    <w:rsid w:val="16891110"/>
    <w:rsid w:val="16B200D8"/>
    <w:rsid w:val="16B53E81"/>
    <w:rsid w:val="16C91A60"/>
    <w:rsid w:val="16D30DE4"/>
    <w:rsid w:val="16D53A3A"/>
    <w:rsid w:val="16E41182"/>
    <w:rsid w:val="16EC69F2"/>
    <w:rsid w:val="16F46BD4"/>
    <w:rsid w:val="16F8582D"/>
    <w:rsid w:val="17011FF5"/>
    <w:rsid w:val="17082077"/>
    <w:rsid w:val="17086A04"/>
    <w:rsid w:val="170C79EF"/>
    <w:rsid w:val="1733704F"/>
    <w:rsid w:val="1739584F"/>
    <w:rsid w:val="175D2140"/>
    <w:rsid w:val="17704AAB"/>
    <w:rsid w:val="17731FA9"/>
    <w:rsid w:val="1785028E"/>
    <w:rsid w:val="179F445C"/>
    <w:rsid w:val="17A36B40"/>
    <w:rsid w:val="17A408D6"/>
    <w:rsid w:val="17A974E2"/>
    <w:rsid w:val="17B920AF"/>
    <w:rsid w:val="17BA0860"/>
    <w:rsid w:val="17BA6CC5"/>
    <w:rsid w:val="17BC7BFC"/>
    <w:rsid w:val="17BE4DD5"/>
    <w:rsid w:val="17D23C27"/>
    <w:rsid w:val="18142066"/>
    <w:rsid w:val="181D0DEF"/>
    <w:rsid w:val="182401DB"/>
    <w:rsid w:val="18242F81"/>
    <w:rsid w:val="18305A46"/>
    <w:rsid w:val="184B2CE6"/>
    <w:rsid w:val="185524EF"/>
    <w:rsid w:val="185858F1"/>
    <w:rsid w:val="186B4D4A"/>
    <w:rsid w:val="188B6D6F"/>
    <w:rsid w:val="188E5E3A"/>
    <w:rsid w:val="188F5CA0"/>
    <w:rsid w:val="189622E4"/>
    <w:rsid w:val="18A15213"/>
    <w:rsid w:val="18C33FDF"/>
    <w:rsid w:val="18CD25A4"/>
    <w:rsid w:val="18D3152C"/>
    <w:rsid w:val="18D82E24"/>
    <w:rsid w:val="18DB5522"/>
    <w:rsid w:val="18E83A63"/>
    <w:rsid w:val="18FE3820"/>
    <w:rsid w:val="19130E36"/>
    <w:rsid w:val="194B1EC4"/>
    <w:rsid w:val="19550C97"/>
    <w:rsid w:val="19570331"/>
    <w:rsid w:val="1962306A"/>
    <w:rsid w:val="19775154"/>
    <w:rsid w:val="198364F1"/>
    <w:rsid w:val="198D4077"/>
    <w:rsid w:val="19A36B5B"/>
    <w:rsid w:val="19AB225A"/>
    <w:rsid w:val="19AD7F51"/>
    <w:rsid w:val="19D65577"/>
    <w:rsid w:val="19FB1C97"/>
    <w:rsid w:val="1A017EFC"/>
    <w:rsid w:val="1A0A4ACB"/>
    <w:rsid w:val="1A1846F1"/>
    <w:rsid w:val="1A2062AD"/>
    <w:rsid w:val="1A3261AF"/>
    <w:rsid w:val="1A352916"/>
    <w:rsid w:val="1A606D71"/>
    <w:rsid w:val="1A6C5716"/>
    <w:rsid w:val="1A8D27AD"/>
    <w:rsid w:val="1A9021AA"/>
    <w:rsid w:val="1A920900"/>
    <w:rsid w:val="1A9349CE"/>
    <w:rsid w:val="1A942CB7"/>
    <w:rsid w:val="1A9E57EB"/>
    <w:rsid w:val="1AA151CF"/>
    <w:rsid w:val="1AA2653D"/>
    <w:rsid w:val="1AA82093"/>
    <w:rsid w:val="1AD244DF"/>
    <w:rsid w:val="1AF06026"/>
    <w:rsid w:val="1AF54F22"/>
    <w:rsid w:val="1B0B7197"/>
    <w:rsid w:val="1B1A1616"/>
    <w:rsid w:val="1B270D19"/>
    <w:rsid w:val="1B312411"/>
    <w:rsid w:val="1B3157F0"/>
    <w:rsid w:val="1B347B21"/>
    <w:rsid w:val="1B35192A"/>
    <w:rsid w:val="1B4120DC"/>
    <w:rsid w:val="1B473D6A"/>
    <w:rsid w:val="1B50316D"/>
    <w:rsid w:val="1B5230EB"/>
    <w:rsid w:val="1B593292"/>
    <w:rsid w:val="1B5B3A17"/>
    <w:rsid w:val="1B6B1CE4"/>
    <w:rsid w:val="1B6B6F05"/>
    <w:rsid w:val="1B6B7277"/>
    <w:rsid w:val="1B701516"/>
    <w:rsid w:val="1B77374A"/>
    <w:rsid w:val="1B7927FA"/>
    <w:rsid w:val="1B832673"/>
    <w:rsid w:val="1B870F6D"/>
    <w:rsid w:val="1B873604"/>
    <w:rsid w:val="1B8804C7"/>
    <w:rsid w:val="1B9008DD"/>
    <w:rsid w:val="1BAD6F45"/>
    <w:rsid w:val="1BB25C71"/>
    <w:rsid w:val="1BBC2E22"/>
    <w:rsid w:val="1BF16305"/>
    <w:rsid w:val="1C122B82"/>
    <w:rsid w:val="1C146065"/>
    <w:rsid w:val="1C1952D0"/>
    <w:rsid w:val="1C226D51"/>
    <w:rsid w:val="1C2D27CB"/>
    <w:rsid w:val="1C5300CD"/>
    <w:rsid w:val="1C784A20"/>
    <w:rsid w:val="1C9C180B"/>
    <w:rsid w:val="1C9D3319"/>
    <w:rsid w:val="1CC00E4E"/>
    <w:rsid w:val="1CC10B52"/>
    <w:rsid w:val="1CCC725F"/>
    <w:rsid w:val="1CD53DBF"/>
    <w:rsid w:val="1CDB373E"/>
    <w:rsid w:val="1CF00DBA"/>
    <w:rsid w:val="1D0807A5"/>
    <w:rsid w:val="1D090ADB"/>
    <w:rsid w:val="1D0E00EC"/>
    <w:rsid w:val="1D13724C"/>
    <w:rsid w:val="1D1939ED"/>
    <w:rsid w:val="1D2101C2"/>
    <w:rsid w:val="1D29203C"/>
    <w:rsid w:val="1D5030CD"/>
    <w:rsid w:val="1D5613CC"/>
    <w:rsid w:val="1D652F47"/>
    <w:rsid w:val="1D657F1B"/>
    <w:rsid w:val="1D6926C1"/>
    <w:rsid w:val="1D7A117D"/>
    <w:rsid w:val="1D880D96"/>
    <w:rsid w:val="1D9A1B1C"/>
    <w:rsid w:val="1D9B3BF5"/>
    <w:rsid w:val="1D9E241B"/>
    <w:rsid w:val="1D9F350A"/>
    <w:rsid w:val="1DA014B3"/>
    <w:rsid w:val="1DB213DC"/>
    <w:rsid w:val="1DBF4C41"/>
    <w:rsid w:val="1DC31AF1"/>
    <w:rsid w:val="1DCE7F11"/>
    <w:rsid w:val="1DD0331B"/>
    <w:rsid w:val="1E021E39"/>
    <w:rsid w:val="1E0358BF"/>
    <w:rsid w:val="1E1E766F"/>
    <w:rsid w:val="1E1F3A61"/>
    <w:rsid w:val="1E244853"/>
    <w:rsid w:val="1E286DFF"/>
    <w:rsid w:val="1E2D10E0"/>
    <w:rsid w:val="1E365D9A"/>
    <w:rsid w:val="1E3D3A5F"/>
    <w:rsid w:val="1E3E15B2"/>
    <w:rsid w:val="1E3E4FF3"/>
    <w:rsid w:val="1E4F234C"/>
    <w:rsid w:val="1E5D2340"/>
    <w:rsid w:val="1E620067"/>
    <w:rsid w:val="1E9004FA"/>
    <w:rsid w:val="1E9646FF"/>
    <w:rsid w:val="1E966318"/>
    <w:rsid w:val="1EA11680"/>
    <w:rsid w:val="1EA2204E"/>
    <w:rsid w:val="1EB06519"/>
    <w:rsid w:val="1EB83994"/>
    <w:rsid w:val="1EC262C5"/>
    <w:rsid w:val="1EC3007D"/>
    <w:rsid w:val="1ECF054D"/>
    <w:rsid w:val="1EEF5642"/>
    <w:rsid w:val="1F045F88"/>
    <w:rsid w:val="1F106FB8"/>
    <w:rsid w:val="1F3802BD"/>
    <w:rsid w:val="1F3D5A2B"/>
    <w:rsid w:val="1F3E5968"/>
    <w:rsid w:val="1F422AE4"/>
    <w:rsid w:val="1F434323"/>
    <w:rsid w:val="1F4E0DE8"/>
    <w:rsid w:val="1F7312F5"/>
    <w:rsid w:val="1F77383F"/>
    <w:rsid w:val="1F7E73A9"/>
    <w:rsid w:val="1F87452F"/>
    <w:rsid w:val="1F875D46"/>
    <w:rsid w:val="1F896D6A"/>
    <w:rsid w:val="1F8E5386"/>
    <w:rsid w:val="1F95416B"/>
    <w:rsid w:val="1FB72D07"/>
    <w:rsid w:val="1FC37E78"/>
    <w:rsid w:val="1FD54EF5"/>
    <w:rsid w:val="1FF40688"/>
    <w:rsid w:val="1FF52A08"/>
    <w:rsid w:val="1FFD0BB5"/>
    <w:rsid w:val="2003179C"/>
    <w:rsid w:val="2003268C"/>
    <w:rsid w:val="200B5C0B"/>
    <w:rsid w:val="200D1367"/>
    <w:rsid w:val="20150AF2"/>
    <w:rsid w:val="201C4CA7"/>
    <w:rsid w:val="201E3957"/>
    <w:rsid w:val="20201E76"/>
    <w:rsid w:val="2033450B"/>
    <w:rsid w:val="204C2272"/>
    <w:rsid w:val="20526EB3"/>
    <w:rsid w:val="206D6F3E"/>
    <w:rsid w:val="207D3B26"/>
    <w:rsid w:val="209C2B3E"/>
    <w:rsid w:val="20B35BED"/>
    <w:rsid w:val="20B36678"/>
    <w:rsid w:val="20BD4F1E"/>
    <w:rsid w:val="20CA66FD"/>
    <w:rsid w:val="20D13B63"/>
    <w:rsid w:val="20DE5C53"/>
    <w:rsid w:val="20E85164"/>
    <w:rsid w:val="20EA5069"/>
    <w:rsid w:val="20ED5FC1"/>
    <w:rsid w:val="20F50EA7"/>
    <w:rsid w:val="212B1CCB"/>
    <w:rsid w:val="212D5B2C"/>
    <w:rsid w:val="213F2BAB"/>
    <w:rsid w:val="214E088D"/>
    <w:rsid w:val="215C01B1"/>
    <w:rsid w:val="21603FBE"/>
    <w:rsid w:val="2194182A"/>
    <w:rsid w:val="21A77AE0"/>
    <w:rsid w:val="21B667D4"/>
    <w:rsid w:val="21B87BA4"/>
    <w:rsid w:val="21D555AC"/>
    <w:rsid w:val="21D56F58"/>
    <w:rsid w:val="21ED538F"/>
    <w:rsid w:val="22165C38"/>
    <w:rsid w:val="22224D86"/>
    <w:rsid w:val="22381FEF"/>
    <w:rsid w:val="22386FD2"/>
    <w:rsid w:val="22410FAB"/>
    <w:rsid w:val="22414157"/>
    <w:rsid w:val="224263F9"/>
    <w:rsid w:val="22440002"/>
    <w:rsid w:val="224C30CF"/>
    <w:rsid w:val="224F2D6A"/>
    <w:rsid w:val="225116B9"/>
    <w:rsid w:val="225418B2"/>
    <w:rsid w:val="22547524"/>
    <w:rsid w:val="225F67AC"/>
    <w:rsid w:val="226A2E83"/>
    <w:rsid w:val="226E6D66"/>
    <w:rsid w:val="228C0017"/>
    <w:rsid w:val="228F35D6"/>
    <w:rsid w:val="229949E3"/>
    <w:rsid w:val="22B24BDD"/>
    <w:rsid w:val="22C01A09"/>
    <w:rsid w:val="22C52F66"/>
    <w:rsid w:val="22C708C4"/>
    <w:rsid w:val="22C7230E"/>
    <w:rsid w:val="22D842DA"/>
    <w:rsid w:val="22E71D38"/>
    <w:rsid w:val="22EA0933"/>
    <w:rsid w:val="22EC07EF"/>
    <w:rsid w:val="22EE7D2D"/>
    <w:rsid w:val="22F10EAE"/>
    <w:rsid w:val="23036601"/>
    <w:rsid w:val="230D48E9"/>
    <w:rsid w:val="2321231C"/>
    <w:rsid w:val="23331BF5"/>
    <w:rsid w:val="233D0BA3"/>
    <w:rsid w:val="23425054"/>
    <w:rsid w:val="23501055"/>
    <w:rsid w:val="235B5E01"/>
    <w:rsid w:val="236C5D90"/>
    <w:rsid w:val="236E4580"/>
    <w:rsid w:val="237C6924"/>
    <w:rsid w:val="2390111C"/>
    <w:rsid w:val="23BC326A"/>
    <w:rsid w:val="23BD3CBF"/>
    <w:rsid w:val="23CA51A8"/>
    <w:rsid w:val="23CC7174"/>
    <w:rsid w:val="23DF1584"/>
    <w:rsid w:val="23FA639B"/>
    <w:rsid w:val="23FD4981"/>
    <w:rsid w:val="24131E75"/>
    <w:rsid w:val="241C3500"/>
    <w:rsid w:val="241C3808"/>
    <w:rsid w:val="242530D9"/>
    <w:rsid w:val="243A2CDC"/>
    <w:rsid w:val="24450C8E"/>
    <w:rsid w:val="24505030"/>
    <w:rsid w:val="2451627C"/>
    <w:rsid w:val="246254F1"/>
    <w:rsid w:val="246256CC"/>
    <w:rsid w:val="246A5AC3"/>
    <w:rsid w:val="248024EA"/>
    <w:rsid w:val="2480376B"/>
    <w:rsid w:val="24803A09"/>
    <w:rsid w:val="24805846"/>
    <w:rsid w:val="248C219B"/>
    <w:rsid w:val="24941808"/>
    <w:rsid w:val="249F59AA"/>
    <w:rsid w:val="24A77CC7"/>
    <w:rsid w:val="24AA572C"/>
    <w:rsid w:val="24B11A33"/>
    <w:rsid w:val="24BD0D51"/>
    <w:rsid w:val="24F77329"/>
    <w:rsid w:val="24FC6EB5"/>
    <w:rsid w:val="250107BC"/>
    <w:rsid w:val="250170D7"/>
    <w:rsid w:val="250C1416"/>
    <w:rsid w:val="25215F5B"/>
    <w:rsid w:val="25287EFC"/>
    <w:rsid w:val="25314CEF"/>
    <w:rsid w:val="253506B3"/>
    <w:rsid w:val="253F224B"/>
    <w:rsid w:val="25407ECB"/>
    <w:rsid w:val="2551001C"/>
    <w:rsid w:val="255710E7"/>
    <w:rsid w:val="25696F6D"/>
    <w:rsid w:val="258409DC"/>
    <w:rsid w:val="2585705F"/>
    <w:rsid w:val="25923602"/>
    <w:rsid w:val="259D531E"/>
    <w:rsid w:val="25A04D0A"/>
    <w:rsid w:val="25B306C7"/>
    <w:rsid w:val="25CC1B09"/>
    <w:rsid w:val="25CE43CE"/>
    <w:rsid w:val="25DC7BF4"/>
    <w:rsid w:val="25EF09CC"/>
    <w:rsid w:val="25F018F1"/>
    <w:rsid w:val="260A3362"/>
    <w:rsid w:val="26123E85"/>
    <w:rsid w:val="261E1B8F"/>
    <w:rsid w:val="262E79BC"/>
    <w:rsid w:val="26436B55"/>
    <w:rsid w:val="26454B11"/>
    <w:rsid w:val="264616B2"/>
    <w:rsid w:val="264B5C5F"/>
    <w:rsid w:val="264F0D93"/>
    <w:rsid w:val="265911BA"/>
    <w:rsid w:val="265E5FBA"/>
    <w:rsid w:val="26600667"/>
    <w:rsid w:val="266C74E3"/>
    <w:rsid w:val="266F6CBA"/>
    <w:rsid w:val="268A268F"/>
    <w:rsid w:val="26997A56"/>
    <w:rsid w:val="269A4AD7"/>
    <w:rsid w:val="269C4E0B"/>
    <w:rsid w:val="269C55D5"/>
    <w:rsid w:val="26C17B69"/>
    <w:rsid w:val="26C33FFE"/>
    <w:rsid w:val="26C64400"/>
    <w:rsid w:val="26CE36E5"/>
    <w:rsid w:val="26E31B06"/>
    <w:rsid w:val="26E6217B"/>
    <w:rsid w:val="26FC7D13"/>
    <w:rsid w:val="26FF6276"/>
    <w:rsid w:val="27035654"/>
    <w:rsid w:val="27037513"/>
    <w:rsid w:val="27117BFF"/>
    <w:rsid w:val="27203EEB"/>
    <w:rsid w:val="273677D8"/>
    <w:rsid w:val="2754129C"/>
    <w:rsid w:val="27603EC1"/>
    <w:rsid w:val="27851A0B"/>
    <w:rsid w:val="27876136"/>
    <w:rsid w:val="279462F5"/>
    <w:rsid w:val="279B3ADF"/>
    <w:rsid w:val="27A06CC5"/>
    <w:rsid w:val="27B34755"/>
    <w:rsid w:val="27C112E1"/>
    <w:rsid w:val="27DB14BA"/>
    <w:rsid w:val="27DD6376"/>
    <w:rsid w:val="27E03D9F"/>
    <w:rsid w:val="27E07DE8"/>
    <w:rsid w:val="27E862A2"/>
    <w:rsid w:val="27EF19B8"/>
    <w:rsid w:val="280334C5"/>
    <w:rsid w:val="2804309E"/>
    <w:rsid w:val="28071DAC"/>
    <w:rsid w:val="28130274"/>
    <w:rsid w:val="281459A7"/>
    <w:rsid w:val="28327F9F"/>
    <w:rsid w:val="2841272B"/>
    <w:rsid w:val="28454B2D"/>
    <w:rsid w:val="28603EB7"/>
    <w:rsid w:val="286930B9"/>
    <w:rsid w:val="286A5D40"/>
    <w:rsid w:val="286F6AEE"/>
    <w:rsid w:val="287967D6"/>
    <w:rsid w:val="289A4C69"/>
    <w:rsid w:val="28AC4758"/>
    <w:rsid w:val="28AE3251"/>
    <w:rsid w:val="28BF46B0"/>
    <w:rsid w:val="28C04C4C"/>
    <w:rsid w:val="28C82DD8"/>
    <w:rsid w:val="28D41056"/>
    <w:rsid w:val="28E07697"/>
    <w:rsid w:val="28E824C9"/>
    <w:rsid w:val="28EC4FBD"/>
    <w:rsid w:val="28EC7622"/>
    <w:rsid w:val="28EE5156"/>
    <w:rsid w:val="290D3D87"/>
    <w:rsid w:val="291268CF"/>
    <w:rsid w:val="291470DB"/>
    <w:rsid w:val="292A3D9E"/>
    <w:rsid w:val="292E34BD"/>
    <w:rsid w:val="29340781"/>
    <w:rsid w:val="29470E70"/>
    <w:rsid w:val="29482C06"/>
    <w:rsid w:val="296206AF"/>
    <w:rsid w:val="297045CA"/>
    <w:rsid w:val="298040D2"/>
    <w:rsid w:val="298C7B83"/>
    <w:rsid w:val="298E1846"/>
    <w:rsid w:val="298F5ED7"/>
    <w:rsid w:val="29A009BF"/>
    <w:rsid w:val="29A03A03"/>
    <w:rsid w:val="29AA0009"/>
    <w:rsid w:val="29B6075C"/>
    <w:rsid w:val="29BC6F56"/>
    <w:rsid w:val="29DA2DCF"/>
    <w:rsid w:val="29E17A78"/>
    <w:rsid w:val="29E439C2"/>
    <w:rsid w:val="2A0F7329"/>
    <w:rsid w:val="2A132508"/>
    <w:rsid w:val="2A1D0B14"/>
    <w:rsid w:val="2A3A79B3"/>
    <w:rsid w:val="2A53353C"/>
    <w:rsid w:val="2A5534B9"/>
    <w:rsid w:val="2A57508D"/>
    <w:rsid w:val="2A5D2041"/>
    <w:rsid w:val="2A6F2F5D"/>
    <w:rsid w:val="2A713219"/>
    <w:rsid w:val="2A755211"/>
    <w:rsid w:val="2A7A1212"/>
    <w:rsid w:val="2A8D0991"/>
    <w:rsid w:val="2AA1252A"/>
    <w:rsid w:val="2AAA4765"/>
    <w:rsid w:val="2AAE121F"/>
    <w:rsid w:val="2AAF72FB"/>
    <w:rsid w:val="2AC309F8"/>
    <w:rsid w:val="2AD80D1A"/>
    <w:rsid w:val="2ADD166C"/>
    <w:rsid w:val="2AE863AE"/>
    <w:rsid w:val="2AF156B3"/>
    <w:rsid w:val="2B0158CD"/>
    <w:rsid w:val="2B0A133F"/>
    <w:rsid w:val="2B50728E"/>
    <w:rsid w:val="2B520F1D"/>
    <w:rsid w:val="2B606BD1"/>
    <w:rsid w:val="2B687D7B"/>
    <w:rsid w:val="2B694E68"/>
    <w:rsid w:val="2B791766"/>
    <w:rsid w:val="2B924276"/>
    <w:rsid w:val="2B9D59FF"/>
    <w:rsid w:val="2BA32F62"/>
    <w:rsid w:val="2BB53941"/>
    <w:rsid w:val="2BBE3BE5"/>
    <w:rsid w:val="2BCB64C7"/>
    <w:rsid w:val="2BD92E3F"/>
    <w:rsid w:val="2BD96F73"/>
    <w:rsid w:val="2BDE12CD"/>
    <w:rsid w:val="2BE25A98"/>
    <w:rsid w:val="2BE86CA8"/>
    <w:rsid w:val="2BEC7697"/>
    <w:rsid w:val="2BF01660"/>
    <w:rsid w:val="2BF2460D"/>
    <w:rsid w:val="2BF56003"/>
    <w:rsid w:val="2BFF1C71"/>
    <w:rsid w:val="2C0A517A"/>
    <w:rsid w:val="2C20470A"/>
    <w:rsid w:val="2C4A36EA"/>
    <w:rsid w:val="2C550ACB"/>
    <w:rsid w:val="2C571774"/>
    <w:rsid w:val="2C595F36"/>
    <w:rsid w:val="2C5D75B5"/>
    <w:rsid w:val="2C646B95"/>
    <w:rsid w:val="2C676E85"/>
    <w:rsid w:val="2C825C0E"/>
    <w:rsid w:val="2C837851"/>
    <w:rsid w:val="2CA0428D"/>
    <w:rsid w:val="2CA60204"/>
    <w:rsid w:val="2CAB6D99"/>
    <w:rsid w:val="2CC122AF"/>
    <w:rsid w:val="2CD566E0"/>
    <w:rsid w:val="2CDE1D5D"/>
    <w:rsid w:val="2CE1145B"/>
    <w:rsid w:val="2CEE5D0C"/>
    <w:rsid w:val="2CFB1ACD"/>
    <w:rsid w:val="2CFC166C"/>
    <w:rsid w:val="2D0C4370"/>
    <w:rsid w:val="2D19422F"/>
    <w:rsid w:val="2D1B612E"/>
    <w:rsid w:val="2D272A78"/>
    <w:rsid w:val="2D294D17"/>
    <w:rsid w:val="2D2D77E4"/>
    <w:rsid w:val="2D302844"/>
    <w:rsid w:val="2D340907"/>
    <w:rsid w:val="2D416924"/>
    <w:rsid w:val="2D422B39"/>
    <w:rsid w:val="2D4B565F"/>
    <w:rsid w:val="2D5C7521"/>
    <w:rsid w:val="2D7149C3"/>
    <w:rsid w:val="2D747094"/>
    <w:rsid w:val="2D992C03"/>
    <w:rsid w:val="2DA216C6"/>
    <w:rsid w:val="2DA33153"/>
    <w:rsid w:val="2DB50AD8"/>
    <w:rsid w:val="2DB653BC"/>
    <w:rsid w:val="2DFB0C12"/>
    <w:rsid w:val="2E11532A"/>
    <w:rsid w:val="2E2C7B59"/>
    <w:rsid w:val="2E512381"/>
    <w:rsid w:val="2E6D0A1B"/>
    <w:rsid w:val="2E796BD4"/>
    <w:rsid w:val="2E896136"/>
    <w:rsid w:val="2E904A45"/>
    <w:rsid w:val="2E921142"/>
    <w:rsid w:val="2E9238C2"/>
    <w:rsid w:val="2E972F4E"/>
    <w:rsid w:val="2EB97398"/>
    <w:rsid w:val="2EBC2DDB"/>
    <w:rsid w:val="2EDE6676"/>
    <w:rsid w:val="2EE62071"/>
    <w:rsid w:val="2F181834"/>
    <w:rsid w:val="2F1877C3"/>
    <w:rsid w:val="2F1D3166"/>
    <w:rsid w:val="2F1E4AC6"/>
    <w:rsid w:val="2F3D2575"/>
    <w:rsid w:val="2F5F6DC2"/>
    <w:rsid w:val="2F634EE2"/>
    <w:rsid w:val="2F6A2714"/>
    <w:rsid w:val="2F715E38"/>
    <w:rsid w:val="2F7313FD"/>
    <w:rsid w:val="2F732A13"/>
    <w:rsid w:val="2F941D65"/>
    <w:rsid w:val="2FA43F61"/>
    <w:rsid w:val="2FA96F2B"/>
    <w:rsid w:val="2FB35201"/>
    <w:rsid w:val="2FBD3AD7"/>
    <w:rsid w:val="2FF9240C"/>
    <w:rsid w:val="2FF946AE"/>
    <w:rsid w:val="2FFD2F9F"/>
    <w:rsid w:val="2FFD70E5"/>
    <w:rsid w:val="304537EB"/>
    <w:rsid w:val="304D1B6D"/>
    <w:rsid w:val="305059B1"/>
    <w:rsid w:val="30696528"/>
    <w:rsid w:val="30726515"/>
    <w:rsid w:val="308C47E8"/>
    <w:rsid w:val="308D2CDE"/>
    <w:rsid w:val="30972D75"/>
    <w:rsid w:val="309A496D"/>
    <w:rsid w:val="30B05F05"/>
    <w:rsid w:val="30BB31C8"/>
    <w:rsid w:val="30C0620D"/>
    <w:rsid w:val="30CF2B57"/>
    <w:rsid w:val="30D34409"/>
    <w:rsid w:val="30DC76BD"/>
    <w:rsid w:val="30E3161A"/>
    <w:rsid w:val="30E43E01"/>
    <w:rsid w:val="30FD59F3"/>
    <w:rsid w:val="30FE700B"/>
    <w:rsid w:val="3120701A"/>
    <w:rsid w:val="313B489A"/>
    <w:rsid w:val="315238A4"/>
    <w:rsid w:val="315C56BE"/>
    <w:rsid w:val="316546A0"/>
    <w:rsid w:val="316D71E4"/>
    <w:rsid w:val="31802A8F"/>
    <w:rsid w:val="31857392"/>
    <w:rsid w:val="318B193E"/>
    <w:rsid w:val="31931ABF"/>
    <w:rsid w:val="31A10BF5"/>
    <w:rsid w:val="31A970A8"/>
    <w:rsid w:val="31AB1E21"/>
    <w:rsid w:val="31B75CB4"/>
    <w:rsid w:val="31B77767"/>
    <w:rsid w:val="31BE052E"/>
    <w:rsid w:val="31CA483D"/>
    <w:rsid w:val="31D156FC"/>
    <w:rsid w:val="31D442D0"/>
    <w:rsid w:val="32056724"/>
    <w:rsid w:val="320F2803"/>
    <w:rsid w:val="321043B9"/>
    <w:rsid w:val="32164D38"/>
    <w:rsid w:val="322713CA"/>
    <w:rsid w:val="322A670F"/>
    <w:rsid w:val="32432616"/>
    <w:rsid w:val="3243394A"/>
    <w:rsid w:val="324803BF"/>
    <w:rsid w:val="324C6483"/>
    <w:rsid w:val="32522469"/>
    <w:rsid w:val="32776BA9"/>
    <w:rsid w:val="327B2A0D"/>
    <w:rsid w:val="32B45676"/>
    <w:rsid w:val="32C5561F"/>
    <w:rsid w:val="32DC084A"/>
    <w:rsid w:val="32E12CEE"/>
    <w:rsid w:val="32F669C8"/>
    <w:rsid w:val="33001B7A"/>
    <w:rsid w:val="331535A7"/>
    <w:rsid w:val="33182DFB"/>
    <w:rsid w:val="331A0CC8"/>
    <w:rsid w:val="331A7AF8"/>
    <w:rsid w:val="331F55C4"/>
    <w:rsid w:val="3324614F"/>
    <w:rsid w:val="33547948"/>
    <w:rsid w:val="335F2062"/>
    <w:rsid w:val="33686602"/>
    <w:rsid w:val="3369637D"/>
    <w:rsid w:val="336A7882"/>
    <w:rsid w:val="339771F4"/>
    <w:rsid w:val="339B1393"/>
    <w:rsid w:val="33A855B9"/>
    <w:rsid w:val="33B71F93"/>
    <w:rsid w:val="33BF2903"/>
    <w:rsid w:val="33CD5020"/>
    <w:rsid w:val="33CD6404"/>
    <w:rsid w:val="33D354D0"/>
    <w:rsid w:val="33D46EDF"/>
    <w:rsid w:val="33EF3CEA"/>
    <w:rsid w:val="33F07711"/>
    <w:rsid w:val="33FC203D"/>
    <w:rsid w:val="33FE167D"/>
    <w:rsid w:val="3406286A"/>
    <w:rsid w:val="340F7D51"/>
    <w:rsid w:val="34222A44"/>
    <w:rsid w:val="34403A44"/>
    <w:rsid w:val="3464291B"/>
    <w:rsid w:val="34840E64"/>
    <w:rsid w:val="34890588"/>
    <w:rsid w:val="34910F9E"/>
    <w:rsid w:val="34911926"/>
    <w:rsid w:val="34927084"/>
    <w:rsid w:val="34A76BD5"/>
    <w:rsid w:val="34AF3A6D"/>
    <w:rsid w:val="34BD011B"/>
    <w:rsid w:val="34CD4B64"/>
    <w:rsid w:val="34D72B0D"/>
    <w:rsid w:val="34DF5BDE"/>
    <w:rsid w:val="34EE06B7"/>
    <w:rsid w:val="34F24CD0"/>
    <w:rsid w:val="34FD7410"/>
    <w:rsid w:val="35020CF9"/>
    <w:rsid w:val="351A6043"/>
    <w:rsid w:val="351C0EA2"/>
    <w:rsid w:val="35255512"/>
    <w:rsid w:val="35280DC0"/>
    <w:rsid w:val="35461EBC"/>
    <w:rsid w:val="354716FF"/>
    <w:rsid w:val="354D7F75"/>
    <w:rsid w:val="355A12E4"/>
    <w:rsid w:val="35605956"/>
    <w:rsid w:val="35756336"/>
    <w:rsid w:val="3585603E"/>
    <w:rsid w:val="358D30B5"/>
    <w:rsid w:val="358F21E7"/>
    <w:rsid w:val="35914AC1"/>
    <w:rsid w:val="35921F18"/>
    <w:rsid w:val="359706D2"/>
    <w:rsid w:val="35A303EA"/>
    <w:rsid w:val="35A61FCC"/>
    <w:rsid w:val="35A80566"/>
    <w:rsid w:val="35AA4F6C"/>
    <w:rsid w:val="35B54217"/>
    <w:rsid w:val="35BE2E72"/>
    <w:rsid w:val="35F73CF2"/>
    <w:rsid w:val="360407DE"/>
    <w:rsid w:val="361E461E"/>
    <w:rsid w:val="362236CD"/>
    <w:rsid w:val="362353CB"/>
    <w:rsid w:val="364D069A"/>
    <w:rsid w:val="36507137"/>
    <w:rsid w:val="365628C0"/>
    <w:rsid w:val="365E4E53"/>
    <w:rsid w:val="36741C91"/>
    <w:rsid w:val="36745F37"/>
    <w:rsid w:val="36826C73"/>
    <w:rsid w:val="36833BDE"/>
    <w:rsid w:val="368C5779"/>
    <w:rsid w:val="36943485"/>
    <w:rsid w:val="369D3512"/>
    <w:rsid w:val="369D517D"/>
    <w:rsid w:val="36AD7FE4"/>
    <w:rsid w:val="36B54F4A"/>
    <w:rsid w:val="36B6196C"/>
    <w:rsid w:val="36B971F0"/>
    <w:rsid w:val="36C4252E"/>
    <w:rsid w:val="36C941C4"/>
    <w:rsid w:val="36D01095"/>
    <w:rsid w:val="36E1641D"/>
    <w:rsid w:val="36E6311A"/>
    <w:rsid w:val="36FD3CFD"/>
    <w:rsid w:val="37024C59"/>
    <w:rsid w:val="370F2612"/>
    <w:rsid w:val="37101BB1"/>
    <w:rsid w:val="37237B4D"/>
    <w:rsid w:val="3729161C"/>
    <w:rsid w:val="372F0DF2"/>
    <w:rsid w:val="373677D5"/>
    <w:rsid w:val="37433BFB"/>
    <w:rsid w:val="37471BEF"/>
    <w:rsid w:val="374D6BA3"/>
    <w:rsid w:val="376923BA"/>
    <w:rsid w:val="37733813"/>
    <w:rsid w:val="378823DF"/>
    <w:rsid w:val="378E20BB"/>
    <w:rsid w:val="37941218"/>
    <w:rsid w:val="37945822"/>
    <w:rsid w:val="37990A35"/>
    <w:rsid w:val="37A12891"/>
    <w:rsid w:val="37AD65C6"/>
    <w:rsid w:val="37BB0FD8"/>
    <w:rsid w:val="37C242B9"/>
    <w:rsid w:val="37C35F96"/>
    <w:rsid w:val="37C4673A"/>
    <w:rsid w:val="37CA1A7A"/>
    <w:rsid w:val="37CF5621"/>
    <w:rsid w:val="37D31ED9"/>
    <w:rsid w:val="37E35871"/>
    <w:rsid w:val="37E961A0"/>
    <w:rsid w:val="37F5270D"/>
    <w:rsid w:val="37FE10B8"/>
    <w:rsid w:val="37FE7227"/>
    <w:rsid w:val="380B32C6"/>
    <w:rsid w:val="381309C6"/>
    <w:rsid w:val="3827564E"/>
    <w:rsid w:val="386211A0"/>
    <w:rsid w:val="38774AC4"/>
    <w:rsid w:val="387A2AEC"/>
    <w:rsid w:val="38980B25"/>
    <w:rsid w:val="38B676A5"/>
    <w:rsid w:val="38B75199"/>
    <w:rsid w:val="38B91722"/>
    <w:rsid w:val="38CA5FD2"/>
    <w:rsid w:val="39097304"/>
    <w:rsid w:val="3922196A"/>
    <w:rsid w:val="392502E5"/>
    <w:rsid w:val="393741B4"/>
    <w:rsid w:val="39531710"/>
    <w:rsid w:val="395D3D25"/>
    <w:rsid w:val="396804A8"/>
    <w:rsid w:val="397074D5"/>
    <w:rsid w:val="397B405B"/>
    <w:rsid w:val="397D525A"/>
    <w:rsid w:val="39817D3D"/>
    <w:rsid w:val="39981BEB"/>
    <w:rsid w:val="39AC75EE"/>
    <w:rsid w:val="39B916DF"/>
    <w:rsid w:val="39BB0FFD"/>
    <w:rsid w:val="39DC2DAA"/>
    <w:rsid w:val="39DD0D52"/>
    <w:rsid w:val="39E81252"/>
    <w:rsid w:val="39ED01CA"/>
    <w:rsid w:val="39EE69BC"/>
    <w:rsid w:val="39F01DE6"/>
    <w:rsid w:val="39F24125"/>
    <w:rsid w:val="3A00359B"/>
    <w:rsid w:val="3A24028F"/>
    <w:rsid w:val="3A3718D6"/>
    <w:rsid w:val="3A4660AA"/>
    <w:rsid w:val="3A5E3659"/>
    <w:rsid w:val="3A64520B"/>
    <w:rsid w:val="3A7D3282"/>
    <w:rsid w:val="3A83468A"/>
    <w:rsid w:val="3A9F77C4"/>
    <w:rsid w:val="3AC708A8"/>
    <w:rsid w:val="3AE8089A"/>
    <w:rsid w:val="3AFB240E"/>
    <w:rsid w:val="3AFD5CD9"/>
    <w:rsid w:val="3B1919AB"/>
    <w:rsid w:val="3B246193"/>
    <w:rsid w:val="3B2C4003"/>
    <w:rsid w:val="3B322AFF"/>
    <w:rsid w:val="3B340B6C"/>
    <w:rsid w:val="3B431474"/>
    <w:rsid w:val="3B5E09F6"/>
    <w:rsid w:val="3B6B12B0"/>
    <w:rsid w:val="3B790184"/>
    <w:rsid w:val="3B88270F"/>
    <w:rsid w:val="3BAB27D1"/>
    <w:rsid w:val="3BAD7364"/>
    <w:rsid w:val="3BBE60C2"/>
    <w:rsid w:val="3BC34952"/>
    <w:rsid w:val="3BCB0097"/>
    <w:rsid w:val="3BE01FA9"/>
    <w:rsid w:val="3BE82D14"/>
    <w:rsid w:val="3BEA7FE9"/>
    <w:rsid w:val="3BF03FA1"/>
    <w:rsid w:val="3BFC2F3F"/>
    <w:rsid w:val="3C05618E"/>
    <w:rsid w:val="3C25022E"/>
    <w:rsid w:val="3C2C06BD"/>
    <w:rsid w:val="3C340332"/>
    <w:rsid w:val="3C343788"/>
    <w:rsid w:val="3C435976"/>
    <w:rsid w:val="3C5B4206"/>
    <w:rsid w:val="3C5C5193"/>
    <w:rsid w:val="3C64645A"/>
    <w:rsid w:val="3C656018"/>
    <w:rsid w:val="3C667DB0"/>
    <w:rsid w:val="3C6C06DF"/>
    <w:rsid w:val="3C7B68BB"/>
    <w:rsid w:val="3C946D71"/>
    <w:rsid w:val="3CAE79D6"/>
    <w:rsid w:val="3CB369E7"/>
    <w:rsid w:val="3CB83945"/>
    <w:rsid w:val="3CC106AE"/>
    <w:rsid w:val="3CC33464"/>
    <w:rsid w:val="3CCE5337"/>
    <w:rsid w:val="3CD94A35"/>
    <w:rsid w:val="3D0A559A"/>
    <w:rsid w:val="3D1E14E7"/>
    <w:rsid w:val="3D255602"/>
    <w:rsid w:val="3D292148"/>
    <w:rsid w:val="3D3A558F"/>
    <w:rsid w:val="3D3C3A49"/>
    <w:rsid w:val="3D3D225B"/>
    <w:rsid w:val="3D577E3C"/>
    <w:rsid w:val="3D6C3114"/>
    <w:rsid w:val="3D7A74DC"/>
    <w:rsid w:val="3D7E5C88"/>
    <w:rsid w:val="3D8252C4"/>
    <w:rsid w:val="3D8C2AD7"/>
    <w:rsid w:val="3D9372DA"/>
    <w:rsid w:val="3D962926"/>
    <w:rsid w:val="3D996C27"/>
    <w:rsid w:val="3D9B0069"/>
    <w:rsid w:val="3D9E48C4"/>
    <w:rsid w:val="3DA908AC"/>
    <w:rsid w:val="3DC70D32"/>
    <w:rsid w:val="3DDB77FC"/>
    <w:rsid w:val="3DEF7094"/>
    <w:rsid w:val="3DFF3C37"/>
    <w:rsid w:val="3E0445FE"/>
    <w:rsid w:val="3E3B08E6"/>
    <w:rsid w:val="3E3F581A"/>
    <w:rsid w:val="3E50322D"/>
    <w:rsid w:val="3E681FFC"/>
    <w:rsid w:val="3E6C643E"/>
    <w:rsid w:val="3E7919F5"/>
    <w:rsid w:val="3E7964D0"/>
    <w:rsid w:val="3E830253"/>
    <w:rsid w:val="3E886713"/>
    <w:rsid w:val="3E8950E5"/>
    <w:rsid w:val="3EA13331"/>
    <w:rsid w:val="3EAB50B7"/>
    <w:rsid w:val="3EC534C3"/>
    <w:rsid w:val="3EC571FD"/>
    <w:rsid w:val="3ECF0CFF"/>
    <w:rsid w:val="3EE53B65"/>
    <w:rsid w:val="3EEB4417"/>
    <w:rsid w:val="3EF61C02"/>
    <w:rsid w:val="3EFC73B7"/>
    <w:rsid w:val="3F082623"/>
    <w:rsid w:val="3F304E08"/>
    <w:rsid w:val="3F3D4A3D"/>
    <w:rsid w:val="3F3F4D49"/>
    <w:rsid w:val="3F4E2855"/>
    <w:rsid w:val="3F517949"/>
    <w:rsid w:val="3F5F0663"/>
    <w:rsid w:val="3F733AE9"/>
    <w:rsid w:val="3F7722E4"/>
    <w:rsid w:val="3F88009A"/>
    <w:rsid w:val="3F8A5A5C"/>
    <w:rsid w:val="3F976986"/>
    <w:rsid w:val="3F9D725A"/>
    <w:rsid w:val="3F9E25CD"/>
    <w:rsid w:val="3FA708C6"/>
    <w:rsid w:val="3FAC46C9"/>
    <w:rsid w:val="3FBE264C"/>
    <w:rsid w:val="3FC04688"/>
    <w:rsid w:val="3FC35C6C"/>
    <w:rsid w:val="3FCC35A6"/>
    <w:rsid w:val="3FCE355B"/>
    <w:rsid w:val="3FDB2873"/>
    <w:rsid w:val="3FF94E2C"/>
    <w:rsid w:val="40035149"/>
    <w:rsid w:val="400351B4"/>
    <w:rsid w:val="4005743D"/>
    <w:rsid w:val="4010775A"/>
    <w:rsid w:val="40125316"/>
    <w:rsid w:val="4013337A"/>
    <w:rsid w:val="40143DF8"/>
    <w:rsid w:val="40266073"/>
    <w:rsid w:val="40470673"/>
    <w:rsid w:val="404A445A"/>
    <w:rsid w:val="404A52B1"/>
    <w:rsid w:val="405E23E3"/>
    <w:rsid w:val="406805AA"/>
    <w:rsid w:val="406E3A13"/>
    <w:rsid w:val="40863AC3"/>
    <w:rsid w:val="409A1F76"/>
    <w:rsid w:val="40A219AE"/>
    <w:rsid w:val="40B576E7"/>
    <w:rsid w:val="40B70D19"/>
    <w:rsid w:val="40C24133"/>
    <w:rsid w:val="40CA5AEE"/>
    <w:rsid w:val="40DC4E34"/>
    <w:rsid w:val="40E260D9"/>
    <w:rsid w:val="40F461DB"/>
    <w:rsid w:val="4103272C"/>
    <w:rsid w:val="410F300B"/>
    <w:rsid w:val="4125450E"/>
    <w:rsid w:val="413041F2"/>
    <w:rsid w:val="41421C8D"/>
    <w:rsid w:val="415119B9"/>
    <w:rsid w:val="416C56EA"/>
    <w:rsid w:val="417007D7"/>
    <w:rsid w:val="41713E0B"/>
    <w:rsid w:val="41744B76"/>
    <w:rsid w:val="417D46C2"/>
    <w:rsid w:val="417F375C"/>
    <w:rsid w:val="41953D1B"/>
    <w:rsid w:val="41BC64D5"/>
    <w:rsid w:val="41DA54BD"/>
    <w:rsid w:val="41E00DE0"/>
    <w:rsid w:val="41E8185E"/>
    <w:rsid w:val="41FF4F3E"/>
    <w:rsid w:val="42084E7C"/>
    <w:rsid w:val="420A5691"/>
    <w:rsid w:val="420F79EB"/>
    <w:rsid w:val="421B685C"/>
    <w:rsid w:val="42323D88"/>
    <w:rsid w:val="423F1FDD"/>
    <w:rsid w:val="42435B11"/>
    <w:rsid w:val="42584A8A"/>
    <w:rsid w:val="426116DE"/>
    <w:rsid w:val="426C1EA8"/>
    <w:rsid w:val="42786A51"/>
    <w:rsid w:val="42886EC3"/>
    <w:rsid w:val="429163FD"/>
    <w:rsid w:val="4292190E"/>
    <w:rsid w:val="42963474"/>
    <w:rsid w:val="42AA0529"/>
    <w:rsid w:val="42AF2E88"/>
    <w:rsid w:val="42B14668"/>
    <w:rsid w:val="42C972FA"/>
    <w:rsid w:val="42DF1B53"/>
    <w:rsid w:val="42E414AE"/>
    <w:rsid w:val="43171E14"/>
    <w:rsid w:val="431B6658"/>
    <w:rsid w:val="432F53AF"/>
    <w:rsid w:val="435E4B64"/>
    <w:rsid w:val="436379C5"/>
    <w:rsid w:val="437454B8"/>
    <w:rsid w:val="437A14BF"/>
    <w:rsid w:val="43821649"/>
    <w:rsid w:val="438A50B6"/>
    <w:rsid w:val="4399065B"/>
    <w:rsid w:val="43992916"/>
    <w:rsid w:val="43C56BDE"/>
    <w:rsid w:val="43CC5F2C"/>
    <w:rsid w:val="43E234DF"/>
    <w:rsid w:val="43E52CC5"/>
    <w:rsid w:val="43E960F8"/>
    <w:rsid w:val="43EC292D"/>
    <w:rsid w:val="43FC25A4"/>
    <w:rsid w:val="43FF2AD0"/>
    <w:rsid w:val="44052CBA"/>
    <w:rsid w:val="440740E3"/>
    <w:rsid w:val="440954ED"/>
    <w:rsid w:val="440C143D"/>
    <w:rsid w:val="44142F49"/>
    <w:rsid w:val="442C7144"/>
    <w:rsid w:val="443E5A02"/>
    <w:rsid w:val="444A6E63"/>
    <w:rsid w:val="445832B3"/>
    <w:rsid w:val="44620E2F"/>
    <w:rsid w:val="44734028"/>
    <w:rsid w:val="4475210F"/>
    <w:rsid w:val="44830EA6"/>
    <w:rsid w:val="4488274F"/>
    <w:rsid w:val="449D3C54"/>
    <w:rsid w:val="44D41F91"/>
    <w:rsid w:val="44DC2DC4"/>
    <w:rsid w:val="44DD0CDA"/>
    <w:rsid w:val="44E87738"/>
    <w:rsid w:val="44F66110"/>
    <w:rsid w:val="450B1E4C"/>
    <w:rsid w:val="451231DA"/>
    <w:rsid w:val="451D4B80"/>
    <w:rsid w:val="4523563D"/>
    <w:rsid w:val="452926E8"/>
    <w:rsid w:val="45340E1B"/>
    <w:rsid w:val="45512375"/>
    <w:rsid w:val="456C6947"/>
    <w:rsid w:val="4579370A"/>
    <w:rsid w:val="459C0CF6"/>
    <w:rsid w:val="459D0F13"/>
    <w:rsid w:val="45AE7782"/>
    <w:rsid w:val="45D02B0C"/>
    <w:rsid w:val="45DD1335"/>
    <w:rsid w:val="45E21FE7"/>
    <w:rsid w:val="45ED40E2"/>
    <w:rsid w:val="45ED4FA4"/>
    <w:rsid w:val="45F1221E"/>
    <w:rsid w:val="45F262B7"/>
    <w:rsid w:val="45F865A3"/>
    <w:rsid w:val="460A2471"/>
    <w:rsid w:val="464D3810"/>
    <w:rsid w:val="464E4335"/>
    <w:rsid w:val="464F15EF"/>
    <w:rsid w:val="465511B3"/>
    <w:rsid w:val="46575EC8"/>
    <w:rsid w:val="46677ABB"/>
    <w:rsid w:val="46737C6F"/>
    <w:rsid w:val="467A1461"/>
    <w:rsid w:val="468974CC"/>
    <w:rsid w:val="4693603D"/>
    <w:rsid w:val="469B6A1E"/>
    <w:rsid w:val="46A42DF8"/>
    <w:rsid w:val="46AF2439"/>
    <w:rsid w:val="46BE6BCD"/>
    <w:rsid w:val="46C916D3"/>
    <w:rsid w:val="46CB5C37"/>
    <w:rsid w:val="46D05B31"/>
    <w:rsid w:val="46EE0EDA"/>
    <w:rsid w:val="46F9303C"/>
    <w:rsid w:val="47154453"/>
    <w:rsid w:val="47210AB5"/>
    <w:rsid w:val="47355090"/>
    <w:rsid w:val="47423169"/>
    <w:rsid w:val="474336A4"/>
    <w:rsid w:val="475048B6"/>
    <w:rsid w:val="47583D74"/>
    <w:rsid w:val="475F36B2"/>
    <w:rsid w:val="479653C5"/>
    <w:rsid w:val="47A26A3C"/>
    <w:rsid w:val="47B72BD9"/>
    <w:rsid w:val="47BE24AA"/>
    <w:rsid w:val="47BF7E31"/>
    <w:rsid w:val="47CA0AC9"/>
    <w:rsid w:val="47D7253A"/>
    <w:rsid w:val="47E2428C"/>
    <w:rsid w:val="47E77A11"/>
    <w:rsid w:val="47E83C04"/>
    <w:rsid w:val="47EE5734"/>
    <w:rsid w:val="481C6DA3"/>
    <w:rsid w:val="482B24EA"/>
    <w:rsid w:val="4860425D"/>
    <w:rsid w:val="486924B1"/>
    <w:rsid w:val="487735EE"/>
    <w:rsid w:val="487970CD"/>
    <w:rsid w:val="488A2EB7"/>
    <w:rsid w:val="48902B3C"/>
    <w:rsid w:val="489F2FD7"/>
    <w:rsid w:val="48A326ED"/>
    <w:rsid w:val="48AB58C3"/>
    <w:rsid w:val="48AF1997"/>
    <w:rsid w:val="48B013B1"/>
    <w:rsid w:val="48C03C76"/>
    <w:rsid w:val="48C4391C"/>
    <w:rsid w:val="48C775B3"/>
    <w:rsid w:val="48C93E5F"/>
    <w:rsid w:val="48CB3363"/>
    <w:rsid w:val="48EB6461"/>
    <w:rsid w:val="48F10FE7"/>
    <w:rsid w:val="48F7551F"/>
    <w:rsid w:val="48FD2C21"/>
    <w:rsid w:val="48FF04F9"/>
    <w:rsid w:val="4903586B"/>
    <w:rsid w:val="49131BB2"/>
    <w:rsid w:val="49160122"/>
    <w:rsid w:val="49186988"/>
    <w:rsid w:val="491F1A22"/>
    <w:rsid w:val="492822E2"/>
    <w:rsid w:val="49284D7B"/>
    <w:rsid w:val="492B6619"/>
    <w:rsid w:val="492E4E74"/>
    <w:rsid w:val="4931444D"/>
    <w:rsid w:val="494F46CF"/>
    <w:rsid w:val="496067DE"/>
    <w:rsid w:val="4961011A"/>
    <w:rsid w:val="497751F7"/>
    <w:rsid w:val="499A2986"/>
    <w:rsid w:val="499E503D"/>
    <w:rsid w:val="499F7F0B"/>
    <w:rsid w:val="49A200E2"/>
    <w:rsid w:val="49A72FB2"/>
    <w:rsid w:val="49AD58E5"/>
    <w:rsid w:val="49B133BD"/>
    <w:rsid w:val="49B75190"/>
    <w:rsid w:val="49C72642"/>
    <w:rsid w:val="49CC519F"/>
    <w:rsid w:val="49D60DA0"/>
    <w:rsid w:val="49DC64FA"/>
    <w:rsid w:val="49DD13EB"/>
    <w:rsid w:val="49E07403"/>
    <w:rsid w:val="49EA6878"/>
    <w:rsid w:val="49F15863"/>
    <w:rsid w:val="49F242C9"/>
    <w:rsid w:val="49F44FF0"/>
    <w:rsid w:val="4A030844"/>
    <w:rsid w:val="4A0D7F42"/>
    <w:rsid w:val="4A130CD4"/>
    <w:rsid w:val="4A1B647C"/>
    <w:rsid w:val="4A2A2D74"/>
    <w:rsid w:val="4A2B6F2D"/>
    <w:rsid w:val="4A541C13"/>
    <w:rsid w:val="4A761B16"/>
    <w:rsid w:val="4A7D7215"/>
    <w:rsid w:val="4A8D52FB"/>
    <w:rsid w:val="4A8D56DE"/>
    <w:rsid w:val="4A91694F"/>
    <w:rsid w:val="4A9E3173"/>
    <w:rsid w:val="4AB33A2C"/>
    <w:rsid w:val="4AB47A12"/>
    <w:rsid w:val="4AB538C9"/>
    <w:rsid w:val="4ABB1C1E"/>
    <w:rsid w:val="4ABE260E"/>
    <w:rsid w:val="4AD66CD6"/>
    <w:rsid w:val="4AD74653"/>
    <w:rsid w:val="4AE07DFB"/>
    <w:rsid w:val="4AE23121"/>
    <w:rsid w:val="4AEC627C"/>
    <w:rsid w:val="4AEE16B8"/>
    <w:rsid w:val="4AEF24ED"/>
    <w:rsid w:val="4AF96CB6"/>
    <w:rsid w:val="4AFD5169"/>
    <w:rsid w:val="4B093295"/>
    <w:rsid w:val="4B0C06DC"/>
    <w:rsid w:val="4B184095"/>
    <w:rsid w:val="4B2043B8"/>
    <w:rsid w:val="4B285F31"/>
    <w:rsid w:val="4B406692"/>
    <w:rsid w:val="4B492A3B"/>
    <w:rsid w:val="4B497029"/>
    <w:rsid w:val="4B5C74E9"/>
    <w:rsid w:val="4B5F3ED9"/>
    <w:rsid w:val="4B605F8F"/>
    <w:rsid w:val="4B634726"/>
    <w:rsid w:val="4B7D0C82"/>
    <w:rsid w:val="4B8F6E14"/>
    <w:rsid w:val="4B951AD0"/>
    <w:rsid w:val="4B9809FD"/>
    <w:rsid w:val="4BB0472C"/>
    <w:rsid w:val="4BBB33A6"/>
    <w:rsid w:val="4BBE46DB"/>
    <w:rsid w:val="4BC472D1"/>
    <w:rsid w:val="4BC54E66"/>
    <w:rsid w:val="4BCD57A7"/>
    <w:rsid w:val="4BCF788F"/>
    <w:rsid w:val="4BD84E75"/>
    <w:rsid w:val="4BDC5224"/>
    <w:rsid w:val="4BE56F53"/>
    <w:rsid w:val="4BE76065"/>
    <w:rsid w:val="4BEA3BEA"/>
    <w:rsid w:val="4BF149C3"/>
    <w:rsid w:val="4BFA4125"/>
    <w:rsid w:val="4C23448B"/>
    <w:rsid w:val="4C345224"/>
    <w:rsid w:val="4C4C2771"/>
    <w:rsid w:val="4C543B22"/>
    <w:rsid w:val="4C5566D7"/>
    <w:rsid w:val="4C644E8C"/>
    <w:rsid w:val="4C742D40"/>
    <w:rsid w:val="4C746C1E"/>
    <w:rsid w:val="4C7C48A7"/>
    <w:rsid w:val="4C7C506B"/>
    <w:rsid w:val="4C8D1398"/>
    <w:rsid w:val="4CA87F80"/>
    <w:rsid w:val="4CBB0A14"/>
    <w:rsid w:val="4CCB4740"/>
    <w:rsid w:val="4CCD1A64"/>
    <w:rsid w:val="4CD251A8"/>
    <w:rsid w:val="4CD52E3E"/>
    <w:rsid w:val="4CE55BEF"/>
    <w:rsid w:val="4CE57A8E"/>
    <w:rsid w:val="4CEE62DB"/>
    <w:rsid w:val="4CF83A2D"/>
    <w:rsid w:val="4CFB55CD"/>
    <w:rsid w:val="4D072D79"/>
    <w:rsid w:val="4D145D5B"/>
    <w:rsid w:val="4D17778C"/>
    <w:rsid w:val="4D261DE6"/>
    <w:rsid w:val="4D281D25"/>
    <w:rsid w:val="4D2C015A"/>
    <w:rsid w:val="4D473BE7"/>
    <w:rsid w:val="4D5544C8"/>
    <w:rsid w:val="4D616AAD"/>
    <w:rsid w:val="4D700D45"/>
    <w:rsid w:val="4D720CBA"/>
    <w:rsid w:val="4D73778C"/>
    <w:rsid w:val="4D745DFC"/>
    <w:rsid w:val="4D8663D0"/>
    <w:rsid w:val="4D8E53C8"/>
    <w:rsid w:val="4D8F10BC"/>
    <w:rsid w:val="4D8F631A"/>
    <w:rsid w:val="4DA2170E"/>
    <w:rsid w:val="4DA226DD"/>
    <w:rsid w:val="4DBC6884"/>
    <w:rsid w:val="4DEE07CD"/>
    <w:rsid w:val="4DF010A0"/>
    <w:rsid w:val="4DF633EF"/>
    <w:rsid w:val="4E0361F9"/>
    <w:rsid w:val="4E096E2C"/>
    <w:rsid w:val="4E0A0EF3"/>
    <w:rsid w:val="4E0B4471"/>
    <w:rsid w:val="4E0F6509"/>
    <w:rsid w:val="4E131941"/>
    <w:rsid w:val="4E1D650B"/>
    <w:rsid w:val="4E34712A"/>
    <w:rsid w:val="4E37534F"/>
    <w:rsid w:val="4E3A1C2D"/>
    <w:rsid w:val="4E463A07"/>
    <w:rsid w:val="4E4F7006"/>
    <w:rsid w:val="4E564138"/>
    <w:rsid w:val="4E567965"/>
    <w:rsid w:val="4E5879FD"/>
    <w:rsid w:val="4E5B246B"/>
    <w:rsid w:val="4E6A6162"/>
    <w:rsid w:val="4E6A7AAB"/>
    <w:rsid w:val="4E6F7F3D"/>
    <w:rsid w:val="4E77126F"/>
    <w:rsid w:val="4E870CEC"/>
    <w:rsid w:val="4E932227"/>
    <w:rsid w:val="4E951779"/>
    <w:rsid w:val="4E9B06FD"/>
    <w:rsid w:val="4EA310EA"/>
    <w:rsid w:val="4EAB5E7F"/>
    <w:rsid w:val="4EAB7B87"/>
    <w:rsid w:val="4EB27D68"/>
    <w:rsid w:val="4ECA4D18"/>
    <w:rsid w:val="4EDD4F23"/>
    <w:rsid w:val="4EF82C0F"/>
    <w:rsid w:val="4F1705ED"/>
    <w:rsid w:val="4F1B405C"/>
    <w:rsid w:val="4F221450"/>
    <w:rsid w:val="4F337FD5"/>
    <w:rsid w:val="4F39547D"/>
    <w:rsid w:val="4F3B332E"/>
    <w:rsid w:val="4F5831BF"/>
    <w:rsid w:val="4F5E50E8"/>
    <w:rsid w:val="4F6065C7"/>
    <w:rsid w:val="4F67737B"/>
    <w:rsid w:val="4F766114"/>
    <w:rsid w:val="4F7800DE"/>
    <w:rsid w:val="4F944AF3"/>
    <w:rsid w:val="4F9B48E0"/>
    <w:rsid w:val="4FB547BF"/>
    <w:rsid w:val="4FD46E5C"/>
    <w:rsid w:val="4FD518A8"/>
    <w:rsid w:val="4FDA66A3"/>
    <w:rsid w:val="4FFB4A12"/>
    <w:rsid w:val="4FFB53F6"/>
    <w:rsid w:val="500B08C0"/>
    <w:rsid w:val="50125E3D"/>
    <w:rsid w:val="50136893"/>
    <w:rsid w:val="50187BDC"/>
    <w:rsid w:val="501A6B51"/>
    <w:rsid w:val="501E0EA8"/>
    <w:rsid w:val="50271C76"/>
    <w:rsid w:val="50362B19"/>
    <w:rsid w:val="503754C6"/>
    <w:rsid w:val="50435E55"/>
    <w:rsid w:val="50486282"/>
    <w:rsid w:val="50511B72"/>
    <w:rsid w:val="50693BBD"/>
    <w:rsid w:val="50700EA1"/>
    <w:rsid w:val="50795EBC"/>
    <w:rsid w:val="508D1967"/>
    <w:rsid w:val="50B109AF"/>
    <w:rsid w:val="50B52A58"/>
    <w:rsid w:val="50B82E88"/>
    <w:rsid w:val="50B9275C"/>
    <w:rsid w:val="50C9265F"/>
    <w:rsid w:val="50C954CC"/>
    <w:rsid w:val="50D856A5"/>
    <w:rsid w:val="50E20B5E"/>
    <w:rsid w:val="50E56C03"/>
    <w:rsid w:val="51203883"/>
    <w:rsid w:val="512C2F2E"/>
    <w:rsid w:val="5144471C"/>
    <w:rsid w:val="51475B9B"/>
    <w:rsid w:val="514F764A"/>
    <w:rsid w:val="515446F4"/>
    <w:rsid w:val="515C44D2"/>
    <w:rsid w:val="51607C8A"/>
    <w:rsid w:val="51646F20"/>
    <w:rsid w:val="516B3C4C"/>
    <w:rsid w:val="5173358C"/>
    <w:rsid w:val="51866838"/>
    <w:rsid w:val="518F457C"/>
    <w:rsid w:val="51917235"/>
    <w:rsid w:val="519E06BD"/>
    <w:rsid w:val="51A94649"/>
    <w:rsid w:val="51AD7117"/>
    <w:rsid w:val="51B80C66"/>
    <w:rsid w:val="51BA3A7E"/>
    <w:rsid w:val="51CD59F0"/>
    <w:rsid w:val="51D37172"/>
    <w:rsid w:val="51DA6316"/>
    <w:rsid w:val="51FE1BA6"/>
    <w:rsid w:val="520B5239"/>
    <w:rsid w:val="52115C1C"/>
    <w:rsid w:val="521E385D"/>
    <w:rsid w:val="521F3230"/>
    <w:rsid w:val="522A6D57"/>
    <w:rsid w:val="522F077A"/>
    <w:rsid w:val="523D2057"/>
    <w:rsid w:val="524E1C99"/>
    <w:rsid w:val="525700F4"/>
    <w:rsid w:val="525A5EFE"/>
    <w:rsid w:val="526724C9"/>
    <w:rsid w:val="52692625"/>
    <w:rsid w:val="527E1DD7"/>
    <w:rsid w:val="527F727E"/>
    <w:rsid w:val="52983A2D"/>
    <w:rsid w:val="52993E93"/>
    <w:rsid w:val="52AC20F1"/>
    <w:rsid w:val="52AF035E"/>
    <w:rsid w:val="52BD4667"/>
    <w:rsid w:val="52C4650C"/>
    <w:rsid w:val="52C75BB0"/>
    <w:rsid w:val="52C9432D"/>
    <w:rsid w:val="52D16FF2"/>
    <w:rsid w:val="52DB5A3F"/>
    <w:rsid w:val="52E674BE"/>
    <w:rsid w:val="52EC48FA"/>
    <w:rsid w:val="530748DF"/>
    <w:rsid w:val="53222E14"/>
    <w:rsid w:val="53300FB6"/>
    <w:rsid w:val="533019DA"/>
    <w:rsid w:val="534053B7"/>
    <w:rsid w:val="53475D3A"/>
    <w:rsid w:val="53655A80"/>
    <w:rsid w:val="538B42DE"/>
    <w:rsid w:val="539E6AA6"/>
    <w:rsid w:val="53A60DD5"/>
    <w:rsid w:val="53A87967"/>
    <w:rsid w:val="53CC5E1A"/>
    <w:rsid w:val="53D127E7"/>
    <w:rsid w:val="53DC7670"/>
    <w:rsid w:val="53EC1861"/>
    <w:rsid w:val="53F76048"/>
    <w:rsid w:val="542F35D9"/>
    <w:rsid w:val="542F444C"/>
    <w:rsid w:val="54300F87"/>
    <w:rsid w:val="543876E2"/>
    <w:rsid w:val="543A3C6A"/>
    <w:rsid w:val="543C7CB2"/>
    <w:rsid w:val="54576514"/>
    <w:rsid w:val="545F6B68"/>
    <w:rsid w:val="54703B76"/>
    <w:rsid w:val="54AF37EA"/>
    <w:rsid w:val="54C16897"/>
    <w:rsid w:val="54CF1AAB"/>
    <w:rsid w:val="54ED448D"/>
    <w:rsid w:val="54F55A9E"/>
    <w:rsid w:val="55010C6B"/>
    <w:rsid w:val="55025A45"/>
    <w:rsid w:val="55092FAD"/>
    <w:rsid w:val="55194651"/>
    <w:rsid w:val="551E3960"/>
    <w:rsid w:val="556154BA"/>
    <w:rsid w:val="5585712D"/>
    <w:rsid w:val="558D4110"/>
    <w:rsid w:val="559912AF"/>
    <w:rsid w:val="559961B4"/>
    <w:rsid w:val="559B68D4"/>
    <w:rsid w:val="55AA6225"/>
    <w:rsid w:val="55AE6718"/>
    <w:rsid w:val="55B41744"/>
    <w:rsid w:val="55C220B3"/>
    <w:rsid w:val="55CA0F67"/>
    <w:rsid w:val="55D73612"/>
    <w:rsid w:val="55DA38A0"/>
    <w:rsid w:val="55F6609A"/>
    <w:rsid w:val="55F94F8E"/>
    <w:rsid w:val="56004989"/>
    <w:rsid w:val="56010E2D"/>
    <w:rsid w:val="56110C10"/>
    <w:rsid w:val="56114EE8"/>
    <w:rsid w:val="561428C1"/>
    <w:rsid w:val="56150EB3"/>
    <w:rsid w:val="561843C9"/>
    <w:rsid w:val="561901FA"/>
    <w:rsid w:val="561E2D2C"/>
    <w:rsid w:val="561F3CB6"/>
    <w:rsid w:val="56233904"/>
    <w:rsid w:val="566969D2"/>
    <w:rsid w:val="56796C5B"/>
    <w:rsid w:val="568E1D15"/>
    <w:rsid w:val="56955916"/>
    <w:rsid w:val="569A6E40"/>
    <w:rsid w:val="56AE6EA8"/>
    <w:rsid w:val="56B83943"/>
    <w:rsid w:val="56BA113F"/>
    <w:rsid w:val="56C41882"/>
    <w:rsid w:val="56D54E6B"/>
    <w:rsid w:val="56DC53F6"/>
    <w:rsid w:val="56DD6FA5"/>
    <w:rsid w:val="56DF626B"/>
    <w:rsid w:val="56EC2D4F"/>
    <w:rsid w:val="56FB3FF9"/>
    <w:rsid w:val="56FD2198"/>
    <w:rsid w:val="57114899"/>
    <w:rsid w:val="5718099E"/>
    <w:rsid w:val="571F4340"/>
    <w:rsid w:val="572409FC"/>
    <w:rsid w:val="57380C37"/>
    <w:rsid w:val="5739626B"/>
    <w:rsid w:val="574717EA"/>
    <w:rsid w:val="574E13AD"/>
    <w:rsid w:val="577522C7"/>
    <w:rsid w:val="57861513"/>
    <w:rsid w:val="5789573D"/>
    <w:rsid w:val="578C704A"/>
    <w:rsid w:val="57981B34"/>
    <w:rsid w:val="579A1FB5"/>
    <w:rsid w:val="579B7EDC"/>
    <w:rsid w:val="57A13883"/>
    <w:rsid w:val="57A2525D"/>
    <w:rsid w:val="57B671D8"/>
    <w:rsid w:val="57BF3979"/>
    <w:rsid w:val="57E74CF7"/>
    <w:rsid w:val="57E825D4"/>
    <w:rsid w:val="57F25B4C"/>
    <w:rsid w:val="57F413E2"/>
    <w:rsid w:val="57F70468"/>
    <w:rsid w:val="58047A99"/>
    <w:rsid w:val="581329DA"/>
    <w:rsid w:val="581B3CFC"/>
    <w:rsid w:val="58230D38"/>
    <w:rsid w:val="5837317F"/>
    <w:rsid w:val="583B5B3E"/>
    <w:rsid w:val="583B6401"/>
    <w:rsid w:val="584157D2"/>
    <w:rsid w:val="584331DC"/>
    <w:rsid w:val="586036A7"/>
    <w:rsid w:val="586D0393"/>
    <w:rsid w:val="58767237"/>
    <w:rsid w:val="587F7ED1"/>
    <w:rsid w:val="589D49D4"/>
    <w:rsid w:val="589D5EBC"/>
    <w:rsid w:val="58A219B7"/>
    <w:rsid w:val="58A2448A"/>
    <w:rsid w:val="58A45E46"/>
    <w:rsid w:val="58C06677"/>
    <w:rsid w:val="58C17993"/>
    <w:rsid w:val="58E93DFA"/>
    <w:rsid w:val="590E7B63"/>
    <w:rsid w:val="5911704A"/>
    <w:rsid w:val="591E31B2"/>
    <w:rsid w:val="593239B2"/>
    <w:rsid w:val="593D52A0"/>
    <w:rsid w:val="594279D7"/>
    <w:rsid w:val="59434133"/>
    <w:rsid w:val="59620E4F"/>
    <w:rsid w:val="59796DE8"/>
    <w:rsid w:val="599A30CF"/>
    <w:rsid w:val="59AE331A"/>
    <w:rsid w:val="59B31432"/>
    <w:rsid w:val="59B86BB4"/>
    <w:rsid w:val="59BC5BAA"/>
    <w:rsid w:val="59C14573"/>
    <w:rsid w:val="59C52172"/>
    <w:rsid w:val="59DC530F"/>
    <w:rsid w:val="59DD0BC9"/>
    <w:rsid w:val="59DE647C"/>
    <w:rsid w:val="59E44CEE"/>
    <w:rsid w:val="59EC3697"/>
    <w:rsid w:val="59EE732A"/>
    <w:rsid w:val="59F24F64"/>
    <w:rsid w:val="59F83A7F"/>
    <w:rsid w:val="5A063D38"/>
    <w:rsid w:val="5A142786"/>
    <w:rsid w:val="5A2B00AB"/>
    <w:rsid w:val="5A3A281E"/>
    <w:rsid w:val="5A3C6AE3"/>
    <w:rsid w:val="5A4C6AB4"/>
    <w:rsid w:val="5A4C6EDF"/>
    <w:rsid w:val="5A517945"/>
    <w:rsid w:val="5A5D684E"/>
    <w:rsid w:val="5A60354C"/>
    <w:rsid w:val="5A684474"/>
    <w:rsid w:val="5A807B8B"/>
    <w:rsid w:val="5A8B483A"/>
    <w:rsid w:val="5A9B3CFD"/>
    <w:rsid w:val="5AAD0BDB"/>
    <w:rsid w:val="5AAE2C06"/>
    <w:rsid w:val="5AB10E32"/>
    <w:rsid w:val="5AC44599"/>
    <w:rsid w:val="5ADF07E8"/>
    <w:rsid w:val="5AE979C9"/>
    <w:rsid w:val="5AEC6396"/>
    <w:rsid w:val="5B07328E"/>
    <w:rsid w:val="5B376556"/>
    <w:rsid w:val="5B393C4D"/>
    <w:rsid w:val="5B4165B4"/>
    <w:rsid w:val="5B57504B"/>
    <w:rsid w:val="5B5F159B"/>
    <w:rsid w:val="5B750D47"/>
    <w:rsid w:val="5B7610DF"/>
    <w:rsid w:val="5B7B1DBC"/>
    <w:rsid w:val="5B820CEA"/>
    <w:rsid w:val="5B830C39"/>
    <w:rsid w:val="5BC815A9"/>
    <w:rsid w:val="5BDF10EC"/>
    <w:rsid w:val="5BE11AD0"/>
    <w:rsid w:val="5BF65E4A"/>
    <w:rsid w:val="5BFC5DEF"/>
    <w:rsid w:val="5C031C08"/>
    <w:rsid w:val="5C073493"/>
    <w:rsid w:val="5C08313A"/>
    <w:rsid w:val="5C271679"/>
    <w:rsid w:val="5C277A24"/>
    <w:rsid w:val="5C284D5E"/>
    <w:rsid w:val="5C2C3EF8"/>
    <w:rsid w:val="5C2F6D78"/>
    <w:rsid w:val="5C3071E6"/>
    <w:rsid w:val="5C35202E"/>
    <w:rsid w:val="5C4707B9"/>
    <w:rsid w:val="5C526139"/>
    <w:rsid w:val="5C5675E5"/>
    <w:rsid w:val="5C5F5E7F"/>
    <w:rsid w:val="5C627B6E"/>
    <w:rsid w:val="5C646B0E"/>
    <w:rsid w:val="5C731A7F"/>
    <w:rsid w:val="5C7569AD"/>
    <w:rsid w:val="5CAF2C03"/>
    <w:rsid w:val="5CBF10FA"/>
    <w:rsid w:val="5CD062DF"/>
    <w:rsid w:val="5CD27D37"/>
    <w:rsid w:val="5CD36B2E"/>
    <w:rsid w:val="5CD4779E"/>
    <w:rsid w:val="5CD677DA"/>
    <w:rsid w:val="5CDB3A5A"/>
    <w:rsid w:val="5CDE27BC"/>
    <w:rsid w:val="5CF3349A"/>
    <w:rsid w:val="5D137532"/>
    <w:rsid w:val="5D157C88"/>
    <w:rsid w:val="5D1E0ED1"/>
    <w:rsid w:val="5D235B2D"/>
    <w:rsid w:val="5D323FC2"/>
    <w:rsid w:val="5D374EE4"/>
    <w:rsid w:val="5D496913"/>
    <w:rsid w:val="5D604E1A"/>
    <w:rsid w:val="5D613ECE"/>
    <w:rsid w:val="5D6A6E55"/>
    <w:rsid w:val="5D76283E"/>
    <w:rsid w:val="5D8306C9"/>
    <w:rsid w:val="5D842A1D"/>
    <w:rsid w:val="5DB20FCB"/>
    <w:rsid w:val="5DB642A9"/>
    <w:rsid w:val="5DB70023"/>
    <w:rsid w:val="5DE51229"/>
    <w:rsid w:val="5DF31E43"/>
    <w:rsid w:val="5E021953"/>
    <w:rsid w:val="5E036527"/>
    <w:rsid w:val="5E04757B"/>
    <w:rsid w:val="5E056FE1"/>
    <w:rsid w:val="5E087B7C"/>
    <w:rsid w:val="5E0E54E0"/>
    <w:rsid w:val="5E207E63"/>
    <w:rsid w:val="5E2733FB"/>
    <w:rsid w:val="5E4565B9"/>
    <w:rsid w:val="5E4B0A93"/>
    <w:rsid w:val="5E79177D"/>
    <w:rsid w:val="5E7E1766"/>
    <w:rsid w:val="5E8F38D1"/>
    <w:rsid w:val="5E927AEF"/>
    <w:rsid w:val="5EB37363"/>
    <w:rsid w:val="5EBA5D65"/>
    <w:rsid w:val="5EBF4211"/>
    <w:rsid w:val="5EC4031F"/>
    <w:rsid w:val="5EC6445F"/>
    <w:rsid w:val="5ED50336"/>
    <w:rsid w:val="5ED65319"/>
    <w:rsid w:val="5ED74E21"/>
    <w:rsid w:val="5EEB5E61"/>
    <w:rsid w:val="5EF1586C"/>
    <w:rsid w:val="5F2141F8"/>
    <w:rsid w:val="5F46047A"/>
    <w:rsid w:val="5F4A68D0"/>
    <w:rsid w:val="5F4B136B"/>
    <w:rsid w:val="5F7A0801"/>
    <w:rsid w:val="5F843E24"/>
    <w:rsid w:val="5F8D62F8"/>
    <w:rsid w:val="5FA23D09"/>
    <w:rsid w:val="5FAF7865"/>
    <w:rsid w:val="5FB5B2C3"/>
    <w:rsid w:val="5FB73F3B"/>
    <w:rsid w:val="5FC67588"/>
    <w:rsid w:val="5FD046CB"/>
    <w:rsid w:val="5FE73D0E"/>
    <w:rsid w:val="60067040"/>
    <w:rsid w:val="6008140F"/>
    <w:rsid w:val="60086F0A"/>
    <w:rsid w:val="601B4A47"/>
    <w:rsid w:val="60217A1A"/>
    <w:rsid w:val="603C0CB4"/>
    <w:rsid w:val="604270E5"/>
    <w:rsid w:val="604D05E2"/>
    <w:rsid w:val="605F20D7"/>
    <w:rsid w:val="60646418"/>
    <w:rsid w:val="60691264"/>
    <w:rsid w:val="60761A02"/>
    <w:rsid w:val="607704D1"/>
    <w:rsid w:val="608D24C2"/>
    <w:rsid w:val="609A3072"/>
    <w:rsid w:val="609E62ED"/>
    <w:rsid w:val="60A72A37"/>
    <w:rsid w:val="60A76608"/>
    <w:rsid w:val="60A80CA6"/>
    <w:rsid w:val="60B26B24"/>
    <w:rsid w:val="60B322B3"/>
    <w:rsid w:val="60BF1DF9"/>
    <w:rsid w:val="60E70C20"/>
    <w:rsid w:val="60EE0218"/>
    <w:rsid w:val="60FA4B1B"/>
    <w:rsid w:val="60FB0BB8"/>
    <w:rsid w:val="60FE7FA1"/>
    <w:rsid w:val="610544EA"/>
    <w:rsid w:val="61091E5D"/>
    <w:rsid w:val="610A7CB7"/>
    <w:rsid w:val="611F56E1"/>
    <w:rsid w:val="612C6F7A"/>
    <w:rsid w:val="61353591"/>
    <w:rsid w:val="613D1187"/>
    <w:rsid w:val="614B40F4"/>
    <w:rsid w:val="6160227E"/>
    <w:rsid w:val="6162303C"/>
    <w:rsid w:val="616F678F"/>
    <w:rsid w:val="61775741"/>
    <w:rsid w:val="618C32E6"/>
    <w:rsid w:val="61942B31"/>
    <w:rsid w:val="61B01959"/>
    <w:rsid w:val="61B17E42"/>
    <w:rsid w:val="61BB3420"/>
    <w:rsid w:val="61D17319"/>
    <w:rsid w:val="61D81473"/>
    <w:rsid w:val="61F77AB6"/>
    <w:rsid w:val="62015D11"/>
    <w:rsid w:val="620436BF"/>
    <w:rsid w:val="620B4DE2"/>
    <w:rsid w:val="620D2908"/>
    <w:rsid w:val="621078B3"/>
    <w:rsid w:val="62186A15"/>
    <w:rsid w:val="621A2E5F"/>
    <w:rsid w:val="621F7BE7"/>
    <w:rsid w:val="6226668F"/>
    <w:rsid w:val="62322E1F"/>
    <w:rsid w:val="623624F2"/>
    <w:rsid w:val="62406662"/>
    <w:rsid w:val="62435525"/>
    <w:rsid w:val="624A6F2B"/>
    <w:rsid w:val="62577A6A"/>
    <w:rsid w:val="62584960"/>
    <w:rsid w:val="6259394F"/>
    <w:rsid w:val="625B15D8"/>
    <w:rsid w:val="62691671"/>
    <w:rsid w:val="627E55B4"/>
    <w:rsid w:val="62830E1C"/>
    <w:rsid w:val="62875AAB"/>
    <w:rsid w:val="62BC0D55"/>
    <w:rsid w:val="62BC6E3C"/>
    <w:rsid w:val="62C05BCC"/>
    <w:rsid w:val="62CA6A4B"/>
    <w:rsid w:val="62E0150F"/>
    <w:rsid w:val="62E02F60"/>
    <w:rsid w:val="62F526E7"/>
    <w:rsid w:val="63106D5B"/>
    <w:rsid w:val="6332766D"/>
    <w:rsid w:val="63396158"/>
    <w:rsid w:val="633C5B98"/>
    <w:rsid w:val="63430D2A"/>
    <w:rsid w:val="63473BF7"/>
    <w:rsid w:val="63495BC1"/>
    <w:rsid w:val="634D61C9"/>
    <w:rsid w:val="635C4C57"/>
    <w:rsid w:val="635C750D"/>
    <w:rsid w:val="63674CA4"/>
    <w:rsid w:val="63A54F06"/>
    <w:rsid w:val="63AD6951"/>
    <w:rsid w:val="63B05C41"/>
    <w:rsid w:val="63B16962"/>
    <w:rsid w:val="63BA2EDA"/>
    <w:rsid w:val="63CC601E"/>
    <w:rsid w:val="63D719DB"/>
    <w:rsid w:val="63ED4724"/>
    <w:rsid w:val="63F80D94"/>
    <w:rsid w:val="63FF6FFC"/>
    <w:rsid w:val="64001A81"/>
    <w:rsid w:val="64026854"/>
    <w:rsid w:val="64144421"/>
    <w:rsid w:val="64354398"/>
    <w:rsid w:val="643D2B73"/>
    <w:rsid w:val="644857E1"/>
    <w:rsid w:val="644A226C"/>
    <w:rsid w:val="64525187"/>
    <w:rsid w:val="64553A5C"/>
    <w:rsid w:val="6462771D"/>
    <w:rsid w:val="64750A67"/>
    <w:rsid w:val="648F4603"/>
    <w:rsid w:val="64940BBC"/>
    <w:rsid w:val="649911EC"/>
    <w:rsid w:val="649D6000"/>
    <w:rsid w:val="64A22D34"/>
    <w:rsid w:val="64B2181C"/>
    <w:rsid w:val="64BD6D1E"/>
    <w:rsid w:val="64CA3146"/>
    <w:rsid w:val="64CF2FBB"/>
    <w:rsid w:val="64D076D0"/>
    <w:rsid w:val="64D15E6F"/>
    <w:rsid w:val="64D25ADC"/>
    <w:rsid w:val="64D8700C"/>
    <w:rsid w:val="64DA642E"/>
    <w:rsid w:val="64FB1BDE"/>
    <w:rsid w:val="651A5F91"/>
    <w:rsid w:val="652C5EB4"/>
    <w:rsid w:val="654B2836"/>
    <w:rsid w:val="6556509D"/>
    <w:rsid w:val="65652A5B"/>
    <w:rsid w:val="65680726"/>
    <w:rsid w:val="657F58CB"/>
    <w:rsid w:val="658159DC"/>
    <w:rsid w:val="65830371"/>
    <w:rsid w:val="65A259F3"/>
    <w:rsid w:val="65A76DE5"/>
    <w:rsid w:val="65B5753E"/>
    <w:rsid w:val="65BA079C"/>
    <w:rsid w:val="65CD5A11"/>
    <w:rsid w:val="65FA1534"/>
    <w:rsid w:val="65FA5D55"/>
    <w:rsid w:val="66020B60"/>
    <w:rsid w:val="660255FB"/>
    <w:rsid w:val="66065FEC"/>
    <w:rsid w:val="66123D10"/>
    <w:rsid w:val="66133DAB"/>
    <w:rsid w:val="661A16F1"/>
    <w:rsid w:val="661C75BD"/>
    <w:rsid w:val="663C5827"/>
    <w:rsid w:val="663D1055"/>
    <w:rsid w:val="664541E6"/>
    <w:rsid w:val="66474970"/>
    <w:rsid w:val="6648514C"/>
    <w:rsid w:val="664B39FF"/>
    <w:rsid w:val="6663790C"/>
    <w:rsid w:val="66747232"/>
    <w:rsid w:val="667D15A4"/>
    <w:rsid w:val="668215CB"/>
    <w:rsid w:val="66837765"/>
    <w:rsid w:val="668533B4"/>
    <w:rsid w:val="668A09CB"/>
    <w:rsid w:val="66A129BA"/>
    <w:rsid w:val="66A93610"/>
    <w:rsid w:val="66AB587F"/>
    <w:rsid w:val="66DA1819"/>
    <w:rsid w:val="66DC6F2C"/>
    <w:rsid w:val="66E016CA"/>
    <w:rsid w:val="66E0683D"/>
    <w:rsid w:val="66E83E34"/>
    <w:rsid w:val="66ED2D08"/>
    <w:rsid w:val="66EF52A5"/>
    <w:rsid w:val="66F30D69"/>
    <w:rsid w:val="66FC72F7"/>
    <w:rsid w:val="670B0931"/>
    <w:rsid w:val="67120309"/>
    <w:rsid w:val="67443AE9"/>
    <w:rsid w:val="6747066A"/>
    <w:rsid w:val="67572F8F"/>
    <w:rsid w:val="675E333F"/>
    <w:rsid w:val="6775322B"/>
    <w:rsid w:val="67893596"/>
    <w:rsid w:val="678A0557"/>
    <w:rsid w:val="67900263"/>
    <w:rsid w:val="67B57CC9"/>
    <w:rsid w:val="67BF023C"/>
    <w:rsid w:val="67CE55FF"/>
    <w:rsid w:val="67D5557E"/>
    <w:rsid w:val="67E0047E"/>
    <w:rsid w:val="67F307F2"/>
    <w:rsid w:val="67F6293B"/>
    <w:rsid w:val="67FA187D"/>
    <w:rsid w:val="68142795"/>
    <w:rsid w:val="68336430"/>
    <w:rsid w:val="684F4B81"/>
    <w:rsid w:val="685079F2"/>
    <w:rsid w:val="685149A2"/>
    <w:rsid w:val="68571975"/>
    <w:rsid w:val="685A79FC"/>
    <w:rsid w:val="68611261"/>
    <w:rsid w:val="686A5EB8"/>
    <w:rsid w:val="688E4077"/>
    <w:rsid w:val="688F672B"/>
    <w:rsid w:val="688F6F87"/>
    <w:rsid w:val="68A17AAF"/>
    <w:rsid w:val="68B027B4"/>
    <w:rsid w:val="68DA74AF"/>
    <w:rsid w:val="68DC4DE2"/>
    <w:rsid w:val="68E05863"/>
    <w:rsid w:val="68EE64F5"/>
    <w:rsid w:val="69030B1E"/>
    <w:rsid w:val="69085C0C"/>
    <w:rsid w:val="691378B0"/>
    <w:rsid w:val="6920283B"/>
    <w:rsid w:val="693370F8"/>
    <w:rsid w:val="693B41FE"/>
    <w:rsid w:val="6941314D"/>
    <w:rsid w:val="69521130"/>
    <w:rsid w:val="69580133"/>
    <w:rsid w:val="69586E43"/>
    <w:rsid w:val="69662AFA"/>
    <w:rsid w:val="69672C6C"/>
    <w:rsid w:val="696A29B9"/>
    <w:rsid w:val="69770527"/>
    <w:rsid w:val="698222FD"/>
    <w:rsid w:val="6985069B"/>
    <w:rsid w:val="698A2577"/>
    <w:rsid w:val="69AD5538"/>
    <w:rsid w:val="69BA1C87"/>
    <w:rsid w:val="69D72179"/>
    <w:rsid w:val="69E274C8"/>
    <w:rsid w:val="69E928CE"/>
    <w:rsid w:val="69F4010D"/>
    <w:rsid w:val="69F70652"/>
    <w:rsid w:val="6A065174"/>
    <w:rsid w:val="6A1073EC"/>
    <w:rsid w:val="6A2004CE"/>
    <w:rsid w:val="6A35394F"/>
    <w:rsid w:val="6A3B3D8A"/>
    <w:rsid w:val="6A4C4802"/>
    <w:rsid w:val="6A5779AC"/>
    <w:rsid w:val="6A647785"/>
    <w:rsid w:val="6A6A1708"/>
    <w:rsid w:val="6A6C42F6"/>
    <w:rsid w:val="6A7513A2"/>
    <w:rsid w:val="6A86465B"/>
    <w:rsid w:val="6A8C267C"/>
    <w:rsid w:val="6AA103AC"/>
    <w:rsid w:val="6AA638F9"/>
    <w:rsid w:val="6AA84B5B"/>
    <w:rsid w:val="6AAB3624"/>
    <w:rsid w:val="6AC75641"/>
    <w:rsid w:val="6ACE7ECF"/>
    <w:rsid w:val="6AD55603"/>
    <w:rsid w:val="6ADB14A0"/>
    <w:rsid w:val="6ADE12E5"/>
    <w:rsid w:val="6AE22AC5"/>
    <w:rsid w:val="6AE44653"/>
    <w:rsid w:val="6AF42BA2"/>
    <w:rsid w:val="6B047FBB"/>
    <w:rsid w:val="6B0D1BCA"/>
    <w:rsid w:val="6B1430EB"/>
    <w:rsid w:val="6B184B73"/>
    <w:rsid w:val="6B1B3BDE"/>
    <w:rsid w:val="6B2040B3"/>
    <w:rsid w:val="6B410AE7"/>
    <w:rsid w:val="6B453FFA"/>
    <w:rsid w:val="6B623CC4"/>
    <w:rsid w:val="6B674FF6"/>
    <w:rsid w:val="6B74202F"/>
    <w:rsid w:val="6B81450D"/>
    <w:rsid w:val="6B8558F1"/>
    <w:rsid w:val="6B9416DB"/>
    <w:rsid w:val="6B9568EC"/>
    <w:rsid w:val="6BAC13E3"/>
    <w:rsid w:val="6BC71567"/>
    <w:rsid w:val="6BCB1C20"/>
    <w:rsid w:val="6BD10E4A"/>
    <w:rsid w:val="6BD12BF8"/>
    <w:rsid w:val="6BD22BED"/>
    <w:rsid w:val="6BE45057"/>
    <w:rsid w:val="6BF62C43"/>
    <w:rsid w:val="6BFB724A"/>
    <w:rsid w:val="6C056342"/>
    <w:rsid w:val="6C1F12F7"/>
    <w:rsid w:val="6C2235BB"/>
    <w:rsid w:val="6C225202"/>
    <w:rsid w:val="6C2358F3"/>
    <w:rsid w:val="6C285F16"/>
    <w:rsid w:val="6C2B087F"/>
    <w:rsid w:val="6C3D08E7"/>
    <w:rsid w:val="6C477DAC"/>
    <w:rsid w:val="6C6E5018"/>
    <w:rsid w:val="6C743C3C"/>
    <w:rsid w:val="6C781324"/>
    <w:rsid w:val="6C787634"/>
    <w:rsid w:val="6C830396"/>
    <w:rsid w:val="6C9D2ADA"/>
    <w:rsid w:val="6CA83A9D"/>
    <w:rsid w:val="6CAE0FC7"/>
    <w:rsid w:val="6CB60E58"/>
    <w:rsid w:val="6CB90ABC"/>
    <w:rsid w:val="6CC17C43"/>
    <w:rsid w:val="6CCC1D14"/>
    <w:rsid w:val="6CE1750C"/>
    <w:rsid w:val="6CE32FE9"/>
    <w:rsid w:val="6CF50CAC"/>
    <w:rsid w:val="6CFA47C3"/>
    <w:rsid w:val="6D013069"/>
    <w:rsid w:val="6D0A4253"/>
    <w:rsid w:val="6D17288C"/>
    <w:rsid w:val="6D234F26"/>
    <w:rsid w:val="6D41740F"/>
    <w:rsid w:val="6D5F1476"/>
    <w:rsid w:val="6D6131F6"/>
    <w:rsid w:val="6D6362FF"/>
    <w:rsid w:val="6D6908C9"/>
    <w:rsid w:val="6D6D6950"/>
    <w:rsid w:val="6D891B50"/>
    <w:rsid w:val="6DA0720B"/>
    <w:rsid w:val="6DBA383E"/>
    <w:rsid w:val="6DBC4E4A"/>
    <w:rsid w:val="6DCF2747"/>
    <w:rsid w:val="6DE26E66"/>
    <w:rsid w:val="6DF4133C"/>
    <w:rsid w:val="6DFE0A46"/>
    <w:rsid w:val="6E046D6A"/>
    <w:rsid w:val="6E0A4EE7"/>
    <w:rsid w:val="6E1D77C2"/>
    <w:rsid w:val="6E1D7D06"/>
    <w:rsid w:val="6E275A60"/>
    <w:rsid w:val="6E2D6A2F"/>
    <w:rsid w:val="6E392AF4"/>
    <w:rsid w:val="6E4B7BC4"/>
    <w:rsid w:val="6E6267FC"/>
    <w:rsid w:val="6E816EBD"/>
    <w:rsid w:val="6E873A42"/>
    <w:rsid w:val="6E892BF0"/>
    <w:rsid w:val="6E922738"/>
    <w:rsid w:val="6E931C3F"/>
    <w:rsid w:val="6EB0012B"/>
    <w:rsid w:val="6EB849F5"/>
    <w:rsid w:val="6EF93A79"/>
    <w:rsid w:val="6F017A68"/>
    <w:rsid w:val="6F074C7D"/>
    <w:rsid w:val="6F095F3A"/>
    <w:rsid w:val="6F0B3914"/>
    <w:rsid w:val="6F282B2F"/>
    <w:rsid w:val="6F301DB0"/>
    <w:rsid w:val="6F35524C"/>
    <w:rsid w:val="6F3732CE"/>
    <w:rsid w:val="6F3C482C"/>
    <w:rsid w:val="6F4266DF"/>
    <w:rsid w:val="6F881695"/>
    <w:rsid w:val="6F8C16B9"/>
    <w:rsid w:val="6F92194C"/>
    <w:rsid w:val="6F997777"/>
    <w:rsid w:val="6FAC2382"/>
    <w:rsid w:val="6FB70357"/>
    <w:rsid w:val="6FBC260E"/>
    <w:rsid w:val="6FC13DD2"/>
    <w:rsid w:val="6FCA1D4A"/>
    <w:rsid w:val="6FCD418C"/>
    <w:rsid w:val="6FD40F09"/>
    <w:rsid w:val="6FD838D9"/>
    <w:rsid w:val="6FE83720"/>
    <w:rsid w:val="6FEF7D8A"/>
    <w:rsid w:val="6FFD2BE7"/>
    <w:rsid w:val="70006A1E"/>
    <w:rsid w:val="70050220"/>
    <w:rsid w:val="70076EA8"/>
    <w:rsid w:val="702C5E4F"/>
    <w:rsid w:val="703062FD"/>
    <w:rsid w:val="703A2C04"/>
    <w:rsid w:val="70486DDE"/>
    <w:rsid w:val="70556940"/>
    <w:rsid w:val="70677361"/>
    <w:rsid w:val="706A0FD7"/>
    <w:rsid w:val="70762356"/>
    <w:rsid w:val="70814BED"/>
    <w:rsid w:val="70827379"/>
    <w:rsid w:val="70846B10"/>
    <w:rsid w:val="708F5CC6"/>
    <w:rsid w:val="70980188"/>
    <w:rsid w:val="70A51E7A"/>
    <w:rsid w:val="70A711B4"/>
    <w:rsid w:val="70A94695"/>
    <w:rsid w:val="70AE1665"/>
    <w:rsid w:val="70C64C13"/>
    <w:rsid w:val="70CE2A7D"/>
    <w:rsid w:val="70F57258"/>
    <w:rsid w:val="710D3A95"/>
    <w:rsid w:val="711F4406"/>
    <w:rsid w:val="7123116D"/>
    <w:rsid w:val="712626A7"/>
    <w:rsid w:val="71295015"/>
    <w:rsid w:val="712F4753"/>
    <w:rsid w:val="713C4FB8"/>
    <w:rsid w:val="71405C9D"/>
    <w:rsid w:val="71605930"/>
    <w:rsid w:val="716A0E09"/>
    <w:rsid w:val="717402AD"/>
    <w:rsid w:val="717F25F9"/>
    <w:rsid w:val="71855BAB"/>
    <w:rsid w:val="71861D20"/>
    <w:rsid w:val="7186437F"/>
    <w:rsid w:val="71A45894"/>
    <w:rsid w:val="71BA0287"/>
    <w:rsid w:val="71BE7BEA"/>
    <w:rsid w:val="71C933A1"/>
    <w:rsid w:val="71CD3E62"/>
    <w:rsid w:val="71DC40A5"/>
    <w:rsid w:val="71DF2A49"/>
    <w:rsid w:val="71E116BB"/>
    <w:rsid w:val="71E96735"/>
    <w:rsid w:val="71EE2413"/>
    <w:rsid w:val="720000E6"/>
    <w:rsid w:val="72034464"/>
    <w:rsid w:val="720C50DD"/>
    <w:rsid w:val="72284B94"/>
    <w:rsid w:val="723D68C6"/>
    <w:rsid w:val="723E1C92"/>
    <w:rsid w:val="723F4D5F"/>
    <w:rsid w:val="72493B52"/>
    <w:rsid w:val="726A35DE"/>
    <w:rsid w:val="726C29D6"/>
    <w:rsid w:val="72812BB6"/>
    <w:rsid w:val="728A58AF"/>
    <w:rsid w:val="72934FF3"/>
    <w:rsid w:val="72992DCB"/>
    <w:rsid w:val="729C0A73"/>
    <w:rsid w:val="72A10AC9"/>
    <w:rsid w:val="72B01AB7"/>
    <w:rsid w:val="72BD7A32"/>
    <w:rsid w:val="72BE0926"/>
    <w:rsid w:val="72C405CA"/>
    <w:rsid w:val="72C46B36"/>
    <w:rsid w:val="72E10B87"/>
    <w:rsid w:val="72E17BC5"/>
    <w:rsid w:val="72FB055A"/>
    <w:rsid w:val="72FE1676"/>
    <w:rsid w:val="72FF7DFC"/>
    <w:rsid w:val="730A4D01"/>
    <w:rsid w:val="731A788A"/>
    <w:rsid w:val="731D44F3"/>
    <w:rsid w:val="731D49AA"/>
    <w:rsid w:val="731E1436"/>
    <w:rsid w:val="73283E0D"/>
    <w:rsid w:val="732E26DE"/>
    <w:rsid w:val="7332362C"/>
    <w:rsid w:val="7334325D"/>
    <w:rsid w:val="73350C5E"/>
    <w:rsid w:val="734F0FD2"/>
    <w:rsid w:val="73513CCA"/>
    <w:rsid w:val="73574EBF"/>
    <w:rsid w:val="73581579"/>
    <w:rsid w:val="735A1D60"/>
    <w:rsid w:val="735C724B"/>
    <w:rsid w:val="736A2E27"/>
    <w:rsid w:val="736C1141"/>
    <w:rsid w:val="73743E64"/>
    <w:rsid w:val="738D2479"/>
    <w:rsid w:val="73922C6D"/>
    <w:rsid w:val="73A21C06"/>
    <w:rsid w:val="73AA4C42"/>
    <w:rsid w:val="73B20E59"/>
    <w:rsid w:val="73B60A10"/>
    <w:rsid w:val="73BB0CCB"/>
    <w:rsid w:val="73C05B2F"/>
    <w:rsid w:val="73CA2AC9"/>
    <w:rsid w:val="73CC5B9E"/>
    <w:rsid w:val="73DE05EE"/>
    <w:rsid w:val="74011DAF"/>
    <w:rsid w:val="74251284"/>
    <w:rsid w:val="74355159"/>
    <w:rsid w:val="743B31CD"/>
    <w:rsid w:val="743F3479"/>
    <w:rsid w:val="744877CF"/>
    <w:rsid w:val="745049B3"/>
    <w:rsid w:val="74661EF8"/>
    <w:rsid w:val="746740F9"/>
    <w:rsid w:val="746F5A57"/>
    <w:rsid w:val="7476433D"/>
    <w:rsid w:val="74795BDB"/>
    <w:rsid w:val="747A3B5C"/>
    <w:rsid w:val="747C0EC2"/>
    <w:rsid w:val="74941B1E"/>
    <w:rsid w:val="74982BC3"/>
    <w:rsid w:val="74A027D8"/>
    <w:rsid w:val="74A369C6"/>
    <w:rsid w:val="74AE1D28"/>
    <w:rsid w:val="74D75E35"/>
    <w:rsid w:val="751050E9"/>
    <w:rsid w:val="75130B97"/>
    <w:rsid w:val="75202B2C"/>
    <w:rsid w:val="75387844"/>
    <w:rsid w:val="754247CE"/>
    <w:rsid w:val="75436915"/>
    <w:rsid w:val="755D4111"/>
    <w:rsid w:val="75687183"/>
    <w:rsid w:val="756E4E38"/>
    <w:rsid w:val="757F5E29"/>
    <w:rsid w:val="75A97B92"/>
    <w:rsid w:val="75BE2C13"/>
    <w:rsid w:val="75C64E50"/>
    <w:rsid w:val="75C867D8"/>
    <w:rsid w:val="75C91681"/>
    <w:rsid w:val="75CC1F36"/>
    <w:rsid w:val="75E834FA"/>
    <w:rsid w:val="75F25C45"/>
    <w:rsid w:val="75F52AFB"/>
    <w:rsid w:val="760756D8"/>
    <w:rsid w:val="760E676A"/>
    <w:rsid w:val="76226E1B"/>
    <w:rsid w:val="7624764F"/>
    <w:rsid w:val="762C0888"/>
    <w:rsid w:val="762F6D25"/>
    <w:rsid w:val="763E0E8A"/>
    <w:rsid w:val="765C3FDB"/>
    <w:rsid w:val="7667139C"/>
    <w:rsid w:val="76672689"/>
    <w:rsid w:val="76715FC4"/>
    <w:rsid w:val="767D2360"/>
    <w:rsid w:val="768B2490"/>
    <w:rsid w:val="768F2D84"/>
    <w:rsid w:val="769B20F2"/>
    <w:rsid w:val="76A80580"/>
    <w:rsid w:val="76AD7DBE"/>
    <w:rsid w:val="76B313B7"/>
    <w:rsid w:val="76B36E87"/>
    <w:rsid w:val="76B65EF5"/>
    <w:rsid w:val="76BF19C6"/>
    <w:rsid w:val="76C465B3"/>
    <w:rsid w:val="76C86371"/>
    <w:rsid w:val="76D95C53"/>
    <w:rsid w:val="76F679B7"/>
    <w:rsid w:val="76FF643E"/>
    <w:rsid w:val="77027F7F"/>
    <w:rsid w:val="772A380A"/>
    <w:rsid w:val="772B6736"/>
    <w:rsid w:val="775A0E70"/>
    <w:rsid w:val="775B2B18"/>
    <w:rsid w:val="775D6AA2"/>
    <w:rsid w:val="77601172"/>
    <w:rsid w:val="77603D4F"/>
    <w:rsid w:val="777032C5"/>
    <w:rsid w:val="778E3455"/>
    <w:rsid w:val="778F5D5D"/>
    <w:rsid w:val="7794100B"/>
    <w:rsid w:val="779F63A2"/>
    <w:rsid w:val="77AB6538"/>
    <w:rsid w:val="77BF2F35"/>
    <w:rsid w:val="77BF46A4"/>
    <w:rsid w:val="77E12415"/>
    <w:rsid w:val="77E75E53"/>
    <w:rsid w:val="77E80025"/>
    <w:rsid w:val="77FA277A"/>
    <w:rsid w:val="77FD49BF"/>
    <w:rsid w:val="780E5553"/>
    <w:rsid w:val="781007D0"/>
    <w:rsid w:val="78284AA1"/>
    <w:rsid w:val="782A1FED"/>
    <w:rsid w:val="78335932"/>
    <w:rsid w:val="78342BFE"/>
    <w:rsid w:val="78381BDF"/>
    <w:rsid w:val="783C5C12"/>
    <w:rsid w:val="783F561E"/>
    <w:rsid w:val="784811A2"/>
    <w:rsid w:val="784D6313"/>
    <w:rsid w:val="78627D0B"/>
    <w:rsid w:val="78732237"/>
    <w:rsid w:val="78930909"/>
    <w:rsid w:val="78935C12"/>
    <w:rsid w:val="78980533"/>
    <w:rsid w:val="789E75C3"/>
    <w:rsid w:val="78AD313F"/>
    <w:rsid w:val="78B01E75"/>
    <w:rsid w:val="78BE05D7"/>
    <w:rsid w:val="78BE5E7F"/>
    <w:rsid w:val="78D5711D"/>
    <w:rsid w:val="78E026CC"/>
    <w:rsid w:val="78E83B09"/>
    <w:rsid w:val="78EE5162"/>
    <w:rsid w:val="78F543CA"/>
    <w:rsid w:val="78FA71C1"/>
    <w:rsid w:val="791D12D7"/>
    <w:rsid w:val="79222CE5"/>
    <w:rsid w:val="792339A0"/>
    <w:rsid w:val="7927654D"/>
    <w:rsid w:val="79304FC0"/>
    <w:rsid w:val="793150EC"/>
    <w:rsid w:val="79336CA0"/>
    <w:rsid w:val="794530C2"/>
    <w:rsid w:val="79725D75"/>
    <w:rsid w:val="797572B9"/>
    <w:rsid w:val="797711F5"/>
    <w:rsid w:val="799678E9"/>
    <w:rsid w:val="79BC1E65"/>
    <w:rsid w:val="79BC691E"/>
    <w:rsid w:val="79C370CC"/>
    <w:rsid w:val="79CB4015"/>
    <w:rsid w:val="79EA7D45"/>
    <w:rsid w:val="79EC2752"/>
    <w:rsid w:val="7A022DAC"/>
    <w:rsid w:val="7A0713D9"/>
    <w:rsid w:val="7A077D86"/>
    <w:rsid w:val="7A0F6AA3"/>
    <w:rsid w:val="7A29027E"/>
    <w:rsid w:val="7A2B4E0B"/>
    <w:rsid w:val="7A2F1E62"/>
    <w:rsid w:val="7A3000FF"/>
    <w:rsid w:val="7A3D4B0E"/>
    <w:rsid w:val="7A524F0D"/>
    <w:rsid w:val="7A7443E6"/>
    <w:rsid w:val="7A804167"/>
    <w:rsid w:val="7A8157E9"/>
    <w:rsid w:val="7A820CB5"/>
    <w:rsid w:val="7A8D74A2"/>
    <w:rsid w:val="7AA0686D"/>
    <w:rsid w:val="7AA42764"/>
    <w:rsid w:val="7AAD65DE"/>
    <w:rsid w:val="7AB3181F"/>
    <w:rsid w:val="7AB65491"/>
    <w:rsid w:val="7AC048A7"/>
    <w:rsid w:val="7AED6D3D"/>
    <w:rsid w:val="7AEF76CB"/>
    <w:rsid w:val="7B056A7F"/>
    <w:rsid w:val="7B082DB3"/>
    <w:rsid w:val="7B0A12D7"/>
    <w:rsid w:val="7B1448AF"/>
    <w:rsid w:val="7B1743C0"/>
    <w:rsid w:val="7B1D5512"/>
    <w:rsid w:val="7B212602"/>
    <w:rsid w:val="7B2429F8"/>
    <w:rsid w:val="7B265958"/>
    <w:rsid w:val="7B2A7C2F"/>
    <w:rsid w:val="7B336BC8"/>
    <w:rsid w:val="7B3E5BD9"/>
    <w:rsid w:val="7B411828"/>
    <w:rsid w:val="7B4229E6"/>
    <w:rsid w:val="7B5810C9"/>
    <w:rsid w:val="7B664919"/>
    <w:rsid w:val="7B666F72"/>
    <w:rsid w:val="7B681541"/>
    <w:rsid w:val="7B8E13EB"/>
    <w:rsid w:val="7BA1297E"/>
    <w:rsid w:val="7BA44318"/>
    <w:rsid w:val="7BAE2D8D"/>
    <w:rsid w:val="7BBE70D0"/>
    <w:rsid w:val="7BC70E87"/>
    <w:rsid w:val="7BD44EE3"/>
    <w:rsid w:val="7BDE7643"/>
    <w:rsid w:val="7BE45866"/>
    <w:rsid w:val="7BEE1EEB"/>
    <w:rsid w:val="7BF40907"/>
    <w:rsid w:val="7BFD3595"/>
    <w:rsid w:val="7C0B7A60"/>
    <w:rsid w:val="7C1733C2"/>
    <w:rsid w:val="7C194DCB"/>
    <w:rsid w:val="7C2036C5"/>
    <w:rsid w:val="7C21033A"/>
    <w:rsid w:val="7C27425D"/>
    <w:rsid w:val="7C330C76"/>
    <w:rsid w:val="7C4C5FDA"/>
    <w:rsid w:val="7C5062E6"/>
    <w:rsid w:val="7C5E7893"/>
    <w:rsid w:val="7C76130F"/>
    <w:rsid w:val="7C817D22"/>
    <w:rsid w:val="7C82417D"/>
    <w:rsid w:val="7C886DA3"/>
    <w:rsid w:val="7C8F12C6"/>
    <w:rsid w:val="7C904C17"/>
    <w:rsid w:val="7C992D45"/>
    <w:rsid w:val="7C993C6F"/>
    <w:rsid w:val="7CB44F60"/>
    <w:rsid w:val="7CD5583A"/>
    <w:rsid w:val="7CE53197"/>
    <w:rsid w:val="7D0A41BC"/>
    <w:rsid w:val="7D0B5714"/>
    <w:rsid w:val="7D1D7B5D"/>
    <w:rsid w:val="7D3F7B43"/>
    <w:rsid w:val="7D412929"/>
    <w:rsid w:val="7D4157D8"/>
    <w:rsid w:val="7D585D08"/>
    <w:rsid w:val="7D6A441D"/>
    <w:rsid w:val="7D742B7F"/>
    <w:rsid w:val="7D79512E"/>
    <w:rsid w:val="7D7B7260"/>
    <w:rsid w:val="7D8557E5"/>
    <w:rsid w:val="7D8B5FF0"/>
    <w:rsid w:val="7D900D66"/>
    <w:rsid w:val="7D951CD7"/>
    <w:rsid w:val="7D9B631F"/>
    <w:rsid w:val="7D9C45E3"/>
    <w:rsid w:val="7D9D2594"/>
    <w:rsid w:val="7DA64309"/>
    <w:rsid w:val="7DCB394B"/>
    <w:rsid w:val="7DD30A52"/>
    <w:rsid w:val="7DD36B30"/>
    <w:rsid w:val="7DD65438"/>
    <w:rsid w:val="7DDC23C7"/>
    <w:rsid w:val="7DE41C45"/>
    <w:rsid w:val="7E0436F2"/>
    <w:rsid w:val="7E096221"/>
    <w:rsid w:val="7E1741FF"/>
    <w:rsid w:val="7E183080"/>
    <w:rsid w:val="7E1A6A4C"/>
    <w:rsid w:val="7E1E164C"/>
    <w:rsid w:val="7E236558"/>
    <w:rsid w:val="7E2F1CBD"/>
    <w:rsid w:val="7E310BC1"/>
    <w:rsid w:val="7E336A9D"/>
    <w:rsid w:val="7E3C4EA2"/>
    <w:rsid w:val="7E405738"/>
    <w:rsid w:val="7E510CBD"/>
    <w:rsid w:val="7E5155FB"/>
    <w:rsid w:val="7E54753C"/>
    <w:rsid w:val="7E582E84"/>
    <w:rsid w:val="7E5E609E"/>
    <w:rsid w:val="7E5F5FE3"/>
    <w:rsid w:val="7E6D347C"/>
    <w:rsid w:val="7E7354F5"/>
    <w:rsid w:val="7E8B5D91"/>
    <w:rsid w:val="7E943510"/>
    <w:rsid w:val="7E986A37"/>
    <w:rsid w:val="7E9A50CB"/>
    <w:rsid w:val="7EDF056C"/>
    <w:rsid w:val="7EEDB6B1"/>
    <w:rsid w:val="7EEF2E28"/>
    <w:rsid w:val="7EF21F47"/>
    <w:rsid w:val="7EF31942"/>
    <w:rsid w:val="7EFB4FD9"/>
    <w:rsid w:val="7EFD2A44"/>
    <w:rsid w:val="7F011AFE"/>
    <w:rsid w:val="7F0C3BD0"/>
    <w:rsid w:val="7F303107"/>
    <w:rsid w:val="7F33157B"/>
    <w:rsid w:val="7F3D1095"/>
    <w:rsid w:val="7F4327F8"/>
    <w:rsid w:val="7F480CEA"/>
    <w:rsid w:val="7F4E4945"/>
    <w:rsid w:val="7F593BCF"/>
    <w:rsid w:val="7F675F78"/>
    <w:rsid w:val="7F727385"/>
    <w:rsid w:val="7F7741D2"/>
    <w:rsid w:val="7F7C2FEC"/>
    <w:rsid w:val="7F801D46"/>
    <w:rsid w:val="7FBC103A"/>
    <w:rsid w:val="7FD14B1D"/>
    <w:rsid w:val="7FE20B4D"/>
    <w:rsid w:val="7FF20382"/>
    <w:rsid w:val="B77F19D3"/>
    <w:rsid w:val="DF6E69CF"/>
    <w:rsid w:val="ED7C43D2"/>
    <w:rsid w:val="F7EB0086"/>
    <w:rsid w:val="FD5FC4D6"/>
    <w:rsid w:val="FFE72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4"/>
    <w:link w:val="57"/>
    <w:qFormat/>
    <w:uiPriority w:val="9"/>
    <w:pPr>
      <w:keepNext/>
      <w:jc w:val="center"/>
      <w:outlineLvl w:val="0"/>
    </w:pPr>
    <w:rPr>
      <w:rFonts w:ascii="楷体_GB2312" w:hAnsi="楷体_GB2312"/>
      <w:b/>
      <w:sz w:val="32"/>
      <w:szCs w:val="32"/>
    </w:rPr>
  </w:style>
  <w:style w:type="paragraph" w:styleId="5">
    <w:name w:val="heading 2"/>
    <w:basedOn w:val="1"/>
    <w:next w:val="4"/>
    <w:link w:val="56"/>
    <w:autoRedefine/>
    <w:qFormat/>
    <w:uiPriority w:val="0"/>
    <w:pPr>
      <w:keepNext/>
      <w:keepLines/>
      <w:spacing w:before="200" w:after="200" w:line="480" w:lineRule="auto"/>
      <w:jc w:val="left"/>
      <w:outlineLvl w:val="1"/>
    </w:pPr>
    <w:rPr>
      <w:rFonts w:ascii="Arial" w:hAnsi="Arial" w:cs="Arial"/>
      <w:b/>
      <w:bCs/>
      <w:sz w:val="30"/>
      <w:szCs w:val="30"/>
    </w:rPr>
  </w:style>
  <w:style w:type="paragraph" w:styleId="6">
    <w:name w:val="heading 3"/>
    <w:basedOn w:val="1"/>
    <w:next w:val="4"/>
    <w:link w:val="89"/>
    <w:qFormat/>
    <w:uiPriority w:val="0"/>
    <w:pPr>
      <w:keepNext/>
      <w:keepLines/>
      <w:spacing w:before="200" w:after="100" w:line="480" w:lineRule="auto"/>
      <w:jc w:val="left"/>
      <w:outlineLvl w:val="2"/>
    </w:pPr>
    <w:rPr>
      <w:b/>
      <w:bCs/>
      <w:sz w:val="28"/>
      <w:szCs w:val="32"/>
    </w:rPr>
  </w:style>
  <w:style w:type="paragraph" w:styleId="7">
    <w:name w:val="heading 4"/>
    <w:basedOn w:val="1"/>
    <w:next w:val="1"/>
    <w:link w:val="62"/>
    <w:qFormat/>
    <w:uiPriority w:val="0"/>
    <w:pPr>
      <w:keepNext/>
      <w:keepLines/>
      <w:ind w:firstLine="420" w:firstLineChars="150"/>
      <w:outlineLvl w:val="3"/>
    </w:pPr>
    <w:rPr>
      <w:rFonts w:ascii="Arial" w:hAnsi="Arial" w:cs="Arial"/>
      <w:b/>
      <w:sz w:val="28"/>
      <w:szCs w:val="28"/>
    </w:rPr>
  </w:style>
  <w:style w:type="paragraph" w:styleId="8">
    <w:name w:val="heading 5"/>
    <w:basedOn w:val="1"/>
    <w:next w:val="4"/>
    <w:link w:val="98"/>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90"/>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70"/>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link w:val="7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65"/>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1">
    <w:name w:val="Default Paragraph Font"/>
    <w:autoRedefine/>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209"/>
    <w:autoRedefine/>
    <w:qFormat/>
    <w:uiPriority w:val="0"/>
    <w:pPr>
      <w:snapToGrid w:val="0"/>
      <w:jc w:val="left"/>
    </w:pPr>
    <w:rPr>
      <w:sz w:val="18"/>
    </w:rPr>
  </w:style>
  <w:style w:type="paragraph" w:styleId="4">
    <w:name w:val="Normal Indent"/>
    <w:basedOn w:val="1"/>
    <w:next w:val="1"/>
    <w:link w:val="77"/>
    <w:autoRedefine/>
    <w:qFormat/>
    <w:uiPriority w:val="0"/>
    <w:pPr>
      <w:ind w:firstLine="420"/>
    </w:pPr>
  </w:style>
  <w:style w:type="paragraph" w:styleId="13">
    <w:name w:val="List 3"/>
    <w:basedOn w:val="1"/>
    <w:autoRedefine/>
    <w:qFormat/>
    <w:uiPriority w:val="0"/>
    <w:pPr>
      <w:ind w:left="100" w:leftChars="400" w:hanging="200" w:hangingChars="200"/>
    </w:pPr>
  </w:style>
  <w:style w:type="paragraph" w:styleId="14">
    <w:name w:val="Document Map"/>
    <w:basedOn w:val="1"/>
    <w:link w:val="95"/>
    <w:semiHidden/>
    <w:qFormat/>
    <w:uiPriority w:val="0"/>
    <w:pPr>
      <w:shd w:val="clear" w:color="auto" w:fill="000080"/>
    </w:pPr>
  </w:style>
  <w:style w:type="paragraph" w:styleId="15">
    <w:name w:val="toa heading"/>
    <w:basedOn w:val="1"/>
    <w:next w:val="1"/>
    <w:qFormat/>
    <w:uiPriority w:val="0"/>
    <w:pPr>
      <w:spacing w:before="120"/>
    </w:pPr>
    <w:rPr>
      <w:rFonts w:ascii="Cambria" w:hAnsi="Cambria"/>
      <w:sz w:val="24"/>
    </w:rPr>
  </w:style>
  <w:style w:type="paragraph" w:styleId="16">
    <w:name w:val="annotation text"/>
    <w:basedOn w:val="1"/>
    <w:link w:val="208"/>
    <w:semiHidden/>
    <w:qFormat/>
    <w:uiPriority w:val="0"/>
    <w:pPr>
      <w:jc w:val="left"/>
    </w:pPr>
  </w:style>
  <w:style w:type="paragraph" w:styleId="17">
    <w:name w:val="Body Text 3"/>
    <w:basedOn w:val="1"/>
    <w:link w:val="73"/>
    <w:qFormat/>
    <w:uiPriority w:val="0"/>
    <w:rPr>
      <w:rFonts w:ascii="仿宋_GB2312" w:hAnsi="Arial" w:eastAsia="仿宋_GB2312"/>
      <w:sz w:val="32"/>
      <w:szCs w:val="32"/>
    </w:rPr>
  </w:style>
  <w:style w:type="paragraph" w:styleId="18">
    <w:name w:val="Body Text"/>
    <w:basedOn w:val="1"/>
    <w:next w:val="19"/>
    <w:link w:val="69"/>
    <w:qFormat/>
    <w:uiPriority w:val="0"/>
    <w:rPr>
      <w:rFonts w:ascii="楷体_GB2312" w:hAnsi="Arial" w:eastAsia="楷体_GB2312"/>
      <w:sz w:val="28"/>
      <w:szCs w:val="28"/>
    </w:rPr>
  </w:style>
  <w:style w:type="paragraph" w:styleId="19">
    <w:name w:val="Body Text First Indent"/>
    <w:basedOn w:val="18"/>
    <w:next w:val="20"/>
    <w:link w:val="94"/>
    <w:qFormat/>
    <w:uiPriority w:val="0"/>
    <w:pPr>
      <w:spacing w:line="360" w:lineRule="auto"/>
      <w:ind w:firstLine="200" w:firstLineChars="200"/>
    </w:pPr>
    <w:rPr>
      <w:rFonts w:ascii="仿宋_GB2312" w:eastAsia="仿宋_GB2312"/>
      <w:sz w:val="30"/>
      <w:szCs w:val="30"/>
    </w:rPr>
  </w:style>
  <w:style w:type="paragraph" w:customStyle="1" w:styleId="20">
    <w:name w:val="段落正文"/>
    <w:basedOn w:val="1"/>
    <w:qFormat/>
    <w:uiPriority w:val="0"/>
    <w:pPr>
      <w:spacing w:beforeLines="50" w:line="360" w:lineRule="auto"/>
      <w:ind w:firstLine="200" w:firstLineChars="200"/>
    </w:pPr>
    <w:rPr>
      <w:spacing w:val="2"/>
      <w:sz w:val="24"/>
    </w:rPr>
  </w:style>
  <w:style w:type="paragraph" w:styleId="21">
    <w:name w:val="Body Text Indent"/>
    <w:basedOn w:val="1"/>
    <w:next w:val="4"/>
    <w:link w:val="75"/>
    <w:qFormat/>
    <w:uiPriority w:val="0"/>
    <w:pPr>
      <w:ind w:firstLine="645"/>
    </w:pPr>
    <w:rPr>
      <w:rFonts w:ascii="楷体_GB2312" w:eastAsia="楷体_GB2312"/>
      <w:sz w:val="32"/>
      <w:szCs w:val="32"/>
    </w:rPr>
  </w:style>
  <w:style w:type="paragraph" w:styleId="22">
    <w:name w:val="List 2"/>
    <w:basedOn w:val="1"/>
    <w:autoRedefine/>
    <w:qFormat/>
    <w:uiPriority w:val="0"/>
    <w:pPr>
      <w:ind w:left="100" w:leftChars="200" w:hanging="200" w:hangingChars="200"/>
    </w:pPr>
  </w:style>
  <w:style w:type="paragraph" w:styleId="23">
    <w:name w:val="toc 3"/>
    <w:basedOn w:val="24"/>
    <w:next w:val="1"/>
    <w:qFormat/>
    <w:uiPriority w:val="39"/>
    <w:pPr>
      <w:ind w:left="840" w:leftChars="400"/>
    </w:pPr>
  </w:style>
  <w:style w:type="paragraph" w:styleId="24">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25">
    <w:name w:val="Plain Text"/>
    <w:basedOn w:val="1"/>
    <w:link w:val="97"/>
    <w:qFormat/>
    <w:uiPriority w:val="0"/>
    <w:rPr>
      <w:rFonts w:ascii="宋体" w:hAnsi="Courier New" w:cs="Courier New"/>
    </w:rPr>
  </w:style>
  <w:style w:type="paragraph" w:styleId="26">
    <w:name w:val="Date"/>
    <w:basedOn w:val="1"/>
    <w:next w:val="1"/>
    <w:link w:val="81"/>
    <w:qFormat/>
    <w:uiPriority w:val="0"/>
    <w:rPr>
      <w:sz w:val="24"/>
      <w:szCs w:val="24"/>
    </w:rPr>
  </w:style>
  <w:style w:type="paragraph" w:styleId="27">
    <w:name w:val="Body Text Indent 2"/>
    <w:basedOn w:val="1"/>
    <w:link w:val="76"/>
    <w:autoRedefine/>
    <w:qFormat/>
    <w:uiPriority w:val="0"/>
    <w:pPr>
      <w:ind w:left="630" w:firstLine="645"/>
    </w:pPr>
    <w:rPr>
      <w:rFonts w:ascii="Arial" w:hAnsi="Arial" w:eastAsia="仿宋_GB2312" w:cs="Arial"/>
      <w:sz w:val="32"/>
      <w:szCs w:val="32"/>
    </w:rPr>
  </w:style>
  <w:style w:type="paragraph" w:styleId="28">
    <w:name w:val="Balloon Text"/>
    <w:basedOn w:val="1"/>
    <w:link w:val="99"/>
    <w:semiHidden/>
    <w:qFormat/>
    <w:uiPriority w:val="0"/>
    <w:rPr>
      <w:sz w:val="18"/>
      <w:szCs w:val="18"/>
    </w:rPr>
  </w:style>
  <w:style w:type="paragraph" w:styleId="29">
    <w:name w:val="footer"/>
    <w:basedOn w:val="1"/>
    <w:link w:val="74"/>
    <w:qFormat/>
    <w:uiPriority w:val="99"/>
    <w:pPr>
      <w:tabs>
        <w:tab w:val="center" w:pos="4153"/>
        <w:tab w:val="right" w:pos="8306"/>
      </w:tabs>
      <w:snapToGrid w:val="0"/>
      <w:jc w:val="left"/>
    </w:pPr>
    <w:rPr>
      <w:rFonts w:cs="Symbol"/>
      <w:color w:val="000000" w:themeColor="text1"/>
      <w:sz w:val="18"/>
      <w:szCs w:val="18"/>
      <w14:textFill>
        <w14:solidFill>
          <w14:schemeClr w14:val="tx1"/>
        </w14:solidFill>
      </w14:textFill>
    </w:rPr>
  </w:style>
  <w:style w:type="paragraph" w:styleId="30">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1">
    <w:name w:val="toc 4"/>
    <w:basedOn w:val="1"/>
    <w:next w:val="1"/>
    <w:qFormat/>
    <w:uiPriority w:val="39"/>
    <w:pPr>
      <w:ind w:left="960"/>
      <w:jc w:val="left"/>
    </w:pPr>
    <w:rPr>
      <w:rFonts w:ascii="Calibri" w:hAnsi="Calibri"/>
      <w:sz w:val="18"/>
      <w:szCs w:val="18"/>
    </w:rPr>
  </w:style>
  <w:style w:type="paragraph" w:styleId="32">
    <w:name w:val="List"/>
    <w:basedOn w:val="1"/>
    <w:qFormat/>
    <w:uiPriority w:val="0"/>
    <w:pPr>
      <w:ind w:left="200" w:hanging="200" w:hangingChars="200"/>
    </w:pPr>
  </w:style>
  <w:style w:type="paragraph" w:styleId="33">
    <w:name w:val="Body Text Indent 3"/>
    <w:basedOn w:val="1"/>
    <w:link w:val="91"/>
    <w:autoRedefine/>
    <w:qFormat/>
    <w:uiPriority w:val="0"/>
    <w:pPr>
      <w:ind w:left="645" w:firstLine="645"/>
    </w:pPr>
    <w:rPr>
      <w:rFonts w:ascii="Arial" w:hAnsi="Arial" w:eastAsia="仿宋_GB2312" w:cs="Arial"/>
      <w:color w:val="FFFF00"/>
      <w:sz w:val="32"/>
      <w:szCs w:val="32"/>
    </w:rPr>
  </w:style>
  <w:style w:type="paragraph" w:styleId="34">
    <w:name w:val="toc 2"/>
    <w:basedOn w:val="24"/>
    <w:next w:val="1"/>
    <w:qFormat/>
    <w:uiPriority w:val="39"/>
    <w:pPr>
      <w:ind w:left="210"/>
    </w:pPr>
    <w:rPr>
      <w:smallCaps/>
      <w:szCs w:val="24"/>
    </w:rPr>
  </w:style>
  <w:style w:type="paragraph" w:styleId="35">
    <w:name w:val="Body Text 2"/>
    <w:basedOn w:val="1"/>
    <w:link w:val="96"/>
    <w:qFormat/>
    <w:uiPriority w:val="0"/>
    <w:pPr>
      <w:widowControl/>
      <w:jc w:val="center"/>
    </w:pPr>
    <w:rPr>
      <w:rFonts w:ascii="楷体_GB2312" w:eastAsia="楷体_GB2312"/>
      <w:sz w:val="28"/>
      <w:szCs w:val="28"/>
    </w:rPr>
  </w:style>
  <w:style w:type="paragraph" w:styleId="36">
    <w:name w:val="Normal (Web)"/>
    <w:basedOn w:val="1"/>
    <w:next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7">
    <w:name w:val="annotation subject"/>
    <w:basedOn w:val="16"/>
    <w:next w:val="16"/>
    <w:link w:val="93"/>
    <w:semiHidden/>
    <w:qFormat/>
    <w:uiPriority w:val="0"/>
    <w:rPr>
      <w:b/>
      <w:bCs/>
    </w:rPr>
  </w:style>
  <w:style w:type="paragraph" w:styleId="38">
    <w:name w:val="Body Text First Indent 2"/>
    <w:basedOn w:val="21"/>
    <w:next w:val="1"/>
    <w:link w:val="78"/>
    <w:qFormat/>
    <w:uiPriority w:val="0"/>
    <w:pPr>
      <w:spacing w:line="360" w:lineRule="auto"/>
      <w:ind w:firstLine="420" w:firstLineChars="200"/>
    </w:pPr>
    <w:rPr>
      <w:rFonts w:ascii="宋体" w:hAnsi="宋体" w:eastAsia="宋体"/>
      <w:sz w:val="21"/>
      <w:szCs w:val="20"/>
    </w:r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autoRedefine/>
    <w:qFormat/>
    <w:uiPriority w:val="0"/>
  </w:style>
  <w:style w:type="character" w:styleId="44">
    <w:name w:val="FollowedHyperlink"/>
    <w:qFormat/>
    <w:uiPriority w:val="99"/>
    <w:rPr>
      <w:color w:val="800080"/>
      <w:u w:val="single"/>
    </w:rPr>
  </w:style>
  <w:style w:type="character" w:styleId="45">
    <w:name w:val="Emphasis"/>
    <w:basedOn w:val="41"/>
    <w:qFormat/>
    <w:uiPriority w:val="0"/>
  </w:style>
  <w:style w:type="character" w:styleId="46">
    <w:name w:val="HTML Definition"/>
    <w:basedOn w:val="41"/>
    <w:autoRedefine/>
    <w:qFormat/>
    <w:uiPriority w:val="0"/>
  </w:style>
  <w:style w:type="character" w:styleId="47">
    <w:name w:val="HTML Typewriter"/>
    <w:basedOn w:val="41"/>
    <w:qFormat/>
    <w:uiPriority w:val="0"/>
    <w:rPr>
      <w:rFonts w:hint="default" w:ascii="monospace" w:hAnsi="monospace" w:eastAsia="monospace" w:cs="monospace"/>
      <w:sz w:val="20"/>
    </w:rPr>
  </w:style>
  <w:style w:type="character" w:styleId="48">
    <w:name w:val="HTML Acronym"/>
    <w:basedOn w:val="41"/>
    <w:qFormat/>
    <w:uiPriority w:val="0"/>
  </w:style>
  <w:style w:type="character" w:styleId="49">
    <w:name w:val="HTML Variable"/>
    <w:basedOn w:val="41"/>
    <w:qFormat/>
    <w:uiPriority w:val="0"/>
  </w:style>
  <w:style w:type="character" w:styleId="50">
    <w:name w:val="Hyperlink"/>
    <w:qFormat/>
    <w:uiPriority w:val="99"/>
    <w:rPr>
      <w:color w:val="0000FF"/>
      <w:u w:val="single"/>
    </w:rPr>
  </w:style>
  <w:style w:type="character" w:styleId="51">
    <w:name w:val="HTML Code"/>
    <w:basedOn w:val="41"/>
    <w:qFormat/>
    <w:uiPriority w:val="0"/>
    <w:rPr>
      <w:rFonts w:hint="default" w:ascii="monospace" w:hAnsi="monospace" w:eastAsia="monospace" w:cs="monospace"/>
      <w:sz w:val="20"/>
    </w:rPr>
  </w:style>
  <w:style w:type="character" w:styleId="52">
    <w:name w:val="annotation reference"/>
    <w:qFormat/>
    <w:uiPriority w:val="0"/>
    <w:rPr>
      <w:sz w:val="21"/>
      <w:szCs w:val="21"/>
    </w:rPr>
  </w:style>
  <w:style w:type="character" w:styleId="53">
    <w:name w:val="HTML Cite"/>
    <w:basedOn w:val="41"/>
    <w:autoRedefine/>
    <w:qFormat/>
    <w:uiPriority w:val="0"/>
  </w:style>
  <w:style w:type="character" w:styleId="54">
    <w:name w:val="HTML Keyboard"/>
    <w:basedOn w:val="41"/>
    <w:qFormat/>
    <w:uiPriority w:val="0"/>
    <w:rPr>
      <w:rFonts w:hint="default" w:ascii="monospace" w:hAnsi="monospace" w:eastAsia="monospace" w:cs="monospace"/>
      <w:sz w:val="20"/>
    </w:rPr>
  </w:style>
  <w:style w:type="character" w:styleId="55">
    <w:name w:val="HTML Sample"/>
    <w:basedOn w:val="41"/>
    <w:autoRedefine/>
    <w:qFormat/>
    <w:uiPriority w:val="0"/>
    <w:rPr>
      <w:rFonts w:ascii="monospace" w:hAnsi="monospace" w:eastAsia="monospace" w:cs="monospace"/>
    </w:rPr>
  </w:style>
  <w:style w:type="character" w:customStyle="1" w:styleId="56">
    <w:name w:val="标题 2 Char"/>
    <w:link w:val="5"/>
    <w:qFormat/>
    <w:uiPriority w:val="0"/>
    <w:rPr>
      <w:rFonts w:ascii="Arial" w:hAnsi="Arial" w:eastAsia="宋体" w:cs="Arial"/>
      <w:b/>
      <w:bCs/>
      <w:kern w:val="2"/>
      <w:sz w:val="30"/>
      <w:szCs w:val="30"/>
      <w:lang w:val="en-US" w:eastAsia="zh-CN" w:bidi="ar-SA"/>
    </w:rPr>
  </w:style>
  <w:style w:type="character" w:customStyle="1" w:styleId="57">
    <w:name w:val="标题 1 Char"/>
    <w:link w:val="3"/>
    <w:qFormat/>
    <w:uiPriority w:val="9"/>
    <w:rPr>
      <w:rFonts w:ascii="楷体_GB2312" w:hAnsi="楷体_GB2312" w:eastAsia="宋体"/>
      <w:b/>
      <w:kern w:val="2"/>
      <w:sz w:val="32"/>
      <w:szCs w:val="32"/>
      <w:lang w:val="en-US" w:eastAsia="zh-CN" w:bidi="ar-SA"/>
    </w:rPr>
  </w:style>
  <w:style w:type="paragraph" w:customStyle="1" w:styleId="58">
    <w:name w:val="无间隔1"/>
    <w:basedOn w:val="59"/>
    <w:qFormat/>
    <w:uiPriority w:val="1"/>
    <w:pPr>
      <w:spacing w:line="400" w:lineRule="exact"/>
    </w:pPr>
    <w:rPr>
      <w:sz w:val="24"/>
    </w:rPr>
  </w:style>
  <w:style w:type="paragraph" w:customStyle="1" w:styleId="59">
    <w:name w:val="正文1"/>
    <w:next w:val="60"/>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0">
    <w:name w:val="页脚1"/>
    <w:basedOn w:val="59"/>
    <w:unhideWhenUsed/>
    <w:qFormat/>
    <w:uiPriority w:val="99"/>
    <w:pPr>
      <w:tabs>
        <w:tab w:val="center" w:pos="4153"/>
        <w:tab w:val="right" w:pos="8306"/>
      </w:tabs>
      <w:snapToGrid w:val="0"/>
      <w:jc w:val="left"/>
    </w:pPr>
    <w:rPr>
      <w:rFonts w:ascii="Times New Roman" w:hAnsi="Times New Roman"/>
      <w:kern w:val="0"/>
      <w:sz w:val="18"/>
      <w:szCs w:val="18"/>
    </w:rPr>
  </w:style>
  <w:style w:type="paragraph" w:customStyle="1" w:styleId="61">
    <w:name w:val="Heading2"/>
    <w:basedOn w:val="1"/>
    <w:next w:val="1"/>
    <w:qFormat/>
    <w:uiPriority w:val="0"/>
    <w:pPr>
      <w:keepNext/>
      <w:keepLines/>
      <w:numPr>
        <w:ilvl w:val="1"/>
        <w:numId w:val="2"/>
      </w:numPr>
      <w:spacing w:before="260" w:after="260" w:line="416" w:lineRule="auto"/>
    </w:pPr>
    <w:rPr>
      <w:rFonts w:ascii="宋体" w:hAnsi="宋体"/>
      <w:b/>
      <w:bCs/>
      <w:sz w:val="32"/>
      <w:szCs w:val="32"/>
    </w:rPr>
  </w:style>
  <w:style w:type="character" w:customStyle="1" w:styleId="62">
    <w:name w:val="标题 4 Char"/>
    <w:link w:val="7"/>
    <w:autoRedefine/>
    <w:qFormat/>
    <w:uiPriority w:val="0"/>
    <w:rPr>
      <w:rFonts w:ascii="Arial" w:hAnsi="Arial" w:eastAsia="宋体" w:cs="Arial"/>
      <w:b/>
      <w:kern w:val="2"/>
      <w:sz w:val="28"/>
      <w:szCs w:val="28"/>
      <w:lang w:val="en-US" w:eastAsia="zh-CN" w:bidi="ar-SA"/>
    </w:rPr>
  </w:style>
  <w:style w:type="paragraph" w:customStyle="1" w:styleId="63">
    <w:name w:val="标题 5（有编号）（绿盟科技）"/>
    <w:basedOn w:val="1"/>
    <w:next w:val="6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5">
    <w:name w:val="标题 9 Char"/>
    <w:link w:val="12"/>
    <w:qFormat/>
    <w:uiPriority w:val="0"/>
    <w:rPr>
      <w:rFonts w:ascii="Arial" w:hAnsi="Arial" w:eastAsia="黑体"/>
      <w:kern w:val="2"/>
      <w:sz w:val="21"/>
      <w:szCs w:val="21"/>
      <w:lang w:val="en-US" w:eastAsia="zh-CN" w:bidi="ar-SA"/>
    </w:rPr>
  </w:style>
  <w:style w:type="character" w:customStyle="1" w:styleId="66">
    <w:name w:val="正文缩进 Char"/>
    <w:autoRedefine/>
    <w:qFormat/>
    <w:uiPriority w:val="0"/>
    <w:rPr>
      <w:kern w:val="2"/>
      <w:sz w:val="21"/>
      <w:szCs w:val="21"/>
    </w:rPr>
  </w:style>
  <w:style w:type="character" w:customStyle="1" w:styleId="67">
    <w:name w:val="列出段落 Char"/>
    <w:link w:val="68"/>
    <w:autoRedefine/>
    <w:qFormat/>
    <w:locked/>
    <w:uiPriority w:val="0"/>
    <w:rPr>
      <w:rFonts w:ascii="Calibri" w:hAnsi="Calibri"/>
      <w:sz w:val="24"/>
      <w:szCs w:val="24"/>
      <w:lang w:eastAsia="en-US" w:bidi="en-US"/>
    </w:rPr>
  </w:style>
  <w:style w:type="paragraph" w:customStyle="1" w:styleId="68">
    <w:name w:val="列出段落11"/>
    <w:basedOn w:val="1"/>
    <w:link w:val="67"/>
    <w:autoRedefine/>
    <w:qFormat/>
    <w:uiPriority w:val="0"/>
    <w:pPr>
      <w:widowControl/>
      <w:ind w:left="720"/>
      <w:contextualSpacing/>
      <w:jc w:val="left"/>
    </w:pPr>
    <w:rPr>
      <w:rFonts w:ascii="Calibri" w:hAnsi="Calibri"/>
      <w:kern w:val="0"/>
      <w:sz w:val="24"/>
      <w:szCs w:val="24"/>
      <w:lang w:eastAsia="en-US" w:bidi="en-US"/>
    </w:rPr>
  </w:style>
  <w:style w:type="character" w:customStyle="1" w:styleId="69">
    <w:name w:val="正文文本 Char"/>
    <w:link w:val="18"/>
    <w:autoRedefine/>
    <w:qFormat/>
    <w:uiPriority w:val="0"/>
    <w:rPr>
      <w:rFonts w:ascii="楷体_GB2312" w:hAnsi="Arial" w:eastAsia="楷体_GB2312"/>
      <w:kern w:val="2"/>
      <w:sz w:val="28"/>
      <w:szCs w:val="28"/>
      <w:lang w:val="en-US" w:eastAsia="zh-CN" w:bidi="ar-SA"/>
    </w:rPr>
  </w:style>
  <w:style w:type="character" w:customStyle="1" w:styleId="70">
    <w:name w:val="标题 7 Char"/>
    <w:link w:val="10"/>
    <w:autoRedefine/>
    <w:qFormat/>
    <w:uiPriority w:val="0"/>
    <w:rPr>
      <w:rFonts w:eastAsia="宋体"/>
      <w:b/>
      <w:bCs/>
      <w:kern w:val="2"/>
      <w:sz w:val="24"/>
      <w:szCs w:val="24"/>
      <w:lang w:val="en-US" w:eastAsia="zh-CN" w:bidi="ar-SA"/>
    </w:rPr>
  </w:style>
  <w:style w:type="character" w:customStyle="1" w:styleId="71">
    <w:name w:val="标题 8 Char"/>
    <w:link w:val="11"/>
    <w:autoRedefine/>
    <w:qFormat/>
    <w:uiPriority w:val="0"/>
    <w:rPr>
      <w:rFonts w:ascii="Arial" w:hAnsi="Arial" w:eastAsia="黑体"/>
      <w:kern w:val="2"/>
      <w:sz w:val="24"/>
      <w:szCs w:val="24"/>
      <w:lang w:val="en-US" w:eastAsia="zh-CN" w:bidi="ar-SA"/>
    </w:rPr>
  </w:style>
  <w:style w:type="character" w:customStyle="1" w:styleId="72">
    <w:name w:val="正文首行缩进 Char"/>
    <w:autoRedefine/>
    <w:qFormat/>
    <w:uiPriority w:val="0"/>
    <w:rPr>
      <w:rFonts w:ascii="仿宋_GB2312" w:hAnsi="Times New Roman" w:eastAsia="仿宋_GB2312" w:cs="Times New Roman"/>
      <w:kern w:val="2"/>
      <w:sz w:val="30"/>
      <w:szCs w:val="30"/>
    </w:rPr>
  </w:style>
  <w:style w:type="character" w:customStyle="1" w:styleId="73">
    <w:name w:val="正文文本 3 Char"/>
    <w:link w:val="17"/>
    <w:autoRedefine/>
    <w:qFormat/>
    <w:uiPriority w:val="0"/>
    <w:rPr>
      <w:rFonts w:ascii="仿宋_GB2312" w:hAnsi="Arial" w:eastAsia="仿宋_GB2312"/>
      <w:kern w:val="2"/>
      <w:sz w:val="32"/>
      <w:szCs w:val="32"/>
      <w:lang w:val="en-US" w:eastAsia="zh-CN" w:bidi="ar-SA"/>
    </w:rPr>
  </w:style>
  <w:style w:type="character" w:customStyle="1" w:styleId="74">
    <w:name w:val="页脚 Char"/>
    <w:link w:val="29"/>
    <w:autoRedefine/>
    <w:qFormat/>
    <w:uiPriority w:val="99"/>
    <w:rPr>
      <w:rFonts w:eastAsia="宋体" w:cs="Symbol"/>
      <w:color w:val="000000" w:themeColor="text1"/>
      <w:kern w:val="2"/>
      <w:sz w:val="18"/>
      <w:szCs w:val="18"/>
      <w:lang w:bidi="ar-SA"/>
      <w14:textFill>
        <w14:solidFill>
          <w14:schemeClr w14:val="tx1"/>
        </w14:solidFill>
      </w14:textFill>
    </w:rPr>
  </w:style>
  <w:style w:type="character" w:customStyle="1" w:styleId="75">
    <w:name w:val="正文文本缩进 Char"/>
    <w:link w:val="21"/>
    <w:autoRedefine/>
    <w:qFormat/>
    <w:uiPriority w:val="0"/>
    <w:rPr>
      <w:rFonts w:ascii="楷体_GB2312" w:eastAsia="楷体_GB2312"/>
      <w:kern w:val="2"/>
      <w:sz w:val="32"/>
      <w:szCs w:val="32"/>
      <w:lang w:val="en-US" w:eastAsia="zh-CN" w:bidi="ar-SA"/>
    </w:rPr>
  </w:style>
  <w:style w:type="character" w:customStyle="1" w:styleId="76">
    <w:name w:val="正文文本缩进 2 Char"/>
    <w:link w:val="27"/>
    <w:autoRedefine/>
    <w:qFormat/>
    <w:uiPriority w:val="0"/>
    <w:rPr>
      <w:rFonts w:ascii="Arial" w:hAnsi="Arial" w:eastAsia="仿宋_GB2312" w:cs="Arial"/>
      <w:kern w:val="2"/>
      <w:sz w:val="32"/>
      <w:szCs w:val="32"/>
      <w:lang w:val="en-US" w:eastAsia="zh-CN" w:bidi="ar-SA"/>
    </w:rPr>
  </w:style>
  <w:style w:type="character" w:customStyle="1" w:styleId="77">
    <w:name w:val="正文缩进 Char1"/>
    <w:link w:val="4"/>
    <w:autoRedefine/>
    <w:qFormat/>
    <w:uiPriority w:val="0"/>
    <w:rPr>
      <w:rFonts w:eastAsia="宋体"/>
      <w:kern w:val="2"/>
      <w:sz w:val="21"/>
      <w:szCs w:val="21"/>
      <w:lang w:bidi="ar-SA"/>
    </w:rPr>
  </w:style>
  <w:style w:type="character" w:customStyle="1" w:styleId="78">
    <w:name w:val="正文首行缩进 2 Char"/>
    <w:link w:val="38"/>
    <w:autoRedefine/>
    <w:qFormat/>
    <w:uiPriority w:val="0"/>
    <w:rPr>
      <w:rFonts w:ascii="宋体" w:hAnsi="宋体" w:eastAsia="宋体"/>
      <w:kern w:val="2"/>
      <w:sz w:val="21"/>
      <w:lang w:val="en-US" w:eastAsia="zh-CN" w:bidi="ar-SA"/>
    </w:rPr>
  </w:style>
  <w:style w:type="character" w:customStyle="1" w:styleId="79">
    <w:name w:val="正文首行缩进（qhb） Char"/>
    <w:link w:val="80"/>
    <w:autoRedefine/>
    <w:qFormat/>
    <w:uiPriority w:val="0"/>
    <w:rPr>
      <w:rFonts w:ascii="Arial" w:hAnsi="Arial"/>
      <w:sz w:val="24"/>
      <w:szCs w:val="21"/>
    </w:rPr>
  </w:style>
  <w:style w:type="paragraph" w:customStyle="1" w:styleId="80">
    <w:name w:val="正文首行缩进（qhb）"/>
    <w:basedOn w:val="1"/>
    <w:link w:val="79"/>
    <w:autoRedefine/>
    <w:qFormat/>
    <w:uiPriority w:val="0"/>
    <w:pPr>
      <w:widowControl/>
      <w:spacing w:after="50" w:line="360" w:lineRule="auto"/>
      <w:ind w:firstLine="200" w:firstLineChars="200"/>
      <w:jc w:val="left"/>
    </w:pPr>
    <w:rPr>
      <w:rFonts w:ascii="Arial" w:hAnsi="Arial"/>
      <w:kern w:val="0"/>
      <w:sz w:val="24"/>
    </w:rPr>
  </w:style>
  <w:style w:type="character" w:customStyle="1" w:styleId="81">
    <w:name w:val="日期 Char"/>
    <w:link w:val="26"/>
    <w:autoRedefine/>
    <w:qFormat/>
    <w:uiPriority w:val="0"/>
    <w:rPr>
      <w:rFonts w:eastAsia="宋体"/>
      <w:kern w:val="2"/>
      <w:sz w:val="24"/>
      <w:szCs w:val="24"/>
      <w:lang w:val="en-US" w:eastAsia="zh-CN" w:bidi="ar-SA"/>
    </w:rPr>
  </w:style>
  <w:style w:type="character" w:customStyle="1" w:styleId="82">
    <w:name w:val="font5 Char"/>
    <w:autoRedefine/>
    <w:qFormat/>
    <w:uiPriority w:val="0"/>
    <w:rPr>
      <w:rFonts w:ascii="宋体" w:hAnsi="宋体" w:eastAsia="宋体"/>
      <w:sz w:val="28"/>
      <w:szCs w:val="28"/>
      <w:lang w:val="en-US" w:eastAsia="zh-CN" w:bidi="ar-SA"/>
    </w:rPr>
  </w:style>
  <w:style w:type="character" w:customStyle="1" w:styleId="83">
    <w:name w:val="Char Char2"/>
    <w:autoRedefine/>
    <w:qFormat/>
    <w:uiPriority w:val="0"/>
    <w:rPr>
      <w:rFonts w:ascii="Times New Roman" w:hAnsi="Times New Roman" w:eastAsia="宋体" w:cs="Times New Roman"/>
      <w:szCs w:val="21"/>
    </w:rPr>
  </w:style>
  <w:style w:type="character" w:customStyle="1" w:styleId="84">
    <w:name w:val="正文格式 Char"/>
    <w:link w:val="85"/>
    <w:autoRedefine/>
    <w:qFormat/>
    <w:uiPriority w:val="0"/>
    <w:rPr>
      <w:rFonts w:eastAsia="仿宋_GB2312"/>
      <w:sz w:val="28"/>
      <w:lang w:bidi="ar-SA"/>
    </w:rPr>
  </w:style>
  <w:style w:type="paragraph" w:customStyle="1" w:styleId="85">
    <w:name w:val="正文格式"/>
    <w:basedOn w:val="1"/>
    <w:link w:val="84"/>
    <w:autoRedefine/>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86">
    <w:name w:val="二级目录 Char"/>
    <w:link w:val="87"/>
    <w:autoRedefine/>
    <w:qFormat/>
    <w:uiPriority w:val="0"/>
    <w:rPr>
      <w:rFonts w:eastAsia="Times New Roman"/>
      <w:b/>
      <w:kern w:val="2"/>
      <w:sz w:val="30"/>
      <w:szCs w:val="28"/>
      <w:lang w:val="en-US" w:eastAsia="zh-CN" w:bidi="ar-SA"/>
    </w:rPr>
  </w:style>
  <w:style w:type="paragraph" w:customStyle="1" w:styleId="87">
    <w:name w:val="二级目录"/>
    <w:next w:val="1"/>
    <w:link w:val="86"/>
    <w:autoRedefine/>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88">
    <w:name w:val="Char Char6"/>
    <w:autoRedefine/>
    <w:qFormat/>
    <w:uiPriority w:val="0"/>
    <w:rPr>
      <w:rFonts w:ascii="Times New Roman" w:hAnsi="Times New Roman" w:eastAsia="宋体" w:cs="Times New Roman"/>
      <w:sz w:val="18"/>
      <w:szCs w:val="18"/>
    </w:rPr>
  </w:style>
  <w:style w:type="character" w:customStyle="1" w:styleId="89">
    <w:name w:val="标题 3 Char"/>
    <w:link w:val="6"/>
    <w:autoRedefine/>
    <w:qFormat/>
    <w:uiPriority w:val="0"/>
    <w:rPr>
      <w:rFonts w:ascii="Times New Roman" w:hAnsi="Times New Roman" w:eastAsia="宋体"/>
      <w:b/>
      <w:bCs/>
      <w:kern w:val="2"/>
      <w:sz w:val="28"/>
      <w:szCs w:val="32"/>
      <w:lang w:val="en-US" w:eastAsia="zh-CN" w:bidi="ar-SA"/>
    </w:rPr>
  </w:style>
  <w:style w:type="character" w:customStyle="1" w:styleId="90">
    <w:name w:val="标题 6 Char"/>
    <w:link w:val="9"/>
    <w:autoRedefine/>
    <w:qFormat/>
    <w:uiPriority w:val="0"/>
    <w:rPr>
      <w:rFonts w:ascii="Arial" w:hAnsi="Arial" w:eastAsia="黑体"/>
      <w:b/>
      <w:bCs/>
      <w:kern w:val="2"/>
      <w:sz w:val="24"/>
      <w:szCs w:val="24"/>
      <w:lang w:val="en-US" w:eastAsia="zh-CN" w:bidi="ar-SA"/>
    </w:rPr>
  </w:style>
  <w:style w:type="character" w:customStyle="1" w:styleId="91">
    <w:name w:val="正文文本缩进 3 Char"/>
    <w:link w:val="33"/>
    <w:autoRedefine/>
    <w:qFormat/>
    <w:uiPriority w:val="0"/>
    <w:rPr>
      <w:rFonts w:ascii="Arial" w:hAnsi="Arial" w:eastAsia="仿宋_GB2312" w:cs="Arial"/>
      <w:color w:val="FFFF00"/>
      <w:kern w:val="2"/>
      <w:sz w:val="32"/>
      <w:szCs w:val="32"/>
      <w:lang w:val="en-US" w:eastAsia="zh-CN" w:bidi="ar-SA"/>
    </w:rPr>
  </w:style>
  <w:style w:type="character" w:customStyle="1" w:styleId="92">
    <w:name w:val="页眉 Char"/>
    <w:link w:val="30"/>
    <w:autoRedefine/>
    <w:qFormat/>
    <w:uiPriority w:val="99"/>
    <w:rPr>
      <w:rFonts w:eastAsia="宋体"/>
      <w:kern w:val="2"/>
      <w:sz w:val="18"/>
      <w:szCs w:val="18"/>
      <w:lang w:val="en-US" w:eastAsia="zh-CN" w:bidi="ar-SA"/>
    </w:rPr>
  </w:style>
  <w:style w:type="character" w:customStyle="1" w:styleId="93">
    <w:name w:val="批注主题 Char"/>
    <w:link w:val="37"/>
    <w:autoRedefine/>
    <w:semiHidden/>
    <w:qFormat/>
    <w:uiPriority w:val="0"/>
    <w:rPr>
      <w:rFonts w:eastAsia="宋体"/>
      <w:b/>
      <w:bCs/>
      <w:kern w:val="2"/>
      <w:sz w:val="21"/>
      <w:szCs w:val="21"/>
      <w:lang w:val="en-US" w:eastAsia="zh-CN" w:bidi="ar-SA"/>
    </w:rPr>
  </w:style>
  <w:style w:type="character" w:customStyle="1" w:styleId="94">
    <w:name w:val="正文首行缩进 Char1"/>
    <w:link w:val="19"/>
    <w:autoRedefine/>
    <w:qFormat/>
    <w:uiPriority w:val="0"/>
    <w:rPr>
      <w:rFonts w:ascii="仿宋_GB2312" w:eastAsia="仿宋_GB2312"/>
      <w:kern w:val="2"/>
      <w:sz w:val="30"/>
      <w:szCs w:val="30"/>
      <w:lang w:val="en-US" w:eastAsia="zh-CN" w:bidi="ar-SA"/>
    </w:rPr>
  </w:style>
  <w:style w:type="character" w:customStyle="1" w:styleId="95">
    <w:name w:val="文档结构图 Char"/>
    <w:link w:val="14"/>
    <w:autoRedefine/>
    <w:semiHidden/>
    <w:qFormat/>
    <w:uiPriority w:val="0"/>
    <w:rPr>
      <w:rFonts w:eastAsia="宋体"/>
      <w:kern w:val="2"/>
      <w:sz w:val="21"/>
      <w:szCs w:val="21"/>
      <w:lang w:bidi="ar-SA"/>
    </w:rPr>
  </w:style>
  <w:style w:type="character" w:customStyle="1" w:styleId="96">
    <w:name w:val="正文文本 2 Char"/>
    <w:link w:val="35"/>
    <w:autoRedefine/>
    <w:qFormat/>
    <w:uiPriority w:val="0"/>
    <w:rPr>
      <w:rFonts w:ascii="楷体_GB2312" w:eastAsia="楷体_GB2312"/>
      <w:kern w:val="2"/>
      <w:sz w:val="28"/>
      <w:szCs w:val="28"/>
      <w:lang w:val="en-US" w:eastAsia="zh-CN" w:bidi="ar-SA"/>
    </w:rPr>
  </w:style>
  <w:style w:type="character" w:customStyle="1" w:styleId="97">
    <w:name w:val="纯文本 Char"/>
    <w:link w:val="25"/>
    <w:autoRedefine/>
    <w:qFormat/>
    <w:uiPriority w:val="0"/>
    <w:rPr>
      <w:rFonts w:ascii="宋体" w:hAnsi="Courier New" w:eastAsia="宋体" w:cs="Courier New"/>
      <w:kern w:val="2"/>
      <w:sz w:val="21"/>
      <w:szCs w:val="21"/>
      <w:lang w:val="en-US" w:eastAsia="zh-CN" w:bidi="ar-SA"/>
    </w:rPr>
  </w:style>
  <w:style w:type="character" w:customStyle="1" w:styleId="98">
    <w:name w:val="标题 5 Char"/>
    <w:link w:val="8"/>
    <w:autoRedefine/>
    <w:qFormat/>
    <w:uiPriority w:val="0"/>
    <w:rPr>
      <w:rFonts w:ascii="宋体" w:eastAsia="宋体"/>
      <w:color w:val="000000"/>
      <w:sz w:val="28"/>
      <w:szCs w:val="28"/>
      <w:lang w:val="en-US" w:eastAsia="zh-CN" w:bidi="ar-SA"/>
    </w:rPr>
  </w:style>
  <w:style w:type="character" w:customStyle="1" w:styleId="99">
    <w:name w:val="批注框文本 Char"/>
    <w:link w:val="28"/>
    <w:autoRedefine/>
    <w:semiHidden/>
    <w:qFormat/>
    <w:uiPriority w:val="0"/>
    <w:rPr>
      <w:rFonts w:eastAsia="宋体"/>
      <w:kern w:val="2"/>
      <w:sz w:val="18"/>
      <w:szCs w:val="18"/>
      <w:lang w:val="en-US" w:eastAsia="zh-CN" w:bidi="ar-SA"/>
    </w:rPr>
  </w:style>
  <w:style w:type="paragraph" w:customStyle="1" w:styleId="100">
    <w:name w:val="font7"/>
    <w:basedOn w:val="1"/>
    <w:autoRedefine/>
    <w:qFormat/>
    <w:uiPriority w:val="0"/>
    <w:pPr>
      <w:widowControl/>
      <w:numPr>
        <w:ilvl w:val="0"/>
        <w:numId w:val="4"/>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101">
    <w:name w:val="xl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2">
    <w:name w:val="p1"/>
    <w:basedOn w:val="1"/>
    <w:autoRedefine/>
    <w:qFormat/>
    <w:uiPriority w:val="0"/>
    <w:pPr>
      <w:spacing w:line="380" w:lineRule="atLeast"/>
      <w:jc w:val="left"/>
    </w:pPr>
    <w:rPr>
      <w:rFonts w:ascii="Helvetica Neue" w:hAnsi="Helvetica Neue" w:eastAsia="Helvetica Neue"/>
      <w:kern w:val="0"/>
      <w:sz w:val="26"/>
      <w:szCs w:val="26"/>
    </w:rPr>
  </w:style>
  <w:style w:type="paragraph" w:customStyle="1" w:styleId="10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标题3"/>
    <w:basedOn w:val="1"/>
    <w:next w:val="1"/>
    <w:autoRedefine/>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5">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6">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7">
    <w:name w:val="font6"/>
    <w:basedOn w:val="1"/>
    <w:autoRedefine/>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8">
    <w:name w:val="Char Char Char Char Char Char Char Char Char Char"/>
    <w:basedOn w:val="1"/>
    <w:autoRedefine/>
    <w:qFormat/>
    <w:uiPriority w:val="0"/>
    <w:pPr>
      <w:adjustRightInd w:val="0"/>
      <w:spacing w:line="360" w:lineRule="auto"/>
    </w:pPr>
    <w:rPr>
      <w:kern w:val="0"/>
      <w:sz w:val="24"/>
      <w:szCs w:val="20"/>
    </w:rPr>
  </w:style>
  <w:style w:type="paragraph" w:customStyle="1" w:styleId="109">
    <w:name w:val="附录1"/>
    <w:autoRedefine/>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10">
    <w:name w:val="_Style 30"/>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13">
    <w:name w:val="列出段落1"/>
    <w:basedOn w:val="1"/>
    <w:autoRedefine/>
    <w:qFormat/>
    <w:uiPriority w:val="99"/>
    <w:pPr>
      <w:ind w:firstLine="420" w:firstLineChars="200"/>
    </w:pPr>
  </w:style>
  <w:style w:type="paragraph" w:customStyle="1" w:styleId="114">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5">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116">
    <w:name w:val="Char"/>
    <w:basedOn w:val="1"/>
    <w:autoRedefine/>
    <w:qFormat/>
    <w:uiPriority w:val="0"/>
    <w:pPr>
      <w:tabs>
        <w:tab w:val="left" w:pos="360"/>
      </w:tabs>
      <w:ind w:firstLine="200" w:firstLineChars="200"/>
    </w:pPr>
    <w:rPr>
      <w:sz w:val="28"/>
      <w:szCs w:val="30"/>
    </w:rPr>
  </w:style>
  <w:style w:type="paragraph" w:customStyle="1" w:styleId="117">
    <w:name w:val="table_1stline"/>
    <w:basedOn w:val="1"/>
    <w:autoRedefine/>
    <w:qFormat/>
    <w:uiPriority w:val="0"/>
    <w:pPr>
      <w:widowControl/>
      <w:spacing w:before="120"/>
      <w:jc w:val="left"/>
    </w:pPr>
    <w:rPr>
      <w:bCs/>
      <w:kern w:val="0"/>
      <w:sz w:val="20"/>
      <w:szCs w:val="20"/>
      <w:lang w:val="de-DE" w:eastAsia="de-DE"/>
    </w:rPr>
  </w:style>
  <w:style w:type="paragraph" w:customStyle="1" w:styleId="118">
    <w:name w:val="table_lines"/>
    <w:basedOn w:val="1"/>
    <w:autoRedefine/>
    <w:qFormat/>
    <w:uiPriority w:val="0"/>
    <w:pPr>
      <w:widowControl/>
      <w:jc w:val="left"/>
    </w:pPr>
    <w:rPr>
      <w:kern w:val="0"/>
      <w:sz w:val="20"/>
      <w:szCs w:val="20"/>
      <w:lang w:val="de-DE" w:eastAsia="de-DE"/>
    </w:rPr>
  </w:style>
  <w:style w:type="paragraph" w:customStyle="1" w:styleId="119">
    <w:name w:val="xl30"/>
    <w:basedOn w:val="1"/>
    <w:autoRedefine/>
    <w:qFormat/>
    <w:uiPriority w:val="0"/>
    <w:pPr>
      <w:widowControl/>
      <w:spacing w:before="100" w:beforeAutospacing="1" w:after="100" w:afterAutospacing="1"/>
      <w:jc w:val="center"/>
    </w:pPr>
    <w:rPr>
      <w:rFonts w:ascii="宋体" w:hAnsi="宋体"/>
      <w:b/>
      <w:bCs/>
      <w:kern w:val="0"/>
      <w:sz w:val="36"/>
      <w:szCs w:val="36"/>
    </w:rPr>
  </w:style>
  <w:style w:type="paragraph" w:customStyle="1" w:styleId="120">
    <w:name w:val="Char Char Char Char1"/>
    <w:basedOn w:val="14"/>
    <w:autoRedefine/>
    <w:qFormat/>
    <w:uiPriority w:val="0"/>
    <w:pPr>
      <w:adjustRightInd w:val="0"/>
      <w:snapToGrid w:val="0"/>
      <w:spacing w:line="360" w:lineRule="auto"/>
    </w:pPr>
    <w:rPr>
      <w:rFonts w:ascii="Tahoma" w:hAnsi="Tahoma"/>
      <w:kern w:val="0"/>
      <w:sz w:val="24"/>
      <w:szCs w:val="24"/>
    </w:rPr>
  </w:style>
  <w:style w:type="paragraph" w:customStyle="1" w:styleId="121">
    <w:name w:val="font5"/>
    <w:basedOn w:val="1"/>
    <w:autoRedefine/>
    <w:qFormat/>
    <w:uiPriority w:val="0"/>
    <w:pPr>
      <w:widowControl/>
      <w:numPr>
        <w:ilvl w:val="0"/>
        <w:numId w:val="5"/>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22">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23">
    <w:name w:val="Char Char Char Char"/>
    <w:basedOn w:val="14"/>
    <w:autoRedefine/>
    <w:qFormat/>
    <w:uiPriority w:val="0"/>
    <w:pPr>
      <w:adjustRightInd w:val="0"/>
      <w:snapToGrid w:val="0"/>
      <w:spacing w:line="360" w:lineRule="auto"/>
    </w:pPr>
    <w:rPr>
      <w:rFonts w:ascii="Tahoma" w:hAnsi="Tahoma"/>
      <w:sz w:val="24"/>
      <w:szCs w:val="24"/>
    </w:rPr>
  </w:style>
  <w:style w:type="paragraph" w:customStyle="1" w:styleId="124">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5">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6">
    <w:name w:val="列表内容"/>
    <w:basedOn w:val="1"/>
    <w:next w:val="1"/>
    <w:autoRedefine/>
    <w:qFormat/>
    <w:uiPriority w:val="0"/>
    <w:pPr>
      <w:widowControl/>
      <w:numPr>
        <w:ilvl w:val="0"/>
        <w:numId w:val="6"/>
      </w:numPr>
      <w:tabs>
        <w:tab w:val="left" w:pos="840"/>
      </w:tabs>
      <w:jc w:val="left"/>
    </w:pPr>
    <w:rPr>
      <w:kern w:val="0"/>
      <w:sz w:val="18"/>
      <w:szCs w:val="24"/>
    </w:rPr>
  </w:style>
  <w:style w:type="paragraph" w:customStyle="1" w:styleId="127">
    <w:name w:val="Body Text(ch)"/>
    <w:basedOn w:val="1"/>
    <w:next w:val="18"/>
    <w:autoRedefine/>
    <w:qFormat/>
    <w:uiPriority w:val="0"/>
    <w:pPr>
      <w:spacing w:after="120"/>
    </w:pPr>
    <w:rPr>
      <w:rFonts w:ascii="宋体" w:hAnsi="Arial"/>
      <w:bCs/>
      <w:iCs/>
      <w:szCs w:val="24"/>
    </w:rPr>
  </w:style>
  <w:style w:type="paragraph" w:styleId="128">
    <w:name w:val="List Paragraph"/>
    <w:basedOn w:val="1"/>
    <w:autoRedefine/>
    <w:qFormat/>
    <w:uiPriority w:val="34"/>
    <w:pPr>
      <w:widowControl/>
      <w:ind w:left="720"/>
      <w:contextualSpacing/>
      <w:jc w:val="left"/>
    </w:pPr>
    <w:rPr>
      <w:rFonts w:ascii="Calibri" w:hAnsi="Calibri"/>
      <w:kern w:val="0"/>
      <w:sz w:val="24"/>
      <w:szCs w:val="24"/>
      <w:lang w:eastAsia="en-US" w:bidi="en-US"/>
    </w:rPr>
  </w:style>
  <w:style w:type="paragraph" w:customStyle="1" w:styleId="129">
    <w:name w:val="Char11"/>
    <w:basedOn w:val="14"/>
    <w:autoRedefine/>
    <w:qFormat/>
    <w:uiPriority w:val="0"/>
    <w:rPr>
      <w:rFonts w:ascii="Tahoma" w:hAnsi="Tahoma"/>
      <w:sz w:val="24"/>
      <w:szCs w:val="24"/>
    </w:rPr>
  </w:style>
  <w:style w:type="paragraph" w:customStyle="1" w:styleId="130">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31">
    <w:name w:val="_Style 4"/>
    <w:basedOn w:val="14"/>
    <w:autoRedefine/>
    <w:qFormat/>
    <w:uiPriority w:val="0"/>
    <w:pPr>
      <w:shd w:val="clear" w:color="auto" w:fill="auto"/>
      <w:spacing w:line="360" w:lineRule="auto"/>
      <w:jc w:val="left"/>
    </w:pPr>
    <w:rPr>
      <w:kern w:val="0"/>
      <w:sz w:val="20"/>
      <w:szCs w:val="20"/>
    </w:rPr>
  </w:style>
  <w:style w:type="paragraph" w:customStyle="1" w:styleId="132">
    <w:name w:val="4"/>
    <w:basedOn w:val="1"/>
    <w:next w:val="33"/>
    <w:autoRedefine/>
    <w:qFormat/>
    <w:uiPriority w:val="0"/>
    <w:pPr>
      <w:spacing w:line="360" w:lineRule="auto"/>
      <w:ind w:firstLine="420"/>
    </w:pPr>
    <w:rPr>
      <w:color w:val="FF0000"/>
      <w:sz w:val="24"/>
      <w:szCs w:val="24"/>
    </w:rPr>
  </w:style>
  <w:style w:type="paragraph" w:customStyle="1" w:styleId="133">
    <w:name w:val="Char Char Char Char Char Char 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4">
    <w:name w:val="TOC 标题1"/>
    <w:basedOn w:val="3"/>
    <w:next w:val="1"/>
    <w:autoRedefine/>
    <w:qFormat/>
    <w:uiPriority w:val="39"/>
    <w:pPr>
      <w:keepLines/>
      <w:widowControl/>
      <w:spacing w:before="480" w:line="276" w:lineRule="auto"/>
      <w:jc w:val="left"/>
      <w:outlineLvl w:val="9"/>
    </w:pPr>
    <w:rPr>
      <w:rFonts w:ascii="Cambria" w:hAnsi="Cambria"/>
      <w:bCs/>
      <w:color w:val="365F91"/>
      <w:kern w:val="0"/>
    </w:rPr>
  </w:style>
  <w:style w:type="paragraph" w:customStyle="1" w:styleId="135">
    <w:name w:val="xl29"/>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6">
    <w:name w:val="Char1"/>
    <w:basedOn w:val="1"/>
    <w:autoRedefine/>
    <w:qFormat/>
    <w:uiPriority w:val="0"/>
    <w:pPr>
      <w:tabs>
        <w:tab w:val="left" w:pos="360"/>
      </w:tabs>
      <w:ind w:firstLine="200" w:firstLineChars="200"/>
    </w:pPr>
    <w:rPr>
      <w:sz w:val="28"/>
      <w:szCs w:val="30"/>
    </w:rPr>
  </w:style>
  <w:style w:type="paragraph" w:customStyle="1" w:styleId="137">
    <w:name w:val="Char2 Char1 Char"/>
    <w:basedOn w:val="1"/>
    <w:autoRedefine/>
    <w:qFormat/>
    <w:uiPriority w:val="0"/>
    <w:pPr>
      <w:tabs>
        <w:tab w:val="left" w:pos="360"/>
      </w:tabs>
    </w:pPr>
    <w:rPr>
      <w:rFonts w:eastAsia="方正仿宋简体"/>
      <w:sz w:val="24"/>
      <w:szCs w:val="32"/>
    </w:rPr>
  </w:style>
  <w:style w:type="paragraph" w:customStyle="1" w:styleId="138">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39">
    <w:name w:val="Char Char Char Char2"/>
    <w:basedOn w:val="14"/>
    <w:autoRedefine/>
    <w:qFormat/>
    <w:uiPriority w:val="0"/>
    <w:pPr>
      <w:adjustRightInd w:val="0"/>
      <w:snapToGrid w:val="0"/>
      <w:spacing w:line="360" w:lineRule="auto"/>
    </w:pPr>
    <w:rPr>
      <w:rFonts w:ascii="Tahoma" w:hAnsi="Tahoma"/>
      <w:sz w:val="24"/>
      <w:szCs w:val="24"/>
    </w:rPr>
  </w:style>
  <w:style w:type="paragraph" w:customStyle="1" w:styleId="140">
    <w:name w:val="_Style 119"/>
    <w:basedOn w:val="1"/>
    <w:next w:val="128"/>
    <w:autoRedefine/>
    <w:qFormat/>
    <w:uiPriority w:val="34"/>
    <w:pPr>
      <w:widowControl/>
      <w:ind w:left="720"/>
      <w:contextualSpacing/>
      <w:jc w:val="left"/>
    </w:pPr>
    <w:rPr>
      <w:rFonts w:ascii="Calibri" w:hAnsi="Calibri"/>
      <w:kern w:val="0"/>
      <w:sz w:val="24"/>
      <w:szCs w:val="24"/>
      <w:lang w:eastAsia="en-US" w:bidi="en-US"/>
    </w:rPr>
  </w:style>
  <w:style w:type="paragraph" w:customStyle="1" w:styleId="1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2">
    <w:name w:val="Table Paragraph"/>
    <w:basedOn w:val="1"/>
    <w:autoRedefine/>
    <w:qFormat/>
    <w:uiPriority w:val="1"/>
  </w:style>
  <w:style w:type="character" w:customStyle="1" w:styleId="143">
    <w:name w:val="纯文本 字符"/>
    <w:autoRedefine/>
    <w:qFormat/>
    <w:uiPriority w:val="0"/>
    <w:rPr>
      <w:rFonts w:ascii="宋体" w:hAnsi="Courier New" w:cs="Courier New"/>
      <w:kern w:val="2"/>
      <w:sz w:val="21"/>
      <w:szCs w:val="21"/>
    </w:rPr>
  </w:style>
  <w:style w:type="character" w:customStyle="1" w:styleId="144">
    <w:name w:val="正文缩进 字符"/>
    <w:autoRedefine/>
    <w:qFormat/>
    <w:uiPriority w:val="0"/>
    <w:rPr>
      <w:kern w:val="2"/>
      <w:sz w:val="21"/>
      <w:szCs w:val="21"/>
    </w:rPr>
  </w:style>
  <w:style w:type="paragraph" w:customStyle="1" w:styleId="145">
    <w:name w:val="缺省文本"/>
    <w:autoRedefine/>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46">
    <w:name w:val="xl70"/>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147">
    <w:name w:val="xl71"/>
    <w:basedOn w:val="1"/>
    <w:autoRedefine/>
    <w:qFormat/>
    <w:uiPriority w:val="0"/>
    <w:pPr>
      <w:widowControl/>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8">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9">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1">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2">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3">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4">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5">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6">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D0D0D"/>
      <w:kern w:val="0"/>
      <w:sz w:val="20"/>
      <w:szCs w:val="20"/>
    </w:rPr>
  </w:style>
  <w:style w:type="paragraph" w:customStyle="1" w:styleId="157">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8">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60">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1">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62">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3">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5">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68">
    <w:name w:val="xl9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9">
    <w:name w:val="xl9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0">
    <w:name w:val="xl94"/>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1">
    <w:name w:val="xl95"/>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2">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3">
    <w:name w:val="xl97"/>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4">
    <w:name w:val="xl98"/>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5">
    <w:name w:val="xl99"/>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6">
    <w:name w:val="xl10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7">
    <w:name w:val="xl101"/>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8">
    <w:name w:val="xl102"/>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9">
    <w:name w:val="xl103"/>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80">
    <w:name w:val="xl10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81">
    <w:name w:val="xl68"/>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82">
    <w:name w:val="xl69"/>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customStyle="1" w:styleId="183">
    <w:name w:val="超链接_0"/>
    <w:autoRedefine/>
    <w:qFormat/>
    <w:uiPriority w:val="99"/>
    <w:rPr>
      <w:rFonts w:hint="default" w:ascii="Calibri" w:hAnsi="Calibri" w:cs="Calibri"/>
      <w:color w:val="0000FF"/>
      <w:u w:val="single"/>
    </w:rPr>
  </w:style>
  <w:style w:type="paragraph" w:customStyle="1" w:styleId="184">
    <w:name w:val="正文_0"/>
    <w:basedOn w:val="1"/>
    <w:next w:val="1"/>
    <w:autoRedefine/>
    <w:qFormat/>
    <w:uiPriority w:val="0"/>
    <w:pPr>
      <w:spacing w:after="200" w:line="276" w:lineRule="auto"/>
    </w:pPr>
    <w:rPr>
      <w:rFonts w:ascii="Calibri" w:hAnsi="Calibri"/>
      <w:szCs w:val="24"/>
    </w:rPr>
  </w:style>
  <w:style w:type="paragraph" w:customStyle="1" w:styleId="185">
    <w:name w:val="普通(网站)1"/>
    <w:basedOn w:val="1"/>
    <w:autoRedefine/>
    <w:qFormat/>
    <w:uiPriority w:val="0"/>
    <w:pPr>
      <w:spacing w:beforeAutospacing="1" w:afterAutospacing="1"/>
      <w:jc w:val="left"/>
    </w:pPr>
    <w:rPr>
      <w:rFonts w:ascii="Calibri" w:hAnsi="Calibri"/>
      <w:kern w:val="0"/>
      <w:sz w:val="24"/>
    </w:rPr>
  </w:style>
  <w:style w:type="character" w:customStyle="1" w:styleId="186">
    <w:name w:val="bookmark-item"/>
    <w:basedOn w:val="41"/>
    <w:autoRedefine/>
    <w:qFormat/>
    <w:uiPriority w:val="0"/>
  </w:style>
  <w:style w:type="paragraph" w:customStyle="1" w:styleId="187">
    <w:name w:val="表格"/>
    <w:basedOn w:val="32"/>
    <w:next w:val="1"/>
    <w:autoRedefine/>
    <w:qFormat/>
    <w:uiPriority w:val="0"/>
    <w:pPr>
      <w:adjustRightInd w:val="0"/>
      <w:snapToGrid w:val="0"/>
      <w:spacing w:before="20" w:after="20"/>
      <w:jc w:val="center"/>
      <w:textAlignment w:val="baseline"/>
    </w:pPr>
    <w:rPr>
      <w:rFonts w:ascii="Arial" w:hAnsi="Arial"/>
      <w:snapToGrid w:val="0"/>
    </w:rPr>
  </w:style>
  <w:style w:type="character" w:customStyle="1" w:styleId="188">
    <w:name w:val="btn-auto-1"/>
    <w:basedOn w:val="41"/>
    <w:autoRedefine/>
    <w:qFormat/>
    <w:uiPriority w:val="0"/>
  </w:style>
  <w:style w:type="character" w:customStyle="1" w:styleId="189">
    <w:name w:val="s1"/>
    <w:basedOn w:val="41"/>
    <w:autoRedefine/>
    <w:qFormat/>
    <w:uiPriority w:val="0"/>
    <w:rPr>
      <w:color w:val="DDDDDD"/>
      <w:sz w:val="14"/>
      <w:szCs w:val="14"/>
    </w:rPr>
  </w:style>
  <w:style w:type="character" w:customStyle="1" w:styleId="190">
    <w:name w:val="btn-task-gray2"/>
    <w:basedOn w:val="41"/>
    <w:autoRedefine/>
    <w:qFormat/>
    <w:uiPriority w:val="0"/>
    <w:rPr>
      <w:color w:val="FFFFFF"/>
      <w:u w:val="none"/>
      <w:shd w:val="clear" w:color="auto" w:fill="CCCCCC"/>
    </w:rPr>
  </w:style>
  <w:style w:type="character" w:customStyle="1" w:styleId="191">
    <w:name w:val="btn-task-gray3"/>
    <w:basedOn w:val="41"/>
    <w:autoRedefine/>
    <w:qFormat/>
    <w:uiPriority w:val="0"/>
  </w:style>
  <w:style w:type="character" w:customStyle="1" w:styleId="192">
    <w:name w:val="fontstyle01"/>
    <w:basedOn w:val="41"/>
    <w:autoRedefine/>
    <w:qFormat/>
    <w:uiPriority w:val="0"/>
    <w:rPr>
      <w:rFonts w:ascii="仿宋" w:hAnsi="仿宋" w:eastAsia="仿宋" w:cs="仿宋"/>
      <w:color w:val="000000"/>
      <w:sz w:val="32"/>
      <w:szCs w:val="32"/>
    </w:rPr>
  </w:style>
  <w:style w:type="paragraph" w:customStyle="1" w:styleId="19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19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95">
    <w:name w:val="xl65"/>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19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9">
    <w:name w:val="正文2"/>
    <w:basedOn w:val="1"/>
    <w:autoRedefine/>
    <w:qFormat/>
    <w:uiPriority w:val="0"/>
    <w:pPr>
      <w:spacing w:before="156" w:line="360" w:lineRule="auto"/>
      <w:ind w:firstLine="510" w:firstLineChars="200"/>
    </w:pPr>
    <w:rPr>
      <w:sz w:val="24"/>
    </w:rPr>
  </w:style>
  <w:style w:type="paragraph" w:customStyle="1" w:styleId="200">
    <w:name w:val="正文_0_1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正文文本缩进_2"/>
    <w:basedOn w:val="202"/>
    <w:autoRedefine/>
    <w:qFormat/>
    <w:uiPriority w:val="0"/>
    <w:pPr>
      <w:spacing w:line="500" w:lineRule="exact"/>
      <w:ind w:left="1588" w:leftChars="832" w:firstLine="433" w:firstLineChars="196"/>
    </w:pPr>
    <w:rPr>
      <w:kern w:val="0"/>
      <w:sz w:val="24"/>
    </w:rPr>
  </w:style>
  <w:style w:type="paragraph" w:customStyle="1" w:styleId="202">
    <w:name w:val="正文_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3">
    <w:name w:val="layui-layer-tabnow"/>
    <w:basedOn w:val="41"/>
    <w:autoRedefine/>
    <w:qFormat/>
    <w:uiPriority w:val="0"/>
    <w:rPr>
      <w:bdr w:val="single" w:color="CCCCCC" w:sz="4" w:space="0"/>
      <w:shd w:val="clear" w:color="auto" w:fill="FFFFFF"/>
    </w:rPr>
  </w:style>
  <w:style w:type="character" w:customStyle="1" w:styleId="204">
    <w:name w:val="first-child"/>
    <w:basedOn w:val="41"/>
    <w:autoRedefine/>
    <w:qFormat/>
    <w:uiPriority w:val="0"/>
  </w:style>
  <w:style w:type="paragraph" w:customStyle="1" w:styleId="205">
    <w:name w:val="正文（深信服）"/>
    <w:autoRedefine/>
    <w:qFormat/>
    <w:uiPriority w:val="0"/>
    <w:pPr>
      <w:adjustRightInd w:val="0"/>
      <w:snapToGrid w:val="0"/>
      <w:spacing w:line="360" w:lineRule="auto"/>
      <w:ind w:firstLine="480" w:firstLineChars="200"/>
    </w:pPr>
    <w:rPr>
      <w:rFonts w:ascii="Times New Roman" w:hAnsi="Times New Roman" w:eastAsia="宋体" w:cs="Times New Roman"/>
      <w:sz w:val="24"/>
      <w:szCs w:val="21"/>
      <w:lang w:val="en-US" w:eastAsia="zh-CN" w:bidi="ar-SA"/>
    </w:rPr>
  </w:style>
  <w:style w:type="paragraph" w:customStyle="1" w:styleId="206">
    <w:name w:val="正文2.25"/>
    <w:basedOn w:val="1"/>
    <w:autoRedefine/>
    <w:qFormat/>
    <w:uiPriority w:val="0"/>
    <w:pPr>
      <w:spacing w:line="360" w:lineRule="auto"/>
      <w:ind w:firstLine="540"/>
    </w:pPr>
    <w:rPr>
      <w:sz w:val="24"/>
      <w:szCs w:val="24"/>
    </w:rPr>
  </w:style>
  <w:style w:type="paragraph" w:customStyle="1" w:styleId="207">
    <w:name w:val="文档正文"/>
    <w:basedOn w:val="1"/>
    <w:autoRedefine/>
    <w:qFormat/>
    <w:uiPriority w:val="0"/>
    <w:pPr>
      <w:adjustRightInd w:val="0"/>
      <w:spacing w:before="60" w:after="60" w:line="360" w:lineRule="atLeast"/>
      <w:ind w:firstLine="482"/>
    </w:pPr>
    <w:rPr>
      <w:rFonts w:hAnsi="宋体" w:cs="宋体"/>
      <w:sz w:val="24"/>
    </w:rPr>
  </w:style>
  <w:style w:type="character" w:customStyle="1" w:styleId="208">
    <w:name w:val="批注文字 Char"/>
    <w:basedOn w:val="41"/>
    <w:link w:val="16"/>
    <w:autoRedefine/>
    <w:semiHidden/>
    <w:qFormat/>
    <w:uiPriority w:val="0"/>
    <w:rPr>
      <w:kern w:val="2"/>
      <w:sz w:val="21"/>
      <w:szCs w:val="21"/>
    </w:rPr>
  </w:style>
  <w:style w:type="character" w:customStyle="1" w:styleId="209">
    <w:name w:val="脚注文本 Char"/>
    <w:basedOn w:val="41"/>
    <w:link w:val="2"/>
    <w:autoRedefine/>
    <w:qFormat/>
    <w:uiPriority w:val="0"/>
    <w:rPr>
      <w:kern w:val="2"/>
      <w:sz w:val="18"/>
      <w:szCs w:val="21"/>
    </w:rPr>
  </w:style>
  <w:style w:type="character" w:customStyle="1" w:styleId="210">
    <w:name w:val="font01"/>
    <w:basedOn w:val="41"/>
    <w:autoRedefine/>
    <w:qFormat/>
    <w:uiPriority w:val="0"/>
    <w:rPr>
      <w:rFonts w:hint="default" w:ascii="Times New Roman" w:hAnsi="Times New Roman" w:cs="Times New Roman"/>
      <w:color w:val="000000"/>
      <w:sz w:val="24"/>
      <w:szCs w:val="24"/>
      <w:u w:val="none"/>
    </w:rPr>
  </w:style>
  <w:style w:type="character" w:customStyle="1" w:styleId="211">
    <w:name w:val="font21"/>
    <w:basedOn w:val="41"/>
    <w:autoRedefine/>
    <w:qFormat/>
    <w:uiPriority w:val="0"/>
    <w:rPr>
      <w:rFonts w:hint="eastAsia" w:ascii="宋体" w:hAnsi="宋体" w:eastAsia="宋体" w:cs="宋体"/>
      <w:color w:val="000000"/>
      <w:sz w:val="24"/>
      <w:szCs w:val="24"/>
      <w:u w:val="none"/>
    </w:rPr>
  </w:style>
  <w:style w:type="character" w:customStyle="1" w:styleId="212">
    <w:name w:val="font11"/>
    <w:basedOn w:val="41"/>
    <w:autoRedefine/>
    <w:qFormat/>
    <w:uiPriority w:val="0"/>
    <w:rPr>
      <w:rFonts w:hint="eastAsia" w:ascii="宋体" w:hAnsi="宋体" w:eastAsia="宋体" w:cs="宋体"/>
      <w:color w:val="000000"/>
      <w:sz w:val="24"/>
      <w:szCs w:val="24"/>
      <w:u w:val="none"/>
    </w:rPr>
  </w:style>
  <w:style w:type="table" w:customStyle="1" w:styleId="213">
    <w:name w:val="Table Normal"/>
    <w:autoRedefine/>
    <w:semiHidden/>
    <w:unhideWhenUsed/>
    <w:qFormat/>
    <w:uiPriority w:val="0"/>
    <w:tblPr>
      <w:tblCellMar>
        <w:top w:w="0" w:type="dxa"/>
        <w:left w:w="0" w:type="dxa"/>
        <w:bottom w:w="0" w:type="dxa"/>
        <w:right w:w="0" w:type="dxa"/>
      </w:tblCellMar>
    </w:tblPr>
  </w:style>
  <w:style w:type="character" w:customStyle="1" w:styleId="214">
    <w:name w:val="font31"/>
    <w:basedOn w:val="41"/>
    <w:autoRedefine/>
    <w:qFormat/>
    <w:uiPriority w:val="0"/>
    <w:rPr>
      <w:rFonts w:hint="eastAsia" w:ascii="宋体" w:hAnsi="宋体" w:eastAsia="宋体" w:cs="宋体"/>
      <w:color w:val="000000"/>
      <w:sz w:val="24"/>
      <w:szCs w:val="24"/>
      <w:u w:val="none"/>
    </w:rPr>
  </w:style>
  <w:style w:type="character" w:customStyle="1" w:styleId="215">
    <w:name w:val="font61"/>
    <w:basedOn w:val="41"/>
    <w:autoRedefine/>
    <w:qFormat/>
    <w:uiPriority w:val="0"/>
    <w:rPr>
      <w:rFonts w:hint="eastAsia" w:ascii="宋体" w:hAnsi="宋体" w:eastAsia="宋体" w:cs="宋体"/>
      <w:color w:val="FF0000"/>
      <w:sz w:val="20"/>
      <w:szCs w:val="20"/>
      <w:u w:val="none"/>
    </w:rPr>
  </w:style>
  <w:style w:type="character" w:customStyle="1" w:styleId="216">
    <w:name w:val="font51"/>
    <w:basedOn w:val="41"/>
    <w:autoRedefine/>
    <w:qFormat/>
    <w:uiPriority w:val="0"/>
    <w:rPr>
      <w:rFonts w:hint="default" w:ascii="方正黑体_GBK" w:hAnsi="方正黑体_GBK" w:eastAsia="方正黑体_GBK" w:cs="方正黑体_GBK"/>
      <w:color w:val="FF0000"/>
      <w:sz w:val="20"/>
      <w:szCs w:val="20"/>
      <w:u w:val="none"/>
    </w:rPr>
  </w:style>
  <w:style w:type="character" w:customStyle="1" w:styleId="217">
    <w:name w:val="font41"/>
    <w:basedOn w:val="41"/>
    <w:autoRedefine/>
    <w:qFormat/>
    <w:uiPriority w:val="0"/>
    <w:rPr>
      <w:rFonts w:hint="default" w:ascii="方正黑体_GBK" w:hAnsi="方正黑体_GBK" w:eastAsia="方正黑体_GBK" w:cs="方正黑体_GBK"/>
      <w:color w:val="000000"/>
      <w:sz w:val="20"/>
      <w:szCs w:val="20"/>
      <w:u w:val="none"/>
    </w:rPr>
  </w:style>
  <w:style w:type="character" w:customStyle="1" w:styleId="218">
    <w:name w:val="font81"/>
    <w:basedOn w:val="41"/>
    <w:autoRedefine/>
    <w:qFormat/>
    <w:uiPriority w:val="0"/>
    <w:rPr>
      <w:rFonts w:hint="eastAsia" w:ascii="黑体" w:hAnsi="宋体" w:eastAsia="黑体" w:cs="黑体"/>
      <w:color w:val="FF0000"/>
      <w:sz w:val="20"/>
      <w:szCs w:val="20"/>
      <w:u w:val="none"/>
    </w:rPr>
  </w:style>
  <w:style w:type="character" w:customStyle="1" w:styleId="219">
    <w:name w:val="font71"/>
    <w:basedOn w:val="41"/>
    <w:autoRedefine/>
    <w:qFormat/>
    <w:uiPriority w:val="0"/>
    <w:rPr>
      <w:rFonts w:hint="default" w:ascii="方正黑体_GBK" w:hAnsi="方正黑体_GBK" w:eastAsia="方正黑体_GBK" w:cs="方正黑体_GBK"/>
      <w:color w:val="000000"/>
      <w:sz w:val="20"/>
      <w:szCs w:val="20"/>
      <w:u w:val="none"/>
    </w:rPr>
  </w:style>
  <w:style w:type="character" w:customStyle="1" w:styleId="220">
    <w:name w:val="font91"/>
    <w:basedOn w:val="41"/>
    <w:autoRedefine/>
    <w:qFormat/>
    <w:uiPriority w:val="0"/>
    <w:rPr>
      <w:rFonts w:hint="default" w:ascii="方正黑体_GBK" w:hAnsi="方正黑体_GBK" w:eastAsia="方正黑体_GBK" w:cs="方正黑体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D8702-CD7E-4C19-ACCF-7EE74A4FBC0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140</Pages>
  <Words>82869</Words>
  <Characters>88043</Characters>
  <Lines>616</Lines>
  <Paragraphs>173</Paragraphs>
  <TotalTime>56</TotalTime>
  <ScaleCrop>false</ScaleCrop>
  <LinksUpToDate>false</LinksUpToDate>
  <CharactersWithSpaces>91081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2022-12-30T13:26:00Z</dcterms:created>
  <dc:creator>yinjian</dc:creator>
  <cp:lastModifiedBy>Administrator</cp:lastModifiedBy>
  <cp:lastPrinted>2024-03-29T01:55:00Z</cp:lastPrinted>
  <dcterms:modified xsi:type="dcterms:W3CDTF">2024-04-04T09:53:18Z</dcterms:modified>
  <dc:title>招　标　文　件</dc:title>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A6F32A4D9B1E43459C05E7486A4B3432_13</vt:lpwstr>
  </property>
</Properties>
</file>