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auto"/>
          <w:kern w:val="0"/>
          <w:sz w:val="36"/>
          <w:szCs w:val="36"/>
          <w:highlight w:val="none"/>
        </w:rPr>
      </w:pPr>
    </w:p>
    <w:p>
      <w:pPr>
        <w:pStyle w:val="23"/>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新疆消防救援总队乌鲁木齐支队“自然灾害应急能力提升工程”装备配备项目（</w:t>
      </w:r>
      <w:r>
        <w:rPr>
          <w:rFonts w:hint="eastAsia" w:hAnsi="宋体" w:cs="宋体"/>
          <w:b/>
          <w:bCs/>
          <w:color w:val="auto"/>
          <w:kern w:val="0"/>
          <w:sz w:val="32"/>
          <w:szCs w:val="32"/>
          <w:highlight w:val="none"/>
          <w:lang w:val="en-US" w:eastAsia="zh-CN"/>
        </w:rPr>
        <w:t>二</w:t>
      </w:r>
      <w:r>
        <w:rPr>
          <w:rFonts w:hint="eastAsia" w:hAnsi="宋体" w:cs="宋体"/>
          <w:b/>
          <w:bCs/>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eastAsia" w:hAnsi="宋体" w:cs="宋体"/>
          <w:b/>
          <w:bCs/>
          <w:color w:val="auto"/>
          <w:kern w:val="0"/>
          <w:sz w:val="32"/>
          <w:szCs w:val="32"/>
          <w:highlight w:val="none"/>
          <w:lang w:eastAsia="zh-CN"/>
        </w:rPr>
      </w:pPr>
      <w:r>
        <w:rPr>
          <w:rFonts w:hint="eastAsia" w:hAnsi="宋体" w:cs="宋体"/>
          <w:b/>
          <w:bCs/>
          <w:color w:val="auto"/>
          <w:kern w:val="0"/>
          <w:sz w:val="32"/>
          <w:szCs w:val="32"/>
          <w:highlight w:val="none"/>
        </w:rPr>
        <w:t>项目编号：hcxjczt-2024-604</w:t>
      </w:r>
    </w:p>
    <w:p>
      <w:pPr>
        <w:spacing w:line="360" w:lineRule="atLeast"/>
        <w:ind w:left="1350" w:hanging="1350" w:hangingChars="450"/>
        <w:jc w:val="center"/>
        <w:rPr>
          <w:color w:val="auto"/>
          <w:sz w:val="30"/>
          <w:szCs w:val="30"/>
          <w:highlight w:val="none"/>
        </w:rPr>
      </w:pPr>
    </w:p>
    <w:p>
      <w:pPr>
        <w:pStyle w:val="57"/>
        <w:rPr>
          <w:color w:val="auto"/>
          <w:sz w:val="30"/>
          <w:szCs w:val="30"/>
          <w:highlight w:val="none"/>
        </w:rPr>
      </w:pPr>
    </w:p>
    <w:p>
      <w:pPr>
        <w:pStyle w:val="57"/>
        <w:rPr>
          <w:color w:val="auto"/>
          <w:sz w:val="30"/>
          <w:szCs w:val="30"/>
          <w:highlight w:val="none"/>
        </w:rPr>
      </w:pPr>
    </w:p>
    <w:p>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招  标  文  件</w:t>
      </w: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pStyle w:val="4"/>
        <w:rPr>
          <w:rFonts w:ascii="宋体" w:hAnsi="宋体" w:cs="宋体"/>
          <w:color w:val="auto"/>
          <w:sz w:val="30"/>
          <w:szCs w:val="30"/>
          <w:highlight w:val="none"/>
        </w:rPr>
      </w:pPr>
    </w:p>
    <w:p>
      <w:pPr>
        <w:rPr>
          <w:rFonts w:ascii="宋体" w:hAnsi="宋体" w:cs="宋体"/>
          <w:color w:val="auto"/>
          <w:sz w:val="30"/>
          <w:szCs w:val="30"/>
          <w:highlight w:val="none"/>
        </w:rPr>
      </w:pPr>
    </w:p>
    <w:p>
      <w:pPr>
        <w:pStyle w:val="4"/>
        <w:rPr>
          <w:color w:val="auto"/>
          <w:highlight w:val="none"/>
        </w:rPr>
      </w:pPr>
    </w:p>
    <w:p>
      <w:pPr>
        <w:spacing w:line="360" w:lineRule="auto"/>
        <w:rPr>
          <w:rFonts w:hint="default" w:ascii="宋体" w:hAnsi="宋体" w:eastAsia="宋体" w:cs="宋体"/>
          <w:b/>
          <w:bCs/>
          <w:color w:val="auto"/>
          <w:sz w:val="30"/>
          <w:szCs w:val="30"/>
          <w:highlight w:val="none"/>
          <w:lang w:val="en-US" w:eastAsia="zh-CN"/>
        </w:rPr>
      </w:pPr>
      <w:r>
        <w:rPr>
          <w:rFonts w:hint="eastAsia" w:ascii="宋体" w:hAnsi="宋体" w:cs="宋体"/>
          <w:b/>
          <w:bCs/>
          <w:color w:val="auto"/>
          <w:kern w:val="0"/>
          <w:sz w:val="30"/>
          <w:szCs w:val="30"/>
          <w:highlight w:val="none"/>
          <w:lang w:eastAsia="zh-CN"/>
        </w:rPr>
        <w:t>采购人</w:t>
      </w:r>
      <w:r>
        <w:rPr>
          <w:rFonts w:hint="eastAsia" w:ascii="宋体" w:hAnsi="宋体" w:cs="宋体"/>
          <w:b/>
          <w:bCs/>
          <w:color w:val="auto"/>
          <w:kern w:val="0"/>
          <w:sz w:val="30"/>
          <w:szCs w:val="30"/>
          <w:highlight w:val="none"/>
        </w:rPr>
        <w:t>（盖章）</w:t>
      </w:r>
      <w:r>
        <w:rPr>
          <w:rFonts w:hint="eastAsia" w:ascii="宋体" w:hAnsi="宋体" w:cs="宋体"/>
          <w:b/>
          <w:bCs/>
          <w:color w:val="auto"/>
          <w:sz w:val="30"/>
          <w:szCs w:val="30"/>
          <w:highlight w:val="none"/>
        </w:rPr>
        <w:t>：乌鲁木齐市消防救援支队</w:t>
      </w:r>
    </w:p>
    <w:p>
      <w:pPr>
        <w:spacing w:line="360" w:lineRule="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联 系 人：</w:t>
      </w:r>
      <w:r>
        <w:rPr>
          <w:rFonts w:hint="eastAsia" w:ascii="宋体" w:hAnsi="宋体" w:cs="宋体"/>
          <w:b/>
          <w:bCs/>
          <w:color w:val="auto"/>
          <w:sz w:val="30"/>
          <w:szCs w:val="30"/>
          <w:highlight w:val="none"/>
          <w:lang w:eastAsia="zh-CN"/>
        </w:rPr>
        <w:t>邓先生  阴女士</w:t>
      </w:r>
    </w:p>
    <w:p>
      <w:pPr>
        <w:spacing w:line="360" w:lineRule="auto"/>
        <w:rPr>
          <w:rFonts w:ascii="宋体" w:hAnsi="宋体" w:cs="宋体"/>
          <w:b/>
          <w:bCs/>
          <w:color w:val="auto"/>
          <w:sz w:val="30"/>
          <w:szCs w:val="30"/>
          <w:highlight w:val="none"/>
        </w:rPr>
      </w:pPr>
      <w:r>
        <w:rPr>
          <w:rFonts w:hint="eastAsia" w:ascii="宋体" w:hAnsi="宋体" w:cs="宋体"/>
          <w:b/>
          <w:bCs/>
          <w:color w:val="auto"/>
          <w:sz w:val="30"/>
          <w:szCs w:val="30"/>
          <w:highlight w:val="none"/>
        </w:rPr>
        <w:t>联系方式：</w:t>
      </w:r>
      <w:r>
        <w:rPr>
          <w:rFonts w:hint="eastAsia" w:ascii="宋体" w:hAnsi="宋体" w:cs="宋体"/>
          <w:b/>
          <w:bCs/>
          <w:color w:val="auto"/>
          <w:sz w:val="30"/>
          <w:szCs w:val="30"/>
          <w:highlight w:val="none"/>
          <w:lang w:eastAsia="zh-CN"/>
        </w:rPr>
        <w:t>189999923</w:t>
      </w:r>
      <w:r>
        <w:rPr>
          <w:rFonts w:hint="eastAsia" w:ascii="宋体" w:hAnsi="宋体" w:cs="宋体"/>
          <w:b/>
          <w:bCs/>
          <w:color w:val="auto"/>
          <w:sz w:val="30"/>
          <w:szCs w:val="30"/>
          <w:highlight w:val="none"/>
          <w:lang w:val="en-US" w:eastAsia="zh-CN"/>
        </w:rPr>
        <w:t>60</w:t>
      </w:r>
      <w:r>
        <w:rPr>
          <w:rFonts w:hint="eastAsia" w:ascii="宋体" w:hAnsi="宋体" w:cs="宋体"/>
          <w:b/>
          <w:bCs/>
          <w:color w:val="auto"/>
          <w:sz w:val="30"/>
          <w:szCs w:val="30"/>
          <w:highlight w:val="none"/>
          <w:lang w:eastAsia="zh-CN"/>
        </w:rPr>
        <w:t xml:space="preserve">  13699380864 </w:t>
      </w:r>
    </w:p>
    <w:p>
      <w:pPr>
        <w:spacing w:line="360" w:lineRule="auto"/>
        <w:rPr>
          <w:rFonts w:hint="default" w:ascii="宋体" w:hAnsi="宋体" w:eastAsia="宋体" w:cs="宋体"/>
          <w:b/>
          <w:bCs/>
          <w:color w:val="auto"/>
          <w:kern w:val="0"/>
          <w:sz w:val="30"/>
          <w:szCs w:val="30"/>
          <w:highlight w:val="none"/>
          <w:lang w:val="en-US" w:eastAsia="zh-CN"/>
        </w:rPr>
      </w:pPr>
      <w:r>
        <w:rPr>
          <w:rFonts w:ascii="宋体" w:hAnsi="宋体" w:cs="宋体"/>
          <w:b/>
          <w:bCs/>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CY6lI3xAQAA6AMAAA4AAABkcnMvZTJvRG9jLnhtbK1TvY4TMRDu&#10;kXgHyz3ZTYrjWGVzxYWjQRAJeICJ7c1a8p88vmzyErwAEh1UlPS8DcdjMPbuheNoUrCFd8ae+Wa+&#10;z+Pl1cEatlcRtXctn89qzpQTXmq3a/mH9zfPLjnDBE6C8U61/KiQX62ePlkOoVEL33sjVWQE4rAZ&#10;Qsv7lEJTVSh6ZQFnPihHh52PFhK5cVfJCAOhW1Mt6vqiGnyUIXqhEGl3PR7yCTGeA+i7Tgu19uLW&#10;KpdG1KgMJKKEvQ7IV6XbrlMive06VImZlhPTVFYqQvY2r9VqCc0uQui1mFqAc1p4xMmCdlT0BLWG&#10;BOw26n+grBbRo+/STHhbjUSKIsRiXj/S5l0PQRUuJDWGk+j4/2DFm/0mMi1pEjhzYOnC7z59//nx&#10;y68fn2m9+/aVzbNIQ8CGYq/dJk4ehk3MjA9dtPlPXNihCHs8CasOiQnavKjnLy5r0lzcn1V/EkPE&#10;9Ep5y7LRcqNd5gwN7F9jomIUeh+St41jA3W7eF7wgCawo5snaBuIBbpdSUZvtLzRxuQUjLvttYls&#10;D3kKypc5EfBfYbnKGrAf4/CIa5/GAekVyJdOsnQMJJCjd8FzE1ZJzoyiZ5QtQoQmgTbnRFJt43KC&#10;KkM6Mc0qj7pma+vlschdZY8GoLQ8DWuesIc+2Q8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xY7g9MAAAAFAQAADwAAAAAAAAABACAAAAAiAAAAZHJzL2Rvd25yZXYueG1sUEsBAhQAFAAAAAgA&#10;h07iQCY6lI3xAQAA6AMAAA4AAAAAAAAAAQAgAAAAIgEAAGRycy9lMm9Eb2MueG1sUEsFBgAAAAAG&#10;AAYAWQEAAIUFAAAAAA==&#10;">
                <v:fill on="f" focussize="0,0"/>
                <v:stroke weight="1pt" color="#000000" joinstyle="round" dashstyle="1 1"/>
                <v:imagedata o:title=""/>
                <o:lock v:ext="edit" aspectratio="f"/>
              </v:line>
            </w:pict>
          </mc:Fallback>
        </mc:AlternateContent>
      </w:r>
      <w:bookmarkStart w:id="0" w:name="_Toc494375077"/>
      <w:bookmarkStart w:id="1" w:name="_Toc120614210"/>
      <w:bookmarkStart w:id="2" w:name="_Toc513029200"/>
      <w:bookmarkStart w:id="3" w:name="_Toc479757206"/>
      <w:bookmarkStart w:id="4" w:name="_Toc523127445"/>
      <w:bookmarkStart w:id="5" w:name="_Toc16938516"/>
      <w:bookmarkStart w:id="6" w:name="_Toc20823272"/>
      <w:r>
        <w:rPr>
          <w:rFonts w:hint="eastAsia" w:ascii="宋体" w:hAnsi="宋体" w:cs="宋体"/>
          <w:b/>
          <w:bCs/>
          <w:color w:val="auto"/>
          <w:kern w:val="0"/>
          <w:sz w:val="30"/>
          <w:szCs w:val="30"/>
          <w:highlight w:val="none"/>
          <w:lang w:eastAsia="zh-CN"/>
        </w:rPr>
        <w:t>采购代理机构</w:t>
      </w:r>
      <w:r>
        <w:rPr>
          <w:rFonts w:hint="eastAsia" w:ascii="宋体" w:hAnsi="宋体" w:cs="宋体"/>
          <w:b/>
          <w:bCs/>
          <w:color w:val="auto"/>
          <w:kern w:val="0"/>
          <w:sz w:val="30"/>
          <w:szCs w:val="30"/>
          <w:highlight w:val="none"/>
        </w:rPr>
        <w:t>（盖章）：</w:t>
      </w:r>
      <w:r>
        <w:rPr>
          <w:rFonts w:hint="eastAsia" w:ascii="宋体" w:hAnsi="宋体" w:cs="宋体"/>
          <w:b/>
          <w:bCs/>
          <w:color w:val="auto"/>
          <w:kern w:val="0"/>
          <w:sz w:val="30"/>
          <w:szCs w:val="30"/>
          <w:highlight w:val="none"/>
          <w:lang w:val="en-US" w:eastAsia="zh-CN"/>
        </w:rPr>
        <w:t>华春建设工程项目管理有限责任公司</w:t>
      </w:r>
    </w:p>
    <w:p>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t>法人代表（盖章）：</w:t>
      </w:r>
      <w:r>
        <w:rPr>
          <w:rFonts w:hint="eastAsia" w:ascii="宋体" w:hAnsi="宋体" w:cs="宋体"/>
          <w:b/>
          <w:bCs/>
          <w:color w:val="auto"/>
          <w:kern w:val="0"/>
          <w:sz w:val="30"/>
          <w:szCs w:val="30"/>
          <w:highlight w:val="none"/>
          <w:lang w:val="en-US" w:eastAsia="zh-CN"/>
        </w:rPr>
        <w:t>王莉</w:t>
      </w:r>
    </w:p>
    <w:p>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联系人：</w:t>
      </w:r>
      <w:r>
        <w:rPr>
          <w:rFonts w:hint="eastAsia" w:ascii="宋体" w:hAnsi="宋体" w:eastAsia="宋体" w:cs="宋体"/>
          <w:b/>
          <w:bCs/>
          <w:color w:val="auto"/>
          <w:kern w:val="0"/>
          <w:sz w:val="30"/>
          <w:szCs w:val="30"/>
          <w:highlight w:val="none"/>
          <w:lang w:val="en-US" w:eastAsia="zh-CN"/>
        </w:rPr>
        <w:t>李武涛、王园</w:t>
      </w:r>
    </w:p>
    <w:p>
      <w:pPr>
        <w:spacing w:line="360" w:lineRule="auto"/>
        <w:rPr>
          <w:rFonts w:hint="eastAsia" w:ascii="宋体" w:hAnsi="宋体" w:eastAsia="宋体" w:cs="宋体"/>
          <w:b/>
          <w:bCs/>
          <w:color w:val="auto"/>
          <w:kern w:val="0"/>
          <w:sz w:val="30"/>
          <w:szCs w:val="30"/>
          <w:highlight w:val="none"/>
          <w:lang w:val="en-US" w:eastAsia="zh-CN"/>
        </w:rPr>
        <w:sectPr>
          <w:footerReference r:id="rId4" w:type="default"/>
          <w:headerReference r:id="rId3" w:type="even"/>
          <w:footerReference r:id="rId5" w:type="even"/>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hint="eastAsia" w:ascii="宋体" w:hAnsi="宋体" w:eastAsia="宋体" w:cs="宋体"/>
          <w:b/>
          <w:bCs/>
          <w:color w:val="auto"/>
          <w:kern w:val="0"/>
          <w:sz w:val="30"/>
          <w:szCs w:val="30"/>
          <w:highlight w:val="none"/>
        </w:rPr>
        <w:t>联系电话：</w:t>
      </w:r>
      <w:r>
        <w:rPr>
          <w:rFonts w:hint="eastAsia" w:ascii="宋体" w:hAnsi="宋体" w:eastAsia="宋体" w:cs="宋体"/>
          <w:b/>
          <w:bCs/>
          <w:color w:val="auto"/>
          <w:kern w:val="0"/>
          <w:sz w:val="30"/>
          <w:szCs w:val="30"/>
          <w:highlight w:val="none"/>
          <w:lang w:val="en-US" w:eastAsia="zh-CN"/>
        </w:rPr>
        <w:t>0991-8897121、18199822872</w:t>
      </w:r>
    </w:p>
    <w:p>
      <w:pPr>
        <w:spacing w:line="360" w:lineRule="auto"/>
        <w:rPr>
          <w:rFonts w:ascii="宋体" w:hAnsi="宋体" w:cs="宋体"/>
          <w:b/>
          <w:bCs/>
          <w:color w:val="auto"/>
          <w:kern w:val="0"/>
          <w:sz w:val="30"/>
          <w:szCs w:val="30"/>
          <w:highlight w:val="none"/>
        </w:rPr>
      </w:pPr>
    </w:p>
    <w:p>
      <w:pPr>
        <w:pStyle w:val="133"/>
        <w:jc w:val="center"/>
        <w:rPr>
          <w:color w:val="auto"/>
          <w:sz w:val="44"/>
          <w:szCs w:val="44"/>
          <w:highlight w:val="none"/>
          <w:lang w:val="zh-CN"/>
        </w:rPr>
      </w:pPr>
      <w:r>
        <w:rPr>
          <w:color w:val="auto"/>
          <w:sz w:val="44"/>
          <w:szCs w:val="44"/>
          <w:highlight w:val="none"/>
          <w:lang w:val="zh-CN"/>
        </w:rPr>
        <w:t>目录</w:t>
      </w:r>
    </w:p>
    <w:p>
      <w:pPr>
        <w:rPr>
          <w:color w:val="auto"/>
          <w:sz w:val="44"/>
          <w:szCs w:val="44"/>
          <w:highlight w:val="none"/>
          <w:lang w:val="zh-CN"/>
        </w:rPr>
      </w:pP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_Toc14716 </w:instrText>
      </w:r>
      <w:r>
        <w:rPr>
          <w:color w:val="auto"/>
          <w:sz w:val="28"/>
          <w:szCs w:val="28"/>
          <w:highlight w:val="none"/>
        </w:rPr>
        <w:fldChar w:fldCharType="separate"/>
      </w:r>
      <w:r>
        <w:rPr>
          <w:rFonts w:hint="eastAsia"/>
          <w:color w:val="auto"/>
          <w:sz w:val="28"/>
          <w:szCs w:val="28"/>
          <w:highlight w:val="none"/>
        </w:rPr>
        <w:t>须知前附表</w:t>
      </w:r>
      <w:r>
        <w:rPr>
          <w:color w:val="auto"/>
          <w:sz w:val="28"/>
          <w:szCs w:val="28"/>
        </w:rPr>
        <w:tab/>
      </w:r>
      <w:r>
        <w:rPr>
          <w:color w:val="auto"/>
          <w:sz w:val="28"/>
          <w:szCs w:val="28"/>
        </w:rPr>
        <w:fldChar w:fldCharType="begin"/>
      </w:r>
      <w:r>
        <w:rPr>
          <w:color w:val="auto"/>
          <w:sz w:val="28"/>
          <w:szCs w:val="28"/>
        </w:rPr>
        <w:instrText xml:space="preserve"> PAGEREF _Toc14716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_Toc11791 </w:instrText>
      </w:r>
      <w:r>
        <w:rPr>
          <w:color w:val="auto"/>
          <w:sz w:val="28"/>
          <w:szCs w:val="28"/>
          <w:highlight w:val="none"/>
        </w:rPr>
        <w:fldChar w:fldCharType="separate"/>
      </w:r>
      <w:r>
        <w:rPr>
          <w:rFonts w:hint="eastAsia"/>
          <w:color w:val="auto"/>
          <w:sz w:val="28"/>
          <w:szCs w:val="28"/>
          <w:highlight w:val="none"/>
        </w:rPr>
        <w:t>第一章 招标邀请</w:t>
      </w:r>
      <w:r>
        <w:rPr>
          <w:color w:val="auto"/>
          <w:sz w:val="28"/>
          <w:szCs w:val="28"/>
        </w:rPr>
        <w:tab/>
      </w:r>
      <w:r>
        <w:rPr>
          <w:color w:val="auto"/>
          <w:sz w:val="28"/>
          <w:szCs w:val="28"/>
        </w:rPr>
        <w:fldChar w:fldCharType="begin"/>
      </w:r>
      <w:r>
        <w:rPr>
          <w:color w:val="auto"/>
          <w:sz w:val="28"/>
          <w:szCs w:val="28"/>
        </w:rPr>
        <w:instrText xml:space="preserve"> PAGEREF _Toc11791 \h </w:instrText>
      </w:r>
      <w:r>
        <w:rPr>
          <w:color w:val="auto"/>
          <w:sz w:val="28"/>
          <w:szCs w:val="28"/>
        </w:rPr>
        <w:fldChar w:fldCharType="separate"/>
      </w:r>
      <w:r>
        <w:rPr>
          <w:color w:val="auto"/>
          <w:sz w:val="28"/>
          <w:szCs w:val="28"/>
        </w:rPr>
        <w:t>8</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_Toc6701 </w:instrText>
      </w:r>
      <w:r>
        <w:rPr>
          <w:color w:val="auto"/>
          <w:sz w:val="28"/>
          <w:szCs w:val="28"/>
          <w:highlight w:val="none"/>
        </w:rPr>
        <w:fldChar w:fldCharType="separate"/>
      </w:r>
      <w:r>
        <w:rPr>
          <w:rFonts w:hint="eastAsia"/>
          <w:color w:val="auto"/>
          <w:sz w:val="28"/>
          <w:szCs w:val="28"/>
          <w:highlight w:val="none"/>
        </w:rPr>
        <w:t xml:space="preserve">第二章 </w:t>
      </w:r>
      <w:r>
        <w:rPr>
          <w:rFonts w:hint="eastAsia"/>
          <w:color w:val="auto"/>
          <w:sz w:val="28"/>
          <w:szCs w:val="28"/>
          <w:highlight w:val="none"/>
          <w:lang w:eastAsia="zh-CN"/>
        </w:rPr>
        <w:t>供应商</w:t>
      </w:r>
      <w:r>
        <w:rPr>
          <w:rFonts w:hint="eastAsia"/>
          <w:color w:val="auto"/>
          <w:sz w:val="28"/>
          <w:szCs w:val="28"/>
          <w:highlight w:val="none"/>
        </w:rPr>
        <w:t>须知</w:t>
      </w:r>
      <w:r>
        <w:rPr>
          <w:color w:val="auto"/>
          <w:sz w:val="28"/>
          <w:szCs w:val="28"/>
        </w:rPr>
        <w:tab/>
      </w:r>
      <w:r>
        <w:rPr>
          <w:color w:val="auto"/>
          <w:sz w:val="28"/>
          <w:szCs w:val="28"/>
        </w:rPr>
        <w:fldChar w:fldCharType="begin"/>
      </w:r>
      <w:r>
        <w:rPr>
          <w:color w:val="auto"/>
          <w:sz w:val="28"/>
          <w:szCs w:val="28"/>
        </w:rPr>
        <w:instrText xml:space="preserve"> PAGEREF _Toc6701 \h </w:instrText>
      </w:r>
      <w:r>
        <w:rPr>
          <w:color w:val="auto"/>
          <w:sz w:val="28"/>
          <w:szCs w:val="28"/>
        </w:rPr>
        <w:fldChar w:fldCharType="separate"/>
      </w:r>
      <w:r>
        <w:rPr>
          <w:color w:val="auto"/>
          <w:sz w:val="28"/>
          <w:szCs w:val="28"/>
        </w:rPr>
        <w:t>13</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_Toc3842 </w:instrText>
      </w:r>
      <w:r>
        <w:rPr>
          <w:color w:val="auto"/>
          <w:sz w:val="28"/>
          <w:szCs w:val="28"/>
          <w:highlight w:val="none"/>
        </w:rPr>
        <w:fldChar w:fldCharType="separate"/>
      </w:r>
      <w:r>
        <w:rPr>
          <w:rFonts w:hint="eastAsia"/>
          <w:color w:val="auto"/>
          <w:sz w:val="28"/>
          <w:szCs w:val="28"/>
          <w:highlight w:val="none"/>
        </w:rPr>
        <w:t>第三章 评分办法及评分标准</w:t>
      </w:r>
      <w:r>
        <w:rPr>
          <w:color w:val="auto"/>
          <w:sz w:val="28"/>
          <w:szCs w:val="28"/>
        </w:rPr>
        <w:tab/>
      </w:r>
      <w:r>
        <w:rPr>
          <w:color w:val="auto"/>
          <w:sz w:val="28"/>
          <w:szCs w:val="28"/>
        </w:rPr>
        <w:fldChar w:fldCharType="begin"/>
      </w:r>
      <w:r>
        <w:rPr>
          <w:color w:val="auto"/>
          <w:sz w:val="28"/>
          <w:szCs w:val="28"/>
        </w:rPr>
        <w:instrText xml:space="preserve"> PAGEREF _Toc3842 \h </w:instrText>
      </w:r>
      <w:r>
        <w:rPr>
          <w:color w:val="auto"/>
          <w:sz w:val="28"/>
          <w:szCs w:val="28"/>
        </w:rPr>
        <w:fldChar w:fldCharType="separate"/>
      </w:r>
      <w:r>
        <w:rPr>
          <w:color w:val="auto"/>
          <w:sz w:val="28"/>
          <w:szCs w:val="28"/>
        </w:rPr>
        <w:t>28</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_Toc231 </w:instrText>
      </w:r>
      <w:r>
        <w:rPr>
          <w:color w:val="auto"/>
          <w:sz w:val="28"/>
          <w:szCs w:val="28"/>
          <w:highlight w:val="none"/>
        </w:rPr>
        <w:fldChar w:fldCharType="separate"/>
      </w:r>
      <w:r>
        <w:rPr>
          <w:rFonts w:hint="eastAsia"/>
          <w:color w:val="auto"/>
          <w:sz w:val="28"/>
          <w:szCs w:val="28"/>
          <w:highlight w:val="none"/>
        </w:rPr>
        <w:t>第四章拟订立的合同样本</w:t>
      </w:r>
      <w:r>
        <w:rPr>
          <w:color w:val="auto"/>
          <w:sz w:val="28"/>
          <w:szCs w:val="28"/>
        </w:rPr>
        <w:tab/>
      </w:r>
      <w:r>
        <w:rPr>
          <w:color w:val="auto"/>
          <w:sz w:val="28"/>
          <w:szCs w:val="28"/>
        </w:rPr>
        <w:fldChar w:fldCharType="begin"/>
      </w:r>
      <w:r>
        <w:rPr>
          <w:color w:val="auto"/>
          <w:sz w:val="28"/>
          <w:szCs w:val="28"/>
        </w:rPr>
        <w:instrText xml:space="preserve"> PAGEREF _Toc231 \h </w:instrText>
      </w:r>
      <w:r>
        <w:rPr>
          <w:color w:val="auto"/>
          <w:sz w:val="28"/>
          <w:szCs w:val="28"/>
        </w:rPr>
        <w:fldChar w:fldCharType="separate"/>
      </w:r>
      <w:r>
        <w:rPr>
          <w:color w:val="auto"/>
          <w:sz w:val="28"/>
          <w:szCs w:val="28"/>
        </w:rPr>
        <w:t>38</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_Toc1592 </w:instrText>
      </w:r>
      <w:r>
        <w:rPr>
          <w:color w:val="auto"/>
          <w:sz w:val="28"/>
          <w:szCs w:val="28"/>
          <w:highlight w:val="none"/>
        </w:rPr>
        <w:fldChar w:fldCharType="separate"/>
      </w:r>
      <w:r>
        <w:rPr>
          <w:rFonts w:hint="eastAsia"/>
          <w:color w:val="auto"/>
          <w:sz w:val="28"/>
          <w:szCs w:val="28"/>
          <w:highlight w:val="none"/>
        </w:rPr>
        <w:t>第五章 投标文件格式</w:t>
      </w:r>
      <w:r>
        <w:rPr>
          <w:color w:val="auto"/>
          <w:sz w:val="28"/>
          <w:szCs w:val="28"/>
        </w:rPr>
        <w:tab/>
      </w:r>
      <w:r>
        <w:rPr>
          <w:color w:val="auto"/>
          <w:sz w:val="28"/>
          <w:szCs w:val="28"/>
        </w:rPr>
        <w:fldChar w:fldCharType="begin"/>
      </w:r>
      <w:r>
        <w:rPr>
          <w:color w:val="auto"/>
          <w:sz w:val="28"/>
          <w:szCs w:val="28"/>
        </w:rPr>
        <w:instrText xml:space="preserve"> PAGEREF _Toc1592 \h </w:instrText>
      </w:r>
      <w:r>
        <w:rPr>
          <w:color w:val="auto"/>
          <w:sz w:val="28"/>
          <w:szCs w:val="28"/>
        </w:rPr>
        <w:fldChar w:fldCharType="separate"/>
      </w:r>
      <w:r>
        <w:rPr>
          <w:color w:val="auto"/>
          <w:sz w:val="28"/>
          <w:szCs w:val="28"/>
        </w:rPr>
        <w:t>47</w:t>
      </w:r>
      <w:r>
        <w:rPr>
          <w:color w:val="auto"/>
          <w:sz w:val="28"/>
          <w:szCs w:val="28"/>
        </w:rPr>
        <w:fldChar w:fldCharType="end"/>
      </w:r>
      <w:r>
        <w:rPr>
          <w:color w:val="auto"/>
          <w:sz w:val="28"/>
          <w:szCs w:val="28"/>
          <w:highlight w:val="none"/>
        </w:rPr>
        <w:fldChar w:fldCharType="end"/>
      </w:r>
    </w:p>
    <w:p>
      <w:pPr>
        <w:pStyle w:val="22"/>
        <w:tabs>
          <w:tab w:val="right" w:leader="dot" w:pos="902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_Toc16566 </w:instrText>
      </w:r>
      <w:r>
        <w:rPr>
          <w:color w:val="auto"/>
          <w:sz w:val="28"/>
          <w:szCs w:val="28"/>
          <w:highlight w:val="none"/>
        </w:rPr>
        <w:fldChar w:fldCharType="separate"/>
      </w:r>
      <w:r>
        <w:rPr>
          <w:rFonts w:hint="eastAsia"/>
          <w:color w:val="auto"/>
          <w:sz w:val="28"/>
          <w:szCs w:val="28"/>
        </w:rPr>
        <w:t xml:space="preserve">第六章 </w:t>
      </w:r>
      <w:r>
        <w:rPr>
          <w:rFonts w:hint="eastAsia"/>
          <w:color w:val="auto"/>
          <w:sz w:val="28"/>
          <w:szCs w:val="28"/>
          <w:highlight w:val="none"/>
        </w:rPr>
        <w:t>项目需求</w:t>
      </w:r>
      <w:r>
        <w:rPr>
          <w:color w:val="auto"/>
          <w:sz w:val="28"/>
          <w:szCs w:val="28"/>
        </w:rPr>
        <w:tab/>
      </w:r>
      <w:r>
        <w:rPr>
          <w:color w:val="auto"/>
          <w:sz w:val="28"/>
          <w:szCs w:val="28"/>
        </w:rPr>
        <w:fldChar w:fldCharType="begin"/>
      </w:r>
      <w:r>
        <w:rPr>
          <w:color w:val="auto"/>
          <w:sz w:val="28"/>
          <w:szCs w:val="28"/>
        </w:rPr>
        <w:instrText xml:space="preserve"> PAGEREF _Toc16566 \h </w:instrText>
      </w:r>
      <w:r>
        <w:rPr>
          <w:color w:val="auto"/>
          <w:sz w:val="28"/>
          <w:szCs w:val="28"/>
        </w:rPr>
        <w:fldChar w:fldCharType="separate"/>
      </w:r>
      <w:r>
        <w:rPr>
          <w:color w:val="auto"/>
          <w:sz w:val="28"/>
          <w:szCs w:val="28"/>
        </w:rPr>
        <w:t>71</w:t>
      </w:r>
      <w:r>
        <w:rPr>
          <w:color w:val="auto"/>
          <w:sz w:val="28"/>
          <w:szCs w:val="28"/>
        </w:rPr>
        <w:fldChar w:fldCharType="end"/>
      </w:r>
      <w:r>
        <w:rPr>
          <w:color w:val="auto"/>
          <w:sz w:val="28"/>
          <w:szCs w:val="28"/>
          <w:highlight w:val="none"/>
        </w:rPr>
        <w:fldChar w:fldCharType="end"/>
      </w:r>
    </w:p>
    <w:p>
      <w:pPr>
        <w:rPr>
          <w:color w:val="auto"/>
          <w:sz w:val="28"/>
          <w:szCs w:val="28"/>
          <w:highlight w:val="none"/>
        </w:rPr>
      </w:pPr>
      <w:r>
        <w:rPr>
          <w:color w:val="auto"/>
          <w:sz w:val="28"/>
          <w:szCs w:val="28"/>
          <w:highlight w:val="none"/>
        </w:rPr>
        <w:fldChar w:fldCharType="end"/>
      </w:r>
    </w:p>
    <w:p>
      <w:pPr>
        <w:pStyle w:val="3"/>
        <w:rPr>
          <w:color w:val="auto"/>
          <w:sz w:val="28"/>
          <w:szCs w:val="28"/>
          <w:highlight w:val="none"/>
        </w:rPr>
        <w:sectPr>
          <w:headerReference r:id="rId6" w:type="default"/>
          <w:footerReference r:id="rId7" w:type="default"/>
          <w:pgSz w:w="11906" w:h="16838"/>
          <w:pgMar w:top="1440" w:right="1440" w:bottom="1440" w:left="1440" w:header="851" w:footer="992" w:gutter="0"/>
          <w:cols w:space="0" w:num="1"/>
          <w:rtlGutter w:val="0"/>
          <w:docGrid w:type="lines" w:linePitch="312" w:charSpace="0"/>
        </w:sectPr>
      </w:pPr>
      <w:bookmarkStart w:id="7" w:name="_Toc20753"/>
      <w:bookmarkStart w:id="8" w:name="_Toc21554"/>
      <w:bookmarkStart w:id="9" w:name="_Toc534725596"/>
      <w:bookmarkStart w:id="10" w:name="_Toc13808"/>
      <w:bookmarkStart w:id="11" w:name="_Toc22122"/>
    </w:p>
    <w:p>
      <w:pPr>
        <w:pStyle w:val="3"/>
        <w:rPr>
          <w:color w:val="auto"/>
          <w:highlight w:val="none"/>
          <w:lang w:eastAsia="en-US"/>
        </w:rPr>
      </w:pPr>
      <w:bookmarkStart w:id="12" w:name="_Toc14716"/>
      <w:r>
        <w:rPr>
          <w:rFonts w:hint="eastAsia"/>
          <w:color w:val="auto"/>
          <w:highlight w:val="none"/>
        </w:rPr>
        <w:t>须知前附表</w:t>
      </w:r>
      <w:bookmarkEnd w:id="7"/>
      <w:bookmarkEnd w:id="8"/>
      <w:bookmarkEnd w:id="12"/>
    </w:p>
    <w:tbl>
      <w:tblPr>
        <w:tblStyle w:val="38"/>
        <w:tblW w:w="88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676"/>
        <w:gridCol w:w="6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
                <w:bCs/>
                <w:color w:val="auto"/>
                <w:sz w:val="24"/>
                <w:szCs w:val="24"/>
                <w:highlight w:val="none"/>
              </w:rPr>
            </w:pPr>
            <w:r>
              <w:rPr>
                <w:rFonts w:hint="eastAsia" w:hAnsi="宋体" w:cs="Arial"/>
                <w:b/>
                <w:bCs/>
                <w:color w:val="auto"/>
                <w:sz w:val="24"/>
                <w:szCs w:val="24"/>
                <w:highlight w:val="none"/>
              </w:rPr>
              <w:t>序号</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
                <w:bCs/>
                <w:color w:val="auto"/>
                <w:sz w:val="24"/>
                <w:szCs w:val="24"/>
                <w:highlight w:val="none"/>
              </w:rPr>
            </w:pPr>
            <w:r>
              <w:rPr>
                <w:rFonts w:hint="eastAsia" w:hAnsi="宋体" w:cs="Arial"/>
                <w:b/>
                <w:bCs/>
                <w:color w:val="auto"/>
                <w:sz w:val="24"/>
                <w:szCs w:val="24"/>
                <w:highlight w:val="none"/>
              </w:rPr>
              <w:t>内  容</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
                <w:bCs/>
                <w:color w:val="auto"/>
                <w:sz w:val="24"/>
                <w:szCs w:val="24"/>
                <w:highlight w:val="none"/>
              </w:rPr>
            </w:pPr>
            <w:r>
              <w:rPr>
                <w:rFonts w:hint="eastAsia" w:hAnsi="宋体" w:cs="Arial"/>
                <w:b/>
                <w:bCs/>
                <w:color w:val="auto"/>
                <w:sz w:val="24"/>
                <w:szCs w:val="24"/>
                <w:highlight w:val="none"/>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4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1</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项目名称</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eastAsia="宋体" w:cs="宋体"/>
                <w:b/>
                <w:bCs/>
                <w:color w:val="auto"/>
                <w:kern w:val="0"/>
                <w:sz w:val="24"/>
                <w:szCs w:val="24"/>
                <w:highlight w:val="none"/>
                <w:lang w:eastAsia="zh-CN"/>
              </w:rPr>
            </w:pPr>
            <w:r>
              <w:rPr>
                <w:rFonts w:hint="eastAsia" w:hAnsi="宋体" w:cs="Arial"/>
                <w:bCs/>
                <w:color w:val="auto"/>
                <w:sz w:val="24"/>
                <w:szCs w:val="24"/>
                <w:highlight w:val="none"/>
                <w:lang w:eastAsia="zh-CN"/>
              </w:rPr>
              <w:t>新疆消防救援总队乌鲁木齐支队“自然灾害应急能力提升工程”装备配备项目（</w:t>
            </w:r>
            <w:r>
              <w:rPr>
                <w:rFonts w:hint="eastAsia" w:hAnsi="宋体" w:cs="Arial"/>
                <w:bCs/>
                <w:color w:val="auto"/>
                <w:sz w:val="24"/>
                <w:szCs w:val="24"/>
                <w:highlight w:val="none"/>
                <w:lang w:val="en-US" w:eastAsia="zh-CN"/>
              </w:rPr>
              <w:t>二</w:t>
            </w:r>
            <w:r>
              <w:rPr>
                <w:rFonts w:hint="eastAsia" w:hAnsi="宋体" w:cs="Arial"/>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4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hAnsi="宋体" w:cs="Arial"/>
                <w:bCs/>
                <w:color w:val="auto"/>
                <w:sz w:val="24"/>
                <w:szCs w:val="24"/>
                <w:highlight w:val="none"/>
              </w:rPr>
            </w:pPr>
            <w:r>
              <w:rPr>
                <w:rFonts w:hint="eastAsia" w:hAnsi="宋体" w:cs="Arial"/>
                <w:bCs/>
                <w:color w:val="auto"/>
                <w:sz w:val="24"/>
                <w:szCs w:val="24"/>
                <w:highlight w:val="none"/>
              </w:rPr>
              <w:t>招标编号</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cs="Arial"/>
                <w:bCs/>
                <w:color w:val="auto"/>
                <w:sz w:val="24"/>
                <w:szCs w:val="24"/>
                <w:highlight w:val="none"/>
                <w:lang w:eastAsia="zh-CN"/>
              </w:rPr>
            </w:pPr>
            <w:r>
              <w:rPr>
                <w:rFonts w:hint="eastAsia" w:hAnsi="宋体" w:cs="Arial"/>
                <w:bCs/>
                <w:color w:val="auto"/>
                <w:sz w:val="24"/>
                <w:szCs w:val="24"/>
                <w:highlight w:val="none"/>
                <w:lang w:eastAsia="zh-CN"/>
              </w:rPr>
              <w:t>项目编号：hcxjczt-2024-604</w:t>
            </w:r>
          </w:p>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cs="Arial"/>
                <w:bCs/>
                <w:color w:val="auto"/>
                <w:sz w:val="24"/>
                <w:szCs w:val="24"/>
                <w:highlight w:val="none"/>
                <w:lang w:eastAsia="zh-CN"/>
              </w:rPr>
            </w:pPr>
            <w:r>
              <w:rPr>
                <w:rFonts w:hint="eastAsia" w:hAnsi="宋体" w:cs="Arial"/>
                <w:bCs/>
                <w:color w:val="auto"/>
                <w:sz w:val="24"/>
                <w:szCs w:val="24"/>
                <w:highlight w:val="none"/>
                <w:lang w:eastAsia="zh-CN"/>
              </w:rPr>
              <w:t>标包编号：</w:t>
            </w:r>
          </w:p>
          <w:p>
            <w:pPr>
              <w:keepNext w:val="0"/>
              <w:keepLines w:val="0"/>
              <w:pageBreakBefore w:val="0"/>
              <w:kinsoku/>
              <w:wordWrap/>
              <w:overflowPunct/>
              <w:topLinePunct w:val="0"/>
              <w:autoSpaceDE/>
              <w:autoSpaceDN/>
              <w:bidi w:val="0"/>
              <w:adjustRightInd/>
              <w:snapToGrid/>
              <w:spacing w:line="370" w:lineRule="exact"/>
              <w:jc w:val="left"/>
              <w:textAlignment w:val="auto"/>
              <w:rPr>
                <w:rFonts w:hint="default" w:hAnsi="宋体" w:cs="Arial"/>
                <w:bCs/>
                <w:color w:val="auto"/>
                <w:sz w:val="24"/>
                <w:szCs w:val="24"/>
                <w:highlight w:val="none"/>
                <w:lang w:val="en-US" w:eastAsia="zh-CN"/>
              </w:rPr>
            </w:pPr>
            <w:r>
              <w:rPr>
                <w:rFonts w:hint="eastAsia" w:hAnsi="宋体" w:cs="Arial"/>
                <w:bCs/>
                <w:color w:val="auto"/>
                <w:sz w:val="24"/>
                <w:szCs w:val="24"/>
                <w:highlight w:val="none"/>
                <w:lang w:eastAsia="zh-CN"/>
              </w:rPr>
              <w:t>第一包：hcxjczt-2024-604</w:t>
            </w:r>
            <w:r>
              <w:rPr>
                <w:rFonts w:hint="eastAsia" w:hAnsi="宋体" w:cs="Arial"/>
                <w:bCs/>
                <w:color w:val="auto"/>
                <w:sz w:val="24"/>
                <w:szCs w:val="24"/>
                <w:highlight w:val="none"/>
                <w:lang w:val="en-US" w:eastAsia="zh-CN"/>
              </w:rPr>
              <w:t>-1</w:t>
            </w:r>
          </w:p>
          <w:p>
            <w:pPr>
              <w:keepNext w:val="0"/>
              <w:keepLines w:val="0"/>
              <w:pageBreakBefore w:val="0"/>
              <w:kinsoku/>
              <w:wordWrap/>
              <w:overflowPunct/>
              <w:topLinePunct w:val="0"/>
              <w:autoSpaceDE/>
              <w:autoSpaceDN/>
              <w:bidi w:val="0"/>
              <w:adjustRightInd/>
              <w:snapToGrid/>
              <w:spacing w:line="370" w:lineRule="exact"/>
              <w:jc w:val="left"/>
              <w:textAlignment w:val="auto"/>
              <w:rPr>
                <w:rFonts w:hint="default" w:hAnsi="宋体" w:cs="Arial"/>
                <w:bCs/>
                <w:color w:val="auto"/>
                <w:sz w:val="24"/>
                <w:szCs w:val="24"/>
                <w:highlight w:val="none"/>
                <w:lang w:val="en-US" w:eastAsia="zh-CN"/>
              </w:rPr>
            </w:pPr>
            <w:r>
              <w:rPr>
                <w:rFonts w:hint="eastAsia" w:hAnsi="宋体" w:cs="Arial"/>
                <w:bCs/>
                <w:color w:val="auto"/>
                <w:sz w:val="24"/>
                <w:szCs w:val="24"/>
                <w:highlight w:val="none"/>
                <w:lang w:eastAsia="zh-CN"/>
              </w:rPr>
              <w:t>第二包：hcxjczt-2024-604</w:t>
            </w:r>
            <w:r>
              <w:rPr>
                <w:rFonts w:hint="eastAsia" w:hAnsi="宋体" w:cs="Arial"/>
                <w:bCs/>
                <w:color w:val="auto"/>
                <w:sz w:val="24"/>
                <w:szCs w:val="24"/>
                <w:highlight w:val="none"/>
                <w:lang w:val="en-US" w:eastAsia="zh-CN"/>
              </w:rPr>
              <w:t>-2</w:t>
            </w:r>
          </w:p>
          <w:p>
            <w:pPr>
              <w:keepNext w:val="0"/>
              <w:keepLines w:val="0"/>
              <w:pageBreakBefore w:val="0"/>
              <w:kinsoku/>
              <w:wordWrap/>
              <w:overflowPunct/>
              <w:topLinePunct w:val="0"/>
              <w:autoSpaceDE/>
              <w:autoSpaceDN/>
              <w:bidi w:val="0"/>
              <w:adjustRightInd/>
              <w:snapToGrid/>
              <w:spacing w:line="370" w:lineRule="exact"/>
              <w:jc w:val="left"/>
              <w:textAlignment w:val="auto"/>
              <w:rPr>
                <w:rFonts w:hint="default"/>
                <w:sz w:val="24"/>
                <w:szCs w:val="24"/>
                <w:lang w:val="en-US" w:eastAsia="zh-CN"/>
              </w:rPr>
            </w:pPr>
            <w:r>
              <w:rPr>
                <w:rFonts w:hint="eastAsia" w:hAnsi="宋体" w:cs="Arial"/>
                <w:bCs/>
                <w:color w:val="auto"/>
                <w:sz w:val="24"/>
                <w:szCs w:val="24"/>
                <w:highlight w:val="none"/>
                <w:lang w:eastAsia="zh-CN"/>
              </w:rPr>
              <w:t>第三包：hcxjczt-2024-604</w:t>
            </w:r>
            <w:r>
              <w:rPr>
                <w:rFonts w:hint="eastAsia" w:hAnsi="宋体" w:cs="Arial"/>
                <w:bCs/>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4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2</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资金来源</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eastAsia="宋体" w:cs="Arial"/>
                <w:bCs/>
                <w:color w:val="auto"/>
                <w:sz w:val="24"/>
                <w:szCs w:val="24"/>
                <w:highlight w:val="none"/>
                <w:lang w:eastAsia="zh-CN"/>
              </w:rPr>
            </w:pPr>
            <w:r>
              <w:rPr>
                <w:rFonts w:hint="eastAsia" w:hAnsi="宋体" w:cs="Arial"/>
                <w:bCs/>
                <w:color w:val="auto"/>
                <w:sz w:val="24"/>
                <w:szCs w:val="24"/>
                <w:highlight w:val="none"/>
                <w:lang w:eastAsia="zh-CN"/>
              </w:rPr>
              <w:t>国债资金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p>
        </w:tc>
        <w:tc>
          <w:tcPr>
            <w:tcW w:w="167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预算金额</w:t>
            </w:r>
          </w:p>
          <w:p>
            <w:pPr>
              <w:keepNext w:val="0"/>
              <w:keepLines w:val="0"/>
              <w:pageBreakBefore w:val="0"/>
              <w:kinsoku/>
              <w:wordWrap/>
              <w:overflowPunct/>
              <w:topLinePunct w:val="0"/>
              <w:autoSpaceDE/>
              <w:autoSpaceDN/>
              <w:bidi w:val="0"/>
              <w:adjustRightInd/>
              <w:snapToGrid/>
              <w:spacing w:line="370" w:lineRule="exact"/>
              <w:jc w:val="center"/>
              <w:textAlignment w:val="auto"/>
              <w:rPr>
                <w:color w:val="auto"/>
                <w:sz w:val="24"/>
                <w:szCs w:val="24"/>
                <w:highlight w:val="none"/>
              </w:rPr>
            </w:pPr>
            <w:r>
              <w:rPr>
                <w:rFonts w:hint="eastAsia" w:hAnsi="宋体" w:cs="Arial"/>
                <w:bCs/>
                <w:color w:val="auto"/>
                <w:sz w:val="24"/>
                <w:szCs w:val="24"/>
                <w:highlight w:val="none"/>
              </w:rPr>
              <w:t>最高限价</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cs="Arial"/>
                <w:bCs/>
                <w:color w:val="auto"/>
                <w:sz w:val="24"/>
                <w:szCs w:val="24"/>
                <w:highlight w:val="none"/>
              </w:rPr>
            </w:pPr>
            <w:r>
              <w:rPr>
                <w:rFonts w:hint="eastAsia" w:hAnsi="宋体" w:cs="Arial"/>
                <w:bCs/>
                <w:color w:val="auto"/>
                <w:sz w:val="24"/>
                <w:szCs w:val="24"/>
                <w:highlight w:val="none"/>
              </w:rPr>
              <w:t>预算总金额：</w:t>
            </w:r>
            <w:r>
              <w:rPr>
                <w:rFonts w:hint="eastAsia" w:hAnsi="宋体" w:cs="Arial"/>
                <w:bCs/>
                <w:color w:val="auto"/>
                <w:sz w:val="24"/>
                <w:szCs w:val="24"/>
                <w:highlight w:val="none"/>
                <w:lang w:val="en-US" w:eastAsia="zh-CN"/>
              </w:rPr>
              <w:t>947.5万元</w:t>
            </w:r>
          </w:p>
          <w:p>
            <w:pPr>
              <w:pStyle w:val="23"/>
              <w:keepNext w:val="0"/>
              <w:keepLines w:val="0"/>
              <w:pageBreakBefore w:val="0"/>
              <w:kinsoku/>
              <w:wordWrap/>
              <w:overflowPunct/>
              <w:topLinePunct w:val="0"/>
              <w:autoSpaceDE/>
              <w:autoSpaceDN/>
              <w:bidi w:val="0"/>
              <w:adjustRightInd/>
              <w:snapToGrid/>
              <w:spacing w:line="370" w:lineRule="exact"/>
              <w:jc w:val="left"/>
              <w:textAlignment w:val="auto"/>
              <w:rPr>
                <w:rFonts w:hAnsi="宋体" w:cs="Arial"/>
                <w:bCs/>
                <w:color w:val="auto"/>
                <w:sz w:val="24"/>
                <w:szCs w:val="24"/>
                <w:highlight w:val="none"/>
              </w:rPr>
            </w:pPr>
            <w:r>
              <w:rPr>
                <w:rFonts w:hint="eastAsia" w:ascii="Times New Roman" w:hAnsi="宋体" w:cs="Arial"/>
                <w:bCs/>
                <w:color w:val="auto"/>
                <w:sz w:val="24"/>
                <w:szCs w:val="24"/>
                <w:highlight w:val="none"/>
              </w:rPr>
              <w:t>第一包：</w:t>
            </w:r>
            <w:r>
              <w:rPr>
                <w:rFonts w:hint="eastAsia" w:ascii="Times New Roman" w:hAnsi="宋体" w:cs="Arial"/>
                <w:bCs/>
                <w:color w:val="auto"/>
                <w:sz w:val="24"/>
                <w:szCs w:val="24"/>
                <w:highlight w:val="none"/>
                <w:lang w:val="en-US" w:eastAsia="zh-CN"/>
              </w:rPr>
              <w:t>210</w:t>
            </w:r>
            <w:r>
              <w:rPr>
                <w:rFonts w:hint="eastAsia" w:ascii="Times New Roman" w:hAnsi="宋体" w:cs="Arial"/>
                <w:bCs/>
                <w:color w:val="auto"/>
                <w:sz w:val="24"/>
                <w:szCs w:val="24"/>
                <w:highlight w:val="none"/>
              </w:rPr>
              <w:t>万元；第</w:t>
            </w:r>
            <w:r>
              <w:rPr>
                <w:rFonts w:hint="eastAsia" w:ascii="Times New Roman" w:hAnsi="宋体" w:cs="Arial"/>
                <w:bCs/>
                <w:color w:val="auto"/>
                <w:sz w:val="24"/>
                <w:szCs w:val="24"/>
                <w:highlight w:val="none"/>
                <w:lang w:val="en-US" w:eastAsia="zh-CN"/>
              </w:rPr>
              <w:t>二</w:t>
            </w:r>
            <w:r>
              <w:rPr>
                <w:rFonts w:hint="eastAsia" w:ascii="Times New Roman" w:hAnsi="宋体" w:cs="Arial"/>
                <w:bCs/>
                <w:color w:val="auto"/>
                <w:sz w:val="24"/>
                <w:szCs w:val="24"/>
                <w:highlight w:val="none"/>
              </w:rPr>
              <w:t>包：</w:t>
            </w:r>
            <w:r>
              <w:rPr>
                <w:rFonts w:hint="eastAsia" w:ascii="Times New Roman" w:hAnsi="宋体" w:cs="Arial"/>
                <w:bCs/>
                <w:color w:val="auto"/>
                <w:sz w:val="24"/>
                <w:szCs w:val="24"/>
                <w:highlight w:val="none"/>
                <w:lang w:val="en-US" w:eastAsia="zh-CN"/>
              </w:rPr>
              <w:t>395.5</w:t>
            </w:r>
            <w:r>
              <w:rPr>
                <w:rFonts w:hint="eastAsia" w:ascii="Times New Roman" w:hAnsi="宋体" w:cs="Arial"/>
                <w:bCs/>
                <w:color w:val="auto"/>
                <w:sz w:val="24"/>
                <w:szCs w:val="24"/>
                <w:highlight w:val="none"/>
              </w:rPr>
              <w:t>万元；第</w:t>
            </w:r>
            <w:r>
              <w:rPr>
                <w:rFonts w:hint="eastAsia" w:ascii="Times New Roman" w:hAnsi="宋体" w:cs="Arial"/>
                <w:bCs/>
                <w:color w:val="auto"/>
                <w:sz w:val="24"/>
                <w:szCs w:val="24"/>
                <w:highlight w:val="none"/>
                <w:lang w:val="en-US" w:eastAsia="zh-CN"/>
              </w:rPr>
              <w:t>三</w:t>
            </w:r>
            <w:r>
              <w:rPr>
                <w:rFonts w:hint="eastAsia" w:ascii="Times New Roman" w:hAnsi="宋体" w:cs="Arial"/>
                <w:bCs/>
                <w:color w:val="auto"/>
                <w:sz w:val="24"/>
                <w:szCs w:val="24"/>
                <w:highlight w:val="none"/>
              </w:rPr>
              <w:t>包：</w:t>
            </w:r>
            <w:r>
              <w:rPr>
                <w:rFonts w:hint="eastAsia" w:ascii="Times New Roman" w:hAnsi="宋体" w:cs="Arial"/>
                <w:bCs/>
                <w:color w:val="auto"/>
                <w:sz w:val="24"/>
                <w:szCs w:val="24"/>
                <w:highlight w:val="none"/>
                <w:lang w:val="en-US" w:eastAsia="zh-CN"/>
              </w:rPr>
              <w:t>342</w:t>
            </w:r>
            <w:r>
              <w:rPr>
                <w:rFonts w:hint="eastAsia" w:ascii="Times New Roman" w:hAnsi="宋体" w:cs="Arial"/>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p>
        </w:tc>
        <w:tc>
          <w:tcPr>
            <w:tcW w:w="167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cs="Arial"/>
                <w:bCs/>
                <w:color w:val="auto"/>
                <w:sz w:val="24"/>
                <w:szCs w:val="24"/>
                <w:highlight w:val="none"/>
              </w:rPr>
            </w:pPr>
            <w:r>
              <w:rPr>
                <w:rFonts w:hint="eastAsia" w:hAnsi="宋体" w:cs="Arial"/>
                <w:bCs/>
                <w:color w:val="auto"/>
                <w:sz w:val="24"/>
                <w:szCs w:val="24"/>
                <w:highlight w:val="none"/>
              </w:rPr>
              <w:t>最高限价：</w:t>
            </w:r>
            <w:r>
              <w:rPr>
                <w:rFonts w:hint="eastAsia" w:hAnsi="宋体" w:cs="Arial"/>
                <w:bCs/>
                <w:color w:val="auto"/>
                <w:sz w:val="24"/>
                <w:szCs w:val="24"/>
                <w:highlight w:val="none"/>
                <w:lang w:val="en-US" w:eastAsia="zh-CN"/>
              </w:rPr>
              <w:t>947.5万元</w:t>
            </w:r>
          </w:p>
          <w:p>
            <w:pPr>
              <w:pStyle w:val="23"/>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Times New Roman" w:hAnsi="宋体" w:cs="Arial"/>
                <w:bCs/>
                <w:color w:val="auto"/>
                <w:sz w:val="24"/>
                <w:szCs w:val="24"/>
                <w:highlight w:val="none"/>
              </w:rPr>
            </w:pPr>
            <w:r>
              <w:rPr>
                <w:rFonts w:hint="eastAsia" w:ascii="Times New Roman" w:hAnsi="宋体" w:cs="Arial"/>
                <w:bCs/>
                <w:color w:val="auto"/>
                <w:sz w:val="24"/>
                <w:szCs w:val="24"/>
                <w:highlight w:val="none"/>
              </w:rPr>
              <w:t>第一包：</w:t>
            </w:r>
            <w:r>
              <w:rPr>
                <w:rFonts w:hint="eastAsia" w:ascii="Times New Roman" w:hAnsi="宋体" w:cs="Arial"/>
                <w:bCs/>
                <w:color w:val="auto"/>
                <w:sz w:val="24"/>
                <w:szCs w:val="24"/>
                <w:highlight w:val="none"/>
                <w:lang w:val="en-US" w:eastAsia="zh-CN"/>
              </w:rPr>
              <w:t>210</w:t>
            </w:r>
            <w:r>
              <w:rPr>
                <w:rFonts w:hint="eastAsia" w:ascii="Times New Roman" w:hAnsi="宋体" w:cs="Arial"/>
                <w:bCs/>
                <w:color w:val="auto"/>
                <w:sz w:val="24"/>
                <w:szCs w:val="24"/>
                <w:highlight w:val="none"/>
              </w:rPr>
              <w:t>万元；第</w:t>
            </w:r>
            <w:r>
              <w:rPr>
                <w:rFonts w:hint="eastAsia" w:ascii="Times New Roman" w:hAnsi="宋体" w:cs="Arial"/>
                <w:bCs/>
                <w:color w:val="auto"/>
                <w:sz w:val="24"/>
                <w:szCs w:val="24"/>
                <w:highlight w:val="none"/>
                <w:lang w:val="en-US" w:eastAsia="zh-CN"/>
              </w:rPr>
              <w:t>二</w:t>
            </w:r>
            <w:r>
              <w:rPr>
                <w:rFonts w:hint="eastAsia" w:ascii="Times New Roman" w:hAnsi="宋体" w:cs="Arial"/>
                <w:bCs/>
                <w:color w:val="auto"/>
                <w:sz w:val="24"/>
                <w:szCs w:val="24"/>
                <w:highlight w:val="none"/>
              </w:rPr>
              <w:t>包：</w:t>
            </w:r>
            <w:r>
              <w:rPr>
                <w:rFonts w:hint="eastAsia" w:ascii="Times New Roman" w:hAnsi="宋体" w:cs="Arial"/>
                <w:bCs/>
                <w:color w:val="auto"/>
                <w:sz w:val="24"/>
                <w:szCs w:val="24"/>
                <w:highlight w:val="none"/>
                <w:lang w:val="en-US" w:eastAsia="zh-CN"/>
              </w:rPr>
              <w:t>395.5</w:t>
            </w:r>
            <w:r>
              <w:rPr>
                <w:rFonts w:hint="eastAsia" w:ascii="Times New Roman" w:hAnsi="宋体" w:cs="Arial"/>
                <w:bCs/>
                <w:color w:val="auto"/>
                <w:sz w:val="24"/>
                <w:szCs w:val="24"/>
                <w:highlight w:val="none"/>
              </w:rPr>
              <w:t>万元；第</w:t>
            </w:r>
            <w:r>
              <w:rPr>
                <w:rFonts w:hint="eastAsia" w:ascii="Times New Roman" w:hAnsi="宋体" w:cs="Arial"/>
                <w:bCs/>
                <w:color w:val="auto"/>
                <w:sz w:val="24"/>
                <w:szCs w:val="24"/>
                <w:highlight w:val="none"/>
                <w:lang w:val="en-US" w:eastAsia="zh-CN"/>
              </w:rPr>
              <w:t>三</w:t>
            </w:r>
            <w:r>
              <w:rPr>
                <w:rFonts w:hint="eastAsia" w:ascii="Times New Roman" w:hAnsi="宋体" w:cs="Arial"/>
                <w:bCs/>
                <w:color w:val="auto"/>
                <w:sz w:val="24"/>
                <w:szCs w:val="24"/>
                <w:highlight w:val="none"/>
              </w:rPr>
              <w:t>包：</w:t>
            </w:r>
            <w:r>
              <w:rPr>
                <w:rFonts w:hint="eastAsia" w:ascii="Times New Roman" w:hAnsi="宋体" w:cs="Arial"/>
                <w:bCs/>
                <w:color w:val="auto"/>
                <w:sz w:val="24"/>
                <w:szCs w:val="24"/>
                <w:highlight w:val="none"/>
                <w:lang w:val="en-US" w:eastAsia="zh-CN"/>
              </w:rPr>
              <w:t>342</w:t>
            </w:r>
            <w:r>
              <w:rPr>
                <w:rFonts w:hint="eastAsia" w:ascii="Times New Roman" w:hAnsi="宋体" w:cs="Arial"/>
                <w:bCs/>
                <w:color w:val="auto"/>
                <w:sz w:val="24"/>
                <w:szCs w:val="24"/>
                <w:highlight w:val="none"/>
              </w:rPr>
              <w:t>万元</w:t>
            </w:r>
          </w:p>
          <w:p>
            <w:pPr>
              <w:pStyle w:val="23"/>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（供应商的</w:t>
            </w:r>
            <w:r>
              <w:rPr>
                <w:rFonts w:hint="eastAsia" w:asciiTheme="minorEastAsia" w:hAnsiTheme="minorEastAsia" w:eastAsiaTheme="minorEastAsia" w:cstheme="minorEastAsia"/>
                <w:bCs/>
                <w:color w:val="auto"/>
                <w:sz w:val="24"/>
                <w:szCs w:val="24"/>
                <w:highlight w:val="none"/>
                <w:lang w:val="en-US" w:eastAsia="zh-CN"/>
              </w:rPr>
              <w:t>投标</w:t>
            </w:r>
            <w:r>
              <w:rPr>
                <w:rFonts w:hint="eastAsia" w:asciiTheme="minorEastAsia" w:hAnsiTheme="minorEastAsia" w:eastAsiaTheme="minorEastAsia" w:cstheme="minorEastAsia"/>
                <w:bCs/>
                <w:color w:val="auto"/>
                <w:sz w:val="24"/>
                <w:szCs w:val="24"/>
                <w:highlight w:val="none"/>
                <w:lang w:eastAsia="zh-CN"/>
              </w:rPr>
              <w:t>报价不得超过最高限价</w:t>
            </w:r>
            <w:r>
              <w:rPr>
                <w:rFonts w:hint="eastAsia" w:asciiTheme="minorEastAsia" w:hAnsiTheme="minorEastAsia" w:eastAsiaTheme="minorEastAsia" w:cstheme="minorEastAsia"/>
                <w:bCs/>
                <w:color w:val="auto"/>
                <w:sz w:val="24"/>
                <w:szCs w:val="24"/>
                <w:highlight w:val="none"/>
                <w:lang w:val="en-US" w:eastAsia="zh-CN"/>
              </w:rPr>
              <w:t>且</w:t>
            </w:r>
            <w:r>
              <w:rPr>
                <w:rFonts w:hint="eastAsia" w:asciiTheme="minorEastAsia" w:hAnsiTheme="minorEastAsia" w:eastAsiaTheme="minorEastAsia" w:cstheme="minorEastAsia"/>
                <w:bCs/>
                <w:color w:val="auto"/>
                <w:sz w:val="24"/>
                <w:szCs w:val="24"/>
                <w:highlight w:val="none"/>
                <w:lang w:eastAsia="zh-CN"/>
              </w:rPr>
              <w:t>单价报价不得超过单价最高限价，否则其响应文件将被拒绝）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3</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招标方式</w:t>
            </w:r>
          </w:p>
        </w:tc>
        <w:tc>
          <w:tcPr>
            <w:tcW w:w="6536" w:type="dxa"/>
            <w:tcBorders>
              <w:top w:val="single" w:color="auto" w:sz="4" w:space="0"/>
              <w:left w:val="single" w:color="auto" w:sz="4" w:space="0"/>
              <w:bottom w:val="single" w:color="auto" w:sz="4" w:space="0"/>
              <w:right w:val="single" w:color="auto" w:sz="4" w:space="0"/>
            </w:tcBorders>
            <w:vAlign w:val="center"/>
          </w:tcPr>
          <w:p>
            <w:pPr>
              <w:pStyle w:val="127"/>
              <w:keepNext w:val="0"/>
              <w:keepLines w:val="0"/>
              <w:pageBreakBefore w:val="0"/>
              <w:kinsoku/>
              <w:wordWrap/>
              <w:overflowPunct/>
              <w:topLinePunct w:val="0"/>
              <w:autoSpaceDE/>
              <w:autoSpaceDN/>
              <w:bidi w:val="0"/>
              <w:adjustRightInd/>
              <w:snapToGrid/>
              <w:spacing w:line="370" w:lineRule="exact"/>
              <w:ind w:left="0"/>
              <w:textAlignment w:val="auto"/>
              <w:rPr>
                <w:rFonts w:ascii="宋体" w:hAnsi="宋体" w:cs="Arial"/>
                <w:bCs/>
                <w:color w:val="auto"/>
                <w:sz w:val="24"/>
                <w:szCs w:val="24"/>
                <w:highlight w:val="none"/>
              </w:rPr>
            </w:pPr>
            <w:r>
              <w:rPr>
                <w:rFonts w:hint="eastAsia" w:ascii="宋体" w:hAnsi="宋体" w:cs="Arial"/>
                <w:bCs/>
                <w:color w:val="auto"/>
                <w:sz w:val="24"/>
                <w:szCs w:val="24"/>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4</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招标内容</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olor w:val="auto"/>
                <w:sz w:val="24"/>
                <w:szCs w:val="24"/>
                <w:highlight w:val="none"/>
              </w:rPr>
            </w:pPr>
            <w:r>
              <w:rPr>
                <w:rFonts w:hint="eastAsia" w:hAnsi="宋体"/>
                <w:color w:val="auto"/>
                <w:sz w:val="24"/>
                <w:szCs w:val="24"/>
                <w:highlight w:val="none"/>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5</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服务地点</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olor w:val="auto"/>
                <w:sz w:val="24"/>
                <w:szCs w:val="24"/>
                <w:highlight w:val="none"/>
              </w:rPr>
            </w:pPr>
            <w:r>
              <w:rPr>
                <w:rFonts w:hint="eastAsia" w:hAnsi="宋体"/>
                <w:color w:val="auto"/>
                <w:sz w:val="24"/>
                <w:szCs w:val="24"/>
                <w:highlight w:val="none"/>
                <w:lang w:eastAsia="zh-CN"/>
              </w:rPr>
              <w:t>采购人</w:t>
            </w:r>
            <w:r>
              <w:rPr>
                <w:rFonts w:hint="eastAsia" w:hAnsi="宋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color w:val="auto"/>
                <w:sz w:val="24"/>
                <w:szCs w:val="24"/>
                <w:highlight w:val="none"/>
              </w:rPr>
            </w:pPr>
            <w:r>
              <w:rPr>
                <w:rFonts w:hint="eastAsia" w:hAnsi="宋体" w:cs="Arial"/>
                <w:color w:val="auto"/>
                <w:sz w:val="24"/>
                <w:szCs w:val="24"/>
                <w:highlight w:val="none"/>
              </w:rPr>
              <w:t>6</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rPr>
              <w:t>合同履约</w:t>
            </w:r>
          </w:p>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宋体"/>
                <w:color w:val="auto"/>
                <w:sz w:val="24"/>
                <w:szCs w:val="24"/>
                <w:highlight w:val="none"/>
              </w:rPr>
            </w:pPr>
            <w:r>
              <w:rPr>
                <w:rFonts w:hint="eastAsia" w:hAnsi="宋体" w:cs="宋体"/>
                <w:color w:val="auto"/>
                <w:sz w:val="24"/>
                <w:szCs w:val="24"/>
                <w:highlight w:val="none"/>
              </w:rPr>
              <w:t>期限</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签订合同后90日内交付货物、安装并完成调试，采购人7日内组织初验，通过采购人初验后，试运行1个月，所供货物使用正常，满足采购人需求，采购人7日内出具最终验收意见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7</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宋体"/>
                <w:color w:val="auto"/>
                <w:sz w:val="24"/>
                <w:szCs w:val="24"/>
                <w:highlight w:val="none"/>
              </w:rPr>
            </w:pPr>
            <w:r>
              <w:rPr>
                <w:rFonts w:hint="eastAsia" w:hAnsi="宋体" w:cs="宋体"/>
                <w:color w:val="auto"/>
                <w:sz w:val="24"/>
                <w:szCs w:val="24"/>
                <w:highlight w:val="none"/>
              </w:rPr>
              <w:t>质量标准</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olor w:val="auto"/>
                <w:sz w:val="24"/>
                <w:szCs w:val="24"/>
                <w:highlight w:val="none"/>
              </w:rPr>
            </w:pPr>
            <w:r>
              <w:rPr>
                <w:rFonts w:hint="eastAsia" w:hAnsi="宋体"/>
                <w:color w:val="auto"/>
                <w:sz w:val="24"/>
                <w:szCs w:val="24"/>
                <w:highlight w:val="none"/>
              </w:rPr>
              <w:t>达到</w:t>
            </w:r>
            <w:r>
              <w:rPr>
                <w:rFonts w:hint="eastAsia" w:hAnsi="宋体"/>
                <w:color w:val="auto"/>
                <w:sz w:val="24"/>
                <w:szCs w:val="24"/>
                <w:highlight w:val="none"/>
                <w:lang w:eastAsia="zh-CN"/>
              </w:rPr>
              <w:t>采购人</w:t>
            </w:r>
            <w:r>
              <w:rPr>
                <w:rFonts w:hint="eastAsia" w:hAnsi="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8</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宋体"/>
                <w:color w:val="auto"/>
                <w:sz w:val="24"/>
                <w:szCs w:val="24"/>
                <w:highlight w:val="none"/>
              </w:rPr>
            </w:pPr>
            <w:r>
              <w:rPr>
                <w:rFonts w:hint="eastAsia" w:cs="宋体"/>
                <w:color w:val="auto"/>
                <w:sz w:val="24"/>
                <w:szCs w:val="24"/>
                <w:highlight w:val="none"/>
              </w:rPr>
              <w:t>付款方式</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参照违约责任执行。(如采购人有付款需求，在签订合同后，中标单位向采购人提供同等合同金额的银行保函，收到保函，采购人可支付合同金额的100%，待验收合格、安装调试完毕后，根据结算审计结果解除银行质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9</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cs="宋体"/>
                <w:color w:val="auto"/>
                <w:sz w:val="24"/>
                <w:szCs w:val="24"/>
                <w:highlight w:val="none"/>
              </w:rPr>
            </w:pPr>
            <w:r>
              <w:rPr>
                <w:rFonts w:hint="eastAsia" w:cs="宋体"/>
                <w:color w:val="auto"/>
                <w:sz w:val="24"/>
                <w:szCs w:val="24"/>
                <w:highlight w:val="none"/>
              </w:rPr>
              <w:t>质量保修期</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消防</w:t>
            </w:r>
            <w:r>
              <w:rPr>
                <w:rFonts w:hint="eastAsia"/>
                <w:color w:val="auto"/>
                <w:sz w:val="24"/>
                <w:szCs w:val="24"/>
                <w:highlight w:val="none"/>
                <w:lang w:eastAsia="zh-CN"/>
              </w:rPr>
              <w:t>车辆</w:t>
            </w:r>
            <w:r>
              <w:rPr>
                <w:rFonts w:hint="eastAsia"/>
                <w:color w:val="auto"/>
                <w:sz w:val="24"/>
                <w:szCs w:val="24"/>
                <w:highlight w:val="none"/>
              </w:rPr>
              <w:t>自验收</w:t>
            </w:r>
            <w:r>
              <w:rPr>
                <w:rFonts w:hint="eastAsia"/>
                <w:color w:val="auto"/>
                <w:sz w:val="24"/>
                <w:szCs w:val="24"/>
                <w:highlight w:val="none"/>
                <w:lang w:eastAsia="zh-CN"/>
              </w:rPr>
              <w:t>合格</w:t>
            </w:r>
            <w:r>
              <w:rPr>
                <w:rFonts w:hint="eastAsia"/>
                <w:color w:val="auto"/>
                <w:sz w:val="24"/>
                <w:szCs w:val="24"/>
                <w:highlight w:val="none"/>
              </w:rPr>
              <w:t>之日起</w:t>
            </w:r>
            <w:r>
              <w:rPr>
                <w:rFonts w:hint="eastAsia"/>
                <w:color w:val="auto"/>
                <w:sz w:val="24"/>
                <w:szCs w:val="24"/>
                <w:highlight w:val="none"/>
                <w:lang w:val="en-US" w:eastAsia="zh-CN"/>
              </w:rPr>
              <w:t>五</w:t>
            </w:r>
            <w:r>
              <w:rPr>
                <w:rFonts w:hint="eastAsia"/>
                <w:color w:val="auto"/>
                <w:sz w:val="24"/>
                <w:szCs w:val="24"/>
                <w:highlight w:val="none"/>
              </w:rPr>
              <w:t>年</w:t>
            </w:r>
            <w:r>
              <w:rPr>
                <w:rFonts w:hint="eastAsia"/>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出厂日期不早于2024年</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1月</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1日</w:t>
            </w:r>
            <w:r>
              <w:rPr>
                <w:rFonts w:hint="eastAsia" w:ascii="Times New Roman" w:hAnsi="Times New Roman" w:eastAsia="宋体" w:cs="Times New Roman"/>
                <w:color w:val="auto"/>
                <w:sz w:val="24"/>
                <w:szCs w:val="24"/>
                <w:highlight w:val="none"/>
                <w:lang w:eastAsia="zh-CN"/>
              </w:rPr>
              <w:t>质保期内免费维修更换相关配件。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10</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cs="宋体"/>
                <w:color w:val="auto"/>
                <w:sz w:val="24"/>
                <w:szCs w:val="24"/>
                <w:highlight w:val="none"/>
              </w:rPr>
            </w:pPr>
            <w:r>
              <w:rPr>
                <w:rFonts w:hint="eastAsia" w:cs="宋体"/>
                <w:color w:val="auto"/>
                <w:sz w:val="24"/>
                <w:szCs w:val="24"/>
                <w:highlight w:val="none"/>
              </w:rPr>
              <w:t>进口产品</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olor w:val="auto"/>
                <w:sz w:val="24"/>
                <w:szCs w:val="24"/>
                <w:highlight w:val="none"/>
              </w:rPr>
            </w:pPr>
            <w:r>
              <w:rPr>
                <w:rFonts w:hint="eastAsia" w:hAnsi="宋体"/>
                <w:color w:val="auto"/>
                <w:sz w:val="24"/>
                <w:szCs w:val="24"/>
                <w:highlight w:val="none"/>
              </w:rPr>
              <w:t>本项目不接受进口产品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11</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cs="宋体"/>
                <w:color w:val="auto"/>
                <w:sz w:val="24"/>
                <w:szCs w:val="24"/>
                <w:highlight w:val="none"/>
              </w:rPr>
            </w:pPr>
            <w:r>
              <w:rPr>
                <w:rFonts w:hint="eastAsia" w:cs="宋体"/>
                <w:color w:val="auto"/>
                <w:sz w:val="24"/>
                <w:szCs w:val="24"/>
                <w:highlight w:val="none"/>
              </w:rPr>
              <w:t>核心产品</w:t>
            </w:r>
          </w:p>
        </w:tc>
        <w:tc>
          <w:tcPr>
            <w:tcW w:w="653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autoSpaceDN/>
              <w:bidi w:val="0"/>
              <w:adjustRightInd/>
              <w:snapToGrid/>
              <w:spacing w:line="370" w:lineRule="exact"/>
              <w:textAlignment w:val="auto"/>
              <w:rPr>
                <w:rFonts w:hint="eastAsia"/>
                <w:color w:val="auto"/>
                <w:sz w:val="24"/>
                <w:szCs w:val="24"/>
                <w:highlight w:val="none"/>
                <w:lang w:val="en-US" w:eastAsia="zh-CN"/>
              </w:rPr>
            </w:pPr>
            <w:r>
              <w:rPr>
                <w:rFonts w:hint="eastAsia"/>
                <w:color w:val="auto"/>
                <w:sz w:val="24"/>
                <w:szCs w:val="24"/>
                <w:highlight w:val="none"/>
              </w:rPr>
              <w:t>第一包：</w:t>
            </w:r>
            <w:r>
              <w:rPr>
                <w:rFonts w:hint="eastAsia"/>
                <w:color w:val="auto"/>
                <w:sz w:val="24"/>
                <w:szCs w:val="24"/>
                <w:highlight w:val="none"/>
                <w:lang w:eastAsia="zh-CN"/>
              </w:rPr>
              <w:t>□</w:t>
            </w:r>
            <w:r>
              <w:rPr>
                <w:rFonts w:hint="eastAsia"/>
                <w:color w:val="auto"/>
                <w:sz w:val="24"/>
                <w:szCs w:val="24"/>
                <w:highlight w:val="none"/>
              </w:rPr>
              <w:t xml:space="preserve">有  </w:t>
            </w:r>
            <w:r>
              <w:rPr>
                <w:rFonts w:hint="eastAsia"/>
                <w:color w:val="auto"/>
                <w:sz w:val="24"/>
                <w:szCs w:val="24"/>
                <w:highlight w:val="none"/>
                <w:lang w:eastAsia="zh-CN"/>
              </w:rPr>
              <w:t>☑</w:t>
            </w:r>
            <w:r>
              <w:rPr>
                <w:rFonts w:hint="eastAsia"/>
                <w:color w:val="auto"/>
                <w:sz w:val="24"/>
                <w:szCs w:val="24"/>
                <w:highlight w:val="none"/>
              </w:rPr>
              <w:t>无核心产品为</w:t>
            </w:r>
          </w:p>
          <w:p>
            <w:pPr>
              <w:pStyle w:val="23"/>
              <w:keepNext w:val="0"/>
              <w:keepLines w:val="0"/>
              <w:pageBreakBefore w:val="0"/>
              <w:kinsoku/>
              <w:wordWrap/>
              <w:overflowPunct/>
              <w:topLinePunct w:val="0"/>
              <w:autoSpaceDE/>
              <w:autoSpaceDN/>
              <w:bidi w:val="0"/>
              <w:adjustRightInd/>
              <w:snapToGrid/>
              <w:spacing w:line="370" w:lineRule="exact"/>
              <w:textAlignment w:val="auto"/>
              <w:rPr>
                <w:rFonts w:hint="eastAsia" w:eastAsia="宋体"/>
                <w:color w:val="auto"/>
                <w:sz w:val="24"/>
                <w:szCs w:val="24"/>
                <w:highlight w:val="none"/>
                <w:lang w:eastAsia="zh-CN"/>
              </w:rPr>
            </w:pPr>
            <w:r>
              <w:rPr>
                <w:rFonts w:hint="eastAsia"/>
                <w:color w:val="auto"/>
                <w:sz w:val="24"/>
                <w:szCs w:val="24"/>
                <w:highlight w:val="none"/>
              </w:rPr>
              <w:t>第</w:t>
            </w:r>
            <w:r>
              <w:rPr>
                <w:rFonts w:hint="eastAsia"/>
                <w:color w:val="auto"/>
                <w:sz w:val="24"/>
                <w:szCs w:val="24"/>
                <w:highlight w:val="none"/>
                <w:lang w:val="en-US" w:eastAsia="zh-CN"/>
              </w:rPr>
              <w:t>二</w:t>
            </w:r>
            <w:r>
              <w:rPr>
                <w:rFonts w:hint="eastAsia"/>
                <w:color w:val="auto"/>
                <w:sz w:val="24"/>
                <w:szCs w:val="24"/>
                <w:highlight w:val="none"/>
              </w:rPr>
              <w:t>包：☑有  □无核心产品为</w:t>
            </w:r>
            <w:r>
              <w:rPr>
                <w:rFonts w:hint="eastAsia"/>
                <w:color w:val="auto"/>
                <w:sz w:val="24"/>
                <w:szCs w:val="24"/>
                <w:highlight w:val="none"/>
                <w:lang w:eastAsia="zh-CN"/>
              </w:rPr>
              <w:t>：</w:t>
            </w:r>
            <w:r>
              <w:rPr>
                <w:rFonts w:hint="eastAsia"/>
                <w:color w:val="auto"/>
                <w:sz w:val="24"/>
                <w:szCs w:val="24"/>
                <w:highlight w:val="none"/>
                <w:lang w:val="en-US" w:eastAsia="zh-CN"/>
              </w:rPr>
              <w:t>淋浴车</w:t>
            </w:r>
          </w:p>
          <w:p>
            <w:pPr>
              <w:pStyle w:val="23"/>
              <w:keepNext w:val="0"/>
              <w:keepLines w:val="0"/>
              <w:pageBreakBefore w:val="0"/>
              <w:kinsoku/>
              <w:wordWrap/>
              <w:overflowPunct/>
              <w:topLinePunct w:val="0"/>
              <w:autoSpaceDE/>
              <w:autoSpaceDN/>
              <w:bidi w:val="0"/>
              <w:adjustRightInd/>
              <w:snapToGrid/>
              <w:spacing w:line="370" w:lineRule="exact"/>
              <w:textAlignment w:val="auto"/>
              <w:rPr>
                <w:rFonts w:hint="default"/>
                <w:color w:val="auto"/>
                <w:sz w:val="24"/>
                <w:szCs w:val="24"/>
                <w:highlight w:val="none"/>
                <w:lang w:val="en-US" w:eastAsia="zh-CN"/>
              </w:rPr>
            </w:pPr>
            <w:r>
              <w:rPr>
                <w:rFonts w:hint="eastAsia"/>
                <w:color w:val="auto"/>
                <w:sz w:val="24"/>
                <w:szCs w:val="24"/>
                <w:highlight w:val="none"/>
              </w:rPr>
              <w:t>第</w:t>
            </w:r>
            <w:r>
              <w:rPr>
                <w:rFonts w:hint="eastAsia"/>
                <w:color w:val="auto"/>
                <w:sz w:val="24"/>
                <w:szCs w:val="24"/>
                <w:highlight w:val="none"/>
                <w:lang w:val="en-US" w:eastAsia="zh-CN"/>
              </w:rPr>
              <w:t>三</w:t>
            </w:r>
            <w:r>
              <w:rPr>
                <w:rFonts w:hint="eastAsia"/>
                <w:color w:val="auto"/>
                <w:sz w:val="24"/>
                <w:szCs w:val="24"/>
                <w:highlight w:val="none"/>
              </w:rPr>
              <w:t>包：</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有</w:t>
            </w:r>
            <w:r>
              <w:rPr>
                <w:rFonts w:hint="eastAsia"/>
                <w:color w:val="auto"/>
                <w:sz w:val="24"/>
                <w:szCs w:val="24"/>
                <w:highlight w:val="none"/>
              </w:rPr>
              <w:t xml:space="preserve">  □无核心产品为</w:t>
            </w:r>
            <w:r>
              <w:rPr>
                <w:rFonts w:hint="eastAsia"/>
                <w:color w:val="auto"/>
                <w:sz w:val="24"/>
                <w:szCs w:val="24"/>
                <w:highlight w:val="none"/>
                <w:lang w:eastAsia="zh-CN"/>
              </w:rPr>
              <w:t>：</w:t>
            </w:r>
            <w:r>
              <w:rPr>
                <w:rFonts w:hint="eastAsia"/>
                <w:color w:val="auto"/>
                <w:sz w:val="24"/>
                <w:szCs w:val="24"/>
                <w:highlight w:val="none"/>
                <w:lang w:val="en-US" w:eastAsia="zh-CN"/>
              </w:rPr>
              <w:t>水质净化车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12</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cs="宋体"/>
                <w:color w:val="auto"/>
                <w:sz w:val="24"/>
                <w:szCs w:val="24"/>
                <w:highlight w:val="none"/>
              </w:rPr>
            </w:pPr>
            <w:r>
              <w:rPr>
                <w:rFonts w:hint="eastAsia" w:ascii="宋体" w:hAnsi="宋体" w:cs="宋体"/>
                <w:color w:val="auto"/>
                <w:sz w:val="24"/>
                <w:szCs w:val="24"/>
                <w:highlight w:val="none"/>
                <w:lang w:val="zh-CN"/>
              </w:rPr>
              <w:t>构成招标文件的其他文件</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olor w:val="auto"/>
                <w:sz w:val="24"/>
                <w:szCs w:val="24"/>
                <w:highlight w:val="none"/>
              </w:rPr>
            </w:pPr>
            <w:r>
              <w:rPr>
                <w:rFonts w:hint="eastAsia" w:hAnsi="宋体"/>
                <w:color w:val="auto"/>
                <w:sz w:val="24"/>
                <w:szCs w:val="24"/>
                <w:highlight w:val="none"/>
                <w:lang w:val="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13</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hAnsi="宋体" w:cs="Arial"/>
                <w:color w:val="auto"/>
                <w:sz w:val="24"/>
                <w:szCs w:val="24"/>
                <w:highlight w:val="none"/>
              </w:rPr>
            </w:pPr>
            <w:r>
              <w:rPr>
                <w:rFonts w:hint="eastAsia" w:hAnsi="宋体" w:cs="Arial"/>
                <w:color w:val="auto"/>
                <w:sz w:val="24"/>
                <w:szCs w:val="24"/>
                <w:highlight w:val="none"/>
                <w:lang w:eastAsia="zh-CN"/>
              </w:rPr>
              <w:t>供应商</w:t>
            </w:r>
            <w:r>
              <w:rPr>
                <w:rFonts w:hint="eastAsia" w:hAnsi="宋体" w:cs="Arial"/>
                <w:color w:val="auto"/>
                <w:sz w:val="24"/>
                <w:szCs w:val="24"/>
                <w:highlight w:val="none"/>
              </w:rPr>
              <w:t>资格</w:t>
            </w:r>
          </w:p>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color w:val="auto"/>
                <w:sz w:val="24"/>
                <w:szCs w:val="24"/>
                <w:highlight w:val="none"/>
              </w:rPr>
            </w:pPr>
            <w:r>
              <w:rPr>
                <w:rFonts w:hint="eastAsia" w:hAnsi="宋体" w:cs="Arial"/>
                <w:color w:val="auto"/>
                <w:sz w:val="24"/>
                <w:szCs w:val="24"/>
                <w:highlight w:val="none"/>
              </w:rPr>
              <w:t>要求</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7"/>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1.1 具有独立承担民事责任的能力；</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 xml:space="preserve">1.2 具有良好的商业信誉和健全的财务会计制度：应提供本单位2022年度或2023年度经会计师事务所出具的审计报告复印件（报告中须包括资产负债表、利润表、现金流量表及财务报表附注）。如供应商注册不满1年提供具有良好的商业信誉和健全的财务会计制度承诺函； </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1.3 具有履行合同所必需的设备和专业技术能力：须附相关证明材料或声明 ；</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 xml:space="preserve">1.4 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 6个月内（至少提供1个月）缴纳社会保险的凭据（专用收据或社会保险交纳清单）； 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 </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 xml:space="preserve">1.5 参加政府采购活动前三年内，在经营活动中没有重大违法记录：提供前三年内在经营活动中没有重大违法记录的书面声明； </w:t>
            </w:r>
          </w:p>
          <w:p>
            <w:pPr>
              <w:keepNext w:val="0"/>
              <w:keepLines w:val="0"/>
              <w:pageBreakBefore w:val="0"/>
              <w:numPr>
                <w:ilvl w:val="0"/>
                <w:numId w:val="0"/>
              </w:numPr>
              <w:kinsoku/>
              <w:wordWrap/>
              <w:overflowPunct/>
              <w:topLinePunct w:val="0"/>
              <w:autoSpaceDE/>
              <w:autoSpaceDN/>
              <w:bidi w:val="0"/>
              <w:adjustRightInd/>
              <w:snapToGrid/>
              <w:spacing w:line="370" w:lineRule="exact"/>
              <w:textAlignment w:val="auto"/>
              <w:rPr>
                <w:rFonts w:hint="eastAsia"/>
                <w:color w:val="auto"/>
                <w:sz w:val="24"/>
                <w:szCs w:val="24"/>
                <w:highlight w:val="none"/>
                <w:lang w:val="zh-CN"/>
              </w:rPr>
            </w:pPr>
            <w:r>
              <w:rPr>
                <w:rFonts w:hint="eastAsia"/>
                <w:color w:val="auto"/>
                <w:sz w:val="24"/>
                <w:szCs w:val="24"/>
                <w:highlight w:val="none"/>
                <w:lang w:val="zh-CN"/>
              </w:rPr>
              <w:t>1.6 法律、行政法规规定的其他条件。</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lang w:val="zh-CN"/>
              </w:rPr>
            </w:pPr>
            <w:r>
              <w:rPr>
                <w:rFonts w:hint="eastAsia"/>
                <w:color w:val="auto"/>
                <w:sz w:val="24"/>
                <w:szCs w:val="24"/>
                <w:highlight w:val="none"/>
                <w:lang w:val="zh-CN"/>
              </w:rPr>
              <w:t>2.落实政府采购政策需满足的资格要求：1）本项目</w:t>
            </w:r>
            <w:r>
              <w:rPr>
                <w:rFonts w:hint="eastAsia"/>
                <w:color w:val="auto"/>
                <w:sz w:val="24"/>
                <w:szCs w:val="24"/>
                <w:highlight w:val="none"/>
              </w:rPr>
              <w:t>非专门面向</w:t>
            </w:r>
            <w:r>
              <w:rPr>
                <w:rFonts w:hint="eastAsia"/>
                <w:color w:val="auto"/>
                <w:sz w:val="24"/>
                <w:szCs w:val="24"/>
                <w:highlight w:val="none"/>
                <w:lang w:val="zh-CN"/>
              </w:rPr>
              <w:t>中小企业采购，供应商所提供货物的制造商为小型、微型企业的给予10%的价格扣除； 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lang w:val="zh-CN"/>
              </w:rPr>
            </w:pPr>
            <w:r>
              <w:rPr>
                <w:rFonts w:hint="eastAsia"/>
                <w:color w:val="auto"/>
                <w:sz w:val="24"/>
                <w:szCs w:val="24"/>
                <w:highlight w:val="none"/>
              </w:rPr>
              <w:t>3</w:t>
            </w:r>
            <w:r>
              <w:rPr>
                <w:rFonts w:hint="eastAsia"/>
                <w:color w:val="auto"/>
                <w:sz w:val="24"/>
                <w:szCs w:val="24"/>
                <w:highlight w:val="none"/>
                <w:lang w:val="zh-CN"/>
              </w:rPr>
              <w:t>.本项目的特定资格要求：</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3.1与</w:t>
            </w:r>
            <w:r>
              <w:rPr>
                <w:rFonts w:hint="eastAsia"/>
                <w:color w:val="auto"/>
                <w:sz w:val="24"/>
                <w:szCs w:val="24"/>
                <w:highlight w:val="none"/>
                <w:lang w:eastAsia="zh-CN"/>
              </w:rPr>
              <w:t>采购人</w:t>
            </w:r>
            <w:r>
              <w:rPr>
                <w:rFonts w:hint="eastAsia"/>
                <w:color w:val="auto"/>
                <w:sz w:val="24"/>
                <w:szCs w:val="24"/>
                <w:highlight w:val="none"/>
              </w:rPr>
              <w:t>存在利害关系可能影响招标公正性的法人、其他组织或者个人，不得参加同一标段投标或者未划分标段的同一招标不得参加投标；</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 xml:space="preserve">3.2 </w:t>
            </w:r>
            <w:r>
              <w:rPr>
                <w:rFonts w:hint="eastAsia"/>
                <w:color w:val="auto"/>
                <w:sz w:val="24"/>
                <w:szCs w:val="24"/>
                <w:highlight w:val="none"/>
                <w:lang w:eastAsia="zh-CN"/>
              </w:rPr>
              <w:t>供应商</w:t>
            </w:r>
            <w:r>
              <w:rPr>
                <w:rFonts w:hint="eastAsia"/>
                <w:color w:val="auto"/>
                <w:sz w:val="24"/>
                <w:szCs w:val="24"/>
                <w:highlight w:val="none"/>
              </w:rPr>
              <w:t>负责人为同一人或者存在控股、管理关系的不同单位，不得同时参加本项目的投标。</w:t>
            </w:r>
          </w:p>
          <w:p>
            <w:pPr>
              <w:pStyle w:val="4"/>
              <w:keepNext w:val="0"/>
              <w:keepLines w:val="0"/>
              <w:pageBreakBefore w:val="0"/>
              <w:kinsoku/>
              <w:wordWrap/>
              <w:overflowPunct/>
              <w:topLinePunct w:val="0"/>
              <w:autoSpaceDE/>
              <w:autoSpaceDN/>
              <w:bidi w:val="0"/>
              <w:adjustRightInd/>
              <w:snapToGrid/>
              <w:spacing w:line="370" w:lineRule="exact"/>
              <w:ind w:firstLine="0"/>
              <w:textAlignment w:val="auto"/>
              <w:rPr>
                <w:rFonts w:hint="eastAsia"/>
                <w:color w:val="auto"/>
                <w:sz w:val="24"/>
                <w:szCs w:val="24"/>
                <w:highlight w:val="none"/>
              </w:rPr>
            </w:pPr>
            <w:r>
              <w:rPr>
                <w:rFonts w:hint="eastAsia"/>
                <w:color w:val="auto"/>
                <w:sz w:val="24"/>
                <w:szCs w:val="24"/>
                <w:highlight w:val="none"/>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color w:val="auto"/>
                <w:sz w:val="24"/>
                <w:szCs w:val="24"/>
                <w:highlight w:val="none"/>
                <w:lang w:eastAsia="zh-CN"/>
              </w:rPr>
              <w:t>重大税收违法失信主体</w:t>
            </w:r>
            <w:r>
              <w:rPr>
                <w:rFonts w:hint="eastAsia"/>
                <w:color w:val="auto"/>
                <w:sz w:val="24"/>
                <w:szCs w:val="24"/>
                <w:highlight w:val="none"/>
              </w:rPr>
              <w:t>、政府采购严重违法失信行为记录名单的（尚在处罚期内的），将拒绝其参加本次项目投标。</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4.本项目不接受联合体投标。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14</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投标保证金</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8"/>
              </w:numPr>
              <w:kinsoku/>
              <w:wordWrap/>
              <w:overflowPunct/>
              <w:topLinePunct w:val="0"/>
              <w:autoSpaceDE/>
              <w:autoSpaceDN/>
              <w:bidi w:val="0"/>
              <w:adjustRightInd/>
              <w:snapToGrid/>
              <w:spacing w:line="370" w:lineRule="exact"/>
              <w:jc w:val="left"/>
              <w:textAlignment w:val="auto"/>
              <w:rPr>
                <w:rFonts w:hint="eastAsia"/>
                <w:color w:val="auto"/>
                <w:sz w:val="24"/>
                <w:szCs w:val="24"/>
                <w:highlight w:val="none"/>
              </w:rPr>
            </w:pPr>
            <w:r>
              <w:rPr>
                <w:rFonts w:hint="eastAsia"/>
                <w:color w:val="auto"/>
                <w:sz w:val="24"/>
                <w:szCs w:val="24"/>
                <w:highlight w:val="none"/>
              </w:rPr>
              <w:t>投标保证金金额：</w:t>
            </w:r>
          </w:p>
          <w:p>
            <w:pPr>
              <w:keepNext w:val="0"/>
              <w:keepLines w:val="0"/>
              <w:pageBreakBefore w:val="0"/>
              <w:kinsoku/>
              <w:wordWrap/>
              <w:overflowPunct/>
              <w:topLinePunct w:val="0"/>
              <w:autoSpaceDE/>
              <w:autoSpaceDN/>
              <w:bidi w:val="0"/>
              <w:adjustRightInd/>
              <w:snapToGrid/>
              <w:spacing w:line="370" w:lineRule="exact"/>
              <w:textAlignment w:val="auto"/>
              <w:rPr>
                <w:rFonts w:hint="eastAsia" w:eastAsia="宋体"/>
                <w:color w:val="auto"/>
                <w:sz w:val="24"/>
                <w:szCs w:val="24"/>
                <w:highlight w:val="none"/>
                <w:lang w:eastAsia="zh-CN"/>
              </w:rPr>
            </w:pPr>
            <w:r>
              <w:rPr>
                <w:rFonts w:hint="eastAsia"/>
                <w:color w:val="auto"/>
                <w:sz w:val="24"/>
                <w:szCs w:val="24"/>
                <w:highlight w:val="none"/>
              </w:rPr>
              <w:t>一包：</w:t>
            </w:r>
            <w:r>
              <w:rPr>
                <w:rFonts w:hint="eastAsia"/>
                <w:color w:val="auto"/>
                <w:sz w:val="24"/>
                <w:szCs w:val="24"/>
                <w:highlight w:val="none"/>
                <w:lang w:val="en-US" w:eastAsia="zh-CN"/>
              </w:rPr>
              <w:t>19300</w:t>
            </w:r>
            <w:r>
              <w:rPr>
                <w:rFonts w:hint="eastAsia"/>
                <w:color w:val="auto"/>
                <w:sz w:val="24"/>
                <w:szCs w:val="24"/>
                <w:highlight w:val="none"/>
              </w:rPr>
              <w:t>元，大写：</w:t>
            </w:r>
            <w:r>
              <w:rPr>
                <w:rFonts w:hint="eastAsia"/>
                <w:color w:val="auto"/>
                <w:sz w:val="24"/>
                <w:szCs w:val="24"/>
                <w:highlight w:val="none"/>
                <w:lang w:val="en-US" w:eastAsia="zh-CN"/>
              </w:rPr>
              <w:t>壹万玖仟叁佰</w:t>
            </w:r>
            <w:r>
              <w:rPr>
                <w:rFonts w:hint="eastAsia"/>
                <w:color w:val="auto"/>
                <w:sz w:val="24"/>
                <w:szCs w:val="24"/>
                <w:highlight w:val="none"/>
              </w:rPr>
              <w:t>元整</w:t>
            </w:r>
            <w:r>
              <w:rPr>
                <w:rFonts w:hint="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70" w:lineRule="exact"/>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二</w:t>
            </w:r>
            <w:r>
              <w:rPr>
                <w:rFonts w:hint="eastAsia"/>
                <w:color w:val="auto"/>
                <w:sz w:val="24"/>
                <w:szCs w:val="24"/>
                <w:highlight w:val="none"/>
              </w:rPr>
              <w:t>包：</w:t>
            </w:r>
            <w:r>
              <w:rPr>
                <w:rFonts w:hint="eastAsia"/>
                <w:color w:val="auto"/>
                <w:sz w:val="24"/>
                <w:szCs w:val="24"/>
                <w:highlight w:val="none"/>
                <w:lang w:val="en-US" w:eastAsia="zh-CN"/>
              </w:rPr>
              <w:t>19400</w:t>
            </w:r>
            <w:r>
              <w:rPr>
                <w:rFonts w:hint="eastAsia"/>
                <w:color w:val="auto"/>
                <w:sz w:val="24"/>
                <w:szCs w:val="24"/>
                <w:highlight w:val="none"/>
              </w:rPr>
              <w:t>元，大写：</w:t>
            </w:r>
            <w:r>
              <w:rPr>
                <w:rFonts w:hint="eastAsia"/>
                <w:color w:val="auto"/>
                <w:sz w:val="24"/>
                <w:szCs w:val="24"/>
                <w:highlight w:val="none"/>
                <w:lang w:val="en-US" w:eastAsia="zh-CN"/>
              </w:rPr>
              <w:t>壹万玖仟肆佰</w:t>
            </w:r>
            <w:r>
              <w:rPr>
                <w:rFonts w:hint="eastAsia"/>
                <w:color w:val="auto"/>
                <w:sz w:val="24"/>
                <w:szCs w:val="24"/>
                <w:highlight w:val="none"/>
              </w:rPr>
              <w:t>元整</w:t>
            </w:r>
            <w:r>
              <w:rPr>
                <w:rFonts w:hint="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lang w:val="en-US" w:eastAsia="zh-CN"/>
              </w:rPr>
              <w:t>三</w:t>
            </w:r>
            <w:r>
              <w:rPr>
                <w:rFonts w:hint="eastAsia"/>
                <w:color w:val="auto"/>
                <w:sz w:val="24"/>
                <w:szCs w:val="24"/>
                <w:highlight w:val="none"/>
              </w:rPr>
              <w:t>包：</w:t>
            </w:r>
            <w:r>
              <w:rPr>
                <w:rFonts w:hint="eastAsia"/>
                <w:color w:val="auto"/>
                <w:sz w:val="24"/>
                <w:szCs w:val="24"/>
                <w:highlight w:val="none"/>
                <w:lang w:val="en-US" w:eastAsia="zh-CN"/>
              </w:rPr>
              <w:t>19500</w:t>
            </w:r>
            <w:r>
              <w:rPr>
                <w:rFonts w:hint="eastAsia"/>
                <w:color w:val="auto"/>
                <w:sz w:val="24"/>
                <w:szCs w:val="24"/>
                <w:highlight w:val="none"/>
              </w:rPr>
              <w:t>元，大写：</w:t>
            </w:r>
            <w:r>
              <w:rPr>
                <w:rFonts w:hint="eastAsia"/>
                <w:color w:val="auto"/>
                <w:sz w:val="24"/>
                <w:szCs w:val="24"/>
                <w:highlight w:val="none"/>
                <w:lang w:val="en-US" w:eastAsia="zh-CN"/>
              </w:rPr>
              <w:t>壹万玖仟伍佰</w:t>
            </w:r>
            <w:r>
              <w:rPr>
                <w:rFonts w:hint="eastAsia"/>
                <w:color w:val="auto"/>
                <w:sz w:val="24"/>
                <w:szCs w:val="24"/>
                <w:highlight w:val="none"/>
              </w:rPr>
              <w:t>元整</w:t>
            </w:r>
            <w:r>
              <w:rPr>
                <w:rFonts w:hint="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lang w:val="zh-CN"/>
              </w:rPr>
            </w:pPr>
            <w:r>
              <w:rPr>
                <w:rFonts w:hint="eastAsia"/>
                <w:color w:val="auto"/>
                <w:sz w:val="24"/>
                <w:szCs w:val="24"/>
                <w:highlight w:val="none"/>
              </w:rPr>
              <w:t>2.</w:t>
            </w:r>
            <w:r>
              <w:rPr>
                <w:rFonts w:hint="eastAsia"/>
                <w:color w:val="auto"/>
                <w:sz w:val="24"/>
                <w:szCs w:val="24"/>
                <w:highlight w:val="none"/>
                <w:lang w:val="zh-CN"/>
              </w:rPr>
              <w:t>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3.投标保证金缴纳形式：投标保证金应当以支票、汇票、本票或者金融机构、担保机构出具的保函等非现金形式提交</w:t>
            </w:r>
            <w:r>
              <w:rPr>
                <w:rFonts w:hint="eastAsia"/>
                <w:color w:val="auto"/>
                <w:sz w:val="24"/>
                <w:szCs w:val="24"/>
                <w:highlight w:val="none"/>
                <w:lang w:eastAsia="zh-CN"/>
              </w:rPr>
              <w:t>，供应商</w:t>
            </w:r>
            <w:r>
              <w:rPr>
                <w:rFonts w:hint="eastAsia"/>
                <w:color w:val="auto"/>
                <w:sz w:val="24"/>
                <w:szCs w:val="24"/>
                <w:highlight w:val="none"/>
              </w:rPr>
              <w:t>未按照招标文件要求提交投标保证金的，投标无效。</w:t>
            </w:r>
          </w:p>
          <w:p>
            <w:pPr>
              <w:keepNext w:val="0"/>
              <w:keepLines w:val="0"/>
              <w:pageBreakBefore w:val="0"/>
              <w:widowControl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4.投标保证金由</w:t>
            </w:r>
            <w:r>
              <w:rPr>
                <w:rFonts w:hint="eastAsia"/>
                <w:color w:val="auto"/>
                <w:sz w:val="24"/>
                <w:szCs w:val="24"/>
                <w:highlight w:val="none"/>
                <w:lang w:eastAsia="zh-CN"/>
              </w:rPr>
              <w:t>供应商</w:t>
            </w:r>
            <w:r>
              <w:rPr>
                <w:rFonts w:hint="eastAsia"/>
                <w:color w:val="auto"/>
                <w:sz w:val="24"/>
                <w:szCs w:val="24"/>
                <w:highlight w:val="none"/>
              </w:rPr>
              <w:t>基本账户一次性汇入。投标保证金必须在提交投标文件截止时间前缴纳，</w:t>
            </w:r>
            <w:r>
              <w:rPr>
                <w:rFonts w:hint="eastAsia"/>
                <w:color w:val="auto"/>
                <w:sz w:val="24"/>
                <w:szCs w:val="24"/>
                <w:highlight w:val="none"/>
                <w:lang w:eastAsia="zh-CN"/>
              </w:rPr>
              <w:t>供应商</w:t>
            </w:r>
            <w:r>
              <w:rPr>
                <w:rFonts w:hint="eastAsia"/>
                <w:color w:val="auto"/>
                <w:sz w:val="24"/>
                <w:szCs w:val="24"/>
                <w:highlight w:val="none"/>
              </w:rPr>
              <w:t>应充分考虑资金到账时间，在规定的时限前自行办妥投标保证金交纳手续。投标保证金采取银行转账、电汇方式递交的，以电汇凭证和网银对账单的时间为准，采取支票、银行汇票、保函方式递交的，以实际递交至</w:t>
            </w:r>
            <w:r>
              <w:rPr>
                <w:rFonts w:hint="eastAsia"/>
                <w:color w:val="auto"/>
                <w:sz w:val="24"/>
                <w:szCs w:val="24"/>
                <w:highlight w:val="none"/>
                <w:lang w:eastAsia="zh-CN"/>
              </w:rPr>
              <w:t>采购代理机构</w:t>
            </w:r>
            <w:r>
              <w:rPr>
                <w:rFonts w:hint="eastAsia"/>
                <w:color w:val="auto"/>
                <w:sz w:val="24"/>
                <w:szCs w:val="24"/>
                <w:highlight w:val="none"/>
              </w:rPr>
              <w:t>的时间为准，超过时限交纳投标保证金视为投标无效。</w:t>
            </w:r>
          </w:p>
          <w:p>
            <w:pPr>
              <w:keepNext w:val="0"/>
              <w:keepLines w:val="0"/>
              <w:pageBreakBefore w:val="0"/>
              <w:widowControl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5.投标保证金递交的开户银行及账号如下：</w:t>
            </w:r>
          </w:p>
          <w:p>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账户名称：华春建设工程项目管理有限责任公司乌鲁木齐分公司</w:t>
            </w:r>
          </w:p>
          <w:p>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账    号：30000601040004017</w:t>
            </w:r>
          </w:p>
          <w:p>
            <w:pPr>
              <w:keepNext w:val="0"/>
              <w:keepLines w:val="0"/>
              <w:pageBreakBefore w:val="0"/>
              <w:widowControl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开户行名称：中国农业银行股份有限公司乌鲁木齐北门支行</w:t>
            </w:r>
          </w:p>
          <w:p>
            <w:pPr>
              <w:keepNext w:val="0"/>
              <w:keepLines w:val="0"/>
              <w:pageBreakBefore w:val="0"/>
              <w:widowControl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行    号：103881000068</w:t>
            </w:r>
          </w:p>
          <w:p>
            <w:pPr>
              <w:keepNext w:val="0"/>
              <w:keepLines w:val="0"/>
              <w:pageBreakBefore w:val="0"/>
              <w:widowControl w:val="0"/>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color w:val="auto"/>
                <w:sz w:val="24"/>
                <w:szCs w:val="24"/>
                <w:highlight w:val="none"/>
              </w:rPr>
              <w:t>注意：不得以现金的方式和其他的形式缴纳，不得以办事处或其他机构名义缴纳，</w:t>
            </w:r>
            <w:r>
              <w:rPr>
                <w:rFonts w:hint="eastAsia"/>
                <w:color w:val="auto"/>
                <w:sz w:val="24"/>
                <w:szCs w:val="24"/>
                <w:highlight w:val="none"/>
                <w:lang w:eastAsia="zh-CN"/>
              </w:rPr>
              <w:t>供应商</w:t>
            </w:r>
            <w:r>
              <w:rPr>
                <w:rFonts w:hint="eastAsia"/>
                <w:color w:val="auto"/>
                <w:sz w:val="24"/>
                <w:szCs w:val="24"/>
                <w:highlight w:val="none"/>
              </w:rPr>
              <w:t>在缴纳保证金时，需在进账凭证上明确自己用途和投标项目简称、标段编号，并注明联系人及电话，以便查对核实。请</w:t>
            </w:r>
            <w:r>
              <w:rPr>
                <w:rFonts w:hint="eastAsia"/>
                <w:color w:val="auto"/>
                <w:sz w:val="24"/>
                <w:szCs w:val="24"/>
                <w:highlight w:val="none"/>
                <w:lang w:eastAsia="zh-CN"/>
              </w:rPr>
              <w:t>供应商</w:t>
            </w:r>
            <w:r>
              <w:rPr>
                <w:rFonts w:hint="eastAsia"/>
                <w:color w:val="auto"/>
                <w:sz w:val="24"/>
                <w:szCs w:val="24"/>
                <w:highlight w:val="none"/>
              </w:rPr>
              <w:t>按上述要求将投标保证金汇入指定的开户银行，未按规定提交投标保证金的投标，将被视为投标无效。保证金事宜请联系财务室：肖芳 0991-4181809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15</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投标有效期</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宋体" w:hAnsi="宋体" w:cs="Arial"/>
                <w:bCs/>
                <w:color w:val="auto"/>
                <w:sz w:val="24"/>
                <w:szCs w:val="24"/>
                <w:highlight w:val="none"/>
              </w:rPr>
            </w:pPr>
            <w:r>
              <w:rPr>
                <w:rFonts w:hint="eastAsia" w:ascii="宋体" w:hAnsi="宋体" w:cs="宋体"/>
                <w:color w:val="auto"/>
                <w:kern w:val="0"/>
                <w:sz w:val="24"/>
                <w:szCs w:val="24"/>
                <w:highlight w:val="none"/>
              </w:rPr>
              <w:t>递交</w:t>
            </w:r>
            <w:r>
              <w:rPr>
                <w:rFonts w:ascii="宋体" w:hAnsi="宋体" w:cs="宋体"/>
                <w:color w:val="auto"/>
                <w:kern w:val="0"/>
                <w:sz w:val="24"/>
                <w:szCs w:val="24"/>
                <w:highlight w:val="none"/>
              </w:rPr>
              <w:t>投标文件的截止之日</w:t>
            </w:r>
            <w:r>
              <w:rPr>
                <w:rFonts w:hint="eastAsia" w:cs="宋体"/>
                <w:color w:val="auto"/>
                <w:kern w:val="0"/>
                <w:sz w:val="24"/>
                <w:szCs w:val="24"/>
                <w:highlight w:val="none"/>
              </w:rPr>
              <w:t>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16</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现场踏勘</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ascii="宋体" w:hAnsi="宋体" w:cs="Arial"/>
                <w:bCs/>
                <w:color w:val="auto"/>
                <w:sz w:val="24"/>
                <w:szCs w:val="24"/>
                <w:highlight w:val="none"/>
              </w:rPr>
            </w:pPr>
            <w:r>
              <w:rPr>
                <w:rFonts w:hint="eastAsia" w:hAnsi="宋体" w:cs="Arial"/>
                <w:bCs/>
                <w:color w:val="auto"/>
                <w:sz w:val="24"/>
                <w:szCs w:val="24"/>
                <w:highlight w:val="none"/>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17</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default" w:ascii="宋体" w:hAnsi="宋体" w:eastAsia="宋体" w:cs="Arial"/>
                <w:bCs/>
                <w:color w:val="auto"/>
                <w:sz w:val="24"/>
                <w:szCs w:val="24"/>
                <w:highlight w:val="none"/>
                <w:lang w:val="en-US" w:eastAsia="zh-CN"/>
              </w:rPr>
            </w:pPr>
            <w:r>
              <w:rPr>
                <w:rFonts w:hint="eastAsia" w:hAnsi="宋体" w:cs="Arial"/>
                <w:bCs/>
                <w:color w:val="auto"/>
                <w:sz w:val="24"/>
                <w:szCs w:val="24"/>
                <w:highlight w:val="none"/>
              </w:rPr>
              <w:t>投标</w:t>
            </w:r>
            <w:r>
              <w:rPr>
                <w:rFonts w:hint="eastAsia" w:hAnsi="宋体" w:cs="Arial"/>
                <w:bCs/>
                <w:color w:val="auto"/>
                <w:sz w:val="24"/>
                <w:szCs w:val="24"/>
                <w:highlight w:val="none"/>
                <w:lang w:val="en-US" w:eastAsia="zh-CN"/>
              </w:rPr>
              <w:t>文件要求</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cs="Arial"/>
                <w:bCs/>
                <w:color w:val="auto"/>
                <w:sz w:val="24"/>
                <w:szCs w:val="24"/>
                <w:highlight w:val="none"/>
              </w:rPr>
            </w:pPr>
            <w:r>
              <w:rPr>
                <w:rFonts w:hint="eastAsia"/>
                <w:color w:val="auto"/>
                <w:sz w:val="24"/>
                <w:szCs w:val="24"/>
                <w:highlight w:val="none"/>
              </w:rPr>
              <w:t>1.本项目采用不见面开标，</w:t>
            </w:r>
            <w:r>
              <w:rPr>
                <w:rFonts w:hint="eastAsia"/>
                <w:color w:val="auto"/>
                <w:sz w:val="24"/>
                <w:szCs w:val="24"/>
                <w:highlight w:val="none"/>
                <w:lang w:eastAsia="zh-CN"/>
              </w:rPr>
              <w:t>供应商</w:t>
            </w:r>
            <w:r>
              <w:rPr>
                <w:rFonts w:hint="eastAsia"/>
                <w:color w:val="auto"/>
                <w:sz w:val="24"/>
                <w:szCs w:val="24"/>
                <w:highlight w:val="none"/>
              </w:rPr>
              <w:t>需要递交加密的电子投标文件，在投标截止时间前通过新疆政采云平台上传到指定位置。                                       2.本项目采用远程不见面交易的模式。开标当日，</w:t>
            </w:r>
            <w:r>
              <w:rPr>
                <w:rFonts w:hint="eastAsia"/>
                <w:color w:val="auto"/>
                <w:sz w:val="24"/>
                <w:szCs w:val="24"/>
                <w:highlight w:val="none"/>
                <w:lang w:eastAsia="zh-CN"/>
              </w:rPr>
              <w:t>供应商</w:t>
            </w:r>
            <w:r>
              <w:rPr>
                <w:rFonts w:hint="eastAsia"/>
                <w:color w:val="auto"/>
                <w:sz w:val="24"/>
                <w:szCs w:val="24"/>
                <w:highlight w:val="none"/>
              </w:rPr>
              <w:t>无需到达开标现场，仅需在任意地点登录“政采云”平台 (https://www.zcygov.cn/)开标大厅完成远程解密、提疑澄清、开标唱标、结果公布等交互环节。</w:t>
            </w:r>
            <w:r>
              <w:rPr>
                <w:rFonts w:hint="eastAsia"/>
                <w:color w:val="auto"/>
                <w:sz w:val="24"/>
                <w:szCs w:val="24"/>
                <w:highlight w:val="none"/>
                <w:lang w:eastAsia="zh-CN"/>
              </w:rPr>
              <w:t>供应商</w:t>
            </w:r>
            <w:r>
              <w:rPr>
                <w:rFonts w:hint="eastAsia"/>
                <w:color w:val="auto"/>
                <w:sz w:val="24"/>
                <w:szCs w:val="24"/>
                <w:highlight w:val="none"/>
              </w:rPr>
              <w:t>必须使用能正确解密投标文件的“新疆政采云数字证书”在规定的时间内完成远程解密，因</w:t>
            </w:r>
            <w:r>
              <w:rPr>
                <w:rFonts w:hint="eastAsia"/>
                <w:color w:val="auto"/>
                <w:sz w:val="24"/>
                <w:szCs w:val="24"/>
                <w:highlight w:val="none"/>
                <w:lang w:eastAsia="zh-CN"/>
              </w:rPr>
              <w:t>供应商</w:t>
            </w:r>
            <w:r>
              <w:rPr>
                <w:rFonts w:hint="eastAsia"/>
                <w:color w:val="auto"/>
                <w:sz w:val="24"/>
                <w:szCs w:val="24"/>
                <w:highlight w:val="none"/>
              </w:rPr>
              <w:t>原因未能 解密、解密失败或解密超时，视为</w:t>
            </w:r>
            <w:r>
              <w:rPr>
                <w:rFonts w:hint="eastAsia"/>
                <w:color w:val="auto"/>
                <w:sz w:val="24"/>
                <w:szCs w:val="24"/>
                <w:highlight w:val="none"/>
                <w:lang w:eastAsia="zh-CN"/>
              </w:rPr>
              <w:t>供应商</w:t>
            </w:r>
            <w:r>
              <w:rPr>
                <w:rFonts w:hint="eastAsia"/>
                <w:color w:val="auto"/>
                <w:sz w:val="24"/>
                <w:szCs w:val="24"/>
                <w:highlight w:val="none"/>
              </w:rPr>
              <w:t>撤销其投标文件，系统内投标文件将被退回；因采购人原因或网上招 投标平台发生故障，导致无法按时完成投标文件解密或开、评标工作无法进行的，可根据实际情况相应延迟解密时间或调整开、评标时间。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color w:val="auto"/>
                <w:sz w:val="24"/>
                <w:szCs w:val="24"/>
                <w:highlight w:val="none"/>
              </w:rPr>
            </w:pPr>
            <w:r>
              <w:rPr>
                <w:rFonts w:hint="eastAsia" w:hAnsi="宋体" w:cs="Arial"/>
                <w:color w:val="auto"/>
                <w:sz w:val="24"/>
                <w:szCs w:val="24"/>
                <w:highlight w:val="none"/>
              </w:rPr>
              <w:t>18</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投标截止时间及投标文件递交地点</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hAnsi="宋体" w:cs="Arial"/>
                <w:bCs/>
                <w:color w:val="auto"/>
                <w:sz w:val="24"/>
                <w:szCs w:val="24"/>
                <w:highlight w:val="none"/>
              </w:rPr>
            </w:pPr>
            <w:r>
              <w:rPr>
                <w:rFonts w:hint="eastAsia" w:hAnsi="宋体" w:cs="Arial"/>
                <w:bCs/>
                <w:color w:val="auto"/>
                <w:sz w:val="24"/>
                <w:szCs w:val="24"/>
                <w:highlight w:val="none"/>
              </w:rPr>
              <w:t>投标截止时间：</w:t>
            </w:r>
            <w:r>
              <w:rPr>
                <w:rFonts w:hint="eastAsia" w:hAnsi="宋体" w:cs="Arial"/>
                <w:bCs/>
                <w:color w:val="auto"/>
                <w:sz w:val="24"/>
                <w:szCs w:val="24"/>
                <w:highlight w:val="none"/>
                <w:lang w:val="en-US" w:eastAsia="zh-CN"/>
              </w:rPr>
              <w:t>2024</w:t>
            </w:r>
            <w:r>
              <w:rPr>
                <w:rFonts w:hint="eastAsia" w:hAnsi="宋体" w:cs="Arial"/>
                <w:bCs/>
                <w:color w:val="auto"/>
                <w:sz w:val="24"/>
                <w:szCs w:val="24"/>
                <w:highlight w:val="none"/>
              </w:rPr>
              <w:t>年</w:t>
            </w:r>
            <w:r>
              <w:rPr>
                <w:rFonts w:hint="eastAsia" w:hAnsi="宋体" w:cs="Arial"/>
                <w:bCs/>
                <w:color w:val="auto"/>
                <w:sz w:val="24"/>
                <w:szCs w:val="24"/>
                <w:highlight w:val="none"/>
                <w:lang w:val="en-US" w:eastAsia="zh-CN"/>
              </w:rPr>
              <w:t>4</w:t>
            </w:r>
            <w:r>
              <w:rPr>
                <w:rFonts w:hint="eastAsia" w:hAnsi="宋体" w:cs="Arial"/>
                <w:bCs/>
                <w:color w:val="auto"/>
                <w:sz w:val="24"/>
                <w:szCs w:val="24"/>
                <w:highlight w:val="none"/>
              </w:rPr>
              <w:t>月</w:t>
            </w:r>
            <w:r>
              <w:rPr>
                <w:rFonts w:hint="eastAsia" w:hAnsi="宋体" w:cs="Arial"/>
                <w:bCs/>
                <w:color w:val="auto"/>
                <w:sz w:val="24"/>
                <w:szCs w:val="24"/>
                <w:highlight w:val="none"/>
                <w:lang w:val="en-US" w:eastAsia="zh-CN"/>
              </w:rPr>
              <w:t>23</w:t>
            </w:r>
            <w:r>
              <w:rPr>
                <w:rFonts w:hint="eastAsia" w:hAnsi="宋体" w:cs="Arial"/>
                <w:bCs/>
                <w:color w:val="auto"/>
                <w:sz w:val="24"/>
                <w:szCs w:val="24"/>
                <w:highlight w:val="none"/>
              </w:rPr>
              <w:t>日</w:t>
            </w:r>
            <w:r>
              <w:rPr>
                <w:rFonts w:hint="eastAsia" w:hAnsi="宋体" w:cs="Arial"/>
                <w:bCs/>
                <w:color w:val="auto"/>
                <w:sz w:val="24"/>
                <w:szCs w:val="24"/>
                <w:highlight w:val="none"/>
                <w:lang w:val="en-US" w:eastAsia="zh-CN"/>
              </w:rPr>
              <w:t xml:space="preserve">11 </w:t>
            </w:r>
            <w:r>
              <w:rPr>
                <w:rFonts w:hint="eastAsia" w:hAnsi="宋体" w:cs="Arial"/>
                <w:bCs/>
                <w:color w:val="auto"/>
                <w:sz w:val="24"/>
                <w:szCs w:val="24"/>
                <w:highlight w:val="none"/>
              </w:rPr>
              <w:t>点</w:t>
            </w:r>
            <w:r>
              <w:rPr>
                <w:rFonts w:hint="eastAsia" w:hAnsi="宋体" w:cs="Arial"/>
                <w:bCs/>
                <w:color w:val="auto"/>
                <w:sz w:val="24"/>
                <w:szCs w:val="24"/>
                <w:highlight w:val="none"/>
                <w:lang w:val="en-US" w:eastAsia="zh-CN"/>
              </w:rPr>
              <w:t xml:space="preserve">00 </w:t>
            </w:r>
            <w:r>
              <w:rPr>
                <w:rFonts w:hint="eastAsia" w:hAnsi="宋体" w:cs="Arial"/>
                <w:bCs/>
                <w:color w:val="auto"/>
                <w:sz w:val="24"/>
                <w:szCs w:val="24"/>
                <w:highlight w:val="none"/>
              </w:rPr>
              <w:t>分(北京时间)</w:t>
            </w:r>
          </w:p>
          <w:p>
            <w:pPr>
              <w:keepNext w:val="0"/>
              <w:keepLines w:val="0"/>
              <w:pageBreakBefore w:val="0"/>
              <w:kinsoku/>
              <w:wordWrap/>
              <w:overflowPunct/>
              <w:topLinePunct w:val="0"/>
              <w:autoSpaceDE/>
              <w:autoSpaceDN/>
              <w:bidi w:val="0"/>
              <w:adjustRightInd/>
              <w:snapToGrid/>
              <w:spacing w:line="370" w:lineRule="exact"/>
              <w:jc w:val="left"/>
              <w:textAlignment w:val="auto"/>
              <w:rPr>
                <w:rFonts w:ascii="宋体" w:hAnsi="宋体" w:cs="Arial"/>
                <w:bCs/>
                <w:color w:val="auto"/>
                <w:sz w:val="24"/>
                <w:szCs w:val="24"/>
                <w:highlight w:val="none"/>
              </w:rPr>
            </w:pPr>
            <w:r>
              <w:rPr>
                <w:rFonts w:hint="eastAsia" w:hAnsi="宋体" w:cs="Arial"/>
                <w:bCs/>
                <w:color w:val="auto"/>
                <w:sz w:val="24"/>
                <w:szCs w:val="24"/>
                <w:highlight w:val="none"/>
              </w:rPr>
              <w:t>投标地点：“政采云”平台（https://www.zcygov.cn/）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19</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开标时间</w:t>
            </w:r>
          </w:p>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及地点</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开标时间：2024年04月</w:t>
            </w:r>
            <w:r>
              <w:rPr>
                <w:rFonts w:hint="eastAsia"/>
                <w:color w:val="auto"/>
                <w:sz w:val="24"/>
                <w:szCs w:val="24"/>
                <w:highlight w:val="none"/>
                <w:lang w:val="en-US" w:eastAsia="zh-CN"/>
              </w:rPr>
              <w:t>23</w:t>
            </w:r>
            <w:r>
              <w:rPr>
                <w:rFonts w:hint="eastAsia"/>
                <w:color w:val="auto"/>
                <w:sz w:val="24"/>
                <w:szCs w:val="24"/>
                <w:highlight w:val="none"/>
              </w:rPr>
              <w:t>日 11:00（北京时间）</w:t>
            </w:r>
          </w:p>
          <w:p>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开标地点：“政采云”平台（https://www.zcygov.cn/）政采云平台不见面开标大厅</w:t>
            </w:r>
          </w:p>
          <w:p>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解密时长：30分钟。如因供应商自身原因导致在规定时间内无法正常</w:t>
            </w:r>
          </w:p>
          <w:p>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解密的（如：浏览器故障、未安装相关驱动、网络故障、加密CA与解</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cs="Arial"/>
                <w:bCs/>
                <w:color w:val="auto"/>
                <w:sz w:val="24"/>
                <w:szCs w:val="24"/>
                <w:highlight w:val="none"/>
              </w:rPr>
            </w:pPr>
            <w:r>
              <w:rPr>
                <w:rFonts w:hint="eastAsia"/>
                <w:color w:val="auto"/>
                <w:sz w:val="24"/>
                <w:szCs w:val="24"/>
                <w:highlight w:val="none"/>
              </w:rPr>
              <w:t>密CA不一致等），采购中心/代理机构不予异常处理，视为供应商自动弃标。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20</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ind w:right="-8"/>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评标办法</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ascii="宋体" w:hAnsi="宋体" w:cs="Arial"/>
                <w:bCs/>
                <w:color w:val="auto"/>
                <w:sz w:val="24"/>
                <w:szCs w:val="24"/>
                <w:highlight w:val="none"/>
              </w:rPr>
            </w:pPr>
            <w:r>
              <w:rPr>
                <w:rFonts w:hint="eastAsia" w:hAnsi="宋体" w:cs="Arial"/>
                <w:bCs/>
                <w:color w:val="auto"/>
                <w:sz w:val="24"/>
                <w:szCs w:val="24"/>
                <w:highlight w:val="none"/>
              </w:rPr>
              <w:t>综合评</w:t>
            </w:r>
            <w:r>
              <w:rPr>
                <w:rFonts w:hint="eastAsia" w:cs="Arial"/>
                <w:bCs/>
                <w:color w:val="auto"/>
                <w:sz w:val="24"/>
                <w:szCs w:val="24"/>
                <w:highlight w:val="none"/>
              </w:rPr>
              <w:t>分</w:t>
            </w:r>
            <w:r>
              <w:rPr>
                <w:rFonts w:hint="eastAsia" w:hAnsi="宋体" w:cs="Arial"/>
                <w:bCs/>
                <w:color w:val="auto"/>
                <w:sz w:val="24"/>
                <w:szCs w:val="24"/>
                <w:highlight w:val="none"/>
              </w:rPr>
              <w:t>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21</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履约保证金</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textAlignment w:val="auto"/>
              <w:rPr>
                <w:color w:val="auto"/>
                <w:sz w:val="24"/>
                <w:szCs w:val="24"/>
                <w:highlight w:val="none"/>
              </w:rPr>
            </w:pPr>
            <w:r>
              <w:rPr>
                <w:color w:val="auto"/>
                <w:sz w:val="24"/>
                <w:szCs w:val="24"/>
                <w:highlight w:val="none"/>
              </w:rPr>
              <w:t>合同签订前，中标</w:t>
            </w:r>
            <w:r>
              <w:rPr>
                <w:rFonts w:hint="eastAsia"/>
                <w:color w:val="auto"/>
                <w:sz w:val="24"/>
                <w:szCs w:val="24"/>
                <w:highlight w:val="none"/>
              </w:rPr>
              <w:t>单位</w:t>
            </w:r>
            <w:r>
              <w:rPr>
                <w:color w:val="auto"/>
                <w:sz w:val="24"/>
                <w:szCs w:val="24"/>
                <w:highlight w:val="none"/>
              </w:rPr>
              <w:t>按照中标</w:t>
            </w:r>
            <w:r>
              <w:rPr>
                <w:rFonts w:hint="eastAsia"/>
                <w:color w:val="auto"/>
                <w:sz w:val="24"/>
                <w:szCs w:val="24"/>
                <w:highlight w:val="none"/>
              </w:rPr>
              <w:t>金额</w:t>
            </w:r>
            <w:r>
              <w:rPr>
                <w:color w:val="auto"/>
                <w:sz w:val="24"/>
                <w:szCs w:val="24"/>
                <w:highlight w:val="none"/>
              </w:rPr>
              <w:t>的</w:t>
            </w:r>
            <w:r>
              <w:rPr>
                <w:rFonts w:hint="eastAsia"/>
                <w:color w:val="auto"/>
                <w:sz w:val="24"/>
                <w:szCs w:val="24"/>
                <w:highlight w:val="none"/>
              </w:rPr>
              <w:t>5</w:t>
            </w:r>
            <w:r>
              <w:rPr>
                <w:color w:val="auto"/>
                <w:sz w:val="24"/>
                <w:szCs w:val="24"/>
                <w:highlight w:val="none"/>
              </w:rPr>
              <w:t>%缴纳履约保证金，</w:t>
            </w:r>
            <w:r>
              <w:rPr>
                <w:rFonts w:hint="eastAsia"/>
                <w:color w:val="auto"/>
                <w:sz w:val="24"/>
                <w:szCs w:val="24"/>
                <w:highlight w:val="none"/>
              </w:rPr>
              <w:t>中标单位按合同约定交付全部产品，安装调试完毕，书面验收合格一年后，采购单位无息退还全部履约保证金</w:t>
            </w:r>
            <w:r>
              <w:rPr>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22</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bCs/>
                <w:color w:val="auto"/>
                <w:spacing w:val="-4"/>
                <w:sz w:val="24"/>
                <w:szCs w:val="24"/>
                <w:highlight w:val="none"/>
                <w:lang w:val="en-US" w:eastAsia="zh-CN"/>
              </w:rPr>
              <w:t>开标准备</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textAlignment w:val="auto"/>
              <w:rPr>
                <w:color w:val="auto"/>
                <w:sz w:val="24"/>
                <w:szCs w:val="24"/>
                <w:highlight w:val="none"/>
              </w:rPr>
            </w:pPr>
            <w:r>
              <w:rPr>
                <w:rFonts w:hint="eastAsia" w:ascii="宋体" w:hAnsi="宋体" w:cs="宋体"/>
                <w:color w:val="auto"/>
                <w:spacing w:val="-4"/>
                <w:sz w:val="24"/>
                <w:szCs w:val="24"/>
                <w:highlight w:val="none"/>
              </w:rPr>
              <w:t>详见本招标文件</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须知第</w:t>
            </w:r>
            <w:r>
              <w:rPr>
                <w:rFonts w:hint="eastAsia" w:ascii="宋体" w:hAnsi="宋体" w:cs="宋体"/>
                <w:color w:val="auto"/>
                <w:spacing w:val="-4"/>
                <w:sz w:val="24"/>
                <w:szCs w:val="24"/>
                <w:highlight w:val="none"/>
                <w:lang w:val="en-US" w:eastAsia="zh-CN"/>
              </w:rPr>
              <w:t>22</w:t>
            </w:r>
            <w:r>
              <w:rPr>
                <w:rFonts w:hint="eastAsia" w:ascii="宋体" w:hAnsi="宋体" w:cs="宋体"/>
                <w:color w:val="auto"/>
                <w:spacing w:val="-4"/>
                <w:sz w:val="24"/>
                <w:szCs w:val="24"/>
                <w:highlight w:val="none"/>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hAnsi="宋体" w:cs="Arial"/>
                <w:bCs/>
                <w:color w:val="auto"/>
                <w:sz w:val="24"/>
                <w:szCs w:val="24"/>
                <w:highlight w:val="none"/>
              </w:rPr>
              <w:t>23</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同品牌投标处理原则</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textAlignment w:val="auto"/>
              <w:rPr>
                <w:rFonts w:ascii="宋体" w:hAnsi="宋体" w:cs="宋体"/>
                <w:b/>
                <w:bCs/>
                <w:color w:val="auto"/>
                <w:spacing w:val="-4"/>
                <w:sz w:val="24"/>
                <w:szCs w:val="24"/>
                <w:highlight w:val="none"/>
              </w:rPr>
            </w:pPr>
            <w:r>
              <w:rPr>
                <w:rFonts w:hint="eastAsia" w:ascii="宋体" w:hAnsi="宋体" w:cs="宋体"/>
                <w:color w:val="auto"/>
                <w:spacing w:val="-4"/>
                <w:sz w:val="24"/>
                <w:szCs w:val="24"/>
                <w:highlight w:val="none"/>
              </w:rPr>
              <w:t>详见本招标文件</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须知第7条。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24</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国家规定的优先、强制采购范围（节能、环保）</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textAlignment w:val="auto"/>
              <w:rPr>
                <w:rFonts w:hint="eastAsia"/>
                <w:color w:val="auto"/>
                <w:sz w:val="24"/>
                <w:szCs w:val="24"/>
                <w:highlight w:val="none"/>
              </w:rPr>
            </w:pPr>
            <w:r>
              <w:rPr>
                <w:rFonts w:hint="eastAsia"/>
                <w:color w:val="auto"/>
                <w:sz w:val="24"/>
                <w:szCs w:val="24"/>
                <w:highlight w:val="none"/>
              </w:rPr>
              <w:t>1.根据《国家市场监督管理总局关于发布强制性产品认证目录描述与界定表的公告》（2023 年第 36 号）要求，本项目的产品如属于《强制性产品认证目录》、《强制性产品认证目录描述与界定表（2023 年修订）》范围内产品的，应取得有效期内的强制性认证证书（CCC认证证书）），供应商须在投标文件中提供认证证书复印件（加盖公章），否则将被视为无效投标。</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ind w:leftChars="0"/>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范围内的政府强制采购产品的，应取得有效期内的节能产品认证证书，供应商须在投标文件中提供认证证书复印件（加盖公章），否则将被视为无效投标。</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ind w:leftChars="0"/>
              <w:textAlignment w:val="auto"/>
              <w:rPr>
                <w:color w:val="auto"/>
                <w:sz w:val="24"/>
                <w:szCs w:val="24"/>
                <w:highlight w:val="none"/>
              </w:rPr>
            </w:pPr>
            <w:r>
              <w:rPr>
                <w:rFonts w:hint="eastAsia"/>
                <w:color w:val="auto"/>
                <w:sz w:val="24"/>
                <w:szCs w:val="24"/>
                <w:highlight w:val="none"/>
              </w:rPr>
              <w:t>3.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关于印发环境标志产品政府采购品目清单的通知》（财库[2019]18号）范围内的政府优先采购产品的，应取得有效期内的节能产品、环境标志产品认证证书，供应商须在投标文件中提供认证证书复印件（加盖公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hAnsi="宋体" w:cs="Arial"/>
                <w:bCs/>
                <w:color w:val="auto"/>
                <w:sz w:val="24"/>
                <w:szCs w:val="24"/>
                <w:highlight w:val="none"/>
              </w:rPr>
              <w:t>25</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hAnsi="宋体" w:cs="Arial"/>
                <w:bCs/>
                <w:color w:val="auto"/>
                <w:sz w:val="24"/>
                <w:szCs w:val="24"/>
                <w:highlight w:val="none"/>
              </w:rPr>
            </w:pPr>
            <w:r>
              <w:rPr>
                <w:rFonts w:hint="eastAsia" w:cs="Arial"/>
                <w:bCs/>
                <w:color w:val="auto"/>
                <w:sz w:val="24"/>
                <w:szCs w:val="24"/>
                <w:highlight w:val="none"/>
              </w:rPr>
              <w:t>代理服务费用</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ascii="宋体" w:hAnsi="宋体" w:cs="Arial"/>
                <w:bCs/>
                <w:color w:val="auto"/>
                <w:sz w:val="24"/>
                <w:szCs w:val="24"/>
                <w:highlight w:val="none"/>
              </w:rPr>
            </w:pPr>
            <w:r>
              <w:rPr>
                <w:rFonts w:hint="eastAsia" w:hAnsi="宋体" w:cs="Arial"/>
                <w:bCs/>
                <w:color w:val="auto"/>
                <w:sz w:val="24"/>
                <w:szCs w:val="24"/>
                <w:highlight w:val="none"/>
              </w:rPr>
              <w:t>参照国家发展改革委员会发改价格【2011】534号、发改办价格【2003】857号文件和国家发展改革委“发改价格”和《招标代理服务收费管理暂行办法》（计价格【2002】1980号），以中标价为基准计算，采用差额定率累进计法计取，下浮</w:t>
            </w:r>
            <w:r>
              <w:rPr>
                <w:rFonts w:hint="eastAsia" w:hAnsi="宋体" w:cs="Arial"/>
                <w:bCs/>
                <w:color w:val="auto"/>
                <w:sz w:val="24"/>
                <w:szCs w:val="24"/>
                <w:highlight w:val="none"/>
                <w:lang w:val="en-US" w:eastAsia="zh-CN"/>
              </w:rPr>
              <w:t>2</w:t>
            </w:r>
            <w:r>
              <w:rPr>
                <w:rFonts w:hint="eastAsia" w:hAnsi="宋体" w:cs="Arial"/>
                <w:bCs/>
                <w:color w:val="auto"/>
                <w:sz w:val="24"/>
                <w:szCs w:val="24"/>
                <w:highlight w:val="none"/>
              </w:rPr>
              <w:t>5%，由</w:t>
            </w:r>
            <w:r>
              <w:rPr>
                <w:rFonts w:hint="eastAsia" w:hAnsi="宋体" w:cs="Arial"/>
                <w:bCs/>
                <w:color w:val="auto"/>
                <w:sz w:val="24"/>
                <w:szCs w:val="24"/>
                <w:highlight w:val="none"/>
                <w:lang w:val="en-US" w:eastAsia="zh-CN"/>
              </w:rPr>
              <w:t>中标</w:t>
            </w:r>
            <w:r>
              <w:rPr>
                <w:rFonts w:hint="eastAsia" w:hAnsi="宋体" w:cs="Arial"/>
                <w:bCs/>
                <w:color w:val="auto"/>
                <w:sz w:val="24"/>
                <w:szCs w:val="24"/>
                <w:highlight w:val="none"/>
              </w:rPr>
              <w:t>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Ansi="宋体" w:cs="Arial"/>
                <w:bCs/>
                <w:color w:val="auto"/>
                <w:sz w:val="24"/>
                <w:szCs w:val="24"/>
                <w:highlight w:val="none"/>
              </w:rPr>
            </w:pPr>
            <w:r>
              <w:rPr>
                <w:rFonts w:hint="eastAsia" w:cs="Arial"/>
                <w:bCs/>
                <w:color w:val="auto"/>
                <w:sz w:val="24"/>
                <w:szCs w:val="24"/>
                <w:highlight w:val="none"/>
              </w:rPr>
              <w:t>26</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Arial"/>
                <w:bCs/>
                <w:color w:val="auto"/>
                <w:sz w:val="24"/>
                <w:szCs w:val="24"/>
                <w:highlight w:val="none"/>
              </w:rPr>
              <w:t>低于成本价不正当竞争预防措施</w:t>
            </w:r>
          </w:p>
        </w:tc>
        <w:tc>
          <w:tcPr>
            <w:tcW w:w="653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在评标过程中，</w:t>
            </w:r>
            <w:r>
              <w:rPr>
                <w:rFonts w:hint="eastAsia" w:ascii="宋体" w:hAnsi="宋体" w:eastAsia="宋体" w:cs="宋体"/>
                <w:color w:val="auto"/>
                <w:spacing w:val="-4"/>
                <w:sz w:val="24"/>
                <w:szCs w:val="24"/>
                <w:highlight w:val="none"/>
                <w:lang w:val="en-US" w:eastAsia="zh-CN"/>
              </w:rPr>
              <w:t>评标委员会认为</w:t>
            </w:r>
            <w:r>
              <w:rPr>
                <w:rFonts w:hint="eastAsia" w:ascii="宋体" w:hAnsi="宋体" w:cs="宋体"/>
                <w:color w:val="auto"/>
                <w:spacing w:val="-4"/>
                <w:sz w:val="24"/>
                <w:szCs w:val="24"/>
                <w:highlight w:val="none"/>
                <w:lang w:val="en-US" w:eastAsia="zh-CN"/>
              </w:rPr>
              <w:t>供应商</w:t>
            </w:r>
            <w:r>
              <w:rPr>
                <w:rFonts w:hint="eastAsia" w:ascii="宋体" w:hAnsi="宋体" w:eastAsia="宋体" w:cs="宋体"/>
                <w:color w:val="auto"/>
                <w:spacing w:val="-4"/>
                <w:sz w:val="24"/>
                <w:szCs w:val="24"/>
                <w:highlight w:val="none"/>
                <w:lang w:val="en-US" w:eastAsia="zh-CN"/>
              </w:rPr>
              <w:t>的报价明显低于其他通过符合性审查</w:t>
            </w:r>
            <w:r>
              <w:rPr>
                <w:rFonts w:hint="eastAsia" w:ascii="宋体" w:hAnsi="宋体" w:cs="宋体"/>
                <w:color w:val="auto"/>
                <w:spacing w:val="-4"/>
                <w:sz w:val="24"/>
                <w:szCs w:val="24"/>
                <w:highlight w:val="none"/>
                <w:lang w:val="en-US" w:eastAsia="zh-CN"/>
              </w:rPr>
              <w:t>供应商</w:t>
            </w:r>
            <w:r>
              <w:rPr>
                <w:rFonts w:hint="eastAsia" w:ascii="宋体" w:hAnsi="宋体" w:eastAsia="宋体" w:cs="宋体"/>
                <w:color w:val="auto"/>
                <w:spacing w:val="-4"/>
                <w:sz w:val="24"/>
                <w:szCs w:val="24"/>
                <w:highlight w:val="none"/>
                <w:lang w:val="en-US" w:eastAsia="zh-CN"/>
              </w:rPr>
              <w:t>的报价，有可能影响产品质量或者不能诚信履约的，应当要求其在评标现场合理的时间内提供书面说明，必要时提交相关证明材料；</w:t>
            </w:r>
            <w:r>
              <w:rPr>
                <w:rFonts w:hint="eastAsia" w:ascii="宋体" w:hAnsi="宋体" w:cs="宋体"/>
                <w:color w:val="auto"/>
                <w:spacing w:val="-4"/>
                <w:sz w:val="24"/>
                <w:szCs w:val="24"/>
                <w:highlight w:val="none"/>
                <w:lang w:val="en-US" w:eastAsia="zh-CN"/>
              </w:rPr>
              <w:t>供应商</w:t>
            </w:r>
            <w:r>
              <w:rPr>
                <w:rFonts w:hint="eastAsia" w:ascii="宋体" w:hAnsi="宋体" w:eastAsia="宋体" w:cs="宋体"/>
                <w:color w:val="auto"/>
                <w:spacing w:val="-4"/>
                <w:sz w:val="24"/>
                <w:szCs w:val="24"/>
                <w:highlight w:val="none"/>
                <w:lang w:val="en-US" w:eastAsia="zh-CN"/>
              </w:rPr>
              <w:t>不能证明其报价合理性的，评标委员会应当将其作为无效投标处理。</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书面说明应当签字确认并且加盖公章，否则无效。书面说明的签字确认，</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为法人的，由其法定代表人或者代理人签字确认；</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为其他组织的，由其主要负责人或者代理人签字确认；</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为自然人的，由其本人或者代理人签字确认。</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提供书面说明后，评标委员会应当结合采购项目采购需求、专业实际情况、</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财务状况报告、与其他</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比较情况等就</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书面说明进行审查评价。</w:t>
            </w:r>
            <w:r>
              <w:rPr>
                <w:rFonts w:hint="eastAsia" w:ascii="宋体" w:hAnsi="宋体" w:cs="宋体"/>
                <w:color w:val="auto"/>
                <w:spacing w:val="-4"/>
                <w:sz w:val="24"/>
                <w:szCs w:val="24"/>
                <w:highlight w:val="none"/>
                <w:lang w:eastAsia="zh-CN"/>
              </w:rPr>
              <w:t>供应商</w:t>
            </w:r>
            <w:r>
              <w:rPr>
                <w:rFonts w:hint="eastAsia" w:ascii="宋体" w:hAnsi="宋体" w:cs="宋体"/>
                <w:color w:val="auto"/>
                <w:spacing w:val="-4"/>
                <w:sz w:val="24"/>
                <w:szCs w:val="24"/>
                <w:highlight w:val="none"/>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eastAsia="宋体" w:cs="Arial"/>
                <w:bCs/>
                <w:color w:val="auto"/>
                <w:sz w:val="24"/>
                <w:szCs w:val="24"/>
                <w:highlight w:val="none"/>
                <w:lang w:eastAsia="zh-CN"/>
              </w:rPr>
            </w:pPr>
            <w:r>
              <w:rPr>
                <w:rFonts w:hint="eastAsia" w:cs="Arial"/>
                <w:bCs/>
                <w:color w:val="auto"/>
                <w:sz w:val="24"/>
                <w:szCs w:val="24"/>
                <w:highlight w:val="none"/>
              </w:rPr>
              <w:t>2</w:t>
            </w:r>
            <w:r>
              <w:rPr>
                <w:rFonts w:hint="eastAsia" w:cs="Arial"/>
                <w:bCs/>
                <w:color w:val="auto"/>
                <w:sz w:val="24"/>
                <w:szCs w:val="24"/>
                <w:highlight w:val="none"/>
                <w:lang w:val="en-US" w:eastAsia="zh-CN"/>
              </w:rPr>
              <w:t>7</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中小企业所属行业</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本项目采购标的对应的中小企业划分标准所属行业：工业（根据工信部联企业〔2011〕300 号中小企业划型标准规定：工业。从业人员1000 人以下或营业收入 40000 万元以下的为中小微型企业。其中，从业人员300 人及以上，且营业收入 2000 万元及以上的为中型企业；从业人员20 人及以上，且营业收入 300 万元及以上的为小型企业；从业人员20 人以下或营业收入 300 万元以下的为微型企业。）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eastAsia="宋体" w:cs="Arial"/>
                <w:bCs/>
                <w:color w:val="auto"/>
                <w:sz w:val="24"/>
                <w:szCs w:val="24"/>
                <w:highlight w:val="none"/>
                <w:lang w:eastAsia="zh-CN"/>
              </w:rPr>
            </w:pPr>
            <w:r>
              <w:rPr>
                <w:rFonts w:hint="eastAsia" w:cs="Arial"/>
                <w:bCs/>
                <w:color w:val="auto"/>
                <w:sz w:val="24"/>
                <w:szCs w:val="24"/>
                <w:highlight w:val="none"/>
              </w:rPr>
              <w:t>2</w:t>
            </w:r>
            <w:r>
              <w:rPr>
                <w:rFonts w:hint="eastAsia" w:cs="Arial"/>
                <w:bCs/>
                <w:color w:val="auto"/>
                <w:sz w:val="24"/>
                <w:szCs w:val="24"/>
                <w:highlight w:val="none"/>
                <w:lang w:val="en-US" w:eastAsia="zh-CN"/>
              </w:rPr>
              <w:t>8</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中小企业</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声明函</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eastAsia"/>
                <w:color w:val="auto"/>
                <w:sz w:val="24"/>
                <w:szCs w:val="24"/>
                <w:highlight w:val="none"/>
                <w:lang w:val="zh-CN"/>
              </w:rPr>
              <w:t>本项目</w:t>
            </w:r>
            <w:r>
              <w:rPr>
                <w:rFonts w:hint="eastAsia"/>
                <w:color w:val="auto"/>
                <w:sz w:val="24"/>
                <w:szCs w:val="24"/>
                <w:highlight w:val="none"/>
              </w:rPr>
              <w:t>非专门面向</w:t>
            </w:r>
            <w:r>
              <w:rPr>
                <w:rFonts w:hint="eastAsia"/>
                <w:color w:val="auto"/>
                <w:sz w:val="24"/>
                <w:szCs w:val="24"/>
                <w:highlight w:val="none"/>
                <w:lang w:val="zh-CN"/>
              </w:rPr>
              <w:t>中小企业采购，</w:t>
            </w:r>
            <w:r>
              <w:rPr>
                <w:rFonts w:hint="eastAsia"/>
                <w:color w:val="auto"/>
                <w:sz w:val="24"/>
                <w:szCs w:val="24"/>
                <w:highlight w:val="none"/>
                <w:lang w:val="en-US" w:eastAsia="zh-CN"/>
              </w:rPr>
              <w:t>供应商所提供货物的制造商为小型、微型企业的，给予10%的价格扣除</w:t>
            </w:r>
            <w:r>
              <w:rPr>
                <w:rFonts w:hint="eastAsia"/>
                <w:color w:val="auto"/>
                <w:sz w:val="24"/>
                <w:szCs w:val="24"/>
                <w:highlight w:val="none"/>
                <w:lang w:val="zh-CN"/>
              </w:rPr>
              <w:t>；</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2.残疾人福利性单位、监狱和戒毒企业（简称监狱企业）视同小型、微型企业</w:t>
            </w:r>
            <w:r>
              <w:rPr>
                <w:rFonts w:hint="eastAsia" w:cs="Times New Roman"/>
                <w:color w:val="auto"/>
                <w:sz w:val="24"/>
                <w:szCs w:val="24"/>
                <w:highlight w:val="none"/>
                <w:lang w:val="en-US" w:eastAsia="zh-CN"/>
              </w:rPr>
              <w:t>；残疾人福利单位、监狱企业同时属于小型、微型企业的，不重复享受财政政策。</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3.根据《政府采购促进中小企业发展管理办法》（财库[2020]46号）和《财政部关于进一步加大政府采购支持中小企业力度的通知》要求，供应商应提供合格的《中小企业声明函》，如</w:t>
            </w:r>
            <w:r>
              <w:rPr>
                <w:rFonts w:hint="eastAsia"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en-US" w:eastAsia="zh-CN"/>
              </w:rPr>
              <w:t>提供的《中小企业声明函》不合格或未提供《中小企业声明函》的，不得享受相关中小微企业扶持政策。</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4.根据《关于政府采购支持监狱企业发展有关问题的通知》（财库[2014]68号）和本</w:t>
            </w:r>
            <w:r>
              <w:rPr>
                <w:rFonts w:hint="eastAsia" w:cs="Times New Roman"/>
                <w:color w:val="auto"/>
                <w:sz w:val="24"/>
                <w:szCs w:val="24"/>
                <w:highlight w:val="none"/>
                <w:lang w:val="en-US" w:eastAsia="zh-CN"/>
              </w:rPr>
              <w:t>招标文件</w:t>
            </w:r>
            <w:r>
              <w:rPr>
                <w:rFonts w:hint="eastAsia" w:ascii="Times New Roman" w:hAnsi="Times New Roman" w:eastAsia="宋体" w:cs="Times New Roman"/>
                <w:color w:val="auto"/>
                <w:sz w:val="24"/>
                <w:szCs w:val="24"/>
                <w:highlight w:val="none"/>
                <w:lang w:val="en-US" w:eastAsia="zh-CN"/>
              </w:rPr>
              <w:t>要求，</w:t>
            </w:r>
            <w:r>
              <w:rPr>
                <w:rFonts w:hint="eastAsia"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en-US" w:eastAsia="zh-CN"/>
              </w:rPr>
              <w:t>应提供合格的监狱企业证明文件，如</w:t>
            </w:r>
            <w:r>
              <w:rPr>
                <w:rFonts w:hint="eastAsia"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en-US" w:eastAsia="zh-CN"/>
              </w:rPr>
              <w:t>提供的监狱企业证明文件不合格或未提供监狱企业证明文件的，不得享受相关中小微企业扶持政策。</w:t>
            </w:r>
          </w:p>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default"/>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5.根据《关于促进残疾人就业政府采购政策的通知》（财库[2017]141号）要求，</w:t>
            </w:r>
            <w:r>
              <w:rPr>
                <w:rFonts w:hint="eastAsia"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en-US" w:eastAsia="zh-CN"/>
              </w:rPr>
              <w:t>应提供合格的《残疾人福利性单位声明函》，如</w:t>
            </w:r>
            <w:r>
              <w:rPr>
                <w:rFonts w:hint="eastAsia"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en-US" w:eastAsia="zh-CN"/>
              </w:rPr>
              <w:t>提供的《残疾人福利性单位声明函》不合格或未提供《残疾人福利性单位声明函》的，不得享受相关中小微企业扶持政策。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default" w:eastAsia="宋体" w:cs="Arial"/>
                <w:bCs/>
                <w:color w:val="auto"/>
                <w:sz w:val="24"/>
                <w:szCs w:val="24"/>
                <w:highlight w:val="none"/>
                <w:lang w:val="en-US" w:eastAsia="zh-CN"/>
              </w:rPr>
            </w:pPr>
            <w:r>
              <w:rPr>
                <w:rFonts w:hint="eastAsia" w:cs="Arial"/>
                <w:bCs/>
                <w:color w:val="auto"/>
                <w:sz w:val="24"/>
                <w:szCs w:val="24"/>
                <w:highlight w:val="none"/>
                <w:lang w:val="en-US" w:eastAsia="zh-CN"/>
              </w:rPr>
              <w:t>29</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FF0000"/>
                <w:spacing w:val="-4"/>
                <w:sz w:val="24"/>
                <w:szCs w:val="24"/>
                <w:highlight w:val="none"/>
              </w:rPr>
            </w:pPr>
            <w:r>
              <w:rPr>
                <w:rFonts w:hint="eastAsia" w:ascii="宋体" w:hAnsi="宋体" w:cs="宋体"/>
                <w:color w:val="FF0000"/>
                <w:spacing w:val="-4"/>
                <w:sz w:val="24"/>
                <w:szCs w:val="24"/>
                <w:highlight w:val="none"/>
              </w:rPr>
              <w:t>公告及检验</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检测报告</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color w:val="auto"/>
                <w:sz w:val="24"/>
                <w:szCs w:val="24"/>
                <w:highlight w:val="none"/>
              </w:rPr>
            </w:pPr>
            <w:r>
              <w:rPr>
                <w:rFonts w:hint="eastAsia"/>
                <w:color w:val="FF0000"/>
                <w:sz w:val="24"/>
                <w:szCs w:val="24"/>
                <w:highlight w:val="none"/>
                <w:lang w:val="en-US" w:eastAsia="zh-CN"/>
              </w:rPr>
              <w:t>1、</w:t>
            </w:r>
            <w:r>
              <w:rPr>
                <w:rFonts w:hint="eastAsia"/>
                <w:color w:val="auto"/>
                <w:sz w:val="24"/>
                <w:szCs w:val="24"/>
                <w:highlight w:val="none"/>
              </w:rPr>
              <w:t>有国家或行业标准的产品应提供国家消防产品合格评定中心所属国家消防装备质量检验检测中心（应急管理部上海消防研究所）、国家消防电子产品质量检验检测中心（应急管理部沈阳消防研究所）、国家防火建筑材料质量检验检测中心（应急管理部四川消防研究所）、国家固定灭火系统和耐火构件质量检验检测中心（应急管理部天津消防研究所）、国家消防产品质量检验检测中心（广东）、国家消防及阻燃产品质量检验检测中心（山东）、国家消防产品质量检验检测中心（江苏）、国家五金工具及门类产品质量检验检测中心出具的检验检测报告，或国家级质量检验检测机构出具的检验检测报告。</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ascii="宋体" w:hAnsi="宋体" w:cs="宋体"/>
                <w:color w:val="auto"/>
                <w:spacing w:val="-4"/>
                <w:sz w:val="24"/>
                <w:szCs w:val="24"/>
                <w:highlight w:val="none"/>
              </w:rPr>
            </w:pPr>
            <w:r>
              <w:rPr>
                <w:rFonts w:hint="eastAsia"/>
                <w:color w:val="FF0000"/>
                <w:sz w:val="24"/>
                <w:szCs w:val="24"/>
                <w:highlight w:val="none"/>
                <w:lang w:val="en-US" w:eastAsia="zh-CN"/>
              </w:rPr>
              <w:t>2</w:t>
            </w:r>
            <w:r>
              <w:rPr>
                <w:rFonts w:hint="eastAsia"/>
                <w:color w:val="FF0000"/>
                <w:sz w:val="24"/>
                <w:szCs w:val="24"/>
                <w:highlight w:val="none"/>
              </w:rPr>
              <w:t>、</w:t>
            </w:r>
            <w:r>
              <w:rPr>
                <w:rFonts w:hint="eastAsia"/>
                <w:color w:val="auto"/>
                <w:sz w:val="24"/>
                <w:szCs w:val="24"/>
                <w:highlight w:val="none"/>
              </w:rPr>
              <w:t>无国家或行业标准的产品提供国家认可的质量检验检测机构出具的检验检测报告</w:t>
            </w:r>
            <w:r>
              <w:rPr>
                <w:rFonts w:hint="eastAsia"/>
                <w:color w:val="auto"/>
                <w:sz w:val="24"/>
                <w:szCs w:val="24"/>
                <w:highlight w:val="none"/>
                <w:lang w:eastAsia="zh-CN"/>
              </w:rPr>
              <w:t>（如有）；如投标时未提供，应在产品交付验收时提供国家认可的质量检验检测机构出具的检验检测报告。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center"/>
              <w:textAlignment w:val="auto"/>
              <w:rPr>
                <w:rFonts w:hint="default" w:eastAsia="宋体" w:cs="Arial"/>
                <w:bCs/>
                <w:color w:val="auto"/>
                <w:sz w:val="24"/>
                <w:szCs w:val="24"/>
                <w:highlight w:val="none"/>
                <w:lang w:val="en-US" w:eastAsia="zh-CN"/>
              </w:rPr>
            </w:pPr>
            <w:r>
              <w:rPr>
                <w:rFonts w:hint="eastAsia" w:cs="Arial"/>
                <w:bCs/>
                <w:color w:val="auto"/>
                <w:sz w:val="24"/>
                <w:szCs w:val="24"/>
                <w:highlight w:val="none"/>
                <w:lang w:val="en-US" w:eastAsia="zh-CN"/>
              </w:rPr>
              <w:t>30</w:t>
            </w:r>
          </w:p>
        </w:tc>
        <w:tc>
          <w:tcPr>
            <w:tcW w:w="1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center"/>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其他</w:t>
            </w:r>
          </w:p>
        </w:tc>
        <w:tc>
          <w:tcPr>
            <w:tcW w:w="6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根据《国家消防救援局办公室关于推广应用新版消防装备管理系统的通知》要求，中标投标人在交付装备时须附着由“消防装备物资信息采集系统”统一发行的装备物资二维码和 RFID。必需与目前已实施的新版装备管理系统配备的各类标签、二维码和RFID等硬件设施、型号兼容匹配。</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pacing w:val="0"/>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8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70" w:lineRule="exact"/>
              <w:jc w:val="left"/>
              <w:textAlignment w:val="auto"/>
              <w:rPr>
                <w:rFonts w:hAnsi="宋体" w:cs="Arial"/>
                <w:bCs/>
                <w:color w:val="auto"/>
                <w:sz w:val="24"/>
                <w:szCs w:val="24"/>
                <w:highlight w:val="none"/>
              </w:rPr>
            </w:pPr>
            <w:r>
              <w:rPr>
                <w:rFonts w:hint="eastAsia" w:hAnsi="宋体" w:cs="Arial"/>
                <w:b/>
                <w:bCs/>
                <w:color w:val="auto"/>
                <w:sz w:val="24"/>
                <w:szCs w:val="24"/>
                <w:highlight w:val="none"/>
              </w:rPr>
              <w:t>备注：本</w:t>
            </w:r>
            <w:r>
              <w:rPr>
                <w:rFonts w:hint="eastAsia" w:hAnsi="宋体" w:cs="Arial"/>
                <w:b/>
                <w:bCs/>
                <w:color w:val="auto"/>
                <w:sz w:val="24"/>
                <w:szCs w:val="24"/>
                <w:highlight w:val="none"/>
                <w:lang w:eastAsia="zh-CN"/>
              </w:rPr>
              <w:t>供应商</w:t>
            </w:r>
            <w:r>
              <w:rPr>
                <w:rFonts w:hint="eastAsia" w:hAnsi="宋体" w:cs="Arial"/>
                <w:b/>
                <w:bCs/>
                <w:color w:val="auto"/>
                <w:sz w:val="24"/>
                <w:szCs w:val="24"/>
                <w:highlight w:val="none"/>
              </w:rPr>
              <w:t>须知前附表是对招标文件中的重要内容进行罗列；如与招标文件不符，应以本表为准。</w:t>
            </w:r>
          </w:p>
        </w:tc>
      </w:tr>
    </w:tbl>
    <w:p>
      <w:pPr>
        <w:rPr>
          <w:color w:val="auto"/>
          <w:highlight w:val="none"/>
        </w:rPr>
      </w:pPr>
      <w:r>
        <w:rPr>
          <w:rFonts w:hint="eastAsia"/>
          <w:color w:val="auto"/>
          <w:highlight w:val="none"/>
        </w:rPr>
        <w:br w:type="page"/>
      </w:r>
    </w:p>
    <w:p>
      <w:pPr>
        <w:pStyle w:val="3"/>
        <w:rPr>
          <w:color w:val="auto"/>
          <w:highlight w:val="none"/>
        </w:rPr>
      </w:pPr>
      <w:bookmarkStart w:id="13" w:name="_Toc11791"/>
      <w:r>
        <w:rPr>
          <w:rFonts w:hint="eastAsia"/>
          <w:color w:val="auto"/>
          <w:highlight w:val="none"/>
        </w:rPr>
        <w:t xml:space="preserve">第一章 </w:t>
      </w:r>
      <w:bookmarkEnd w:id="0"/>
      <w:bookmarkEnd w:id="1"/>
      <w:bookmarkEnd w:id="9"/>
      <w:r>
        <w:rPr>
          <w:rFonts w:hint="eastAsia"/>
          <w:color w:val="auto"/>
          <w:highlight w:val="none"/>
        </w:rPr>
        <w:t>招标邀请</w:t>
      </w:r>
      <w:bookmarkEnd w:id="10"/>
      <w:bookmarkEnd w:id="11"/>
      <w:bookmarkEnd w:id="13"/>
    </w:p>
    <w:bookmarkEnd w:id="2"/>
    <w:bookmarkEnd w:id="3"/>
    <w:bookmarkEnd w:id="4"/>
    <w:bookmarkEnd w:id="5"/>
    <w:bookmarkEnd w:id="6"/>
    <w:p>
      <w:pPr>
        <w:jc w:val="center"/>
        <w:rPr>
          <w:rFonts w:hint="eastAsia"/>
          <w:b/>
          <w:bCs/>
          <w:color w:val="auto"/>
          <w:sz w:val="28"/>
          <w:szCs w:val="28"/>
          <w:highlight w:val="none"/>
        </w:rPr>
      </w:pPr>
      <w:bookmarkStart w:id="14" w:name="_Toc120614211"/>
      <w:bookmarkStart w:id="15" w:name="_Toc534725597"/>
      <w:bookmarkStart w:id="16" w:name="_Toc494375079"/>
      <w:bookmarkStart w:id="17" w:name="_Toc20823314"/>
      <w:bookmarkStart w:id="18" w:name="_Toc16938558"/>
      <w:bookmarkStart w:id="19" w:name="_Toc513029242"/>
      <w:bookmarkStart w:id="20" w:name="_Toc120614221"/>
      <w:bookmarkStart w:id="21" w:name="_Toc479757207"/>
      <w:r>
        <w:rPr>
          <w:rFonts w:hint="eastAsia"/>
          <w:b/>
          <w:bCs/>
          <w:color w:val="auto"/>
          <w:sz w:val="28"/>
          <w:szCs w:val="28"/>
          <w:highlight w:val="none"/>
          <w:lang w:eastAsia="zh-CN"/>
        </w:rPr>
        <w:t>新疆消防救援总队乌鲁木齐支队“自然灾害应急能力提升工程”装备配备项目</w:t>
      </w:r>
      <w:r>
        <w:rPr>
          <w:rFonts w:hint="eastAsia" w:hAnsi="宋体" w:cs="Arial"/>
          <w:b/>
          <w:bCs/>
          <w:color w:val="auto"/>
          <w:sz w:val="28"/>
          <w:szCs w:val="28"/>
          <w:highlight w:val="none"/>
          <w:lang w:eastAsia="zh-CN"/>
        </w:rPr>
        <w:t>（</w:t>
      </w:r>
      <w:r>
        <w:rPr>
          <w:rFonts w:hint="eastAsia" w:hAnsi="宋体" w:cs="Arial"/>
          <w:b/>
          <w:bCs/>
          <w:color w:val="auto"/>
          <w:sz w:val="28"/>
          <w:szCs w:val="28"/>
          <w:highlight w:val="none"/>
          <w:lang w:val="en-US" w:eastAsia="zh-CN"/>
        </w:rPr>
        <w:t>二</w:t>
      </w:r>
      <w:r>
        <w:rPr>
          <w:rFonts w:hint="eastAsia" w:hAnsi="宋体" w:cs="Arial"/>
          <w:b/>
          <w:bCs/>
          <w:color w:val="auto"/>
          <w:sz w:val="28"/>
          <w:szCs w:val="28"/>
          <w:highlight w:val="none"/>
          <w:lang w:eastAsia="zh-CN"/>
        </w:rPr>
        <w:t>）</w:t>
      </w:r>
      <w:r>
        <w:rPr>
          <w:rFonts w:hint="eastAsia"/>
          <w:b/>
          <w:bCs/>
          <w:color w:val="auto"/>
          <w:sz w:val="28"/>
          <w:szCs w:val="28"/>
          <w:highlight w:val="none"/>
        </w:rPr>
        <w:t>公开</w:t>
      </w:r>
      <w:r>
        <w:rPr>
          <w:b/>
          <w:bCs/>
          <w:color w:val="auto"/>
          <w:sz w:val="28"/>
          <w:szCs w:val="28"/>
          <w:highlight w:val="none"/>
        </w:rPr>
        <w:t>招标</w:t>
      </w:r>
      <w:r>
        <w:rPr>
          <w:rFonts w:hint="eastAsia"/>
          <w:b/>
          <w:bCs/>
          <w:color w:val="auto"/>
          <w:sz w:val="28"/>
          <w:szCs w:val="28"/>
          <w:highlight w:val="none"/>
        </w:rPr>
        <w:t>公告</w:t>
      </w:r>
    </w:p>
    <w:p>
      <w:pPr>
        <w:pStyle w:val="34"/>
        <w:spacing w:before="75" w:beforeAutospacing="0" w:after="75"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pStyle w:val="34"/>
        <w:spacing w:before="75" w:beforeAutospacing="0" w:after="75" w:afterAutospacing="0" w:line="360" w:lineRule="auto"/>
        <w:rPr>
          <w:rFonts w:hint="eastAsia" w:ascii="宋体" w:hAnsi="宋体" w:eastAsia="宋体" w:cs="宋体"/>
          <w:color w:val="auto"/>
          <w:highlight w:val="none"/>
        </w:rPr>
      </w:pPr>
      <w:r>
        <w:rPr>
          <w:rStyle w:val="185"/>
          <w:rFonts w:hint="eastAsia" w:ascii="宋体" w:hAnsi="宋体" w:eastAsia="宋体" w:cs="宋体"/>
          <w:color w:val="auto"/>
          <w:highlight w:val="none"/>
        </w:rPr>
        <w:t xml:space="preserve">  乌鲁木齐支队自然灾害应急提升能力工程消防装备建设项目</w:t>
      </w:r>
      <w:r>
        <w:rPr>
          <w:rStyle w:val="185"/>
          <w:rFonts w:hint="eastAsia" w:ascii="宋体" w:hAnsi="宋体" w:eastAsia="宋体" w:cs="宋体"/>
          <w:color w:val="auto"/>
          <w:highlight w:val="none"/>
          <w:lang w:eastAsia="zh-CN"/>
        </w:rPr>
        <w:t>招标项目</w:t>
      </w:r>
      <w:r>
        <w:rPr>
          <w:rStyle w:val="185"/>
          <w:rFonts w:hint="eastAsia" w:ascii="宋体" w:hAnsi="宋体" w:eastAsia="宋体" w:cs="宋体"/>
          <w:color w:val="auto"/>
          <w:highlight w:val="none"/>
        </w:rPr>
        <w:t>的潜在</w:t>
      </w:r>
      <w:r>
        <w:rPr>
          <w:rStyle w:val="185"/>
          <w:rFonts w:hint="eastAsia" w:cs="宋体"/>
          <w:color w:val="auto"/>
          <w:highlight w:val="none"/>
          <w:lang w:eastAsia="zh-CN"/>
        </w:rPr>
        <w:t>供应商</w:t>
      </w:r>
      <w:r>
        <w:rPr>
          <w:rStyle w:val="185"/>
          <w:rFonts w:hint="eastAsia" w:ascii="宋体" w:hAnsi="宋体" w:eastAsia="宋体" w:cs="宋体"/>
          <w:color w:val="auto"/>
          <w:highlight w:val="none"/>
        </w:rPr>
        <w:t>应在新疆政府采购</w:t>
      </w:r>
      <w:r>
        <w:rPr>
          <w:rStyle w:val="185"/>
          <w:rFonts w:hint="eastAsia" w:ascii="宋体" w:hAnsi="宋体" w:eastAsia="宋体" w:cs="宋体"/>
          <w:color w:val="auto"/>
          <w:highlight w:val="none"/>
          <w:lang w:eastAsia="zh-CN"/>
        </w:rPr>
        <w:t>网政采云</w:t>
      </w:r>
      <w:r>
        <w:rPr>
          <w:rStyle w:val="185"/>
          <w:rFonts w:hint="eastAsia" w:ascii="宋体" w:hAnsi="宋体" w:eastAsia="宋体" w:cs="宋体"/>
          <w:color w:val="auto"/>
          <w:highlight w:val="none"/>
        </w:rPr>
        <w:t>平台获取招标文件，并于202</w:t>
      </w:r>
      <w:r>
        <w:rPr>
          <w:rStyle w:val="185"/>
          <w:rFonts w:hint="eastAsia" w:ascii="宋体" w:hAnsi="宋体" w:eastAsia="宋体" w:cs="宋体"/>
          <w:color w:val="auto"/>
          <w:highlight w:val="none"/>
          <w:lang w:val="en-US" w:eastAsia="zh-CN"/>
        </w:rPr>
        <w:t>4</w:t>
      </w:r>
      <w:r>
        <w:rPr>
          <w:rStyle w:val="185"/>
          <w:rFonts w:hint="eastAsia" w:ascii="宋体" w:hAnsi="宋体" w:eastAsia="宋体" w:cs="宋体"/>
          <w:color w:val="auto"/>
          <w:highlight w:val="none"/>
        </w:rPr>
        <w:t>年</w:t>
      </w:r>
      <w:r>
        <w:rPr>
          <w:rStyle w:val="185"/>
          <w:rFonts w:hint="eastAsia" w:ascii="宋体" w:hAnsi="宋体" w:eastAsia="宋体" w:cs="宋体"/>
          <w:color w:val="auto"/>
          <w:highlight w:val="none"/>
          <w:lang w:val="en-US" w:eastAsia="zh-CN"/>
        </w:rPr>
        <w:t xml:space="preserve"> 04 </w:t>
      </w:r>
      <w:r>
        <w:rPr>
          <w:rStyle w:val="185"/>
          <w:rFonts w:hint="eastAsia" w:ascii="宋体" w:hAnsi="宋体" w:eastAsia="宋体" w:cs="宋体"/>
          <w:color w:val="auto"/>
          <w:highlight w:val="none"/>
        </w:rPr>
        <w:t>月</w:t>
      </w:r>
      <w:r>
        <w:rPr>
          <w:rStyle w:val="185"/>
          <w:rFonts w:hint="eastAsia" w:ascii="宋体" w:hAnsi="宋体" w:eastAsia="宋体" w:cs="宋体"/>
          <w:color w:val="auto"/>
          <w:highlight w:val="none"/>
          <w:lang w:val="en-US" w:eastAsia="zh-CN"/>
        </w:rPr>
        <w:t xml:space="preserve"> 23</w:t>
      </w:r>
      <w:r>
        <w:rPr>
          <w:rFonts w:hint="eastAsia" w:ascii="宋体" w:hAnsi="宋体" w:eastAsia="宋体" w:cs="宋体"/>
          <w:color w:val="auto"/>
          <w:sz w:val="24"/>
          <w:szCs w:val="24"/>
          <w:highlight w:val="none"/>
        </w:rPr>
        <w:t>日11：00</w:t>
      </w:r>
      <w:r>
        <w:rPr>
          <w:rStyle w:val="185"/>
          <w:rFonts w:hint="eastAsia" w:ascii="宋体" w:hAnsi="宋体" w:eastAsia="宋体" w:cs="宋体"/>
          <w:color w:val="auto"/>
          <w:highlight w:val="none"/>
        </w:rPr>
        <w:t>（北京时间）前递交投标文件。</w:t>
      </w:r>
    </w:p>
    <w:p>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一、项目基本情况</w:t>
      </w:r>
    </w:p>
    <w:p>
      <w:pPr>
        <w:pStyle w:val="34"/>
        <w:spacing w:before="75" w:beforeAutospacing="0" w:after="75" w:afterAutospacing="0" w:line="360" w:lineRule="auto"/>
        <w:ind w:firstLine="480"/>
        <w:rPr>
          <w:rFonts w:hint="eastAsia"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sz w:val="24"/>
          <w:szCs w:val="24"/>
          <w:highlight w:val="none"/>
        </w:rPr>
        <w:t>hcxjczt-2024-60</w:t>
      </w:r>
      <w:r>
        <w:rPr>
          <w:rFonts w:hint="eastAsia" w:ascii="宋体" w:hAnsi="宋体" w:eastAsia="宋体" w:cs="宋体"/>
          <w:color w:val="auto"/>
          <w:sz w:val="24"/>
          <w:szCs w:val="24"/>
          <w:highlight w:val="none"/>
          <w:lang w:val="en-US" w:eastAsia="zh-CN"/>
        </w:rPr>
        <w:t>4</w:t>
      </w:r>
      <w:r>
        <w:rPr>
          <w:rFonts w:hint="eastAsia" w:cs="宋体"/>
          <w:color w:val="auto"/>
          <w:highlight w:val="none"/>
          <w:lang w:val="en-US" w:eastAsia="zh-CN"/>
        </w:rPr>
        <w:t xml:space="preserve"> </w:t>
      </w:r>
    </w:p>
    <w:p>
      <w:pPr>
        <w:pStyle w:val="34"/>
        <w:spacing w:before="75" w:beforeAutospacing="0" w:after="75" w:afterAutospacing="0" w:line="360" w:lineRule="auto"/>
        <w:ind w:firstLine="480"/>
        <w:rPr>
          <w:rStyle w:val="185"/>
          <w:rFonts w:hint="eastAsia" w:ascii="宋体" w:hAnsi="宋体" w:eastAsia="宋体" w:cs="宋体"/>
          <w:color w:val="auto"/>
          <w:highlight w:val="none"/>
          <w:lang w:eastAsia="zh-CN"/>
        </w:rPr>
      </w:pPr>
      <w:r>
        <w:rPr>
          <w:rStyle w:val="185"/>
          <w:rFonts w:hint="eastAsia" w:ascii="宋体" w:hAnsi="宋体" w:eastAsia="宋体" w:cs="宋体"/>
          <w:color w:val="auto"/>
          <w:highlight w:val="none"/>
        </w:rPr>
        <w:t xml:space="preserve">项目名称： </w:t>
      </w:r>
      <w:r>
        <w:rPr>
          <w:rStyle w:val="185"/>
          <w:rFonts w:hint="eastAsia" w:cs="宋体"/>
          <w:color w:val="auto"/>
          <w:highlight w:val="none"/>
          <w:lang w:eastAsia="zh-CN"/>
        </w:rPr>
        <w:t>新疆消防救援总队乌鲁木齐支队“自然灾害应急能力提升工程”装备配备项目</w:t>
      </w:r>
      <w:r>
        <w:rPr>
          <w:rFonts w:hint="eastAsia" w:hAnsi="宋体" w:cs="Arial"/>
          <w:bCs/>
          <w:color w:val="auto"/>
          <w:highlight w:val="none"/>
          <w:lang w:eastAsia="zh-CN"/>
        </w:rPr>
        <w:t>（</w:t>
      </w:r>
      <w:r>
        <w:rPr>
          <w:rFonts w:hint="eastAsia" w:hAnsi="宋体" w:cs="Arial"/>
          <w:bCs/>
          <w:color w:val="auto"/>
          <w:highlight w:val="none"/>
          <w:lang w:val="en-US" w:eastAsia="zh-CN"/>
        </w:rPr>
        <w:t>二</w:t>
      </w:r>
      <w:r>
        <w:rPr>
          <w:rFonts w:hint="eastAsia" w:hAnsi="宋体" w:cs="Arial"/>
          <w:bCs/>
          <w:color w:val="auto"/>
          <w:highlight w:val="none"/>
          <w:lang w:eastAsia="zh-CN"/>
        </w:rPr>
        <w:t>）</w:t>
      </w:r>
    </w:p>
    <w:p>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采购方式：公开招标</w:t>
      </w:r>
    </w:p>
    <w:p>
      <w:pPr>
        <w:pStyle w:val="34"/>
        <w:spacing w:before="75" w:beforeAutospacing="0" w:after="75" w:afterAutospacing="0"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hAnsi="宋体" w:cs="Arial"/>
          <w:bCs/>
          <w:color w:val="auto"/>
          <w:highlight w:val="none"/>
          <w:lang w:val="en-US" w:eastAsia="zh-CN"/>
        </w:rPr>
        <w:t>9475</w:t>
      </w:r>
      <w:r>
        <w:rPr>
          <w:rFonts w:hint="eastAsia" w:cs="Arial"/>
          <w:bCs/>
          <w:color w:val="auto"/>
          <w:highlight w:val="none"/>
          <w:lang w:val="en-US" w:eastAsia="zh-CN"/>
        </w:rPr>
        <w:t>000.00</w:t>
      </w:r>
    </w:p>
    <w:p>
      <w:pPr>
        <w:pStyle w:val="34"/>
        <w:spacing w:before="75" w:beforeAutospacing="0" w:after="75" w:afterAutospacing="0" w:line="360" w:lineRule="auto"/>
        <w:ind w:firstLine="48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最高限价（元）：</w:t>
      </w:r>
      <w:r>
        <w:rPr>
          <w:rFonts w:hint="eastAsia" w:hAnsi="宋体" w:cs="Arial"/>
          <w:bCs/>
          <w:color w:val="auto"/>
          <w:highlight w:val="none"/>
          <w:lang w:val="en-US" w:eastAsia="zh-CN"/>
        </w:rPr>
        <w:t>9475</w:t>
      </w:r>
      <w:r>
        <w:rPr>
          <w:rFonts w:hint="eastAsia" w:cs="Arial"/>
          <w:bCs/>
          <w:color w:val="auto"/>
          <w:highlight w:val="none"/>
          <w:lang w:val="en-US" w:eastAsia="zh-CN"/>
        </w:rPr>
        <w:t>000.00</w:t>
      </w:r>
    </w:p>
    <w:p>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采购需求：</w:t>
      </w:r>
    </w:p>
    <w:p>
      <w:pPr>
        <w:pStyle w:val="34"/>
        <w:spacing w:before="75" w:beforeAutospacing="0" w:after="75" w:afterAutospacing="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标项一:</w:t>
      </w:r>
    </w:p>
    <w:p>
      <w:pPr>
        <w:pStyle w:val="34"/>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 xml:space="preserve"> </w:t>
      </w:r>
      <w:r>
        <w:rPr>
          <w:rStyle w:val="185"/>
          <w:rFonts w:hint="eastAsia" w:cs="宋体"/>
          <w:color w:val="auto"/>
          <w:highlight w:val="none"/>
          <w:lang w:val="en-US" w:eastAsia="zh-CN"/>
        </w:rPr>
        <w:t>第一包</w:t>
      </w:r>
    </w:p>
    <w:p>
      <w:pPr>
        <w:pStyle w:val="34"/>
        <w:spacing w:before="75" w:beforeAutospacing="0" w:after="75" w:afterAutospacing="0"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数量: </w:t>
      </w:r>
      <w:r>
        <w:rPr>
          <w:rFonts w:hint="eastAsia" w:cs="宋体"/>
          <w:color w:val="auto"/>
          <w:highlight w:val="none"/>
          <w:lang w:val="en-US" w:eastAsia="zh-CN"/>
        </w:rPr>
        <w:t>1批</w:t>
      </w:r>
    </w:p>
    <w:p>
      <w:pPr>
        <w:pStyle w:val="34"/>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 210</w:t>
      </w:r>
      <w:r>
        <w:rPr>
          <w:rFonts w:hint="eastAsia" w:cs="宋体"/>
          <w:color w:val="auto"/>
          <w:highlight w:val="none"/>
          <w:lang w:val="en-US" w:eastAsia="zh-CN"/>
        </w:rPr>
        <w:t>0000.0</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w:t>
      </w:r>
      <w:r>
        <w:rPr>
          <w:rFonts w:hint="default" w:ascii="宋体" w:hAnsi="宋体" w:eastAsia="宋体" w:cs="宋体"/>
          <w:color w:val="auto"/>
          <w:sz w:val="24"/>
          <w:szCs w:val="24"/>
          <w:highlight w:val="none"/>
          <w:lang w:val="en-US" w:eastAsia="zh-CN"/>
        </w:rPr>
        <w:t>前突皮卡车</w:t>
      </w:r>
      <w:r>
        <w:rPr>
          <w:rFonts w:hint="eastAsia" w:cs="宋体"/>
          <w:color w:val="auto"/>
          <w:sz w:val="24"/>
          <w:szCs w:val="24"/>
          <w:highlight w:val="none"/>
          <w:lang w:val="en-US" w:eastAsia="zh-CN"/>
        </w:rPr>
        <w:t>，具体详见招标文件</w:t>
      </w:r>
      <w:r>
        <w:rPr>
          <w:rFonts w:hint="eastAsia" w:ascii="宋体" w:hAnsi="宋体" w:eastAsia="宋体" w:cs="宋体"/>
          <w:color w:val="auto"/>
          <w:highlight w:val="none"/>
          <w:lang w:eastAsia="zh-CN"/>
        </w:rPr>
        <w:t>。</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 xml:space="preserve"> </w:t>
      </w:r>
      <w:r>
        <w:rPr>
          <w:rStyle w:val="185"/>
          <w:rFonts w:hint="eastAsia" w:cs="宋体"/>
          <w:color w:val="auto"/>
          <w:highlight w:val="none"/>
          <w:lang w:val="en-US" w:eastAsia="zh-CN"/>
        </w:rPr>
        <w:t>第二包</w:t>
      </w:r>
    </w:p>
    <w:p>
      <w:pPr>
        <w:pStyle w:val="34"/>
        <w:spacing w:before="75" w:beforeAutospacing="0" w:after="75" w:afterAutospacing="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数量: </w:t>
      </w:r>
      <w:r>
        <w:rPr>
          <w:rFonts w:hint="eastAsia" w:cs="宋体"/>
          <w:color w:val="auto"/>
          <w:highlight w:val="none"/>
          <w:lang w:val="en-US" w:eastAsia="zh-CN"/>
        </w:rPr>
        <w:t>1批</w:t>
      </w:r>
    </w:p>
    <w:p>
      <w:pPr>
        <w:pStyle w:val="34"/>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xml:space="preserve">预算金额（元）: </w:t>
      </w:r>
      <w:r>
        <w:rPr>
          <w:rFonts w:hint="eastAsia" w:ascii="Times New Roman" w:hAnsi="宋体" w:cs="Arial"/>
          <w:bCs/>
          <w:color w:val="auto"/>
          <w:highlight w:val="none"/>
          <w:lang w:val="en-US" w:eastAsia="zh-CN"/>
        </w:rPr>
        <w:t>3955</w:t>
      </w:r>
      <w:r>
        <w:rPr>
          <w:rFonts w:hint="eastAsia" w:ascii="宋体" w:hAnsi="宋体" w:eastAsia="宋体" w:cs="宋体"/>
          <w:color w:val="auto"/>
          <w:highlight w:val="none"/>
          <w:lang w:val="en-US" w:eastAsia="zh-CN"/>
        </w:rPr>
        <w:t>000.00</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简要规格描述或项目基本概况介绍、用途：淋浴车</w:t>
      </w:r>
      <w:r>
        <w:rPr>
          <w:rFonts w:hint="eastAsia" w:cs="宋体"/>
          <w:color w:val="auto"/>
          <w:highlight w:val="none"/>
          <w:lang w:eastAsia="zh-CN"/>
        </w:rPr>
        <w:t>、</w:t>
      </w:r>
      <w:r>
        <w:rPr>
          <w:rFonts w:hint="eastAsia" w:ascii="宋体" w:hAnsi="宋体" w:eastAsia="宋体" w:cs="宋体"/>
          <w:color w:val="auto"/>
          <w:highlight w:val="none"/>
        </w:rPr>
        <w:t>被服洗涤车</w:t>
      </w:r>
      <w:r>
        <w:rPr>
          <w:rFonts w:hint="eastAsia" w:cs="宋体"/>
          <w:color w:val="auto"/>
          <w:highlight w:val="none"/>
          <w:lang w:eastAsia="zh-CN"/>
        </w:rPr>
        <w:t>、发电车，</w:t>
      </w:r>
      <w:r>
        <w:rPr>
          <w:rFonts w:hint="eastAsia" w:ascii="宋体" w:hAnsi="宋体" w:eastAsia="宋体" w:cs="宋体"/>
          <w:color w:val="auto"/>
          <w:highlight w:val="none"/>
          <w:lang w:eastAsia="zh-CN"/>
        </w:rPr>
        <w:t xml:space="preserve"> </w:t>
      </w:r>
      <w:r>
        <w:rPr>
          <w:rFonts w:hint="eastAsia" w:cs="宋体"/>
          <w:color w:val="auto"/>
          <w:sz w:val="24"/>
          <w:szCs w:val="24"/>
          <w:highlight w:val="none"/>
          <w:lang w:val="en-US" w:eastAsia="zh-CN"/>
        </w:rPr>
        <w:t>具体详见招标文件</w:t>
      </w:r>
      <w:r>
        <w:rPr>
          <w:rFonts w:hint="eastAsia" w:ascii="宋体" w:hAnsi="宋体" w:eastAsia="宋体" w:cs="宋体"/>
          <w:color w:val="auto"/>
          <w:highlight w:val="none"/>
          <w:lang w:eastAsia="zh-CN"/>
        </w:rPr>
        <w:t>。</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 xml:space="preserve"> </w:t>
      </w:r>
      <w:r>
        <w:rPr>
          <w:rStyle w:val="185"/>
          <w:rFonts w:hint="eastAsia" w:cs="宋体"/>
          <w:color w:val="auto"/>
          <w:highlight w:val="none"/>
          <w:lang w:val="en-US" w:eastAsia="zh-CN"/>
        </w:rPr>
        <w:t>第三包</w:t>
      </w:r>
    </w:p>
    <w:p>
      <w:pPr>
        <w:pStyle w:val="34"/>
        <w:spacing w:before="75" w:beforeAutospacing="0" w:after="75" w:afterAutospacing="0"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数量: </w:t>
      </w:r>
      <w:r>
        <w:rPr>
          <w:rFonts w:hint="eastAsia" w:ascii="宋体" w:hAnsi="宋体" w:eastAsia="宋体" w:cs="宋体"/>
          <w:color w:val="auto"/>
          <w:highlight w:val="none"/>
          <w:lang w:val="en-US" w:eastAsia="zh-CN"/>
        </w:rPr>
        <w:t>1批</w:t>
      </w:r>
    </w:p>
    <w:p>
      <w:pPr>
        <w:pStyle w:val="34"/>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xml:space="preserve">预算金额（元）: </w:t>
      </w:r>
      <w:r>
        <w:rPr>
          <w:rFonts w:hint="eastAsia" w:ascii="Times New Roman" w:hAnsi="宋体" w:cs="Arial"/>
          <w:bCs/>
          <w:color w:val="auto"/>
          <w:highlight w:val="none"/>
          <w:lang w:val="en-US" w:eastAsia="zh-CN"/>
        </w:rPr>
        <w:t>342</w:t>
      </w:r>
      <w:r>
        <w:rPr>
          <w:rFonts w:hint="eastAsia" w:ascii="宋体" w:hAnsi="宋体" w:eastAsia="宋体" w:cs="宋体"/>
          <w:color w:val="auto"/>
          <w:highlight w:val="none"/>
          <w:lang w:val="en-US" w:eastAsia="zh-CN"/>
        </w:rPr>
        <w:t>0000.00</w:t>
      </w:r>
    </w:p>
    <w:p>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简要规格描述或项目基本概况介绍、用途：冷藏车</w:t>
      </w:r>
      <w:r>
        <w:rPr>
          <w:rFonts w:hint="eastAsia" w:cs="宋体"/>
          <w:color w:val="auto"/>
          <w:highlight w:val="none"/>
          <w:lang w:eastAsia="zh-CN"/>
        </w:rPr>
        <w:t>、</w:t>
      </w:r>
      <w:r>
        <w:rPr>
          <w:rFonts w:hint="eastAsia" w:ascii="宋体" w:hAnsi="宋体" w:eastAsia="宋体" w:cs="宋体"/>
          <w:color w:val="auto"/>
          <w:highlight w:val="none"/>
        </w:rPr>
        <w:t>水质净化车</w:t>
      </w:r>
      <w:r>
        <w:rPr>
          <w:rFonts w:hint="eastAsia" w:cs="宋体"/>
          <w:color w:val="auto"/>
          <w:highlight w:val="none"/>
          <w:lang w:eastAsia="zh-CN"/>
        </w:rPr>
        <w:t>、</w:t>
      </w:r>
      <w:r>
        <w:rPr>
          <w:rFonts w:hint="eastAsia" w:ascii="宋体" w:hAnsi="宋体" w:eastAsia="宋体" w:cs="宋体"/>
          <w:color w:val="auto"/>
          <w:highlight w:val="none"/>
        </w:rPr>
        <w:t>盥洗车</w:t>
      </w:r>
      <w:r>
        <w:rPr>
          <w:rFonts w:hint="eastAsia" w:cs="宋体"/>
          <w:color w:val="auto"/>
          <w:highlight w:val="none"/>
          <w:lang w:eastAsia="zh-CN"/>
        </w:rPr>
        <w:t>，</w:t>
      </w:r>
      <w:r>
        <w:rPr>
          <w:rFonts w:hint="eastAsia" w:cs="宋体"/>
          <w:color w:val="auto"/>
          <w:sz w:val="24"/>
          <w:szCs w:val="24"/>
          <w:highlight w:val="none"/>
          <w:lang w:val="en-US" w:eastAsia="zh-CN"/>
        </w:rPr>
        <w:t>具体详见招标文件</w:t>
      </w:r>
      <w:r>
        <w:rPr>
          <w:rFonts w:hint="eastAsia" w:ascii="宋体" w:hAnsi="宋体" w:eastAsia="宋体" w:cs="宋体"/>
          <w:color w:val="auto"/>
          <w:highlight w:val="none"/>
          <w:lang w:eastAsia="zh-CN"/>
        </w:rPr>
        <w:t>。</w:t>
      </w:r>
    </w:p>
    <w:p>
      <w:pPr>
        <w:pStyle w:val="34"/>
        <w:spacing w:before="75" w:beforeAutospacing="0" w:after="75" w:afterAutospacing="0" w:line="360" w:lineRule="auto"/>
        <w:ind w:firstLine="480" w:firstLineChars="200"/>
        <w:rPr>
          <w:rStyle w:val="185"/>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合同履约期限：签订合同后90日内交付货物、安装并完成调试，采购人7日内组织初验，通过采购人初验后，试运行1个月，所供货物使用正常，满足采购人需求，采购人7日内出具最终验收意见</w:t>
      </w:r>
      <w:r>
        <w:rPr>
          <w:rStyle w:val="185"/>
          <w:rFonts w:hint="eastAsia" w:ascii="宋体" w:hAnsi="宋体" w:eastAsia="宋体" w:cs="宋体"/>
          <w:color w:val="auto"/>
          <w:highlight w:val="none"/>
        </w:rPr>
        <w:t>；</w:t>
      </w:r>
    </w:p>
    <w:p>
      <w:pPr>
        <w:pStyle w:val="34"/>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w:t>
      </w:r>
    </w:p>
    <w:p>
      <w:pPr>
        <w:jc w:val="center"/>
        <w:rPr>
          <w:rFonts w:hint="eastAsia"/>
          <w:color w:val="auto"/>
          <w:sz w:val="24"/>
          <w:szCs w:val="24"/>
          <w:highlight w:val="none"/>
        </w:rPr>
      </w:pPr>
    </w:p>
    <w:p>
      <w:pPr>
        <w:pStyle w:val="5"/>
        <w:rPr>
          <w:color w:val="auto"/>
          <w:highlight w:val="none"/>
        </w:rPr>
      </w:pPr>
      <w:r>
        <w:rPr>
          <w:rFonts w:hint="eastAsia"/>
          <w:color w:val="auto"/>
          <w:highlight w:val="none"/>
        </w:rPr>
        <w:t>二、申请人的资格要求</w:t>
      </w:r>
    </w:p>
    <w:p>
      <w:pPr>
        <w:spacing w:line="460" w:lineRule="exact"/>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1.满足《中华人民共和国政府采购法》第二十二条规定；</w:t>
      </w:r>
    </w:p>
    <w:p>
      <w:pPr>
        <w:spacing w:line="4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2.落实政府采购政策需满足的资格要求：1）本项目非专门面向中小企业采购，</w:t>
      </w:r>
      <w:r>
        <w:rPr>
          <w:rFonts w:hint="eastAsia" w:ascii="宋体" w:hAnsi="宋体" w:cs="宋体"/>
          <w:color w:val="auto"/>
          <w:sz w:val="24"/>
          <w:szCs w:val="24"/>
          <w:highlight w:val="none"/>
          <w:lang w:val="zh-CN" w:eastAsia="zh-CN"/>
        </w:rPr>
        <w:t>供应商所提供货物的制造商为小型、微型企业的，给予10%的价格扣除</w:t>
      </w:r>
      <w:r>
        <w:rPr>
          <w:rFonts w:hint="eastAsia" w:ascii="宋体" w:hAnsi="宋体" w:cs="宋体"/>
          <w:color w:val="auto"/>
          <w:sz w:val="24"/>
          <w:szCs w:val="24"/>
          <w:highlight w:val="none"/>
          <w:lang w:val="zh-CN"/>
        </w:rPr>
        <w:t>；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spacing w:line="4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.本项目的特定资格要求：</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存在利害关系可能影响招标公正性的法人、其他组织或者个人，不得参加同一标段投标或者未划分标段的同一招标不得参加投标；</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负责人为同一人或者存在控股、管理关系的不同单位，不得同时参加本项目的投标；</w:t>
      </w:r>
    </w:p>
    <w:p>
      <w:pPr>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、政府采购严重违法失信行为记录名单的（尚在处罚期内的），将拒绝其参加本次项目投标；</w:t>
      </w:r>
    </w:p>
    <w:p>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4.本项目不接受联合体投标。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日，每天上午0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:00至12:00，下午12:00至</w:t>
      </w:r>
      <w:r>
        <w:rPr>
          <w:rFonts w:hint="eastAsia" w:ascii="宋体" w:hAnsi="宋体" w:cs="宋体"/>
          <w:color w:val="auto"/>
          <w:sz w:val="24"/>
          <w:szCs w:val="24"/>
          <w:highlight w:val="none"/>
          <w:lang w:val="en-US" w:eastAsia="zh-CN"/>
        </w:rPr>
        <w:t>23:59</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2" w:name="_Toc25587"/>
      <w:r>
        <w:rPr>
          <w:rFonts w:hint="eastAsia" w:ascii="宋体" w:hAnsi="宋体" w:eastAsia="宋体" w:cs="宋体"/>
          <w:b/>
          <w:bCs/>
          <w:color w:val="auto"/>
          <w:sz w:val="24"/>
          <w:szCs w:val="24"/>
          <w:highlight w:val="none"/>
        </w:rPr>
        <w:t>四、提交投标文件截止时间、开标时间和地点</w:t>
      </w:r>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投标地点：政采云平台（https://www.zcygov.cn/），本项目采用不见面开标，加密的电子投标文件在投标截止时间前在政采云平台上传。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开标地点：政采云平台（https://www.zcygov.cn/）不见面开标系统</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3" w:name="_Toc13916"/>
      <w:r>
        <w:rPr>
          <w:rFonts w:hint="eastAsia" w:ascii="宋体" w:hAnsi="宋体" w:eastAsia="宋体" w:cs="宋体"/>
          <w:b/>
          <w:bCs/>
          <w:color w:val="auto"/>
          <w:sz w:val="24"/>
          <w:szCs w:val="24"/>
          <w:highlight w:val="none"/>
        </w:rPr>
        <w:t>五、公告期限</w:t>
      </w:r>
      <w:bookmarkEnd w:id="23"/>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bookmarkStart w:id="24" w:name="_Toc14151"/>
      <w:r>
        <w:rPr>
          <w:rFonts w:hint="eastAsia" w:ascii="宋体" w:hAnsi="宋体" w:eastAsia="宋体" w:cs="宋体"/>
          <w:b/>
          <w:bCs/>
          <w:color w:val="auto"/>
          <w:sz w:val="24"/>
          <w:szCs w:val="24"/>
          <w:highlight w:val="none"/>
        </w:rPr>
        <w:t>六、其他补充事宜</w:t>
      </w:r>
      <w:bookmarkEnd w:id="24"/>
    </w:p>
    <w:p>
      <w:pPr>
        <w:pStyle w:val="34"/>
        <w:numPr>
          <w:ilvl w:val="0"/>
          <w:numId w:val="0"/>
        </w:numPr>
        <w:spacing w:before="75" w:beforeAutospacing="0" w:after="75" w:afterAutospacing="0" w:line="360" w:lineRule="auto"/>
        <w:ind w:firstLine="480" w:firstLineChars="200"/>
        <w:rPr>
          <w:rFonts w:hint="eastAsia" w:ascii="宋体" w:hAnsi="宋体" w:eastAsia="宋体" w:cs="宋体"/>
          <w:color w:val="000000"/>
          <w:lang w:val="en-US" w:eastAsia="zh-CN"/>
        </w:rPr>
      </w:pPr>
      <w:bookmarkStart w:id="25" w:name="_Toc28291"/>
      <w:r>
        <w:rPr>
          <w:rFonts w:hint="eastAsia" w:cs="宋体"/>
          <w:color w:val="000000"/>
          <w:lang w:val="en-US" w:eastAsia="zh-CN"/>
        </w:rPr>
        <w:t>1、</w:t>
      </w:r>
      <w:r>
        <w:rPr>
          <w:rFonts w:hint="eastAsia" w:ascii="宋体" w:hAnsi="宋体" w:eastAsia="宋体" w:cs="宋体"/>
          <w:color w:val="000000"/>
          <w:lang w:val="en-US" w:eastAsia="zh-CN"/>
        </w:rPr>
        <w:t>本项目采用全流程不见面电子开评标，供应商在开标前应确保成为新疆政府采购网正式注册入库供应商，并完成 CA 数字证书申领。因未注册入库、未办理 CA数字证书等原因造成无法投标或投标失败等后果由供应商自行承担。</w:t>
      </w:r>
    </w:p>
    <w:p>
      <w:pPr>
        <w:pStyle w:val="34"/>
        <w:numPr>
          <w:ilvl w:val="0"/>
          <w:numId w:val="0"/>
        </w:numPr>
        <w:spacing w:before="75" w:beforeAutospacing="0" w:after="75" w:afterAutospacing="0"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2、供应商可通过新疆数字证书认证中心官网（https://www.xjca.com.cn/）或下载“新疆政务通”APP 自行进行 CA 数字证书申领，也可与新疆 CA 全疆服务机构联系现场办理 CA 数字证书，具体流程请前往新疆政府采购网（http://www.ccgp-xinjiang.gov.cn/）办事指南模块查看《CA 证书办理操作指南》。</w:t>
      </w:r>
    </w:p>
    <w:p>
      <w:pPr>
        <w:pStyle w:val="34"/>
        <w:numPr>
          <w:ilvl w:val="0"/>
          <w:numId w:val="0"/>
        </w:numPr>
        <w:spacing w:before="75" w:beforeAutospacing="0" w:after="75" w:afterAutospacing="0"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3、本项目实行网上投标，采用加密电子投标文件(供应商须使用 CA 加密设备通过政采云电子投标客户端制作投标文件)。</w:t>
      </w:r>
      <w:r>
        <w:rPr>
          <w:rFonts w:hint="eastAsia" w:ascii="宋体" w:hAnsi="宋体" w:eastAsia="宋体" w:cs="宋体"/>
          <w:color w:val="000000"/>
          <w:lang w:val="en-US" w:eastAsia="zh-CN"/>
        </w:rPr>
        <w:br w:type="textWrapping"/>
      </w:r>
      <w:r>
        <w:rPr>
          <w:rFonts w:hint="eastAsia" w:cs="宋体"/>
          <w:color w:val="000000"/>
          <w:lang w:val="en-US" w:eastAsia="zh-CN"/>
        </w:rPr>
        <w:t xml:space="preserve">    </w:t>
      </w:r>
      <w:r>
        <w:rPr>
          <w:rFonts w:hint="eastAsia" w:ascii="宋体" w:hAnsi="宋体" w:eastAsia="宋体" w:cs="宋体"/>
          <w:color w:val="000000"/>
          <w:lang w:val="en-US" w:eastAsia="zh-CN"/>
        </w:rPr>
        <w:t>4、供应商编制电子投标文件应安装“电子招投标供应商投标客户端”软件，并按照本采购文件和政采云投标客户端的要求编制并加密投标文件。未按规定加密的投标文件，将被电子招投标供应商客户端拒收。“电子招投标供应商投标客户端”请至新疆政府采购网下载专区获取，如有问题可拨打政采云客户服务热线 95763 进行咨询。</w:t>
      </w:r>
    </w:p>
    <w:p>
      <w:pPr>
        <w:pStyle w:val="34"/>
        <w:numPr>
          <w:ilvl w:val="0"/>
          <w:numId w:val="0"/>
        </w:numPr>
        <w:spacing w:before="75" w:beforeAutospacing="0" w:after="75" w:afterAutospacing="0"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5、供应商在开标时须使用制作加密电子投标文件所使用的 CA 锁及电脑，电脑须提前配置好浏览器（建议使用谷歌浏览器），以便开标时解锁。</w:t>
      </w:r>
    </w:p>
    <w:p>
      <w:pPr>
        <w:pStyle w:val="34"/>
        <w:numPr>
          <w:ilvl w:val="0"/>
          <w:numId w:val="0"/>
        </w:numPr>
        <w:spacing w:before="75" w:beforeAutospacing="0" w:after="75" w:afterAutospacing="0"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6、供应商对不见面开评 标 系 统 的 技 术 操 作 咨 询 ， 可 通 过https://edu.zcygov.cn/luban/xinjiang-e-biding 自助查询，也可在政采云帮助中心 常 见 问 题 解 答 和 操 作 流 程 讲 解 视 频 中 自 助 查 询 ， 网 址 为 ：</w:t>
      </w:r>
      <w:r>
        <w:rPr>
          <w:rFonts w:hint="eastAsia" w:ascii="宋体" w:hAnsi="宋体" w:eastAsia="宋体" w:cs="宋体"/>
          <w:color w:val="000000"/>
          <w:lang w:val="en-US" w:eastAsia="zh-CN"/>
        </w:rPr>
        <w:fldChar w:fldCharType="begin"/>
      </w:r>
      <w:r>
        <w:rPr>
          <w:rFonts w:hint="eastAsia" w:ascii="宋体" w:hAnsi="宋体" w:eastAsia="宋体" w:cs="宋体"/>
          <w:color w:val="000000"/>
          <w:lang w:val="en-US" w:eastAsia="zh-CN"/>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000000"/>
          <w:lang w:val="en-US" w:eastAsia="zh-CN"/>
        </w:rPr>
        <w:fldChar w:fldCharType="separate"/>
      </w:r>
      <w:r>
        <w:rPr>
          <w:rFonts w:hint="eastAsia" w:ascii="宋体" w:hAnsi="宋体" w:eastAsia="宋体" w:cs="宋体"/>
          <w:color w:val="000000"/>
          <w:lang w:val="en-US" w:eastAsia="zh-CN"/>
        </w:rPr>
        <w:t>https://service.zcygov.cn/#/help，“项目采购”—“操作流程-电子招投标”—“政府采购项目电子交易管理操作指南-供应商”版面获取操作指南。</w:t>
      </w:r>
      <w:r>
        <w:rPr>
          <w:rFonts w:hint="eastAsia" w:ascii="宋体" w:hAnsi="宋体" w:eastAsia="宋体" w:cs="宋体"/>
          <w:color w:val="000000"/>
          <w:lang w:val="en-US" w:eastAsia="zh-CN"/>
        </w:rPr>
        <w:fldChar w:fldCharType="end"/>
      </w:r>
    </w:p>
    <w:p>
      <w:pPr>
        <w:pStyle w:val="34"/>
        <w:numPr>
          <w:ilvl w:val="0"/>
          <w:numId w:val="0"/>
        </w:numPr>
        <w:spacing w:before="75" w:beforeAutospacing="0" w:after="75" w:afterAutospacing="0" w:line="360" w:lineRule="auto"/>
        <w:ind w:firstLine="480" w:firstLineChars="200"/>
      </w:pPr>
      <w:r>
        <w:rPr>
          <w:rFonts w:hint="eastAsia" w:ascii="宋体" w:hAnsi="宋体" w:eastAsia="宋体" w:cs="宋体"/>
          <w:color w:val="000000"/>
          <w:lang w:val="en-US" w:eastAsia="zh-CN"/>
        </w:rPr>
        <w:t>7、为了保证开评标顺利进行，政采云线上开标功能完全实现，供应商开标所使用的电脑设备须具有视频及语音功能。</w:t>
      </w:r>
    </w:p>
    <w:p>
      <w:pPr>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8、本公告同时在新疆政府采购网（http://www.ccgp-xinjiang.gov.cn/）、中国政府采购网（http://www.ccgp.gov.cn/）发布。</w:t>
      </w:r>
    </w:p>
    <w:p>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特别提示：</w:t>
      </w:r>
    </w:p>
    <w:p>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1、采购限额标准以上，200万元以下的货物和服务采购项目、400万元以下的工程采购项目，适宜由中小企业提供的，采购人应当专门面向中小企业采购。</w:t>
      </w:r>
    </w:p>
    <w:p>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pacing w:before="75" w:beforeAutospacing="0" w:after="75" w:afterAutospacing="0" w:line="360" w:lineRule="auto"/>
        <w:ind w:firstLine="480"/>
        <w:rPr>
          <w:rFonts w:hint="eastAsia"/>
          <w:color w:val="auto"/>
          <w:highlight w:val="none"/>
          <w:lang w:val="zh-CN" w:eastAsia="zh-CN"/>
        </w:rPr>
      </w:pPr>
      <w:r>
        <w:rPr>
          <w:rFonts w:hint="eastAsia" w:ascii="宋体" w:hAnsi="宋体" w:eastAsia="宋体" w:cs="宋体"/>
          <w:color w:val="auto"/>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bookmarkEnd w:id="25"/>
    </w:p>
    <w:p>
      <w:pPr>
        <w:spacing w:line="460" w:lineRule="exact"/>
        <w:ind w:firstLine="720" w:firstLineChars="3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none"/>
        </w:rPr>
        <w:t xml:space="preserve"> 乌鲁木齐市消防救援支队 </w:t>
      </w:r>
      <w:r>
        <w:rPr>
          <w:rFonts w:hint="eastAsia" w:ascii="宋体" w:hAnsi="宋体" w:cs="宋体"/>
          <w:color w:val="auto"/>
          <w:sz w:val="24"/>
          <w:szCs w:val="24"/>
          <w:highlight w:val="none"/>
          <w:u w:val="single"/>
        </w:rPr>
        <w:t xml:space="preserve"> </w:t>
      </w:r>
    </w:p>
    <w:p>
      <w:pPr>
        <w:spacing w:line="46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地    址：乌鲁木齐市水磨沟区七道湾南路凤起街2166号</w:t>
      </w:r>
      <w:r>
        <w:rPr>
          <w:rFonts w:hint="eastAsia" w:ascii="宋体" w:hAnsi="宋体" w:cs="宋体"/>
          <w:color w:val="auto"/>
          <w:sz w:val="24"/>
          <w:szCs w:val="24"/>
          <w:highlight w:val="none"/>
          <w:u w:val="single"/>
        </w:rPr>
        <w:t xml:space="preserve">        </w:t>
      </w:r>
    </w:p>
    <w:p>
      <w:pPr>
        <w:spacing w:line="460" w:lineRule="exact"/>
        <w:ind w:firstLine="720" w:firstLineChars="300"/>
        <w:jc w:val="left"/>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人：邓先生  阴女士</w:t>
      </w:r>
    </w:p>
    <w:p>
      <w:pPr>
        <w:pStyle w:val="127"/>
        <w:widowControl w:val="0"/>
        <w:spacing w:line="460" w:lineRule="exact"/>
        <w:ind w:left="0" w:firstLine="720" w:firstLineChars="300"/>
        <w:rPr>
          <w:rFonts w:ascii="宋体" w:hAnsi="宋体" w:cs="宋体"/>
          <w:color w:val="auto"/>
          <w:kern w:val="2"/>
          <w:highlight w:val="none"/>
          <w:u w:val="single"/>
          <w:lang w:eastAsia="zh-CN" w:bidi="ar-SA"/>
        </w:rPr>
      </w:pPr>
      <w:r>
        <w:rPr>
          <w:rFonts w:hint="eastAsia" w:ascii="宋体" w:hAnsi="宋体" w:cs="宋体"/>
          <w:color w:val="auto"/>
          <w:highlight w:val="none"/>
          <w:lang w:eastAsia="zh-CN"/>
        </w:rPr>
        <w:t>联</w:t>
      </w:r>
      <w:r>
        <w:rPr>
          <w:rFonts w:hint="eastAsia" w:ascii="宋体" w:hAnsi="宋体" w:cs="宋体"/>
          <w:color w:val="auto"/>
          <w:kern w:val="2"/>
          <w:highlight w:val="none"/>
          <w:lang w:eastAsia="zh-CN" w:bidi="ar-SA"/>
        </w:rPr>
        <w:t>系方式：189999923</w:t>
      </w:r>
      <w:r>
        <w:rPr>
          <w:rFonts w:hint="eastAsia" w:ascii="宋体" w:hAnsi="宋体" w:cs="宋体"/>
          <w:color w:val="auto"/>
          <w:kern w:val="2"/>
          <w:highlight w:val="none"/>
          <w:lang w:val="en-US" w:eastAsia="zh-CN" w:bidi="ar-SA"/>
        </w:rPr>
        <w:t>60</w:t>
      </w:r>
      <w:r>
        <w:rPr>
          <w:rFonts w:hint="eastAsia" w:ascii="宋体" w:hAnsi="宋体" w:cs="宋体"/>
          <w:color w:val="auto"/>
          <w:kern w:val="2"/>
          <w:highlight w:val="none"/>
          <w:lang w:eastAsia="zh-CN" w:bidi="ar-SA"/>
        </w:rPr>
        <w:t xml:space="preserve">  13699380864 </w:t>
      </w:r>
    </w:p>
    <w:p>
      <w:pPr>
        <w:spacing w:line="46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spacing w:line="460" w:lineRule="exact"/>
        <w:ind w:firstLine="720" w:firstLineChars="3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称：华春建设工程项目管理有限责任公司</w:t>
      </w:r>
    </w:p>
    <w:p>
      <w:pPr>
        <w:spacing w:line="460" w:lineRule="exact"/>
        <w:ind w:left="1798" w:leftChars="342" w:hanging="1080" w:hangingChars="45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址：新疆乌鲁木齐市水磨沟区浙商大厦15楼1505室</w:t>
      </w:r>
    </w:p>
    <w:p>
      <w:pPr>
        <w:spacing w:line="460" w:lineRule="exact"/>
        <w:ind w:left="1198" w:leftChars="342" w:hanging="480" w:hanging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人：李武涛、王园</w:t>
      </w:r>
    </w:p>
    <w:p>
      <w:pPr>
        <w:spacing w:line="460" w:lineRule="exact"/>
        <w:ind w:left="1198" w:leftChars="342" w:hanging="480" w:hangingChars="200"/>
        <w:jc w:val="left"/>
        <w:rPr>
          <w:rFonts w:hint="eastAsia" w:ascii="宋体" w:hAnsi="宋体" w:eastAsia="宋体" w:cs="宋体"/>
          <w:color w:val="auto"/>
          <w:spacing w:val="10"/>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：18199822872、0991-8897121</w:t>
      </w:r>
    </w:p>
    <w:p>
      <w:pPr>
        <w:spacing w:line="460" w:lineRule="exact"/>
        <w:ind w:left="1174" w:leftChars="342" w:hanging="456" w:hangingChars="200"/>
        <w:jc w:val="left"/>
        <w:rPr>
          <w:rFonts w:ascii="宋体" w:hAnsi="宋体" w:cs="宋体"/>
          <w:color w:val="auto"/>
          <w:spacing w:val="-6"/>
          <w:sz w:val="24"/>
          <w:szCs w:val="24"/>
          <w:highlight w:val="none"/>
          <w:u w:val="single"/>
        </w:rPr>
      </w:pPr>
    </w:p>
    <w:p>
      <w:pPr>
        <w:jc w:val="right"/>
        <w:rPr>
          <w:rFonts w:ascii="宋体" w:hAnsi="宋体" w:cs="宋体"/>
          <w:color w:val="auto"/>
          <w:spacing w:val="10"/>
          <w:sz w:val="24"/>
          <w:szCs w:val="24"/>
          <w:highlight w:val="none"/>
        </w:rPr>
      </w:pPr>
      <w:r>
        <w:rPr>
          <w:rFonts w:hint="eastAsia" w:ascii="宋体" w:hAnsi="宋体" w:cs="宋体"/>
          <w:color w:val="auto"/>
          <w:sz w:val="24"/>
          <w:szCs w:val="24"/>
          <w:highlight w:val="none"/>
          <w:lang w:val="en-US" w:eastAsia="zh-CN"/>
        </w:rPr>
        <w:t>2024</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w:t>
      </w:r>
      <w:r>
        <w:rPr>
          <w:rFonts w:hint="eastAsia" w:ascii="宋体" w:hAnsi="宋体" w:cs="宋体"/>
          <w:color w:val="auto"/>
          <w:spacing w:val="10"/>
          <w:sz w:val="24"/>
          <w:szCs w:val="24"/>
          <w:highlight w:val="none"/>
        </w:rPr>
        <w:br w:type="page"/>
      </w:r>
    </w:p>
    <w:bookmarkEnd w:id="14"/>
    <w:p>
      <w:pPr>
        <w:pStyle w:val="3"/>
        <w:rPr>
          <w:color w:val="auto"/>
          <w:highlight w:val="none"/>
        </w:rPr>
      </w:pPr>
      <w:bookmarkStart w:id="26" w:name="_Toc13939"/>
      <w:bookmarkStart w:id="27" w:name="_Toc6701"/>
      <w:bookmarkStart w:id="28" w:name="_Toc16938518"/>
      <w:bookmarkStart w:id="29" w:name="_Toc9359"/>
      <w:bookmarkStart w:id="30" w:name="_Toc20823274"/>
      <w:bookmarkStart w:id="31" w:name="_Toc513029202"/>
      <w:bookmarkStart w:id="32" w:name="_Toc120614213"/>
      <w:r>
        <w:rPr>
          <w:rFonts w:hint="eastAsia"/>
          <w:color w:val="auto"/>
          <w:highlight w:val="none"/>
        </w:rPr>
        <w:t xml:space="preserve">第二章 </w:t>
      </w:r>
      <w:r>
        <w:rPr>
          <w:rFonts w:hint="eastAsia"/>
          <w:color w:val="auto"/>
          <w:highlight w:val="none"/>
          <w:lang w:eastAsia="zh-CN"/>
        </w:rPr>
        <w:t>供应商</w:t>
      </w:r>
      <w:r>
        <w:rPr>
          <w:rFonts w:hint="eastAsia"/>
          <w:color w:val="auto"/>
          <w:highlight w:val="none"/>
        </w:rPr>
        <w:t>须知</w:t>
      </w:r>
      <w:bookmarkEnd w:id="15"/>
      <w:bookmarkEnd w:id="26"/>
      <w:bookmarkEnd w:id="27"/>
      <w:bookmarkEnd w:id="28"/>
      <w:bookmarkEnd w:id="29"/>
      <w:bookmarkEnd w:id="30"/>
      <w:bookmarkEnd w:id="31"/>
      <w:bookmarkEnd w:id="32"/>
    </w:p>
    <w:p>
      <w:pPr>
        <w:pStyle w:val="5"/>
        <w:rPr>
          <w:color w:val="auto"/>
          <w:highlight w:val="none"/>
        </w:rPr>
      </w:pPr>
      <w:bookmarkStart w:id="33" w:name="_Toc21065"/>
      <w:bookmarkStart w:id="34" w:name="_Toc19352"/>
      <w:bookmarkStart w:id="35" w:name="_Toc534725606"/>
      <w:r>
        <w:rPr>
          <w:rFonts w:hint="eastAsia"/>
          <w:color w:val="auto"/>
          <w:highlight w:val="none"/>
        </w:rPr>
        <w:t xml:space="preserve">一、总  </w:t>
      </w:r>
      <w:bookmarkStart w:id="36" w:name="_Toc9510635"/>
      <w:r>
        <w:rPr>
          <w:rFonts w:hint="eastAsia"/>
          <w:color w:val="auto"/>
          <w:highlight w:val="none"/>
        </w:rPr>
        <w:t>则</w:t>
      </w:r>
      <w:bookmarkEnd w:id="33"/>
      <w:bookmarkEnd w:id="34"/>
    </w:p>
    <w:p>
      <w:pPr>
        <w:pStyle w:val="6"/>
        <w:rPr>
          <w:color w:val="auto"/>
          <w:highlight w:val="none"/>
        </w:rPr>
      </w:pPr>
      <w:bookmarkStart w:id="37" w:name="_Toc26214"/>
      <w:r>
        <w:rPr>
          <w:rFonts w:hint="eastAsia"/>
          <w:color w:val="auto"/>
          <w:highlight w:val="none"/>
        </w:rPr>
        <w:t>1、适用</w:t>
      </w:r>
      <w:bookmarkEnd w:id="36"/>
      <w:r>
        <w:rPr>
          <w:rFonts w:hint="eastAsia"/>
          <w:color w:val="auto"/>
          <w:highlight w:val="none"/>
        </w:rPr>
        <w:t>范围</w:t>
      </w:r>
      <w:bookmarkEnd w:id="37"/>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本招标文件适用于</w:t>
      </w:r>
      <w:r>
        <w:rPr>
          <w:rFonts w:hint="eastAsia" w:asciiTheme="majorEastAsia" w:hAnsiTheme="majorEastAsia" w:eastAsiaTheme="majorEastAsia" w:cstheme="majorEastAsia"/>
          <w:bCs/>
          <w:color w:val="auto"/>
          <w:sz w:val="24"/>
          <w:szCs w:val="24"/>
          <w:highlight w:val="none"/>
        </w:rPr>
        <w:t>本次采购项目</w:t>
      </w:r>
      <w:r>
        <w:rPr>
          <w:rFonts w:hint="eastAsia" w:asciiTheme="majorEastAsia" w:hAnsiTheme="majorEastAsia" w:eastAsiaTheme="majorEastAsia" w:cstheme="majorEastAsia"/>
          <w:color w:val="auto"/>
          <w:sz w:val="24"/>
          <w:szCs w:val="24"/>
          <w:highlight w:val="none"/>
        </w:rPr>
        <w:t>的招标、投标、评标、定标、验收、合同履约、付款等行为（法律、法规另有规定的，从其规定）。</w:t>
      </w:r>
    </w:p>
    <w:p>
      <w:pPr>
        <w:pStyle w:val="6"/>
        <w:rPr>
          <w:color w:val="auto"/>
          <w:highlight w:val="none"/>
        </w:rPr>
      </w:pPr>
      <w:bookmarkStart w:id="38" w:name="_Toc24800"/>
      <w:r>
        <w:rPr>
          <w:rFonts w:hint="eastAsia"/>
          <w:color w:val="auto"/>
          <w:highlight w:val="none"/>
        </w:rPr>
        <w:t>2、定义</w:t>
      </w:r>
      <w:bookmarkEnd w:id="38"/>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 招标采购单位（采购人）系指采购单位。</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”系指向采购方提交投标文件的法人、其他组织或者自然人。</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 “产品”系指供方按招标文件规定，须向采购人提供的一切设备、保险、税金、备品备件、工具、手册及其它有关技术资料和材料。</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 “服务”系指招标文件规定</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须承担的安装、调试、技术协助、校准、培训、技术指导以及其他类似的义务。</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 “项目”系指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按招标文件规定向采购人提供的产品和服务。</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 “书面形式”包括信函、传真、电子邮件等。</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2.7实质性响应:系指投标文件符合招标文件规定的实质性内容、条件和规定。</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2.8重大偏离或保留：系指将会影响到招标文件规定的服务范围、质量标准，或会给合同中规定的</w:t>
      </w:r>
      <w:r>
        <w:rPr>
          <w:rFonts w:hint="eastAsia" w:asciiTheme="majorEastAsia" w:hAnsiTheme="majorEastAsia" w:eastAsiaTheme="majorEastAsia" w:cstheme="majorEastAsia"/>
          <w:color w:val="auto"/>
          <w:sz w:val="24"/>
          <w:szCs w:val="24"/>
          <w:highlight w:val="none"/>
          <w:lang w:eastAsia="zh-CN"/>
        </w:rPr>
        <w:t>采购人</w:t>
      </w:r>
      <w:r>
        <w:rPr>
          <w:rFonts w:hint="eastAsia" w:asciiTheme="majorEastAsia" w:hAnsiTheme="majorEastAsia" w:eastAsiaTheme="majorEastAsia" w:cstheme="majorEastAsia"/>
          <w:color w:val="auto"/>
          <w:sz w:val="24"/>
          <w:szCs w:val="24"/>
          <w:highlight w:val="none"/>
        </w:rPr>
        <w:t>的权利和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的责任造成实质性限制，而纠正这些偏离或保留将对其他提交了实质性响应的投标文件的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产生不公平影响的。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 细微偏离：系指投标文件对招标文件的非实质性内容存在不完全响应或不响应。</w:t>
      </w:r>
    </w:p>
    <w:p>
      <w:pPr>
        <w:pStyle w:val="6"/>
        <w:rPr>
          <w:color w:val="auto"/>
          <w:highlight w:val="none"/>
        </w:rPr>
      </w:pPr>
      <w:bookmarkStart w:id="39" w:name="_Toc17392"/>
      <w:r>
        <w:rPr>
          <w:rFonts w:hint="eastAsia"/>
          <w:color w:val="auto"/>
          <w:highlight w:val="none"/>
        </w:rPr>
        <w:t>3、招标方式</w:t>
      </w:r>
      <w:bookmarkEnd w:id="39"/>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本项目采用公开招标方式进行。</w:t>
      </w:r>
    </w:p>
    <w:p>
      <w:pPr>
        <w:pStyle w:val="6"/>
        <w:rPr>
          <w:color w:val="auto"/>
          <w:highlight w:val="none"/>
        </w:rPr>
      </w:pPr>
      <w:bookmarkStart w:id="40" w:name="_Toc32376"/>
      <w:r>
        <w:rPr>
          <w:rFonts w:hint="eastAsia"/>
          <w:color w:val="auto"/>
          <w:highlight w:val="none"/>
        </w:rPr>
        <w:t>4、投标委托</w:t>
      </w:r>
      <w:bookmarkEnd w:id="40"/>
    </w:p>
    <w:p>
      <w:pPr>
        <w:adjustRightInd w:val="0"/>
        <w:snapToGrid w:val="0"/>
        <w:spacing w:line="500" w:lineRule="exact"/>
        <w:ind w:firstLine="464" w:firstLineChars="200"/>
        <w:jc w:val="left"/>
        <w:rPr>
          <w:rFonts w:hint="eastAsia" w:ascii="宋体" w:hAnsi="宋体" w:eastAsia="宋体" w:cs="宋体"/>
          <w:color w:val="auto"/>
          <w:spacing w:val="-4"/>
          <w:sz w:val="24"/>
          <w:szCs w:val="24"/>
          <w:highlight w:val="none"/>
        </w:rPr>
      </w:pPr>
      <w:bookmarkStart w:id="41" w:name="_Toc21031"/>
      <w:r>
        <w:rPr>
          <w:rFonts w:hint="eastAsia" w:ascii="宋体" w:hAnsi="宋体" w:eastAsia="宋体" w:cs="宋体"/>
          <w:color w:val="auto"/>
          <w:spacing w:val="-4"/>
          <w:sz w:val="24"/>
          <w:szCs w:val="24"/>
          <w:highlight w:val="none"/>
        </w:rPr>
        <w:t>本项目采用远程不见面交易的模式。开标当日，</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无需到达开标现场，仅需在登录“政采云”平台 (https://www.zcygov.cn/)开标大厅完成远程解密、提疑澄清、开标唱标、结果公布等交互环节。</w:t>
      </w:r>
    </w:p>
    <w:p>
      <w:pPr>
        <w:pStyle w:val="6"/>
        <w:rPr>
          <w:color w:val="auto"/>
          <w:highlight w:val="none"/>
        </w:rPr>
      </w:pPr>
      <w:r>
        <w:rPr>
          <w:rFonts w:hint="eastAsia"/>
          <w:color w:val="auto"/>
          <w:highlight w:val="none"/>
        </w:rPr>
        <w:t>5、投标费用</w:t>
      </w:r>
      <w:bookmarkEnd w:id="41"/>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不论投标结果如何，</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均应自行承担所有与投标有关的全部费用。</w:t>
      </w:r>
    </w:p>
    <w:p>
      <w:pPr>
        <w:pStyle w:val="6"/>
        <w:rPr>
          <w:color w:val="auto"/>
          <w:highlight w:val="none"/>
        </w:rPr>
      </w:pPr>
      <w:bookmarkStart w:id="42" w:name="_Toc505"/>
      <w:r>
        <w:rPr>
          <w:rFonts w:hint="eastAsia"/>
          <w:color w:val="auto"/>
          <w:highlight w:val="none"/>
        </w:rPr>
        <w:t>6、分包转包</w:t>
      </w:r>
      <w:bookmarkEnd w:id="42"/>
    </w:p>
    <w:p>
      <w:pPr>
        <w:adjustRightInd w:val="0"/>
        <w:snapToGrid w:val="0"/>
        <w:spacing w:line="4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本项目不允许分包和转包。</w:t>
      </w:r>
    </w:p>
    <w:p>
      <w:pPr>
        <w:pStyle w:val="6"/>
        <w:rPr>
          <w:color w:val="auto"/>
          <w:highlight w:val="none"/>
        </w:rPr>
      </w:pPr>
      <w:bookmarkStart w:id="43" w:name="_Toc5076"/>
      <w:r>
        <w:rPr>
          <w:rFonts w:hint="eastAsia"/>
          <w:color w:val="auto"/>
          <w:highlight w:val="none"/>
        </w:rPr>
        <w:t>7、提供相同品牌产品处理</w:t>
      </w:r>
      <w:bookmarkEnd w:id="43"/>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提供相同品牌产品且通过资格审查、符合性审查的不同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参加同一合同项下投标的，按一家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计算，评审后得分最高的同品牌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获得中标人推荐资格；评审得分相同的，商务部分得分最高的获得中标人推荐资格，商务部分得分相同的采取随机抽取方式确定，其他同品牌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 xml:space="preserve">不作为中标候选人。 </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非单一产品采购项目，采购人应当根据采购项目技术构成、产品价格比重等合理确定核心产品，并在招标文件中载明。多家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提供的任一核心产品品牌相同的，按前款规定处理。</w:t>
      </w:r>
    </w:p>
    <w:p>
      <w:pPr>
        <w:pStyle w:val="6"/>
        <w:rPr>
          <w:color w:val="auto"/>
          <w:highlight w:val="none"/>
        </w:rPr>
      </w:pPr>
      <w:bookmarkStart w:id="44" w:name="_Toc21631"/>
      <w:r>
        <w:rPr>
          <w:rFonts w:hint="eastAsia"/>
          <w:color w:val="auto"/>
          <w:highlight w:val="none"/>
        </w:rPr>
        <w:t>8、特别说明：</w:t>
      </w:r>
      <w:bookmarkEnd w:id="44"/>
    </w:p>
    <w:p>
      <w:pPr>
        <w:adjustRightInd w:val="0"/>
        <w:snapToGrid w:val="0"/>
        <w:spacing w:line="500" w:lineRule="exact"/>
        <w:ind w:firstLine="470"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投标所使用的资格、信誉、荣誉、业绩与认证证书必须为本法人（其他组织、个人）所拥有。</w:t>
      </w:r>
    </w:p>
    <w:p>
      <w:pPr>
        <w:adjustRightInd w:val="0"/>
        <w:snapToGrid w:val="0"/>
        <w:spacing w:line="500" w:lineRule="exact"/>
        <w:ind w:left="2" w:leftChars="1"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8.2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应仔细阅读招标文件的所有内容，按照招标文件的要求提交投标文件，并对所提供的全部资料的真实性承担法律责任。</w:t>
      </w:r>
    </w:p>
    <w:p>
      <w:pPr>
        <w:adjustRightInd w:val="0"/>
        <w:snapToGrid w:val="0"/>
        <w:spacing w:line="500" w:lineRule="exact"/>
        <w:ind w:left="2" w:leftChars="1"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8.3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在投标活动中提供任何虚假材料,其投标无效，并报监管部门查处；中标后发现的,中标人须依照《中华人民共和国消费者权益保护法》第</w:t>
      </w:r>
      <w:r>
        <w:rPr>
          <w:rFonts w:hint="eastAsia" w:asciiTheme="majorEastAsia" w:hAnsiTheme="majorEastAsia" w:eastAsiaTheme="majorEastAsia" w:cstheme="majorEastAsia"/>
          <w:color w:val="auto"/>
          <w:sz w:val="24"/>
          <w:szCs w:val="24"/>
          <w:highlight w:val="none"/>
          <w:lang w:val="en-US" w:eastAsia="zh-CN"/>
        </w:rPr>
        <w:t>五十五</w:t>
      </w:r>
      <w:r>
        <w:rPr>
          <w:rFonts w:hint="eastAsia" w:asciiTheme="majorEastAsia" w:hAnsiTheme="majorEastAsia" w:eastAsiaTheme="majorEastAsia" w:cstheme="majorEastAsia"/>
          <w:color w:val="auto"/>
          <w:sz w:val="24"/>
          <w:szCs w:val="24"/>
          <w:highlight w:val="none"/>
        </w:rPr>
        <w:t>之规定赔偿采购人，且民事赔偿并不免除违法</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的行政与刑事责任。</w:t>
      </w:r>
    </w:p>
    <w:p>
      <w:pPr>
        <w:pStyle w:val="6"/>
        <w:rPr>
          <w:color w:val="auto"/>
          <w:highlight w:val="none"/>
        </w:rPr>
      </w:pPr>
      <w:bookmarkStart w:id="45" w:name="_Toc24888"/>
      <w:r>
        <w:rPr>
          <w:rFonts w:hint="eastAsia"/>
          <w:color w:val="auto"/>
          <w:highlight w:val="none"/>
        </w:rPr>
        <w:t>9、质疑</w:t>
      </w:r>
      <w:bookmarkEnd w:id="45"/>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9.1供应商认为招标文件、采购过程和中标、成交结果使自己的权益受到损害的，可以在知道或者应知其权益受到损害之日起七个工作日内，以书面形式向采购人提出质疑。</w:t>
      </w:r>
      <w:r>
        <w:rPr>
          <w:rFonts w:hint="eastAsia" w:asciiTheme="majorEastAsia" w:hAnsiTheme="majorEastAsia" w:eastAsiaTheme="majorEastAsia" w:cstheme="majorEastAsia"/>
          <w:bCs/>
          <w:color w:val="auto"/>
          <w:sz w:val="24"/>
          <w:szCs w:val="24"/>
          <w:highlight w:val="none"/>
          <w:lang w:val="en-US" w:eastAsia="zh-CN"/>
        </w:rPr>
        <w:t>供应商应在法定质疑期内一次性提出针对同一采购程序环节的质疑。</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9.2 质疑、投诉应当采用书面形式，质疑书、投诉书均应明确阐述招标文件、招标过程或中标结果中使自己合法权益受到损害的实质性内容，提供相关事实、依据和证据及其来源或线索，便于有关单位调查、答复和处理。</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9.3质疑（投诉）书应载明质疑（投诉）人全称、地址、邮编、传真、联系人、联系电话，电子邮箱。</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可以委托代理人进行质疑和投诉，其授权委托书应当载明代理人的姓名或者名称、代理事项、具体权限、期限和相关事项。</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为自然人的，应当由本人签字；</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为法人或者其他组织的，应当由法定代表人、主要负责人签字或者盖章，并加盖公章。</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委托代理人提出质疑（投诉），应当提交供应商签署的授权委托书。质疑（投诉）书必须有联系人署名。（质疑函格式见本文件质疑函范本）</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9.4载明接收质疑函的形式：书面方式。</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质疑函接收部门：华春建设工程项目管理有限责任公司</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联系人：李武涛、王园 </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联系电话：1819982287 </w:t>
      </w:r>
    </w:p>
    <w:p>
      <w:pPr>
        <w:adjustRightInd w:val="0"/>
        <w:snapToGrid w:val="0"/>
        <w:spacing w:line="500" w:lineRule="exact"/>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通讯地址：</w:t>
      </w:r>
      <w:r>
        <w:rPr>
          <w:rFonts w:hint="eastAsia" w:asciiTheme="majorEastAsia" w:hAnsiTheme="majorEastAsia" w:eastAsiaTheme="majorEastAsia" w:cstheme="majorEastAsia"/>
          <w:bCs/>
          <w:color w:val="auto"/>
          <w:sz w:val="24"/>
          <w:szCs w:val="24"/>
          <w:highlight w:val="none"/>
        </w:rPr>
        <w:t>新疆乌鲁木齐市水磨沟区浙商大厦15楼1505室</w:t>
      </w:r>
    </w:p>
    <w:p>
      <w:pPr>
        <w:pStyle w:val="57"/>
        <w:rPr>
          <w:rFonts w:hint="default"/>
          <w:highlight w:val="none"/>
          <w:lang w:val="en-US" w:eastAsia="zh-CN"/>
        </w:rPr>
      </w:pPr>
    </w:p>
    <w:p>
      <w:pPr>
        <w:pStyle w:val="5"/>
        <w:rPr>
          <w:color w:val="auto"/>
          <w:highlight w:val="none"/>
        </w:rPr>
      </w:pPr>
      <w:bookmarkStart w:id="46" w:name="_Toc31383"/>
      <w:bookmarkStart w:id="47" w:name="_Toc12925"/>
      <w:r>
        <w:rPr>
          <w:rFonts w:hint="eastAsia"/>
          <w:color w:val="auto"/>
          <w:highlight w:val="none"/>
        </w:rPr>
        <w:t>二、</w:t>
      </w:r>
      <w:bookmarkEnd w:id="46"/>
      <w:bookmarkEnd w:id="47"/>
      <w:bookmarkStart w:id="48" w:name="_Toc9510636"/>
      <w:r>
        <w:rPr>
          <w:rFonts w:hint="eastAsia"/>
          <w:color w:val="auto"/>
          <w:highlight w:val="none"/>
        </w:rPr>
        <w:t>招标文件</w:t>
      </w:r>
    </w:p>
    <w:p>
      <w:pPr>
        <w:pStyle w:val="6"/>
        <w:rPr>
          <w:color w:val="auto"/>
          <w:highlight w:val="none"/>
        </w:rPr>
      </w:pPr>
      <w:bookmarkStart w:id="49" w:name="_Toc11465"/>
      <w:r>
        <w:rPr>
          <w:rFonts w:hint="eastAsia"/>
          <w:color w:val="auto"/>
          <w:highlight w:val="none"/>
        </w:rPr>
        <w:t>10、</w:t>
      </w:r>
      <w:bookmarkEnd w:id="48"/>
      <w:r>
        <w:rPr>
          <w:rFonts w:hint="eastAsia"/>
          <w:color w:val="auto"/>
          <w:highlight w:val="none"/>
        </w:rPr>
        <w:t>招标文件的构成</w:t>
      </w:r>
      <w:bookmarkEnd w:id="49"/>
      <w:r>
        <w:rPr>
          <w:rFonts w:hint="eastAsia" w:asciiTheme="majorEastAsia" w:hAnsiTheme="majorEastAsia" w:eastAsiaTheme="majorEastAsia" w:cstheme="majorEastAsia"/>
          <w:b w:val="0"/>
          <w:bCs w:val="0"/>
          <w:color w:val="auto"/>
          <w:sz w:val="24"/>
          <w:szCs w:val="24"/>
          <w:highlight w:val="none"/>
        </w:rPr>
        <w:t>（详见本招标文件目录明细）</w:t>
      </w:r>
    </w:p>
    <w:p>
      <w:pPr>
        <w:pStyle w:val="6"/>
        <w:rPr>
          <w:color w:val="auto"/>
          <w:highlight w:val="none"/>
        </w:rPr>
      </w:pPr>
      <w:bookmarkStart w:id="50" w:name="_Toc9329"/>
      <w:r>
        <w:rPr>
          <w:rFonts w:hint="eastAsia"/>
          <w:color w:val="auto"/>
          <w:highlight w:val="none"/>
        </w:rPr>
        <w:t>11、</w:t>
      </w:r>
      <w:r>
        <w:rPr>
          <w:rFonts w:hint="eastAsia"/>
          <w:color w:val="auto"/>
          <w:highlight w:val="none"/>
          <w:lang w:eastAsia="zh-CN"/>
        </w:rPr>
        <w:t>供应商</w:t>
      </w:r>
      <w:r>
        <w:rPr>
          <w:rFonts w:hint="eastAsia"/>
          <w:color w:val="auto"/>
          <w:highlight w:val="none"/>
        </w:rPr>
        <w:t>的风险</w:t>
      </w:r>
      <w:bookmarkEnd w:id="50"/>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没有按照招标文件要求提供全部资料，或者</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没有对招标文件在各方面作出实质性响应是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的风险，并可能导致其投标被拒绝。</w:t>
      </w:r>
    </w:p>
    <w:p>
      <w:pPr>
        <w:pStyle w:val="6"/>
        <w:rPr>
          <w:color w:val="auto"/>
          <w:highlight w:val="none"/>
        </w:rPr>
      </w:pPr>
      <w:bookmarkStart w:id="51" w:name="_Toc14128"/>
      <w:r>
        <w:rPr>
          <w:rFonts w:hint="eastAsia"/>
          <w:color w:val="auto"/>
          <w:highlight w:val="none"/>
        </w:rPr>
        <w:t>1</w:t>
      </w:r>
      <w:bookmarkStart w:id="52" w:name="_Toc9510637"/>
      <w:r>
        <w:rPr>
          <w:rFonts w:hint="eastAsia"/>
          <w:color w:val="auto"/>
          <w:highlight w:val="none"/>
        </w:rPr>
        <w:t>2、招标文件的澄清与修改</w:t>
      </w:r>
      <w:bookmarkEnd w:id="51"/>
    </w:p>
    <w:p>
      <w:pPr>
        <w:spacing w:line="500" w:lineRule="exact"/>
        <w:ind w:firstLine="480" w:firstLineChars="200"/>
        <w:rPr>
          <w:color w:val="auto"/>
          <w:sz w:val="24"/>
          <w:szCs w:val="24"/>
          <w:highlight w:val="none"/>
        </w:rPr>
      </w:pPr>
      <w:r>
        <w:rPr>
          <w:rFonts w:hint="eastAsia"/>
          <w:color w:val="auto"/>
          <w:sz w:val="24"/>
          <w:szCs w:val="24"/>
          <w:highlight w:val="none"/>
        </w:rPr>
        <w:t>12.1采购人或采购代理机构对已发出的招标文件进行必要澄清或者修改的，应当在</w:t>
      </w:r>
      <w:r>
        <w:rPr>
          <w:rFonts w:hint="eastAsia"/>
          <w:color w:val="auto"/>
          <w:sz w:val="24"/>
          <w:szCs w:val="24"/>
          <w:highlight w:val="none"/>
          <w:lang w:eastAsia="zh-CN"/>
        </w:rPr>
        <w:t>供应商</w:t>
      </w:r>
      <w:r>
        <w:rPr>
          <w:rFonts w:hint="eastAsia"/>
          <w:color w:val="auto"/>
          <w:sz w:val="24"/>
          <w:szCs w:val="24"/>
          <w:highlight w:val="none"/>
        </w:rPr>
        <w:t>须知前附表规定的提交投标文件截止时间15日前，在原刊登招标公告的媒体上发布更正公告，因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w:t>
      </w:r>
    </w:p>
    <w:p>
      <w:pPr>
        <w:spacing w:line="500" w:lineRule="exact"/>
        <w:ind w:firstLine="480" w:firstLineChars="200"/>
        <w:rPr>
          <w:color w:val="auto"/>
          <w:sz w:val="24"/>
          <w:szCs w:val="24"/>
          <w:highlight w:val="none"/>
        </w:rPr>
      </w:pPr>
      <w:r>
        <w:rPr>
          <w:rFonts w:hint="eastAsia"/>
          <w:color w:val="auto"/>
          <w:sz w:val="24"/>
          <w:szCs w:val="24"/>
          <w:highlight w:val="none"/>
        </w:rPr>
        <w:t>12.2澄清或者修改的内容可能影响投标文件编制的，采购人或者采购代理机构应当在投标截止时间至少15日前，在原刊登招标公告的媒体上发布更正公告，因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未及时登陆媒体（网站）查看导致通知未及时收到的，采购人或采购代理机构不承担责任。不足15日的，采购人或者采购代理机构应当顺延提交投标文件的截止时间。</w:t>
      </w:r>
    </w:p>
    <w:p>
      <w:pPr>
        <w:spacing w:line="500" w:lineRule="exact"/>
        <w:ind w:firstLine="480" w:firstLineChars="200"/>
        <w:rPr>
          <w:color w:val="auto"/>
          <w:sz w:val="24"/>
          <w:szCs w:val="24"/>
          <w:highlight w:val="none"/>
        </w:rPr>
      </w:pPr>
      <w:r>
        <w:rPr>
          <w:rFonts w:hint="eastAsia"/>
          <w:color w:val="auto"/>
          <w:sz w:val="24"/>
          <w:szCs w:val="24"/>
          <w:highlight w:val="none"/>
        </w:rPr>
        <w:t>12.3澄清或者修改内容为招标文件的组成部分，对所有领取了招标文件的潜在</w:t>
      </w:r>
      <w:r>
        <w:rPr>
          <w:rFonts w:hint="eastAsia"/>
          <w:color w:val="auto"/>
          <w:sz w:val="24"/>
          <w:szCs w:val="24"/>
          <w:highlight w:val="none"/>
          <w:lang w:eastAsia="zh-CN"/>
        </w:rPr>
        <w:t>供应商</w:t>
      </w:r>
      <w:r>
        <w:rPr>
          <w:rFonts w:hint="eastAsia"/>
          <w:color w:val="auto"/>
          <w:sz w:val="24"/>
          <w:szCs w:val="24"/>
          <w:highlight w:val="none"/>
        </w:rPr>
        <w:t>均具有约束力。</w:t>
      </w:r>
    </w:p>
    <w:p>
      <w:pPr>
        <w:pStyle w:val="5"/>
        <w:rPr>
          <w:color w:val="auto"/>
          <w:highlight w:val="none"/>
        </w:rPr>
      </w:pPr>
      <w:bookmarkStart w:id="53" w:name="_Toc3009"/>
      <w:bookmarkStart w:id="54" w:name="_Toc25731"/>
      <w:r>
        <w:rPr>
          <w:rFonts w:hint="eastAsia"/>
          <w:color w:val="auto"/>
          <w:highlight w:val="none"/>
        </w:rPr>
        <w:t>三、投标文件的编制</w:t>
      </w:r>
      <w:bookmarkEnd w:id="53"/>
      <w:bookmarkEnd w:id="54"/>
    </w:p>
    <w:bookmarkEnd w:id="52"/>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应认真阅读招标文件中所有的事项、格式、条款和技术要求等内容。如果</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没有按照招标文件的要求和规定编制投标文件及提交全部资料，或者投标文件没有对招标文件中的各方面作出实质性响应，其风险应由</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承担。</w:t>
      </w:r>
    </w:p>
    <w:p>
      <w:pPr>
        <w:pStyle w:val="6"/>
        <w:rPr>
          <w:color w:val="auto"/>
          <w:highlight w:val="none"/>
        </w:rPr>
      </w:pPr>
      <w:bookmarkStart w:id="55" w:name="_Toc29638"/>
      <w:r>
        <w:rPr>
          <w:rFonts w:hint="eastAsia"/>
          <w:color w:val="auto"/>
          <w:highlight w:val="none"/>
        </w:rPr>
        <w:t>13、投标文件的组成</w:t>
      </w:r>
      <w:bookmarkEnd w:id="55"/>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投标文件由报价文件、商务技术文件组成。</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13.1 报价文件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（1）投标函（格式见附件）；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（2）开标一览表（格式见附件）；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（3）投标报价明细表（格式见附件）；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（4）投标保证金缴纳凭证复印件；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针对报价需要说明的其他文件和资料（如有）。</w:t>
      </w:r>
    </w:p>
    <w:p>
      <w:pPr>
        <w:adjustRightInd w:val="0"/>
        <w:snapToGrid w:val="0"/>
        <w:spacing w:line="500" w:lineRule="exact"/>
        <w:ind w:firstLine="472"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13.2商务</w:t>
      </w:r>
      <w:r>
        <w:rPr>
          <w:rFonts w:hint="eastAsia" w:asciiTheme="majorEastAsia" w:hAnsiTheme="majorEastAsia" w:eastAsiaTheme="majorEastAsia" w:cstheme="majorEastAsia"/>
          <w:b/>
          <w:color w:val="auto"/>
          <w:sz w:val="24"/>
          <w:szCs w:val="24"/>
          <w:highlight w:val="none"/>
          <w:lang w:eastAsia="zh-CN"/>
        </w:rPr>
        <w:t>部分</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（1）投标声明书(格式见附件)；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（2）授权委托书(格式见附件)；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（3）有效的营业执照（事业单位法人证书、民办非企业单位登记证书、社会团体法人登记证书、基金会法人登记证书、自然人身份证）副本复印件；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情况介绍（格式见附件）；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提供2022或2023</w:t>
      </w:r>
      <w:r>
        <w:rPr>
          <w:rFonts w:hint="eastAsia" w:asciiTheme="majorEastAsia" w:hAnsiTheme="majorEastAsia" w:eastAsiaTheme="majorEastAsia" w:cstheme="majorEastAsia"/>
          <w:color w:val="auto"/>
          <w:sz w:val="24"/>
          <w:szCs w:val="24"/>
          <w:highlight w:val="none"/>
        </w:rPr>
        <w:t>年度经审计的财务</w:t>
      </w:r>
      <w:r>
        <w:rPr>
          <w:rFonts w:hint="eastAsia" w:asciiTheme="majorEastAsia" w:hAnsiTheme="majorEastAsia" w:eastAsiaTheme="majorEastAsia" w:cstheme="majorEastAsia"/>
          <w:color w:val="auto"/>
          <w:sz w:val="24"/>
          <w:szCs w:val="24"/>
          <w:highlight w:val="none"/>
          <w:lang w:eastAsia="zh-CN"/>
        </w:rPr>
        <w:t>报告（</w:t>
      </w:r>
      <w:r>
        <w:rPr>
          <w:rFonts w:hint="eastAsia" w:ascii="宋体" w:hAnsi="宋体" w:cs="宋体"/>
          <w:color w:val="auto"/>
          <w:sz w:val="24"/>
          <w:szCs w:val="24"/>
          <w:highlight w:val="none"/>
        </w:rPr>
        <w:t>如供应商注册不满1年提供具有良好的商业信誉和健全的财务会计制度承诺函</w:t>
      </w:r>
      <w:r>
        <w:rPr>
          <w:rFonts w:hint="eastAsia" w:asciiTheme="majorEastAsia" w:hAnsiTheme="majorEastAsia" w:eastAsiaTheme="majorEastAsia" w:cstheme="majorEastAsia"/>
          <w:color w:val="auto"/>
          <w:sz w:val="24"/>
          <w:szCs w:val="24"/>
          <w:highlight w:val="none"/>
          <w:lang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须具有履行合同所必需的设备和专业技术能力，须附相关证明材料或声明；</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（7）依法缴纳税收和社会保障资金的良好记录；</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）前三年内在经营活动中没有重大违法记录的书面声明（格式见附件）；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r>
        <w:rPr>
          <w:rFonts w:hint="eastAsia" w:asciiTheme="majorEastAsia" w:hAnsiTheme="majorEastAsia" w:eastAsiaTheme="majorEastAsia" w:cstheme="majorEastAsia"/>
          <w:color w:val="auto"/>
          <w:sz w:val="24"/>
          <w:szCs w:val="24"/>
          <w:highlight w:val="none"/>
          <w:lang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已取得的各种有效认证证书、政府部门（企业）或第三方权威鉴定机构出具的信用等级证书或证明复印件；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lang w:eastAsia="zh-CN"/>
        </w:rPr>
        <w:t>）供应商2021年</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eastAsia="zh-CN"/>
        </w:rPr>
        <w:t>1月</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eastAsia="zh-CN"/>
        </w:rPr>
        <w:t>1日至今做过与本项目类似的业绩</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政府采购政策扶持证明材料；</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其他证明文件或供应商认为应提交的商务文件（如有）</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2"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13.</w:t>
      </w:r>
      <w:r>
        <w:rPr>
          <w:rFonts w:hint="eastAsia" w:asciiTheme="majorEastAsia" w:hAnsiTheme="majorEastAsia" w:eastAsiaTheme="majorEastAsia" w:cstheme="majorEastAsia"/>
          <w:b/>
          <w:color w:val="auto"/>
          <w:sz w:val="24"/>
          <w:szCs w:val="24"/>
          <w:highlight w:val="none"/>
          <w:lang w:val="en-US" w:eastAsia="zh-CN"/>
        </w:rPr>
        <w:t>3</w:t>
      </w:r>
      <w:r>
        <w:rPr>
          <w:rFonts w:hint="eastAsia" w:asciiTheme="majorEastAsia" w:hAnsiTheme="majorEastAsia" w:eastAsiaTheme="majorEastAsia" w:cstheme="majorEastAsia"/>
          <w:b/>
          <w:color w:val="auto"/>
          <w:sz w:val="24"/>
          <w:szCs w:val="24"/>
          <w:highlight w:val="none"/>
          <w:lang w:eastAsia="zh-CN"/>
        </w:rPr>
        <w:t>技术部分</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（1）技术响应偏离表（格式见附件）；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（2）产品详细技术规格书（包括产品详细配置、技术性能指标等）（格式自拟）；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（3）与产品相关的由国家认可的检测机构出具的检测报告（如有）；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（4）针对项目的详细组织实施方案：包括（但不限于）项目人员配备、项目供货方案、安装调试方案、验收方案（应说明验收方法和验收条件、安装验收需用的环境及配套条件）等内容（格式自拟）；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（5）针对本项目的详细技术培训方案：包括（但不限于）</w:t>
      </w:r>
      <w:r>
        <w:rPr>
          <w:rFonts w:hint="default" w:asciiTheme="majorEastAsia" w:hAnsiTheme="majorEastAsia" w:eastAsiaTheme="majorEastAsia" w:cstheme="majorEastAsia"/>
          <w:color w:val="auto"/>
          <w:sz w:val="24"/>
          <w:szCs w:val="24"/>
          <w:highlight w:val="none"/>
          <w:lang w:val="en-US" w:eastAsia="zh-CN"/>
        </w:rPr>
        <w:t>培训内容</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培训方式</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培训计划</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培训团队人员配置等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（6）针对本项目的售后服务方案：包括（但不限于）售后</w:t>
      </w:r>
      <w:r>
        <w:rPr>
          <w:rFonts w:hint="default" w:asciiTheme="majorEastAsia" w:hAnsiTheme="majorEastAsia" w:eastAsiaTheme="majorEastAsia" w:cstheme="majorEastAsia"/>
          <w:color w:val="auto"/>
          <w:sz w:val="24"/>
          <w:szCs w:val="24"/>
          <w:highlight w:val="none"/>
          <w:lang w:val="en-US" w:eastAsia="zh-CN"/>
        </w:rPr>
        <w:t>服务承诺</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服务响应方案</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备件（易耗品）供应方案</w:t>
      </w:r>
      <w:r>
        <w:rPr>
          <w:rFonts w:hint="eastAsia" w:asciiTheme="majorEastAsia" w:hAnsiTheme="majorEastAsia" w:eastAsiaTheme="majorEastAsia" w:cstheme="majorEastAsia"/>
          <w:color w:val="auto"/>
          <w:sz w:val="24"/>
          <w:szCs w:val="24"/>
          <w:highlight w:val="none"/>
          <w:lang w:val="en-US" w:eastAsia="zh-CN"/>
        </w:rPr>
        <w:t>（含备件价格）、</w:t>
      </w:r>
      <w:r>
        <w:rPr>
          <w:rFonts w:hint="default" w:asciiTheme="majorEastAsia" w:hAnsiTheme="majorEastAsia" w:eastAsiaTheme="majorEastAsia" w:cstheme="majorEastAsia"/>
          <w:color w:val="auto"/>
          <w:sz w:val="24"/>
          <w:szCs w:val="24"/>
          <w:highlight w:val="none"/>
          <w:lang w:val="en-US" w:eastAsia="zh-CN"/>
        </w:rPr>
        <w:t>服务人员配备</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故障响应</w:t>
      </w:r>
      <w:r>
        <w:rPr>
          <w:rFonts w:hint="eastAsia" w:asciiTheme="majorEastAsia" w:hAnsiTheme="majorEastAsia" w:eastAsiaTheme="majorEastAsia" w:cstheme="majorEastAsia"/>
          <w:color w:val="auto"/>
          <w:sz w:val="24"/>
          <w:szCs w:val="24"/>
          <w:highlight w:val="none"/>
          <w:lang w:val="en-US" w:eastAsia="zh-CN"/>
        </w:rPr>
        <w:t>措施、</w:t>
      </w:r>
      <w:r>
        <w:rPr>
          <w:rFonts w:hint="default" w:asciiTheme="majorEastAsia" w:hAnsiTheme="majorEastAsia" w:eastAsiaTheme="majorEastAsia" w:cstheme="majorEastAsia"/>
          <w:color w:val="auto"/>
          <w:sz w:val="24"/>
          <w:szCs w:val="24"/>
          <w:highlight w:val="none"/>
          <w:lang w:val="en-US" w:eastAsia="zh-CN"/>
        </w:rPr>
        <w:t>质保外服务措施等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（7）其他优惠条件（如有）：供应商承诺给予采购人的各种优惠条件，包括备品备件、专用耗材等；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（8）供应商需要提供的其他文件或资料（如有）。</w:t>
      </w:r>
    </w:p>
    <w:p>
      <w:pPr>
        <w:adjustRightInd w:val="0"/>
        <w:snapToGrid w:val="0"/>
        <w:spacing w:line="500" w:lineRule="exact"/>
        <w:ind w:left="479" w:leftChars="228" w:firstLine="0" w:firstLineChars="0"/>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注：a</w:t>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rPr>
        <w:t>授权委托书、投标声明书、投标函、开标一览表必须由法定代表人（负责人、自然人）或其授权代表签名（按格式要求）并加盖单位公章。</w:t>
      </w:r>
    </w:p>
    <w:p>
      <w:pPr>
        <w:adjustRightInd w:val="0"/>
        <w:snapToGrid w:val="0"/>
        <w:spacing w:line="500" w:lineRule="exact"/>
        <w:ind w:left="479" w:leftChars="228" w:firstLine="463" w:firstLineChars="192"/>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b.</w:t>
      </w:r>
      <w:r>
        <w:rPr>
          <w:rFonts w:hint="eastAsia" w:asciiTheme="majorEastAsia" w:hAnsiTheme="majorEastAsia" w:eastAsiaTheme="majorEastAsia" w:cstheme="majorEastAsia"/>
          <w:b/>
          <w:bCs/>
          <w:color w:val="auto"/>
          <w:sz w:val="24"/>
          <w:szCs w:val="24"/>
          <w:highlight w:val="none"/>
        </w:rPr>
        <w:t>以上提供的各种证书、证件、证明资料如是复印件，须在复印件上加盖有效公章，如发现有造假嫌疑的，将根据有关规定以“提供虚假材料谋取中标”予以处罚。</w:t>
      </w:r>
    </w:p>
    <w:p>
      <w:pPr>
        <w:adjustRightInd w:val="0"/>
        <w:snapToGrid w:val="0"/>
        <w:spacing w:line="500" w:lineRule="exact"/>
        <w:ind w:left="479" w:leftChars="228" w:firstLine="463" w:firstLineChars="192"/>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c.</w:t>
      </w:r>
      <w:r>
        <w:rPr>
          <w:rFonts w:hint="eastAsia" w:asciiTheme="majorEastAsia" w:hAnsiTheme="majorEastAsia" w:eastAsiaTheme="majorEastAsia" w:cstheme="majorEastAsia"/>
          <w:b/>
          <w:bCs/>
          <w:color w:val="auto"/>
          <w:sz w:val="24"/>
          <w:szCs w:val="24"/>
          <w:highlight w:val="none"/>
        </w:rPr>
        <w:t>投标文件中除《报价文件》外，其他部分不得有任何涉及本次投标报价的信息。</w:t>
      </w:r>
    </w:p>
    <w:p>
      <w:pPr>
        <w:adjustRightInd w:val="0"/>
        <w:snapToGrid w:val="0"/>
        <w:spacing w:line="500" w:lineRule="exact"/>
        <w:ind w:left="479" w:leftChars="228" w:firstLine="463" w:firstLineChars="192"/>
        <w:jc w:val="left"/>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d.</w:t>
      </w:r>
      <w:r>
        <w:rPr>
          <w:rFonts w:hint="eastAsia" w:asciiTheme="majorEastAsia" w:hAnsiTheme="majorEastAsia" w:eastAsiaTheme="majorEastAsia" w:cstheme="majorEastAsia"/>
          <w:b/>
          <w:bCs/>
          <w:color w:val="auto"/>
          <w:sz w:val="24"/>
          <w:szCs w:val="24"/>
          <w:highlight w:val="none"/>
        </w:rPr>
        <w:t>以上材料须加盖单位公章，请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编制投标文件的目录及页码。</w:t>
      </w:r>
    </w:p>
    <w:p>
      <w:pPr>
        <w:pStyle w:val="6"/>
        <w:rPr>
          <w:color w:val="auto"/>
          <w:highlight w:val="none"/>
        </w:rPr>
      </w:pPr>
      <w:bookmarkStart w:id="56" w:name="_Toc26745"/>
      <w:r>
        <w:rPr>
          <w:rFonts w:hint="eastAsia"/>
          <w:color w:val="auto"/>
          <w:highlight w:val="none"/>
        </w:rPr>
        <w:t>14、投标文件的语言及计量</w:t>
      </w:r>
      <w:bookmarkEnd w:id="56"/>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 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 投标计量单位，招标文件已有明确规定的，使用招标文件规定的计量单位；招标文件没有规定的，应采用中华人民共和国法定计量单位（货币单位：人民币元），否则视同未响应。</w:t>
      </w:r>
    </w:p>
    <w:p>
      <w:pPr>
        <w:pStyle w:val="6"/>
        <w:rPr>
          <w:color w:val="auto"/>
          <w:highlight w:val="none"/>
        </w:rPr>
      </w:pPr>
      <w:bookmarkStart w:id="57" w:name="_Toc10847"/>
      <w:r>
        <w:rPr>
          <w:rFonts w:hint="eastAsia"/>
          <w:color w:val="auto"/>
          <w:highlight w:val="none"/>
        </w:rPr>
        <w:t>15、投标报价</w:t>
      </w:r>
      <w:bookmarkEnd w:id="57"/>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15.1 投标报价按招标文件中相关附表格式填写，应为所投标包的产品的单价报价，每个产品只允许一个报价。</w:t>
      </w:r>
      <w:r>
        <w:rPr>
          <w:rFonts w:hint="eastAsia" w:asciiTheme="majorEastAsia" w:hAnsiTheme="majorEastAsia" w:eastAsiaTheme="majorEastAsia" w:cstheme="majorEastAsia"/>
          <w:bCs/>
          <w:color w:val="auto"/>
          <w:sz w:val="24"/>
          <w:szCs w:val="24"/>
          <w:highlight w:val="none"/>
        </w:rPr>
        <w:t>同型号产品参与不同标包投标的，则其报价必须相同，否则视为有选择性报价，按无效标处理</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15.2 投标报价应包括货款、标准附件、备品备件、专用工具、包装、运输、装卸、保险、税金、货到就位以及安装、调试、培训、保修等一切税金和费用。</w:t>
      </w:r>
    </w:p>
    <w:p>
      <w:pPr>
        <w:tabs>
          <w:tab w:val="left" w:pos="52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15.3 每种货物只允许有一个报价，有选择的或有条件的报价将不予接受。</w:t>
      </w:r>
    </w:p>
    <w:p>
      <w:pPr>
        <w:pStyle w:val="6"/>
        <w:rPr>
          <w:color w:val="auto"/>
          <w:highlight w:val="none"/>
        </w:rPr>
      </w:pPr>
      <w:bookmarkStart w:id="58" w:name="_Toc11872"/>
      <w:r>
        <w:rPr>
          <w:rFonts w:hint="eastAsia"/>
          <w:color w:val="auto"/>
          <w:highlight w:val="none"/>
        </w:rPr>
        <w:t>16、投标文件的有效期</w:t>
      </w:r>
      <w:bookmarkEnd w:id="58"/>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16.1 自投标截止日起</w:t>
      </w:r>
      <w:r>
        <w:rPr>
          <w:rFonts w:hint="eastAsia" w:asciiTheme="majorEastAsia" w:hAnsiTheme="majorEastAsia" w:eastAsiaTheme="majorEastAsia" w:cstheme="majorEastAsia"/>
          <w:color w:val="auto"/>
          <w:kern w:val="0"/>
          <w:sz w:val="24"/>
          <w:szCs w:val="24"/>
          <w:highlight w:val="none"/>
          <w:u w:val="single"/>
        </w:rPr>
        <w:t>90</w:t>
      </w:r>
      <w:r>
        <w:rPr>
          <w:rFonts w:hint="eastAsia" w:asciiTheme="majorEastAsia" w:hAnsiTheme="majorEastAsia" w:eastAsiaTheme="majorEastAsia" w:cstheme="majorEastAsia"/>
          <w:color w:val="auto"/>
          <w:kern w:val="0"/>
          <w:sz w:val="24"/>
          <w:szCs w:val="24"/>
          <w:highlight w:val="none"/>
        </w:rPr>
        <w:t>天投标文件应保持有效。</w:t>
      </w:r>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16.2 在特殊情况下，采购人可与</w:t>
      </w:r>
      <w:r>
        <w:rPr>
          <w:rFonts w:hint="eastAsia" w:asciiTheme="majorEastAsia" w:hAnsiTheme="majorEastAsia" w:eastAsiaTheme="majorEastAsia" w:cstheme="majorEastAsia"/>
          <w:color w:val="auto"/>
          <w:kern w:val="0"/>
          <w:sz w:val="24"/>
          <w:szCs w:val="24"/>
          <w:highlight w:val="none"/>
          <w:lang w:eastAsia="zh-CN"/>
        </w:rPr>
        <w:t>供应商</w:t>
      </w:r>
      <w:r>
        <w:rPr>
          <w:rFonts w:hint="eastAsia" w:asciiTheme="majorEastAsia" w:hAnsiTheme="majorEastAsia" w:eastAsiaTheme="majorEastAsia" w:cstheme="majorEastAsia"/>
          <w:color w:val="auto"/>
          <w:kern w:val="0"/>
          <w:sz w:val="24"/>
          <w:szCs w:val="24"/>
          <w:highlight w:val="none"/>
        </w:rPr>
        <w:t>协商延长投标书的有效期，这种要求和答复均以书面形式进行。</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16.3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可拒绝接受延期要求而不会导致投标保证金被没收。同意延长有效期的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需要相应延长投标保证金的有效期，但不能修改投标文件。</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16.4 中标人的投标文件自开标之日起至合同履行完毕止均应保持有效。</w:t>
      </w:r>
    </w:p>
    <w:p>
      <w:pPr>
        <w:pStyle w:val="6"/>
        <w:rPr>
          <w:color w:val="auto"/>
          <w:highlight w:val="none"/>
        </w:rPr>
      </w:pPr>
      <w:bookmarkStart w:id="59" w:name="_Toc2098"/>
      <w:r>
        <w:rPr>
          <w:rFonts w:hint="eastAsia"/>
          <w:color w:val="auto"/>
          <w:highlight w:val="none"/>
        </w:rPr>
        <w:t>17、投标保证金</w:t>
      </w:r>
      <w:bookmarkEnd w:id="59"/>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17.1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须按规定提交投标保证金。否则，其投标将被拒绝。</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17.2 保证金形式：投标保证金应当以支票、汇票、本票或者金融机构、担保机构出具的保函等非现金形式提交。</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17.3 退还保证金时，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提供单位账户信息。</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17.4 采购代理机构应当自中标通知书发出之日起5个工作日内退还未中标单位的投标保证金，自政府采购合同签订之日起 5 个工作日内退还中标单位的投标保证金。但因</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自身原因导致无法及时退还的除外。</w:t>
      </w:r>
    </w:p>
    <w:p>
      <w:pPr>
        <w:adjustRightInd w:val="0"/>
        <w:snapToGrid w:val="0"/>
        <w:spacing w:line="500" w:lineRule="exact"/>
        <w:ind w:firstLine="472" w:firstLineChars="196"/>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17.5 </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有下列情形之一的，投标保证金将不予退还：</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在投标有效期内撤回投标文件的；</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在投标过程中弄虚作假，提供虚假材料的；</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（3）中标人无正当理由不与采购人签订合同的；</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（4）</w:t>
      </w:r>
      <w:r>
        <w:rPr>
          <w:rFonts w:hint="eastAsia" w:asciiTheme="majorEastAsia" w:hAnsiTheme="majorEastAsia" w:eastAsiaTheme="majorEastAsia" w:cstheme="majorEastAsia"/>
          <w:b/>
          <w:bCs/>
          <w:color w:val="auto"/>
          <w:sz w:val="24"/>
          <w:szCs w:val="24"/>
          <w:highlight w:val="none"/>
        </w:rPr>
        <w:t>将中标项目转让给他人或者在投标文件中未说明且未经招标采购单位同意，将项目分包给他人的；</w:t>
      </w:r>
    </w:p>
    <w:p>
      <w:pPr>
        <w:adjustRightInd w:val="0"/>
        <w:snapToGrid w:val="0"/>
        <w:spacing w:line="500" w:lineRule="exact"/>
        <w:ind w:firstLine="482"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（5）拒绝履行合同义务的；</w:t>
      </w:r>
    </w:p>
    <w:p>
      <w:pPr>
        <w:adjustRightInd w:val="0"/>
        <w:snapToGrid w:val="0"/>
        <w:spacing w:line="500" w:lineRule="exact"/>
        <w:ind w:firstLine="482"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（6）其他严重扰乱招投标程序的。</w:t>
      </w:r>
    </w:p>
    <w:p>
      <w:pPr>
        <w:pStyle w:val="6"/>
        <w:rPr>
          <w:rFonts w:asciiTheme="majorEastAsia" w:hAnsiTheme="majorEastAsia" w:eastAsiaTheme="majorEastAsia" w:cstheme="majorEastAsia"/>
          <w:color w:val="auto"/>
          <w:sz w:val="24"/>
          <w:szCs w:val="24"/>
          <w:highlight w:val="none"/>
        </w:rPr>
      </w:pPr>
      <w:bookmarkStart w:id="60" w:name="_Toc16494"/>
      <w:r>
        <w:rPr>
          <w:rFonts w:hint="eastAsia" w:asciiTheme="majorEastAsia" w:hAnsiTheme="majorEastAsia" w:eastAsiaTheme="majorEastAsia" w:cstheme="majorEastAsia"/>
          <w:color w:val="auto"/>
          <w:sz w:val="24"/>
          <w:szCs w:val="24"/>
          <w:highlight w:val="none"/>
        </w:rPr>
        <w:t>18、投标文件</w:t>
      </w:r>
      <w:r>
        <w:rPr>
          <w:rStyle w:val="88"/>
          <w:rFonts w:hint="eastAsia"/>
          <w:b/>
          <w:bCs/>
          <w:color w:val="auto"/>
          <w:highlight w:val="none"/>
        </w:rPr>
        <w:t>的</w:t>
      </w:r>
      <w:r>
        <w:rPr>
          <w:rFonts w:hint="eastAsia" w:asciiTheme="majorEastAsia" w:hAnsiTheme="majorEastAsia" w:eastAsiaTheme="majorEastAsia" w:cstheme="majorEastAsia"/>
          <w:color w:val="auto"/>
          <w:sz w:val="24"/>
          <w:szCs w:val="24"/>
          <w:highlight w:val="none"/>
        </w:rPr>
        <w:t>签署</w:t>
      </w:r>
      <w:bookmarkEnd w:id="60"/>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18.1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应按本招标文件规定的格式和顺序编制投标文件并标注页码，投标文件内容不完整、编排混乱导致投标文件被误读、漏读或者查找不到相关内容的，是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的责任。</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18.2 投标文件须由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在规定位置盖章并由法定代表人（负责人、自然人）或法定代表人（负责人、自然人）的授权代表签署，</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应写全称。</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 xml:space="preserve"> 投标文件不得涂改，若有修改错漏处，须加盖单位公章或者法定代表人（负责人、自然人）或授权代表签字。投标文件因字迹潦草或表达不清所引起的后果由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负责。</w:t>
      </w:r>
    </w:p>
    <w:p>
      <w:pPr>
        <w:snapToGrid w:val="0"/>
        <w:spacing w:line="500" w:lineRule="exact"/>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18.</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如投多个标包的，应当按照标包编号单独提供每一套投标文件</w:t>
      </w:r>
      <w:r>
        <w:rPr>
          <w:rFonts w:hint="eastAsia" w:asciiTheme="majorEastAsia" w:hAnsiTheme="majorEastAsia" w:eastAsiaTheme="majorEastAsia" w:cstheme="majorEastAsia"/>
          <w:color w:val="auto"/>
          <w:sz w:val="24"/>
          <w:szCs w:val="24"/>
          <w:highlight w:val="none"/>
          <w:lang w:eastAsia="zh-CN"/>
        </w:rPr>
        <w:t>，</w:t>
      </w:r>
      <w:r>
        <w:rPr>
          <w:rFonts w:hint="eastAsia" w:ascii="宋体" w:hAnsi="宋体" w:eastAsia="宋体" w:cs="宋体"/>
          <w:b/>
          <w:color w:val="auto"/>
          <w:sz w:val="24"/>
          <w:szCs w:val="24"/>
          <w:highlight w:val="none"/>
        </w:rPr>
        <w:t>否则按照无效</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以处理。</w:t>
      </w:r>
    </w:p>
    <w:p>
      <w:pPr>
        <w:pStyle w:val="6"/>
        <w:rPr>
          <w:color w:val="auto"/>
          <w:highlight w:val="none"/>
        </w:rPr>
      </w:pPr>
      <w:bookmarkStart w:id="61" w:name="_Toc8464"/>
      <w:r>
        <w:rPr>
          <w:rFonts w:hint="eastAsia"/>
          <w:color w:val="auto"/>
          <w:highlight w:val="none"/>
        </w:rPr>
        <w:t>19、投标文件的递交、修改和撤回</w:t>
      </w:r>
      <w:bookmarkEnd w:id="61"/>
    </w:p>
    <w:p>
      <w:pPr>
        <w:pStyle w:val="197"/>
        <w:snapToGrid w:val="0"/>
        <w:spacing w:before="0" w:line="500" w:lineRule="exact"/>
        <w:ind w:left="0" w:firstLine="480" w:firstLineChars="200"/>
        <w:rPr>
          <w:rFonts w:asciiTheme="majorEastAsia" w:hAnsiTheme="majorEastAsia" w:eastAsiaTheme="majorEastAsia" w:cstheme="majorEastAsia"/>
          <w:b w:val="0"/>
          <w:bCs w:val="0"/>
          <w:color w:val="auto"/>
          <w:kern w:val="2"/>
          <w:sz w:val="24"/>
          <w:szCs w:val="24"/>
          <w:highlight w:val="none"/>
        </w:rPr>
      </w:pPr>
      <w:r>
        <w:rPr>
          <w:rFonts w:hint="eastAsia" w:asciiTheme="majorEastAsia" w:hAnsiTheme="majorEastAsia" w:eastAsiaTheme="majorEastAsia" w:cstheme="majorEastAsia"/>
          <w:b w:val="0"/>
          <w:bCs w:val="0"/>
          <w:color w:val="auto"/>
          <w:sz w:val="24"/>
          <w:szCs w:val="24"/>
          <w:highlight w:val="none"/>
        </w:rPr>
        <w:t>19.1供应商应当在投标截止时间前</w:t>
      </w:r>
      <w:r>
        <w:rPr>
          <w:rFonts w:hint="eastAsia" w:asciiTheme="majorEastAsia" w:hAnsiTheme="majorEastAsia" w:eastAsiaTheme="majorEastAsia" w:cstheme="majorEastAsia"/>
          <w:b/>
          <w:bCs/>
          <w:color w:val="auto"/>
          <w:sz w:val="24"/>
          <w:szCs w:val="24"/>
          <w:highlight w:val="none"/>
        </w:rPr>
        <w:t>【即202</w:t>
      </w:r>
      <w:r>
        <w:rPr>
          <w:rFonts w:hint="eastAsia" w:asciiTheme="majorEastAsia" w:hAnsiTheme="majorEastAsia" w:eastAsiaTheme="majorEastAsia" w:cstheme="majorEastAsia"/>
          <w:b/>
          <w:bCs/>
          <w:color w:val="auto"/>
          <w:sz w:val="24"/>
          <w:szCs w:val="24"/>
          <w:highlight w:val="none"/>
          <w:lang w:val="en-US" w:eastAsia="zh-CN"/>
        </w:rPr>
        <w:t>4</w:t>
      </w:r>
      <w:r>
        <w:rPr>
          <w:rFonts w:hint="eastAsia" w:asciiTheme="majorEastAsia" w:hAnsiTheme="majorEastAsia" w:eastAsiaTheme="majorEastAsia" w:cstheme="majorEastAsia"/>
          <w:b/>
          <w:bCs/>
          <w:color w:val="auto"/>
          <w:sz w:val="24"/>
          <w:szCs w:val="24"/>
          <w:highlight w:val="none"/>
        </w:rPr>
        <w:t>年04月</w:t>
      </w:r>
      <w:r>
        <w:rPr>
          <w:rFonts w:hint="eastAsia" w:asciiTheme="majorEastAsia" w:hAnsiTheme="majorEastAsia" w:eastAsiaTheme="majorEastAsia" w:cstheme="majorEastAsia"/>
          <w:b/>
          <w:bCs/>
          <w:color w:val="auto"/>
          <w:sz w:val="24"/>
          <w:szCs w:val="24"/>
          <w:highlight w:val="none"/>
          <w:lang w:val="en-US" w:eastAsia="zh-CN"/>
        </w:rPr>
        <w:t>23</w:t>
      </w:r>
      <w:r>
        <w:rPr>
          <w:rFonts w:hint="eastAsia" w:asciiTheme="majorEastAsia" w:hAnsiTheme="majorEastAsia" w:eastAsiaTheme="majorEastAsia" w:cstheme="majorEastAsia"/>
          <w:b/>
          <w:bCs/>
          <w:color w:val="auto"/>
          <w:sz w:val="24"/>
          <w:szCs w:val="24"/>
          <w:highlight w:val="none"/>
        </w:rPr>
        <w:t>日11时00分之前】</w:t>
      </w:r>
      <w:r>
        <w:rPr>
          <w:rFonts w:hint="eastAsia" w:asciiTheme="majorEastAsia" w:hAnsiTheme="majorEastAsia" w:eastAsiaTheme="majorEastAsia" w:cstheme="majorEastAsia"/>
          <w:b w:val="0"/>
          <w:bCs w:val="0"/>
          <w:color w:val="auto"/>
          <w:sz w:val="24"/>
          <w:szCs w:val="24"/>
          <w:highlight w:val="none"/>
        </w:rPr>
        <w:t>，将生成的“电子加密投标文件”上传递交至“政府采购云平台”,投标截止时间以后上传递交的投标文件将被“政府采购云平台”拒收。</w:t>
      </w:r>
    </w:p>
    <w:p>
      <w:pPr>
        <w:pStyle w:val="197"/>
        <w:snapToGrid w:val="0"/>
        <w:spacing w:before="0" w:line="500" w:lineRule="exact"/>
        <w:ind w:left="0" w:firstLine="480" w:firstLineChars="200"/>
        <w:rPr>
          <w:rFonts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2</w:t>
      </w:r>
      <w:r>
        <w:rPr>
          <w:rFonts w:hint="eastAsia" w:asciiTheme="majorEastAsia" w:hAnsiTheme="majorEastAsia" w:eastAsiaTheme="majorEastAsia" w:cstheme="majorEastAsia"/>
          <w:color w:val="auto"/>
          <w:kern w:val="2"/>
          <w:sz w:val="24"/>
          <w:szCs w:val="24"/>
          <w:highlight w:val="none"/>
        </w:rPr>
        <w:t xml:space="preserve"> </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在投标截止时间之前，可以对已提交的投标文件进行修改或撤回，并书面通知采购代理机构；投标截止时间后，</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不得撤回、修改投标文件。修改后重新递交的投标文件应当按本招标文件的要求签署、盖章。</w:t>
      </w:r>
    </w:p>
    <w:p>
      <w:pPr>
        <w:pStyle w:val="198"/>
        <w:adjustRightInd w:val="0"/>
        <w:snapToGrid w:val="0"/>
        <w:spacing w:before="0" w:line="500" w:lineRule="exact"/>
        <w:ind w:firstLine="482"/>
        <w:rPr>
          <w:rFonts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19.</w:t>
      </w:r>
      <w:r>
        <w:rPr>
          <w:rFonts w:hint="eastAsia" w:asciiTheme="majorEastAsia" w:hAnsiTheme="majorEastAsia" w:eastAsiaTheme="majorEastAsia" w:cstheme="majorEastAsia"/>
          <w:b/>
          <w:color w:val="auto"/>
          <w:szCs w:val="24"/>
          <w:highlight w:val="none"/>
          <w:lang w:val="en-US" w:eastAsia="zh-CN"/>
        </w:rPr>
        <w:t>3</w:t>
      </w:r>
      <w:r>
        <w:rPr>
          <w:rFonts w:hint="eastAsia" w:asciiTheme="majorEastAsia" w:hAnsiTheme="majorEastAsia" w:eastAsiaTheme="majorEastAsia" w:cstheme="majorEastAsia"/>
          <w:b/>
          <w:color w:val="auto"/>
          <w:szCs w:val="24"/>
          <w:highlight w:val="none"/>
        </w:rPr>
        <w:t>投标文件有下列情况之一的将不予接受：</w:t>
      </w:r>
    </w:p>
    <w:p>
      <w:pPr>
        <w:pStyle w:val="197"/>
        <w:snapToGrid w:val="0"/>
        <w:spacing w:before="0" w:line="500" w:lineRule="exact"/>
        <w:ind w:left="0" w:firstLine="480" w:firstLineChars="200"/>
        <w:rPr>
          <w:rFonts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3</w:t>
      </w:r>
      <w:r>
        <w:rPr>
          <w:rFonts w:hint="eastAsia" w:asciiTheme="majorEastAsia" w:hAnsiTheme="majorEastAsia" w:eastAsiaTheme="majorEastAsia" w:cstheme="majorEastAsia"/>
          <w:color w:val="auto"/>
          <w:kern w:val="2"/>
          <w:sz w:val="24"/>
          <w:szCs w:val="24"/>
          <w:highlight w:val="none"/>
        </w:rPr>
        <w:t>.1在投标文件递交截止时间以后</w:t>
      </w:r>
      <w:r>
        <w:rPr>
          <w:rFonts w:hint="eastAsia" w:asciiTheme="majorEastAsia" w:hAnsiTheme="majorEastAsia" w:eastAsiaTheme="majorEastAsia" w:cstheme="majorEastAsia"/>
          <w:color w:val="auto"/>
          <w:kern w:val="2"/>
          <w:sz w:val="24"/>
          <w:szCs w:val="24"/>
          <w:highlight w:val="none"/>
          <w:lang w:val="en-US" w:eastAsia="zh-CN"/>
        </w:rPr>
        <w:t>递交</w:t>
      </w:r>
      <w:r>
        <w:rPr>
          <w:rFonts w:hint="eastAsia" w:asciiTheme="majorEastAsia" w:hAnsiTheme="majorEastAsia" w:eastAsiaTheme="majorEastAsia" w:cstheme="majorEastAsia"/>
          <w:color w:val="auto"/>
          <w:kern w:val="2"/>
          <w:sz w:val="24"/>
          <w:szCs w:val="24"/>
          <w:highlight w:val="none"/>
        </w:rPr>
        <w:t>的投标文件。</w:t>
      </w:r>
    </w:p>
    <w:p>
      <w:pPr>
        <w:pStyle w:val="6"/>
        <w:rPr>
          <w:color w:val="auto"/>
          <w:highlight w:val="none"/>
        </w:rPr>
      </w:pPr>
      <w:bookmarkStart w:id="62" w:name="_Toc5085"/>
      <w:r>
        <w:rPr>
          <w:rFonts w:hint="eastAsia"/>
          <w:color w:val="auto"/>
          <w:highlight w:val="none"/>
        </w:rPr>
        <w:t>20、投标截止期</w:t>
      </w:r>
      <w:bookmarkEnd w:id="62"/>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20.1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应按照前附表规定的日期、时间和地点递交投标文件。</w:t>
      </w:r>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 采购人可以按本须知第12条的规定，通过修改招标文件适当延长投标截止时间。如投标截止时间有延长的，采购人和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受投标截止期制约的所有权利和义务均应延长至新的截止期。</w:t>
      </w:r>
    </w:p>
    <w:p>
      <w:pPr>
        <w:pStyle w:val="6"/>
        <w:rPr>
          <w:color w:val="auto"/>
          <w:highlight w:val="none"/>
        </w:rPr>
      </w:pPr>
      <w:bookmarkStart w:id="63" w:name="_Toc11084"/>
      <w:r>
        <w:rPr>
          <w:rFonts w:hint="eastAsia"/>
          <w:color w:val="auto"/>
          <w:highlight w:val="none"/>
        </w:rPr>
        <w:t>21、投标无效的情形</w:t>
      </w:r>
      <w:bookmarkEnd w:id="63"/>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实质上没有响应招标文件要求的投标将被视为无效投标。</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不得通过修正或撤销不合要求的偏离或保留从而使其投标成为实质上响应的投标，限期内不补正或经补正后仍不符合招标文件要求的，应认定其投标无效。</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修改、补正投标文件后，不影响评标委员会对其投标文件所作的评价和评分结果。</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在评审时，如发现下列情形之一的，由评标委员会按少数服从多数原则进行认定，投标文件将被视为无效：</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 投标方未能提供合格的投标文件；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21.2未采用人民币报价或未按招标文件标明的币种或计量单位报价的；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21.3投标文件有采购人不能接受的附加条件的；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21.4有重大偏离的投标文件；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21.5未提供或未如实提供投标货物产品的技术参数；投标文件标明的商务、技术响应或偏离与事实不符或虚假投标的；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21.6</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报价低于其他有效</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报价算术平均价60%，</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又不能在规定时间内作出合理说明或提供相关证明材料；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21.7 标包以赠送方式投标的、对一个标包提供两个投标方案或两个报价的；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21.8投标文件应盖公章而未盖公章或盖非公司公章、未按照本招标文件要求</w:t>
      </w:r>
      <w:r>
        <w:rPr>
          <w:rFonts w:hint="eastAsia" w:asciiTheme="majorEastAsia" w:hAnsiTheme="majorEastAsia" w:eastAsiaTheme="majorEastAsia" w:cstheme="majorEastAsia"/>
          <w:color w:val="auto"/>
          <w:sz w:val="24"/>
          <w:szCs w:val="24"/>
          <w:highlight w:val="none"/>
          <w:lang w:val="en-US" w:eastAsia="zh-CN"/>
        </w:rPr>
        <w:t>编制</w:t>
      </w:r>
      <w:r>
        <w:rPr>
          <w:rFonts w:hint="eastAsia" w:asciiTheme="majorEastAsia" w:hAnsiTheme="majorEastAsia" w:eastAsiaTheme="majorEastAsia" w:cstheme="majorEastAsia"/>
          <w:color w:val="auto"/>
          <w:sz w:val="24"/>
          <w:szCs w:val="24"/>
          <w:highlight w:val="none"/>
        </w:rPr>
        <w:t>、内容字迹严重模糊辨认不清的、未有效授权。</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bookmarkStart w:id="64" w:name="_Toc12370"/>
      <w:bookmarkStart w:id="65" w:name="_Toc19368"/>
      <w:r>
        <w:rPr>
          <w:rFonts w:hint="eastAsia" w:asciiTheme="majorEastAsia" w:hAnsiTheme="majorEastAsia" w:eastAsiaTheme="majorEastAsia" w:cstheme="majorEastAsia"/>
          <w:color w:val="auto"/>
          <w:sz w:val="24"/>
          <w:szCs w:val="24"/>
          <w:highlight w:val="none"/>
        </w:rPr>
        <w:t>21.9  投标报价超出最高限价</w:t>
      </w:r>
      <w:r>
        <w:rPr>
          <w:rFonts w:hint="eastAsia" w:asciiTheme="majorEastAsia" w:hAnsiTheme="majorEastAsia" w:eastAsiaTheme="majorEastAsia" w:cstheme="majorEastAsia"/>
          <w:color w:val="auto"/>
          <w:sz w:val="24"/>
          <w:szCs w:val="24"/>
          <w:highlight w:val="none"/>
          <w:lang w:val="en-US" w:eastAsia="zh-CN"/>
        </w:rPr>
        <w:t>或单价报价超出单价最高限价</w:t>
      </w:r>
      <w:r>
        <w:rPr>
          <w:rFonts w:hint="eastAsia" w:asciiTheme="majorEastAsia" w:hAnsiTheme="majorEastAsia" w:eastAsiaTheme="majorEastAsia" w:cstheme="majorEastAsia"/>
          <w:color w:val="auto"/>
          <w:sz w:val="24"/>
          <w:szCs w:val="24"/>
          <w:highlight w:val="none"/>
        </w:rPr>
        <w:t>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不能在规定时间内提供原件核实或提供相关证明材料；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不符合法律、法规和本招标文件明确规定的其他实质性要求的。</w:t>
      </w:r>
    </w:p>
    <w:p>
      <w:pPr>
        <w:pStyle w:val="5"/>
        <w:rPr>
          <w:color w:val="auto"/>
          <w:highlight w:val="none"/>
        </w:rPr>
      </w:pPr>
      <w:r>
        <w:rPr>
          <w:rFonts w:hint="eastAsia"/>
          <w:color w:val="auto"/>
          <w:highlight w:val="none"/>
        </w:rPr>
        <w:t>四、开标</w:t>
      </w:r>
      <w:bookmarkEnd w:id="64"/>
      <w:bookmarkEnd w:id="65"/>
    </w:p>
    <w:p>
      <w:pPr>
        <w:pStyle w:val="6"/>
        <w:rPr>
          <w:color w:val="auto"/>
          <w:highlight w:val="none"/>
        </w:rPr>
      </w:pPr>
      <w:bookmarkStart w:id="66" w:name="_Toc9510638"/>
      <w:bookmarkStart w:id="67" w:name="_Toc21515"/>
      <w:r>
        <w:rPr>
          <w:rFonts w:hint="eastAsia"/>
          <w:color w:val="auto"/>
          <w:highlight w:val="none"/>
        </w:rPr>
        <w:t>22、开</w:t>
      </w:r>
      <w:bookmarkEnd w:id="66"/>
      <w:r>
        <w:rPr>
          <w:rFonts w:hint="eastAsia"/>
          <w:color w:val="auto"/>
          <w:highlight w:val="none"/>
        </w:rPr>
        <w:t>标准备</w:t>
      </w:r>
      <w:bookmarkEnd w:id="67"/>
    </w:p>
    <w:p>
      <w:pPr>
        <w:spacing w:line="360" w:lineRule="auto"/>
        <w:ind w:firstLine="480" w:firstLineChars="20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22.1 </w:t>
      </w:r>
      <w:r>
        <w:rPr>
          <w:rFonts w:hint="eastAsia" w:ascii="宋体" w:hAnsi="宋体" w:cs="宋体"/>
          <w:b w:val="0"/>
          <w:bCs/>
          <w:color w:val="auto"/>
          <w:sz w:val="24"/>
          <w:highlight w:val="none"/>
          <w:lang w:eastAsia="zh-CN"/>
        </w:rPr>
        <w:t>采购代理机构</w:t>
      </w:r>
      <w:r>
        <w:rPr>
          <w:rFonts w:hint="eastAsia" w:ascii="宋体" w:hAnsi="宋体" w:eastAsia="宋体" w:cs="宋体"/>
          <w:b w:val="0"/>
          <w:bCs/>
          <w:color w:val="auto"/>
          <w:sz w:val="24"/>
          <w:highlight w:val="none"/>
        </w:rPr>
        <w:t>将于202</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年</w:t>
      </w:r>
      <w:r>
        <w:rPr>
          <w:rFonts w:hint="eastAsia" w:ascii="宋体" w:hAnsi="宋体" w:eastAsia="宋体" w:cs="宋体"/>
          <w:b w:val="0"/>
          <w:bCs/>
          <w:color w:val="auto"/>
          <w:sz w:val="24"/>
          <w:highlight w:val="none"/>
          <w:lang w:val="en-US" w:eastAsia="zh-CN"/>
        </w:rPr>
        <w:t>0</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lang w:val="en-US" w:eastAsia="zh-CN"/>
        </w:rPr>
        <w:t>23</w:t>
      </w:r>
      <w:r>
        <w:rPr>
          <w:rFonts w:hint="eastAsia" w:ascii="宋体" w:hAnsi="宋体" w:eastAsia="宋体" w:cs="宋体"/>
          <w:b w:val="0"/>
          <w:bCs/>
          <w:color w:val="auto"/>
          <w:sz w:val="24"/>
          <w:highlight w:val="none"/>
        </w:rPr>
        <w:t>日</w:t>
      </w:r>
      <w:r>
        <w:rPr>
          <w:rFonts w:hint="eastAsia" w:ascii="宋体" w:hAnsi="宋体" w:eastAsia="宋体" w:cs="宋体"/>
          <w:b w:val="0"/>
          <w:bCs/>
          <w:color w:val="auto"/>
          <w:sz w:val="24"/>
          <w:highlight w:val="none"/>
          <w:lang w:val="en-US" w:eastAsia="zh-CN"/>
        </w:rPr>
        <w:t>11</w:t>
      </w:r>
      <w:r>
        <w:rPr>
          <w:rFonts w:hint="eastAsia" w:ascii="宋体" w:hAnsi="宋体" w:eastAsia="宋体" w:cs="宋体"/>
          <w:b w:val="0"/>
          <w:bCs/>
          <w:color w:val="auto"/>
          <w:sz w:val="24"/>
          <w:highlight w:val="none"/>
        </w:rPr>
        <w:t>时</w:t>
      </w:r>
      <w:r>
        <w:rPr>
          <w:rFonts w:hint="eastAsia" w:ascii="宋体" w:hAnsi="宋体" w:eastAsia="宋体" w:cs="宋体"/>
          <w:b w:val="0"/>
          <w:bCs/>
          <w:color w:val="auto"/>
          <w:sz w:val="24"/>
          <w:highlight w:val="none"/>
          <w:lang w:val="en-US" w:eastAsia="zh-CN"/>
        </w:rPr>
        <w:t>0</w:t>
      </w:r>
      <w:r>
        <w:rPr>
          <w:rFonts w:hint="eastAsia" w:ascii="宋体" w:hAnsi="宋体" w:eastAsia="宋体" w:cs="宋体"/>
          <w:b w:val="0"/>
          <w:bCs/>
          <w:color w:val="auto"/>
          <w:sz w:val="24"/>
          <w:highlight w:val="none"/>
        </w:rPr>
        <w:t>0分</w:t>
      </w:r>
      <w:r>
        <w:rPr>
          <w:rFonts w:hint="eastAsia" w:ascii="宋体" w:hAnsi="宋体" w:eastAsia="宋体" w:cs="宋体"/>
          <w:b w:val="0"/>
          <w:bCs/>
          <w:color w:val="auto"/>
          <w:kern w:val="0"/>
          <w:sz w:val="24"/>
          <w:highlight w:val="none"/>
        </w:rPr>
        <w:t>(北京时间）举行此次开标会议，开标地点政采云平台https：//www.zcygov.cn/政采云不见面开标大厅</w:t>
      </w:r>
      <w:r>
        <w:rPr>
          <w:rFonts w:hint="eastAsia" w:ascii="宋体" w:hAnsi="宋体" w:eastAsia="宋体" w:cs="宋体"/>
          <w:b w:val="0"/>
          <w:bCs/>
          <w:color w:val="auto"/>
          <w:sz w:val="24"/>
          <w:highlight w:val="none"/>
        </w:rPr>
        <w:t>。</w:t>
      </w:r>
    </w:p>
    <w:p>
      <w:pPr>
        <w:pStyle w:val="6"/>
        <w:rPr>
          <w:color w:val="auto"/>
          <w:highlight w:val="none"/>
        </w:rPr>
      </w:pPr>
      <w:bookmarkStart w:id="68" w:name="_Toc26159"/>
      <w:r>
        <w:rPr>
          <w:rFonts w:hint="eastAsia"/>
          <w:color w:val="auto"/>
          <w:highlight w:val="none"/>
        </w:rPr>
        <w:t>23、开标程序：</w:t>
      </w:r>
      <w:bookmarkEnd w:id="68"/>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bookmarkStart w:id="69" w:name="_Toc14026"/>
      <w:r>
        <w:rPr>
          <w:rFonts w:hint="eastAsia" w:asciiTheme="majorEastAsia" w:hAnsiTheme="majorEastAsia" w:eastAsiaTheme="majorEastAsia" w:cstheme="majorEastAsia"/>
          <w:color w:val="auto"/>
          <w:sz w:val="24"/>
          <w:szCs w:val="24"/>
          <w:highlight w:val="none"/>
        </w:rPr>
        <w:t>23.1开标会议在有关监督部门的监督下，由</w:t>
      </w:r>
      <w:r>
        <w:rPr>
          <w:rFonts w:hint="eastAsia" w:asciiTheme="majorEastAsia" w:hAnsiTheme="majorEastAsia" w:eastAsiaTheme="majorEastAsia" w:cstheme="majorEastAsia"/>
          <w:color w:val="auto"/>
          <w:sz w:val="24"/>
          <w:szCs w:val="24"/>
          <w:highlight w:val="none"/>
          <w:lang w:eastAsia="zh-CN"/>
        </w:rPr>
        <w:t>采购代理机构</w:t>
      </w:r>
      <w:r>
        <w:rPr>
          <w:rFonts w:hint="eastAsia" w:asciiTheme="majorEastAsia" w:hAnsiTheme="majorEastAsia" w:eastAsiaTheme="majorEastAsia" w:cstheme="majorEastAsia"/>
          <w:color w:val="auto"/>
          <w:sz w:val="24"/>
          <w:szCs w:val="24"/>
          <w:highlight w:val="none"/>
        </w:rPr>
        <w:t>组织并主持。</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23.2开标后，将由</w:t>
      </w:r>
      <w:r>
        <w:rPr>
          <w:rFonts w:hint="eastAsia" w:asciiTheme="majorEastAsia" w:hAnsiTheme="majorEastAsia" w:eastAsiaTheme="majorEastAsia" w:cstheme="majorEastAsia"/>
          <w:color w:val="auto"/>
          <w:sz w:val="24"/>
          <w:szCs w:val="24"/>
          <w:highlight w:val="none"/>
          <w:lang w:eastAsia="zh-CN"/>
        </w:rPr>
        <w:t>采购代理机构</w:t>
      </w:r>
      <w:r>
        <w:rPr>
          <w:rFonts w:hint="eastAsia" w:asciiTheme="majorEastAsia" w:hAnsiTheme="majorEastAsia" w:eastAsiaTheme="majorEastAsia" w:cstheme="majorEastAsia"/>
          <w:color w:val="auto"/>
          <w:sz w:val="24"/>
          <w:szCs w:val="24"/>
          <w:highlight w:val="none"/>
        </w:rPr>
        <w:t>公开有效</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的投标报价，以及</w:t>
      </w:r>
      <w:r>
        <w:rPr>
          <w:rFonts w:hint="eastAsia" w:asciiTheme="majorEastAsia" w:hAnsiTheme="majorEastAsia" w:eastAsiaTheme="majorEastAsia" w:cstheme="majorEastAsia"/>
          <w:color w:val="auto"/>
          <w:sz w:val="24"/>
          <w:szCs w:val="24"/>
          <w:highlight w:val="none"/>
          <w:lang w:eastAsia="zh-CN"/>
        </w:rPr>
        <w:t>采购代理机构</w:t>
      </w:r>
      <w:r>
        <w:rPr>
          <w:rFonts w:hint="eastAsia" w:asciiTheme="majorEastAsia" w:hAnsiTheme="majorEastAsia" w:eastAsiaTheme="majorEastAsia" w:cstheme="majorEastAsia"/>
          <w:color w:val="auto"/>
          <w:sz w:val="24"/>
          <w:szCs w:val="24"/>
          <w:highlight w:val="none"/>
        </w:rPr>
        <w:t>认为必要的其它内容。</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23.3采购人有权就投标文件中含混之处向</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提出询问或澄清要求。</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23.4公开开标后，直到向中标的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授予合同时止，凡与审查、澄清、评价和比较投标的有关资料以及授标意见等均不得向</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及与投标无关的其他人透露。</w:t>
      </w:r>
    </w:p>
    <w:p>
      <w:pPr>
        <w:pStyle w:val="6"/>
        <w:rPr>
          <w:color w:val="auto"/>
          <w:highlight w:val="none"/>
        </w:rPr>
      </w:pPr>
      <w:r>
        <w:rPr>
          <w:rFonts w:hint="eastAsia"/>
          <w:color w:val="auto"/>
          <w:highlight w:val="none"/>
        </w:rPr>
        <w:t>24、资格审查</w:t>
      </w:r>
      <w:bookmarkEnd w:id="69"/>
    </w:p>
    <w:p>
      <w:pPr>
        <w:adjustRightInd w:val="0"/>
        <w:snapToGrid w:val="0"/>
        <w:spacing w:line="500" w:lineRule="exact"/>
        <w:ind w:firstLine="523" w:firstLineChars="218"/>
        <w:rPr>
          <w:rFonts w:hint="eastAsia" w:asciiTheme="majorEastAsia" w:hAnsiTheme="majorEastAsia" w:eastAsiaTheme="majorEastAsia" w:cstheme="majorEastAsia"/>
          <w:bCs/>
          <w:color w:val="auto"/>
          <w:sz w:val="24"/>
          <w:szCs w:val="24"/>
          <w:highlight w:val="none"/>
        </w:rPr>
      </w:pPr>
      <w:bookmarkStart w:id="70" w:name="_Toc21778"/>
      <w:bookmarkStart w:id="71" w:name="_Toc25332"/>
      <w:r>
        <w:rPr>
          <w:rFonts w:hint="eastAsia" w:asciiTheme="majorEastAsia" w:hAnsiTheme="majorEastAsia" w:eastAsiaTheme="majorEastAsia" w:cstheme="majorEastAsia"/>
          <w:bCs/>
          <w:color w:val="auto"/>
          <w:sz w:val="24"/>
          <w:szCs w:val="24"/>
          <w:highlight w:val="none"/>
        </w:rPr>
        <w:t>公开招标采购项目开标结束后，采购人或者采购代理机构应当依法对</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的资格进行审查。</w:t>
      </w:r>
    </w:p>
    <w:p>
      <w:pPr>
        <w:pStyle w:val="2"/>
        <w:rPr>
          <w:rFonts w:hint="eastAsia"/>
          <w:color w:val="auto"/>
          <w:highlight w:val="none"/>
        </w:rPr>
      </w:pPr>
    </w:p>
    <w:tbl>
      <w:tblPr>
        <w:tblStyle w:val="38"/>
        <w:tblpPr w:leftFromText="180" w:rightFromText="180" w:vertAnchor="text" w:horzAnchor="page" w:tblpX="1698" w:tblpY="208"/>
        <w:tblOverlap w:val="never"/>
        <w:tblW w:w="869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审查</w:t>
            </w:r>
            <w:r>
              <w:rPr>
                <w:rFonts w:hint="eastAsia" w:asciiTheme="majorEastAsia" w:hAnsiTheme="majorEastAsia" w:eastAsiaTheme="majorEastAsia" w:cstheme="majorEastAsia"/>
                <w:bCs/>
                <w:color w:val="auto"/>
                <w:sz w:val="24"/>
                <w:szCs w:val="24"/>
                <w:highlight w:val="none"/>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7"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在中华人民共和国境内注册或登记，具有有效的营业执照（事业单位法人证书、民办非企业单位登记证书、社会团体法人登记证书、基金会法人登记证书、自然人身份证）；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符合《中华人民共和国政府采购法》第二十二条的相关规定。</w:t>
            </w:r>
          </w:p>
          <w:p>
            <w:pPr>
              <w:pStyle w:val="57"/>
              <w:rPr>
                <w:rFonts w:hint="eastAsia"/>
                <w:color w:val="auto"/>
                <w:highlight w:val="none"/>
              </w:rPr>
            </w:pPr>
            <w:r>
              <w:rPr>
                <w:rFonts w:hint="eastAsia"/>
                <w:color w:val="auto"/>
                <w:highlight w:val="none"/>
              </w:rPr>
              <w:t>1.1 具有独立承担民事责任的能力；</w:t>
            </w:r>
          </w:p>
          <w:p>
            <w:pPr>
              <w:pStyle w:val="57"/>
              <w:rPr>
                <w:rFonts w:hint="eastAsia"/>
                <w:color w:val="auto"/>
                <w:highlight w:val="none"/>
              </w:rPr>
            </w:pPr>
            <w:r>
              <w:rPr>
                <w:rFonts w:hint="eastAsia"/>
                <w:color w:val="auto"/>
                <w:highlight w:val="none"/>
              </w:rPr>
              <w:t>1.2 具有良好的商业信誉和健全的财务会计制度：应提供本单位2022年度或2023年度经会计师事务所出具的审计报告复印件（报告中须包括资产负债表、利润表、现金流量表及财务报表附注）。</w:t>
            </w:r>
            <w:r>
              <w:rPr>
                <w:rFonts w:hint="eastAsia" w:ascii="宋体" w:hAnsi="宋体" w:cs="宋体"/>
                <w:color w:val="auto"/>
                <w:sz w:val="24"/>
                <w:szCs w:val="24"/>
                <w:highlight w:val="none"/>
              </w:rPr>
              <w:t>如供应商注册不满1年提供具有良好的商业信誉和健全的财务会计制度承诺函</w:t>
            </w:r>
            <w:r>
              <w:rPr>
                <w:rFonts w:hint="eastAsia"/>
                <w:color w:val="auto"/>
                <w:highlight w:val="none"/>
              </w:rPr>
              <w:t xml:space="preserve">； </w:t>
            </w:r>
          </w:p>
          <w:p>
            <w:pPr>
              <w:pStyle w:val="57"/>
              <w:rPr>
                <w:rFonts w:hint="eastAsia"/>
                <w:color w:val="auto"/>
                <w:highlight w:val="none"/>
              </w:rPr>
            </w:pPr>
            <w:r>
              <w:rPr>
                <w:rFonts w:hint="eastAsia"/>
                <w:color w:val="auto"/>
                <w:highlight w:val="none"/>
              </w:rPr>
              <w:t>1.3 具有履行合同所必需的设备和专业技术能力：须附相关证明材料或声明 ；</w:t>
            </w:r>
          </w:p>
          <w:p>
            <w:pPr>
              <w:pStyle w:val="57"/>
              <w:rPr>
                <w:rFonts w:hint="eastAsia"/>
                <w:color w:val="auto"/>
                <w:highlight w:val="none"/>
              </w:rPr>
            </w:pPr>
            <w:r>
              <w:rPr>
                <w:rFonts w:hint="eastAsia"/>
                <w:color w:val="auto"/>
                <w:highlight w:val="none"/>
              </w:rPr>
              <w:t>1.4 有依法缴纳税收和社会保障资金的良好记录：缴纳税收的证明材料，指</w:t>
            </w:r>
            <w:r>
              <w:rPr>
                <w:rFonts w:hint="eastAsia"/>
                <w:color w:val="auto"/>
                <w:highlight w:val="none"/>
                <w:lang w:eastAsia="zh-CN"/>
              </w:rPr>
              <w:t>供应商</w:t>
            </w:r>
            <w:r>
              <w:rPr>
                <w:rFonts w:hint="eastAsia"/>
                <w:color w:val="auto"/>
                <w:highlight w:val="none"/>
              </w:rPr>
              <w:t>缴纳增值税和企业所得税两种缴纳凭据；本项目开标前6个月内（至少提供1个月）缴纳税收的凭据（完税证、缴款书、印花税票、银行代扣（代缴）转账凭证等均可）；</w:t>
            </w:r>
            <w:r>
              <w:rPr>
                <w:rFonts w:hint="eastAsia"/>
                <w:color w:val="auto"/>
                <w:highlight w:val="none"/>
                <w:lang w:eastAsia="zh-CN"/>
              </w:rPr>
              <w:t>供应商</w:t>
            </w:r>
            <w:r>
              <w:rPr>
                <w:rFonts w:hint="eastAsia"/>
                <w:color w:val="auto"/>
                <w:highlight w:val="none"/>
              </w:rPr>
              <w:t xml:space="preserve">依法缴纳社会保障资金的证明材料：本项目开标前 6个月内（至少提供1个月）缴纳社会保险的凭据（专用收据或社会保险交纳清单）； </w:t>
            </w:r>
            <w:r>
              <w:rPr>
                <w:rFonts w:hint="eastAsia"/>
                <w:color w:val="auto"/>
                <w:highlight w:val="none"/>
                <w:lang w:eastAsia="zh-CN"/>
              </w:rPr>
              <w:t>供应商</w:t>
            </w:r>
            <w:r>
              <w:rPr>
                <w:rFonts w:hint="eastAsia"/>
                <w:color w:val="auto"/>
                <w:highlight w:val="none"/>
              </w:rPr>
              <w:t>为其他组织或自然人的，也需要按此项规定提供缴纳税收的凭据和交纳社会保险的凭据。如</w:t>
            </w:r>
            <w:r>
              <w:rPr>
                <w:rFonts w:hint="eastAsia"/>
                <w:color w:val="auto"/>
                <w:highlight w:val="none"/>
                <w:lang w:eastAsia="zh-CN"/>
              </w:rPr>
              <w:t>供应商</w:t>
            </w:r>
            <w:r>
              <w:rPr>
                <w:rFonts w:hint="eastAsia"/>
                <w:color w:val="auto"/>
                <w:highlight w:val="none"/>
              </w:rPr>
              <w:t>的社会保险为委托第三方代缴，还需同时提供</w:t>
            </w:r>
            <w:r>
              <w:rPr>
                <w:rFonts w:hint="eastAsia"/>
                <w:color w:val="auto"/>
                <w:highlight w:val="none"/>
                <w:lang w:eastAsia="zh-CN"/>
              </w:rPr>
              <w:t>供应商</w:t>
            </w:r>
            <w:r>
              <w:rPr>
                <w:rFonts w:hint="eastAsia"/>
                <w:color w:val="auto"/>
                <w:highlight w:val="none"/>
              </w:rPr>
              <w:t>与第三方服务机构签署的服务合同（合同中应明确写明第三方为</w:t>
            </w:r>
            <w:r>
              <w:rPr>
                <w:rFonts w:hint="eastAsia"/>
                <w:color w:val="auto"/>
                <w:highlight w:val="none"/>
                <w:lang w:eastAsia="zh-CN"/>
              </w:rPr>
              <w:t>供应商</w:t>
            </w:r>
            <w:r>
              <w:rPr>
                <w:rFonts w:hint="eastAsia"/>
                <w:color w:val="auto"/>
                <w:highlight w:val="none"/>
              </w:rPr>
              <w:t xml:space="preserve">代缴其社会保险）； </w:t>
            </w:r>
          </w:p>
          <w:p>
            <w:pPr>
              <w:pStyle w:val="57"/>
              <w:rPr>
                <w:rFonts w:hint="eastAsia"/>
                <w:color w:val="auto"/>
                <w:highlight w:val="none"/>
              </w:rPr>
            </w:pPr>
            <w:r>
              <w:rPr>
                <w:rFonts w:hint="eastAsia"/>
                <w:color w:val="auto"/>
                <w:highlight w:val="none"/>
              </w:rPr>
              <w:t xml:space="preserve">1.5 参加政府采购活动前三年内，在经营活动中没有重大违法记录：提供前三年内在经营活动中没有重大违法记录的书面声明； </w:t>
            </w:r>
          </w:p>
          <w:p>
            <w:pPr>
              <w:pStyle w:val="57"/>
              <w:rPr>
                <w:color w:val="auto"/>
                <w:highlight w:val="none"/>
              </w:rPr>
            </w:pPr>
            <w:r>
              <w:rPr>
                <w:rFonts w:hint="eastAsia"/>
                <w:color w:val="auto"/>
                <w:highlight w:val="none"/>
              </w:rPr>
              <w:t>1.6 法律、行政法规规定的其他条件。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64"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hint="eastAsia" w:ascii="宋体" w:hAnsi="宋体" w:cs="宋体" w:eastAsia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与采购人存在利害关系可能影响招标公正性的法人、其他组织或者个人，不得参加同一标段投标或者未划分标段的同一招标不得参加投标；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6"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不得参加同一合同项下的采购活动。</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投标单位未被列入失信被执行人、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p>
          <w:p>
            <w:pPr>
              <w:snapToGrid w:val="0"/>
              <w:spacing w:line="400" w:lineRule="exact"/>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注：开标当天采购代理机构将通过“信用中国”网站（</w:t>
            </w:r>
            <w:r>
              <w:rPr>
                <w:rFonts w:hint="eastAsia" w:asciiTheme="majorEastAsia" w:hAnsiTheme="majorEastAsia" w:eastAsiaTheme="majorEastAsia" w:cstheme="majorEastAsia"/>
                <w:color w:val="auto"/>
                <w:spacing w:val="-34"/>
                <w:sz w:val="24"/>
                <w:szCs w:val="24"/>
                <w:highlight w:val="none"/>
              </w:rPr>
              <w:t>www.creditchina.gov.cn</w:t>
            </w:r>
            <w:r>
              <w:rPr>
                <w:rFonts w:hint="eastAsia" w:asciiTheme="majorEastAsia" w:hAnsiTheme="majorEastAsia" w:eastAsiaTheme="majorEastAsia" w:cstheme="majorEastAsia"/>
                <w:color w:val="auto"/>
                <w:sz w:val="24"/>
                <w:szCs w:val="24"/>
                <w:highlight w:val="none"/>
              </w:rPr>
              <w:t>）和中国政府采购网（</w:t>
            </w:r>
            <w:r>
              <w:rPr>
                <w:rFonts w:hint="eastAsia" w:asciiTheme="majorEastAsia" w:hAnsiTheme="majorEastAsia" w:eastAsiaTheme="majorEastAsia" w:cstheme="majorEastAsia"/>
                <w:color w:val="auto"/>
                <w:spacing w:val="-34"/>
                <w:sz w:val="24"/>
                <w:szCs w:val="24"/>
                <w:highlight w:val="none"/>
              </w:rPr>
              <w:t>www.ccgp.gov.cn</w:t>
            </w:r>
            <w:r>
              <w:rPr>
                <w:rFonts w:hint="eastAsia" w:asciiTheme="majorEastAsia" w:hAnsiTheme="majorEastAsia" w:eastAsiaTheme="majorEastAsia" w:cstheme="majorEastAsia"/>
                <w:color w:val="auto"/>
                <w:sz w:val="24"/>
                <w:szCs w:val="24"/>
                <w:highlight w:val="none"/>
              </w:rPr>
              <w:t>）对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的信用信息进行查询，查询截止时间点即投标截止时间。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line="400" w:lineRule="exact"/>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807" w:type="dxa"/>
            <w:tcBorders>
              <w:top w:val="nil"/>
              <w:left w:val="nil"/>
              <w:bottom w:val="single" w:color="auto" w:sz="8" w:space="0"/>
              <w:right w:val="single" w:color="auto" w:sz="8" w:space="0"/>
            </w:tcBorders>
            <w:tcMar>
              <w:left w:w="108" w:type="dxa"/>
              <w:right w:w="108" w:type="dxa"/>
            </w:tcMar>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按招标文件要求缴纳了投标保证金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提供缴纳凭证</w:t>
            </w:r>
            <w:r>
              <w:rPr>
                <w:rFonts w:hint="eastAsia" w:ascii="宋体" w:hAnsi="宋体" w:cs="宋体"/>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33" w:firstLineChars="14"/>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备注：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如果资格评审中有一项不满足审查标准的，将认定该供应商不通过资格审查，不得进入下一阶段评审，并且不允许供应商通过修改或撤销其不符合要求的差异或保留，使其成为实质性响应。</w:t>
            </w:r>
          </w:p>
          <w:p>
            <w:pPr>
              <w:adjustRightInd w:val="0"/>
              <w:snapToGrid w:val="0"/>
              <w:spacing w:line="400" w:lineRule="exact"/>
              <w:ind w:firstLine="751" w:firstLineChars="313"/>
              <w:rPr>
                <w:rFonts w:hint="default"/>
                <w:color w:val="auto"/>
                <w:highlight w:val="none"/>
                <w:lang w:val="en-US"/>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合格供应商不足3家的，不得评标。</w:t>
            </w:r>
          </w:p>
        </w:tc>
      </w:tr>
    </w:tbl>
    <w:p>
      <w:pPr>
        <w:pStyle w:val="2"/>
        <w:rPr>
          <w:rFonts w:hint="eastAsia"/>
          <w:color w:val="auto"/>
          <w:highlight w:val="none"/>
        </w:rPr>
      </w:pPr>
    </w:p>
    <w:p>
      <w:pPr>
        <w:pStyle w:val="5"/>
        <w:rPr>
          <w:color w:val="auto"/>
          <w:highlight w:val="none"/>
        </w:rPr>
      </w:pPr>
      <w:r>
        <w:rPr>
          <w:rFonts w:hint="eastAsia"/>
          <w:color w:val="auto"/>
          <w:highlight w:val="none"/>
        </w:rPr>
        <w:t>五、评标</w:t>
      </w:r>
      <w:bookmarkEnd w:id="70"/>
      <w:bookmarkEnd w:id="71"/>
    </w:p>
    <w:p>
      <w:pPr>
        <w:pStyle w:val="6"/>
        <w:rPr>
          <w:color w:val="auto"/>
          <w:highlight w:val="none"/>
        </w:rPr>
      </w:pPr>
      <w:bookmarkStart w:id="72" w:name="_Toc9510639"/>
      <w:bookmarkStart w:id="73" w:name="_Toc6750"/>
      <w:r>
        <w:rPr>
          <w:rFonts w:hint="eastAsia"/>
          <w:color w:val="auto"/>
          <w:highlight w:val="none"/>
        </w:rPr>
        <w:t>25、组</w:t>
      </w:r>
      <w:bookmarkEnd w:id="72"/>
      <w:r>
        <w:rPr>
          <w:rFonts w:hint="eastAsia"/>
          <w:color w:val="auto"/>
          <w:highlight w:val="none"/>
        </w:rPr>
        <w:t>建评标委员会</w:t>
      </w:r>
      <w:bookmarkEnd w:id="73"/>
    </w:p>
    <w:p>
      <w:pPr>
        <w:pStyle w:val="6"/>
        <w:ind w:firstLine="482" w:firstLineChars="200"/>
        <w:rPr>
          <w:rFonts w:hint="eastAsia" w:asciiTheme="majorEastAsia" w:hAnsiTheme="majorEastAsia" w:eastAsiaTheme="majorEastAsia" w:cstheme="majorEastAsia"/>
          <w:color w:val="auto"/>
          <w:sz w:val="24"/>
          <w:szCs w:val="24"/>
          <w:highlight w:val="none"/>
        </w:rPr>
      </w:pPr>
      <w:bookmarkStart w:id="74" w:name="_Toc14527"/>
      <w:r>
        <w:rPr>
          <w:rFonts w:hint="eastAsia" w:asciiTheme="majorEastAsia" w:hAnsiTheme="majorEastAsia" w:eastAsiaTheme="majorEastAsia" w:cstheme="majorEastAsia"/>
          <w:color w:val="auto"/>
          <w:sz w:val="24"/>
          <w:szCs w:val="24"/>
          <w:highlight w:val="none"/>
        </w:rPr>
        <w:t>按《中华人民共和国政府采购法》相关要求，本项目评标委员会由政采云评标专家库随机抽取的5名评审专家和2名采购人代表组成。</w:t>
      </w:r>
    </w:p>
    <w:p>
      <w:pPr>
        <w:pStyle w:val="6"/>
        <w:rPr>
          <w:rFonts w:asciiTheme="majorEastAsia" w:hAnsiTheme="majorEastAsia" w:eastAsiaTheme="majorEastAsia" w:cstheme="majorEastAsia"/>
          <w:color w:val="auto"/>
          <w:sz w:val="24"/>
          <w:szCs w:val="24"/>
          <w:highlight w:val="none"/>
        </w:rPr>
      </w:pPr>
      <w:r>
        <w:rPr>
          <w:rFonts w:hint="eastAsia"/>
          <w:color w:val="auto"/>
          <w:highlight w:val="none"/>
        </w:rPr>
        <w:t>26、评标程序</w:t>
      </w:r>
      <w:bookmarkEnd w:id="74"/>
    </w:p>
    <w:p>
      <w:pPr>
        <w:adjustRightInd w:val="0"/>
        <w:snapToGrid w:val="0"/>
        <w:spacing w:line="400" w:lineRule="exact"/>
        <w:ind w:firstLine="472"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26.</w:t>
      </w: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符合性审查</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评标委员会对投标文件的完整性、合法性等进行审查。</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下列有一项未通过审查</w:t>
      </w:r>
      <w:r>
        <w:rPr>
          <w:rFonts w:hint="eastAsia" w:asciiTheme="majorEastAsia" w:hAnsiTheme="majorEastAsia" w:eastAsiaTheme="majorEastAsia" w:cstheme="majorEastAsia"/>
          <w:bCs/>
          <w:color w:val="auto"/>
          <w:sz w:val="24"/>
          <w:szCs w:val="24"/>
          <w:highlight w:val="none"/>
        </w:rPr>
        <w:t>内容</w:t>
      </w:r>
      <w:r>
        <w:rPr>
          <w:rFonts w:hint="eastAsia" w:asciiTheme="majorEastAsia" w:hAnsiTheme="majorEastAsia" w:eastAsiaTheme="majorEastAsia" w:cstheme="majorEastAsia"/>
          <w:color w:val="auto"/>
          <w:sz w:val="24"/>
          <w:szCs w:val="24"/>
          <w:highlight w:val="none"/>
        </w:rPr>
        <w:t>的，应在符合性审查时按照无效投标处理：</w:t>
      </w:r>
    </w:p>
    <w:tbl>
      <w:tblPr>
        <w:tblStyle w:val="3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序号</w:t>
            </w:r>
          </w:p>
        </w:tc>
        <w:tc>
          <w:tcPr>
            <w:tcW w:w="7832" w:type="dxa"/>
            <w:vAlign w:val="center"/>
          </w:tcPr>
          <w:p>
            <w:pPr>
              <w:adjustRightInd w:val="0"/>
              <w:snapToGrid w:val="0"/>
              <w:spacing w:line="400" w:lineRule="exact"/>
              <w:jc w:val="cente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审查</w:t>
            </w:r>
            <w:r>
              <w:rPr>
                <w:rFonts w:hint="eastAsia" w:asciiTheme="majorEastAsia" w:hAnsiTheme="majorEastAsia" w:eastAsiaTheme="majorEastAsia" w:cstheme="majorEastAsia"/>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1</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合同履约期限必须满足招标文件规定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2</w:t>
            </w:r>
          </w:p>
        </w:tc>
        <w:tc>
          <w:tcPr>
            <w:tcW w:w="7832" w:type="dxa"/>
            <w:vAlign w:val="center"/>
          </w:tcPr>
          <w:p>
            <w:pPr>
              <w:adjustRightInd w:val="0"/>
              <w:snapToGrid w:val="0"/>
              <w:spacing w:line="400" w:lineRule="exact"/>
              <w:ind w:firstLine="33" w:firstLineChars="14"/>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3</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rPr>
              <w:t>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4</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的报价，有可能影响产品质量或者不能诚信履约的。若有时，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能在规定时间内作出合理说明或提供相关证明材料。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5</w:t>
            </w:r>
          </w:p>
        </w:tc>
        <w:tc>
          <w:tcPr>
            <w:tcW w:w="7832" w:type="dxa"/>
            <w:vAlign w:val="center"/>
          </w:tcPr>
          <w:p>
            <w:pPr>
              <w:adjustRightInd w:val="0"/>
              <w:snapToGrid w:val="0"/>
              <w:spacing w:line="400" w:lineRule="exact"/>
              <w:ind w:firstLine="33" w:firstLineChars="14"/>
              <w:rPr>
                <w:rFonts w:ascii="宋体" w:hAnsi="宋体" w:cs="宋体"/>
                <w:color w:val="auto"/>
                <w:sz w:val="24"/>
                <w:szCs w:val="24"/>
                <w:highlight w:val="none"/>
              </w:rPr>
            </w:pPr>
            <w:r>
              <w:rPr>
                <w:rFonts w:hint="eastAsia" w:ascii="宋体" w:hAnsi="宋体" w:cs="宋体"/>
                <w:color w:val="auto"/>
                <w:sz w:val="24"/>
                <w:szCs w:val="24"/>
                <w:highlight w:val="none"/>
              </w:rPr>
              <w:t>投标文件必须按招标文件规定格式完整提供，并要盖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章、法定代表人或被授权人签字或盖章。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6</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法定代表人（负责人、自然人）授权委托书必须按招标文件规定格式完整提供，并要盖</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章、法定代表人（负责人、自然人）签字或盖章，被授权人签字或盖章。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7</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投标报价没有超过最高限价</w:t>
            </w:r>
            <w:r>
              <w:rPr>
                <w:rFonts w:hint="eastAsia" w:asciiTheme="majorEastAsia" w:hAnsiTheme="majorEastAsia" w:eastAsiaTheme="majorEastAsia" w:cstheme="majorEastAsia"/>
                <w:color w:val="auto"/>
                <w:sz w:val="24"/>
                <w:szCs w:val="24"/>
                <w:highlight w:val="none"/>
                <w:lang w:val="en-US" w:eastAsia="zh-CN"/>
              </w:rPr>
              <w:t>且单价报价没有超出单价最高限价</w:t>
            </w:r>
            <w:r>
              <w:rPr>
                <w:rFonts w:hint="eastAsia" w:asciiTheme="majorEastAsia" w:hAnsiTheme="majorEastAsia" w:eastAsiaTheme="majorEastAsia" w:cstheme="maj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8</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9</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投标文件与招标文件没有重大偏离的。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10</w:t>
            </w:r>
          </w:p>
        </w:tc>
        <w:tc>
          <w:tcPr>
            <w:tcW w:w="7832" w:type="dxa"/>
            <w:vAlign w:val="center"/>
          </w:tcPr>
          <w:p>
            <w:pPr>
              <w:adjustRightInd w:val="0"/>
              <w:snapToGrid w:val="0"/>
              <w:spacing w:line="400" w:lineRule="exact"/>
              <w:ind w:firstLine="33" w:firstLineChars="1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不存在其他无效情形的，如不符合法律、法规和招标文件规定的。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adjustRightInd w:val="0"/>
              <w:snapToGrid w:val="0"/>
              <w:spacing w:line="400" w:lineRule="exact"/>
              <w:ind w:firstLine="33" w:firstLineChars="14"/>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szCs w:val="24"/>
                <w:highlight w:val="none"/>
                <w:lang w:eastAsia="zh-CN"/>
              </w:rPr>
              <w:t>备注：如果符合性审查中有一项不满足审查标准的，将认定该供应商不通过符合性审查，不得进入下一阶段评审，并且不允许供应商通过修改或撤销其不符合要求的差异或保留，使其成为实质性响应。</w:t>
            </w:r>
          </w:p>
        </w:tc>
      </w:tr>
    </w:tbl>
    <w:p>
      <w:pPr>
        <w:pStyle w:val="23"/>
        <w:rPr>
          <w:color w:val="auto"/>
          <w:highlight w:val="none"/>
        </w:rPr>
      </w:pPr>
    </w:p>
    <w:p>
      <w:pPr>
        <w:adjustRightInd w:val="0"/>
        <w:snapToGrid w:val="0"/>
        <w:spacing w:line="500" w:lineRule="exact"/>
        <w:ind w:firstLine="472"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26.</w:t>
      </w: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rPr>
        <w:t xml:space="preserve"> 实质审查与比较</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.1评标委员会审查投标文件的实质性内容是否符合招标文件的实质性要求。</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.2评标委员会将根据</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的投标文件进行审查、核对,如有疑问,将对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进行询标,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要向评标委员会澄清有关问题,并最终以书面形式进行答复。</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.3各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的技术得分为所有评委的有效评分的算术平均数。</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.4采购代理机构工作人员协助评标委员会根据本项目的评分标准计算各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的商务报价得分。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.5评标委员会完成评标后,评委对各部分得分汇总,计算出本项目最终得分。评标委员会按评标原则推荐中标候选人</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同时提交评审结果</w:t>
      </w:r>
      <w:r>
        <w:rPr>
          <w:rFonts w:hint="eastAsia" w:asciiTheme="majorEastAsia" w:hAnsiTheme="majorEastAsia" w:eastAsiaTheme="majorEastAsia" w:cstheme="majorEastAsia"/>
          <w:color w:val="auto"/>
          <w:sz w:val="24"/>
          <w:szCs w:val="24"/>
          <w:highlight w:val="none"/>
        </w:rPr>
        <w:t>。</w:t>
      </w:r>
    </w:p>
    <w:p>
      <w:pPr>
        <w:pStyle w:val="6"/>
        <w:rPr>
          <w:color w:val="auto"/>
          <w:highlight w:val="none"/>
        </w:rPr>
      </w:pPr>
      <w:bookmarkStart w:id="75" w:name="_Toc26304"/>
      <w:r>
        <w:rPr>
          <w:rFonts w:hint="eastAsia"/>
          <w:color w:val="auto"/>
          <w:highlight w:val="none"/>
        </w:rPr>
        <w:t>27、澄清问题的形式</w:t>
      </w:r>
      <w:bookmarkEnd w:id="75"/>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对投标文件中含义不明确、同类问题表述不一致或者有明显文字和计算错误的内容，评标委员会可要求</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作出必要的澄清、说明或者纠正。</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的澄清、说明或者补正应当采用书面形式，由其授权代表签字或盖章确认，并不得超出投标文件的范围或者改变投标文件的实质性内容。</w:t>
      </w:r>
    </w:p>
    <w:p>
      <w:pPr>
        <w:pStyle w:val="6"/>
        <w:rPr>
          <w:color w:val="auto"/>
          <w:highlight w:val="none"/>
        </w:rPr>
      </w:pPr>
      <w:bookmarkStart w:id="76" w:name="_Toc1409"/>
      <w:r>
        <w:rPr>
          <w:rFonts w:hint="eastAsia"/>
          <w:color w:val="auto"/>
          <w:highlight w:val="none"/>
        </w:rPr>
        <w:t>28、错误修正</w:t>
      </w:r>
      <w:bookmarkEnd w:id="76"/>
    </w:p>
    <w:p>
      <w:pPr>
        <w:adjustRightInd w:val="0"/>
        <w:snapToGrid w:val="0"/>
        <w:spacing w:line="500" w:lineRule="exact"/>
        <w:ind w:left="719" w:leftChars="228" w:hanging="240" w:hangingChars="1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投标文件如果出现计算或表达上的错误，修正错误的原则如下：</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28.1 开标一览表总价与投标报价明细表汇总数不一致的，</w:t>
      </w:r>
      <w:r>
        <w:rPr>
          <w:rFonts w:hint="eastAsia" w:asciiTheme="majorEastAsia" w:hAnsiTheme="majorEastAsia" w:eastAsiaTheme="majorEastAsia" w:cstheme="majorEastAsia"/>
          <w:color w:val="auto"/>
          <w:kern w:val="0"/>
          <w:sz w:val="24"/>
          <w:szCs w:val="24"/>
          <w:highlight w:val="none"/>
        </w:rPr>
        <w:t>以开标一览表为准；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28.2 投标文件的大写金额和小写金额不一致的，以大写金额为准；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28.3 总价金额与按单价汇总金额不一致的，以单价金额计算结果为准；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28.4 对不同文字文本投标文件的解释发生异议的，以中文文本为准。</w:t>
      </w:r>
    </w:p>
    <w:p>
      <w:pPr>
        <w:adjustRightInd w:val="0"/>
        <w:snapToGrid w:val="0"/>
        <w:spacing w:line="500" w:lineRule="exact"/>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按上述修正错误的原则及方法调整或修正投标文件的投标报价，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同意并签字确认后，调整后的投标报价对</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具有约束作用。如果</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不接受修正后的报价，则其投标将作为无效投标处理。</w:t>
      </w:r>
    </w:p>
    <w:p>
      <w:pPr>
        <w:pStyle w:val="6"/>
        <w:rPr>
          <w:color w:val="auto"/>
          <w:highlight w:val="none"/>
        </w:rPr>
      </w:pPr>
      <w:bookmarkStart w:id="77" w:name="_Toc8797"/>
      <w:r>
        <w:rPr>
          <w:rFonts w:hint="eastAsia"/>
          <w:color w:val="auto"/>
          <w:highlight w:val="none"/>
        </w:rPr>
        <w:t>29、评标原则和评标办法</w:t>
      </w:r>
      <w:bookmarkEnd w:id="77"/>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29.1 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接触。</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29.2 评标办法。本项目评标办法是</w:t>
      </w:r>
      <w:r>
        <w:rPr>
          <w:rFonts w:hint="eastAsia" w:asciiTheme="majorEastAsia" w:hAnsiTheme="majorEastAsia" w:eastAsiaTheme="majorEastAsia" w:cstheme="majorEastAsia"/>
          <w:b/>
          <w:color w:val="auto"/>
          <w:sz w:val="24"/>
          <w:szCs w:val="24"/>
          <w:highlight w:val="none"/>
          <w:u w:val="single"/>
        </w:rPr>
        <w:t xml:space="preserve"> 综合评分法 </w:t>
      </w:r>
      <w:r>
        <w:rPr>
          <w:rFonts w:hint="eastAsia" w:asciiTheme="majorEastAsia" w:hAnsiTheme="majorEastAsia" w:eastAsiaTheme="majorEastAsia" w:cstheme="majorEastAsia"/>
          <w:color w:val="auto"/>
          <w:sz w:val="24"/>
          <w:szCs w:val="24"/>
          <w:highlight w:val="none"/>
        </w:rPr>
        <w:t>，具体评标内容及评分标准等详见《第三章 评分办法及评分标准》。</w:t>
      </w:r>
    </w:p>
    <w:p>
      <w:pPr>
        <w:pStyle w:val="19"/>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29.3废标</w:t>
      </w:r>
    </w:p>
    <w:p>
      <w:pPr>
        <w:pStyle w:val="19"/>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在采购中，出现下列情形之一的，本项目或标包应予废标：</w:t>
      </w:r>
    </w:p>
    <w:p>
      <w:pPr>
        <w:pStyle w:val="19"/>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(1）出现影响采购公正的违法、违规行为的；</w:t>
      </w:r>
    </w:p>
    <w:p>
      <w:pPr>
        <w:pStyle w:val="19"/>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(2）有效投标单位不足三家的；</w:t>
      </w:r>
    </w:p>
    <w:p>
      <w:pPr>
        <w:pStyle w:val="19"/>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(3）因重大变故，采购任务取消的。</w:t>
      </w:r>
    </w:p>
    <w:p>
      <w:pPr>
        <w:pStyle w:val="5"/>
        <w:rPr>
          <w:color w:val="auto"/>
          <w:highlight w:val="none"/>
        </w:rPr>
      </w:pPr>
      <w:bookmarkStart w:id="78" w:name="_Toc17951"/>
      <w:bookmarkStart w:id="79" w:name="_Toc5562"/>
      <w:r>
        <w:rPr>
          <w:rFonts w:hint="eastAsia"/>
          <w:color w:val="auto"/>
          <w:highlight w:val="none"/>
        </w:rPr>
        <w:t>六、定标及</w:t>
      </w:r>
      <w:bookmarkStart w:id="80" w:name="_Toc9510640"/>
      <w:r>
        <w:rPr>
          <w:rFonts w:hint="eastAsia"/>
          <w:color w:val="auto"/>
          <w:highlight w:val="none"/>
        </w:rPr>
        <w:t>合同授予</w:t>
      </w:r>
      <w:bookmarkEnd w:id="78"/>
      <w:bookmarkEnd w:id="79"/>
    </w:p>
    <w:p>
      <w:pPr>
        <w:pStyle w:val="6"/>
        <w:rPr>
          <w:color w:val="auto"/>
          <w:highlight w:val="none"/>
        </w:rPr>
      </w:pPr>
      <w:bookmarkStart w:id="81" w:name="_Toc31428"/>
      <w:r>
        <w:rPr>
          <w:rFonts w:hint="eastAsia"/>
          <w:color w:val="auto"/>
          <w:highlight w:val="none"/>
        </w:rPr>
        <w:t>30、确</w:t>
      </w:r>
      <w:bookmarkEnd w:id="80"/>
      <w:r>
        <w:rPr>
          <w:rFonts w:hint="eastAsia"/>
          <w:color w:val="auto"/>
          <w:highlight w:val="none"/>
        </w:rPr>
        <w:t>定中标人</w:t>
      </w:r>
      <w:bookmarkEnd w:id="81"/>
    </w:p>
    <w:p>
      <w:pPr>
        <w:adjustRightInd w:val="0"/>
        <w:snapToGrid w:val="0"/>
        <w:spacing w:line="500" w:lineRule="exact"/>
        <w:ind w:firstLine="472"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本项目由采购人确定中标人。</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30.1本项目由评标委员会推荐每个标包的</w:t>
      </w:r>
      <w:r>
        <w:rPr>
          <w:rFonts w:hint="eastAsia" w:asciiTheme="majorEastAsia" w:hAnsiTheme="majorEastAsia" w:eastAsiaTheme="majorEastAsia" w:cstheme="majorEastAsia"/>
          <w:color w:val="auto"/>
          <w:sz w:val="24"/>
          <w:szCs w:val="24"/>
          <w:highlight w:val="none"/>
          <w:lang w:val="en-US" w:eastAsia="zh-CN"/>
        </w:rPr>
        <w:t>三名</w:t>
      </w:r>
      <w:r>
        <w:rPr>
          <w:rFonts w:hint="eastAsia" w:asciiTheme="majorEastAsia" w:hAnsiTheme="majorEastAsia" w:eastAsiaTheme="majorEastAsia" w:cstheme="majorEastAsia"/>
          <w:color w:val="auto"/>
          <w:sz w:val="24"/>
          <w:szCs w:val="24"/>
          <w:highlight w:val="none"/>
        </w:rPr>
        <w:t>中标候选人，</w:t>
      </w:r>
      <w:r>
        <w:rPr>
          <w:rFonts w:hint="eastAsia" w:cs="宋体" w:asciiTheme="minorEastAsia" w:hAnsiTheme="minorEastAsia"/>
          <w:color w:val="auto"/>
          <w:kern w:val="0"/>
          <w:sz w:val="24"/>
          <w:szCs w:val="24"/>
          <w:highlight w:val="none"/>
        </w:rPr>
        <w:t>采购代理机构应当自评审结束之日起2个工作日内将评审报告送交采购人。采购人应当自收到评审报告之日起5个工作日内在评审报告推荐的中标或者成交候选人中按顺序确定中标或者成交供应商。</w:t>
      </w:r>
    </w:p>
    <w:p>
      <w:pPr>
        <w:adjustRightInd w:val="0"/>
        <w:snapToGrid w:val="0"/>
        <w:spacing w:line="500" w:lineRule="exact"/>
        <w:ind w:firstLine="470" w:firstLineChars="196"/>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30.2</w:t>
      </w:r>
      <w:r>
        <w:rPr>
          <w:rFonts w:hint="eastAsia" w:cs="宋体" w:asciiTheme="minorEastAsia" w:hAnsiTheme="minorEastAsia"/>
          <w:color w:val="auto"/>
          <w:kern w:val="0"/>
          <w:sz w:val="24"/>
          <w:szCs w:val="24"/>
          <w:highlight w:val="none"/>
        </w:rPr>
        <w:t>采购人或者采购代理机构应当自中标、成交供应商确定之日起2个工作日内，发出中标、成交通知书，并在省级以上人民政府财政部门指定的媒体上公告中标、成交结果</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如对评审结果有质疑的，按照《中华人民共和国政府采购法》、《中华人民共和国政府采购法实施条例》等有关程序办理。</w:t>
      </w:r>
    </w:p>
    <w:p>
      <w:pPr>
        <w:pStyle w:val="6"/>
        <w:rPr>
          <w:color w:val="auto"/>
          <w:highlight w:val="none"/>
        </w:rPr>
      </w:pPr>
      <w:bookmarkStart w:id="82" w:name="_Toc4164"/>
      <w:r>
        <w:rPr>
          <w:rFonts w:hint="eastAsia"/>
          <w:color w:val="auto"/>
          <w:highlight w:val="none"/>
        </w:rPr>
        <w:t>31、签订合同</w:t>
      </w:r>
      <w:bookmarkEnd w:id="82"/>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31.1招标文件和中标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的投标文件均为签订采购合同的依据。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31.2中标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应当在中标通知书发出之日起30日内，与采购人签订采购合同。</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31.3采购人不得与中标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订立背离招标文件确定的合同文本以及采购标的、规格型号、采购金额、采购数量、技术和服务要求等实质性内容的协议。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31.4自政府采购合同签订之日起2个工作日内，本项目政府采购合同在</w:t>
      </w:r>
      <w:r>
        <w:rPr>
          <w:rFonts w:hint="eastAsia" w:asciiTheme="majorEastAsia" w:hAnsiTheme="majorEastAsia" w:eastAsiaTheme="majorEastAsia" w:cstheme="majorEastAsia"/>
          <w:color w:val="auto"/>
          <w:sz w:val="24"/>
          <w:szCs w:val="24"/>
          <w:highlight w:val="none"/>
          <w:lang w:val="en-US" w:eastAsia="zh-CN"/>
        </w:rPr>
        <w:t>新疆政府采购网（http://www.ccgp-xinjiang.gov.cn/）、中国政府采购网（http://www.ccgp.gov.cn/）</w:t>
      </w:r>
      <w:r>
        <w:rPr>
          <w:rFonts w:hint="eastAsia" w:asciiTheme="majorEastAsia" w:hAnsiTheme="majorEastAsia" w:eastAsiaTheme="majorEastAsia" w:cstheme="majorEastAsia"/>
          <w:color w:val="auto"/>
          <w:sz w:val="24"/>
          <w:szCs w:val="24"/>
          <w:highlight w:val="none"/>
        </w:rPr>
        <w:t>上公告，但政府采购合同中涉及国家秘密、商业秘密的内容除外。</w:t>
      </w:r>
    </w:p>
    <w:p>
      <w:pPr>
        <w:pStyle w:val="6"/>
        <w:rPr>
          <w:color w:val="auto"/>
          <w:highlight w:val="none"/>
        </w:rPr>
      </w:pPr>
      <w:bookmarkStart w:id="83" w:name="_Toc15336"/>
      <w:r>
        <w:rPr>
          <w:rFonts w:hint="eastAsia"/>
          <w:color w:val="auto"/>
          <w:highlight w:val="none"/>
        </w:rPr>
        <w:t>32、其他说明</w:t>
      </w:r>
      <w:bookmarkEnd w:id="83"/>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保密要求：在合同期内或合同终止后，未征得有关方同意，不得泄露与本项目、本合同业务有关的保密资料。</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本招标文件未尽事宜按现行招标投标的有关法律法规和规定执行。</w:t>
      </w:r>
    </w:p>
    <w:p>
      <w:pP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br w:type="page"/>
      </w:r>
    </w:p>
    <w:p>
      <w:pPr>
        <w:pStyle w:val="3"/>
        <w:rPr>
          <w:color w:val="auto"/>
          <w:highlight w:val="none"/>
        </w:rPr>
      </w:pPr>
      <w:bookmarkStart w:id="84" w:name="_Toc8515"/>
      <w:bookmarkStart w:id="85" w:name="_Toc23127"/>
      <w:bookmarkStart w:id="86" w:name="_Toc3842"/>
      <w:r>
        <w:rPr>
          <w:rFonts w:hint="eastAsia"/>
          <w:color w:val="auto"/>
          <w:highlight w:val="none"/>
        </w:rPr>
        <w:t>第三章 评分</w:t>
      </w:r>
      <w:bookmarkEnd w:id="84"/>
      <w:bookmarkEnd w:id="85"/>
      <w:r>
        <w:rPr>
          <w:rFonts w:hint="eastAsia"/>
          <w:color w:val="auto"/>
          <w:highlight w:val="none"/>
        </w:rPr>
        <w:t>办法及评分标准</w:t>
      </w:r>
      <w:bookmarkEnd w:id="86"/>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为公正、公平、科学地选择中标人，根据有关法律法规的规定，并结合本项目的实际情况，制定本办法。</w:t>
      </w:r>
    </w:p>
    <w:p>
      <w:pPr>
        <w:pStyle w:val="5"/>
        <w:rPr>
          <w:color w:val="auto"/>
          <w:highlight w:val="none"/>
        </w:rPr>
      </w:pPr>
      <w:bookmarkStart w:id="87" w:name="_Toc29264"/>
      <w:bookmarkStart w:id="88" w:name="_Toc32479"/>
      <w:r>
        <w:rPr>
          <w:rFonts w:hint="eastAsia"/>
          <w:color w:val="auto"/>
          <w:highlight w:val="none"/>
        </w:rPr>
        <w:t>一、评标组织</w:t>
      </w:r>
      <w:bookmarkEnd w:id="87"/>
      <w:bookmarkEnd w:id="88"/>
    </w:p>
    <w:p>
      <w:pPr>
        <w:spacing w:line="500" w:lineRule="exact"/>
        <w:ind w:firstLine="480" w:firstLineChars="200"/>
        <w:rPr>
          <w:rFonts w:asciiTheme="minorEastAsia" w:hAnsiTheme="minorEastAsia" w:eastAsiaTheme="minorEastAsia" w:cstheme="minorEastAsia"/>
          <w:color w:val="auto"/>
          <w:sz w:val="24"/>
          <w:szCs w:val="24"/>
          <w:highlight w:val="none"/>
        </w:rPr>
      </w:pPr>
      <w:bookmarkStart w:id="89" w:name="_Toc405213814"/>
      <w:bookmarkStart w:id="90" w:name="_Toc249760792"/>
      <w:bookmarkStart w:id="91" w:name="_Toc251566663"/>
      <w:r>
        <w:rPr>
          <w:rFonts w:hint="eastAsia" w:asciiTheme="minorEastAsia" w:hAnsiTheme="minorEastAsia" w:eastAsiaTheme="minorEastAsia" w:cstheme="minorEastAsia"/>
          <w:color w:val="auto"/>
          <w:sz w:val="24"/>
          <w:szCs w:val="24"/>
          <w:highlight w:val="none"/>
        </w:rPr>
        <w:t>评标工作</w:t>
      </w:r>
      <w:bookmarkEnd w:id="89"/>
      <w:bookmarkEnd w:id="90"/>
      <w:bookmarkEnd w:id="91"/>
      <w:r>
        <w:rPr>
          <w:rFonts w:hint="eastAsia" w:asciiTheme="minorEastAsia" w:hAnsiTheme="minorEastAsia" w:eastAsiaTheme="minorEastAsia" w:cstheme="minorEastAsia"/>
          <w:color w:val="auto"/>
          <w:sz w:val="24"/>
          <w:szCs w:val="24"/>
          <w:highlight w:val="none"/>
        </w:rPr>
        <w:t>由</w:t>
      </w:r>
      <w:bookmarkStart w:id="92" w:name="_Toc249760793"/>
      <w:bookmarkStart w:id="93" w:name="_Toc251566664"/>
      <w:bookmarkStart w:id="94" w:name="_Toc405213815"/>
      <w:r>
        <w:rPr>
          <w:rFonts w:hint="eastAsia" w:asciiTheme="minorEastAsia" w:hAnsiTheme="minorEastAsia" w:eastAsiaTheme="minorEastAsia" w:cstheme="minorEastAsia"/>
          <w:color w:val="auto"/>
          <w:sz w:val="24"/>
          <w:szCs w:val="24"/>
          <w:highlight w:val="none"/>
        </w:rPr>
        <w:t>采购代理机构负责组织，具体评标事务由依法组建的评标委员会负责。</w:t>
      </w:r>
    </w:p>
    <w:p>
      <w:pPr>
        <w:pStyle w:val="5"/>
        <w:rPr>
          <w:color w:val="auto"/>
          <w:highlight w:val="none"/>
        </w:rPr>
      </w:pPr>
      <w:bookmarkStart w:id="95" w:name="_Toc24221"/>
      <w:bookmarkStart w:id="96" w:name="_Toc3581"/>
      <w:r>
        <w:rPr>
          <w:rFonts w:hint="eastAsia"/>
          <w:color w:val="auto"/>
          <w:highlight w:val="none"/>
        </w:rPr>
        <w:t>二、评标纪律</w:t>
      </w:r>
      <w:bookmarkEnd w:id="95"/>
      <w:bookmarkEnd w:id="96"/>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w:t>
      </w:r>
      <w:bookmarkEnd w:id="92"/>
      <w:bookmarkEnd w:id="93"/>
      <w:bookmarkEnd w:id="94"/>
      <w:r>
        <w:rPr>
          <w:rFonts w:hint="eastAsia" w:asciiTheme="minorEastAsia" w:hAnsiTheme="minorEastAsia" w:eastAsiaTheme="minorEastAsia" w:cstheme="minorEastAsia"/>
          <w:color w:val="auto"/>
          <w:sz w:val="24"/>
          <w:szCs w:val="24"/>
          <w:highlight w:val="none"/>
        </w:rPr>
        <w:t>是招标工作的重要环节，评标工作在评标委员会内独立进行。评标委员会将按照评标原则的要求，公正、平等地对待所有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2．所有评标人员应忠于职守、廉洁自律、秉公办事、不徇私情。</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3．评标人员不得接受或参加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或与投标有关的单位、组织或个人的有碍公务的宴请、娱乐活动等，不得以任何形式弄虚作假。</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4．评标期间，评标人员不得随意出入评标地点、与外界通讯、会客等。</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5．在投标文件的审查、澄清、评价和比较以及授予合同的过程中，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对采购人、采购代理机构人员及评标委员会成员施加影响的任何行为，都将导致被取消投标资格。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6．为保证评标的公正性，在评标过程中，评标委员会成员不得与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或与中标结果有利害关系的人进行私下接触。在评标工作结束后，凡与评标情况有接触的任何人，不得将评标情况扩散出评标委员会以外。</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7．评标过程中，评标专家对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的优劣情况，以及认为差异较大的情况，应以书面意见作出真实、专业、诚恳负责的表述，不得违背客观、公正的原则。</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8．评标结束后，各评标人员应将全部资料整理上交采购代理机构，严禁将评标过程中的任何资料带出评标现场向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或其他单位提供。</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9．在中标结果公布前应对评标委员会成员名单予以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10．评标委员会对各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的商业秘密予以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11．评标委员会成员应当客观、公正地履行职责，遵守职业道德，对所提出的评审意见承担个人责任。</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12．在整个评标过程中，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企图影响招标结果的任何活动，可能导致其投标失败。如有违法行为，将依法追究其法律责任。</w:t>
      </w:r>
    </w:p>
    <w:p>
      <w:pPr>
        <w:pStyle w:val="5"/>
        <w:rPr>
          <w:color w:val="auto"/>
          <w:highlight w:val="none"/>
        </w:rPr>
      </w:pPr>
      <w:bookmarkStart w:id="97" w:name="_Toc10772"/>
      <w:bookmarkStart w:id="98" w:name="_Toc6124"/>
      <w:r>
        <w:rPr>
          <w:rFonts w:hint="eastAsia"/>
          <w:color w:val="auto"/>
          <w:highlight w:val="none"/>
        </w:rPr>
        <w:t>三、评分标准和细则</w:t>
      </w:r>
      <w:bookmarkEnd w:id="97"/>
      <w:bookmarkEnd w:id="98"/>
    </w:p>
    <w:p>
      <w:pPr>
        <w:spacing w:line="500" w:lineRule="exact"/>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（一）评分标准：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1.评标委员会</w:t>
      </w:r>
      <w:r>
        <w:rPr>
          <w:rFonts w:hint="eastAsia" w:asciiTheme="minorEastAsia" w:hAnsiTheme="minorEastAsia" w:eastAsiaTheme="minorEastAsia" w:cstheme="minorEastAsia"/>
          <w:color w:val="auto"/>
          <w:sz w:val="24"/>
          <w:szCs w:val="24"/>
          <w:highlight w:val="none"/>
          <w:lang w:val="en-US" w:eastAsia="zh-CN"/>
        </w:rPr>
        <w:t>各成员独立</w:t>
      </w:r>
      <w:r>
        <w:rPr>
          <w:rFonts w:hint="eastAsia" w:asciiTheme="minorEastAsia" w:hAnsiTheme="minorEastAsia" w:eastAsiaTheme="minorEastAsia" w:cstheme="minorEastAsia"/>
          <w:color w:val="auto"/>
          <w:sz w:val="24"/>
          <w:szCs w:val="24"/>
          <w:highlight w:val="none"/>
        </w:rPr>
        <w:t>根据招标文件对各投标文件技术内容充分审核、评议后，评标委员会</w:t>
      </w:r>
      <w:r>
        <w:rPr>
          <w:rFonts w:hint="eastAsia" w:asciiTheme="minorEastAsia" w:hAnsiTheme="minorEastAsia" w:eastAsiaTheme="minorEastAsia" w:cstheme="minorEastAsia"/>
          <w:color w:val="auto"/>
          <w:sz w:val="24"/>
          <w:szCs w:val="24"/>
          <w:highlight w:val="none"/>
          <w:lang w:val="en-US" w:eastAsia="zh-CN"/>
        </w:rPr>
        <w:t>成员独立</w:t>
      </w:r>
      <w:r>
        <w:rPr>
          <w:rFonts w:hint="eastAsia" w:asciiTheme="minorEastAsia" w:hAnsiTheme="minorEastAsia" w:eastAsiaTheme="minorEastAsia" w:cstheme="minorEastAsia"/>
          <w:color w:val="auto"/>
          <w:sz w:val="24"/>
          <w:szCs w:val="24"/>
          <w:highlight w:val="none"/>
        </w:rPr>
        <w:t>按评分细则，进行评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，各供应商技术的最终评分值为评标委员会</w:t>
      </w:r>
      <w:r>
        <w:rPr>
          <w:rFonts w:hint="eastAsia" w:asciiTheme="minorEastAsia" w:hAnsiTheme="minorEastAsia" w:eastAsiaTheme="minorEastAsia" w:cstheme="minorEastAsia"/>
          <w:color w:val="auto"/>
          <w:sz w:val="24"/>
          <w:szCs w:val="24"/>
          <w:highlight w:val="none"/>
          <w:lang w:val="en-US" w:eastAsia="zh-CN"/>
        </w:rPr>
        <w:t>各成员</w:t>
      </w:r>
      <w:r>
        <w:rPr>
          <w:rFonts w:hint="eastAsia" w:asciiTheme="minorEastAsia" w:hAnsiTheme="minorEastAsia" w:eastAsiaTheme="minorEastAsia" w:cstheme="minorEastAsia"/>
          <w:color w:val="auto"/>
          <w:sz w:val="24"/>
          <w:szCs w:val="24"/>
          <w:highlight w:val="none"/>
        </w:rPr>
        <w:t>的有效评分的算术平均值。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2.评标委员会成员</w:t>
      </w:r>
      <w:r>
        <w:rPr>
          <w:rFonts w:hint="eastAsia" w:asciiTheme="minorEastAsia" w:hAnsiTheme="minorEastAsia" w:eastAsiaTheme="minorEastAsia" w:cstheme="minorEastAsia"/>
          <w:color w:val="auto"/>
          <w:sz w:val="24"/>
          <w:szCs w:val="24"/>
          <w:highlight w:val="none"/>
          <w:lang w:val="en-US" w:eastAsia="zh-CN"/>
        </w:rPr>
        <w:t>独立</w:t>
      </w:r>
      <w:r>
        <w:rPr>
          <w:rFonts w:hint="eastAsia" w:asciiTheme="minorEastAsia" w:hAnsiTheme="minorEastAsia" w:eastAsiaTheme="minorEastAsia" w:cstheme="minorEastAsia"/>
          <w:color w:val="auto"/>
          <w:sz w:val="24"/>
          <w:szCs w:val="24"/>
          <w:highlight w:val="none"/>
        </w:rPr>
        <w:t>按评分细则对各供应商的最终报价进行统一计算评分，集体统一判定评分。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综合评分为技术、商务和投标报价三部分的总计，由指定专人进行计算和复核。中标候选资格按评标得分由高到低顺序排列，得分相同的，按投标报价由低到高顺序排列；得分且投标报价相同的，按技术得分由高到低顺序排列。</w:t>
      </w:r>
    </w:p>
    <w:p>
      <w:pPr>
        <w:spacing w:line="400" w:lineRule="exact"/>
        <w:ind w:firstLine="482" w:firstLineChars="200"/>
        <w:rPr>
          <w:rFonts w:asciiTheme="minorEastAsia" w:hAnsiTheme="minorEastAsia" w:eastAsiaTheme="minorEastAsia" w:cstheme="minorEastAsia"/>
          <w:b/>
          <w:color w:val="auto"/>
          <w:sz w:val="24"/>
          <w:szCs w:val="24"/>
          <w:highlight w:val="none"/>
        </w:rPr>
      </w:pPr>
      <w:r>
        <w:rPr>
          <w:rFonts w:hint="eastAsia" w:ascii="宋体" w:hAnsi="宋体" w:cs="宋体"/>
          <w:b/>
          <w:bCs/>
          <w:color w:val="auto"/>
          <w:sz w:val="24"/>
          <w:szCs w:val="24"/>
          <w:highlight w:val="none"/>
        </w:rPr>
        <w:t>（二）评分细则：</w:t>
      </w: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一</w:t>
      </w:r>
      <w:r>
        <w:rPr>
          <w:rFonts w:hint="eastAsia" w:asciiTheme="minorEastAsia" w:hAnsiTheme="minorEastAsia" w:eastAsiaTheme="minorEastAsia" w:cstheme="minorEastAsia"/>
          <w:b/>
          <w:color w:val="auto"/>
          <w:sz w:val="24"/>
          <w:szCs w:val="24"/>
          <w:highlight w:val="none"/>
        </w:rPr>
        <w:t>包评分标准：</w:t>
      </w:r>
    </w:p>
    <w:tbl>
      <w:tblPr>
        <w:tblStyle w:val="38"/>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参数</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分；</w:t>
            </w:r>
          </w:p>
          <w:p>
            <w:pPr>
              <w:widowControl/>
              <w:spacing w:line="400" w:lineRule="exact"/>
              <w:jc w:val="both"/>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2.核心技术参数存在负偏离的，此项不得分；</w:t>
            </w:r>
          </w:p>
          <w:p>
            <w:pPr>
              <w:widowControl/>
              <w:spacing w:line="400" w:lineRule="exact"/>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分，产品技术参数得分最多扣</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分。</w:t>
            </w:r>
          </w:p>
          <w:p>
            <w:pPr>
              <w:widowControl/>
              <w:spacing w:line="400" w:lineRule="exact"/>
              <w:ind w:firstLine="482" w:firstLineChars="200"/>
              <w:textAlignment w:val="center"/>
              <w:rPr>
                <w:rFonts w:hint="eastAsia" w:eastAsia="宋体"/>
                <w:color w:val="auto"/>
                <w:highlight w:val="none"/>
                <w:lang w:val="en-US" w:eastAsia="zh-CN"/>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rPr>
              <w:t>2021年0</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xml:space="preserve">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2"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w:t>
            </w:r>
            <w:r>
              <w:rPr>
                <w:rFonts w:hint="eastAsia" w:asciiTheme="minorEastAsia" w:hAnsiTheme="minorEastAsia" w:eastAsiaTheme="minorEastAsia" w:cstheme="minorEastAsia"/>
                <w:color w:val="auto"/>
                <w:sz w:val="24"/>
                <w:szCs w:val="24"/>
                <w:highlight w:val="none"/>
              </w:rPr>
              <w:t>组织</w:t>
            </w:r>
            <w:r>
              <w:rPr>
                <w:rFonts w:hint="eastAsia"/>
                <w:color w:val="auto"/>
                <w:sz w:val="24"/>
                <w:szCs w:val="24"/>
                <w:highlight w:val="none"/>
              </w:rPr>
              <w:t>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内容，方案内容完整齐全，符合项目实际的，得12分；每缺少一项方案内容，或一项内容存在缺陷的，每一项扣4分，扣完为止；未提供项目组织方案的，此项不得分。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根据供应商提供的项目技术培训方案进行评分：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技术培训方案包括但不限于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4项内容，方案内容完整齐全，符合项目实际的，得12分；每缺少一项方案内容，或一项内容存在缺陷的，每一项扣3分，扣完为止；未提供技术培训方案的，此项不得分。</w:t>
            </w:r>
          </w:p>
          <w:p>
            <w:pPr>
              <w:snapToGrid w:val="0"/>
              <w:spacing w:line="400" w:lineRule="exact"/>
              <w:ind w:firstLine="482"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2"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pStyle w:val="4"/>
        <w:rPr>
          <w:rFonts w:hint="eastAsia" w:asciiTheme="minorEastAsia" w:hAnsiTheme="minorEastAsia" w:eastAsiaTheme="minorEastAsia" w:cstheme="minorEastAsia"/>
          <w:b/>
          <w:bCs/>
          <w:color w:val="auto"/>
          <w:sz w:val="24"/>
          <w:szCs w:val="24"/>
          <w:highlight w:val="none"/>
        </w:rPr>
      </w:pP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包评分标准：</w:t>
      </w:r>
    </w:p>
    <w:tbl>
      <w:tblPr>
        <w:tblStyle w:val="38"/>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参数</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分，最多得30分；</w:t>
            </w:r>
          </w:p>
          <w:p>
            <w:pPr>
              <w:widowControl/>
              <w:spacing w:line="400" w:lineRule="exact"/>
              <w:jc w:val="both"/>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2.核心技术参数存在负偏离的，此项不得分；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4.每种产品一般技术参数存在负偏离的，每一条扣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0.5</w:t>
            </w:r>
            <w:r>
              <w:rPr>
                <w:rFonts w:hint="eastAsia" w:asciiTheme="minorEastAsia" w:hAnsiTheme="minorEastAsia" w:eastAsiaTheme="minorEastAsia" w:cstheme="minorEastAsia"/>
                <w:color w:val="auto"/>
                <w:kern w:val="0"/>
                <w:sz w:val="24"/>
                <w:szCs w:val="24"/>
                <w:highlight w:val="none"/>
              </w:rPr>
              <w:t>分，每种产品技术参数得分最多扣</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pPr>
              <w:widowControl/>
              <w:spacing w:line="400" w:lineRule="exact"/>
              <w:ind w:firstLine="482" w:firstLineChars="200"/>
              <w:textAlignment w:val="center"/>
              <w:rPr>
                <w:rFonts w:hint="eastAsia" w:eastAsia="宋体"/>
                <w:color w:val="auto"/>
                <w:highlight w:val="none"/>
                <w:lang w:eastAsia="zh-CN"/>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lang w:eastAsia="zh-CN"/>
              </w:rPr>
              <w:t>2021年01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2"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w:t>
            </w:r>
            <w:r>
              <w:rPr>
                <w:rFonts w:hint="eastAsia" w:asciiTheme="minorEastAsia" w:hAnsiTheme="minorEastAsia" w:eastAsiaTheme="minorEastAsia" w:cstheme="minorEastAsia"/>
                <w:color w:val="auto"/>
                <w:sz w:val="24"/>
                <w:szCs w:val="24"/>
                <w:highlight w:val="none"/>
              </w:rPr>
              <w:t>组织</w:t>
            </w:r>
            <w:r>
              <w:rPr>
                <w:rFonts w:hint="eastAsia"/>
                <w:color w:val="auto"/>
                <w:sz w:val="24"/>
                <w:szCs w:val="24"/>
                <w:highlight w:val="none"/>
              </w:rPr>
              <w:t>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内容，方案内容完整齐全，符合项目实际的，得12分；每缺少一项方案内容，或一项内容存在缺陷的，每一项扣4分，扣完为止；未提供项目组织方案的，此项不得分。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根据供应商提供的技术培训方案进行评分：</w:t>
            </w:r>
          </w:p>
          <w:p>
            <w:pPr>
              <w:widowControl/>
              <w:spacing w:line="400" w:lineRule="exact"/>
              <w:ind w:firstLine="480" w:firstLineChars="200"/>
              <w:rPr>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color w:val="auto"/>
                <w:sz w:val="24"/>
                <w:szCs w:val="24"/>
                <w:highlight w:val="none"/>
              </w:rPr>
              <w:t>培训方案包括但不限于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w:t>
            </w:r>
            <w:r>
              <w:rPr>
                <w:rFonts w:hint="eastAsia" w:asciiTheme="minorEastAsia" w:hAnsiTheme="minorEastAsia" w:eastAsiaTheme="minorEastAsia" w:cstheme="minorEastAsia"/>
                <w:color w:val="auto"/>
                <w:kern w:val="0"/>
                <w:sz w:val="24"/>
                <w:szCs w:val="24"/>
                <w:highlight w:val="none"/>
              </w:rPr>
              <w:t>技术</w:t>
            </w:r>
            <w:r>
              <w:rPr>
                <w:rFonts w:hint="eastAsia"/>
                <w:color w:val="auto"/>
                <w:sz w:val="24"/>
                <w:szCs w:val="24"/>
                <w:highlight w:val="none"/>
              </w:rPr>
              <w:t>培训方案的，此项不得分。</w:t>
            </w:r>
          </w:p>
          <w:p>
            <w:pPr>
              <w:snapToGrid w:val="0"/>
              <w:spacing w:line="400" w:lineRule="exact"/>
              <w:ind w:firstLine="482"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2"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pStyle w:val="4"/>
        <w:rPr>
          <w:rFonts w:hint="eastAsia" w:asciiTheme="minorEastAsia" w:hAnsiTheme="minorEastAsia" w:eastAsiaTheme="minorEastAsia" w:cstheme="minorEastAsia"/>
          <w:b/>
          <w:bCs/>
          <w:color w:val="auto"/>
          <w:sz w:val="24"/>
          <w:szCs w:val="24"/>
          <w:highlight w:val="none"/>
        </w:rPr>
      </w:pPr>
    </w:p>
    <w:p>
      <w:pPr>
        <w:pStyle w:val="4"/>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包评分标准：</w:t>
      </w:r>
    </w:p>
    <w:tbl>
      <w:tblPr>
        <w:tblStyle w:val="38"/>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1282"/>
        <w:gridCol w:w="5569"/>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评分因素及权重</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评标因素</w:t>
            </w:r>
          </w:p>
        </w:tc>
        <w:tc>
          <w:tcPr>
            <w:tcW w:w="5569"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评分标准</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1026"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价格部分（30分）</w:t>
            </w: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tc>
        <w:tc>
          <w:tcPr>
            <w:tcW w:w="5569" w:type="dxa"/>
            <w:tcMar>
              <w:top w:w="15" w:type="dxa"/>
              <w:left w:w="15" w:type="dxa"/>
              <w:right w:w="15" w:type="dxa"/>
            </w:tcMar>
            <w:vAlign w:val="center"/>
          </w:tcPr>
          <w:p>
            <w:pPr>
              <w:widowControl/>
              <w:spacing w:line="400" w:lineRule="exac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026" w:type="dxa"/>
            <w:vMerge w:val="restart"/>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技术和商务部分（ 70分）</w:t>
            </w:r>
          </w:p>
        </w:tc>
        <w:tc>
          <w:tcPr>
            <w:tcW w:w="1282" w:type="dxa"/>
            <w:tcMar>
              <w:top w:w="15" w:type="dxa"/>
              <w:left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参数</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响应评价</w:t>
            </w:r>
          </w:p>
        </w:tc>
        <w:tc>
          <w:tcPr>
            <w:tcW w:w="5569" w:type="dxa"/>
            <w:tcMar>
              <w:top w:w="15" w:type="dxa"/>
              <w:left w:w="15" w:type="dxa"/>
              <w:right w:w="15" w:type="dxa"/>
            </w:tcMar>
            <w:vAlign w:val="center"/>
          </w:tcPr>
          <w:p>
            <w:pPr>
              <w:widowControl/>
              <w:spacing w:line="400" w:lineRule="exact"/>
              <w:ind w:firstLine="480" w:firstLineChars="200"/>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对照“项目需求”技术参数（每条技术参数前标注“★”的为核心技术参数，标注“▲”的为主要技术参数，未标注的为一般参数），根据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分，最多得30分；</w:t>
            </w:r>
          </w:p>
          <w:p>
            <w:pPr>
              <w:widowControl/>
              <w:spacing w:line="400" w:lineRule="exact"/>
              <w:jc w:val="both"/>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2.核心技术参数存在负偏离的，此项不得分；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3.每种产品主要技术参数存在负偏离的，该产品技术参数分为0分；</w:t>
            </w:r>
          </w:p>
          <w:p>
            <w:pPr>
              <w:widowControl/>
              <w:spacing w:line="400" w:lineRule="exact"/>
              <w:jc w:val="left"/>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4.每种产品一般技术参数存在负偏离的，每一条扣</w:t>
            </w:r>
            <w:r>
              <w:rPr>
                <w:rFonts w:hint="eastAsia" w:asciiTheme="minorEastAsia" w:hAnsiTheme="minorEastAsia" w:eastAsiaTheme="minorEastAsia" w:cstheme="minorEastAsia"/>
                <w:color w:val="auto"/>
                <w:kern w:val="0"/>
                <w:sz w:val="24"/>
                <w:szCs w:val="24"/>
                <w:highlight w:val="none"/>
                <w:lang w:val="en-US" w:eastAsia="zh-CN"/>
              </w:rPr>
              <w:t>0.5</w:t>
            </w:r>
            <w:r>
              <w:rPr>
                <w:rFonts w:hint="eastAsia" w:asciiTheme="minorEastAsia" w:hAnsiTheme="minorEastAsia" w:eastAsiaTheme="minorEastAsia" w:cstheme="minorEastAsia"/>
                <w:color w:val="auto"/>
                <w:kern w:val="0"/>
                <w:sz w:val="24"/>
                <w:szCs w:val="24"/>
                <w:highlight w:val="none"/>
              </w:rPr>
              <w:t>分，每种产品技术参数得分最多扣</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pPr>
              <w:widowControl/>
              <w:spacing w:line="400" w:lineRule="exact"/>
              <w:ind w:firstLine="482" w:firstLineChars="200"/>
              <w:textAlignment w:val="center"/>
              <w:rPr>
                <w:rFonts w:hint="eastAsia" w:eastAsia="宋体"/>
                <w:color w:val="auto"/>
                <w:highlight w:val="none"/>
                <w:lang w:eastAsia="zh-CN"/>
              </w:rPr>
            </w:pPr>
            <w:r>
              <w:rPr>
                <w:b/>
                <w:bCs/>
                <w:color w:val="auto"/>
                <w:sz w:val="24"/>
                <w:szCs w:val="24"/>
                <w:highlight w:val="none"/>
              </w:rPr>
              <w:t>注：负偏离评审依据：</w:t>
            </w:r>
            <w:r>
              <w:rPr>
                <w:rFonts w:hint="eastAsia"/>
                <w:b/>
                <w:bCs/>
                <w:color w:val="auto"/>
                <w:sz w:val="24"/>
                <w:szCs w:val="24"/>
                <w:highlight w:val="none"/>
              </w:rPr>
              <w:t>①</w:t>
            </w:r>
            <w:r>
              <w:rPr>
                <w:b/>
                <w:bCs/>
                <w:color w:val="auto"/>
                <w:sz w:val="24"/>
                <w:szCs w:val="24"/>
                <w:highlight w:val="none"/>
              </w:rPr>
              <w:t>所</w:t>
            </w:r>
            <w:r>
              <w:rPr>
                <w:rFonts w:hint="eastAsia"/>
                <w:b/>
                <w:bCs/>
                <w:color w:val="auto"/>
                <w:sz w:val="24"/>
                <w:szCs w:val="24"/>
                <w:highlight w:val="none"/>
              </w:rPr>
              <w:t>提供</w:t>
            </w:r>
            <w:r>
              <w:rPr>
                <w:b/>
                <w:bCs/>
                <w:color w:val="auto"/>
                <w:sz w:val="24"/>
                <w:szCs w:val="24"/>
                <w:highlight w:val="none"/>
              </w:rPr>
              <w:t>产品技术参数低于</w:t>
            </w:r>
            <w:r>
              <w:rPr>
                <w:rFonts w:hint="eastAsia"/>
                <w:b/>
                <w:bCs/>
                <w:color w:val="auto"/>
                <w:sz w:val="24"/>
                <w:szCs w:val="24"/>
                <w:highlight w:val="none"/>
              </w:rPr>
              <w:t>招标</w:t>
            </w:r>
            <w:r>
              <w:rPr>
                <w:b/>
                <w:bCs/>
                <w:color w:val="auto"/>
                <w:sz w:val="24"/>
                <w:szCs w:val="24"/>
                <w:highlight w:val="none"/>
              </w:rPr>
              <w:t>文件要求的，视为负偏离；</w:t>
            </w:r>
            <w:r>
              <w:rPr>
                <w:rFonts w:hint="eastAsia"/>
                <w:b/>
                <w:bCs/>
                <w:color w:val="auto"/>
                <w:sz w:val="24"/>
                <w:szCs w:val="24"/>
                <w:highlight w:val="none"/>
              </w:rPr>
              <w:t>②</w:t>
            </w:r>
            <w:r>
              <w:rPr>
                <w:b/>
                <w:bCs/>
                <w:color w:val="auto"/>
                <w:sz w:val="24"/>
                <w:szCs w:val="24"/>
                <w:highlight w:val="none"/>
              </w:rPr>
              <w:t>技术参数响应条款</w:t>
            </w:r>
            <w:r>
              <w:rPr>
                <w:rFonts w:hint="eastAsia"/>
                <w:b/>
                <w:bCs/>
                <w:color w:val="auto"/>
                <w:sz w:val="24"/>
                <w:szCs w:val="24"/>
                <w:highlight w:val="none"/>
              </w:rPr>
              <w:t>（以投标文件内技术偏离表为准）</w:t>
            </w:r>
            <w:r>
              <w:rPr>
                <w:b/>
                <w:bCs/>
                <w:color w:val="auto"/>
                <w:sz w:val="24"/>
                <w:szCs w:val="24"/>
                <w:highlight w:val="none"/>
              </w:rPr>
              <w:t>与</w:t>
            </w:r>
            <w:r>
              <w:rPr>
                <w:rFonts w:hint="eastAsia"/>
                <w:b/>
                <w:bCs/>
                <w:color w:val="auto"/>
                <w:sz w:val="24"/>
                <w:szCs w:val="24"/>
                <w:highlight w:val="none"/>
              </w:rPr>
              <w:t>招标</w:t>
            </w:r>
            <w:r>
              <w:rPr>
                <w:b/>
                <w:bCs/>
                <w:color w:val="auto"/>
                <w:sz w:val="24"/>
                <w:szCs w:val="24"/>
                <w:highlight w:val="none"/>
              </w:rPr>
              <w:t>文件对比有缺项、漏项的，视为负偏离；</w:t>
            </w:r>
            <w:r>
              <w:rPr>
                <w:rFonts w:hint="eastAsia"/>
                <w:b/>
                <w:bCs/>
                <w:color w:val="auto"/>
                <w:sz w:val="24"/>
                <w:szCs w:val="24"/>
                <w:highlight w:val="none"/>
              </w:rPr>
              <w:t>③投标文件内技术偏离表完全复制招标文件技术参数的（不涉及具体参数指标的描述性技术要求除外），视为负偏离；④</w:t>
            </w:r>
            <w:r>
              <w:rPr>
                <w:rFonts w:hint="eastAsia"/>
                <w:b/>
                <w:bCs/>
                <w:color w:val="auto"/>
                <w:sz w:val="24"/>
                <w:szCs w:val="24"/>
                <w:highlight w:val="none"/>
                <w:lang w:eastAsia="zh-CN"/>
              </w:rPr>
              <w:t>供应商</w:t>
            </w:r>
            <w:r>
              <w:rPr>
                <w:b/>
                <w:bCs/>
                <w:color w:val="auto"/>
                <w:sz w:val="24"/>
                <w:szCs w:val="24"/>
                <w:highlight w:val="none"/>
              </w:rPr>
              <w:t>提供的</w:t>
            </w:r>
            <w:r>
              <w:rPr>
                <w:rFonts w:hint="eastAsia"/>
                <w:b/>
                <w:bCs/>
                <w:color w:val="auto"/>
                <w:sz w:val="24"/>
                <w:szCs w:val="24"/>
                <w:highlight w:val="none"/>
              </w:rPr>
              <w:t>投标</w:t>
            </w:r>
            <w:r>
              <w:rPr>
                <w:b/>
                <w:bCs/>
                <w:color w:val="auto"/>
                <w:sz w:val="24"/>
                <w:szCs w:val="24"/>
                <w:highlight w:val="none"/>
              </w:rPr>
              <w:t>文件中产品技术偏离表、产品技术规格书和产品检测报告内描述的同一产品技术参数响应值不一致的，视为负偏离</w:t>
            </w:r>
            <w:r>
              <w:rPr>
                <w:rFonts w:hint="eastAsia"/>
                <w:b/>
                <w:bCs/>
                <w:color w:val="auto"/>
                <w:sz w:val="24"/>
                <w:szCs w:val="24"/>
                <w:highlight w:val="none"/>
                <w:lang w:eastAsia="zh-CN"/>
              </w:rPr>
              <w:t>。</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color w:val="auto"/>
                <w:sz w:val="24"/>
                <w:szCs w:val="24"/>
                <w:highlight w:val="none"/>
              </w:rPr>
              <w:t>业绩证明</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供应商近三年内（</w:t>
            </w:r>
            <w:r>
              <w:rPr>
                <w:rFonts w:hint="eastAsia" w:asciiTheme="minorEastAsia" w:hAnsiTheme="minorEastAsia" w:eastAsiaTheme="minorEastAsia" w:cstheme="minorEastAsia"/>
                <w:color w:val="auto"/>
                <w:kern w:val="0"/>
                <w:sz w:val="24"/>
                <w:szCs w:val="24"/>
                <w:highlight w:val="none"/>
                <w:lang w:eastAsia="zh-CN"/>
              </w:rPr>
              <w:t>2021年01 月 01日</w:t>
            </w:r>
            <w:r>
              <w:rPr>
                <w:rFonts w:hint="eastAsia"/>
                <w:color w:val="auto"/>
                <w:sz w:val="24"/>
                <w:szCs w:val="24"/>
                <w:highlight w:val="none"/>
              </w:rPr>
              <w:t>，以合同签订日期为准）完成类似项目的业绩，每个项目业绩得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4</w:t>
            </w:r>
            <w:r>
              <w:rPr>
                <w:rFonts w:hint="eastAsia"/>
                <w:color w:val="auto"/>
                <w:sz w:val="24"/>
                <w:szCs w:val="24"/>
                <w:highlight w:val="none"/>
              </w:rPr>
              <w:t>分。</w:t>
            </w:r>
          </w:p>
          <w:p>
            <w:pPr>
              <w:widowControl/>
              <w:spacing w:line="400" w:lineRule="exact"/>
              <w:ind w:firstLine="482" w:firstLineChars="200"/>
              <w:textAlignment w:val="center"/>
              <w:rPr>
                <w:b/>
                <w:bCs/>
                <w:color w:val="auto"/>
                <w:sz w:val="24"/>
                <w:szCs w:val="24"/>
                <w:highlight w:val="none"/>
              </w:rPr>
            </w:pPr>
            <w:r>
              <w:rPr>
                <w:rFonts w:hint="eastAsia"/>
                <w:b/>
                <w:bCs/>
                <w:color w:val="auto"/>
                <w:sz w:val="24"/>
                <w:szCs w:val="24"/>
                <w:highlight w:val="none"/>
              </w:rPr>
              <w:t>注：①提供中标（成交）通知书和合同复印件，未按要求提供不得分；②同一单位近三年的类似合同不重复计算业绩，仅算一个业绩。</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p>
        </w:tc>
        <w:tc>
          <w:tcPr>
            <w:tcW w:w="128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项目组织</w:t>
            </w:r>
          </w:p>
          <w:p>
            <w:pPr>
              <w:widowControl/>
              <w:spacing w:line="400" w:lineRule="exact"/>
              <w:jc w:val="center"/>
              <w:textAlignment w:val="center"/>
              <w:rPr>
                <w:color w:val="auto"/>
                <w:sz w:val="24"/>
                <w:szCs w:val="24"/>
                <w:highlight w:val="none"/>
              </w:rPr>
            </w:pPr>
            <w:r>
              <w:rPr>
                <w:rFonts w:hint="eastAsia" w:asciiTheme="minorEastAsia" w:hAnsiTheme="minorEastAsia" w:eastAsiaTheme="minorEastAsia" w:cstheme="minorEastAsia"/>
                <w:color w:val="auto"/>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根据供应商提供的项目</w:t>
            </w:r>
            <w:r>
              <w:rPr>
                <w:rFonts w:hint="eastAsia" w:asciiTheme="minorEastAsia" w:hAnsiTheme="minorEastAsia" w:eastAsiaTheme="minorEastAsia" w:cstheme="minorEastAsia"/>
                <w:color w:val="auto"/>
                <w:sz w:val="24"/>
                <w:szCs w:val="24"/>
                <w:highlight w:val="none"/>
              </w:rPr>
              <w:t>组织</w:t>
            </w:r>
            <w:r>
              <w:rPr>
                <w:rFonts w:hint="eastAsia"/>
                <w:color w:val="auto"/>
                <w:sz w:val="24"/>
                <w:szCs w:val="24"/>
                <w:highlight w:val="none"/>
              </w:rPr>
              <w:t>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项目组织方案包括但不限于</w:t>
            </w:r>
            <w:r>
              <w:rPr>
                <w:rFonts w:hint="eastAsia" w:asciiTheme="majorEastAsia" w:hAnsiTheme="majorEastAsia" w:eastAsiaTheme="majorEastAsia" w:cstheme="majorEastAsia"/>
                <w:color w:val="auto"/>
                <w:sz w:val="24"/>
                <w:szCs w:val="24"/>
                <w:highlight w:val="none"/>
              </w:rPr>
              <w:t>项目人员配备、项目供货方案、安装调试方案、</w:t>
            </w:r>
            <w:r>
              <w:rPr>
                <w:color w:val="auto"/>
                <w:sz w:val="24"/>
                <w:szCs w:val="24"/>
                <w:highlight w:val="none"/>
              </w:rPr>
              <w:t>等</w:t>
            </w:r>
            <w:r>
              <w:rPr>
                <w:rFonts w:hint="eastAsia"/>
                <w:color w:val="auto"/>
                <w:sz w:val="24"/>
                <w:szCs w:val="24"/>
                <w:highlight w:val="none"/>
              </w:rPr>
              <w:t>内容，方案内容完整齐全，符合项目实际的，得12分；每缺少一项方案内容，或一项内容存在缺陷的，每一项扣4分，扣完为止；未提供项目</w:t>
            </w:r>
            <w:r>
              <w:rPr>
                <w:rFonts w:hint="eastAsia" w:asciiTheme="minorEastAsia" w:hAnsiTheme="minorEastAsia" w:eastAsiaTheme="minorEastAsia" w:cstheme="minorEastAsia"/>
                <w:color w:val="auto"/>
                <w:sz w:val="24"/>
                <w:szCs w:val="24"/>
                <w:highlight w:val="none"/>
              </w:rPr>
              <w:t>组织</w:t>
            </w:r>
            <w:r>
              <w:rPr>
                <w:rFonts w:hint="eastAsia"/>
                <w:color w:val="auto"/>
                <w:sz w:val="24"/>
                <w:szCs w:val="24"/>
                <w:highlight w:val="none"/>
              </w:rPr>
              <w:t>方案的，此项不得分。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技术培训</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根据供应商提供的技术培训方案进行评分：</w:t>
            </w:r>
          </w:p>
          <w:p>
            <w:pPr>
              <w:widowControl/>
              <w:spacing w:line="400" w:lineRule="exact"/>
              <w:ind w:firstLine="480" w:firstLineChars="200"/>
              <w:rPr>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color w:val="auto"/>
                <w:sz w:val="24"/>
                <w:szCs w:val="24"/>
                <w:highlight w:val="none"/>
              </w:rPr>
              <w:t>培训方案包括但不限于</w:t>
            </w:r>
            <w:r>
              <w:rPr>
                <w:rFonts w:asciiTheme="majorEastAsia" w:hAnsiTheme="majorEastAsia" w:eastAsiaTheme="majorEastAsia" w:cstheme="majorEastAsia"/>
                <w:color w:val="auto"/>
                <w:sz w:val="24"/>
                <w:szCs w:val="24"/>
                <w:highlight w:val="none"/>
              </w:rPr>
              <w:t>培训内容</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培训方式</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培训计划</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培训团队人员配置</w:t>
            </w:r>
            <w:r>
              <w:rPr>
                <w:color w:val="auto"/>
                <w:sz w:val="24"/>
                <w:szCs w:val="24"/>
                <w:highlight w:val="none"/>
              </w:rPr>
              <w:t>等</w:t>
            </w:r>
            <w:r>
              <w:rPr>
                <w:rFonts w:hint="eastAsia"/>
                <w:color w:val="auto"/>
                <w:sz w:val="24"/>
                <w:szCs w:val="24"/>
                <w:highlight w:val="none"/>
              </w:rPr>
              <w:t>4项内容，方案内容完整齐全，符合项目实际的，得12分；每缺少一项方案内容，或一项内容存在缺陷的，每一项扣3分，扣完为止；未提供</w:t>
            </w:r>
            <w:r>
              <w:rPr>
                <w:rFonts w:hint="eastAsia" w:asciiTheme="minorEastAsia" w:hAnsiTheme="minorEastAsia" w:eastAsiaTheme="minorEastAsia" w:cstheme="minorEastAsia"/>
                <w:color w:val="auto"/>
                <w:kern w:val="0"/>
                <w:sz w:val="24"/>
                <w:szCs w:val="24"/>
                <w:highlight w:val="none"/>
              </w:rPr>
              <w:t>技术</w:t>
            </w:r>
            <w:r>
              <w:rPr>
                <w:rFonts w:hint="eastAsia"/>
                <w:color w:val="auto"/>
                <w:sz w:val="24"/>
                <w:szCs w:val="24"/>
                <w:highlight w:val="none"/>
              </w:rPr>
              <w:t>培训方案的，此项不得分。</w:t>
            </w:r>
          </w:p>
          <w:p>
            <w:pPr>
              <w:snapToGrid w:val="0"/>
              <w:spacing w:line="400" w:lineRule="exact"/>
              <w:ind w:firstLine="482" w:firstLineChars="200"/>
              <w:rPr>
                <w:rFonts w:asciiTheme="minorEastAsia" w:hAnsiTheme="minorEastAsia" w:eastAsiaTheme="minorEastAsia" w:cstheme="minorEastAsia"/>
                <w:color w:val="auto"/>
                <w:kern w:val="0"/>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6" w:hRule="atLeast"/>
          <w:jc w:val="center"/>
        </w:trPr>
        <w:tc>
          <w:tcPr>
            <w:tcW w:w="1026" w:type="dxa"/>
            <w:vMerge w:val="continue"/>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p>
        </w:tc>
        <w:tc>
          <w:tcPr>
            <w:tcW w:w="128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w:t>
            </w:r>
          </w:p>
          <w:p>
            <w:pPr>
              <w:widowControl/>
              <w:spacing w:line="400" w:lineRule="exact"/>
              <w:jc w:val="center"/>
              <w:textAlignment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方案评价</w:t>
            </w:r>
          </w:p>
        </w:tc>
        <w:tc>
          <w:tcPr>
            <w:tcW w:w="5569"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rPr>
              <w:t>根据供应商提供的售后服务方案进行评分：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售后服务方案包括但不限于</w:t>
            </w:r>
            <w:r>
              <w:rPr>
                <w:rFonts w:hint="eastAsia" w:asciiTheme="majorEastAsia" w:hAnsiTheme="majorEastAsia" w:eastAsiaTheme="majorEastAsia" w:cstheme="majorEastAsia"/>
                <w:color w:val="auto"/>
                <w:sz w:val="24"/>
                <w:szCs w:val="24"/>
                <w:highlight w:val="none"/>
              </w:rPr>
              <w:t>售后</w:t>
            </w:r>
            <w:r>
              <w:rPr>
                <w:rFonts w:asciiTheme="majorEastAsia" w:hAnsiTheme="majorEastAsia" w:eastAsiaTheme="majorEastAsia" w:cstheme="majorEastAsia"/>
                <w:color w:val="auto"/>
                <w:sz w:val="24"/>
                <w:szCs w:val="24"/>
                <w:highlight w:val="none"/>
              </w:rPr>
              <w:t>服务承诺</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服务响应方案</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备件（易耗品）供应方案</w:t>
            </w:r>
            <w:r>
              <w:rPr>
                <w:rFonts w:hint="eastAsia" w:asciiTheme="majorEastAsia" w:hAnsiTheme="majorEastAsia" w:eastAsiaTheme="majorEastAsia" w:cstheme="majorEastAsia"/>
                <w:color w:val="auto"/>
                <w:sz w:val="24"/>
                <w:szCs w:val="24"/>
                <w:highlight w:val="none"/>
              </w:rPr>
              <w:t>（含备件价格）、</w:t>
            </w:r>
            <w:r>
              <w:rPr>
                <w:rFonts w:asciiTheme="majorEastAsia" w:hAnsiTheme="majorEastAsia" w:eastAsiaTheme="majorEastAsia" w:cstheme="majorEastAsia"/>
                <w:color w:val="auto"/>
                <w:sz w:val="24"/>
                <w:szCs w:val="24"/>
                <w:highlight w:val="none"/>
              </w:rPr>
              <w:t>服务人员配备</w:t>
            </w:r>
            <w:r>
              <w:rPr>
                <w:rFonts w:hint="eastAsia" w:asciiTheme="majorEastAsia" w:hAnsiTheme="majorEastAsia" w:eastAsiaTheme="majorEastAsia" w:cstheme="majorEastAsia"/>
                <w:color w:val="auto"/>
                <w:sz w:val="24"/>
                <w:szCs w:val="24"/>
                <w:highlight w:val="none"/>
              </w:rPr>
              <w:t>、</w:t>
            </w:r>
            <w:r>
              <w:rPr>
                <w:rFonts w:asciiTheme="majorEastAsia" w:hAnsiTheme="majorEastAsia" w:eastAsiaTheme="majorEastAsia" w:cstheme="majorEastAsia"/>
                <w:color w:val="auto"/>
                <w:sz w:val="24"/>
                <w:szCs w:val="24"/>
                <w:highlight w:val="none"/>
              </w:rPr>
              <w:t>故障响应</w:t>
            </w:r>
            <w:r>
              <w:rPr>
                <w:rFonts w:hint="eastAsia" w:asciiTheme="majorEastAsia" w:hAnsiTheme="majorEastAsia" w:eastAsiaTheme="majorEastAsia" w:cstheme="majorEastAsia"/>
                <w:color w:val="auto"/>
                <w:sz w:val="24"/>
                <w:szCs w:val="24"/>
                <w:highlight w:val="none"/>
              </w:rPr>
              <w:t>措施、</w:t>
            </w:r>
            <w:r>
              <w:rPr>
                <w:rFonts w:asciiTheme="majorEastAsia" w:hAnsiTheme="majorEastAsia" w:eastAsiaTheme="majorEastAsia" w:cstheme="majorEastAsia"/>
                <w:color w:val="auto"/>
                <w:sz w:val="24"/>
                <w:szCs w:val="24"/>
                <w:highlight w:val="none"/>
              </w:rPr>
              <w:t>质保外服务措施</w:t>
            </w:r>
            <w:r>
              <w:rPr>
                <w:color w:val="auto"/>
                <w:sz w:val="24"/>
                <w:szCs w:val="24"/>
                <w:highlight w:val="none"/>
              </w:rPr>
              <w:t>等</w:t>
            </w:r>
            <w:r>
              <w:rPr>
                <w:rFonts w:hint="eastAsia"/>
                <w:color w:val="auto"/>
                <w:sz w:val="24"/>
                <w:szCs w:val="24"/>
                <w:highlight w:val="none"/>
              </w:rPr>
              <w:t>6项内容，方案内容完整齐全，符合项目实际的，得12分；每缺少一项方案内容，或一项内容存在缺陷的，每一项扣2分，扣完为止；未提供售后服务方案的，此项不得分。</w:t>
            </w:r>
          </w:p>
          <w:p>
            <w:pPr>
              <w:snapToGrid w:val="0"/>
              <w:spacing w:line="400" w:lineRule="exact"/>
              <w:ind w:firstLine="482" w:firstLineChars="200"/>
              <w:rPr>
                <w:rFonts w:asciiTheme="minorEastAsia" w:hAnsiTheme="minorEastAsia" w:eastAsiaTheme="minorEastAsia" w:cstheme="minorEastAsia"/>
                <w:color w:val="auto"/>
                <w:sz w:val="24"/>
                <w:szCs w:val="24"/>
                <w:highlight w:val="none"/>
              </w:rPr>
            </w:pPr>
            <w:r>
              <w:rPr>
                <w:rFonts w:hint="eastAsia"/>
                <w:b/>
                <w:bCs/>
                <w:color w:val="auto"/>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42" w:type="dxa"/>
            <w:tcMar>
              <w:top w:w="15" w:type="dxa"/>
              <w:left w:w="15" w:type="dxa"/>
              <w:right w:w="15" w:type="dxa"/>
            </w:tcMar>
            <w:vAlign w:val="center"/>
          </w:tcPr>
          <w:p>
            <w:pPr>
              <w:snapToGrid w:val="0"/>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19" w:type="dxa"/>
            <w:gridSpan w:val="4"/>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合计：100分</w:t>
            </w:r>
          </w:p>
        </w:tc>
      </w:tr>
    </w:tbl>
    <w:p>
      <w:pPr>
        <w:pStyle w:val="4"/>
        <w:rPr>
          <w:rFonts w:hint="eastAsia" w:asciiTheme="minorEastAsia" w:hAnsiTheme="minorEastAsia" w:eastAsiaTheme="minorEastAsia" w:cstheme="minorEastAsia"/>
          <w:b/>
          <w:bCs/>
          <w:color w:val="auto"/>
          <w:sz w:val="24"/>
          <w:szCs w:val="24"/>
          <w:highlight w:val="none"/>
        </w:rPr>
      </w:pPr>
    </w:p>
    <w:p>
      <w:pPr>
        <w:pStyle w:val="4"/>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（三）政府采购政策功能落实</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中小</w:t>
      </w:r>
      <w:r>
        <w:rPr>
          <w:rFonts w:hint="eastAsia" w:asciiTheme="minorEastAsia" w:hAnsiTheme="minorEastAsia" w:eastAsiaTheme="minorEastAsia" w:cstheme="minorEastAsia"/>
          <w:color w:val="auto"/>
          <w:sz w:val="24"/>
          <w:szCs w:val="24"/>
          <w:highlight w:val="none"/>
        </w:rPr>
        <w:t>企业价格扣除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w:t>
      </w:r>
      <w:r>
        <w:rPr>
          <w:rFonts w:hint="eastAsia" w:asciiTheme="minorEastAsia" w:hAnsiTheme="minorEastAsia" w:eastAsiaTheme="minorEastAsia" w:cstheme="minorEastAsia"/>
          <w:color w:val="auto"/>
          <w:sz w:val="24"/>
          <w:szCs w:val="24"/>
          <w:highlight w:val="none"/>
          <w:lang w:val="en-US" w:eastAsia="zh-CN"/>
        </w:rPr>
        <w:t>供应商所提供货物的制造商为小型、微型企业的，给予10%的价格扣除</w:t>
      </w:r>
      <w:r>
        <w:rPr>
          <w:rFonts w:hint="eastAsia" w:asciiTheme="minorEastAsia" w:hAnsiTheme="minorEastAsia" w:eastAsiaTheme="minorEastAsia" w:cstheme="minorEastAsia"/>
          <w:color w:val="auto"/>
          <w:sz w:val="24"/>
          <w:szCs w:val="24"/>
          <w:highlight w:val="none"/>
        </w:rPr>
        <w:t>，用扣除后的价格参与评审。</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（2）供应商需按照采购文件的要求提供相应的《中小企业声明函》。</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（3）企业标准请参照关于印发《政府采购促进中小企业发展管理办法》的通知（财库[2020]46号）文件规定自行填写。</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（1）本项目对残疾人福利性单位视同小型、微型企业，给予10%的价格扣除，用扣除后的价格参与评审。</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（2）残疾人福利单位需按照采购文件的要求提供《残疾人福利性单位声明函》。</w:t>
      </w:r>
    </w:p>
    <w:p>
      <w:pPr>
        <w:spacing w:line="400" w:lineRule="exact"/>
        <w:ind w:firstLine="480" w:firstLineChars="2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（3）残疾人福利单位标准请参照《</w:t>
      </w:r>
      <w:r>
        <w:rPr>
          <w:rFonts w:hint="eastAsia" w:ascii="宋体" w:hAnsi="宋体" w:cs="宋体"/>
          <w:color w:val="auto"/>
          <w:sz w:val="24"/>
          <w:szCs w:val="24"/>
          <w:highlight w:val="none"/>
        </w:rPr>
        <w:t>关于促进残疾人就业政府采购政策的通知</w:t>
      </w:r>
      <w:r>
        <w:rPr>
          <w:rFonts w:hint="eastAsia" w:asciiTheme="minorEastAsia" w:hAnsiTheme="minorEastAsia" w:eastAsiaTheme="minorEastAsia" w:cstheme="minorEastAsia"/>
          <w:color w:val="auto"/>
          <w:sz w:val="24"/>
          <w:szCs w:val="24"/>
          <w:highlight w:val="none"/>
        </w:rPr>
        <w:t>》（财库[2017]141号）。</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3.监狱和戒毒企业价格扣除</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（1）本项目对监狱和戒毒企业（简称监狱企业）视同小型、微型企业，给予10%的价格扣除，用扣除后的价格参与评审。</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（2）监狱企业参加政府采购活动时，需提供由省级以上监狱管理局、戒毒管理局(含新疆生产建设兵团)出具的监狱企业证明文件</w:t>
      </w:r>
      <w:r>
        <w:rPr>
          <w:rFonts w:hint="eastAsia" w:asciiTheme="minorEastAsia" w:hAnsiTheme="minorEastAsia" w:eastAsiaTheme="minorEastAsia" w:cstheme="minorEastAsia"/>
          <w:color w:val="auto"/>
          <w:sz w:val="24"/>
          <w:szCs w:val="24"/>
          <w:highlight w:val="none"/>
          <w:lang w:eastAsia="zh-CN"/>
        </w:rPr>
        <w:t>。</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（3）监狱企业标准请参照《财政部、司法部关于政府采购支持监狱企业发展有关问题的通知》（财库[2014]68号）。</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4.残疾人福利单位、监狱企业属于小型、微型企业的，不重复享受政策。</w:t>
      </w:r>
    </w:p>
    <w:bookmarkEnd w:id="16"/>
    <w:bookmarkEnd w:id="17"/>
    <w:bookmarkEnd w:id="18"/>
    <w:bookmarkEnd w:id="19"/>
    <w:bookmarkEnd w:id="20"/>
    <w:bookmarkEnd w:id="21"/>
    <w:bookmarkEnd w:id="35"/>
    <w:p>
      <w:pPr>
        <w:pStyle w:val="3"/>
        <w:rPr>
          <w:color w:val="auto"/>
          <w:highlight w:val="none"/>
        </w:rPr>
      </w:pPr>
      <w:bookmarkStart w:id="99" w:name="_Toc12223"/>
      <w:bookmarkStart w:id="100" w:name="_Toc26728"/>
      <w:bookmarkStart w:id="101" w:name="_Toc462564139"/>
      <w:bookmarkStart w:id="102" w:name="_Toc120614244"/>
      <w:bookmarkStart w:id="103" w:name="_Hlt16619350"/>
      <w:bookmarkStart w:id="104" w:name="_Toc479757211"/>
      <w:bookmarkStart w:id="105" w:name="_Toc20823346"/>
      <w:bookmarkStart w:id="106" w:name="_Toc16938590"/>
      <w:bookmarkStart w:id="107" w:name="_Toc9411"/>
      <w:bookmarkStart w:id="108" w:name="_Toc31151"/>
    </w:p>
    <w:p>
      <w:pPr>
        <w:pStyle w:val="4"/>
        <w:ind w:firstLine="0"/>
        <w:rPr>
          <w:color w:val="auto"/>
          <w:highlight w:val="none"/>
        </w:rPr>
      </w:pPr>
    </w:p>
    <w:p>
      <w:pPr>
        <w:rPr>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bookmarkStart w:id="109" w:name="_Toc231"/>
      <w:r>
        <w:rPr>
          <w:rFonts w:hint="eastAsia"/>
          <w:color w:val="auto"/>
          <w:highlight w:val="none"/>
        </w:rPr>
        <w:t>第四章拟订立的合同样本</w:t>
      </w:r>
      <w:bookmarkEnd w:id="99"/>
      <w:bookmarkEnd w:id="100"/>
      <w:bookmarkEnd w:id="109"/>
    </w:p>
    <w:p>
      <w:pPr>
        <w:pStyle w:val="4"/>
        <w:ind w:firstLine="0"/>
        <w:rPr>
          <w:color w:val="auto"/>
          <w:highlight w:val="none"/>
        </w:rPr>
      </w:pPr>
    </w:p>
    <w:bookmarkEnd w:id="101"/>
    <w:bookmarkEnd w:id="102"/>
    <w:bookmarkEnd w:id="103"/>
    <w:bookmarkEnd w:id="104"/>
    <w:bookmarkEnd w:id="105"/>
    <w:bookmarkEnd w:id="106"/>
    <w:p>
      <w:pPr>
        <w:widowControl/>
        <w:rPr>
          <w:color w:val="auto"/>
          <w:highlight w:val="none"/>
        </w:rPr>
      </w:pPr>
      <w:bookmarkStart w:id="110" w:name="_Toc9510642"/>
      <w:r>
        <w:rPr>
          <w:rFonts w:hint="eastAsia" w:ascii="宋体" w:hAnsi="宋体" w:cs="宋体"/>
          <w:b/>
          <w:color w:val="auto"/>
          <w:spacing w:val="-4"/>
          <w:sz w:val="30"/>
          <w:szCs w:val="30"/>
          <w:highlight w:val="none"/>
        </w:rPr>
        <w:t>一、拟订立的合同模板</w:t>
      </w:r>
    </w:p>
    <w:p>
      <w:pPr>
        <w:rPr>
          <w:color w:val="auto"/>
          <w:highlight w:val="none"/>
        </w:rPr>
      </w:pPr>
    </w:p>
    <w:p>
      <w:pPr>
        <w:adjustRightInd w:val="0"/>
        <w:snapToGrid w:val="0"/>
        <w:spacing w:line="360" w:lineRule="auto"/>
        <w:jc w:val="center"/>
        <w:rPr>
          <w:rFonts w:hint="eastAsia" w:hAnsi="宋体"/>
          <w:b/>
          <w:bCs/>
          <w:color w:val="auto"/>
          <w:sz w:val="44"/>
          <w:szCs w:val="44"/>
          <w:highlight w:val="none"/>
        </w:rPr>
      </w:pPr>
    </w:p>
    <w:p>
      <w:pPr>
        <w:adjustRightInd w:val="0"/>
        <w:snapToGrid w:val="0"/>
        <w:spacing w:line="360" w:lineRule="auto"/>
        <w:jc w:val="center"/>
        <w:rPr>
          <w:rFonts w:hAnsi="宋体"/>
          <w:b/>
          <w:bCs/>
          <w:color w:val="auto"/>
          <w:sz w:val="44"/>
          <w:szCs w:val="44"/>
          <w:highlight w:val="none"/>
        </w:rPr>
      </w:pPr>
      <w:r>
        <w:rPr>
          <w:rFonts w:hint="eastAsia" w:hAnsi="宋体"/>
          <w:b/>
          <w:bCs/>
          <w:color w:val="auto"/>
          <w:sz w:val="44"/>
          <w:szCs w:val="44"/>
          <w:highlight w:val="none"/>
          <w:lang w:val="en-US" w:eastAsia="zh-CN"/>
        </w:rPr>
        <w:t>**</w:t>
      </w:r>
      <w:r>
        <w:rPr>
          <w:rFonts w:hint="eastAsia" w:hAnsi="宋体"/>
          <w:b/>
          <w:bCs/>
          <w:color w:val="auto"/>
          <w:sz w:val="44"/>
          <w:szCs w:val="44"/>
          <w:highlight w:val="none"/>
        </w:rPr>
        <w:t>项目采购项目合同</w:t>
      </w:r>
    </w:p>
    <w:p>
      <w:pPr>
        <w:pStyle w:val="23"/>
        <w:snapToGrid w:val="0"/>
        <w:spacing w:line="320" w:lineRule="exact"/>
        <w:rPr>
          <w:rFonts w:ascii="黑体" w:eastAsia="黑体"/>
          <w:bCs/>
          <w:color w:val="auto"/>
          <w:sz w:val="44"/>
          <w:highlight w:val="none"/>
        </w:rPr>
      </w:pPr>
    </w:p>
    <w:p>
      <w:pPr>
        <w:pStyle w:val="23"/>
        <w:snapToGrid w:val="0"/>
        <w:spacing w:line="320" w:lineRule="exact"/>
        <w:rPr>
          <w:rFonts w:ascii="黑体" w:eastAsia="黑体"/>
          <w:bCs/>
          <w:color w:val="auto"/>
          <w:sz w:val="44"/>
          <w:highlight w:val="none"/>
        </w:rPr>
      </w:pPr>
    </w:p>
    <w:p>
      <w:pPr>
        <w:pStyle w:val="4"/>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本合同仅供参考，最终以与采购人实际签订合同为准</w:t>
      </w: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pStyle w:val="23"/>
        <w:snapToGrid w:val="0"/>
        <w:spacing w:line="320" w:lineRule="exact"/>
        <w:rPr>
          <w:rFonts w:ascii="黑体" w:eastAsia="黑体"/>
          <w:bCs/>
          <w:color w:val="auto"/>
          <w:sz w:val="44"/>
          <w:highlight w:val="none"/>
        </w:rPr>
      </w:pPr>
    </w:p>
    <w:p>
      <w:pPr>
        <w:pStyle w:val="23"/>
        <w:snapToGrid w:val="0"/>
        <w:spacing w:line="320" w:lineRule="exact"/>
        <w:rPr>
          <w:rFonts w:ascii="黑体" w:eastAsia="黑体"/>
          <w:bCs/>
          <w:color w:val="auto"/>
          <w:sz w:val="44"/>
          <w:highlight w:val="none"/>
        </w:rPr>
      </w:pP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买方（甲方）：</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指定联系人：              联系电话：                  联系邮箱：</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卖方（乙方）：</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指定联系人：              联系电话：                  联系邮箱：</w:t>
      </w:r>
    </w:p>
    <w:p>
      <w:pPr>
        <w:pStyle w:val="34"/>
        <w:snapToGrid w:val="0"/>
        <w:spacing w:before="0" w:beforeAutospacing="0" w:after="0" w:afterAutospacing="0" w:line="360" w:lineRule="auto"/>
        <w:ind w:firstLine="420"/>
        <w:rPr>
          <w:b/>
          <w:bCs/>
          <w:color w:val="auto"/>
          <w:highlight w:val="none"/>
          <w:u w:val="single"/>
        </w:rPr>
      </w:pPr>
      <w:r>
        <w:rPr>
          <w:rFonts w:hint="eastAsia"/>
          <w:color w:val="auto"/>
          <w:highlight w:val="none"/>
        </w:rPr>
        <w:t>买、卖双方本着公平自愿、平等互利、协商一致的原则，就</w:t>
      </w:r>
      <w:r>
        <w:rPr>
          <w:rFonts w:hint="eastAsia"/>
          <w:b/>
          <w:bCs/>
          <w:color w:val="auto"/>
          <w:highlight w:val="none"/>
          <w:u w:val="single"/>
        </w:rPr>
        <w:t xml:space="preserve">      项目第   包</w:t>
      </w:r>
      <w:r>
        <w:rPr>
          <w:rFonts w:hint="eastAsia"/>
          <w:color w:val="auto"/>
          <w:highlight w:val="none"/>
        </w:rPr>
        <w:t>签订本合同，双方信守执行。</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合同文本组成及解释顺序：</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第一章：合同协议书</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第二章：合同基本条款</w:t>
      </w:r>
    </w:p>
    <w:p>
      <w:pPr>
        <w:snapToGrid w:val="0"/>
        <w:spacing w:line="360" w:lineRule="auto"/>
        <w:ind w:firstLine="480" w:firstLineChars="200"/>
        <w:rPr>
          <w:rFonts w:ascii="宋体"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pStyle w:val="23"/>
        <w:rPr>
          <w:rFonts w:hAnsi="宋体" w:cs="宋体"/>
          <w:color w:val="auto"/>
          <w:sz w:val="24"/>
          <w:highlight w:val="none"/>
        </w:rPr>
      </w:pPr>
    </w:p>
    <w:p>
      <w:pPr>
        <w:widowControl/>
        <w:snapToGrid w:val="0"/>
        <w:spacing w:line="400" w:lineRule="exact"/>
        <w:jc w:val="center"/>
        <w:rPr>
          <w:rFonts w:ascii="宋体" w:hAnsi="宋体" w:cs="宋体"/>
          <w:color w:val="auto"/>
          <w:sz w:val="24"/>
          <w:highlight w:val="none"/>
        </w:rPr>
      </w:pPr>
      <w:r>
        <w:rPr>
          <w:rFonts w:hint="eastAsia" w:ascii="宋体" w:hAnsi="宋体" w:cs="宋体"/>
          <w:b/>
          <w:bCs/>
          <w:color w:val="auto"/>
          <w:sz w:val="36"/>
          <w:szCs w:val="36"/>
          <w:highlight w:val="none"/>
        </w:rPr>
        <w:t>一、  合同协议书</w:t>
      </w:r>
    </w:p>
    <w:p>
      <w:pPr>
        <w:tabs>
          <w:tab w:val="left" w:pos="5940"/>
        </w:tabs>
        <w:snapToGrid w:val="0"/>
        <w:spacing w:line="400" w:lineRule="exact"/>
        <w:ind w:firstLine="480" w:firstLineChars="200"/>
        <w:rPr>
          <w:rFonts w:ascii="宋体" w:hAnsi="宋体" w:cs="宋体"/>
          <w:color w:val="auto"/>
          <w:sz w:val="24"/>
          <w:highlight w:val="none"/>
        </w:rPr>
      </w:pPr>
    </w:p>
    <w:p>
      <w:pPr>
        <w:tabs>
          <w:tab w:val="left" w:pos="594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商品名称、规格、型号、单位、数量、单价、金额详见清单。</w:t>
      </w:r>
    </w:p>
    <w:p>
      <w:pPr>
        <w:tabs>
          <w:tab w:val="left" w:pos="594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单位：人民币：元</w:t>
      </w:r>
    </w:p>
    <w:tbl>
      <w:tblPr>
        <w:tblStyle w:val="38"/>
        <w:tblW w:w="9140" w:type="dxa"/>
        <w:tblInd w:w="0" w:type="dxa"/>
        <w:tblLayout w:type="fixed"/>
        <w:tblCellMar>
          <w:top w:w="0" w:type="dxa"/>
          <w:left w:w="108" w:type="dxa"/>
          <w:bottom w:w="0" w:type="dxa"/>
          <w:right w:w="108" w:type="dxa"/>
        </w:tblCellMar>
      </w:tblPr>
      <w:tblGrid>
        <w:gridCol w:w="921"/>
        <w:gridCol w:w="1740"/>
        <w:gridCol w:w="1909"/>
        <w:gridCol w:w="1316"/>
        <w:gridCol w:w="1128"/>
        <w:gridCol w:w="1063"/>
        <w:gridCol w:w="1063"/>
      </w:tblGrid>
      <w:tr>
        <w:tblPrEx>
          <w:tblCellMar>
            <w:top w:w="0" w:type="dxa"/>
            <w:left w:w="108" w:type="dxa"/>
            <w:bottom w:w="0" w:type="dxa"/>
            <w:right w:w="108" w:type="dxa"/>
          </w:tblCellMar>
        </w:tblPrEx>
        <w:trPr>
          <w:trHeight w:val="539" w:hRule="atLeast"/>
        </w:trPr>
        <w:tc>
          <w:tcPr>
            <w:tcW w:w="92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174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货物名称</w:t>
            </w:r>
          </w:p>
        </w:tc>
        <w:tc>
          <w:tcPr>
            <w:tcW w:w="19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品名/型号</w:t>
            </w:r>
          </w:p>
        </w:tc>
        <w:tc>
          <w:tcPr>
            <w:tcW w:w="1316"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单价   </w:t>
            </w:r>
          </w:p>
        </w:tc>
        <w:tc>
          <w:tcPr>
            <w:tcW w:w="1128"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数量（辆）</w:t>
            </w:r>
          </w:p>
        </w:tc>
        <w:tc>
          <w:tcPr>
            <w:tcW w:w="1063"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中标总价</w:t>
            </w:r>
          </w:p>
        </w:tc>
        <w:tc>
          <w:tcPr>
            <w:tcW w:w="1063"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保修期</w:t>
            </w:r>
          </w:p>
        </w:tc>
      </w:tr>
      <w:tr>
        <w:tblPrEx>
          <w:tblCellMar>
            <w:top w:w="0" w:type="dxa"/>
            <w:left w:w="108" w:type="dxa"/>
            <w:bottom w:w="0" w:type="dxa"/>
            <w:right w:w="108" w:type="dxa"/>
          </w:tblCellMar>
        </w:tblPrEx>
        <w:trPr>
          <w:trHeight w:val="1292" w:hRule="atLeast"/>
        </w:trPr>
        <w:tc>
          <w:tcPr>
            <w:tcW w:w="92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cs="宋体"/>
                <w:color w:val="auto"/>
                <w:kern w:val="0"/>
                <w:sz w:val="24"/>
                <w:szCs w:val="24"/>
                <w:highlight w:val="none"/>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1301" w:hRule="atLeast"/>
        </w:trPr>
        <w:tc>
          <w:tcPr>
            <w:tcW w:w="9140" w:type="dxa"/>
            <w:gridSpan w:val="7"/>
            <w:tcBorders>
              <w:top w:val="single" w:color="auto" w:sz="4" w:space="0"/>
              <w:left w:val="single" w:color="auto" w:sz="4" w:space="0"/>
              <w:bottom w:val="single" w:color="auto" w:sz="4" w:space="0"/>
              <w:right w:val="single" w:color="auto" w:sz="4" w:space="0"/>
            </w:tcBorders>
            <w:noWrap/>
          </w:tcPr>
          <w:p>
            <w:pPr>
              <w:widowControl/>
              <w:snapToGrid w:val="0"/>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详细技术参数：</w:t>
            </w:r>
          </w:p>
        </w:tc>
      </w:tr>
    </w:tbl>
    <w:p>
      <w:pPr>
        <w:snapToGrid w:val="0"/>
        <w:spacing w:line="400" w:lineRule="exact"/>
        <w:ind w:firstLine="480" w:firstLineChars="200"/>
        <w:rPr>
          <w:rFonts w:ascii="宋体" w:hAnsi="宋体" w:cs="宋体"/>
          <w:color w:val="auto"/>
          <w:sz w:val="24"/>
          <w:highlight w:val="none"/>
        </w:rPr>
      </w:pP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  合同价款及结算方式（大写）元整（小写）元。以上价格为合同总价，</w:t>
      </w:r>
      <w:r>
        <w:rPr>
          <w:rFonts w:hint="eastAsia" w:ascii="宋体" w:hAnsi="宋体"/>
          <w:bCs/>
          <w:color w:val="auto"/>
          <w:sz w:val="24"/>
          <w:highlight w:val="none"/>
        </w:rPr>
        <w:t>最终结算按审计价格支付，</w:t>
      </w:r>
      <w:r>
        <w:rPr>
          <w:rFonts w:hint="eastAsia" w:ascii="宋体" w:hAnsi="宋体" w:cs="宋体"/>
          <w:color w:val="auto"/>
          <w:sz w:val="24"/>
          <w:highlight w:val="none"/>
        </w:rPr>
        <w:t>最终结算价格以审定价格为准，包括但不限于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宋体" w:hAnsi="宋体" w:cs="宋体"/>
          <w:color w:val="auto"/>
          <w:sz w:val="24"/>
          <w:highlight w:val="none"/>
        </w:rPr>
        <w:t>；也包括买卖双方签订的技术附件中卖方承诺的其它系统配件</w:t>
      </w:r>
      <w:r>
        <w:rPr>
          <w:rFonts w:hint="eastAsia" w:ascii="宋体" w:hAnsi="宋体" w:cs="宋体"/>
          <w:bCs/>
          <w:color w:val="auto"/>
          <w:sz w:val="24"/>
          <w:highlight w:val="none"/>
        </w:rPr>
        <w:t>。</w:t>
      </w:r>
    </w:p>
    <w:p>
      <w:pPr>
        <w:snapToGrid w:val="0"/>
        <w:spacing w:line="400" w:lineRule="exact"/>
        <w:ind w:firstLine="480" w:firstLineChars="200"/>
        <w:rPr>
          <w:rFonts w:ascii="宋体" w:hAnsi="宋体" w:cs="宋体"/>
          <w:bCs/>
          <w:color w:val="auto"/>
          <w:sz w:val="24"/>
          <w:szCs w:val="22"/>
          <w:highlight w:val="none"/>
        </w:rPr>
      </w:pPr>
      <w:r>
        <w:rPr>
          <w:rFonts w:hint="eastAsia" w:ascii="宋体" w:hAnsi="宋体" w:cs="宋体"/>
          <w:bCs/>
          <w:color w:val="auto"/>
          <w:sz w:val="24"/>
          <w:szCs w:val="22"/>
          <w:highlight w:val="none"/>
        </w:rPr>
        <w:t>2.1履约保证金缴纳：</w:t>
      </w:r>
      <w:r>
        <w:rPr>
          <w:rFonts w:hint="eastAsia" w:ascii="宋体" w:hAnsi="宋体"/>
          <w:bCs/>
          <w:color w:val="auto"/>
          <w:sz w:val="24"/>
          <w:highlight w:val="none"/>
        </w:rPr>
        <w:t>合同签订前，中标单位按照中标金额的5%缴纳履约保证金，中标单位按合同约定交付全部产品，安装调试完毕，书面验收合格一年后，采购单位无息退还全部履约保证金。</w:t>
      </w:r>
    </w:p>
    <w:p>
      <w:pPr>
        <w:snapToGrid w:val="0"/>
        <w:spacing w:line="400" w:lineRule="exact"/>
        <w:ind w:left="139" w:leftChars="66" w:firstLine="360" w:firstLineChars="15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rPr>
        <w:t>2.2付款方式：</w:t>
      </w:r>
      <w:r>
        <w:rPr>
          <w:rFonts w:hint="eastAsia" w:ascii="宋体" w:hAnsi="宋体" w:cs="宋体"/>
          <w:bCs/>
          <w:color w:val="auto"/>
          <w:sz w:val="24"/>
          <w:szCs w:val="22"/>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参照合同样本第二部分合同基本条款第14条违约责任执行。(如采购人有付款需求，在签订合同后，中标单位向采购人提供同等合同金额的银行保函，收到保函，采购人可支付合同金额的100%，待验收合格、安装调试完毕后，根据结算审计结果解除银行质押）</w:t>
      </w:r>
    </w:p>
    <w:p>
      <w:pPr>
        <w:snapToGrid w:val="0"/>
        <w:spacing w:line="400" w:lineRule="exact"/>
        <w:ind w:left="139" w:leftChars="66" w:firstLine="360" w:firstLineChars="150"/>
        <w:rPr>
          <w:rFonts w:ascii="宋体" w:hAnsi="宋体" w:cs="宋体"/>
          <w:b/>
          <w:color w:val="auto"/>
          <w:sz w:val="24"/>
          <w:highlight w:val="none"/>
          <w:u w:val="single"/>
        </w:rPr>
      </w:pPr>
      <w:r>
        <w:rPr>
          <w:rFonts w:hint="eastAsia" w:ascii="宋体" w:hAnsi="宋体" w:cs="宋体"/>
          <w:bCs/>
          <w:color w:val="auto"/>
          <w:sz w:val="24"/>
          <w:highlight w:val="none"/>
        </w:rPr>
        <w:t>3.运输及保险：</w:t>
      </w:r>
      <w:r>
        <w:rPr>
          <w:rFonts w:hint="eastAsia" w:ascii="宋体" w:hAnsi="宋体" w:cs="宋体"/>
          <w:color w:val="auto"/>
          <w:sz w:val="24"/>
          <w:highlight w:val="none"/>
          <w:u w:val="single"/>
        </w:rPr>
        <w:t xml:space="preserve">车辆运输方式不限，运输、保险等运输过程中发生的所有费用均由卖方承担  </w:t>
      </w:r>
      <w:r>
        <w:rPr>
          <w:rFonts w:hint="eastAsia" w:ascii="宋体" w:hAnsi="宋体" w:cs="宋体"/>
          <w:color w:val="auto"/>
          <w:sz w:val="24"/>
          <w:highlight w:val="none"/>
        </w:rPr>
        <w:t>。</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    4.  运送</w:t>
      </w:r>
    </w:p>
    <w:p>
      <w:pPr>
        <w:snapToGrid w:val="0"/>
        <w:spacing w:line="400" w:lineRule="exact"/>
        <w:ind w:left="244" w:leftChars="116"/>
        <w:rPr>
          <w:rFonts w:ascii="宋体" w:hAnsi="宋体" w:cs="宋体"/>
          <w:color w:val="auto"/>
          <w:sz w:val="24"/>
          <w:highlight w:val="none"/>
        </w:rPr>
      </w:pPr>
      <w:r>
        <w:rPr>
          <w:rFonts w:hint="eastAsia" w:ascii="宋体" w:hAnsi="宋体" w:cs="宋体"/>
          <w:color w:val="auto"/>
          <w:sz w:val="24"/>
          <w:highlight w:val="none"/>
        </w:rPr>
        <w:t xml:space="preserve">  4.1  </w:t>
      </w:r>
      <w:r>
        <w:rPr>
          <w:rFonts w:hint="eastAsia" w:ascii="宋体" w:hAnsi="宋体" w:cs="宋体"/>
          <w:b/>
          <w:color w:val="auto"/>
          <w:sz w:val="24"/>
          <w:highlight w:val="none"/>
        </w:rPr>
        <w:t>运送完整性：保证车辆抵达交货地点时完整无损，对由于运送不善而引起的车辆损坏或损失、耽误交货时限等损失，均由卖方承担责任。</w:t>
      </w:r>
    </w:p>
    <w:p>
      <w:pPr>
        <w:tabs>
          <w:tab w:val="left" w:pos="540"/>
        </w:tabs>
        <w:snapToGrid w:val="0"/>
        <w:spacing w:line="400" w:lineRule="exact"/>
        <w:ind w:firstLine="616" w:firstLineChars="257"/>
        <w:rPr>
          <w:rFonts w:ascii="宋体" w:hAnsi="宋体" w:cs="宋体"/>
          <w:bCs/>
          <w:color w:val="auto"/>
          <w:sz w:val="24"/>
          <w:highlight w:val="none"/>
        </w:rPr>
      </w:pPr>
      <w:r>
        <w:rPr>
          <w:rFonts w:hint="eastAsia" w:ascii="宋体" w:hAnsi="宋体" w:cs="宋体"/>
          <w:bCs/>
          <w:color w:val="auto"/>
          <w:sz w:val="24"/>
          <w:highlight w:val="none"/>
        </w:rPr>
        <w:t>5.交货</w:t>
      </w:r>
    </w:p>
    <w:p>
      <w:pPr>
        <w:snapToGrid w:val="0"/>
        <w:spacing w:line="400" w:lineRule="exact"/>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5.1交货时间：合同签订后</w:t>
      </w:r>
      <w:r>
        <w:rPr>
          <w:rFonts w:hint="eastAsia" w:ascii="宋体" w:hAnsi="宋体" w:cs="宋体"/>
          <w:bCs/>
          <w:color w:val="auto"/>
          <w:sz w:val="24"/>
          <w:highlight w:val="none"/>
          <w:lang w:val="en-US" w:eastAsia="zh-CN"/>
        </w:rPr>
        <w:t>90</w:t>
      </w:r>
      <w:r>
        <w:rPr>
          <w:rFonts w:hint="eastAsia" w:ascii="宋体" w:hAnsi="宋体" w:cs="宋体"/>
          <w:bCs/>
          <w:color w:val="auto"/>
          <w:sz w:val="24"/>
          <w:highlight w:val="none"/>
        </w:rPr>
        <w:t>日内交付货物.</w:t>
      </w:r>
    </w:p>
    <w:p>
      <w:pPr>
        <w:snapToGrid w:val="0"/>
        <w:spacing w:line="400" w:lineRule="exact"/>
        <w:ind w:firstLine="723" w:firstLineChars="300"/>
        <w:jc w:val="left"/>
        <w:rPr>
          <w:rFonts w:ascii="宋体" w:hAnsi="宋体" w:cs="宋体"/>
          <w:color w:val="auto"/>
          <w:highlight w:val="none"/>
        </w:rPr>
      </w:pPr>
      <w:r>
        <w:rPr>
          <w:rFonts w:hint="eastAsia" w:ascii="宋体" w:hAnsi="宋体" w:cs="宋体"/>
          <w:b/>
          <w:bCs/>
          <w:color w:val="auto"/>
          <w:sz w:val="24"/>
          <w:highlight w:val="none"/>
        </w:rPr>
        <w:t>卖方须在上述时限之前，一次完成供货并交付验收。车辆发出后，卖方应发函通知买方，便于买方准备验收。交车时车辆油箱应注入不少于总油箱容积四分之三油料。</w:t>
      </w:r>
      <w:r>
        <w:rPr>
          <w:rFonts w:hint="eastAsia" w:ascii="宋体" w:hAnsi="宋体" w:cs="宋体"/>
          <w:b/>
          <w:bCs/>
          <w:color w:val="auto"/>
          <w:sz w:val="24"/>
          <w:szCs w:val="22"/>
          <w:highlight w:val="none"/>
        </w:rPr>
        <w:t>需提供车辆左前方（车头面左）90°三寸照片1张，发动机号、车架号拓印件2套。</w:t>
      </w:r>
      <w:r>
        <w:rPr>
          <w:rFonts w:hint="eastAsia" w:ascii="宋体" w:hAnsi="宋体" w:cs="宋体"/>
          <w:b/>
          <w:bCs/>
          <w:color w:val="FF0000"/>
          <w:sz w:val="24"/>
          <w:szCs w:val="22"/>
          <w:highlight w:val="none"/>
        </w:rPr>
        <w:t>车辆交付时整车必须取得工信部公告和国家权威机构出具的检测报告，整车合格证数据必须同步录入工信部相关数据库。</w:t>
      </w:r>
    </w:p>
    <w:p>
      <w:pPr>
        <w:pStyle w:val="4"/>
        <w:snapToGrid w:val="0"/>
        <w:spacing w:line="400" w:lineRule="exact"/>
        <w:rPr>
          <w:rFonts w:ascii="宋体" w:hAnsi="宋体" w:cs="宋体"/>
          <w:color w:val="auto"/>
          <w:highlight w:val="none"/>
        </w:rPr>
      </w:pPr>
      <w:r>
        <w:rPr>
          <w:rFonts w:hint="eastAsia" w:ascii="宋体" w:hAnsi="宋体" w:cs="宋体"/>
          <w:bCs/>
          <w:color w:val="auto"/>
          <w:sz w:val="24"/>
          <w:highlight w:val="none"/>
        </w:rPr>
        <w:t>5.2交货地点：</w:t>
      </w:r>
    </w:p>
    <w:p>
      <w:pPr>
        <w:snapToGrid w:val="0"/>
        <w:spacing w:line="40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5.3联系方式：</w:t>
      </w:r>
      <w:r>
        <w:rPr>
          <w:rFonts w:hint="eastAsia" w:ascii="宋体" w:hAnsi="宋体" w:cs="宋体"/>
          <w:b/>
          <w:bCs/>
          <w:color w:val="auto"/>
          <w:sz w:val="24"/>
          <w:highlight w:val="none"/>
          <w:lang w:val="en-US" w:eastAsia="zh-CN"/>
        </w:rPr>
        <w:t>乌鲁木齐市</w:t>
      </w:r>
      <w:r>
        <w:rPr>
          <w:rFonts w:hint="eastAsia" w:ascii="宋体" w:hAnsi="宋体" w:cs="宋体"/>
          <w:b/>
          <w:bCs/>
          <w:color w:val="auto"/>
          <w:sz w:val="24"/>
          <w:highlight w:val="none"/>
        </w:rPr>
        <w:t>消防救援支队</w:t>
      </w:r>
    </w:p>
    <w:p>
      <w:pPr>
        <w:snapToGrid w:val="0"/>
        <w:spacing w:line="400" w:lineRule="exact"/>
        <w:ind w:firstLine="2243" w:firstLineChars="931"/>
        <w:rPr>
          <w:rFonts w:ascii="宋体" w:hAnsi="宋体" w:cs="宋体"/>
          <w:b/>
          <w:bCs/>
          <w:color w:val="auto"/>
          <w:sz w:val="24"/>
          <w:highlight w:val="none"/>
        </w:rPr>
      </w:pPr>
      <w:r>
        <w:rPr>
          <w:rFonts w:hint="eastAsia" w:ascii="宋体" w:hAnsi="宋体" w:cs="宋体"/>
          <w:b/>
          <w:bCs/>
          <w:color w:val="auto"/>
          <w:sz w:val="24"/>
          <w:highlight w:val="none"/>
        </w:rPr>
        <w:t xml:space="preserve">姓  名： </w:t>
      </w:r>
    </w:p>
    <w:p>
      <w:pPr>
        <w:snapToGrid w:val="0"/>
        <w:spacing w:line="400" w:lineRule="exact"/>
        <w:ind w:firstLine="2202" w:firstLineChars="914"/>
        <w:rPr>
          <w:rFonts w:ascii="宋体" w:hAnsi="宋体" w:cs="宋体"/>
          <w:b/>
          <w:bCs/>
          <w:color w:val="auto"/>
          <w:sz w:val="24"/>
          <w:highlight w:val="none"/>
        </w:rPr>
      </w:pPr>
      <w:r>
        <w:rPr>
          <w:rFonts w:hint="eastAsia" w:ascii="宋体" w:hAnsi="宋体" w:cs="宋体"/>
          <w:b/>
          <w:bCs/>
          <w:color w:val="auto"/>
          <w:sz w:val="24"/>
          <w:highlight w:val="none"/>
        </w:rPr>
        <w:t>电  话：</w:t>
      </w:r>
    </w:p>
    <w:p>
      <w:pPr>
        <w:snapToGrid w:val="0"/>
        <w:spacing w:line="400" w:lineRule="exact"/>
        <w:ind w:firstLine="2202" w:firstLineChars="914"/>
        <w:rPr>
          <w:rFonts w:ascii="宋体" w:hAnsi="宋体" w:cs="宋体"/>
          <w:b/>
          <w:bCs/>
          <w:color w:val="auto"/>
          <w:sz w:val="24"/>
          <w:highlight w:val="none"/>
        </w:rPr>
      </w:pPr>
      <w:r>
        <w:rPr>
          <w:rFonts w:hint="eastAsia" w:ascii="宋体" w:hAnsi="宋体" w:cs="宋体"/>
          <w:b/>
          <w:bCs/>
          <w:color w:val="auto"/>
          <w:sz w:val="24"/>
          <w:highlight w:val="none"/>
        </w:rPr>
        <w:t>传  真：</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6.验收：</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6.1验收标准：依照标书及本合同约定。</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6.2验收时间及组织：全部产品送达分初验、终验两个阶段，初验阶段由支队组织验收，初验通过后，试运行1个月，所有货物使用正常满足甲方需求，出具最终验收意见。</w:t>
      </w:r>
    </w:p>
    <w:p>
      <w:pPr>
        <w:pStyle w:val="4"/>
        <w:snapToGrid w:val="0"/>
        <w:spacing w:line="400" w:lineRule="exact"/>
        <w:ind w:firstLine="482" w:firstLineChars="200"/>
        <w:rPr>
          <w:rFonts w:ascii="宋体" w:hAnsi="宋体" w:cs="宋体"/>
          <w:color w:val="auto"/>
          <w:highlight w:val="none"/>
        </w:rPr>
      </w:pPr>
      <w:r>
        <w:rPr>
          <w:rFonts w:hint="eastAsia" w:ascii="宋体" w:hAnsi="宋体" w:cs="宋体"/>
          <w:b/>
          <w:bCs/>
          <w:color w:val="auto"/>
          <w:sz w:val="24"/>
          <w:highlight w:val="none"/>
        </w:rPr>
        <w:t>6.3验收前买方不负责货物的保管，由卖方负责。</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7.合同效力</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7.1  本合同经买卖双方授权代表签署，并经双方盖章后生效。</w:t>
      </w:r>
    </w:p>
    <w:p>
      <w:pPr>
        <w:snapToGrid w:val="0"/>
        <w:spacing w:line="4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7.2  本合同一式肆份，买卖双方各持两份，具有相同的法律效力。</w:t>
      </w:r>
    </w:p>
    <w:p>
      <w:pPr>
        <w:spacing w:line="360" w:lineRule="auto"/>
        <w:ind w:firstLine="904" w:firstLineChars="250"/>
        <w:jc w:val="cente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4"/>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rPr>
          <w:rFonts w:ascii="宋体" w:hAnsi="宋体" w:cs="宋体"/>
          <w:b/>
          <w:bCs/>
          <w:color w:val="auto"/>
          <w:sz w:val="36"/>
          <w:szCs w:val="36"/>
          <w:highlight w:val="none"/>
        </w:rPr>
      </w:pPr>
    </w:p>
    <w:p>
      <w:pPr>
        <w:snapToGrid w:val="0"/>
        <w:spacing w:line="400" w:lineRule="exact"/>
        <w:jc w:val="center"/>
        <w:rPr>
          <w:rFonts w:hint="eastAsia" w:ascii="宋体" w:hAnsi="宋体" w:cs="宋体"/>
          <w:b/>
          <w:bCs/>
          <w:color w:val="auto"/>
          <w:sz w:val="36"/>
          <w:szCs w:val="36"/>
          <w:highlight w:val="none"/>
        </w:rPr>
      </w:pPr>
    </w:p>
    <w:p>
      <w:pPr>
        <w:snapToGrid w:val="0"/>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二、合同基本条款</w:t>
      </w:r>
    </w:p>
    <w:p>
      <w:pPr>
        <w:pStyle w:val="4"/>
        <w:ind w:firstLine="0"/>
        <w:rPr>
          <w:color w:val="auto"/>
          <w:highlight w:val="none"/>
        </w:rPr>
      </w:pP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定义：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本合同有关术语解释：</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“合同”是指买卖双方签署的用以约定买卖双方买卖事项而达成的协议，包括所有的附件和构成合同的其它文件。</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“合同总价”是指根据本合同约定，卖方在正确地完全履行合同义务后买方应支付给卖方的全部价款。</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“车辆”是指根据合同约定卖方向买方提供的一切设备及相应的配套设施（含备件、工具、操作手册及其他有关技术资料和材料）。</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“服务”是指根据合同约定卖方向买方承担的与供货有关的辅助服务，如运输、保险、安装、调试、技术支持、检验、维修、培训等与购销有关的义务。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  “现场”是指合同项下货物实际所在地。</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“验收”是指合同双方依据约定的程序和条件对合同标的物的数量、质量、性能等进行确认交接的行为。</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交货时间是指卖方将本合同内全部产品提交给买方验收的最后时间。卖方分几次供货时，以最后一次提交买方验收时间为交货时间。</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标准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本合同下交付的货物应符合技术规格所述的标准。合同未作特别标注的国产货物，以我国颁布的最新标准为准；如无国家标准的，以行业标准为准；如无行业标准的，按企业标准执行。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本合同货物无特别标注的，计量单位均采用中华人民共和国法定计量单位。</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专利权</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卖方保证，买方在使用合同货物或货物的任何一部分时，免受第三方提出的侵犯其专利权、商标权、著作权或其它知识产权的起诉。卖方应承担由此可能产生的一切法律责任和费用（包括但不限于买方支出的赔偿费、诉讼费、评估费、鉴定费、律师费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运送</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除合同另有规定外，卖方提供的全部车辆，均采用国家或专业标准保护措施（不低于木箱标准）进行运送，使包装适用于海运、空运或陆上的长途运输，并有良好的防潮、防震、防锈和防粗暴装卸等保护措施，确保车辆安全无损运抵现场。这类运送还应足以承受但不限于承受转运过程中的装卸，暴露于恶劣气温，大风和降雨环境，以及露天存放。对由于运送不善而引起的车辆锈蚀、损坏或损失卖方应承担责任。</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4.2  </w:t>
      </w:r>
      <w:r>
        <w:rPr>
          <w:rFonts w:hint="eastAsia" w:ascii="宋体" w:hAnsi="宋体" w:cs="宋体"/>
          <w:b/>
          <w:color w:val="auto"/>
          <w:sz w:val="24"/>
          <w:highlight w:val="none"/>
        </w:rPr>
        <w:t>卖方必须无偿提供合同内全部货物的中文使用说明书，说明书包括产品的功能、使用方法、技术参数、常见问题解决办法及产品序列号、型号、版本号以及配合使用的主要设备品牌、型号和版本等信息。</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  质量</w:t>
      </w:r>
    </w:p>
    <w:p>
      <w:pPr>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5.1  </w:t>
      </w:r>
      <w:r>
        <w:rPr>
          <w:rFonts w:hint="eastAsia" w:ascii="宋体" w:hAnsi="宋体" w:cs="宋体"/>
          <w:b/>
          <w:color w:val="auto"/>
          <w:sz w:val="24"/>
          <w:szCs w:val="22"/>
          <w:highlight w:val="none"/>
        </w:rPr>
        <w:t>卖方保证所提供的货物是新品。</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5.2  在车辆质保期内，卖方应当对由于设计、工艺、材料和配件的缺陷所产生的不足或故障负责，并承担由此给买方造成的相应损失。</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验收时，如发现卖方提供的车辆或配件等不符合合同约定或有缺陷时，买方应以书面形式通知卖方，提出索赔，卖方应当在约定的时间内予以更换，并按违约的相关约定向买方给予赔偿，更换的新产品质保期相应顺延；质保期内，如车辆或配件发生质量问题时，按售后服务的约定执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6．交货</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交货的时间和地点执行本合同《协议书》。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延期交货</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6.2.1 卖方应按合同规定的时间交货和提供服务。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6.2.2  在履行合同过程中，如果卖方遇到不能按期交货和提供服务情况，应及时以书面形式将不能按时交货的理由、可能延误的时间通知买方。买方在收到通知后，应进行分析，如果同意，以书面形式通知卖方,可酌情延长交货时间。</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6.2.3  如果卖方毫无理由拖延交货，将受到扣除履约保证金的制裁或终止合同。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 技术文件和资料</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提供技术文件和资料的种类和数量在本采购文件中已规定，买卖双方可根据需要订立具体的资料交付时间和数量。</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如果买方确认卖方提供的技术文件和资料不完整，或在运输途中丢失，卖方应在收到买方通知后3天内将文件、资料补齐。</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 税费</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  车辆的投标报价为货到采购人指定地点价格。</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  根据国家现行税法征收的与本合同有关的一切税费均由卖方承担。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8.3  在中国境外发生的与本合同执行有关的一切税费由卖方承担。</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  验收</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本合同项下车辆验收遵照以下流程和条件</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9.1 卖方应在供货合同规定的时间内将消防车辆发送收货地点并提交书面验收申请。</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9.2 车辆到达目的地后买卖双方要在现场共同验收。买方将按照合同清点车辆数量，检查车辆外观情况，卖方必须派出代表参加车辆验收工作，否则买方不予验收，按照卖方车辆未到处理。</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9.3 买方组成集中采购装备验收小组，对采购的车辆进行专门验收，不符合合同规定的，买方将不予验收。</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9.4产品验收时，卖方必须要有一名以上厂家技术人员在场，验收完毕后，买方和卖方共同签字确认验收单。买方根据采购验收单按合同支付货款。</w:t>
      </w:r>
    </w:p>
    <w:p>
      <w:pPr>
        <w:adjustRightInd w:val="0"/>
        <w:snapToGrid w:val="0"/>
        <w:spacing w:line="40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9.5车辆</w:t>
      </w:r>
      <w:r>
        <w:rPr>
          <w:rFonts w:hint="eastAsia" w:ascii="宋体" w:hAnsi="宋体" w:cs="宋体"/>
          <w:b/>
          <w:bCs/>
          <w:color w:val="auto"/>
          <w:sz w:val="24"/>
          <w:highlight w:val="none"/>
        </w:rPr>
        <w:t>的验收，综合判定为“合格”、“不合格”，综合评判为“合格”的车辆，清点接收。综合评判为“不合格”的车辆装备，限期整改并等比例扣除履约保证金，整改完毕后进行复验；限期内未整改完毕的或“复验”不合格的，按合同规定做退货处理，扣除全额履约保证金，并将供货商列入</w:t>
      </w:r>
      <w:r>
        <w:rPr>
          <w:rFonts w:hint="eastAsia" w:ascii="宋体" w:hAnsi="宋体" w:cs="宋体"/>
          <w:b/>
          <w:bCs/>
          <w:color w:val="auto"/>
          <w:sz w:val="24"/>
          <w:highlight w:val="none"/>
          <w:lang w:val="en-US" w:eastAsia="zh-CN"/>
        </w:rPr>
        <w:t>支队</w:t>
      </w:r>
      <w:r>
        <w:rPr>
          <w:rFonts w:hint="eastAsia" w:ascii="宋体" w:hAnsi="宋体" w:cs="宋体"/>
          <w:b/>
          <w:bCs/>
          <w:color w:val="auto"/>
          <w:sz w:val="24"/>
          <w:highlight w:val="none"/>
        </w:rPr>
        <w:t>装备集中采购黑名单，3年内不得参加</w:t>
      </w:r>
      <w:r>
        <w:rPr>
          <w:rFonts w:hint="eastAsia" w:ascii="宋体" w:hAnsi="宋体" w:cs="宋体"/>
          <w:b/>
          <w:bCs/>
          <w:color w:val="auto"/>
          <w:sz w:val="24"/>
          <w:highlight w:val="none"/>
          <w:lang w:val="en-US" w:eastAsia="zh-CN"/>
        </w:rPr>
        <w:t>支队</w:t>
      </w:r>
      <w:r>
        <w:rPr>
          <w:rFonts w:hint="eastAsia" w:ascii="宋体" w:hAnsi="宋体" w:cs="宋体"/>
          <w:b/>
          <w:bCs/>
          <w:color w:val="auto"/>
          <w:sz w:val="24"/>
          <w:highlight w:val="none"/>
        </w:rPr>
        <w:t>装备采购投标工作。</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  付款：执行本合同《协议书》。</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培训</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售后服务</w:t>
      </w:r>
    </w:p>
    <w:p>
      <w:pPr>
        <w:pStyle w:val="34"/>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kern w:val="2"/>
          <w:szCs w:val="20"/>
          <w:highlight w:val="none"/>
        </w:rPr>
        <w:t xml:space="preserve">  （以中标方投标承诺为准） </w:t>
      </w:r>
    </w:p>
    <w:p>
      <w:pPr>
        <w:pStyle w:val="34"/>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kern w:val="2"/>
          <w:szCs w:val="20"/>
          <w:highlight w:val="none"/>
        </w:rPr>
        <w:t>13.  双方责任</w:t>
      </w:r>
    </w:p>
    <w:p>
      <w:pPr>
        <w:pStyle w:val="34"/>
        <w:adjustRightInd w:val="0"/>
        <w:snapToGrid w:val="0"/>
        <w:spacing w:before="0" w:beforeAutospacing="0" w:after="0" w:afterAutospacing="0" w:line="400" w:lineRule="exact"/>
        <w:ind w:firstLine="480" w:firstLineChars="200"/>
        <w:rPr>
          <w:color w:val="auto"/>
          <w:kern w:val="2"/>
          <w:szCs w:val="20"/>
          <w:highlight w:val="none"/>
        </w:rPr>
      </w:pPr>
      <w:r>
        <w:rPr>
          <w:rFonts w:hint="eastAsia"/>
          <w:color w:val="auto"/>
          <w:highlight w:val="none"/>
        </w:rPr>
        <w:t>13.1  买方责任</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按合同规定向卖方支付货款。</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组织对车辆的验收。</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卖方责任</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按合同要求提供车辆和服务。</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对所提供的车辆和服务质量问题无条件负责处理。</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13.2.3卖方对本合同签订及履行过程中获知的买方信息负有保密义务。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违约责任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交货违约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卖方违反本合同约定，延迟交货未取得买方书面同意的，每延迟一天按合同总价的1 ‰扣除履约保证金；延迟超过15日，买方有权单方解除合同，扣除全部履约保证金，还应当承担合同总额30%的违约金，造成买方损失的，卖方还应当赔偿。</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卖方所发货品规格、型号、质量等不符合合同约定的，买方有权单方解除合同，拒绝收货和付款，扣除履约保证金，并由卖方承担合同总额30%的违约金，由此所发生的一切费用、损失（包括给双方造成的经济损失），均由卖方负责。</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14.1.3合同生效后，卖方中途解除合同（不可抗力原因除外），应按给买方造成的损失向甲方支付赔偿金，买方有权扣除履约保证金，并由卖方向买方支付合同总金额30%的违约金。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14.1.4卖方违约，还应赔偿买方因此遭受的其他损失，包括为主张权益所支付的律师费、交通费、公证费、鉴定费、评估费、差旅费等全部费用。</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14.1.5卖方违约的，买方有权将相应违约金、赔偿金从履约保证金及应给卖方支付的货款中直接予以扣除。</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付款违约</w:t>
      </w:r>
    </w:p>
    <w:p>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买方接收经验收合格的货物后而未能按合同约定时间付款的，推迟付款时间超过30天时，以未付款为基数，按周期全国银行间同业拆借中心公布的贷款市场报价利率（LPR，一年期），支付逾期付款利息，总额不超过未付款部分的5%。</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ascii="宋体" w:hAnsi="宋体" w:cs="宋体"/>
          <w:color w:val="auto"/>
          <w:sz w:val="24"/>
          <w:highlight w:val="none"/>
        </w:rPr>
        <w:t>3</w:t>
      </w:r>
      <w:r>
        <w:rPr>
          <w:rFonts w:hint="eastAsia" w:ascii="宋体" w:hAnsi="宋体" w:cs="宋体"/>
          <w:color w:val="auto"/>
          <w:sz w:val="24"/>
          <w:highlight w:val="none"/>
        </w:rPr>
        <w:t xml:space="preserve">  任意一方如提出增减合同数量，变动交货的，应提前通知对方，并征得对方同意，否则应承担与之相关的经济责任。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卖方违反保密义务或违反禁止转让、分包合同义务或违反本合同其他约定的，除本合同另有约定外，应按照本合同总价款的5%向买方支付违约金。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卖方提供车辆不符合约定或违反本协议其他约定，给买方造成损失的，应赔偿买方的全部损失，包括但不限于直接损失、间接损失、买方为处理违约事件支出的律师费、诉讼费、评估费、鉴定费等。</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本合同所称违约金可以累积计算。</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15.  履约保证金</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合同签订前，中标单位按照中标金额的5%缴纳履约保证金，中标单位按合同约定交付全部产品，安装调试完毕，书面验收合格一年后，采购单位无息退还全部履约保证金。</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帐户名称：</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开 户 行：</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帐    号：</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16.  合同终止</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发生下列情况时，买方有权单方终止合同：</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1）卖方未能在合同规定的期限内或买方同意延长的期限内提供全部车辆；</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卖方未能履行合同规定的其他义务，卖方在收到买方发出的违约通知后30天内，或经买方书面认可延长的时间内未能纠正其过失。买方可向卖方发出书面通知，终止部分或全部合同，在这种情况下，并不影响买方向卖方提出的索赔。</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纠纷解决方式</w:t>
      </w:r>
    </w:p>
    <w:p>
      <w:pPr>
        <w:snapToGrid w:val="0"/>
        <w:spacing w:line="400" w:lineRule="exact"/>
        <w:ind w:firstLine="420"/>
        <w:rPr>
          <w:rFonts w:ascii="宋体" w:hAnsi="宋体" w:cs="宋体"/>
          <w:color w:val="auto"/>
          <w:sz w:val="24"/>
          <w:highlight w:val="none"/>
        </w:rPr>
      </w:pPr>
      <w:r>
        <w:rPr>
          <w:rFonts w:hint="eastAsia" w:ascii="宋体" w:hAnsi="宋体" w:cs="宋体"/>
          <w:color w:val="auto"/>
          <w:sz w:val="24"/>
          <w:highlight w:val="none"/>
        </w:rPr>
        <w:t>本合同在执行中发生纠纷时，双方应友好协商予以解决。如协商解决不成时，双方约定采用第</w:t>
      </w:r>
      <w:r>
        <w:rPr>
          <w:rFonts w:hint="eastAsia" w:ascii="宋体" w:hAnsi="宋体" w:cs="宋体"/>
          <w:color w:val="auto"/>
          <w:sz w:val="24"/>
          <w:highlight w:val="none"/>
          <w:u w:val="single"/>
        </w:rPr>
        <w:t>17.1</w:t>
      </w:r>
      <w:r>
        <w:rPr>
          <w:rFonts w:hint="eastAsia" w:ascii="宋体" w:hAnsi="宋体" w:cs="宋体"/>
          <w:color w:val="auto"/>
          <w:sz w:val="24"/>
          <w:highlight w:val="none"/>
        </w:rPr>
        <w:t>种方式解决。</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向</w:t>
      </w:r>
      <w:r>
        <w:rPr>
          <w:rFonts w:hint="eastAsia" w:ascii="宋体" w:hAnsi="宋体" w:cs="宋体"/>
          <w:color w:val="auto"/>
          <w:sz w:val="24"/>
          <w:highlight w:val="none"/>
          <w:u w:val="single"/>
          <w:lang w:val="en-US" w:eastAsia="zh-CN"/>
        </w:rPr>
        <w:t>甲方所在</w:t>
      </w:r>
      <w:r>
        <w:rPr>
          <w:rFonts w:hint="eastAsia" w:ascii="宋体" w:hAnsi="宋体" w:cs="宋体"/>
          <w:color w:val="auto"/>
          <w:sz w:val="24"/>
          <w:highlight w:val="none"/>
          <w:u w:val="single"/>
        </w:rPr>
        <w:t>地</w:t>
      </w:r>
      <w:r>
        <w:rPr>
          <w:rFonts w:hint="eastAsia" w:ascii="宋体" w:hAnsi="宋体" w:cs="宋体"/>
          <w:color w:val="auto"/>
          <w:sz w:val="24"/>
          <w:highlight w:val="none"/>
        </w:rPr>
        <w:t>人民法院提出诉讼；因卖方违约，买方主张自身合法权益提起诉讼产生的诉讼费、律师代理费等费用由卖方承担。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申请</w:t>
      </w:r>
      <w:r>
        <w:rPr>
          <w:rFonts w:hint="eastAsia" w:ascii="宋体" w:hAnsi="宋体" w:cs="宋体"/>
          <w:color w:val="auto"/>
          <w:sz w:val="24"/>
          <w:highlight w:val="none"/>
          <w:u w:val="single"/>
        </w:rPr>
        <w:t>合同签订地</w:t>
      </w:r>
      <w:r>
        <w:rPr>
          <w:rFonts w:hint="eastAsia" w:ascii="宋体" w:hAnsi="宋体" w:cs="宋体"/>
          <w:color w:val="auto"/>
          <w:sz w:val="24"/>
          <w:highlight w:val="none"/>
        </w:rPr>
        <w:t>（仲裁机构）进行仲裁。</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  转让和分包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卖方不得转让或分包其履行合同的义务。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  适用法律</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本合同按照中华人民共和国的法律进行解释。</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20.合同生效及其他</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20.1合同效力执行本合同《协议书》。</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合同执行期间，如因故不能履行或需要修改时，必须经双方同意，并互相换文或另订合同。其它未尽事宜，双方应友好进行协商。协商结果以“补充件”的形式作为本合同的附件，与本合同有同等的法律效力。</w:t>
      </w:r>
    </w:p>
    <w:p>
      <w:pPr>
        <w:snapToGrid w:val="0"/>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20.3其他约定事项：</w:t>
      </w:r>
      <w:r>
        <w:rPr>
          <w:rFonts w:hint="eastAsia" w:ascii="宋体" w:hAnsi="宋体" w:cs="宋体"/>
          <w:color w:val="auto"/>
          <w:sz w:val="24"/>
          <w:highlight w:val="none"/>
          <w:u w:val="single"/>
        </w:rPr>
        <w:t>①合同签订地：</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合同有效期：年月日至年月日。</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20.5通知和送达买卖双方就本合同中涉及各类通知、协议等文件以及就合同发生纠纷时相关文件和法律文书送达时的送达地址及法律后果作如下约定：</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20.5.1买卖双方确认有效的地址及联系方式以本合同首部列明的为准。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20.5.2双方该送达地址适用范围包括双方非诉时各类通知、协议等文件以及就合同发生纠纷时相关文件和法律文书的送达，同时包括在争议进入仲裁、民事诉讼程序后的一审、二审、再审和执行程序。</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20.5.3双方上述送达地址需要变更时应当向对方履行书面通知义务。若未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pPr>
        <w:snapToGrid w:val="0"/>
        <w:spacing w:line="400" w:lineRule="exact"/>
        <w:ind w:firstLine="208" w:firstLineChars="87"/>
        <w:rPr>
          <w:rFonts w:ascii="宋体" w:hAnsi="宋体" w:cs="宋体"/>
          <w:bCs/>
          <w:color w:val="auto"/>
          <w:sz w:val="24"/>
          <w:highlight w:val="none"/>
        </w:rPr>
      </w:pPr>
    </w:p>
    <w:p>
      <w:pPr>
        <w:snapToGrid w:val="0"/>
        <w:spacing w:line="400" w:lineRule="exact"/>
        <w:rPr>
          <w:rFonts w:ascii="宋体" w:hAnsi="宋体" w:cs="宋体"/>
          <w:bCs/>
          <w:color w:val="auto"/>
          <w:sz w:val="24"/>
          <w:highlight w:val="none"/>
        </w:rPr>
      </w:pP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买方（印章）：                              卖方：（印章）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法定代表人或委托代理人:（签字）             法定代表人或委托代理人:（签字）</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地址：                                      地址：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邮政编码：                                  邮政编码：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电话：                                      电话：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传真：                                       传真： </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 xml:space="preserve">                                            开户银行及账号：</w:t>
      </w:r>
    </w:p>
    <w:p>
      <w:pPr>
        <w:snapToGrid w:val="0"/>
        <w:spacing w:line="400" w:lineRule="exact"/>
        <w:ind w:firstLine="208" w:firstLineChars="87"/>
        <w:rPr>
          <w:rFonts w:ascii="宋体" w:hAnsi="宋体" w:cs="宋体"/>
          <w:bCs/>
          <w:color w:val="auto"/>
          <w:sz w:val="24"/>
          <w:highlight w:val="none"/>
        </w:rPr>
      </w:pPr>
      <w:r>
        <w:rPr>
          <w:rFonts w:hint="eastAsia" w:ascii="宋体" w:hAnsi="宋体" w:cs="宋体"/>
          <w:bCs/>
          <w:color w:val="auto"/>
          <w:sz w:val="24"/>
          <w:highlight w:val="none"/>
        </w:rPr>
        <w:t>日期：      年   月    日                  日 期：    年    月   日</w:t>
      </w: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p>
      <w:pPr>
        <w:pStyle w:val="2"/>
        <w:rPr>
          <w:rFonts w:ascii="宋体" w:hAnsi="宋体" w:cs="宋体"/>
          <w:b/>
          <w:color w:val="auto"/>
          <w:spacing w:val="-4"/>
          <w:sz w:val="30"/>
          <w:szCs w:val="30"/>
          <w:highlight w:val="none"/>
        </w:rPr>
      </w:pPr>
    </w:p>
    <w:p>
      <w:pPr>
        <w:pStyle w:val="2"/>
        <w:rPr>
          <w:rFonts w:ascii="宋体" w:hAnsi="宋体" w:cs="宋体"/>
          <w:b/>
          <w:color w:val="auto"/>
          <w:spacing w:val="-4"/>
          <w:sz w:val="30"/>
          <w:szCs w:val="30"/>
          <w:highlight w:val="none"/>
        </w:rPr>
      </w:pPr>
    </w:p>
    <w:p>
      <w:pPr>
        <w:pStyle w:val="2"/>
        <w:rPr>
          <w:rFonts w:ascii="宋体" w:hAnsi="宋体" w:cs="宋体"/>
          <w:b/>
          <w:color w:val="auto"/>
          <w:spacing w:val="-4"/>
          <w:sz w:val="30"/>
          <w:szCs w:val="30"/>
          <w:highlight w:val="none"/>
        </w:rPr>
      </w:pPr>
    </w:p>
    <w:p>
      <w:pPr>
        <w:widowControl/>
        <w:rPr>
          <w:rFonts w:ascii="宋体" w:hAnsi="宋体" w:cs="宋体"/>
          <w:b/>
          <w:color w:val="auto"/>
          <w:spacing w:val="-4"/>
          <w:sz w:val="30"/>
          <w:szCs w:val="30"/>
          <w:highlight w:val="none"/>
        </w:rPr>
      </w:pPr>
    </w:p>
    <w:bookmarkEnd w:id="110"/>
    <w:p>
      <w:pPr>
        <w:pStyle w:val="15"/>
        <w:rPr>
          <w:color w:val="auto"/>
          <w:highlight w:val="none"/>
        </w:rPr>
      </w:pPr>
    </w:p>
    <w:p>
      <w:pPr>
        <w:pStyle w:val="3"/>
        <w:rPr>
          <w:color w:val="auto"/>
          <w:highlight w:val="none"/>
        </w:rPr>
      </w:pPr>
      <w:bookmarkStart w:id="111" w:name="_Toc1592"/>
      <w:r>
        <w:rPr>
          <w:rFonts w:hint="eastAsia"/>
          <w:color w:val="auto"/>
          <w:highlight w:val="none"/>
        </w:rPr>
        <w:t>第</w:t>
      </w:r>
      <w:bookmarkStart w:id="112" w:name="_Toc9510643"/>
      <w:r>
        <w:rPr>
          <w:rFonts w:hint="eastAsia"/>
          <w:color w:val="auto"/>
          <w:highlight w:val="none"/>
        </w:rPr>
        <w:t>五章 投标文件格式</w:t>
      </w:r>
      <w:bookmarkEnd w:id="107"/>
      <w:bookmarkEnd w:id="108"/>
      <w:bookmarkEnd w:id="111"/>
    </w:p>
    <w:p>
      <w:pPr>
        <w:adjustRightInd w:val="0"/>
        <w:snapToGrid w:val="0"/>
        <w:spacing w:line="360" w:lineRule="auto"/>
        <w:rPr>
          <w:rFonts w:ascii="宋体" w:hAnsi="宋体" w:cs="宋体"/>
          <w:color w:val="auto"/>
          <w:szCs w:val="24"/>
          <w:highlight w:val="none"/>
        </w:rPr>
      </w:pP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bookmarkEnd w:id="112"/>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提交投标文件须知：</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应严格按照以下顺序填写和提交下述规定的全部格式文件以及其他有关资料，混乱的编排导致投标文件被误读或评标小组查找不到有效文件是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的风险。</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2、所附表格中要求回答的全部问题和/或信息都必须正面回答。</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3、本声明书的签字人应保证全部声明和问题的回答是真实的和准确的。</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4、评标委员会将应用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提交的资料根据自己的判断和考虑决定</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履行合同的合格性及能力。</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提交的材料将在一定期限内被</w:t>
      </w:r>
      <w:r>
        <w:rPr>
          <w:rFonts w:hint="eastAsia" w:asciiTheme="majorEastAsia" w:hAnsiTheme="majorEastAsia" w:eastAsiaTheme="majorEastAsia" w:cstheme="majorEastAsia"/>
          <w:bCs/>
          <w:color w:val="auto"/>
          <w:sz w:val="24"/>
          <w:szCs w:val="24"/>
          <w:highlight w:val="none"/>
        </w:rPr>
        <w:t>保密</w:t>
      </w:r>
      <w:r>
        <w:rPr>
          <w:rFonts w:hint="eastAsia" w:ascii="宋体" w:hAnsi="宋体" w:cs="宋体"/>
          <w:color w:val="auto"/>
          <w:sz w:val="24"/>
          <w:szCs w:val="24"/>
          <w:highlight w:val="none"/>
        </w:rPr>
        <w:t>保存，但不退还。</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6、全部文件应按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须知中的规定提交。投标文件组成漏项或未按规定的格式编制，内容不全或内容字迹模糊辨认不清的情况，将有可能被评标小组认定为投标无效。</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二、投标文件编制格式及规范要求：</w:t>
      </w:r>
    </w:p>
    <w:p>
      <w:pPr>
        <w:adjustRightInd w:val="0"/>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报价文件、商务技术文件部分，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在编制投标文件时请按照以下格式进行。</w:t>
      </w:r>
    </w:p>
    <w:p>
      <w:pPr>
        <w:adjustRightInd w:val="0"/>
        <w:snapToGrid w:val="0"/>
        <w:spacing w:before="50" w:after="50" w:line="360" w:lineRule="auto"/>
        <w:rPr>
          <w:rFonts w:ascii="宋体" w:hAnsi="宋体" w:cs="宋体"/>
          <w:color w:val="auto"/>
          <w:sz w:val="32"/>
          <w:highlight w:val="none"/>
        </w:rPr>
      </w:pPr>
    </w:p>
    <w:p>
      <w:pPr>
        <w:adjustRightInd w:val="0"/>
        <w:snapToGrid w:val="0"/>
        <w:spacing w:line="360" w:lineRule="auto"/>
        <w:rPr>
          <w:rFonts w:ascii="宋体" w:hAnsi="宋体" w:cs="宋体"/>
          <w:b/>
          <w:color w:val="auto"/>
          <w:sz w:val="24"/>
          <w:szCs w:val="24"/>
          <w:highlight w:val="none"/>
        </w:rPr>
      </w:pPr>
      <w:r>
        <w:rPr>
          <w:rFonts w:hint="eastAsia" w:ascii="宋体" w:hAnsi="宋体" w:cs="宋体"/>
          <w:color w:val="auto"/>
          <w:sz w:val="32"/>
          <w:highlight w:val="none"/>
        </w:rPr>
        <w:br w:type="page"/>
      </w:r>
      <w:r>
        <w:rPr>
          <w:rFonts w:hint="eastAsia" w:ascii="宋体" w:hAnsi="宋体" w:cs="宋体"/>
          <w:b/>
          <w:color w:val="auto"/>
          <w:sz w:val="24"/>
          <w:szCs w:val="24"/>
          <w:highlight w:val="none"/>
        </w:rPr>
        <w:t>投标文件封面</w:t>
      </w:r>
    </w:p>
    <w:p>
      <w:pPr>
        <w:snapToGrid w:val="0"/>
        <w:spacing w:line="360" w:lineRule="auto"/>
        <w:rPr>
          <w:rFonts w:ascii="宋体" w:hAnsi="宋体" w:cs="宋体"/>
          <w:color w:val="auto"/>
          <w:sz w:val="40"/>
          <w:szCs w:val="20"/>
          <w:highlight w:val="none"/>
        </w:rPr>
      </w:pPr>
    </w:p>
    <w:p>
      <w:pPr>
        <w:pStyle w:val="57"/>
        <w:rPr>
          <w:color w:val="auto"/>
          <w:highlight w:val="none"/>
        </w:rPr>
      </w:pPr>
    </w:p>
    <w:p>
      <w:pPr>
        <w:snapToGrid w:val="0"/>
        <w:spacing w:line="360" w:lineRule="auto"/>
        <w:jc w:val="center"/>
        <w:rPr>
          <w:rFonts w:ascii="宋体" w:hAnsi="宋体" w:cs="宋体"/>
          <w:color w:val="auto"/>
          <w:sz w:val="56"/>
          <w:szCs w:val="20"/>
          <w:highlight w:val="none"/>
        </w:rPr>
      </w:pPr>
    </w:p>
    <w:p>
      <w:pPr>
        <w:snapToGrid w:val="0"/>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(项目名称)项目</w:t>
      </w:r>
    </w:p>
    <w:p>
      <w:pPr>
        <w:snapToGrid w:val="0"/>
        <w:spacing w:line="360" w:lineRule="auto"/>
        <w:jc w:val="center"/>
        <w:rPr>
          <w:rFonts w:ascii="宋体" w:hAnsi="宋体" w:cs="宋体"/>
          <w:color w:val="auto"/>
          <w:sz w:val="28"/>
          <w:szCs w:val="20"/>
          <w:highlight w:val="none"/>
        </w:rPr>
      </w:pPr>
      <w:r>
        <w:rPr>
          <w:rFonts w:hint="eastAsia" w:ascii="宋体" w:hAnsi="宋体" w:cs="宋体"/>
          <w:color w:val="auto"/>
          <w:sz w:val="28"/>
          <w:szCs w:val="20"/>
          <w:highlight w:val="none"/>
        </w:rPr>
        <w:t>标包编号：</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报</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价</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文</w:t>
      </w:r>
    </w:p>
    <w:p>
      <w:pPr>
        <w:snapToGrid w:val="0"/>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件</w:t>
      </w:r>
    </w:p>
    <w:p>
      <w:pPr>
        <w:snapToGrid w:val="0"/>
        <w:spacing w:line="360" w:lineRule="auto"/>
        <w:rPr>
          <w:rFonts w:ascii="宋体" w:hAnsi="宋体" w:cs="宋体"/>
          <w:color w:val="auto"/>
          <w:sz w:val="28"/>
          <w:szCs w:val="20"/>
          <w:highlight w:val="none"/>
        </w:rPr>
      </w:pP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投标单位名称：（加盖单位公章）</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投标单位地址：</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投标单位法定代表人（负责人、自然人）或授权代表姓名：（签字或盖章）</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投标单位法定代表人（负责人、自然人）或授权代表职务：</w:t>
      </w:r>
    </w:p>
    <w:p>
      <w:pPr>
        <w:snapToGrid w:val="0"/>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投标单位联系方式：</w:t>
      </w:r>
    </w:p>
    <w:p>
      <w:pPr>
        <w:snapToGrid w:val="0"/>
        <w:spacing w:line="360" w:lineRule="auto"/>
        <w:rPr>
          <w:rFonts w:ascii="宋体" w:hAnsi="宋体" w:cs="宋体"/>
          <w:color w:val="auto"/>
          <w:sz w:val="20"/>
          <w:szCs w:val="20"/>
          <w:highlight w:val="none"/>
        </w:rPr>
      </w:pPr>
    </w:p>
    <w:p>
      <w:pPr>
        <w:adjustRightInd w:val="0"/>
        <w:snapToGrid w:val="0"/>
        <w:spacing w:before="50" w:after="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pP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pPr>
        <w:widowControl/>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目 </w:t>
      </w:r>
      <w:r>
        <w:rPr>
          <w:rFonts w:hint="eastAsia" w:ascii="宋体" w:hAnsi="宋体" w:cs="宋体"/>
          <w:b/>
          <w:color w:val="auto"/>
          <w:sz w:val="44"/>
          <w:szCs w:val="44"/>
          <w:highlight w:val="none"/>
        </w:rPr>
        <w:tab/>
      </w:r>
      <w:r>
        <w:rPr>
          <w:rFonts w:hint="eastAsia" w:ascii="宋体" w:hAnsi="宋体" w:cs="宋体"/>
          <w:b/>
          <w:color w:val="auto"/>
          <w:sz w:val="44"/>
          <w:szCs w:val="44"/>
          <w:highlight w:val="none"/>
        </w:rPr>
        <w:t>录</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1、投标函…………………………………………………………………（页码）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2、开标一览表……………………………………………………………（页码）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3、投标报价明细表………………………………………………………（页码）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4、投标保证金缴纳凭证复印件…………………………………………（页码）</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针对报价需要说明的其他文件和资料………………………（页码）</w:t>
      </w:r>
    </w:p>
    <w:p>
      <w:pPr>
        <w:adjustRightInd w:val="0"/>
        <w:snapToGrid w:val="0"/>
        <w:spacing w:line="400" w:lineRule="exact"/>
        <w:rPr>
          <w:rFonts w:ascii="宋体" w:hAnsi="宋体" w:cs="宋体"/>
          <w:color w:val="auto"/>
          <w:sz w:val="24"/>
          <w:szCs w:val="24"/>
          <w:highlight w:val="none"/>
        </w:rPr>
      </w:pPr>
    </w:p>
    <w:p>
      <w:pPr>
        <w:widowControl/>
        <w:jc w:val="left"/>
        <w:rPr>
          <w:rFonts w:ascii="宋体" w:hAnsi="宋体"/>
          <w:b/>
          <w:bCs/>
          <w:color w:val="auto"/>
          <w:sz w:val="32"/>
          <w:szCs w:val="32"/>
          <w:highlight w:val="none"/>
        </w:rPr>
      </w:pPr>
      <w:r>
        <w:rPr>
          <w:color w:val="auto"/>
          <w:highlight w:val="none"/>
        </w:rPr>
        <w:br w:type="page"/>
      </w: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1、投标函格式：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 标 函</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根据贵方项目（项目编号：）招标公告/投标邀请书，签字代表（全名）经正式授权并代表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名称）提交</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投标文件。</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已详细审查全部“招标文件”，包括补充文件（如有）以及全部参考资料和有关附件，已经了解我方对于招标文件、采购过程、采购结果有依法进行询问、质疑、投诉的权利及相关渠道和要求。</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在投标之前已经与贵方进行了充分的沟通，完全理解并接受招标文件的各项规定和要求，对招标文件的合理性、合法性不再有异议。</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3、本投标有效期自递交投标文件截止之日起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4、如中标，本投标文件至本项目合同履行完毕止均保持有效，本</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将按“招标文件”及政府采购法律、法规的规定履行合同责任和义务。</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同意按照贵方要求提供与投标有关的一切数据或资料，完全理解采购人不一定接受最低价的投标或收到的任何投标。</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6、与本投标有关的一切正式往来信函请寄：</w:t>
      </w:r>
    </w:p>
    <w:p>
      <w:pPr>
        <w:adjustRightInd w:val="0"/>
        <w:snapToGrid w:val="0"/>
        <w:spacing w:line="400" w:lineRule="exact"/>
        <w:ind w:firstLine="480" w:firstLineChars="200"/>
        <w:rPr>
          <w:rFonts w:ascii="宋体" w:hAnsi="宋体" w:cs="宋体"/>
          <w:color w:val="auto"/>
          <w:sz w:val="24"/>
          <w:szCs w:val="24"/>
          <w:highlight w:val="none"/>
        </w:rPr>
      </w:pP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  邮编：     电话：</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代表姓名：  职务：</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名称(公章):</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开户银行：    银行帐号：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授权代表签字:</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日期：年月日</w:t>
      </w:r>
    </w:p>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pStyle w:val="57"/>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color w:val="auto"/>
          <w:highlight w:val="none"/>
        </w:rPr>
      </w:pP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2、开标一览表</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开标一览表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标包编号及内容：                          单位：元</w:t>
      </w:r>
    </w:p>
    <w:tbl>
      <w:tblPr>
        <w:tblStyle w:val="3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50"/>
        <w:gridCol w:w="1065"/>
        <w:gridCol w:w="641"/>
        <w:gridCol w:w="1282"/>
        <w:gridCol w:w="898"/>
        <w:gridCol w:w="1153"/>
        <w:gridCol w:w="1154"/>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50"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065"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品牌</w:t>
            </w:r>
          </w:p>
        </w:tc>
        <w:tc>
          <w:tcPr>
            <w:tcW w:w="641"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产地</w:t>
            </w:r>
          </w:p>
        </w:tc>
        <w:tc>
          <w:tcPr>
            <w:tcW w:w="1282"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898"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53"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154"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合计（元）</w:t>
            </w:r>
          </w:p>
        </w:tc>
        <w:tc>
          <w:tcPr>
            <w:tcW w:w="897"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投标总价（元）</w:t>
            </w:r>
          </w:p>
        </w:tc>
        <w:tc>
          <w:tcPr>
            <w:tcW w:w="7090" w:type="dxa"/>
            <w:gridSpan w:val="7"/>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6" w:type="dxa"/>
            <w:gridSpan w:val="2"/>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质量保修</w:t>
            </w:r>
            <w:r>
              <w:rPr>
                <w:rFonts w:hint="eastAsia" w:ascii="宋体" w:hAnsi="宋体" w:cs="宋体"/>
                <w:color w:val="auto"/>
                <w:sz w:val="24"/>
                <w:szCs w:val="24"/>
                <w:highlight w:val="none"/>
              </w:rPr>
              <w:t>期</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bl>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 投标报价包括项目</w:t>
      </w:r>
      <w:r>
        <w:rPr>
          <w:rFonts w:hint="eastAsia" w:ascii="宋体" w:hAnsi="宋体" w:cs="宋体"/>
          <w:color w:val="auto"/>
          <w:sz w:val="24"/>
          <w:szCs w:val="24"/>
          <w:highlight w:val="none"/>
          <w:lang w:val="en-US" w:eastAsia="zh-CN"/>
        </w:rPr>
        <w:t>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宋体" w:hAnsi="宋体" w:cs="宋体"/>
          <w:color w:val="auto"/>
          <w:sz w:val="24"/>
          <w:szCs w:val="24"/>
          <w:highlight w:val="none"/>
        </w:rPr>
        <w:t>。</w:t>
      </w:r>
    </w:p>
    <w:p>
      <w:pPr>
        <w:pStyle w:val="4"/>
        <w:rPr>
          <w:color w:val="auto"/>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ind w:left="-2" w:leftChars="-1"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color w:val="auto"/>
          <w:highlight w:val="none"/>
        </w:rPr>
      </w:pPr>
      <w:r>
        <w:rPr>
          <w:rFonts w:hint="eastAsia" w:ascii="宋体" w:hAnsi="宋体" w:cs="宋体"/>
          <w:b/>
          <w:color w:val="auto"/>
          <w:sz w:val="24"/>
          <w:szCs w:val="24"/>
          <w:highlight w:val="none"/>
        </w:rPr>
        <w:br w:type="page"/>
      </w:r>
    </w:p>
    <w:p>
      <w:pPr>
        <w:adjustRightInd w:val="0"/>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3、投标报价明细表格式</w:t>
      </w:r>
      <w:r>
        <w:rPr>
          <w:rFonts w:hint="eastAsia" w:ascii="宋体" w:hAnsi="宋体" w:cs="宋体"/>
          <w:color w:val="auto"/>
          <w:sz w:val="24"/>
          <w:szCs w:val="24"/>
          <w:highlight w:val="none"/>
        </w:rPr>
        <w:t xml:space="preserve">：       </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投标报价明细表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标包编号及内容：                               金额单位：人民币（元）</w:t>
      </w:r>
    </w:p>
    <w:tbl>
      <w:tblPr>
        <w:tblStyle w:val="38"/>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315"/>
        <w:gridCol w:w="986"/>
        <w:gridCol w:w="1315"/>
        <w:gridCol w:w="1479"/>
        <w:gridCol w:w="903"/>
        <w:gridCol w:w="903"/>
        <w:gridCol w:w="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报价组成</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品牌</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规格型号</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单位及数量</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单价</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金额</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33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合计金额：（人民币大写）</w:t>
            </w:r>
          </w:p>
        </w:tc>
      </w:tr>
    </w:tbl>
    <w:p>
      <w:pPr>
        <w:tabs>
          <w:tab w:val="left" w:pos="1418"/>
        </w:tabs>
        <w:snapToGrid w:val="0"/>
        <w:spacing w:line="400" w:lineRule="exact"/>
        <w:rPr>
          <w:rFonts w:ascii="宋体" w:hAnsi="宋体" w:cs="宋体"/>
          <w:color w:val="auto"/>
          <w:spacing w:val="20"/>
          <w:sz w:val="24"/>
          <w:szCs w:val="24"/>
          <w:highlight w:val="none"/>
        </w:rPr>
      </w:pPr>
      <w:r>
        <w:rPr>
          <w:rFonts w:hint="eastAsia" w:ascii="宋体" w:hAnsi="宋体" w:cs="宋体"/>
          <w:color w:val="auto"/>
          <w:sz w:val="24"/>
          <w:szCs w:val="24"/>
          <w:highlight w:val="none"/>
        </w:rPr>
        <w:t>说明：1、若获得中标资格并与采购人签署供货合同，由于报价遗漏而造成在供货、安装、调试、培训等工作中出现费用的增加，均由中标供应商自行承担，采购人将不再支付任何额外费用</w:t>
      </w:r>
      <w:r>
        <w:rPr>
          <w:rFonts w:hint="eastAsia" w:ascii="宋体" w:hAnsi="宋体" w:cs="宋体"/>
          <w:color w:val="auto"/>
          <w:spacing w:val="20"/>
          <w:sz w:val="24"/>
          <w:szCs w:val="24"/>
          <w:highlight w:val="none"/>
        </w:rPr>
        <w:t>。</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3" w:leftChars="-72" w:right="-817" w:rightChars="-389" w:hanging="148" w:hangingChars="6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rPr>
          <w:rFonts w:ascii="宋体" w:hAnsi="宋体" w:cs="宋体"/>
          <w:color w:val="auto"/>
          <w:spacing w:val="20"/>
          <w:sz w:val="24"/>
          <w:szCs w:val="24"/>
          <w:highlight w:val="none"/>
        </w:rPr>
      </w:pP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rPr>
          <w:rFonts w:ascii="宋体" w:hAnsi="宋体" w:cs="宋体"/>
          <w:color w:val="auto"/>
          <w:spacing w:val="20"/>
          <w:sz w:val="24"/>
          <w:szCs w:val="24"/>
          <w:highlight w:val="none"/>
          <w:u w:val="single"/>
        </w:rPr>
      </w:pPr>
    </w:p>
    <w:p>
      <w:pPr>
        <w:adjustRightInd w:val="0"/>
        <w:snapToGrid w:val="0"/>
        <w:spacing w:line="400" w:lineRule="exact"/>
        <w:rPr>
          <w:rFonts w:ascii="宋体" w:hAnsi="宋体" w:cs="宋体"/>
          <w:color w:val="auto"/>
          <w:spacing w:val="20"/>
          <w:sz w:val="24"/>
          <w:szCs w:val="24"/>
          <w:highlight w:val="none"/>
          <w:u w:val="single"/>
        </w:rPr>
      </w:pP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4、投标保证金缴纳凭证复印件</w:t>
      </w:r>
    </w:p>
    <w:p>
      <w:pPr>
        <w:adjustRightInd w:val="0"/>
        <w:snapToGrid w:val="0"/>
        <w:spacing w:before="50" w:after="50" w:line="400" w:lineRule="exact"/>
        <w:rPr>
          <w:rFonts w:ascii="宋体" w:hAnsi="宋体" w:cs="宋体"/>
          <w:b/>
          <w:color w:val="auto"/>
          <w:sz w:val="24"/>
          <w:szCs w:val="24"/>
          <w:highlight w:val="none"/>
        </w:rPr>
      </w:pP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针对报价需要说明的其他文件和资料（如有）</w:t>
      </w:r>
    </w:p>
    <w:p>
      <w:pPr>
        <w:adjustRightInd w:val="0"/>
        <w:snapToGrid w:val="0"/>
        <w:spacing w:line="400" w:lineRule="exact"/>
        <w:rPr>
          <w:rFonts w:hint="eastAsia" w:ascii="宋体" w:hAnsi="宋体" w:cs="宋体"/>
          <w:b/>
          <w:color w:val="auto"/>
          <w:sz w:val="24"/>
          <w:szCs w:val="24"/>
          <w:highlight w:val="none"/>
        </w:rPr>
      </w:pPr>
      <w:r>
        <w:rPr>
          <w:rFonts w:hint="eastAsia" w:ascii="宋体" w:hAnsi="宋体" w:cs="宋体"/>
          <w:b/>
          <w:color w:val="auto"/>
          <w:sz w:val="28"/>
          <w:szCs w:val="28"/>
          <w:highlight w:val="none"/>
        </w:rPr>
        <w:br w:type="page"/>
      </w:r>
      <w:r>
        <w:rPr>
          <w:rFonts w:hint="eastAsia" w:ascii="宋体" w:hAnsi="宋体" w:cs="宋体"/>
          <w:b/>
          <w:color w:val="auto"/>
          <w:sz w:val="24"/>
          <w:szCs w:val="24"/>
          <w:highlight w:val="none"/>
        </w:rPr>
        <w:t>投标文件封面</w:t>
      </w:r>
    </w:p>
    <w:p>
      <w:pPr>
        <w:pStyle w:val="57"/>
        <w:rPr>
          <w:color w:val="auto"/>
          <w:highlight w:val="none"/>
        </w:rPr>
      </w:pP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(项目名称)项目</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28"/>
          <w:szCs w:val="20"/>
          <w:highlight w:val="none"/>
        </w:rPr>
      </w:pPr>
      <w:r>
        <w:rPr>
          <w:rFonts w:hint="eastAsia" w:ascii="宋体" w:hAnsi="宋体" w:cs="宋体"/>
          <w:color w:val="auto"/>
          <w:sz w:val="28"/>
          <w:szCs w:val="20"/>
          <w:highlight w:val="none"/>
        </w:rPr>
        <w:t>标包编号：</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商务技术文件</w:t>
      </w: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投标单位名称：（加盖单位公章）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投标单位地址：</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投标单位法定代表人（负责人、自然人）或法人授权代表姓名：（签字或盖章）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投标单位法定代表人（负责人、自然人）或法人授权代表职务：</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投标单位联系方式：</w:t>
      </w:r>
    </w:p>
    <w:p>
      <w:pPr>
        <w:spacing w:line="360" w:lineRule="auto"/>
        <w:rPr>
          <w:rFonts w:ascii="宋体" w:hAnsi="宋体" w:cs="宋体"/>
          <w:color w:val="auto"/>
          <w:sz w:val="20"/>
          <w:szCs w:val="20"/>
          <w:highlight w:val="none"/>
        </w:rPr>
      </w:pPr>
    </w:p>
    <w:p>
      <w:pPr>
        <w:adjustRightInd w:val="0"/>
        <w:snapToGrid w:val="0"/>
        <w:jc w:val="center"/>
        <w:rPr>
          <w:rFonts w:ascii="宋体" w:hAnsi="宋体" w:cs="宋体"/>
          <w:b/>
          <w:color w:val="auto"/>
          <w:sz w:val="24"/>
          <w:szCs w:val="24"/>
          <w:highlight w:val="none"/>
        </w:rPr>
      </w:pPr>
      <w:r>
        <w:rPr>
          <w:rFonts w:hint="eastAsia" w:ascii="宋体" w:hAnsi="宋体" w:cs="宋体"/>
          <w:color w:val="auto"/>
          <w:sz w:val="28"/>
          <w:szCs w:val="28"/>
          <w:highlight w:val="none"/>
        </w:rPr>
        <w:t>年  月  日</w:t>
      </w:r>
    </w:p>
    <w:p>
      <w:pPr>
        <w:jc w:val="center"/>
        <w:rPr>
          <w:rFonts w:ascii="宋体" w:hAnsi="宋体" w:cs="宋体"/>
          <w:b/>
          <w:color w:val="auto"/>
          <w:sz w:val="44"/>
          <w:szCs w:val="44"/>
          <w:highlight w:val="none"/>
        </w:rPr>
      </w:pPr>
      <w:r>
        <w:rPr>
          <w:rFonts w:hint="eastAsia" w:ascii="宋体" w:hAnsi="宋体" w:cs="宋体"/>
          <w:b/>
          <w:color w:val="auto"/>
          <w:sz w:val="28"/>
          <w:szCs w:val="28"/>
          <w:highlight w:val="none"/>
        </w:rPr>
        <w:br w:type="page"/>
      </w:r>
      <w:r>
        <w:rPr>
          <w:rFonts w:hint="eastAsia" w:ascii="宋体" w:hAnsi="宋体" w:cs="宋体"/>
          <w:b/>
          <w:color w:val="auto"/>
          <w:sz w:val="44"/>
          <w:szCs w:val="44"/>
          <w:highlight w:val="none"/>
        </w:rPr>
        <w:t xml:space="preserve">目 </w:t>
      </w:r>
      <w:r>
        <w:rPr>
          <w:rFonts w:hint="eastAsia" w:ascii="宋体" w:hAnsi="宋体" w:cs="宋体"/>
          <w:b/>
          <w:color w:val="auto"/>
          <w:sz w:val="44"/>
          <w:szCs w:val="44"/>
          <w:highlight w:val="none"/>
        </w:rPr>
        <w:tab/>
      </w:r>
      <w:r>
        <w:rPr>
          <w:rFonts w:hint="eastAsia" w:ascii="宋体" w:hAnsi="宋体" w:cs="宋体"/>
          <w:b/>
          <w:color w:val="auto"/>
          <w:sz w:val="44"/>
          <w:szCs w:val="44"/>
          <w:highlight w:val="none"/>
        </w:rPr>
        <w:t>录</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一、商务部分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投标声明书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法定代表人（负责人、自然人）授权书</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企业法人营业执照（或登记证书、身份证）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情况介绍</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近年财务状况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须具有履行合同所必需的设备和专业技术能力</w:t>
      </w:r>
      <w:r>
        <w:rPr>
          <w:rFonts w:hint="eastAsia" w:ascii="宋体" w:hAnsi="宋体" w:cs="宋体"/>
          <w:color w:val="auto"/>
          <w:sz w:val="24"/>
          <w:szCs w:val="24"/>
          <w:highlight w:val="none"/>
          <w:lang w:eastAsia="zh-CN"/>
        </w:rPr>
        <w:t>证明资料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纳税证明社保证明</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前三年内在经营活动中没有重大违法记录的书面声明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 xml:space="preserve">信用记录 </w:t>
      </w:r>
      <w:r>
        <w:rPr>
          <w:rFonts w:hint="eastAsia" w:ascii="宋体" w:hAnsi="宋体" w:cs="宋体"/>
          <w:color w:val="auto"/>
          <w:sz w:val="24"/>
          <w:highlight w:val="none"/>
        </w:rPr>
        <w:t>………………………………………………………………（页码）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其他认证证书等</w:t>
      </w:r>
      <w:r>
        <w:rPr>
          <w:rFonts w:hint="eastAsia" w:ascii="宋体" w:hAnsi="宋体" w:cs="宋体"/>
          <w:color w:val="auto"/>
          <w:sz w:val="24"/>
          <w:highlight w:val="none"/>
        </w:rPr>
        <w:t>………………………………………………………（页码）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类似成功业绩…………………………………………………………（页码）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政府采购政策扶持证明材料…………………………………………（页码）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其他证明文件或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认为应提交的商务文件……………………（页码）</w:t>
      </w:r>
    </w:p>
    <w:p>
      <w:pPr>
        <w:tabs>
          <w:tab w:val="center" w:pos="4912"/>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二、技术</w:t>
      </w:r>
      <w:r>
        <w:rPr>
          <w:rFonts w:hint="eastAsia" w:ascii="宋体" w:hAnsi="宋体" w:cs="宋体"/>
          <w:color w:val="auto"/>
          <w:sz w:val="24"/>
          <w:szCs w:val="24"/>
          <w:highlight w:val="none"/>
          <w:lang w:val="en-US"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.技术响应偏离表</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产品</w:t>
      </w:r>
      <w:r>
        <w:rPr>
          <w:rFonts w:hint="eastAsia" w:ascii="宋体" w:hAnsi="宋体" w:cs="宋体"/>
          <w:color w:val="auto"/>
          <w:sz w:val="24"/>
          <w:szCs w:val="24"/>
          <w:highlight w:val="none"/>
          <w:lang w:eastAsia="zh-CN"/>
        </w:rPr>
        <w:t>详细技术规格书</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.产品检测报告</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 xml:space="preserve">针对本项目的详细组织实施方案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针对本项目的</w:t>
      </w:r>
      <w:r>
        <w:rPr>
          <w:rFonts w:hint="eastAsia" w:ascii="宋体" w:hAnsi="宋体" w:cs="宋体"/>
          <w:color w:val="auto"/>
          <w:sz w:val="24"/>
          <w:szCs w:val="24"/>
          <w:highlight w:val="none"/>
          <w:lang w:eastAsia="zh-CN"/>
        </w:rPr>
        <w:t>详细技术培训</w:t>
      </w:r>
      <w:r>
        <w:rPr>
          <w:rFonts w:hint="eastAsia" w:ascii="宋体" w:hAnsi="宋体" w:cs="宋体"/>
          <w:color w:val="auto"/>
          <w:sz w:val="24"/>
          <w:szCs w:val="24"/>
          <w:highlight w:val="none"/>
        </w:rPr>
        <w:t xml:space="preserve">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针对本项目的售后服务方案 </w:t>
      </w:r>
      <w:r>
        <w:rPr>
          <w:rFonts w:hint="eastAsia" w:ascii="宋体" w:hAnsi="宋体" w:cs="宋体"/>
          <w:color w:val="auto"/>
          <w:sz w:val="24"/>
          <w:highlight w:val="none"/>
        </w:rPr>
        <w:t>…………………………………………（页码）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其他优惠条件（如有）</w:t>
      </w:r>
      <w:r>
        <w:rPr>
          <w:rFonts w:hint="eastAsia" w:ascii="宋体" w:hAnsi="宋体" w:cs="宋体"/>
          <w:color w:val="auto"/>
          <w:sz w:val="24"/>
          <w:highlight w:val="none"/>
        </w:rPr>
        <w:t>………………………………………………（页码）</w:t>
      </w:r>
    </w:p>
    <w:p>
      <w:pPr>
        <w:adjustRightInd w:val="0"/>
        <w:snapToGrid w:val="0"/>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认为需要提供的其他技术文件或资料（如有）</w:t>
      </w:r>
      <w:r>
        <w:rPr>
          <w:rFonts w:hint="eastAsia" w:ascii="宋体" w:hAnsi="宋体" w:cs="宋体"/>
          <w:color w:val="auto"/>
          <w:sz w:val="24"/>
          <w:highlight w:val="none"/>
        </w:rPr>
        <w:t>……………（页码）</w:t>
      </w:r>
    </w:p>
    <w:p>
      <w:pPr>
        <w:spacing w:line="360" w:lineRule="auto"/>
        <w:ind w:left="719" w:leftChars="228" w:hanging="240" w:hangingChars="100"/>
        <w:rPr>
          <w:rFonts w:ascii="宋体" w:hAnsi="宋体" w:cs="宋体"/>
          <w:color w:val="auto"/>
          <w:sz w:val="24"/>
          <w:szCs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adjustRightInd w:val="0"/>
        <w:snapToGrid w:val="0"/>
        <w:rPr>
          <w:rFonts w:ascii="宋体" w:hAnsi="宋体" w:cs="宋体"/>
          <w:b/>
          <w:color w:val="auto"/>
          <w:sz w:val="28"/>
          <w:szCs w:val="28"/>
          <w:highlight w:val="none"/>
        </w:rPr>
      </w:pPr>
    </w:p>
    <w:tbl>
      <w:tblPr>
        <w:tblStyle w:val="38"/>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00"/>
        <w:gridCol w:w="2783"/>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4" w:type="dxa"/>
            <w:gridSpan w:val="4"/>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评标索引表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000"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2783"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索引页码</w:t>
            </w:r>
          </w:p>
        </w:tc>
        <w:tc>
          <w:tcPr>
            <w:tcW w:w="2584"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000"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783"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2584" w:type="dxa"/>
          </w:tcPr>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color w:val="auto"/>
                <w:sz w:val="24"/>
                <w:szCs w:val="24"/>
                <w:highlight w:val="none"/>
              </w:rPr>
            </w:pPr>
          </w:p>
        </w:tc>
        <w:tc>
          <w:tcPr>
            <w:tcW w:w="2000" w:type="dxa"/>
          </w:tcPr>
          <w:p>
            <w:pPr>
              <w:adjustRightInd w:val="0"/>
              <w:snapToGrid w:val="0"/>
              <w:rPr>
                <w:rFonts w:ascii="宋体" w:hAnsi="宋体" w:cs="宋体"/>
                <w:b/>
                <w:color w:val="auto"/>
                <w:sz w:val="24"/>
                <w:szCs w:val="24"/>
                <w:highlight w:val="none"/>
              </w:rPr>
            </w:pPr>
          </w:p>
        </w:tc>
        <w:tc>
          <w:tcPr>
            <w:tcW w:w="2783" w:type="dxa"/>
          </w:tcPr>
          <w:p>
            <w:pPr>
              <w:adjustRightInd w:val="0"/>
              <w:snapToGrid w:val="0"/>
              <w:rPr>
                <w:rFonts w:ascii="宋体" w:hAnsi="宋体" w:cs="宋体"/>
                <w:b/>
                <w:color w:val="auto"/>
                <w:sz w:val="24"/>
                <w:szCs w:val="24"/>
                <w:highlight w:val="none"/>
              </w:rPr>
            </w:pPr>
          </w:p>
        </w:tc>
        <w:tc>
          <w:tcPr>
            <w:tcW w:w="2584" w:type="dxa"/>
          </w:tcPr>
          <w:p>
            <w:pPr>
              <w:adjustRightInd w:val="0"/>
              <w:snapToGrid w:val="0"/>
              <w:rPr>
                <w:rFonts w:ascii="宋体" w:hAnsi="宋体" w:cs="宋体"/>
                <w:b/>
                <w:color w:val="auto"/>
                <w:sz w:val="24"/>
                <w:szCs w:val="24"/>
                <w:highlight w:val="none"/>
              </w:rPr>
            </w:pP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1、投标声明书格式：</w:t>
      </w:r>
    </w:p>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投标声明书</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名称）系中华人民共和国合法企业（其他组织），经营地址。</w:t>
      </w:r>
    </w:p>
    <w:p>
      <w:pPr>
        <w:adjustRightInd w:val="0"/>
        <w:snapToGrid w:val="0"/>
        <w:spacing w:line="4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名称）的法定代表人（负责人），我方愿意参加贵方组织的项目（项目编号：）</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 xml:space="preserve"> 的投标，为便于贵方公正、择优地确定中标人及其投标产品和服务，我方就本次投标有关事项郑重声明如下：</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投标方已详细审查全部招标文件，同意招标文件的各项要求。</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我方向贵方提交的所有投标文件、资料都是准确的和真实的。</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若中标，我方将按招标文件规定履行合同责任和义务。</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我方郑重承诺：我方所投产品及其任何一部分，免受第三方提出的侵犯其专利权、商标权、著作权或其它知识产权的起诉。我方承担由此可能产生的一切法律责任和费用。</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我方不是采购人的附属机构；在获知本项目采购信息后，与采购人聘请的为此项目提供咨询服务的公司及其附属机构没有任何联系。</w:t>
      </w:r>
    </w:p>
    <w:p>
      <w:pPr>
        <w:numPr>
          <w:ilvl w:val="0"/>
          <w:numId w:val="9"/>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投标书自开标日起有效期为日。以上事项如有虚假或隐瞒，我方愿意承担一切后果，并不再寻求任何旨在减轻或免除法律责任的辩解。</w:t>
      </w: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2、授权委托书格式：</w:t>
      </w:r>
    </w:p>
    <w:p>
      <w:pPr>
        <w:adjustRightInd w:val="0"/>
        <w:snapToGrid w:val="0"/>
        <w:spacing w:line="360" w:lineRule="auto"/>
        <w:jc w:val="center"/>
        <w:rPr>
          <w:rFonts w:ascii="宋体" w:hAnsi="宋体" w:cs="宋体"/>
          <w:color w:val="auto"/>
          <w:sz w:val="24"/>
          <w:szCs w:val="24"/>
          <w:highlight w:val="none"/>
        </w:rPr>
      </w:pP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名称）的法定代表人（负责人、自然人），现授权委托 （姓名）以我方的名义参加</w:t>
      </w:r>
      <w:r>
        <w:rPr>
          <w:rFonts w:hint="eastAsia" w:ascii="宋体" w:hAnsi="宋体" w:cs="宋体"/>
          <w:color w:val="auto"/>
          <w:sz w:val="24"/>
          <w:szCs w:val="24"/>
          <w:highlight w:val="none"/>
          <w:u w:val="single"/>
        </w:rPr>
        <w:t xml:space="preserve">     项目（项目编号：        ）标包编号及内容</w:t>
      </w:r>
      <w:r>
        <w:rPr>
          <w:rFonts w:hint="eastAsia" w:ascii="宋体" w:hAnsi="宋体" w:cs="宋体"/>
          <w:color w:val="auto"/>
          <w:sz w:val="24"/>
          <w:szCs w:val="24"/>
          <w:highlight w:val="none"/>
        </w:rPr>
        <w:t>的投标活动，并代表我方全权办理针对上述项目的投标、开标、评标、签约等具体事务和签署相关文件。</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我方对被授权人的签名事项负全部责任。</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u w:val="single"/>
        </w:rPr>
        <w:t>在撤销授权的书面通知以前，本授权书一直有效。</w:t>
      </w:r>
      <w:r>
        <w:rPr>
          <w:rFonts w:hint="eastAsia" w:ascii="宋体" w:hAnsi="宋体" w:cs="宋体"/>
          <w:color w:val="auto"/>
          <w:sz w:val="24"/>
          <w:szCs w:val="24"/>
          <w:highlight w:val="none"/>
        </w:rPr>
        <w:t>被授权人在授权书有效期内签署的所有文件不因授权的撤销而失效。</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被授权人无转委托权，特此委托。</w:t>
      </w:r>
    </w:p>
    <w:p>
      <w:pPr>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授权代表签名：                      授权人签名：</w:t>
      </w:r>
    </w:p>
    <w:p>
      <w:pPr>
        <w:adjustRightInd w:val="0"/>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职务：                      职务：</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授权代表身份证号码：</w:t>
      </w:r>
    </w:p>
    <w:p>
      <w:pPr>
        <w:adjustRightInd w:val="0"/>
        <w:snapToGrid w:val="0"/>
        <w:spacing w:line="360" w:lineRule="auto"/>
        <w:rPr>
          <w:rFonts w:ascii="宋体" w:hAnsi="宋体" w:cs="宋体"/>
          <w:color w:val="auto"/>
          <w:sz w:val="24"/>
          <w:szCs w:val="24"/>
          <w:highlight w:val="none"/>
        </w:rPr>
      </w:pPr>
    </w:p>
    <w:tbl>
      <w:tblPr>
        <w:tblStyle w:val="38"/>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授权人身份证正面</w:t>
            </w:r>
          </w:p>
        </w:tc>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授权人身份证反面</w:t>
            </w:r>
          </w:p>
        </w:tc>
        <w:tc>
          <w:tcPr>
            <w:tcW w:w="4310" w:type="dxa"/>
            <w:vAlign w:val="center"/>
          </w:tcPr>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被授权人身份证反面</w:t>
            </w:r>
          </w:p>
        </w:tc>
      </w:tr>
    </w:tbl>
    <w:p>
      <w:pPr>
        <w:adjustRightInd w:val="0"/>
        <w:snapToGrid w:val="0"/>
        <w:spacing w:line="360" w:lineRule="auto"/>
        <w:ind w:right="480"/>
        <w:jc w:val="center"/>
        <w:rPr>
          <w:rFonts w:ascii="宋体" w:hAnsi="宋体" w:cs="宋体"/>
          <w:color w:val="auto"/>
          <w:sz w:val="24"/>
          <w:szCs w:val="24"/>
          <w:highlight w:val="none"/>
        </w:rPr>
      </w:pPr>
    </w:p>
    <w:p>
      <w:pPr>
        <w:adjustRightInd w:val="0"/>
        <w:snapToGrid w:val="0"/>
        <w:spacing w:line="360" w:lineRule="auto"/>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360" w:lineRule="auto"/>
        <w:ind w:right="36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360" w:lineRule="auto"/>
        <w:rPr>
          <w:rFonts w:ascii="宋体" w:hAnsi="宋体" w:cs="宋体"/>
          <w:b/>
          <w:color w:val="auto"/>
          <w:sz w:val="24"/>
          <w:szCs w:val="24"/>
          <w:highlight w:val="none"/>
        </w:rPr>
      </w:pP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3、有效的营业执照（事业单位法人证书、民办非企业单位登记证书、社会团体法人登记证书、基金会法人登记证书、自然人身份证）副本复印件、税务登记证副本（如有）复印件</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情况介绍格式：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情况</w:t>
      </w:r>
    </w:p>
    <w:p>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 xml:space="preserve">名称:                                                   </w:t>
      </w:r>
    </w:p>
    <w:tbl>
      <w:tblPr>
        <w:tblStyle w:val="38"/>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994" w:type="dxa"/>
            <w:gridSpan w:val="6"/>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76" w:type="dxa"/>
            <w:gridSpan w:val="3"/>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14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23"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1453"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10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23"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1453"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854"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765"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企业负责人</w:t>
            </w:r>
          </w:p>
        </w:tc>
        <w:tc>
          <w:tcPr>
            <w:tcW w:w="10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854"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765"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53"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854"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765"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2522"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pPr>
              <w:pStyle w:val="186"/>
              <w:spacing w:line="4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资信等级</w:t>
            </w:r>
          </w:p>
        </w:tc>
        <w:tc>
          <w:tcPr>
            <w:tcW w:w="6994" w:type="dxa"/>
            <w:gridSpan w:val="6"/>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环境管理体系认证</w:t>
            </w:r>
          </w:p>
        </w:tc>
        <w:tc>
          <w:tcPr>
            <w:tcW w:w="2522"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职业安全健康管理体系认证</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522"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307" w:type="dxa"/>
            <w:gridSpan w:val="2"/>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固定资产净值</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流动资产</w:t>
            </w:r>
          </w:p>
        </w:tc>
        <w:tc>
          <w:tcPr>
            <w:tcW w:w="2522"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307"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22"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tc>
        <w:tc>
          <w:tcPr>
            <w:tcW w:w="2165" w:type="dxa"/>
            <w:gridSpan w:val="2"/>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994" w:type="dxa"/>
            <w:gridSpan w:val="6"/>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资质范围</w:t>
            </w:r>
          </w:p>
        </w:tc>
        <w:tc>
          <w:tcPr>
            <w:tcW w:w="6994" w:type="dxa"/>
            <w:gridSpan w:val="6"/>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994" w:type="dxa"/>
            <w:gridSpan w:val="6"/>
            <w:vAlign w:val="center"/>
          </w:tcPr>
          <w:p>
            <w:pPr>
              <w:pStyle w:val="186"/>
              <w:numPr>
                <w:ilvl w:val="0"/>
                <w:numId w:val="10"/>
              </w:numPr>
              <w:spacing w:line="400" w:lineRule="exact"/>
              <w:ind w:firstLineChars="0"/>
              <w:rPr>
                <w:rFonts w:hint="eastAsia" w:ascii="宋体" w:hAnsi="宋体" w:eastAsia="宋体" w:cs="宋体"/>
                <w:color w:val="auto"/>
                <w:sz w:val="24"/>
                <w:szCs w:val="24"/>
                <w:highlight w:val="none"/>
              </w:rPr>
            </w:pPr>
          </w:p>
        </w:tc>
      </w:tr>
    </w:tbl>
    <w:p>
      <w:pPr>
        <w:autoSpaceDE w:val="0"/>
        <w:autoSpaceDN w:val="0"/>
        <w:adjustRightInd w:val="0"/>
        <w:snapToGrid w:val="0"/>
        <w:spacing w:line="400" w:lineRule="exact"/>
        <w:ind w:firstLine="472" w:firstLineChars="196"/>
        <w:rPr>
          <w:rFonts w:ascii="宋体" w:hAnsi="宋体" w:cs="宋体"/>
          <w:b/>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5、财务状况报告</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应提供本单位</w:t>
      </w:r>
      <w:r>
        <w:rPr>
          <w:rFonts w:hint="eastAsia" w:ascii="宋体" w:hAnsi="宋体" w:cs="宋体"/>
          <w:color w:val="auto"/>
          <w:sz w:val="24"/>
          <w:szCs w:val="24"/>
          <w:highlight w:val="none"/>
          <w:lang w:val="en-US" w:eastAsia="zh-CN"/>
        </w:rPr>
        <w:t>2022或2023</w:t>
      </w:r>
      <w:r>
        <w:rPr>
          <w:rFonts w:hint="eastAsia" w:ascii="宋体" w:hAnsi="宋体" w:eastAsia="宋体" w:cs="宋体"/>
          <w:color w:val="auto"/>
          <w:sz w:val="24"/>
          <w:szCs w:val="24"/>
          <w:highlight w:val="none"/>
        </w:rPr>
        <w:t>年度</w:t>
      </w:r>
      <w:r>
        <w:rPr>
          <w:rFonts w:hint="eastAsia" w:ascii="宋体" w:hAnsi="宋体" w:cs="宋体"/>
          <w:color w:val="auto"/>
          <w:sz w:val="24"/>
          <w:szCs w:val="24"/>
          <w:highlight w:val="none"/>
        </w:rPr>
        <w:t>经会计师事务所出具的审计报告复印件（报告中须包括资产负债表、利润表、现金流量表及财务报表附注）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如供应商注册不满1年提供具有良好的商业信誉和健全的财务会计制度承诺函</w:t>
      </w:r>
      <w:r>
        <w:rPr>
          <w:rFonts w:hint="eastAsia" w:ascii="宋体" w:hAnsi="宋体" w:cs="宋体"/>
          <w:color w:val="auto"/>
          <w:sz w:val="24"/>
          <w:szCs w:val="24"/>
          <w:highlight w:val="none"/>
          <w:lang w:val="en-US" w:eastAsia="zh-CN"/>
        </w:rPr>
        <w:t>。</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须具有履行合同所必需的设备和专业技术能力，须附相关证明材料或声明：</w:t>
      </w:r>
    </w:p>
    <w:p>
      <w:pPr>
        <w:pStyle w:val="199"/>
        <w:autoSpaceDE w:val="0"/>
        <w:autoSpaceDN w:val="0"/>
        <w:adjustRightInd w:val="0"/>
        <w:snapToGrid w:val="0"/>
        <w:spacing w:line="400" w:lineRule="exact"/>
        <w:ind w:firstLine="120" w:firstLineChars="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pPr>
        <w:pStyle w:val="199"/>
        <w:autoSpaceDE w:val="0"/>
        <w:autoSpaceDN w:val="0"/>
        <w:adjustRightInd w:val="0"/>
        <w:snapToGrid w:val="0"/>
        <w:spacing w:line="400" w:lineRule="exact"/>
        <w:ind w:firstLine="115" w:firstLineChars="50"/>
        <w:jc w:val="center"/>
        <w:rPr>
          <w:rFonts w:ascii="宋体" w:hAnsi="宋体" w:cs="宋体"/>
          <w:color w:val="auto"/>
          <w:kern w:val="0"/>
          <w:sz w:val="23"/>
          <w:szCs w:val="23"/>
          <w:highlight w:val="none"/>
        </w:rPr>
      </w:pPr>
      <w:r>
        <w:rPr>
          <w:rFonts w:hint="eastAsia" w:ascii="宋体" w:hAnsi="宋体" w:cs="宋体"/>
          <w:color w:val="auto"/>
          <w:kern w:val="0"/>
          <w:sz w:val="23"/>
          <w:szCs w:val="23"/>
          <w:highlight w:val="none"/>
        </w:rPr>
        <w:t>本</w:t>
      </w:r>
      <w:r>
        <w:rPr>
          <w:rFonts w:hint="eastAsia" w:ascii="宋体" w:hAnsi="宋体" w:cs="宋体"/>
          <w:color w:val="auto"/>
          <w:kern w:val="0"/>
          <w:sz w:val="23"/>
          <w:szCs w:val="23"/>
          <w:highlight w:val="none"/>
          <w:lang w:eastAsia="zh-CN"/>
        </w:rPr>
        <w:t>供应商</w:t>
      </w:r>
      <w:r>
        <w:rPr>
          <w:rFonts w:hint="eastAsia" w:ascii="宋体" w:hAnsi="宋体" w:cs="宋体"/>
          <w:color w:val="auto"/>
          <w:kern w:val="0"/>
          <w:sz w:val="23"/>
          <w:szCs w:val="23"/>
          <w:highlight w:val="none"/>
        </w:rPr>
        <w:t>郑重声明：</w:t>
      </w:r>
    </w:p>
    <w:p>
      <w:pPr>
        <w:pStyle w:val="199"/>
        <w:autoSpaceDE w:val="0"/>
        <w:autoSpaceDN w:val="0"/>
        <w:adjustRightInd w:val="0"/>
        <w:snapToGrid w:val="0"/>
        <w:spacing w:line="400" w:lineRule="exact"/>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pPr>
        <w:pStyle w:val="199"/>
        <w:autoSpaceDE w:val="0"/>
        <w:autoSpaceDN w:val="0"/>
        <w:adjustRightInd w:val="0"/>
        <w:snapToGrid w:val="0"/>
        <w:spacing w:line="400" w:lineRule="exact"/>
        <w:ind w:firstLine="120" w:firstLineChars="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被授权人签字： </w:t>
      </w:r>
    </w:p>
    <w:p>
      <w:pPr>
        <w:pStyle w:val="199"/>
        <w:autoSpaceDE w:val="0"/>
        <w:autoSpaceDN w:val="0"/>
        <w:adjustRightInd w:val="0"/>
        <w:snapToGrid w:val="0"/>
        <w:spacing w:line="400" w:lineRule="exact"/>
        <w:ind w:firstLine="120" w:firstLineChars="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名称（加盖公章）：</w:t>
      </w:r>
    </w:p>
    <w:p>
      <w:pPr>
        <w:pStyle w:val="199"/>
        <w:autoSpaceDE w:val="0"/>
        <w:autoSpaceDN w:val="0"/>
        <w:adjustRightInd w:val="0"/>
        <w:snapToGrid w:val="0"/>
        <w:spacing w:line="400" w:lineRule="exact"/>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、依法缴纳税收和社会保障资金的良好记录</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缴纳税收的证明材料，指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缴纳增值税和企业所得税两种缴纳凭据；本项目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依法缴纳社会保障资金的证明材料：本项目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 6个月内（至少提供1个月）缴纳社会保险的凭据（专用收据或社会保险交纳清单）；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为其他组织或自然人的，也需要按此项规定提供缴纳税收的凭据和交纳社会保险的凭据。如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代缴其社会保险）。</w:t>
      </w:r>
    </w:p>
    <w:p>
      <w:pPr>
        <w:pStyle w:val="2"/>
        <w:rPr>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、前三年内在经营活动中没有重大违法记录的书面声明：</w:t>
      </w:r>
    </w:p>
    <w:p>
      <w:pPr>
        <w:pStyle w:val="199"/>
        <w:adjustRightInd w:val="0"/>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格式：</w:t>
      </w:r>
    </w:p>
    <w:p>
      <w:pPr>
        <w:pStyle w:val="199"/>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pPr>
        <w:pStyle w:val="199"/>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项目名称、编号）投标，并郑重声明，我方参加本项目政府采购活动前三年内无重大违法记录，符合《中华人民共和国政府采购法》规定的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条件。若贵方在本项目采购过程中发现我方政府采购活动前三年内有重大违法记录，我方将无条件退出本项目的投标，并承担因此引起的一切后果。我方对此声明负全部法律责任。</w:t>
      </w:r>
    </w:p>
    <w:p>
      <w:pPr>
        <w:pStyle w:val="199"/>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pPr>
        <w:pStyle w:val="199"/>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pStyle w:val="199"/>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法定代表人（负责人、自然人）或其委托代理人签字：</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9、拒绝列入失信被执行人、重大税收违法失信主体、政府采购严重违法失信行为记录名单及及其他不符合规定条件的供应商；供应商未被列入“信用中国”网站(www.creditchina.gov.cn)“记录失信被执行人或重大税收违法失信主体或政府采购严重违法失信行为”记录名单；未处于中国政府采购网(www.ccgp.gov.cn)“政府采购严重违法失信行为信息记录”中的禁止参加政府采购活动期间（以采购代理机构于开标当天在“信用中国”网站（www.creditchina.gov.cn） 及中国政府采购网(www.ccgp.gov.cn)查询结果为准，如相关失信记录已失效，供应商需提供相关证明资料）。</w:t>
      </w:r>
    </w:p>
    <w:p>
      <w:pPr>
        <w:adjustRightInd w:val="0"/>
        <w:snapToGrid w:val="0"/>
        <w:spacing w:line="400" w:lineRule="exact"/>
        <w:jc w:val="left"/>
        <w:rPr>
          <w:rFonts w:hint="eastAsia"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已取得的各种有效认证证书、政府部门（企业）或第三方权威鉴定机构出具的信用等级证书或证明复印件 (如有)。</w:t>
      </w:r>
    </w:p>
    <w:p>
      <w:pPr>
        <w:adjustRightInd w:val="0"/>
        <w:snapToGrid w:val="0"/>
        <w:spacing w:line="400" w:lineRule="exact"/>
        <w:jc w:val="left"/>
        <w:rPr>
          <w:rFonts w:ascii="宋体" w:hAnsi="宋体" w:cs="宋体"/>
          <w:b/>
          <w:color w:val="auto"/>
          <w:sz w:val="24"/>
          <w:szCs w:val="24"/>
          <w:highlight w:val="none"/>
        </w:rPr>
      </w:pPr>
    </w:p>
    <w:p>
      <w:pPr>
        <w:widowControl/>
        <w:snapToGrid w:val="0"/>
        <w:spacing w:line="400" w:lineRule="exact"/>
        <w:jc w:val="left"/>
        <w:rPr>
          <w:rFonts w:ascii="宋体" w:hAnsi="宋体" w:cs="宋体"/>
          <w:b/>
          <w:bCs/>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rPr>
        <w:t>、20</w:t>
      </w:r>
      <w:r>
        <w:rPr>
          <w:rFonts w:hint="eastAsia" w:ascii="宋体" w:hAnsi="宋体" w:cs="宋体"/>
          <w:b/>
          <w:color w:val="auto"/>
          <w:sz w:val="24"/>
          <w:szCs w:val="24"/>
          <w:highlight w:val="none"/>
          <w:lang w:val="en-US" w:eastAsia="zh-CN"/>
        </w:rPr>
        <w:t>21</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01</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0</w:t>
      </w:r>
      <w:r>
        <w:rPr>
          <w:rFonts w:hint="eastAsia" w:ascii="宋体" w:hAnsi="宋体" w:cs="宋体"/>
          <w:b/>
          <w:color w:val="auto"/>
          <w:sz w:val="24"/>
          <w:szCs w:val="24"/>
          <w:highlight w:val="none"/>
        </w:rPr>
        <w:t>1日以来</w:t>
      </w:r>
      <w:r>
        <w:rPr>
          <w:rFonts w:hint="eastAsia" w:ascii="宋体" w:hAnsi="宋体" w:cs="宋体"/>
          <w:b/>
          <w:color w:val="auto"/>
          <w:sz w:val="24"/>
          <w:szCs w:val="24"/>
          <w:highlight w:val="none"/>
          <w:lang w:val="en-US" w:eastAsia="zh-CN"/>
        </w:rPr>
        <w:t>同类</w:t>
      </w:r>
      <w:r>
        <w:rPr>
          <w:rFonts w:hint="eastAsia" w:ascii="宋体" w:hAnsi="宋体" w:cs="宋体"/>
          <w:b/>
          <w:color w:val="auto"/>
          <w:sz w:val="24"/>
          <w:szCs w:val="24"/>
          <w:highlight w:val="none"/>
        </w:rPr>
        <w:t>成功业绩</w:t>
      </w:r>
    </w:p>
    <w:p>
      <w:pPr>
        <w:adjustRightInd w:val="0"/>
        <w:snapToGrid w:val="0"/>
        <w:spacing w:line="400" w:lineRule="exact"/>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以签订合同时间为准，需提供</w:t>
      </w:r>
      <w:r>
        <w:rPr>
          <w:rFonts w:hint="eastAsia" w:ascii="宋体" w:hAnsi="宋体" w:cs="宋体"/>
          <w:color w:val="auto"/>
          <w:sz w:val="24"/>
          <w:szCs w:val="24"/>
          <w:highlight w:val="none"/>
          <w:lang w:eastAsia="zh-CN"/>
        </w:rPr>
        <w:t>中标（成交）通知书、</w:t>
      </w:r>
      <w:r>
        <w:rPr>
          <w:rFonts w:hint="eastAsia" w:ascii="宋体" w:hAnsi="宋体" w:cs="宋体"/>
          <w:color w:val="auto"/>
          <w:sz w:val="24"/>
          <w:szCs w:val="24"/>
          <w:highlight w:val="none"/>
        </w:rPr>
        <w:t>与最终用户合同复印件，复印件并加盖公章，如出现与事实不符等情况，将根据有关规定以“提供虚假材料谋取中标”予以处罚。</w:t>
      </w: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pStyle w:val="2"/>
        <w:rPr>
          <w:rFonts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、政府采购政策扶持证明材料</w:t>
      </w:r>
    </w:p>
    <w:p>
      <w:pPr>
        <w:widowControl/>
        <w:snapToGrid w:val="0"/>
        <w:spacing w:before="240" w:after="240" w:line="40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中小企业声明函（货物）</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本公司（联合体）郑重声明，根据关于《政府采购促进中小企业发展管理办法》的通知（财库〔2020〕46号）的规定，本公司（联合体）参加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677" w:firstLineChars="1949"/>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pPr>
        <w:pStyle w:val="23"/>
        <w:snapToGrid w:val="0"/>
        <w:spacing w:before="156" w:after="156"/>
        <w:ind w:firstLine="4305" w:firstLineChars="2050"/>
        <w:rPr>
          <w:rFonts w:hAnsi="宋体" w:cs="宋体"/>
          <w:color w:val="auto"/>
          <w:highlight w:val="none"/>
        </w:rPr>
      </w:pPr>
      <w:r>
        <w:rPr>
          <w:rFonts w:hint="eastAsia" w:hAnsi="宋体" w:cs="宋体"/>
          <w:color w:val="auto"/>
          <w:kern w:val="0"/>
          <w:highlight w:val="none"/>
        </w:rPr>
        <w:t>日期：</w:t>
      </w:r>
    </w:p>
    <w:p>
      <w:pPr>
        <w:snapToGrid w:val="0"/>
        <w:spacing w:line="400" w:lineRule="exact"/>
        <w:ind w:firstLine="480" w:firstLineChars="200"/>
        <w:rPr>
          <w:rFonts w:hint="eastAsia" w:ascii="宋体" w:hAnsi="宋体" w:cs="宋体"/>
          <w:color w:val="auto"/>
          <w:sz w:val="24"/>
          <w:highlight w:val="none"/>
        </w:rPr>
      </w:pPr>
    </w:p>
    <w:p>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pPr>
        <w:tabs>
          <w:tab w:val="left" w:pos="3777"/>
          <w:tab w:val="center" w:pos="4819"/>
        </w:tabs>
        <w:snapToGrid w:val="0"/>
        <w:spacing w:line="400" w:lineRule="exact"/>
        <w:ind w:firstLine="3337"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37"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37"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37" w:firstLineChars="1385"/>
        <w:rPr>
          <w:rFonts w:ascii="宋体" w:hAnsi="宋体" w:cs="宋体"/>
          <w:b/>
          <w:color w:val="auto"/>
          <w:sz w:val="24"/>
          <w:szCs w:val="24"/>
          <w:highlight w:val="none"/>
        </w:rPr>
      </w:pPr>
    </w:p>
    <w:p>
      <w:pPr>
        <w:tabs>
          <w:tab w:val="left" w:pos="3777"/>
          <w:tab w:val="center" w:pos="4819"/>
        </w:tabs>
        <w:snapToGrid w:val="0"/>
        <w:spacing w:line="400" w:lineRule="exact"/>
        <w:ind w:firstLine="3337" w:firstLineChars="1385"/>
        <w:rPr>
          <w:rFonts w:ascii="宋体" w:hAnsi="宋体" w:cs="宋体"/>
          <w:b/>
          <w:color w:val="auto"/>
          <w:sz w:val="24"/>
          <w:szCs w:val="24"/>
          <w:highlight w:val="none"/>
        </w:rPr>
      </w:pPr>
    </w:p>
    <w:p>
      <w:pPr>
        <w:rPr>
          <w:rFonts w:ascii="宋体" w:hAnsi="宋体" w:cs="宋体"/>
          <w:b/>
          <w:color w:val="auto"/>
          <w:sz w:val="24"/>
          <w:szCs w:val="24"/>
          <w:highlight w:val="none"/>
        </w:rPr>
      </w:pPr>
    </w:p>
    <w:p>
      <w:pPr>
        <w:tabs>
          <w:tab w:val="left" w:pos="3777"/>
          <w:tab w:val="center" w:pos="4819"/>
        </w:tabs>
        <w:snapToGrid w:val="0"/>
        <w:spacing w:line="400" w:lineRule="exact"/>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监狱企业</w:t>
      </w:r>
      <w:r>
        <w:rPr>
          <w:rFonts w:hint="eastAsia" w:ascii="宋体" w:hAnsi="宋体" w:eastAsia="宋体" w:cs="宋体"/>
          <w:b/>
          <w:color w:val="auto"/>
          <w:sz w:val="24"/>
          <w:szCs w:val="24"/>
          <w:highlight w:val="none"/>
          <w:lang w:eastAsia="zh-CN"/>
        </w:rPr>
        <w:t>的证明文件</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（监狱企业适用）</w:t>
      </w: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pStyle w:val="23"/>
        <w:snapToGrid w:val="0"/>
        <w:spacing w:before="156" w:after="156"/>
        <w:ind w:firstLine="482" w:firstLineChars="200"/>
        <w:jc w:val="left"/>
        <w:rPr>
          <w:rFonts w:hAnsi="宋体" w:cs="宋体"/>
          <w:b/>
          <w:color w:val="auto"/>
          <w:sz w:val="24"/>
          <w:szCs w:val="24"/>
          <w:highlight w:val="none"/>
          <w:lang w:val="zh-CN"/>
        </w:rPr>
      </w:pPr>
      <w:r>
        <w:rPr>
          <w:rFonts w:hint="eastAsia" w:hAnsi="宋体" w:cs="宋体"/>
          <w:b/>
          <w:color w:val="auto"/>
          <w:sz w:val="24"/>
          <w:szCs w:val="24"/>
          <w:highlight w:val="none"/>
          <w:lang w:val="zh-CN"/>
        </w:rPr>
        <w:t>注：应当提供由省级以上监狱管理局、戒毒管理局（含新疆生产建设兵团）出具的属于监狱企业的证明文件。</w:t>
      </w:r>
    </w:p>
    <w:p>
      <w:pPr>
        <w:pStyle w:val="23"/>
        <w:snapToGrid w:val="0"/>
        <w:spacing w:before="156" w:after="156"/>
        <w:ind w:firstLine="422" w:firstLineChars="200"/>
        <w:jc w:val="center"/>
        <w:rPr>
          <w:rFonts w:hAnsi="宋体" w:cs="宋体"/>
          <w:b/>
          <w:color w:val="auto"/>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center"/>
        <w:rPr>
          <w:rFonts w:hAnsi="宋体" w:cs="宋体"/>
          <w:b/>
          <w:color w:val="auto"/>
          <w:sz w:val="28"/>
          <w:szCs w:val="28"/>
          <w:highlight w:val="none"/>
          <w:lang w:val="zh-CN"/>
        </w:rPr>
      </w:pPr>
    </w:p>
    <w:p>
      <w:pPr>
        <w:pStyle w:val="23"/>
        <w:snapToGrid w:val="0"/>
        <w:spacing w:before="156" w:after="156"/>
        <w:ind w:firstLine="562" w:firstLineChars="200"/>
        <w:jc w:val="left"/>
        <w:rPr>
          <w:rFonts w:hAnsi="宋体" w:cs="宋体"/>
          <w:b/>
          <w:color w:val="auto"/>
          <w:sz w:val="28"/>
          <w:szCs w:val="28"/>
          <w:highlight w:val="none"/>
          <w:lang w:val="zh-CN"/>
        </w:rPr>
      </w:pPr>
    </w:p>
    <w:p>
      <w:pPr>
        <w:widowControl/>
        <w:snapToGrid w:val="0"/>
        <w:spacing w:line="400" w:lineRule="exact"/>
        <w:jc w:val="center"/>
        <w:rPr>
          <w:rFonts w:ascii="宋体" w:hAnsi="宋体" w:cs="宋体"/>
          <w:b/>
          <w:color w:val="auto"/>
          <w:spacing w:val="6"/>
          <w:sz w:val="32"/>
          <w:szCs w:val="32"/>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残疾人</w:t>
      </w:r>
      <w:bookmarkStart w:id="113" w:name="OLE_LINK14"/>
      <w:bookmarkStart w:id="114" w:name="OLE_LINK13"/>
      <w:r>
        <w:rPr>
          <w:rFonts w:hint="eastAsia" w:ascii="宋体" w:hAnsi="宋体" w:cs="宋体"/>
          <w:b/>
          <w:color w:val="auto"/>
          <w:sz w:val="24"/>
          <w:szCs w:val="24"/>
          <w:highlight w:val="none"/>
        </w:rPr>
        <w:t>福利性单位声明函</w:t>
      </w:r>
    </w:p>
    <w:p>
      <w:pPr>
        <w:snapToGrid w:val="0"/>
        <w:spacing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r>
        <w:rPr>
          <w:rFonts w:hint="eastAsia" w:ascii="宋体" w:hAnsi="宋体" w:cs="宋体"/>
          <w:color w:val="auto"/>
          <w:sz w:val="24"/>
          <w:highlight w:val="none"/>
        </w:rPr>
        <w:t>残疾人福</w:t>
      </w:r>
      <w:bookmarkEnd w:id="113"/>
      <w:bookmarkEnd w:id="114"/>
      <w:r>
        <w:rPr>
          <w:rFonts w:hint="eastAsia" w:ascii="宋体" w:hAnsi="宋体" w:cs="宋体"/>
          <w:color w:val="auto"/>
          <w:sz w:val="24"/>
          <w:highlight w:val="none"/>
        </w:rPr>
        <w:t>利性单位适用</w:t>
      </w:r>
      <w:r>
        <w:rPr>
          <w:rFonts w:hint="eastAsia" w:ascii="宋体" w:hAnsi="宋体" w:cs="宋体"/>
          <w:color w:val="auto"/>
          <w:spacing w:val="6"/>
          <w:sz w:val="24"/>
          <w:szCs w:val="24"/>
          <w:highlight w:val="none"/>
        </w:rPr>
        <w:t>）</w:t>
      </w:r>
    </w:p>
    <w:p>
      <w:pPr>
        <w:snapToGrid w:val="0"/>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3"/>
        <w:snapToGrid w:val="0"/>
        <w:spacing w:before="156" w:after="156"/>
        <w:ind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p>
      <w:pPr>
        <w:pStyle w:val="23"/>
        <w:snapToGrid w:val="0"/>
        <w:spacing w:before="156" w:after="156"/>
        <w:ind w:firstLine="444" w:firstLineChars="200"/>
        <w:jc w:val="center"/>
        <w:rPr>
          <w:rFonts w:hAnsi="宋体" w:cs="宋体"/>
          <w:color w:val="auto"/>
          <w:spacing w:val="6"/>
          <w:highlight w:val="none"/>
        </w:rPr>
      </w:pPr>
    </w:p>
    <w:p>
      <w:pPr>
        <w:pStyle w:val="23"/>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供应商名称(公章)：____________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pPr>
        <w:pStyle w:val="23"/>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日期：________________________</w:t>
      </w:r>
    </w:p>
    <w:p>
      <w:pPr>
        <w:pStyle w:val="23"/>
        <w:snapToGrid w:val="0"/>
        <w:spacing w:before="156" w:after="156"/>
        <w:jc w:val="center"/>
        <w:rPr>
          <w:rFonts w:hint="eastAsia" w:hAnsi="宋体" w:cs="宋体"/>
          <w:b/>
          <w:color w:val="auto"/>
          <w:highlight w:val="none"/>
        </w:rPr>
      </w:pPr>
      <w:r>
        <w:rPr>
          <w:rFonts w:hint="eastAsia" w:hAnsi="宋体" w:cs="宋体"/>
          <w:color w:val="auto"/>
          <w:highlight w:val="none"/>
        </w:rPr>
        <w:br w:type="page"/>
      </w:r>
      <w:r>
        <w:rPr>
          <w:rFonts w:hint="eastAsia" w:ascii="宋体" w:hAnsi="宋体" w:eastAsia="宋体" w:cs="宋体"/>
          <w:b/>
          <w:color w:val="auto"/>
          <w:kern w:val="2"/>
          <w:sz w:val="24"/>
          <w:szCs w:val="24"/>
          <w:highlight w:val="none"/>
          <w:lang w:val="en-US" w:eastAsia="zh-CN" w:bidi="ar-SA"/>
        </w:rPr>
        <w:t>节能、环境标志产品证明文件</w:t>
      </w:r>
    </w:p>
    <w:p>
      <w:pPr>
        <w:pStyle w:val="201"/>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3）节能产品明细表</w:t>
      </w:r>
    </w:p>
    <w:p>
      <w:pPr>
        <w:pStyle w:val="200"/>
        <w:snapToGrid w:val="0"/>
        <w:spacing w:line="400" w:lineRule="exact"/>
        <w:ind w:left="0" w:leftChars="0" w:firstLine="0" w:firstLine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lang w:eastAsia="zh-CN"/>
        </w:rPr>
        <w:t>（如有）</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价格单位：元</w:t>
      </w:r>
    </w:p>
    <w:tbl>
      <w:tblPr>
        <w:tblStyle w:val="38"/>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071"/>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24" w:type="dxa"/>
            <w:tcBorders>
              <w:top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337" w:type="dxa"/>
            <w:tcBorders>
              <w:top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1483" w:type="dxa"/>
            <w:tcBorders>
              <w:top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产品型号</w:t>
            </w:r>
          </w:p>
        </w:tc>
        <w:tc>
          <w:tcPr>
            <w:tcW w:w="1791" w:type="dxa"/>
            <w:tcBorders>
              <w:top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节能标志认证证书号</w:t>
            </w:r>
          </w:p>
        </w:tc>
        <w:tc>
          <w:tcPr>
            <w:tcW w:w="2071" w:type="dxa"/>
            <w:tcBorders>
              <w:top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节能产品认证证书有效截止日期</w:t>
            </w:r>
          </w:p>
        </w:tc>
        <w:tc>
          <w:tcPr>
            <w:tcW w:w="1069" w:type="dxa"/>
            <w:tcBorders>
              <w:top w:val="single" w:color="auto" w:sz="12" w:space="0"/>
              <w:right w:val="single" w:color="auto" w:sz="12" w:space="0"/>
            </w:tcBorders>
            <w:noWrap w:val="0"/>
            <w:vAlign w:val="center"/>
          </w:tcPr>
          <w:p>
            <w:pPr>
              <w:pStyle w:val="201"/>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center"/>
          </w:tcPr>
          <w:p>
            <w:pPr>
              <w:pStyle w:val="201"/>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24"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337"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483"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79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207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069" w:type="dxa"/>
            <w:tcBorders>
              <w:right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center"/>
          </w:tcPr>
          <w:p>
            <w:pPr>
              <w:pStyle w:val="201"/>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524"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337"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483"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79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207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069" w:type="dxa"/>
            <w:tcBorders>
              <w:right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center"/>
          </w:tcPr>
          <w:p>
            <w:pPr>
              <w:pStyle w:val="201"/>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524" w:type="dxa"/>
            <w:noWrap w:val="0"/>
            <w:vAlign w:val="center"/>
          </w:tcPr>
          <w:p>
            <w:pPr>
              <w:pStyle w:val="201"/>
              <w:snapToGrid w:val="0"/>
              <w:spacing w:line="400" w:lineRule="exact"/>
              <w:ind w:right="480" w:firstLine="600" w:firstLineChars="25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37"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483"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79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2071" w:type="dxa"/>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069" w:type="dxa"/>
            <w:tcBorders>
              <w:right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center"/>
          </w:tcPr>
          <w:p>
            <w:pPr>
              <w:pStyle w:val="201"/>
              <w:snapToGrid w:val="0"/>
              <w:spacing w:line="400" w:lineRule="exact"/>
              <w:ind w:right="48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524" w:type="dxa"/>
            <w:tcBorders>
              <w:bottom w:val="single" w:color="auto" w:sz="12" w:space="0"/>
            </w:tcBorders>
            <w:noWrap w:val="0"/>
            <w:vAlign w:val="center"/>
          </w:tcPr>
          <w:p>
            <w:pPr>
              <w:pStyle w:val="201"/>
              <w:snapToGrid w:val="0"/>
              <w:spacing w:line="400" w:lineRule="exact"/>
              <w:ind w:right="83"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合计</w:t>
            </w:r>
          </w:p>
        </w:tc>
        <w:tc>
          <w:tcPr>
            <w:tcW w:w="1337" w:type="dxa"/>
            <w:tcBorders>
              <w:bottom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483" w:type="dxa"/>
            <w:tcBorders>
              <w:bottom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791" w:type="dxa"/>
            <w:tcBorders>
              <w:bottom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2071" w:type="dxa"/>
            <w:tcBorders>
              <w:bottom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c>
          <w:tcPr>
            <w:tcW w:w="1069" w:type="dxa"/>
            <w:tcBorders>
              <w:bottom w:val="single" w:color="auto" w:sz="12" w:space="0"/>
              <w:right w:val="single" w:color="auto" w:sz="12" w:space="0"/>
            </w:tcBorders>
            <w:noWrap w:val="0"/>
            <w:vAlign w:val="center"/>
          </w:tcPr>
          <w:p>
            <w:pPr>
              <w:pStyle w:val="201"/>
              <w:snapToGrid w:val="0"/>
              <w:spacing w:line="400" w:lineRule="exact"/>
              <w:ind w:right="480"/>
              <w:jc w:val="center"/>
              <w:rPr>
                <w:rFonts w:hint="eastAsia" w:ascii="宋体" w:hAnsi="宋体" w:cs="宋体"/>
                <w:color w:val="auto"/>
                <w:sz w:val="24"/>
                <w:highlight w:val="none"/>
              </w:rPr>
            </w:pPr>
          </w:p>
        </w:tc>
      </w:tr>
    </w:tbl>
    <w:p>
      <w:pPr>
        <w:pStyle w:val="201"/>
        <w:snapToGrid w:val="0"/>
        <w:spacing w:line="400" w:lineRule="exact"/>
        <w:ind w:left="1080" w:right="-96" w:hanging="1080" w:hangingChars="450"/>
        <w:rPr>
          <w:rFonts w:hint="eastAsia" w:ascii="宋体" w:hAnsi="宋体" w:cs="宋体"/>
          <w:color w:val="auto"/>
          <w:sz w:val="24"/>
          <w:highlight w:val="none"/>
        </w:rPr>
      </w:pPr>
      <w:r>
        <w:rPr>
          <w:rFonts w:hint="eastAsia" w:ascii="宋体" w:hAnsi="宋体" w:cs="宋体"/>
          <w:color w:val="auto"/>
          <w:sz w:val="24"/>
          <w:highlight w:val="none"/>
        </w:rPr>
        <w:t>说明：</w:t>
      </w:r>
    </w:p>
    <w:p>
      <w:pPr>
        <w:pStyle w:val="201"/>
        <w:snapToGrid w:val="0"/>
        <w:spacing w:line="400" w:lineRule="exact"/>
        <w:ind w:right="-9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1、节能产品根据《财库【</w:t>
      </w:r>
      <w:r>
        <w:rPr>
          <w:rFonts w:hint="eastAsia" w:ascii="宋体" w:hAnsi="宋体" w:cs="宋体"/>
          <w:color w:val="auto"/>
          <w:sz w:val="24"/>
          <w:highlight w:val="none"/>
          <w:lang w:val="en-US" w:eastAsia="zh-CN"/>
        </w:rPr>
        <w:t>2019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19号</w:t>
      </w:r>
      <w:r>
        <w:rPr>
          <w:rFonts w:hint="eastAsia" w:ascii="宋体" w:hAnsi="宋体" w:cs="宋体"/>
          <w:color w:val="auto"/>
          <w:sz w:val="24"/>
          <w:highlight w:val="none"/>
          <w:lang w:eastAsia="zh-CN"/>
        </w:rPr>
        <w:t>》文件公布的节能产品政府采购品目清单确定。</w:t>
      </w:r>
    </w:p>
    <w:p>
      <w:pPr>
        <w:pStyle w:val="201"/>
        <w:snapToGrid w:val="0"/>
        <w:spacing w:line="400" w:lineRule="exact"/>
        <w:ind w:right="-96"/>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表内所列</w:t>
      </w:r>
      <w:r>
        <w:rPr>
          <w:rFonts w:hint="eastAsia" w:ascii="宋体" w:hAnsi="宋体" w:cs="宋体"/>
          <w:color w:val="auto"/>
          <w:sz w:val="24"/>
          <w:highlight w:val="none"/>
        </w:rPr>
        <w:t>节能产品，须</w:t>
      </w:r>
      <w:r>
        <w:rPr>
          <w:rFonts w:hint="eastAsia" w:ascii="宋体" w:hAnsi="宋体" w:cs="宋体"/>
          <w:color w:val="auto"/>
          <w:sz w:val="24"/>
          <w:highlight w:val="none"/>
          <w:lang w:eastAsia="zh-CN"/>
        </w:rPr>
        <w:t>附该</w:t>
      </w:r>
      <w:r>
        <w:rPr>
          <w:rFonts w:hint="eastAsia" w:ascii="宋体" w:hAnsi="宋体" w:cs="宋体"/>
          <w:color w:val="auto"/>
          <w:sz w:val="24"/>
          <w:highlight w:val="none"/>
        </w:rPr>
        <w:t>产品</w:t>
      </w:r>
      <w:r>
        <w:rPr>
          <w:rFonts w:hint="eastAsia" w:ascii="宋体" w:hAnsi="宋体" w:cs="宋体"/>
          <w:color w:val="auto"/>
          <w:sz w:val="24"/>
          <w:highlight w:val="none"/>
          <w:lang w:eastAsia="zh-CN"/>
        </w:rPr>
        <w:t>取得的由国家认可的认证机构出具的、处于有效期内的节能产品认证证书复印件</w:t>
      </w:r>
      <w:r>
        <w:rPr>
          <w:rFonts w:hint="eastAsia" w:ascii="宋体" w:hAnsi="宋体" w:cs="宋体"/>
          <w:color w:val="auto"/>
          <w:sz w:val="24"/>
          <w:highlight w:val="none"/>
        </w:rPr>
        <w:t>。</w:t>
      </w:r>
    </w:p>
    <w:p>
      <w:pPr>
        <w:pStyle w:val="201"/>
        <w:snapToGrid w:val="0"/>
        <w:spacing w:line="400" w:lineRule="exact"/>
        <w:ind w:right="17"/>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2）环境标志产品明细表</w:t>
      </w:r>
    </w:p>
    <w:p>
      <w:pPr>
        <w:pStyle w:val="200"/>
        <w:snapToGrid w:val="0"/>
        <w:spacing w:line="400" w:lineRule="exact"/>
        <w:ind w:left="0" w:leftChars="0" w:firstLine="0" w:firstLine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lang w:eastAsia="zh-CN"/>
        </w:rPr>
        <w:t>（如有）</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价格单位：元</w:t>
      </w:r>
    </w:p>
    <w:tbl>
      <w:tblPr>
        <w:tblStyle w:val="38"/>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31"/>
        <w:gridCol w:w="1331"/>
        <w:gridCol w:w="1331"/>
        <w:gridCol w:w="1331"/>
        <w:gridCol w:w="1791"/>
        <w:gridCol w:w="146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21" w:type="dxa"/>
            <w:tcBorders>
              <w:top w:val="single" w:color="auto" w:sz="12" w:space="0"/>
              <w:left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1331" w:type="dxa"/>
            <w:tcBorders>
              <w:top w:val="single" w:color="auto" w:sz="12" w:space="0"/>
            </w:tcBorders>
            <w:noWrap w:val="0"/>
            <w:vAlign w:val="center"/>
          </w:tcPr>
          <w:p>
            <w:pPr>
              <w:pStyle w:val="201"/>
              <w:tabs>
                <w:tab w:val="left" w:pos="60"/>
                <w:tab w:val="center" w:pos="4777"/>
              </w:tabs>
              <w:snapToGrid w:val="0"/>
              <w:spacing w:line="240" w:lineRule="exact"/>
              <w:ind w:right="-8440" w:rightChars="-4019"/>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产品名称</w:t>
            </w:r>
            <w:r>
              <w:rPr>
                <w:rFonts w:hint="eastAsia" w:ascii="宋体" w:hAnsi="宋体" w:cs="宋体"/>
                <w:color w:val="auto"/>
                <w:kern w:val="0"/>
                <w:sz w:val="24"/>
                <w:highlight w:val="none"/>
              </w:rPr>
              <w:tab/>
            </w:r>
            <w:r>
              <w:rPr>
                <w:rFonts w:hint="eastAsia" w:ascii="宋体" w:hAnsi="宋体" w:cs="宋体"/>
                <w:color w:val="auto"/>
                <w:kern w:val="0"/>
                <w:sz w:val="24"/>
                <w:highlight w:val="none"/>
              </w:rPr>
              <w:t>产品名称</w:t>
            </w:r>
          </w:p>
        </w:tc>
        <w:tc>
          <w:tcPr>
            <w:tcW w:w="1331" w:type="dxa"/>
            <w:tcBorders>
              <w:top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企业名称</w:t>
            </w:r>
          </w:p>
        </w:tc>
        <w:tc>
          <w:tcPr>
            <w:tcW w:w="1331" w:type="dxa"/>
            <w:tcBorders>
              <w:top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注册商标</w:t>
            </w:r>
          </w:p>
        </w:tc>
        <w:tc>
          <w:tcPr>
            <w:tcW w:w="1331" w:type="dxa"/>
            <w:tcBorders>
              <w:top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1" w:type="dxa"/>
            <w:tcBorders>
              <w:top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中国环境标志认证证书编号</w:t>
            </w:r>
          </w:p>
        </w:tc>
        <w:tc>
          <w:tcPr>
            <w:tcW w:w="1469" w:type="dxa"/>
            <w:tcBorders>
              <w:top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认证证书有效截止日期</w:t>
            </w:r>
          </w:p>
        </w:tc>
        <w:tc>
          <w:tcPr>
            <w:tcW w:w="1005" w:type="dxa"/>
            <w:tcBorders>
              <w:top w:val="single" w:color="auto" w:sz="12" w:space="0"/>
              <w:right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21" w:type="dxa"/>
            <w:tcBorders>
              <w:left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79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469"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005" w:type="dxa"/>
            <w:tcBorders>
              <w:right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21" w:type="dxa"/>
            <w:tcBorders>
              <w:left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79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469"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005" w:type="dxa"/>
            <w:tcBorders>
              <w:right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21" w:type="dxa"/>
            <w:tcBorders>
              <w:left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791"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469" w:type="dxa"/>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005" w:type="dxa"/>
            <w:tcBorders>
              <w:right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21" w:type="dxa"/>
            <w:tcBorders>
              <w:left w:val="single" w:color="auto" w:sz="12" w:space="0"/>
              <w:bottom w:val="single" w:color="auto" w:sz="12" w:space="0"/>
            </w:tcBorders>
            <w:noWrap w:val="0"/>
            <w:vAlign w:val="center"/>
          </w:tcPr>
          <w:p>
            <w:pPr>
              <w:pStyle w:val="201"/>
              <w:snapToGrid w:val="0"/>
              <w:spacing w:line="2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331" w:type="dxa"/>
            <w:tcBorders>
              <w:bottom w:val="single" w:color="auto" w:sz="12" w:space="0"/>
            </w:tcBorders>
            <w:noWrap w:val="0"/>
            <w:vAlign w:val="center"/>
          </w:tcPr>
          <w:p>
            <w:pPr>
              <w:pStyle w:val="201"/>
              <w:snapToGrid w:val="0"/>
              <w:spacing w:line="240" w:lineRule="exact"/>
              <w:ind w:right="154" w:firstLine="120" w:firstLineChars="5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合计</w:t>
            </w:r>
          </w:p>
        </w:tc>
        <w:tc>
          <w:tcPr>
            <w:tcW w:w="1331" w:type="dxa"/>
            <w:tcBorders>
              <w:bottom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tcBorders>
              <w:bottom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331" w:type="dxa"/>
            <w:tcBorders>
              <w:bottom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791" w:type="dxa"/>
            <w:tcBorders>
              <w:bottom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469" w:type="dxa"/>
            <w:tcBorders>
              <w:bottom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c>
          <w:tcPr>
            <w:tcW w:w="1005" w:type="dxa"/>
            <w:tcBorders>
              <w:bottom w:val="single" w:color="auto" w:sz="12" w:space="0"/>
              <w:right w:val="single" w:color="auto" w:sz="12" w:space="0"/>
            </w:tcBorders>
            <w:noWrap w:val="0"/>
            <w:vAlign w:val="center"/>
          </w:tcPr>
          <w:p>
            <w:pPr>
              <w:pStyle w:val="201"/>
              <w:snapToGrid w:val="0"/>
              <w:spacing w:line="240" w:lineRule="exact"/>
              <w:ind w:right="480"/>
              <w:jc w:val="center"/>
              <w:rPr>
                <w:rFonts w:hint="eastAsia" w:ascii="宋体" w:hAnsi="宋体" w:cs="宋体"/>
                <w:color w:val="auto"/>
                <w:kern w:val="0"/>
                <w:sz w:val="24"/>
                <w:highlight w:val="none"/>
              </w:rPr>
            </w:pPr>
          </w:p>
        </w:tc>
      </w:tr>
    </w:tbl>
    <w:p>
      <w:pPr>
        <w:pStyle w:val="201"/>
        <w:snapToGrid w:val="0"/>
        <w:spacing w:line="400" w:lineRule="exact"/>
        <w:ind w:right="-88"/>
        <w:rPr>
          <w:rFonts w:hint="eastAsia" w:ascii="宋体" w:hAnsi="宋体" w:cs="宋体"/>
          <w:color w:val="auto"/>
          <w:sz w:val="24"/>
          <w:highlight w:val="none"/>
        </w:rPr>
      </w:pPr>
      <w:r>
        <w:rPr>
          <w:rFonts w:hint="eastAsia" w:ascii="宋体" w:hAnsi="宋体" w:cs="宋体"/>
          <w:color w:val="auto"/>
          <w:sz w:val="24"/>
          <w:highlight w:val="none"/>
        </w:rPr>
        <w:t>说明：</w:t>
      </w:r>
    </w:p>
    <w:p>
      <w:pPr>
        <w:pStyle w:val="201"/>
        <w:snapToGrid w:val="0"/>
        <w:spacing w:line="400" w:lineRule="exact"/>
        <w:ind w:right="-9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1、环境标志产品根据《财库【</w:t>
      </w:r>
      <w:r>
        <w:rPr>
          <w:rFonts w:hint="eastAsia" w:ascii="宋体" w:hAnsi="宋体" w:cs="宋体"/>
          <w:color w:val="auto"/>
          <w:sz w:val="24"/>
          <w:highlight w:val="none"/>
          <w:lang w:val="en-US" w:eastAsia="zh-CN"/>
        </w:rPr>
        <w:t>2019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18号</w:t>
      </w:r>
      <w:r>
        <w:rPr>
          <w:rFonts w:hint="eastAsia" w:ascii="宋体" w:hAnsi="宋体" w:cs="宋体"/>
          <w:color w:val="auto"/>
          <w:sz w:val="24"/>
          <w:highlight w:val="none"/>
          <w:lang w:eastAsia="zh-CN"/>
        </w:rPr>
        <w:t>》文件公布的环境标志产品政府采购品目清单确定。</w:t>
      </w:r>
    </w:p>
    <w:p>
      <w:pPr>
        <w:pStyle w:val="201"/>
        <w:snapToGrid w:val="0"/>
        <w:spacing w:line="400" w:lineRule="exact"/>
        <w:ind w:right="-96"/>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表内所列环境标志</w:t>
      </w:r>
      <w:r>
        <w:rPr>
          <w:rFonts w:hint="eastAsia" w:ascii="宋体" w:hAnsi="宋体" w:cs="宋体"/>
          <w:color w:val="auto"/>
          <w:sz w:val="24"/>
          <w:highlight w:val="none"/>
        </w:rPr>
        <w:t>产品，须</w:t>
      </w:r>
      <w:r>
        <w:rPr>
          <w:rFonts w:hint="eastAsia" w:ascii="宋体" w:hAnsi="宋体" w:cs="宋体"/>
          <w:color w:val="auto"/>
          <w:sz w:val="24"/>
          <w:highlight w:val="none"/>
          <w:lang w:eastAsia="zh-CN"/>
        </w:rPr>
        <w:t>附该</w:t>
      </w:r>
      <w:r>
        <w:rPr>
          <w:rFonts w:hint="eastAsia" w:ascii="宋体" w:hAnsi="宋体" w:cs="宋体"/>
          <w:color w:val="auto"/>
          <w:sz w:val="24"/>
          <w:highlight w:val="none"/>
        </w:rPr>
        <w:t>产品</w:t>
      </w:r>
      <w:r>
        <w:rPr>
          <w:rFonts w:hint="eastAsia" w:ascii="宋体" w:hAnsi="宋体" w:cs="宋体"/>
          <w:color w:val="auto"/>
          <w:sz w:val="24"/>
          <w:highlight w:val="none"/>
          <w:lang w:eastAsia="zh-CN"/>
        </w:rPr>
        <w:t>取得的由国家认可的认证机构出具的、处于有效期内的环境标志产品认证证书复印件</w:t>
      </w:r>
      <w:r>
        <w:rPr>
          <w:rFonts w:hint="eastAsia" w:ascii="宋体" w:hAnsi="宋体" w:cs="宋体"/>
          <w:color w:val="auto"/>
          <w:sz w:val="24"/>
          <w:highlight w:val="none"/>
        </w:rPr>
        <w:t>。</w:t>
      </w:r>
    </w:p>
    <w:p>
      <w:pPr>
        <w:pStyle w:val="201"/>
        <w:snapToGrid w:val="0"/>
        <w:spacing w:line="400" w:lineRule="exact"/>
        <w:ind w:right="17"/>
        <w:jc w:val="right"/>
        <w:rPr>
          <w:rFonts w:ascii="宋体" w:hAnsi="宋体" w:cs="宋体"/>
          <w:color w:val="auto"/>
          <w:sz w:val="24"/>
          <w:highlight w:val="none"/>
        </w:rPr>
      </w:pPr>
      <w:r>
        <w:rPr>
          <w:rFonts w:hint="eastAsia" w:ascii="宋体" w:hAnsi="宋体" w:cs="宋体"/>
          <w:color w:val="auto"/>
          <w:sz w:val="24"/>
          <w:highlight w:val="none"/>
        </w:rPr>
        <w:t>年   月   日</w:t>
      </w: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、其他证明文件或</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认为应提交的商务文件</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（1）其他生产经营该产品所必需的证明文件、制造商授权书等（如有）；</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（2）其他</w:t>
      </w:r>
    </w:p>
    <w:p>
      <w:pPr>
        <w:widowControl/>
        <w:snapToGrid w:val="0"/>
        <w:spacing w:line="400" w:lineRule="exact"/>
        <w:jc w:val="left"/>
        <w:rPr>
          <w:rFonts w:hint="eastAsia"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、技术偏离表格式：</w:t>
      </w:r>
    </w:p>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技术偏离表</w:t>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标包编号及内容： </w:t>
      </w:r>
    </w:p>
    <w:tbl>
      <w:tblPr>
        <w:tblStyle w:val="38"/>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2"/>
        <w:gridCol w:w="1836"/>
        <w:gridCol w:w="1994"/>
        <w:gridCol w:w="2030"/>
        <w:gridCol w:w="12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3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招标文件要求</w:t>
            </w:r>
          </w:p>
        </w:tc>
        <w:tc>
          <w:tcPr>
            <w:tcW w:w="40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投标文件响应</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性能及指标</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bl>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注：1、</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应根据投标设备的性能指标、对照招标文件要求在“偏离情况”栏注明“正偏离”、“负偏离”或“无偏离”。</w:t>
      </w:r>
    </w:p>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2、每项技术参数须针对项目需求提供相关佐证材料（包括但不限于检测报告、技术规格书等）。</w:t>
      </w:r>
    </w:p>
    <w:p>
      <w:pPr>
        <w:adjustRightInd w:val="0"/>
        <w:snapToGrid w:val="0"/>
        <w:spacing w:line="400" w:lineRule="exact"/>
        <w:rPr>
          <w:rFonts w:ascii="宋体" w:hAnsi="宋体" w:cs="宋体"/>
          <w:b/>
          <w:bCs/>
          <w:color w:val="auto"/>
          <w:spacing w:val="20"/>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提供投标设备的性能指标与实际不符的且产生偏离的，评标委员会有权认定该投标文件为无效响应。</w:t>
      </w:r>
    </w:p>
    <w:p>
      <w:pPr>
        <w:adjustRightInd w:val="0"/>
        <w:snapToGrid w:val="0"/>
        <w:spacing w:line="400" w:lineRule="exact"/>
        <w:ind w:right="-817" w:rightChars="-389"/>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2"/>
        <w:rPr>
          <w:rFonts w:hint="eastAsia"/>
          <w:color w:val="auto"/>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lang w:eastAsia="zh-CN"/>
        </w:rPr>
        <w:t>产品详细技术规格书</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货物说明包括：</w:t>
      </w:r>
    </w:p>
    <w:p>
      <w:pPr>
        <w:numPr>
          <w:ilvl w:val="0"/>
          <w:numId w:val="11"/>
        </w:numPr>
        <w:snapToGri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产品技术参数（指标）、功能等性能描述；</w:t>
      </w:r>
    </w:p>
    <w:p>
      <w:pPr>
        <w:numPr>
          <w:ilvl w:val="0"/>
          <w:numId w:val="0"/>
        </w:num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(2)产品的规范资料、外观彩图及尺寸等描述（要求提供复印件）；</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(3)配置先进合理，技术成熟，安全可靠；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(4)货物优势介绍；</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(5)产品耐用性及使用功能安全性、采用新技术、新工艺或选用新材料情况；</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认为有必要提供的其他说明材料。</w:t>
      </w:r>
    </w:p>
    <w:p>
      <w:pPr>
        <w:pStyle w:val="2"/>
        <w:rPr>
          <w:rFonts w:hint="eastAsia" w:ascii="宋体" w:hAnsi="宋体" w:cs="宋体"/>
          <w:b/>
          <w:bCs/>
          <w:color w:val="auto"/>
          <w:sz w:val="24"/>
          <w:szCs w:val="24"/>
          <w:highlight w:val="none"/>
        </w:rPr>
      </w:pPr>
    </w:p>
    <w:p>
      <w:pPr>
        <w:widowControl/>
        <w:snapToGrid w:val="0"/>
        <w:spacing w:line="400" w:lineRule="exact"/>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lang w:eastAsia="zh-CN"/>
        </w:rPr>
        <w:t>与产品相关的由国家认可的检测机构出具的检测报告</w:t>
      </w:r>
      <w:r>
        <w:rPr>
          <w:rFonts w:hint="eastAsia" w:ascii="宋体" w:hAnsi="宋体" w:cs="宋体"/>
          <w:b/>
          <w:color w:val="auto"/>
          <w:sz w:val="24"/>
          <w:szCs w:val="24"/>
          <w:highlight w:val="none"/>
          <w:lang w:eastAsia="zh-CN"/>
        </w:rPr>
        <w:t>（如有）。</w:t>
      </w: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17、针对项目的详细组织实施方案：包括（但不限于）项目人员配备、项目供货方案、安装调试方案、验收方案（应说明验收方法和验收条件、安装验收需用的环境及配套条件）等内容；</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18、针对本项目的详细技术培训方案：包括（但不限于）</w:t>
      </w:r>
      <w:r>
        <w:rPr>
          <w:rFonts w:hint="default" w:ascii="宋体" w:hAnsi="宋体" w:eastAsia="宋体" w:cs="宋体"/>
          <w:b/>
          <w:color w:val="auto"/>
          <w:sz w:val="24"/>
          <w:szCs w:val="24"/>
          <w:highlight w:val="none"/>
          <w:lang w:val="en-US" w:eastAsia="zh-CN"/>
        </w:rPr>
        <w:t>培训内容</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培训方式</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培训计划</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培训团队人员配置等</w:t>
      </w:r>
      <w:r>
        <w:rPr>
          <w:rFonts w:hint="eastAsia" w:ascii="宋体" w:hAnsi="宋体" w:eastAsia="宋体" w:cs="宋体"/>
          <w:b/>
          <w:color w:val="auto"/>
          <w:sz w:val="24"/>
          <w:szCs w:val="24"/>
          <w:highlight w:val="none"/>
          <w:lang w:val="en-US" w:eastAsia="zh-CN"/>
        </w:rPr>
        <w:t>内容。</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19、针对本项目的售后服务方案：包括（但不限于）售后</w:t>
      </w:r>
      <w:r>
        <w:rPr>
          <w:rFonts w:hint="default" w:ascii="宋体" w:hAnsi="宋体" w:eastAsia="宋体" w:cs="宋体"/>
          <w:b/>
          <w:color w:val="auto"/>
          <w:sz w:val="24"/>
          <w:szCs w:val="24"/>
          <w:highlight w:val="none"/>
          <w:lang w:val="en-US" w:eastAsia="zh-CN"/>
        </w:rPr>
        <w:t>服务承诺</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服务响应方案</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备件（易耗品）供应方案</w:t>
      </w:r>
      <w:r>
        <w:rPr>
          <w:rFonts w:hint="eastAsia" w:ascii="宋体" w:hAnsi="宋体" w:eastAsia="宋体" w:cs="宋体"/>
          <w:b/>
          <w:color w:val="auto"/>
          <w:sz w:val="24"/>
          <w:szCs w:val="24"/>
          <w:highlight w:val="none"/>
          <w:lang w:val="en-US" w:eastAsia="zh-CN"/>
        </w:rPr>
        <w:t>（含备件价格）、</w:t>
      </w:r>
      <w:r>
        <w:rPr>
          <w:rFonts w:hint="default" w:ascii="宋体" w:hAnsi="宋体" w:eastAsia="宋体" w:cs="宋体"/>
          <w:b/>
          <w:color w:val="auto"/>
          <w:sz w:val="24"/>
          <w:szCs w:val="24"/>
          <w:highlight w:val="none"/>
          <w:lang w:val="en-US" w:eastAsia="zh-CN"/>
        </w:rPr>
        <w:t>服务人员配备</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故障响应</w:t>
      </w:r>
      <w:r>
        <w:rPr>
          <w:rFonts w:hint="eastAsia" w:ascii="宋体" w:hAnsi="宋体" w:eastAsia="宋体" w:cs="宋体"/>
          <w:b/>
          <w:color w:val="auto"/>
          <w:sz w:val="24"/>
          <w:szCs w:val="24"/>
          <w:highlight w:val="none"/>
          <w:lang w:val="en-US" w:eastAsia="zh-CN"/>
        </w:rPr>
        <w:t>措施、</w:t>
      </w:r>
      <w:r>
        <w:rPr>
          <w:rFonts w:hint="default" w:ascii="宋体" w:hAnsi="宋体" w:eastAsia="宋体" w:cs="宋体"/>
          <w:b/>
          <w:color w:val="auto"/>
          <w:sz w:val="24"/>
          <w:szCs w:val="24"/>
          <w:highlight w:val="none"/>
          <w:lang w:val="en-US" w:eastAsia="zh-CN"/>
        </w:rPr>
        <w:t>质保外服务措施等</w:t>
      </w:r>
      <w:r>
        <w:rPr>
          <w:rFonts w:hint="eastAsia" w:ascii="宋体" w:hAnsi="宋体" w:eastAsia="宋体" w:cs="宋体"/>
          <w:b/>
          <w:color w:val="auto"/>
          <w:sz w:val="24"/>
          <w:szCs w:val="24"/>
          <w:highlight w:val="none"/>
          <w:lang w:val="en-US" w:eastAsia="zh-CN"/>
        </w:rPr>
        <w:t>内容。</w:t>
      </w:r>
    </w:p>
    <w:p>
      <w:pPr>
        <w:widowControl/>
        <w:snapToGrid w:val="0"/>
        <w:spacing w:line="400" w:lineRule="exact"/>
        <w:jc w:val="center"/>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售后服务附表</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项目名称：</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标包编号：</w:t>
      </w:r>
    </w:p>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标包编号及内容： </w:t>
      </w:r>
    </w:p>
    <w:tbl>
      <w:tblPr>
        <w:tblStyle w:val="38"/>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46"/>
        <w:gridCol w:w="2151"/>
        <w:gridCol w:w="125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服务网点名称</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注册资本金</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出资比例</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员工总人数</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其中：技术人员数</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经营期限</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售后服务协议</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w:t>
            </w:r>
          </w:p>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售后服务内容</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业务咨询电话</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传真</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负责人</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bl>
    <w:p>
      <w:pPr>
        <w:snapToGrid w:val="0"/>
        <w:spacing w:line="400" w:lineRule="exact"/>
        <w:jc w:val="left"/>
        <w:rPr>
          <w:rFonts w:asciiTheme="minorEastAsia" w:hAnsiTheme="minorEastAsia" w:eastAsiaTheme="minorEastAsia" w:cstheme="minorEastAsia"/>
          <w:color w:val="auto"/>
          <w:kern w:val="0"/>
          <w:sz w:val="24"/>
          <w:szCs w:val="24"/>
          <w:highlight w:val="none"/>
        </w:rPr>
      </w:pPr>
    </w:p>
    <w:p>
      <w:pPr>
        <w:pStyle w:val="199"/>
        <w:adjustRightInd w:val="0"/>
        <w:snapToGrid w:val="0"/>
        <w:spacing w:line="400" w:lineRule="exact"/>
        <w:ind w:left="1747" w:firstLine="47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法定代表人或其委托代理人（签字或盖章）：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pStyle w:val="2"/>
        <w:rPr>
          <w:rFonts w:hint="eastAsia" w:ascii="宋体" w:hAnsi="宋体" w:eastAsia="宋体" w:cs="宋体"/>
          <w:b/>
          <w:color w:val="auto"/>
          <w:sz w:val="24"/>
          <w:szCs w:val="24"/>
          <w:highlight w:val="none"/>
          <w:lang w:val="en-US" w:eastAsia="zh-CN"/>
        </w:rPr>
      </w:pPr>
    </w:p>
    <w:p>
      <w:pPr>
        <w:pStyle w:val="2"/>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20、其他优惠条件（如有）：</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承诺给予采购人的各种优惠条件，包括备品备件、专用耗材等；</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需要提供的其他文件或资料（如有）。</w:t>
      </w: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cs="宋体"/>
          <w:b/>
          <w:bCs/>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p>
    <w:p>
      <w:pPr>
        <w:pStyle w:val="18"/>
        <w:spacing w:line="480" w:lineRule="exact"/>
        <w:rPr>
          <w:rFonts w:ascii="仿宋" w:hAnsi="仿宋" w:eastAsia="仿宋" w:cs="仿宋"/>
          <w:b/>
          <w:bCs/>
          <w:color w:val="auto"/>
          <w:kern w:val="0"/>
          <w:sz w:val="24"/>
          <w:szCs w:val="24"/>
          <w:highlight w:val="none"/>
        </w:rPr>
      </w:pPr>
    </w:p>
    <w:p>
      <w:pPr>
        <w:pStyle w:val="18"/>
        <w:spacing w:line="480" w:lineRule="exact"/>
        <w:jc w:val="center"/>
        <w:rPr>
          <w:rFonts w:ascii="仿宋" w:hAnsi="仿宋" w:eastAsia="仿宋" w:cs="仿宋"/>
          <w:b/>
          <w:bCs/>
          <w:color w:val="auto"/>
          <w:kern w:val="0"/>
          <w:sz w:val="24"/>
          <w:szCs w:val="24"/>
          <w:highlight w:val="none"/>
        </w:rPr>
      </w:pPr>
    </w:p>
    <w:p>
      <w:pPr>
        <w:pStyle w:val="37"/>
        <w:ind w:firstLine="0" w:firstLineChars="0"/>
        <w:rPr>
          <w:rFonts w:hint="eastAsia"/>
          <w:color w:val="auto"/>
          <w:sz w:val="24"/>
          <w:szCs w:val="22"/>
          <w:highlight w:val="none"/>
        </w:rPr>
      </w:pPr>
    </w:p>
    <w:p>
      <w:pPr>
        <w:pStyle w:val="37"/>
        <w:ind w:firstLine="0" w:firstLineChars="0"/>
        <w:rPr>
          <w:rFonts w:hint="eastAsia"/>
          <w:color w:val="auto"/>
          <w:sz w:val="24"/>
          <w:szCs w:val="22"/>
          <w:highlight w:val="none"/>
        </w:rPr>
      </w:pPr>
    </w:p>
    <w:p>
      <w:pPr>
        <w:pStyle w:val="37"/>
        <w:ind w:firstLine="0" w:firstLineChars="0"/>
        <w:rPr>
          <w:rFonts w:hint="eastAsia"/>
          <w:color w:val="auto"/>
          <w:sz w:val="24"/>
          <w:szCs w:val="22"/>
          <w:highlight w:val="none"/>
        </w:rPr>
      </w:pPr>
    </w:p>
    <w:p>
      <w:pPr>
        <w:pStyle w:val="37"/>
        <w:ind w:firstLine="0" w:firstLineChars="0"/>
        <w:rPr>
          <w:rFonts w:hint="eastAsia"/>
          <w:color w:val="auto"/>
          <w:sz w:val="24"/>
          <w:szCs w:val="22"/>
          <w:highlight w:val="none"/>
        </w:rPr>
      </w:pPr>
    </w:p>
    <w:p>
      <w:pPr>
        <w:pStyle w:val="37"/>
        <w:ind w:firstLine="0" w:firstLineChars="0"/>
        <w:rPr>
          <w:color w:val="auto"/>
          <w:sz w:val="24"/>
          <w:szCs w:val="22"/>
          <w:highlight w:val="none"/>
        </w:rPr>
      </w:pPr>
      <w:r>
        <w:rPr>
          <w:rFonts w:hint="eastAsia"/>
          <w:color w:val="auto"/>
          <w:sz w:val="24"/>
          <w:szCs w:val="22"/>
          <w:highlight w:val="none"/>
        </w:rPr>
        <w:t>附：</w:t>
      </w:r>
    </w:p>
    <w:p>
      <w:pPr>
        <w:pStyle w:val="37"/>
        <w:ind w:firstLine="0" w:firstLineChars="0"/>
        <w:jc w:val="center"/>
        <w:rPr>
          <w:color w:val="auto"/>
          <w:sz w:val="24"/>
          <w:szCs w:val="22"/>
          <w:highlight w:val="none"/>
        </w:rPr>
      </w:pPr>
      <w:r>
        <w:rPr>
          <w:rFonts w:hint="eastAsia"/>
          <w:color w:val="auto"/>
          <w:sz w:val="24"/>
          <w:szCs w:val="22"/>
          <w:highlight w:val="none"/>
        </w:rPr>
        <w:t>质疑函范本</w:t>
      </w:r>
    </w:p>
    <w:p>
      <w:pPr>
        <w:pStyle w:val="37"/>
        <w:ind w:firstLine="480"/>
        <w:rPr>
          <w:color w:val="auto"/>
          <w:sz w:val="24"/>
          <w:szCs w:val="22"/>
          <w:highlight w:val="none"/>
        </w:rPr>
      </w:pPr>
      <w:r>
        <w:rPr>
          <w:rFonts w:hint="eastAsia"/>
          <w:color w:val="auto"/>
          <w:sz w:val="24"/>
          <w:szCs w:val="22"/>
          <w:highlight w:val="none"/>
        </w:rPr>
        <w:t>一、质疑供应商基本信息</w:t>
      </w:r>
    </w:p>
    <w:p>
      <w:pPr>
        <w:pStyle w:val="37"/>
        <w:ind w:firstLine="480"/>
        <w:rPr>
          <w:color w:val="auto"/>
          <w:sz w:val="24"/>
          <w:szCs w:val="22"/>
          <w:highlight w:val="none"/>
          <w:u w:val="single"/>
        </w:rPr>
      </w:pPr>
      <w:r>
        <w:rPr>
          <w:rFonts w:hint="eastAsia"/>
          <w:color w:val="auto"/>
          <w:sz w:val="24"/>
          <w:szCs w:val="22"/>
          <w:highlight w:val="none"/>
        </w:rPr>
        <w:t xml:space="preserve">质疑供应商：  </w:t>
      </w:r>
    </w:p>
    <w:p>
      <w:pPr>
        <w:pStyle w:val="37"/>
        <w:ind w:firstLine="480"/>
        <w:rPr>
          <w:color w:val="auto"/>
          <w:sz w:val="24"/>
          <w:szCs w:val="22"/>
          <w:highlight w:val="none"/>
        </w:rPr>
      </w:pPr>
      <w:r>
        <w:rPr>
          <w:rFonts w:hint="eastAsia"/>
          <w:color w:val="auto"/>
          <w:sz w:val="24"/>
          <w:szCs w:val="22"/>
          <w:highlight w:val="none"/>
        </w:rPr>
        <w:t xml:space="preserve">地址：                          邮编：                  </w:t>
      </w:r>
    </w:p>
    <w:p>
      <w:pPr>
        <w:pStyle w:val="37"/>
        <w:ind w:firstLine="480"/>
        <w:rPr>
          <w:color w:val="auto"/>
          <w:sz w:val="24"/>
          <w:szCs w:val="22"/>
          <w:highlight w:val="none"/>
        </w:rPr>
      </w:pPr>
      <w:r>
        <w:rPr>
          <w:rFonts w:hint="eastAsia"/>
          <w:color w:val="auto"/>
          <w:sz w:val="24"/>
          <w:szCs w:val="22"/>
          <w:highlight w:val="none"/>
        </w:rPr>
        <w:t xml:space="preserve">联系人：                      联系电话：                 </w:t>
      </w:r>
    </w:p>
    <w:p>
      <w:pPr>
        <w:pStyle w:val="37"/>
        <w:ind w:firstLine="480"/>
        <w:rPr>
          <w:color w:val="auto"/>
          <w:sz w:val="24"/>
          <w:szCs w:val="22"/>
          <w:highlight w:val="none"/>
        </w:rPr>
      </w:pPr>
      <w:r>
        <w:rPr>
          <w:rFonts w:hint="eastAsia"/>
          <w:color w:val="auto"/>
          <w:sz w:val="24"/>
          <w:szCs w:val="22"/>
          <w:highlight w:val="none"/>
        </w:rPr>
        <w:t xml:space="preserve">授权代表：                                          </w:t>
      </w:r>
    </w:p>
    <w:p>
      <w:pPr>
        <w:pStyle w:val="37"/>
        <w:ind w:firstLine="480"/>
        <w:rPr>
          <w:color w:val="auto"/>
          <w:sz w:val="24"/>
          <w:szCs w:val="22"/>
          <w:highlight w:val="none"/>
        </w:rPr>
      </w:pPr>
      <w:r>
        <w:rPr>
          <w:rFonts w:hint="eastAsia"/>
          <w:color w:val="auto"/>
          <w:sz w:val="24"/>
          <w:szCs w:val="22"/>
          <w:highlight w:val="none"/>
        </w:rPr>
        <w:t xml:space="preserve">联系电话：                                            </w:t>
      </w:r>
    </w:p>
    <w:p>
      <w:pPr>
        <w:pStyle w:val="37"/>
        <w:ind w:firstLine="480"/>
        <w:rPr>
          <w:color w:val="auto"/>
          <w:sz w:val="24"/>
          <w:szCs w:val="22"/>
          <w:highlight w:val="none"/>
        </w:rPr>
      </w:pPr>
      <w:r>
        <w:rPr>
          <w:rFonts w:hint="eastAsia"/>
          <w:color w:val="auto"/>
          <w:sz w:val="24"/>
          <w:szCs w:val="22"/>
          <w:highlight w:val="none"/>
        </w:rPr>
        <w:t xml:space="preserve">地址：                         邮编：                    </w:t>
      </w:r>
    </w:p>
    <w:p>
      <w:pPr>
        <w:pStyle w:val="37"/>
        <w:ind w:firstLine="480"/>
        <w:rPr>
          <w:color w:val="auto"/>
          <w:sz w:val="24"/>
          <w:szCs w:val="22"/>
          <w:highlight w:val="none"/>
        </w:rPr>
      </w:pPr>
      <w:r>
        <w:rPr>
          <w:rFonts w:hint="eastAsia"/>
          <w:color w:val="auto"/>
          <w:sz w:val="24"/>
          <w:szCs w:val="22"/>
          <w:highlight w:val="none"/>
        </w:rPr>
        <w:t>二、质疑项目基本情况</w:t>
      </w:r>
    </w:p>
    <w:p>
      <w:pPr>
        <w:pStyle w:val="37"/>
        <w:ind w:firstLine="480"/>
        <w:rPr>
          <w:color w:val="auto"/>
          <w:sz w:val="24"/>
          <w:szCs w:val="22"/>
          <w:highlight w:val="none"/>
        </w:rPr>
      </w:pPr>
      <w:r>
        <w:rPr>
          <w:rFonts w:hint="eastAsia"/>
          <w:color w:val="auto"/>
          <w:sz w:val="24"/>
          <w:szCs w:val="22"/>
          <w:highlight w:val="none"/>
        </w:rPr>
        <w:t xml:space="preserve">质疑项目的名称：                                      </w:t>
      </w:r>
    </w:p>
    <w:p>
      <w:pPr>
        <w:pStyle w:val="37"/>
        <w:ind w:firstLine="480"/>
        <w:rPr>
          <w:color w:val="auto"/>
          <w:sz w:val="24"/>
          <w:szCs w:val="22"/>
          <w:highlight w:val="none"/>
        </w:rPr>
      </w:pPr>
      <w:r>
        <w:rPr>
          <w:rFonts w:hint="eastAsia"/>
          <w:color w:val="auto"/>
          <w:sz w:val="24"/>
          <w:szCs w:val="22"/>
          <w:highlight w:val="none"/>
        </w:rPr>
        <w:t xml:space="preserve">质疑项目的编号：               包号：                 </w:t>
      </w:r>
    </w:p>
    <w:p>
      <w:pPr>
        <w:pStyle w:val="37"/>
        <w:ind w:firstLine="480"/>
        <w:rPr>
          <w:color w:val="auto"/>
          <w:sz w:val="24"/>
          <w:szCs w:val="22"/>
          <w:highlight w:val="none"/>
        </w:rPr>
      </w:pPr>
      <w:r>
        <w:rPr>
          <w:rFonts w:hint="eastAsia"/>
          <w:color w:val="auto"/>
          <w:sz w:val="24"/>
          <w:szCs w:val="22"/>
          <w:highlight w:val="none"/>
        </w:rPr>
        <w:t xml:space="preserve">采购人名称：                                         </w:t>
      </w:r>
    </w:p>
    <w:p>
      <w:pPr>
        <w:pStyle w:val="37"/>
        <w:ind w:firstLine="480"/>
        <w:rPr>
          <w:color w:val="auto"/>
          <w:sz w:val="24"/>
          <w:szCs w:val="22"/>
          <w:highlight w:val="none"/>
        </w:rPr>
      </w:pPr>
      <w:r>
        <w:rPr>
          <w:rFonts w:hint="eastAsia"/>
          <w:color w:val="auto"/>
          <w:sz w:val="24"/>
          <w:szCs w:val="22"/>
          <w:highlight w:val="none"/>
        </w:rPr>
        <w:t xml:space="preserve">招标文件获取日期：                                           </w:t>
      </w:r>
    </w:p>
    <w:p>
      <w:pPr>
        <w:pStyle w:val="37"/>
        <w:ind w:firstLine="480"/>
        <w:rPr>
          <w:color w:val="auto"/>
          <w:sz w:val="24"/>
          <w:szCs w:val="22"/>
          <w:highlight w:val="none"/>
        </w:rPr>
      </w:pPr>
      <w:r>
        <w:rPr>
          <w:rFonts w:hint="eastAsia"/>
          <w:color w:val="auto"/>
          <w:sz w:val="24"/>
          <w:szCs w:val="22"/>
          <w:highlight w:val="none"/>
        </w:rPr>
        <w:t>三、质疑事项具体内容</w:t>
      </w:r>
    </w:p>
    <w:p>
      <w:pPr>
        <w:pStyle w:val="37"/>
        <w:ind w:firstLine="480"/>
        <w:rPr>
          <w:color w:val="auto"/>
          <w:sz w:val="24"/>
          <w:szCs w:val="22"/>
          <w:highlight w:val="none"/>
        </w:rPr>
      </w:pPr>
      <w:r>
        <w:rPr>
          <w:rFonts w:hint="eastAsia"/>
          <w:color w:val="auto"/>
          <w:sz w:val="24"/>
          <w:szCs w:val="22"/>
          <w:highlight w:val="none"/>
        </w:rPr>
        <w:t xml:space="preserve">质疑事项1：                                         </w:t>
      </w:r>
    </w:p>
    <w:p>
      <w:pPr>
        <w:pStyle w:val="37"/>
        <w:ind w:firstLine="480"/>
        <w:rPr>
          <w:color w:val="auto"/>
          <w:sz w:val="24"/>
          <w:szCs w:val="22"/>
          <w:highlight w:val="none"/>
        </w:rPr>
      </w:pPr>
      <w:r>
        <w:rPr>
          <w:rFonts w:hint="eastAsia"/>
          <w:color w:val="auto"/>
          <w:sz w:val="24"/>
          <w:szCs w:val="22"/>
          <w:highlight w:val="none"/>
        </w:rPr>
        <w:t xml:space="preserve">事实依据：                                          </w:t>
      </w:r>
    </w:p>
    <w:p>
      <w:pPr>
        <w:pStyle w:val="37"/>
        <w:ind w:firstLine="480"/>
        <w:rPr>
          <w:color w:val="auto"/>
          <w:sz w:val="24"/>
          <w:szCs w:val="22"/>
          <w:highlight w:val="none"/>
        </w:rPr>
      </w:pPr>
    </w:p>
    <w:p>
      <w:pPr>
        <w:pStyle w:val="37"/>
        <w:ind w:firstLine="480"/>
        <w:rPr>
          <w:color w:val="auto"/>
          <w:sz w:val="24"/>
          <w:szCs w:val="22"/>
          <w:highlight w:val="none"/>
        </w:rPr>
      </w:pPr>
      <w:r>
        <w:rPr>
          <w:rFonts w:hint="eastAsia"/>
          <w:color w:val="auto"/>
          <w:sz w:val="24"/>
          <w:szCs w:val="22"/>
          <w:highlight w:val="none"/>
        </w:rPr>
        <w:t xml:space="preserve">法律依据：                                          </w:t>
      </w:r>
    </w:p>
    <w:p>
      <w:pPr>
        <w:pStyle w:val="37"/>
        <w:ind w:firstLine="480"/>
        <w:rPr>
          <w:color w:val="auto"/>
          <w:sz w:val="24"/>
          <w:szCs w:val="22"/>
          <w:highlight w:val="none"/>
        </w:rPr>
      </w:pPr>
    </w:p>
    <w:p>
      <w:pPr>
        <w:pStyle w:val="37"/>
        <w:ind w:firstLine="480"/>
        <w:rPr>
          <w:color w:val="auto"/>
          <w:sz w:val="24"/>
          <w:szCs w:val="22"/>
          <w:highlight w:val="none"/>
        </w:rPr>
      </w:pPr>
      <w:r>
        <w:rPr>
          <w:rFonts w:hint="eastAsia"/>
          <w:color w:val="auto"/>
          <w:sz w:val="24"/>
          <w:szCs w:val="22"/>
          <w:highlight w:val="none"/>
        </w:rPr>
        <w:t>质疑事项2</w:t>
      </w:r>
    </w:p>
    <w:p>
      <w:pPr>
        <w:pStyle w:val="37"/>
        <w:ind w:firstLine="480"/>
        <w:rPr>
          <w:color w:val="auto"/>
          <w:sz w:val="24"/>
          <w:szCs w:val="22"/>
          <w:highlight w:val="none"/>
        </w:rPr>
      </w:pPr>
      <w:r>
        <w:rPr>
          <w:rFonts w:hint="eastAsia"/>
          <w:color w:val="auto"/>
          <w:sz w:val="24"/>
          <w:szCs w:val="22"/>
          <w:highlight w:val="none"/>
        </w:rPr>
        <w:t>……</w:t>
      </w:r>
    </w:p>
    <w:p>
      <w:pPr>
        <w:pStyle w:val="37"/>
        <w:ind w:firstLine="480"/>
        <w:rPr>
          <w:color w:val="auto"/>
          <w:sz w:val="24"/>
          <w:szCs w:val="22"/>
          <w:highlight w:val="none"/>
        </w:rPr>
      </w:pPr>
      <w:r>
        <w:rPr>
          <w:rFonts w:hint="eastAsia"/>
          <w:color w:val="auto"/>
          <w:sz w:val="24"/>
          <w:szCs w:val="22"/>
          <w:highlight w:val="none"/>
        </w:rPr>
        <w:t>四、与质疑事项相关的质疑请求</w:t>
      </w:r>
    </w:p>
    <w:p>
      <w:pPr>
        <w:pStyle w:val="37"/>
        <w:ind w:firstLine="480"/>
        <w:rPr>
          <w:color w:val="auto"/>
          <w:sz w:val="24"/>
          <w:szCs w:val="22"/>
          <w:highlight w:val="none"/>
        </w:rPr>
      </w:pPr>
      <w:r>
        <w:rPr>
          <w:rFonts w:hint="eastAsia"/>
          <w:color w:val="auto"/>
          <w:sz w:val="24"/>
          <w:szCs w:val="22"/>
          <w:highlight w:val="none"/>
        </w:rPr>
        <w:t xml:space="preserve">请求：                                               </w:t>
      </w:r>
    </w:p>
    <w:p>
      <w:pPr>
        <w:pStyle w:val="37"/>
        <w:ind w:firstLine="480"/>
        <w:rPr>
          <w:color w:val="auto"/>
          <w:sz w:val="24"/>
          <w:szCs w:val="22"/>
          <w:highlight w:val="none"/>
        </w:rPr>
      </w:pPr>
      <w:r>
        <w:rPr>
          <w:rFonts w:hint="eastAsia"/>
          <w:color w:val="auto"/>
          <w:sz w:val="24"/>
          <w:szCs w:val="22"/>
          <w:highlight w:val="none"/>
        </w:rPr>
        <w:t xml:space="preserve">签字(签章)：                   公章：                      </w:t>
      </w:r>
    </w:p>
    <w:p>
      <w:pPr>
        <w:pStyle w:val="37"/>
        <w:ind w:firstLine="480"/>
        <w:rPr>
          <w:color w:val="auto"/>
          <w:sz w:val="24"/>
          <w:szCs w:val="22"/>
          <w:highlight w:val="none"/>
        </w:rPr>
      </w:pPr>
      <w:r>
        <w:rPr>
          <w:rFonts w:hint="eastAsia"/>
          <w:color w:val="auto"/>
          <w:sz w:val="24"/>
          <w:szCs w:val="22"/>
          <w:highlight w:val="none"/>
        </w:rPr>
        <w:t xml:space="preserve">日期：    </w:t>
      </w:r>
    </w:p>
    <w:p>
      <w:pPr>
        <w:rPr>
          <w:color w:val="auto"/>
          <w:sz w:val="24"/>
          <w:szCs w:val="22"/>
          <w:highlight w:val="none"/>
        </w:rPr>
      </w:pPr>
      <w:r>
        <w:rPr>
          <w:rFonts w:hint="eastAsia"/>
          <w:color w:val="auto"/>
          <w:sz w:val="24"/>
          <w:szCs w:val="22"/>
          <w:highlight w:val="none"/>
        </w:rPr>
        <w:br w:type="page"/>
      </w:r>
    </w:p>
    <w:p>
      <w:pPr>
        <w:pStyle w:val="37"/>
        <w:ind w:firstLine="480"/>
        <w:rPr>
          <w:color w:val="auto"/>
          <w:sz w:val="24"/>
          <w:szCs w:val="22"/>
          <w:highlight w:val="none"/>
        </w:rPr>
      </w:pPr>
      <w:r>
        <w:rPr>
          <w:rFonts w:hint="eastAsia"/>
          <w:color w:val="auto"/>
          <w:sz w:val="24"/>
          <w:szCs w:val="22"/>
          <w:highlight w:val="none"/>
        </w:rPr>
        <w:t>质疑函制作说明：</w:t>
      </w:r>
    </w:p>
    <w:p>
      <w:pPr>
        <w:pStyle w:val="37"/>
        <w:ind w:firstLine="480"/>
        <w:rPr>
          <w:color w:val="auto"/>
          <w:sz w:val="24"/>
          <w:szCs w:val="22"/>
          <w:highlight w:val="none"/>
        </w:rPr>
      </w:pPr>
      <w:r>
        <w:rPr>
          <w:rFonts w:hint="eastAsia"/>
          <w:color w:val="auto"/>
          <w:sz w:val="24"/>
          <w:szCs w:val="22"/>
          <w:highlight w:val="none"/>
        </w:rPr>
        <w:t>1.供应商提出质疑时，应提交质疑函和必要的证明材料。</w:t>
      </w:r>
    </w:p>
    <w:p>
      <w:pPr>
        <w:pStyle w:val="37"/>
        <w:ind w:firstLine="480"/>
        <w:rPr>
          <w:color w:val="auto"/>
          <w:sz w:val="24"/>
          <w:szCs w:val="22"/>
          <w:highlight w:val="none"/>
        </w:rPr>
      </w:pPr>
      <w:r>
        <w:rPr>
          <w:rFonts w:hint="eastAsia"/>
          <w:color w:val="auto"/>
          <w:sz w:val="24"/>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7"/>
        <w:ind w:firstLine="480"/>
        <w:rPr>
          <w:color w:val="auto"/>
          <w:sz w:val="24"/>
          <w:szCs w:val="22"/>
          <w:highlight w:val="none"/>
        </w:rPr>
      </w:pPr>
      <w:r>
        <w:rPr>
          <w:rFonts w:hint="eastAsia"/>
          <w:color w:val="auto"/>
          <w:sz w:val="24"/>
          <w:szCs w:val="22"/>
          <w:highlight w:val="none"/>
        </w:rPr>
        <w:t>3.质疑供应商若对项目的某一分包进行质疑，质疑函中应列明具体分包号。</w:t>
      </w:r>
    </w:p>
    <w:p>
      <w:pPr>
        <w:pStyle w:val="37"/>
        <w:ind w:firstLine="480"/>
        <w:rPr>
          <w:color w:val="auto"/>
          <w:sz w:val="24"/>
          <w:szCs w:val="22"/>
          <w:highlight w:val="none"/>
        </w:rPr>
      </w:pPr>
      <w:r>
        <w:rPr>
          <w:rFonts w:hint="eastAsia"/>
          <w:color w:val="auto"/>
          <w:sz w:val="24"/>
          <w:szCs w:val="22"/>
          <w:highlight w:val="none"/>
        </w:rPr>
        <w:t>4.质疑函的质疑事项应具体、明确，并有必要的事实依据和法律依据。</w:t>
      </w:r>
    </w:p>
    <w:p>
      <w:pPr>
        <w:pStyle w:val="37"/>
        <w:ind w:firstLine="480"/>
        <w:rPr>
          <w:color w:val="auto"/>
          <w:sz w:val="24"/>
          <w:szCs w:val="22"/>
          <w:highlight w:val="none"/>
        </w:rPr>
      </w:pPr>
      <w:r>
        <w:rPr>
          <w:rFonts w:hint="eastAsia"/>
          <w:color w:val="auto"/>
          <w:sz w:val="24"/>
          <w:szCs w:val="22"/>
          <w:highlight w:val="none"/>
        </w:rPr>
        <w:t>5.质疑函的质疑请求应与质疑事项相关。</w:t>
      </w:r>
    </w:p>
    <w:p>
      <w:pPr>
        <w:pStyle w:val="37"/>
        <w:ind w:firstLine="480"/>
        <w:rPr>
          <w:color w:val="auto"/>
          <w:sz w:val="24"/>
          <w:szCs w:val="22"/>
          <w:highlight w:val="none"/>
        </w:rPr>
      </w:pPr>
      <w:r>
        <w:rPr>
          <w:rFonts w:hint="eastAsia"/>
          <w:color w:val="auto"/>
          <w:sz w:val="24"/>
          <w:szCs w:val="22"/>
          <w:highlight w:val="none"/>
        </w:rPr>
        <w:t>6.质疑供应商为自然人的，质疑函应由本人签字；质疑供应商为法人或者其他组织的，质疑函应由法定代表人、主要负责人，或者其授权代表签字或者盖章，并加盖公章。</w:t>
      </w:r>
    </w:p>
    <w:p>
      <w:pPr>
        <w:rPr>
          <w:rFonts w:hint="eastAsia" w:eastAsia="宋体"/>
          <w:color w:val="auto"/>
          <w:highlight w:val="none"/>
          <w:lang w:eastAsia="zh-CN"/>
        </w:rPr>
        <w:sectPr>
          <w:headerReference r:id="rId8" w:type="default"/>
          <w:footerReference r:id="rId9" w:type="default"/>
          <w:pgSz w:w="11906" w:h="16838"/>
          <w:pgMar w:top="1440" w:right="1803" w:bottom="1440" w:left="1800" w:header="851" w:footer="992" w:gutter="0"/>
          <w:pgNumType w:start="1"/>
          <w:cols w:space="720" w:num="1"/>
          <w:docGrid w:type="lines" w:linePitch="312" w:charSpace="0"/>
        </w:sectPr>
      </w:pPr>
      <w:bookmarkStart w:id="115" w:name="_Toc99731325"/>
      <w:bookmarkStart w:id="116" w:name="_Toc30959"/>
      <w:bookmarkStart w:id="117" w:name="_Toc95234398"/>
      <w:bookmarkStart w:id="118" w:name="_Toc99731210"/>
      <w:bookmarkStart w:id="119" w:name="_Toc105522757"/>
      <w:bookmarkStart w:id="120" w:name="_Toc6920"/>
      <w:r>
        <w:rPr>
          <w:rFonts w:hint="eastAsia"/>
          <w:color w:val="auto"/>
          <w:highlight w:val="none"/>
          <w:lang w:eastAsia="zh-CN"/>
        </w:rPr>
        <w:t>晁</w:t>
      </w:r>
    </w:p>
    <w:bookmarkEnd w:id="115"/>
    <w:bookmarkEnd w:id="116"/>
    <w:bookmarkEnd w:id="117"/>
    <w:bookmarkEnd w:id="118"/>
    <w:bookmarkEnd w:id="119"/>
    <w:bookmarkEnd w:id="120"/>
    <w:p>
      <w:pPr>
        <w:pStyle w:val="3"/>
        <w:numPr>
          <w:ilvl w:val="0"/>
          <w:numId w:val="12"/>
        </w:numPr>
        <w:rPr>
          <w:rFonts w:hint="eastAsia"/>
          <w:color w:val="auto"/>
          <w:highlight w:val="none"/>
        </w:rPr>
      </w:pPr>
      <w:bookmarkStart w:id="121" w:name="_Toc16566"/>
      <w:r>
        <w:rPr>
          <w:rFonts w:hint="eastAsia"/>
          <w:color w:val="auto"/>
          <w:highlight w:val="none"/>
        </w:rPr>
        <w:t>项目需求</w:t>
      </w:r>
      <w:bookmarkEnd w:id="121"/>
    </w:p>
    <w:p>
      <w:pPr>
        <w:pStyle w:val="4"/>
        <w:numPr>
          <w:ilvl w:val="0"/>
          <w:numId w:val="0"/>
        </w:numPr>
        <w:rPr>
          <w:color w:val="auto"/>
          <w:highlight w:val="none"/>
        </w:rPr>
      </w:pPr>
    </w:p>
    <w:tbl>
      <w:tblPr>
        <w:tblStyle w:val="38"/>
        <w:tblpPr w:leftFromText="180" w:rightFromText="180" w:vertAnchor="text" w:horzAnchor="page" w:tblpX="1714" w:tblpY="217"/>
        <w:tblOverlap w:val="never"/>
        <w:tblW w:w="8403" w:type="dxa"/>
        <w:tblInd w:w="0" w:type="dxa"/>
        <w:tblLayout w:type="fixed"/>
        <w:tblCellMar>
          <w:top w:w="0" w:type="dxa"/>
          <w:left w:w="0" w:type="dxa"/>
          <w:bottom w:w="0" w:type="dxa"/>
          <w:right w:w="0" w:type="dxa"/>
        </w:tblCellMar>
      </w:tblPr>
      <w:tblGrid>
        <w:gridCol w:w="834"/>
        <w:gridCol w:w="1696"/>
        <w:gridCol w:w="1304"/>
        <w:gridCol w:w="889"/>
        <w:gridCol w:w="1580"/>
        <w:gridCol w:w="1223"/>
        <w:gridCol w:w="877"/>
      </w:tblGrid>
      <w:tr>
        <w:tblPrEx>
          <w:tblCellMar>
            <w:top w:w="0" w:type="dxa"/>
            <w:left w:w="0" w:type="dxa"/>
            <w:bottom w:w="0" w:type="dxa"/>
            <w:right w:w="0" w:type="dxa"/>
          </w:tblCellMar>
        </w:tblPrEx>
        <w:trPr>
          <w:trHeight w:val="955"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包 号</w:t>
            </w:r>
          </w:p>
        </w:tc>
        <w:tc>
          <w:tcPr>
            <w:tcW w:w="16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val="en-US" w:eastAsia="zh-CN" w:bidi="ar"/>
              </w:rPr>
              <w:t>车辆</w:t>
            </w:r>
            <w:r>
              <w:rPr>
                <w:rFonts w:hint="eastAsia" w:ascii="宋体" w:hAnsi="宋体" w:cs="宋体"/>
                <w:b/>
                <w:color w:val="auto"/>
                <w:kern w:val="0"/>
                <w:sz w:val="24"/>
                <w:szCs w:val="24"/>
                <w:highlight w:val="none"/>
                <w:lang w:bidi="ar"/>
              </w:rPr>
              <w:t>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 xml:space="preserve">数 量    </w:t>
            </w:r>
          </w:p>
        </w:tc>
        <w:tc>
          <w:tcPr>
            <w:tcW w:w="15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单价最高</w:t>
            </w:r>
          </w:p>
          <w:p>
            <w:pPr>
              <w:widowControl/>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限价</w:t>
            </w:r>
          </w:p>
          <w:p>
            <w:pPr>
              <w:widowControl/>
              <w:jc w:val="center"/>
              <w:textAlignment w:val="center"/>
              <w:rPr>
                <w:rFonts w:hint="default"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（万元）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val="en-US" w:eastAsia="zh-CN" w:bidi="ar"/>
              </w:rPr>
              <w:t>最高限价</w:t>
            </w:r>
            <w:r>
              <w:rPr>
                <w:rFonts w:hint="eastAsia" w:ascii="宋体" w:hAnsi="宋体" w:cs="宋体"/>
                <w:b/>
                <w:color w:val="auto"/>
                <w:kern w:val="0"/>
                <w:sz w:val="24"/>
                <w:szCs w:val="24"/>
                <w:highlight w:val="none"/>
                <w:lang w:bidi="ar"/>
              </w:rPr>
              <w:t xml:space="preserve">    （万元）</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是否</w:t>
            </w:r>
            <w:r>
              <w:rPr>
                <w:rFonts w:hint="eastAsia" w:ascii="宋体" w:hAnsi="宋体" w:cs="宋体"/>
                <w:b/>
                <w:color w:val="auto"/>
                <w:kern w:val="0"/>
                <w:sz w:val="24"/>
                <w:szCs w:val="24"/>
                <w:highlight w:val="none"/>
                <w:lang w:bidi="ar"/>
              </w:rPr>
              <w:t>核心产品</w:t>
            </w:r>
          </w:p>
        </w:tc>
      </w:tr>
      <w:tr>
        <w:tblPrEx>
          <w:tblCellMar>
            <w:top w:w="0" w:type="dxa"/>
            <w:left w:w="0" w:type="dxa"/>
            <w:bottom w:w="0" w:type="dxa"/>
            <w:right w:w="0" w:type="dxa"/>
          </w:tblCellMar>
        </w:tblPrEx>
        <w:trPr>
          <w:trHeight w:val="827" w:hRule="exact"/>
        </w:trPr>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第一包</w:t>
            </w: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前突皮卡车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7</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210</w:t>
            </w:r>
          </w:p>
        </w:tc>
        <w:tc>
          <w:tcPr>
            <w:tcW w:w="877" w:type="dxa"/>
            <w:tcBorders>
              <w:top w:val="single" w:color="000000" w:sz="4" w:space="0"/>
              <w:left w:val="single" w:color="auto"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b w:val="0"/>
                <w:bCs/>
                <w:color w:val="auto"/>
                <w:sz w:val="24"/>
                <w:szCs w:val="24"/>
                <w:highlight w:val="none"/>
                <w:lang w:eastAsia="zh-CN"/>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27" w:hRule="exact"/>
        </w:trPr>
        <w:tc>
          <w:tcPr>
            <w:tcW w:w="83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第二包</w:t>
            </w: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淋浴车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126</w:t>
            </w:r>
          </w:p>
        </w:tc>
        <w:tc>
          <w:tcPr>
            <w:tcW w:w="122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395.5</w:t>
            </w:r>
          </w:p>
        </w:tc>
        <w:tc>
          <w:tcPr>
            <w:tcW w:w="87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是</w:t>
            </w:r>
          </w:p>
        </w:tc>
      </w:tr>
      <w:tr>
        <w:tblPrEx>
          <w:tblCellMar>
            <w:top w:w="0" w:type="dxa"/>
            <w:left w:w="0" w:type="dxa"/>
            <w:bottom w:w="0" w:type="dxa"/>
            <w:right w:w="0" w:type="dxa"/>
          </w:tblCellMar>
        </w:tblPrEx>
        <w:trPr>
          <w:trHeight w:val="827" w:hRule="exact"/>
        </w:trPr>
        <w:tc>
          <w:tcPr>
            <w:tcW w:w="83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被服洗涤车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r>
              <w:rPr>
                <w:rFonts w:hint="default" w:ascii="方正黑体_GBK" w:hAnsi="方正黑体_GBK" w:eastAsia="方正黑体_GBK" w:cs="方正黑体_GBK"/>
                <w:i w:val="0"/>
                <w:iCs w:val="0"/>
                <w:color w:val="auto"/>
                <w:kern w:val="0"/>
                <w:sz w:val="20"/>
                <w:szCs w:val="20"/>
                <w:highlight w:val="none"/>
                <w:u w:val="none"/>
                <w:lang w:val="en-US" w:eastAsia="zh-CN" w:bidi="ar"/>
              </w:rPr>
              <w:t>139.5</w:t>
            </w:r>
          </w:p>
        </w:tc>
        <w:tc>
          <w:tcPr>
            <w:tcW w:w="122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cs="宋体"/>
                <w:color w:val="auto"/>
                <w:sz w:val="24"/>
                <w:szCs w:val="24"/>
                <w:highlight w:val="none"/>
                <w:lang w:val="en-US" w:eastAsia="zh-CN"/>
              </w:rPr>
            </w:pPr>
          </w:p>
        </w:tc>
        <w:tc>
          <w:tcPr>
            <w:tcW w:w="8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27" w:hRule="exact"/>
        </w:trPr>
        <w:tc>
          <w:tcPr>
            <w:tcW w:w="83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发电车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r>
              <w:rPr>
                <w:rFonts w:hint="default" w:ascii="方正黑体_GBK" w:hAnsi="方正黑体_GBK" w:eastAsia="方正黑体_GBK" w:cs="方正黑体_GBK"/>
                <w:i w:val="0"/>
                <w:iCs w:val="0"/>
                <w:color w:val="auto"/>
                <w:kern w:val="0"/>
                <w:sz w:val="20"/>
                <w:szCs w:val="20"/>
                <w:highlight w:val="none"/>
                <w:u w:val="none"/>
                <w:lang w:val="en-US" w:eastAsia="zh-CN" w:bidi="ar"/>
              </w:rPr>
              <w:t>130</w:t>
            </w:r>
          </w:p>
        </w:tc>
        <w:tc>
          <w:tcPr>
            <w:tcW w:w="122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cs="宋体"/>
                <w:color w:val="auto"/>
                <w:sz w:val="24"/>
                <w:szCs w:val="24"/>
                <w:highlight w:val="none"/>
                <w:lang w:val="en-US" w:eastAsia="zh-CN"/>
              </w:rPr>
            </w:pPr>
          </w:p>
        </w:tc>
        <w:tc>
          <w:tcPr>
            <w:tcW w:w="8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27" w:hRule="exact"/>
        </w:trPr>
        <w:tc>
          <w:tcPr>
            <w:tcW w:w="83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第三包</w:t>
            </w: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冷藏车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eastAsia" w:ascii="宋体" w:hAnsi="宋体" w:cs="宋体"/>
                <w:color w:val="auto"/>
                <w:sz w:val="24"/>
                <w:szCs w:val="24"/>
                <w:highlight w:val="none"/>
                <w:lang w:val="en-US" w:eastAsia="zh-CN"/>
              </w:rPr>
            </w:pPr>
            <w:r>
              <w:rPr>
                <w:rFonts w:hint="default" w:ascii="方正黑体_GBK" w:hAnsi="方正黑体_GBK" w:eastAsia="方正黑体_GBK" w:cs="方正黑体_GBK"/>
                <w:i w:val="0"/>
                <w:iCs w:val="0"/>
                <w:color w:val="auto"/>
                <w:kern w:val="0"/>
                <w:sz w:val="20"/>
                <w:szCs w:val="20"/>
                <w:highlight w:val="none"/>
                <w:u w:val="none"/>
                <w:lang w:val="en-US" w:eastAsia="zh-CN" w:bidi="ar"/>
              </w:rPr>
              <w:t>100</w:t>
            </w:r>
          </w:p>
        </w:tc>
        <w:tc>
          <w:tcPr>
            <w:tcW w:w="122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342</w:t>
            </w:r>
          </w:p>
        </w:tc>
        <w:tc>
          <w:tcPr>
            <w:tcW w:w="8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827" w:hRule="exact"/>
        </w:trPr>
        <w:tc>
          <w:tcPr>
            <w:tcW w:w="83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水质净化车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118</w:t>
            </w:r>
          </w:p>
        </w:tc>
        <w:tc>
          <w:tcPr>
            <w:tcW w:w="122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是</w:t>
            </w:r>
          </w:p>
        </w:tc>
      </w:tr>
      <w:tr>
        <w:tblPrEx>
          <w:tblCellMar>
            <w:top w:w="0" w:type="dxa"/>
            <w:left w:w="0" w:type="dxa"/>
            <w:bottom w:w="0" w:type="dxa"/>
            <w:right w:w="0" w:type="dxa"/>
          </w:tblCellMar>
        </w:tblPrEx>
        <w:trPr>
          <w:trHeight w:val="836" w:hRule="exact"/>
        </w:trPr>
        <w:tc>
          <w:tcPr>
            <w:tcW w:w="83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169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盥洗车</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辆</w:t>
            </w:r>
          </w:p>
        </w:tc>
        <w:tc>
          <w:tcPr>
            <w:tcW w:w="8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2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hint="default" w:ascii="宋体" w:hAnsi="宋体" w:cs="宋体"/>
                <w:color w:val="auto"/>
                <w:sz w:val="24"/>
                <w:szCs w:val="24"/>
                <w:highlight w:val="none"/>
                <w:lang w:val="en-US"/>
              </w:rPr>
            </w:pPr>
            <w:r>
              <w:rPr>
                <w:rFonts w:hint="default"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24</w:t>
            </w:r>
          </w:p>
        </w:tc>
        <w:tc>
          <w:tcPr>
            <w:tcW w:w="122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720" w:lineRule="auto"/>
              <w:jc w:val="center"/>
              <w:rPr>
                <w:rFonts w:ascii="宋体" w:hAnsi="宋体" w:cs="宋体"/>
                <w:b w:val="0"/>
                <w:bCs/>
                <w:color w:val="auto"/>
                <w:sz w:val="24"/>
                <w:szCs w:val="24"/>
                <w:highlight w:val="none"/>
              </w:rPr>
            </w:pPr>
            <w:r>
              <w:rPr>
                <w:rFonts w:hint="eastAsia" w:ascii="宋体" w:hAnsi="宋体" w:cs="宋体"/>
                <w:color w:val="auto"/>
                <w:sz w:val="24"/>
                <w:szCs w:val="24"/>
                <w:highlight w:val="none"/>
                <w:lang w:val="en-US" w:eastAsia="zh-CN"/>
              </w:rPr>
              <w:t>/</w:t>
            </w:r>
          </w:p>
        </w:tc>
      </w:tr>
    </w:tbl>
    <w:p>
      <w:pPr>
        <w:pStyle w:val="23"/>
        <w:rPr>
          <w:rFonts w:hint="default" w:eastAsia="宋体"/>
          <w:color w:val="auto"/>
          <w:highlight w:val="none"/>
          <w:lang w:val="en-US" w:eastAsia="zh-CN"/>
        </w:rPr>
      </w:pPr>
    </w:p>
    <w:p>
      <w:pPr>
        <w:pStyle w:val="23"/>
        <w:rPr>
          <w:color w:val="auto"/>
          <w:highlight w:val="none"/>
        </w:rPr>
        <w:sectPr>
          <w:headerReference r:id="rId10" w:type="default"/>
          <w:footerReference r:id="rId11" w:type="default"/>
          <w:pgSz w:w="11906" w:h="16838"/>
          <w:pgMar w:top="1440" w:right="1803" w:bottom="1440" w:left="1803" w:header="851" w:footer="992" w:gutter="0"/>
          <w:cols w:space="0" w:num="1"/>
          <w:docGrid w:type="linesAndChars" w:linePitch="319" w:charSpace="0"/>
        </w:sectPr>
      </w:pPr>
    </w:p>
    <w:p>
      <w:pPr>
        <w:pStyle w:val="3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w:t>
      </w:r>
    </w:p>
    <w:tbl>
      <w:tblPr>
        <w:tblStyle w:val="38"/>
        <w:tblW w:w="81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2461"/>
        <w:gridCol w:w="1519"/>
        <w:gridCol w:w="2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27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246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5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292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前突皮卡车</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275"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904" w:type="dxa"/>
            <w:gridSpan w:val="3"/>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27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w:t>
            </w:r>
          </w:p>
        </w:tc>
        <w:tc>
          <w:tcPr>
            <w:tcW w:w="690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1、国产非承载式底盘，驱动方式：4×4；</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2、外形尺寸（长×宽×高）mm≥5200×1900×1800；</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3、接近角/离去角≥22/25°。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27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▲2、柴油发动机，功率：≥120kW，变速箱：自动挡。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7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3、尾气排放满足柴油国VIb标准；配有原装、原尺寸备胎。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1、原车驾驶室，配备空调，中控锁、ABS；座位数≥5。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▲2、预留北斗单独接口和功率≥1000W的逆变器（12V、24V、220V)电源接口。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电气系统</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1、驾驶室顶部前端装配备≥200W红色长排频闪警灯及警报，车辆两侧设置3～5个爆闪灯，货箱盖板内配备独立照明。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2、警报器、警灯等上装部分电气为独立式附加电路，控制器件安装在驾驶室内。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安装360度全景行车记录仪辅助系统，配备超清夜视摄像头和彩色显示屏，分辨率≥1080P，尺寸≥7寸，支持分屏、单屏等多种模式，存储卡≥128G；行车记录仪采用自动分段录制，记录卡录满后可以自行删除最早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箱体</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厢体内空尺寸（长×宽×高）mm≥1500×1500×500，采用内饰铝花纹板，厢体为铝合金骨架加铝蒙皮，内外板形腔内填充喷涂防腐处理，箱体要求做隔热保温处理，厢门采用铝合金骨架加铝蒙皮。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牵引装置</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▲牵引装置 安装于厢内前部，额定拉力≥3800kg，钢丝绳直径≥8mm，钢丝绳长度≥25m。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照明升降系统</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设置车载倒伏式升降照明灯，功率≥2×150W，最大输出流明≥48000lm，水平旋转角度≥±180°，俯仰角度≥±180°，上升高度≥1.2m，遥控距离≥50m。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充气系统</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配备双缸充气泵。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随车资料</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底盘和整车使用说明书、维修手册及合格证，车辆VIN码及发动机号拓印件，随车配件清单。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1、所有操作开关、仪表、器材架及车辆均有符合规范的中文防水标识铭牌，车辆两侧及后部均贴有夜间反光警示贴。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2、货箱加装货箱盖板，选用金属材质，一体成型，具有良好密封性，尺寸与车厢整体匹配美观，具备可快速拆卸功能。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3、车用易损件按照1:2随车配备，交车时车用油、水、电、气等各项指标处于齐备状态。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4、整车质保期自购车发票开具之日起五年，底盘出厂日期不早于2024年1月1日。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eastAsia="宋体" w:cs="宋体"/>
                <w:color w:val="FF0000"/>
                <w:sz w:val="24"/>
                <w:szCs w:val="24"/>
                <w:highlight w:val="none"/>
              </w:rPr>
              <w:t>★5、所投型号车辆，应符合《消防车 第 1 部分：通用技术条件》( GB7956.1-2014)标准要求，提供整车设计效果图，包括整车结构图、三维效果图等。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2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0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6、外观标识符合《消防救援局关于做好消防救援车辆外观制式涂装工作的通知》应急消〔2019〕76号文件要求。</w:t>
            </w: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3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第二包</w:t>
      </w:r>
    </w:p>
    <w:tbl>
      <w:tblPr>
        <w:tblStyle w:val="38"/>
        <w:tblW w:w="79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1942"/>
        <w:gridCol w:w="1781"/>
        <w:gridCol w:w="3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07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194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78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320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淋浴车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126</w:t>
            </w:r>
          </w:p>
        </w:tc>
        <w:tc>
          <w:tcPr>
            <w:tcW w:w="320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074"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92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07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w:t>
            </w:r>
          </w:p>
        </w:tc>
        <w:tc>
          <w:tcPr>
            <w:tcW w:w="692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▲1、国产优质底盘；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▲2、驱动形式：4×2（或优于）；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▲3、功率：≥280kW，比功率≥11kW/t；</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4、排放标准：国Ⅵb及以上排放标准；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5、燃油箱容积≥300L；</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6、变速箱形式：手动变速箱。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3"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1、电源总开关安装驾驶室，切换时有声音提示，预留北斗独立接口和功率≥1000W的逆变器（12V、24V、220V)；</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安装360°全景行车记录仪及辅助系统，具有转向影像功能，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3、主副电动车窗，驾驶室翻转具有电动助力系统，采用双缸支撑机构；</w:t>
            </w:r>
          </w:p>
          <w:p>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车厢</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▲1、同时洗浴人数≥12人，同时洗漱人数≥10人；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2、材质车厢全部采用优质铝合金或高强度钢材，内饰板采用光面拉丝氧化铝板；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3、结构车厢为优质铝合金或高强度钢材框架结构；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4、车顶外侧安装频闪警灯及车外照明灯，内侧安装LED车顶照明灯；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5、车厢后部右侧设置一架通往车顶的铝合金安全爬梯；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6、车厢外侧左右各设置可收折的洗漱池，每边洗漱池配可收折冷热水龙头。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储罐</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1、材质304不锈钢；</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▲2、设备储罐分为保温水箱≥1800L，清水箱≥700L,清水箱左右各一个DN80内扣式接口的注水口，底部设有一个带DN40球阀的排污口，顶部设有一个清洗口。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淋浴锅炉系统</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1、锅炉系统采用燃油形式，燃料：柴油，功率≥120kW，最高加热温度≥60℃，智能控温；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2、锅炉加热装置操作电启动，自动/手动两种操作模式；</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3、配备附加燃油箱，油箱容积≥300L，可与底盘燃油箱互通共用。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水质过滤净化系统</w:t>
            </w:r>
          </w:p>
        </w:tc>
        <w:tc>
          <w:tcPr>
            <w:tcW w:w="692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配备水质过滤器，具有地表水过滤、杀菌功能，设备产水水量 ≥1500L/h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3"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电气系统</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1、驾驶室顶部前端装配有红色长排LED警灯；警灯警报功率≥200W，警灯电路为独立式附加电路，控制器件安装在驾驶室内；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2、车厢内设有照明灯，照明灯供电满足外部供电和车载发电机供电自动切换，能够满足整个箱体的照明；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3、频闪灯车厢左右两侧上部各配置频闪警灯；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4、车厢左右两侧上部各配置LED侧照明灯；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5、车厢顶部内侧配备LED灯；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6、车厢两侧安装有内嵌式黄色警示闪光灯；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▲7、电源总开关安装在驾驶室，预留北斗接口和功率≥1000w的逆变器（12v、24v、220v)。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8、安装360°全景行车记录仪及辅助系统，系统配备超清夜视摄像头和彩色显示屏，显示屏分辨率≥1080P，屏幕尺寸≥7寸，支持分屏、单屏等多种模式，存储卡容量≥128G，可自动分段录制；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9、配超静音发电机，功率≥12KW，发电机满负荷工作时室内噪音≤50dB，发电机功率能满足车内电器供电需求，连续供电时间≥72h；</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▲10、净水箱、污水箱、水道管路具备自加热防冻功能，淋浴室、更衣室加装燃油暖风机，满足冬季严寒条件下所有设备可以正常使用。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息采集装</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置</w:t>
            </w:r>
          </w:p>
        </w:tc>
        <w:tc>
          <w:tcPr>
            <w:tcW w:w="6924" w:type="dxa"/>
            <w:gridSpan w:val="3"/>
            <w:tcBorders>
              <w:top w:val="single" w:color="000000" w:sz="4" w:space="0"/>
              <w:left w:val="single" w:color="000000" w:sz="4" w:space="0"/>
              <w:bottom w:val="single" w:color="000000"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0"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随车资料</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FF0000"/>
                <w:kern w:val="0"/>
                <w:sz w:val="24"/>
                <w:szCs w:val="24"/>
                <w:highlight w:val="none"/>
                <w:u w:val="none"/>
                <w:lang w:val="en-US" w:eastAsia="zh-CN" w:bidi="ar"/>
              </w:rPr>
              <w:t>1、符合市场准入要求和国家相关标准（规范）要求，提供整车设计效果图，包括整车结构图、三维效果图等。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交车时提供整车合格证1份、底盘合格证1份、一致性证书1份、整车购置发票1套、底盘发动机号拓印件2份、车架识别代号拓印件2份、整车照片（车头左前方45°角方向拍摄）2份、上装电器原理图、底盘使用说明书、底盘质量保修卡、车辆使用说明书、随车器材清单、车辆跟踪服务卡、车辆交接清单</w:t>
            </w:r>
            <w:r>
              <w:rPr>
                <w:rFonts w:hint="eastAsia" w:ascii="宋体" w:hAnsi="宋体" w:eastAsia="宋体" w:cs="宋体"/>
                <w:i w:val="0"/>
                <w:iCs w:val="0"/>
                <w:color w:val="00B050"/>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0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随车器材</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1、配备潜水泵2台、警戒带（帆布材质50米）2条、备用保险1套、备用灯泡1套、备用滤芯1套、备胎（原车同品牌型号）1个、手提式干粉灭火器（2kg）2具、水桶2个、原车工具1套、车用三角警告牌1个；</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4" w:hRule="atLeast"/>
        </w:trPr>
        <w:tc>
          <w:tcPr>
            <w:tcW w:w="1074"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其他要求</w:t>
            </w:r>
          </w:p>
        </w:tc>
        <w:tc>
          <w:tcPr>
            <w:tcW w:w="6924"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1、交车时油水电气处于齐备状态；</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2、车用易损件按照1:2随车配备，交车时燃油量处于满载状态；</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3、整车质保5年，底盘出厂日期不早于2024年1月1日；</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4、所有操作开关、仪表、器材架及车辆均有符合规范的中文防水标识铭牌；加装应急充电、充气装置；</w:t>
            </w:r>
          </w:p>
          <w:p>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5、外观标识符合《消防救援局关于做好消防救援车辆外观制式涂装工作的通知》应急消〔2019〕76号文件要求。</w:t>
            </w: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tbl>
      <w:tblPr>
        <w:tblStyle w:val="38"/>
        <w:tblW w:w="80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7"/>
        <w:gridCol w:w="1997"/>
        <w:gridCol w:w="1980"/>
        <w:gridCol w:w="2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115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199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98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296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被服洗涤车</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139.5</w:t>
            </w:r>
          </w:p>
        </w:tc>
        <w:tc>
          <w:tcPr>
            <w:tcW w:w="29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5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94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15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整车参数</w:t>
            </w:r>
          </w:p>
        </w:tc>
        <w:tc>
          <w:tcPr>
            <w:tcW w:w="6941"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1、整车外形尺寸 长x宽x高（mm）：≥8900×2500×3600；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▲2、排放标准：国Ⅵb；</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▲3、发动机功率≥220kW。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3"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底盘参数</w:t>
            </w:r>
          </w:p>
        </w:tc>
        <w:tc>
          <w:tcPr>
            <w:tcW w:w="6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1、底盘：国产优质底盘；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▲2、驱动形式：4×2；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3、驾驶室：平头前翻（电动）；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4、配有针对严寒地区的燃油油箱及管路加热保温系统，容积≥300L；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5、变速箱：手动或自动；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6、底盘配置子午线钢丝胎或真空胎、配备原车全尺寸备胎，配胎压监测系统；</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7、电子控制制动系统（EBS）或同功能配置，汽车电子稳定控制系统（ESC）或同功能配置，配备气动缓速器，定速巡航，双回路气压制动，弹簧储能断气制动，发动机排气制动。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4"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驾驶室参数</w:t>
            </w:r>
          </w:p>
        </w:tc>
        <w:tc>
          <w:tcPr>
            <w:tcW w:w="6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1、驾乘室布局结构：单排驾驶室，多功能方向盘，电动升降玻璃，电子中控锁；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2、安装360全景行车记录仪及辅助系统，系统配备超清夜视摄像头和彩色显示屏，显示屏分辨率≥1080P，屏幕尺寸≥7寸，支持分屏、单屏等多种模式，存储卡容量≥128G，可自动分段录制、循环保存；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3、配备车载台，与采购方通信指挥系统配套使用；                                                                                                                                                                   4、电源总开关安装在驾驶室，预留北斗接口和功率≥1000W的逆变器（12V、24V、220V)。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电气系统</w:t>
            </w:r>
          </w:p>
        </w:tc>
        <w:tc>
          <w:tcPr>
            <w:tcW w:w="6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驾驶室顶部前端装配有红色长排LED警灯；车顶两侧装配红色频闪警灯；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2、整车配备交直流两种照明，满足工作照明和应急照明需求；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3、配备市电手动线缆盘2套≥30m，线缆规格≥4*10m²，同时，可外接电源220V\380V市电；</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4、配置发电机（组），满足洗涤车所有设备同时开启的用电负荷需求，7m范围内工作噪音不&gt;60dB，可进行发电机（组）供电和市电供电两种模式的互相切换，市电供电部分宜采用两相电。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9"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上装箱体</w:t>
            </w:r>
          </w:p>
        </w:tc>
        <w:tc>
          <w:tcPr>
            <w:tcW w:w="6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厢体侧板采用上下翼展门和侧拉箱体结构，翼展门可实现展开、半展开作业，展开后下有多点支撑平台，上部翼展门设置有固定式晾衣架，打开可作为遮雨棚，下部翼展门设置不锈钢扶手，保证操作人员在车边时的安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2、配备置物架、收纳箱等，满足日常使用需求；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厢体内外包型材、门结构采用阳极氧化处理过的铝型材，防腐耐用,各开孔和承重处均有骨架的预埋件,所有线束均预埋在箱板内，线束应有抗磨绝缘保护层，箱板结构要求具有环境适应性好及具有多种防护性能，隔热保温性，防雨、防火、防热辐射、防虫蛀等性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4、厢体下部设置裙箱，裙箱采用钢骨架铝蒙皮结构，裙箱下部铺设花纹铝板，并设置密封胶条；</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5、车厢底部设有统一排水接口，口径为65mm，配备排水管和排污泵供集中排放污水；                                                                                                                                                      6、设置超声波面罩清洗机，并具备快速烘干功能；                                                                                                                                                                                  7、设备仓设置燃油暖风机，燃油通过车辆底盘油箱供给。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11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洗涤设备</w:t>
            </w:r>
          </w:p>
        </w:tc>
        <w:tc>
          <w:tcPr>
            <w:tcW w:w="6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▲采用洗脱烘一体机，数量≥3台，洗衣量分别≥10kg、25kg、25kg，具有洗涤、脱水和烘干功能，单次洗衣时间≤15min，单次烘干时间≤30min；能完成对作训服、战斗服和日常衣物等服装的洗脱烘，同时不损伤衣物。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4" w:hRule="atLeast"/>
        </w:trPr>
        <w:tc>
          <w:tcPr>
            <w:tcW w:w="1157"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水箱及管路 </w:t>
            </w:r>
          </w:p>
        </w:tc>
        <w:tc>
          <w:tcPr>
            <w:tcW w:w="6941" w:type="dxa"/>
            <w:gridSpan w:val="3"/>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▲1、净水箱储水量：≥1000L，车载水处理装置，制水量≥1t/h，原水经过砂滤、碳滤、软水器等多重处理后达到生活用水要求，净化增配软体水罐和增压泵；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2、净水箱采用优质304不锈钢材质制作，箱体内设置纵、横防荡板；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3、净水箱具有电加热功能，能保证在高寒地区执勤时净水箱内部不结冰；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4、设有液位计，能监测水液位，同时具有低液位报警功能；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5、设置净水系统，净化量≥600L/h，水质符合市政水标准；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6、整车用水管路设排空阀，采用不锈钢材质，采用电加热保暖措施，并设置吹扫空气系统，可将管路残余水量排出干净，防止冬季冻裂管路；                                                                                                            ▲7、设置排水系统，可通过排水系统迅速排水，满足在冬季严寒条件下所有设备可以正常使用。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1" w:hRule="atLeast"/>
        </w:trPr>
        <w:tc>
          <w:tcPr>
            <w:tcW w:w="115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息采集装置</w:t>
            </w:r>
          </w:p>
        </w:tc>
        <w:tc>
          <w:tcPr>
            <w:tcW w:w="6941"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157" w:type="dxa"/>
            <w:vMerge w:val="restart"/>
            <w:tcBorders>
              <w:top w:val="single" w:color="auto"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941" w:type="dxa"/>
            <w:gridSpan w:val="3"/>
            <w:vMerge w:val="restart"/>
            <w:tcBorders>
              <w:top w:val="single" w:color="auto"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1、整车性能符合国家规定，车身颜色符合 GB/T3181中规定的RO3大红色，外观标识符合《消防救援局关于做好消防救援车辆外观制式涂装工作的通知》应急消〔2019〕76号文件要求；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2、所有操作开关、仪表、器材架及车辆均有符合规范的中文防水标识铭牌；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3、车辆交付时，按照1:2的比例随车配备车用易损件，油、水、电、气等各项指标处于齐备状态；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4、质保期自初验合格之日起五年，出厂日期不早于2024年1月1日；</w:t>
            </w:r>
          </w:p>
          <w:p>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5、符合市场准入要求和国家相关标准（规范）要求，提供整车设计效果图，包括整车结构图、三维效果图等；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交车时提供整车合格证1份、底盘合格证1份、一致性证书1份、整车购置发票1套、底盘发动机号拓印件2份、车架识别代号拓印件2份、整车照片（车头左前方45°角方向拍摄）2份、上装电器原理图、底盘使用说明书、底盘质量保修卡、车辆使用说明书、随车器材清单、车辆跟踪服务卡、车辆交接清单</w:t>
            </w:r>
            <w:r>
              <w:rPr>
                <w:rFonts w:hint="eastAsia" w:ascii="宋体" w:hAnsi="宋体" w:eastAsia="宋体" w:cs="宋体"/>
                <w:i w:val="0"/>
                <w:iCs w:val="0"/>
                <w:color w:val="00B050"/>
                <w:kern w:val="0"/>
                <w:sz w:val="24"/>
                <w:szCs w:val="24"/>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7、配备钢链或优于此材质的防滑链一套（满足在驱动轮安装）。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157"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41" w:type="dxa"/>
            <w:gridSpan w:val="3"/>
            <w:vMerge w:val="continue"/>
            <w:tcBorders>
              <w:top w:val="single" w:color="auto" w:sz="4" w:space="0"/>
              <w:left w:val="single" w:color="000000" w:sz="4" w:space="0"/>
              <w:bottom w:val="single" w:color="auto" w:sz="4"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57"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41" w:type="dxa"/>
            <w:gridSpan w:val="3"/>
            <w:vMerge w:val="continue"/>
            <w:tcBorders>
              <w:top w:val="single" w:color="auto" w:sz="4" w:space="0"/>
              <w:left w:val="single" w:color="000000" w:sz="4" w:space="0"/>
              <w:bottom w:val="single" w:color="auto" w:sz="4"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57"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41" w:type="dxa"/>
            <w:gridSpan w:val="3"/>
            <w:vMerge w:val="continue"/>
            <w:tcBorders>
              <w:top w:val="single" w:color="auto" w:sz="4" w:space="0"/>
              <w:left w:val="single" w:color="000000" w:sz="4" w:space="0"/>
              <w:bottom w:val="single" w:color="auto" w:sz="4"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1157"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41" w:type="dxa"/>
            <w:gridSpan w:val="3"/>
            <w:vMerge w:val="continue"/>
            <w:tcBorders>
              <w:top w:val="single" w:color="auto" w:sz="4" w:space="0"/>
              <w:left w:val="single" w:color="000000" w:sz="4" w:space="0"/>
              <w:bottom w:val="single" w:color="auto" w:sz="4"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57"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41" w:type="dxa"/>
            <w:gridSpan w:val="3"/>
            <w:vMerge w:val="continue"/>
            <w:tcBorders>
              <w:top w:val="single" w:color="auto" w:sz="4" w:space="0"/>
              <w:left w:val="single" w:color="000000" w:sz="4" w:space="0"/>
              <w:bottom w:val="single" w:color="auto" w:sz="4"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bl>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tbl>
      <w:tblPr>
        <w:tblStyle w:val="38"/>
        <w:tblW w:w="80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2287"/>
        <w:gridCol w:w="1963"/>
        <w:gridCol w:w="2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16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228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96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261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发电车</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26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16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86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6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整车参数</w:t>
            </w:r>
          </w:p>
        </w:tc>
        <w:tc>
          <w:tcPr>
            <w:tcW w:w="686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1、整车外形尺寸:长x宽x高（mm）≥9000×2450×3000；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2、排放标准：国Ⅵb；</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▲3、发动机功率≥250kW。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底盘参数</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1、底盘：国产优质底盘；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▲2、驱动形式：4×2；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3、驾驶室：平头前翻（电动）；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4、配有针对严寒地区的燃油油箱及管路加热保温系统，容积≥300L；；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5、变速箱：手动或自动；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6、底盘配置子午线钢丝胎或真空胎、配备原车全尺寸备胎，配胎压监测系统；</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7、电子控制制动系统（EBS）或同功能配置，汽车电子稳定控制系统（ESC）或同功能配置，配备气动缓速器，定速巡航，双回路气压制动，弹簧储能断气制动，发动机排气制动。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3"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驾驶室参数</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1、电源总开关安装驾驶室，切换时有声音提示，预留北斗独立接口和功率≥1000W的逆变器（12V、24V、220V)；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安装360°全景行车记录仪及辅助系统，具有转向影像功能，全车倒车雷达探头≥4个，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3、主副电动车窗，驾驶室翻转具有电动助力系统，采用双缸支撑机构；</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上装车厢</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1、厢体前端向后依次为发电机组仓、器材仓；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2、裙箱配上翻门，裙箱门采用全铝结构；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3、车厢左右两侧个设置一个铝合金对开检修门；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4、车厢前部安装登顶梯；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5、车厢后部左右两侧各设置1个铝合金上翻门，尾部设置一个铝合金上翻门；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6、配抽拉式登车梯；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7、含进排风百叶窗、二级消声器、排烟管、弯头、隔热系统等。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7"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电气设备</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驾驶室顶部前端装配有红色长排LED警灯；车顶两侧装配红色频闪警灯；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2、警报器、警灯、电台、器材箱照明等上装部分电气为独立式附加电路，控制器件安装在驾驶室内，所有操作按钮有中文防水标识；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电气系统线路改装要求：整车电路标识清楚，每根电线都具备单独编号，整车电气系统线路采用铜芯电线，正负电极线路颜色区分明显，改装线路具有防水、防尘性能，各线路捆扎整齐，线路铺设位置便于检查维修；改装线路裸露在车体外部、接近热源、靠近油箱等情况下应加装隔板或相应的保护；</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4、自动分离充电装置：可对车辆蓄电池智能充电。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发电机组</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▲1、柴油发电机组，功率≥500kW，输出电压220V/380V，发电机油箱容积≥300L，全功率发电时间≥8小时，工作噪音≤90dB；</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2、控制器：机组本体与远端面板双控，远端控制采用手机APP云控制；                                                                                                                                                               3、配备三相四线防水带锁紧型380V电源输出插座≥6个，其中输出的100A≥2个，50A-100A≥2个，小于50A≥2个；三相四线国标380V电源输出插座≥5个，输出电流≤20A；单相三插防水带锁紧型220V电源输出插座≥5个，输出电流30A-50A；单相国标220V电源输出插座≥10个，输出电流≤20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随车附件</w:t>
            </w:r>
          </w:p>
        </w:tc>
        <w:tc>
          <w:tcPr>
            <w:tcW w:w="6869"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1、配备移动式大电流分线盒≥3套，分线盒输出电流≥100A；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▲2、配备三相四线电缆盘≥10盘，输出电流≥15A，长度≥50米；三插国标单相电缆盘10盘，输出电流≥15A，长度≥50米；移动多功能插线板≥10个，以上设备均满足防水、防爆、防漏电要求；</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配电系统</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采用交直流分开控制操作，分别有观察表和检测开关,配电盘面设有各种数显电压表、电流表、控制开关，可观察电网电压输出电压各项电流，设置一个直流输出端，断路器≥32A。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升降照明系统</w:t>
            </w:r>
          </w:p>
        </w:tc>
        <w:tc>
          <w:tcPr>
            <w:tcW w:w="6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▲1、配备车载四灯头照明灯系统1套，照明灯离地面高度≥8米，照明灯功率≥2000W，照明灯采用LED灯；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▲2、配备移动照明灯组2套（不含发电机），额定电压220V，采用LED灯，照明灯功率≥400W，铝合金移动灯架，可收缩存放，灯杆最大举升高度≥3米；</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3、配备漏电、断路、过载保护系统。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1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息采集装</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置</w:t>
            </w:r>
          </w:p>
        </w:tc>
        <w:tc>
          <w:tcPr>
            <w:tcW w:w="6869" w:type="dxa"/>
            <w:gridSpan w:val="3"/>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16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869" w:type="dxa"/>
            <w:gridSpan w:val="3"/>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1、外观标识符合《消防救援局关于做好消防救援车辆外观制式涂装工作的通知》应急消〔2019〕76号文件要求；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2、所有操作开关、仪表、器材架及车辆均有符合规范的中文防水标识铭牌；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3、车辆交付时，按照1:2的比例随车配备车用易损件，油、水、电、气等各项指标处于齐备状态；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4、质保期自初验合格之日起五年，出厂日期不早于2024年1月1日；</w:t>
            </w:r>
          </w:p>
          <w:p>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5、符合市场准入要求和国家相关标准（规范）要求，提供整车设计效果图，包括整车结构图、三维效果图等；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交车时提供整车合格证1份、底盘合格证1份、一致性证书1份、整车购置发票1套、底盘发动机号拓印件2份、车架识别代号拓印件2份、整车照片（车头左前方45°角方向拍摄）2份、上装电器原理图、底盘使用说明书、底盘质量保修卡、车辆使用说明书、随车器材清单、车辆跟踪服务卡、车辆交接清单</w:t>
            </w:r>
            <w:r>
              <w:rPr>
                <w:rFonts w:hint="eastAsia" w:ascii="宋体" w:hAnsi="宋体" w:eastAsia="宋体" w:cs="宋体"/>
                <w:i w:val="0"/>
                <w:iCs w:val="0"/>
                <w:color w:val="00B050"/>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6" w:hRule="atLeast"/>
        </w:trPr>
        <w:tc>
          <w:tcPr>
            <w:tcW w:w="11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69"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第三包</w:t>
      </w:r>
    </w:p>
    <w:tbl>
      <w:tblPr>
        <w:tblStyle w:val="38"/>
        <w:tblW w:w="81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391"/>
        <w:gridCol w:w="1399"/>
        <w:gridCol w:w="1399"/>
        <w:gridCol w:w="140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17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139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3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冷冻区容积</w:t>
            </w:r>
          </w:p>
        </w:tc>
        <w:tc>
          <w:tcPr>
            <w:tcW w:w="13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保鲜区容积</w:t>
            </w:r>
          </w:p>
        </w:tc>
        <w:tc>
          <w:tcPr>
            <w:tcW w:w="14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1392"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7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冷藏车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≥30m³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39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981"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76"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981"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1、符合C类冷藏车标准，用于处置特别重大灾害事故时，存储120人3天所需肉、蛋、蔬菜及主副食品等。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2、整车外形尺寸(长×宽×高)mm：≥9500×2500×3500。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、外观标识符合《消防救援局关于做好消防救援车辆外观制式涂装工作的通知》应急消〔2019〕76号文件要求。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、所有操作开关、仪表、器材架及车辆均有符合规范的铭牌标志。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、配备钢链或优于此材质的防滑链一套（满足在驱动轮安装）。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、整车改装后不得影响加油、清洗油箱吸油管滤网，更换电瓶、燃油滤芯、干燥罐、空气滤芯、柴油滤芯等底盘与上装的维护保养。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、整车所有涉及防冻的装置，需加装防冻、解冻设备，避免冬季无法使用。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、整车质保5年，底盘出厂日期不早于2024年1月1日。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176"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FF0000"/>
                <w:sz w:val="24"/>
                <w:szCs w:val="24"/>
                <w:highlight w:val="none"/>
              </w:rPr>
              <w:t>9、符合市场准入要求和国家相关标准（规范）要求，提供整车设计效果图，包括整车结构图、三维效果图等。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17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信息采集装置技术参数</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底盘技术需求</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1、排放标准：满足国Ⅵb及以上标准。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▲2、底盘最大允许总质量≤20t。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▲3、驱动形式4×4。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▲4、额定功率≥220kW。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5、油箱：容积≥300L。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vMerge w:val="restart"/>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驾乘室</w:t>
            </w:r>
          </w:p>
        </w:tc>
        <w:tc>
          <w:tcPr>
            <w:tcW w:w="6981"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▲1、电源总开关安装驾驶室，预留北斗接口和功率≥1000W的逆变器（12V、24V、220V)。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vMerge w:val="continue"/>
            <w:tcBorders>
              <w:top w:val="single" w:color="000000" w:sz="4" w:space="0"/>
              <w:left w:val="single" w:color="000000" w:sz="8"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安装360°全景行车记录仪及辅助系统，全车倒车雷达探头≥4个，系统配备超清夜视摄像头和彩色显示屏，显示屏分辨率≥1080P，屏幕尺寸≥7寸，支持分屏、单屏等多种模式，存储卡容量≥128G，可自动分段录制、循环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8"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3、主副电动车窗，驾驶室翻转具有电动助力系统，采用双缸支撑机构。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8"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4、配备车载台，与采购方通信指挥系统配套使用，并根据客户需求写入通信频段。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17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122" w:name="_GoBack"/>
            <w:r>
              <w:rPr>
                <w:rFonts w:hint="eastAsia" w:ascii="宋体" w:hAnsi="宋体" w:eastAsia="宋体" w:cs="宋体"/>
                <w:i w:val="0"/>
                <w:iCs w:val="0"/>
                <w:color w:val="auto"/>
                <w:kern w:val="0"/>
                <w:sz w:val="24"/>
                <w:szCs w:val="24"/>
                <w:highlight w:val="yellow"/>
                <w:u w:val="none"/>
                <w:lang w:val="en-US" w:eastAsia="zh-CN" w:bidi="ar"/>
              </w:rPr>
              <w:t>车厢</w:t>
            </w:r>
            <w:bookmarkEnd w:id="122"/>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yellow"/>
              </w:rPr>
              <w:t xml:space="preserve"> </w:t>
            </w:r>
            <w:r>
              <w:rPr>
                <w:rFonts w:hint="eastAsia" w:ascii="宋体" w:hAnsi="宋体" w:cs="宋体"/>
                <w:sz w:val="24"/>
                <w:szCs w:val="24"/>
                <w:highlight w:val="yellow"/>
                <w:lang w:val="en-US" w:eastAsia="zh-CN"/>
              </w:rPr>
              <w:t>1</w:t>
            </w:r>
            <w:r>
              <w:rPr>
                <w:rFonts w:hint="eastAsia" w:ascii="宋体" w:hAnsi="宋体" w:eastAsia="宋体" w:cs="宋体"/>
                <w:sz w:val="24"/>
                <w:szCs w:val="24"/>
                <w:highlight w:val="yellow"/>
              </w:rPr>
              <w:t>、</w:t>
            </w:r>
            <w:r>
              <w:rPr>
                <w:rFonts w:hint="eastAsia" w:ascii="宋体" w:hAnsi="宋体" w:eastAsia="宋体" w:cs="宋体"/>
                <w:sz w:val="24"/>
                <w:szCs w:val="24"/>
                <w:highlight w:val="none"/>
              </w:rPr>
              <w:t>车厢设置两个独立的储藏区，能根据需要进行冷藏或冷冻运输，能存储120人3天所需肉、蛋、蔬菜及主副食品等。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厢体采用厢式大板粘接结构，厢体表面采用铝合金板粘结，外蒙皮采用电泳预喷烤漆附膜铝板，隔层采用现场发泡填充，确保厢体保温，保温层厚度应均匀，填充饱满，具有抗老化耐腐蚀能力，防火性能应符合招标T09001的规定；车厢性能按QC/T 449-2010标准，漏气倍数不低于一级，总传热系统不低于A级。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厢体内外包型材、门结构采用阳极氧化处理过的铝型材，外型美观，防腐耐用。各开孔和承重处均有骨架的预埋件，满足舱体的承重要求和安装要求。所有线束均预埋在方舱的大板内，线束应有抗磨绝缘保护层。大板结构要求具有环境适应性好及具有多种防护性能，隔热保温性，防雨、防火、防热辐射、防虫蛀等性能。车厢前部装有登顶踏板便于上顶部维护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车厢尾部采用整体式对开门，车门开启角度≥270°，门材料采用304不锈钢材质；厢尾侧部设置一扇单开门，车门开启角度≥180°，门材料采用304不锈钢材质，两扇门均应设置门挂钩装置；厢体外部设置内嵌式上下车折叠梯，方便人员进出厢体;车箱尾部设置铝合金板材液压尾板，额定载荷能力≥2000kg，电动液压控制，通过尾板可将保障物资快捷取放，提高装卸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车厢分为前、后两舱，前舱和后舱前侧顶部安装制冷机组蒸发器；前舱和后舱均设LED照明顶灯及紫外线消毒灯；厢内地板高强度铝合金T形地板；厢内应设有限高线及标高线用于提醒操作人员装货高度；为了保证食品运输质量，前舱、后舱应安装温湿度记录仪探头；在侧门及后门上方应设置风幕机避免冷气外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、保鲜室、冷冻室：分为堆垛区和摆放区，地板前部设有地漏便于排水，安装≥ 2 个紫外线消毒灯，满足车厢内的杀菌消毒。堆垛区位于车身保鲜区前部，容积≥8m³。堆垛区与摆放区设置固定设施，防止堆放物资在行驶过程中滚动或滑落；挂放区设有肉类挂钩，数量≥10个；摆放区设置铝合金器材架，器材架要与厢体硬连接，固定点≥6个，货架每延米承重≥100kg，货架每层设置货物固定装置，物理分割各类食品，防止混合冷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制冷机组</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▲1、采用独立多温机组，制冷量≥3600W；机组设两台蒸发器，两台蒸发器可独立运行，相互之间不受影响。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▲2、机组应自带发动机，配备超静音发电机，额定功率≥10Kw，输出电压220V，相数为单相，频率50HZ，发电机应符合“GJB5402-2005 改装车用自发电机组规范”的要求。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▲3、机组应具有双温双控功能，温控范围≥-20℃～+30℃；两个隔舱的温度均可在驾驶室内单独控制。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4、机组应具有自动+手动除霜功能。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7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电器及控制设备</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1、驾驶室顶部前端装配有红色长排LED警灯；车顶两侧装配红色频闪警灯；车辆两侧及后方，加装LED长条照明射灯，左右各2个，后侧1个，照明功率≥200W，所有控制开关设在驾驶室内，两侧警灯及照明灯安装防护网；安装警报器，功率≥200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2、电气系统线路改装要求：整车电路标识清楚，每根电线都具备单独编号，整车电气系统线路采用铜芯电线，正负电极线路颜色区分明显，改装线路具有防水、防尘性能，各线路捆扎整齐，线路铺设位置便于检查维修。改装线路裸露在车体外部、接近热源、靠近油箱等情况下应加装隔板或相应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3、配内开模式及报警需求，防止人员误锁。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981"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 xml:space="preserve"> 4、车辆配置外接电源输入接口和50米电源线缆盘，可输入能保障车辆及设备正常使用的电源。</w:t>
            </w: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tbl>
      <w:tblPr>
        <w:tblStyle w:val="38"/>
        <w:tblW w:w="79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7"/>
        <w:gridCol w:w="1944"/>
        <w:gridCol w:w="1280"/>
        <w:gridCol w:w="3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3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194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28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预算价格（万元）</w:t>
            </w:r>
          </w:p>
        </w:tc>
        <w:tc>
          <w:tcPr>
            <w:tcW w:w="343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水质净化车</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343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1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66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0" w:hRule="atLeast"/>
        </w:trPr>
        <w:tc>
          <w:tcPr>
            <w:tcW w:w="13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整车参数</w:t>
            </w:r>
          </w:p>
        </w:tc>
        <w:tc>
          <w:tcPr>
            <w:tcW w:w="666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1、外形尺寸≤8500mm×2550mm×3600mm；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2、最高车速≥100km/h；</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3、所有操作开关、仪表、器材架及车辆均有符合规范的铭牌标志；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4、按标准配齐随车设备，设备布置合理；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5、整车改装后不得影响加油、清洗油箱吸油管滤网，更换电瓶、燃油滤芯、干燥罐、空气滤芯、柴油滤芯等底盘与上装的维护保养；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6、整车颜色符合GB7258 规定的GB/T3181《漆膜颜色标准》中R03 大红色，外观标识符合《消防救援局关于做好消防救援车辆外观制式涂装工作的通知》应急消〔2019〕76号文件要求；</w:t>
            </w:r>
          </w:p>
          <w:p>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7、符合市场准入要求和国家相关标准（规范）要求，提供整车设计效果图，包括整车结构图、三维效果图等；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8、整车质保不低于5年，底盘出厂日期不早于2024年1月1日。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底盘要求</w:t>
            </w:r>
          </w:p>
        </w:tc>
        <w:tc>
          <w:tcPr>
            <w:tcW w:w="666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1、尾气排放满足国Ⅵb及以上标准；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▲2、驱动形式 4×2；轮胎使用钢丝胎；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▲3、额定功率≥220kW；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4、制动系统：ABS 系统，配备液力缓速器、发动机缸内制动、排气制动等辅助制动装置；</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5、油箱：容积≥300L。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1、驾乘室布局结构：单排驾驶室，多功能方向盘，电动升降玻璃，电子中控锁；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2、安装360全景行车记录仪及辅助系统，系统配备超清夜视摄像头和彩色显示屏，显示屏分辨率1080P，屏幕尺寸7寸，支持分屏、单屏等多种模式，存储卡容量128G，可自动分段录制、循环保存；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3、配备车载台，与采购方通信指挥系统配套使用；                                                                                                                                                                   4、电源总开关安装在驾驶室，预留北斗接口和功率≥1000W的逆变器（12V、24V、220V)。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4"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车厢</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1、车厢尺寸约（长×宽×高）≤6500×2550×2300mm；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2、车厢从前至后依次为发电机舱、罐体舱和设备舱，采用整体式结构，设置防滑板等设施；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厢体采用厢式大板粘接结构，外蒙皮采用玻璃钢板材，内蒙皮采用不锈钢板材，厢体内外包型材、门结构采用阳极氧化处理过的铝型材，外型美观，防腐耐用。各开孔和承重处均有骨架的预埋件，满足舱体的承重要求和安装要求。所有线束均预埋在方舱的大板内，线束应有抗磨绝缘保护层，大板结构要求具有多种防护性能，隔热保温性，防雨、防火、防热辐射、防虫蛀等性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4、车厢设置活动登车梯，厢体发电机舱、罐体舱、设备舱位置应设门，便于进出和检修；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5、车厢下部设器材箱，左右各3扇，上翻式，带锁，LED 白光照明灯带，随上翻门启闭；</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6、车厢加装燃油暖风机，功率≥5kW,燃油由主油箱供给。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7"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净水设备</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1、净水系统由不锈钢框架、前置过滤器、多介质过滤器、保安过滤器、反渗透过滤装置、后置净水系统、紫外线杀菌器及管路等组成；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2、不锈钢框架：管路所用材质为304不锈钢；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3、前置过滤器：内置精密不锈钢滤网，正常使用情况下，可观察滤瓶内是否有泥沙阻塞，有堵塞情况发生时，可旋转滤瓶并打开排污阀，让泥沙排出至排污管道；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4、多介质过滤器：内置石英砂、无烟煤、锰砂，主要阻拦水中50微米以上杂质；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5、活性炭过滤器：主要吸附水中余氯以及其他杂质，改善水质；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6、保安过滤器：内置10支30寸 PP 喷容聚酯滤芯，主要阻拦5微米以上水体内的杂质，为后续过滤单元起到保护作用；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7、反渗透过滤装置：采用高强度304不锈钢外壳，6支芳香族聚酰胺反渗透滤膜，过滤精度0.0001微米，可去除水中 99%以上细菌、盐、重金属、塑化剂以及农药残留；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8、后置净水系统： 配有喷容聚酯滤芯，强化净水效果，有效降低水中的色度和异味，改善水质口感；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9、紫外线杀菌器: 有效杀死水体内的细菌病毒，确保水质安全无污染；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10、净水装置应有压力及流量显示；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11、尺寸：≤2500mm×2200mm×2000mm；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12、应具有反冲洗、分别产出两种水质等功能；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13、净水装置各系统安装牢靠、无渗漏现象；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14、生活用水产水量：≥8t/h，产水水质符合 GJB 651-1989 的相关要求；</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15、生活饮用水产水量：≥5t/h，产水水质符合 GB 5749-2006 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9"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水罐及管路</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1、控制柜及仪表板设置在厢体尾部，带锁上翻门、仪表板照明灯、蜂鸣警报器；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2、控制开关至少包括：电源开关、纯净运行、反渗透膜清洗、自动受水、急停等；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3、仪表显示至少包括：纯净水流量、纯净系统累计工作时间、原水电导率、产水电导率、水位值、压力表等。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控制设备</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1、控制柜及仪表板设置在厢体尾部，带锁上翻门、仪表板照明灯、蜂鸣警报器；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2、控制开关至少包括：电源开关、纯净运行、反渗透膜清洗、自动受水、急停等；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3、仪表显示至少包括：纯净水流量、纯净系统累计工作时间、原水电导率、产水电导率、水位值、压力表等。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电器设备</w:t>
            </w:r>
          </w:p>
        </w:tc>
        <w:tc>
          <w:tcPr>
            <w:tcW w:w="6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驾驶室顶部前端装配有红色长排LED警灯；车顶两侧装配红色频闪警灯；安装警报器，功率≥200W；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2、发电机组：独立式柴油发电机，固定在发电机箱内，方舱两侧设置上翻门，方便加油、维修；额定功率≥20KW，相数：三相；频率：50HZ。各独立电气回路对地及回路间应能承受1200V、50Hz、历时 1 分钟的绝缘介电强度试验而无击穿或闪络现象；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3、车内电气照明应使用防潮灯具，防护等级为IP67。设有1个24V、500W火场移动照明灯，满足夜间作业需要；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4.车辆配置外接电源输入输出接口和50m电源线缆盘，可输入能保障车辆及设备正常使用的电源；</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5、警报器、警灯、电台、器材箱照明等上装部分电气为独立式附加电路，控制器件安装在驾驶室内，所有操作按钮有中文防水标识。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息采集装</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置</w:t>
            </w:r>
          </w:p>
        </w:tc>
        <w:tc>
          <w:tcPr>
            <w:tcW w:w="666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31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66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1、水质净化车用于多种抢险救援极端条件下的供水保障，可净化 GB3838-2002 中规定的Ⅰ类、Ⅱ类、Ⅲ类地表水，产水水质符合 GJB651-1989 中饮用 90d 的水质要求，从而保障一线救援人员饮水需要及身体健康；</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2、配备钢链或优于此材质的防滑链一套（满足在驱动轮安装）。</w:t>
            </w: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tbl>
      <w:tblPr>
        <w:tblStyle w:val="38"/>
        <w:tblW w:w="79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1715"/>
        <w:gridCol w:w="1914"/>
        <w:gridCol w:w="3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03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标的名称</w:t>
            </w:r>
          </w:p>
        </w:tc>
        <w:tc>
          <w:tcPr>
            <w:tcW w:w="17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购置单位</w:t>
            </w:r>
          </w:p>
        </w:tc>
        <w:tc>
          <w:tcPr>
            <w:tcW w:w="191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预算单价（万元）</w:t>
            </w:r>
          </w:p>
        </w:tc>
        <w:tc>
          <w:tcPr>
            <w:tcW w:w="325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盥洗车</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乌鲁木齐市消防救援支队</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124</w:t>
            </w:r>
          </w:p>
        </w:tc>
        <w:tc>
          <w:tcPr>
            <w:tcW w:w="32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3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88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03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整车参数</w:t>
            </w:r>
          </w:p>
        </w:tc>
        <w:tc>
          <w:tcPr>
            <w:tcW w:w="6888"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1、整车外形尺寸 长x宽x高（mm)：≥12000≥2500≥3900；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▲2、最大功率≥220kW；</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3、排放标准：国Ⅵb。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2"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底盘参数</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1、底盘：国产优质底盘；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▲2、驱动形式：6×4；</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3、驾驶室：平头前翻（电动）；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4、配有针对严寒地区的燃油油箱及管路加热保温系统，容积≥300L；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5、变速箱：手动或自动；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6、底盘配置子午线钢丝胎或真空胎、配备原车全尺寸备胎，配胎压监测系统；</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7、电子控制制动系统（EBS）或同功能配置，汽车电子稳定控制系统（ESC）或同功能配置，配备气动缓速器，定速巡航，双回路气压制动，弹簧储能断气制动，发动机排气制动。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驾驶室参数</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1、驾乘室布局结构：单排驾驶室，多功能方向盘，电动升降玻璃，电子中控锁；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2、安装360全景行车记录仪及辅助系统，系统配备超清夜视摄像头和彩色显示屏，显示屏分辨率1080P，屏幕尺寸7寸，支持分屏、单屏等多种模式，存储卡容量128G，可自动分段录制、循环保存；</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3、配备车载台，与采购方通信指挥系统配套使用；                                                                                                                                                                   4、电源总开关安装在驾驶室，预留北斗接口和功率≥1000W的逆变器（12V、24V、220V)。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卫生设施 </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1、车厢主体骨架为高强度铝型材，外蒙板为优质玻璃钢，隔断采用优质防水材料，地面采用防滑耐磨材料；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▲2、配备独立供电系统，发电机功率≥12kW，可输出220V和380V电压，配备市电手动线缆盘2套≥30m，线缆规格≥4*10m²，同时，可外接电源220V\380V市电；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▲3、设置蹲便数≥8，材质为304不锈钢，蹲便器排放方式为真空气动机械式，洗手盆数（不锈钢材质、含梳妆镜）≥1个，配备废纸篓、手纸盒、衣帽钩、烘干机等；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▲4、净水箱和污水箱材质为304不锈钢具有电加热功能，厚度≥4mm，容量均≥1000L，均配备呼吸阀、液位指示传感器、排污口，接口口径65mm带有便携抽水泵和排污泵；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5、箱体配备冷暖空调、通风换气和照明系统，满足制冷、保暖、照明和通风换气需求；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6、设置排水系统，走道、便坑、洗漱台等可以使用水枪冲洗，且可通过排水系统迅速排水；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▲7、防冻措施，在冬季严寒条件下所有设备可以正常使用；</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8、真空收集系统，真空泵额定功率≥3kW，排污泵电机功率≥2kW。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5"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热水器及淋浴设备</w:t>
            </w:r>
          </w:p>
        </w:tc>
        <w:tc>
          <w:tcPr>
            <w:tcW w:w="688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▲1、采用智能燃油热水器，功率≥110KW，使用底盘柴油为燃料，同时保证全负荷使用时间≥10小时；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2、管路配备气路吹扫阀，每次使用完后将管道内所有余水吹扫干净，避免低温环境下冻坏管路；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▲3、能够同时满足≥8人的淋浴卫厕的需求并配备增压泵和排污泵；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4、罐体内设置纵、横放荡板；罐体设有80mm溢流管，并设有65mm注水口；罐顶设置有罐盖，罐底设有带球阀的排污口；两个罐体均设有液位计，可在屏幕上显示水罐液位；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5、水厢淋浴设备，水路系统均采用不锈钢和PPR材质，确保管路系统耐腐蚀，经久耐用；</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淋浴间配备燃油加热机、淋浴水管、喷头、防滑胶垫、搁物架、照明灯等设备，淋浴头采用花洒式，可控制直流、开花，淋浴头数量≥8个；淋浴间地板采用一体式防滑铝花纹板，淋浴间两侧应设有防虫防雨窗口，可手动打开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3"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电气设备</w:t>
            </w:r>
          </w:p>
        </w:tc>
        <w:tc>
          <w:tcPr>
            <w:tcW w:w="688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驾驶室顶部前端装配有红色长排LED警灯；车顶两侧装配红色频闪警灯；车辆两侧及后方，加装LED长条照明射灯，左右各2个，后侧1个，照明功率≥200W，所有控制开关设在驾驶室内，两侧警灯及照明灯安装防护网；安装警报器，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2、警报器、警灯、电台、器材箱照明等上装部分电气为独立式附加电路，控制器件安装在驾驶室内，所有操作按钮有中文防水标识；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电气系统线路改装要求：整车电路标识清楚，每根电线都具备单独编号，整车电气系统线路采用铜芯电线，正负电极线路颜色区分明显，改装线路具有防水、防尘性能，各线路捆扎整齐，线路铺设位置便于检查维修；改装线路裸露在车体外部、接近热源、靠近油箱等情况下应加装隔板或相应的保护；</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4、自动分离充电装置：可对车辆蓄电池智能充电。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上装-信</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息采集装</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置</w:t>
            </w:r>
          </w:p>
        </w:tc>
        <w:tc>
          <w:tcPr>
            <w:tcW w:w="6888" w:type="dxa"/>
            <w:gridSpan w:val="3"/>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1、采集底盘系统输出信息主要包含里程、燃油使用总量、发动机工作时间、燃料液面、发动机转速、车速、发动机夜温度高报警、机油液位低报警等信息；</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2、具有上装及底盘系统信息采集与远程传输功能，同时具有独立管理平台，实现采集信息接收、存储及业务管理功能，相关采集信息能够接入到新版消防装备物资管理系统中。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总体要求</w:t>
            </w:r>
          </w:p>
        </w:tc>
        <w:tc>
          <w:tcPr>
            <w:tcW w:w="6888" w:type="dxa"/>
            <w:gridSpan w:val="3"/>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1、整车性能符合国家规定，车身颜色符合 GB/T3181中规定的RO3大红色，外观标识符合《消防救援局关于做好消防救援车辆外观制式涂装工作的通知》应急消〔2019〕76号文件要求；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2、所有操作开关、仪表、器材架及车辆均有符合规范的中文防水标识铭牌；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3、车辆交付时，按照1:2的比例随车配备车用易损件，油、水、电、气等各项指标处于齐备状态；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4、质保期自初验合格之日起五年，出厂日期不早于2024年1月1日；</w:t>
            </w:r>
          </w:p>
          <w:p>
            <w:pPr>
              <w:keepNext w:val="0"/>
              <w:keepLines w:val="0"/>
              <w:widowControl/>
              <w:suppressLineNumbers w:val="0"/>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5、符合市场准入要求和国家相关标准（规范）要求，提供整车设计效果图，包括整车结构图、三维效果图等；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交车时提供整车合格证1份、底盘合格证1份、一致性证书1份、整车购置发票1套、底盘发动机号拓印件2份、车架识别代号拓印件2份、整车照片（车头左前方45°角方向拍摄）2份、上装电器原理图、底盘使用说明书、底盘质量保修卡、车辆使用说明书、随车器材清单、车辆跟踪服务卡、车辆交接清单</w:t>
            </w:r>
            <w:r>
              <w:rPr>
                <w:rFonts w:hint="eastAsia" w:ascii="宋体" w:hAnsi="宋体" w:eastAsia="宋体" w:cs="宋体"/>
                <w:i w:val="0"/>
                <w:iCs w:val="0"/>
                <w:color w:val="00B050"/>
                <w:kern w:val="0"/>
                <w:sz w:val="24"/>
                <w:szCs w:val="24"/>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7、配备钢链或优于此材质的防滑链一套（满足在驱动轮安装）。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10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888" w:type="dxa"/>
            <w:gridSpan w:val="3"/>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4"/>
                <w:szCs w:val="24"/>
                <w:highlight w:val="none"/>
                <w:u w:val="none"/>
              </w:rPr>
            </w:pPr>
          </w:p>
        </w:tc>
      </w:tr>
    </w:tbl>
    <w:p>
      <w:pPr>
        <w:pStyle w:val="37"/>
        <w:rPr>
          <w:rFonts w:hint="eastAsia" w:ascii="宋体" w:hAnsi="宋体" w:eastAsia="宋体" w:cs="宋体"/>
          <w:color w:val="auto"/>
          <w:sz w:val="24"/>
          <w:szCs w:val="24"/>
          <w:highlight w:val="none"/>
          <w:lang w:val="en-US" w:eastAsia="zh-CN"/>
        </w:rPr>
      </w:pPr>
    </w:p>
    <w:p>
      <w:pPr>
        <w:pStyle w:val="37"/>
        <w:rPr>
          <w:rFonts w:hint="eastAsia" w:ascii="宋体" w:hAnsi="宋体" w:eastAsia="宋体" w:cs="宋体"/>
          <w:color w:val="auto"/>
          <w:sz w:val="24"/>
          <w:szCs w:val="24"/>
          <w:highlight w:val="none"/>
          <w:lang w:val="en-US" w:eastAsia="zh-CN"/>
        </w:rPr>
      </w:pPr>
    </w:p>
    <w:sectPr>
      <w:pgSz w:w="11906" w:h="16838"/>
      <w:pgMar w:top="1440" w:right="1803" w:bottom="1440" w:left="1803" w:header="851" w:footer="992" w:gutter="0"/>
      <w:cols w:space="0" w:num="1"/>
      <w:rtlGutter w:val="0"/>
      <w:docGrid w:type="linesAndChars" w:linePitch="319"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Courier New"/>
    <w:panose1 w:val="00000000000000000000"/>
    <w:charset w:val="00"/>
    <w:family w:val="auto"/>
    <w:pitch w:val="default"/>
    <w:sig w:usb0="00000000" w:usb1="00000000" w:usb2="00000000" w:usb3="00000000" w:csb0="00000001" w:csb1="00000000"/>
  </w:font>
  <w:font w:name="Helvetica Neue">
    <w:altName w:val="Times New Roman"/>
    <w:panose1 w:val="02000503000000020004"/>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05"/>
      </w:tabs>
      <w:ind w:right="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05"/>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092BD"/>
    <w:multiLevelType w:val="singleLevel"/>
    <w:tmpl w:val="B95092BD"/>
    <w:lvl w:ilvl="0" w:tentative="0">
      <w:start w:val="1"/>
      <w:numFmt w:val="decimal"/>
      <w:lvlText w:val="(%1)"/>
      <w:lvlJc w:val="left"/>
      <w:pPr>
        <w:tabs>
          <w:tab w:val="left" w:pos="312"/>
        </w:tabs>
      </w:pPr>
    </w:lvl>
  </w:abstractNum>
  <w:abstractNum w:abstractNumId="1">
    <w:nsid w:val="C828F304"/>
    <w:multiLevelType w:val="singleLevel"/>
    <w:tmpl w:val="C828F304"/>
    <w:lvl w:ilvl="0" w:tentative="0">
      <w:start w:val="1"/>
      <w:numFmt w:val="decimal"/>
      <w:suff w:val="space"/>
      <w:lvlText w:val="%1."/>
      <w:lvlJc w:val="left"/>
    </w:lvl>
  </w:abstractNum>
  <w:abstractNum w:abstractNumId="2">
    <w:nsid w:val="06784D56"/>
    <w:multiLevelType w:val="singleLevel"/>
    <w:tmpl w:val="06784D56"/>
    <w:lvl w:ilvl="0" w:tentative="0">
      <w:start w:val="1"/>
      <w:numFmt w:val="upperLetter"/>
      <w:pStyle w:val="120"/>
      <w:lvlText w:val="附录%1."/>
      <w:lvlJc w:val="left"/>
      <w:pPr>
        <w:tabs>
          <w:tab w:val="left" w:pos="907"/>
        </w:tabs>
        <w:ind w:left="907" w:hanging="907"/>
      </w:pPr>
      <w:rPr>
        <w:rFonts w:hint="eastAsia"/>
      </w:rPr>
    </w:lvl>
  </w:abstractNum>
  <w:abstractNum w:abstractNumId="3">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A15682F"/>
    <w:multiLevelType w:val="singleLevel"/>
    <w:tmpl w:val="3A15682F"/>
    <w:lvl w:ilvl="0" w:tentative="0">
      <w:start w:val="0"/>
      <w:numFmt w:val="none"/>
      <w:lvlText w:val=""/>
      <w:lvlJc w:val="left"/>
      <w:pPr>
        <w:tabs>
          <w:tab w:val="left" w:pos="360"/>
        </w:tabs>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60"/>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8">
    <w:nsid w:val="4B513CE9"/>
    <w:multiLevelType w:val="singleLevel"/>
    <w:tmpl w:val="4B513CE9"/>
    <w:lvl w:ilvl="0" w:tentative="0">
      <w:start w:val="1"/>
      <w:numFmt w:val="decimal"/>
      <w:lvlText w:val="%1."/>
      <w:lvlJc w:val="left"/>
      <w:pPr>
        <w:tabs>
          <w:tab w:val="left" w:pos="312"/>
        </w:tabs>
      </w:pPr>
    </w:lvl>
  </w:abstractNum>
  <w:abstractNum w:abstractNumId="9">
    <w:nsid w:val="4C0C1BFB"/>
    <w:multiLevelType w:val="singleLevel"/>
    <w:tmpl w:val="4C0C1BFB"/>
    <w:lvl w:ilvl="0" w:tentative="0">
      <w:start w:val="1"/>
      <w:numFmt w:val="decimal"/>
      <w:pStyle w:val="125"/>
      <w:lvlText w:val="（%1）"/>
      <w:lvlJc w:val="left"/>
      <w:pPr>
        <w:tabs>
          <w:tab w:val="left" w:pos="810"/>
        </w:tabs>
        <w:ind w:left="810" w:hanging="810"/>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1">
    <w:nsid w:val="7AE2AB42"/>
    <w:multiLevelType w:val="singleLevel"/>
    <w:tmpl w:val="7AE2AB42"/>
    <w:lvl w:ilvl="0" w:tentative="0">
      <w:start w:val="6"/>
      <w:numFmt w:val="chineseCounting"/>
      <w:suff w:val="space"/>
      <w:lvlText w:val="第%1章"/>
      <w:lvlJc w:val="left"/>
      <w:rPr>
        <w:rFonts w:hint="eastAsia"/>
      </w:rPr>
    </w:lvl>
  </w:abstractNum>
  <w:num w:numId="1">
    <w:abstractNumId w:val="10"/>
  </w:num>
  <w:num w:numId="2">
    <w:abstractNumId w:val="7"/>
  </w:num>
  <w:num w:numId="3">
    <w:abstractNumId w:val="5"/>
  </w:num>
  <w:num w:numId="4">
    <w:abstractNumId w:val="6"/>
  </w:num>
  <w:num w:numId="5">
    <w:abstractNumId w:val="2"/>
  </w:num>
  <w:num w:numId="6">
    <w:abstractNumId w:val="9"/>
  </w:num>
  <w:num w:numId="7">
    <w:abstractNumId w:val="8"/>
  </w:num>
  <w:num w:numId="8">
    <w:abstractNumId w:val="1"/>
  </w:num>
  <w:num w:numId="9">
    <w:abstractNumId w:val="3"/>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DJlYmM0NmE2MDE1NGY5ZWIwODRlZTYwM2UzMzgifQ=="/>
    <w:docVar w:name="KSO_WPS_MARK_KEY" w:val="Ā"/>
  </w:docVars>
  <w:rsids>
    <w:rsidRoot w:val="00172A27"/>
    <w:rsid w:val="00000B50"/>
    <w:rsid w:val="000012AD"/>
    <w:rsid w:val="00002023"/>
    <w:rsid w:val="00002A41"/>
    <w:rsid w:val="00003038"/>
    <w:rsid w:val="000036FB"/>
    <w:rsid w:val="00003E3B"/>
    <w:rsid w:val="000040E6"/>
    <w:rsid w:val="000044C5"/>
    <w:rsid w:val="00004833"/>
    <w:rsid w:val="00004C7F"/>
    <w:rsid w:val="00005A61"/>
    <w:rsid w:val="00005C0D"/>
    <w:rsid w:val="00006327"/>
    <w:rsid w:val="00006AA3"/>
    <w:rsid w:val="00006E32"/>
    <w:rsid w:val="00010521"/>
    <w:rsid w:val="00010E39"/>
    <w:rsid w:val="00010EC6"/>
    <w:rsid w:val="00011619"/>
    <w:rsid w:val="00011FF2"/>
    <w:rsid w:val="000126A3"/>
    <w:rsid w:val="00012BC2"/>
    <w:rsid w:val="0001340E"/>
    <w:rsid w:val="00013C36"/>
    <w:rsid w:val="000144A3"/>
    <w:rsid w:val="00015CBB"/>
    <w:rsid w:val="000178E0"/>
    <w:rsid w:val="00017D33"/>
    <w:rsid w:val="000209DD"/>
    <w:rsid w:val="000214BA"/>
    <w:rsid w:val="000217F4"/>
    <w:rsid w:val="00023805"/>
    <w:rsid w:val="0002607A"/>
    <w:rsid w:val="00026720"/>
    <w:rsid w:val="000269AE"/>
    <w:rsid w:val="00026D40"/>
    <w:rsid w:val="0002771F"/>
    <w:rsid w:val="000300C7"/>
    <w:rsid w:val="00031135"/>
    <w:rsid w:val="000313D5"/>
    <w:rsid w:val="00031400"/>
    <w:rsid w:val="0003239D"/>
    <w:rsid w:val="00033D51"/>
    <w:rsid w:val="00034EE1"/>
    <w:rsid w:val="000355B7"/>
    <w:rsid w:val="00035B84"/>
    <w:rsid w:val="00035DB5"/>
    <w:rsid w:val="00035FD3"/>
    <w:rsid w:val="0003628F"/>
    <w:rsid w:val="00036464"/>
    <w:rsid w:val="000368D5"/>
    <w:rsid w:val="000404B4"/>
    <w:rsid w:val="00041C0C"/>
    <w:rsid w:val="000426B0"/>
    <w:rsid w:val="000448ED"/>
    <w:rsid w:val="00045FCC"/>
    <w:rsid w:val="0004682D"/>
    <w:rsid w:val="00047D80"/>
    <w:rsid w:val="00050598"/>
    <w:rsid w:val="00050F3A"/>
    <w:rsid w:val="000523C9"/>
    <w:rsid w:val="000527CA"/>
    <w:rsid w:val="00052F6E"/>
    <w:rsid w:val="000533AB"/>
    <w:rsid w:val="00054001"/>
    <w:rsid w:val="00055613"/>
    <w:rsid w:val="00055942"/>
    <w:rsid w:val="00055E74"/>
    <w:rsid w:val="000574F5"/>
    <w:rsid w:val="0006136C"/>
    <w:rsid w:val="00063CEE"/>
    <w:rsid w:val="00063F19"/>
    <w:rsid w:val="00063F82"/>
    <w:rsid w:val="00064391"/>
    <w:rsid w:val="0006639D"/>
    <w:rsid w:val="000664B9"/>
    <w:rsid w:val="0006714F"/>
    <w:rsid w:val="00071811"/>
    <w:rsid w:val="00071CEE"/>
    <w:rsid w:val="00071E07"/>
    <w:rsid w:val="0007307E"/>
    <w:rsid w:val="00073596"/>
    <w:rsid w:val="00075DBF"/>
    <w:rsid w:val="000760C9"/>
    <w:rsid w:val="00076450"/>
    <w:rsid w:val="00076D7B"/>
    <w:rsid w:val="00076DB5"/>
    <w:rsid w:val="0007732F"/>
    <w:rsid w:val="00077725"/>
    <w:rsid w:val="00082FDE"/>
    <w:rsid w:val="0008349C"/>
    <w:rsid w:val="00083A9A"/>
    <w:rsid w:val="00083E1C"/>
    <w:rsid w:val="00083F9C"/>
    <w:rsid w:val="00084F92"/>
    <w:rsid w:val="000874A6"/>
    <w:rsid w:val="00087583"/>
    <w:rsid w:val="00087AC3"/>
    <w:rsid w:val="00087F97"/>
    <w:rsid w:val="00090237"/>
    <w:rsid w:val="00091368"/>
    <w:rsid w:val="00091374"/>
    <w:rsid w:val="0009190E"/>
    <w:rsid w:val="000920C7"/>
    <w:rsid w:val="00094CF9"/>
    <w:rsid w:val="0009585A"/>
    <w:rsid w:val="00095E05"/>
    <w:rsid w:val="000965F2"/>
    <w:rsid w:val="00097697"/>
    <w:rsid w:val="000A1DC0"/>
    <w:rsid w:val="000A437C"/>
    <w:rsid w:val="000B09F2"/>
    <w:rsid w:val="000B0F3D"/>
    <w:rsid w:val="000B1318"/>
    <w:rsid w:val="000B2104"/>
    <w:rsid w:val="000B2ADE"/>
    <w:rsid w:val="000B51A5"/>
    <w:rsid w:val="000B6C52"/>
    <w:rsid w:val="000C095E"/>
    <w:rsid w:val="000C0CB7"/>
    <w:rsid w:val="000C26EA"/>
    <w:rsid w:val="000C4195"/>
    <w:rsid w:val="000C42B7"/>
    <w:rsid w:val="000C42F3"/>
    <w:rsid w:val="000C5411"/>
    <w:rsid w:val="000C54F2"/>
    <w:rsid w:val="000C676C"/>
    <w:rsid w:val="000C77A1"/>
    <w:rsid w:val="000D0BBA"/>
    <w:rsid w:val="000D1844"/>
    <w:rsid w:val="000D1950"/>
    <w:rsid w:val="000D2400"/>
    <w:rsid w:val="000D26C1"/>
    <w:rsid w:val="000D26D8"/>
    <w:rsid w:val="000D3A32"/>
    <w:rsid w:val="000D3CF7"/>
    <w:rsid w:val="000D3EE4"/>
    <w:rsid w:val="000D4D2B"/>
    <w:rsid w:val="000D6565"/>
    <w:rsid w:val="000D7692"/>
    <w:rsid w:val="000E0173"/>
    <w:rsid w:val="000E0F51"/>
    <w:rsid w:val="000E157E"/>
    <w:rsid w:val="000E1A22"/>
    <w:rsid w:val="000E5078"/>
    <w:rsid w:val="000E6A6F"/>
    <w:rsid w:val="000F0EB5"/>
    <w:rsid w:val="000F3923"/>
    <w:rsid w:val="000F4D9E"/>
    <w:rsid w:val="000F5242"/>
    <w:rsid w:val="000F5CDE"/>
    <w:rsid w:val="000F6E74"/>
    <w:rsid w:val="000F7537"/>
    <w:rsid w:val="00100053"/>
    <w:rsid w:val="00100A5E"/>
    <w:rsid w:val="00101DB7"/>
    <w:rsid w:val="00102619"/>
    <w:rsid w:val="00102D5E"/>
    <w:rsid w:val="00103454"/>
    <w:rsid w:val="00103E0B"/>
    <w:rsid w:val="00105903"/>
    <w:rsid w:val="00107536"/>
    <w:rsid w:val="001077C0"/>
    <w:rsid w:val="001101E9"/>
    <w:rsid w:val="00111226"/>
    <w:rsid w:val="00111F3D"/>
    <w:rsid w:val="00114CA6"/>
    <w:rsid w:val="001160D7"/>
    <w:rsid w:val="001170D2"/>
    <w:rsid w:val="00120A69"/>
    <w:rsid w:val="00121CC9"/>
    <w:rsid w:val="00124CD5"/>
    <w:rsid w:val="00124F52"/>
    <w:rsid w:val="001252B0"/>
    <w:rsid w:val="00126FD7"/>
    <w:rsid w:val="00127A72"/>
    <w:rsid w:val="00127C63"/>
    <w:rsid w:val="00131277"/>
    <w:rsid w:val="00131881"/>
    <w:rsid w:val="001319ED"/>
    <w:rsid w:val="00131A58"/>
    <w:rsid w:val="001333E9"/>
    <w:rsid w:val="0013433C"/>
    <w:rsid w:val="00134831"/>
    <w:rsid w:val="001372D8"/>
    <w:rsid w:val="00140DFA"/>
    <w:rsid w:val="00141F88"/>
    <w:rsid w:val="0014204A"/>
    <w:rsid w:val="00143575"/>
    <w:rsid w:val="0014483C"/>
    <w:rsid w:val="00146F7C"/>
    <w:rsid w:val="001477FB"/>
    <w:rsid w:val="001510B7"/>
    <w:rsid w:val="0015158B"/>
    <w:rsid w:val="00151C50"/>
    <w:rsid w:val="001525DE"/>
    <w:rsid w:val="00152F20"/>
    <w:rsid w:val="00152FA5"/>
    <w:rsid w:val="001541B9"/>
    <w:rsid w:val="001544A4"/>
    <w:rsid w:val="0015497E"/>
    <w:rsid w:val="00154CA1"/>
    <w:rsid w:val="001551BF"/>
    <w:rsid w:val="0015531C"/>
    <w:rsid w:val="00155D52"/>
    <w:rsid w:val="00157E5B"/>
    <w:rsid w:val="00160AE5"/>
    <w:rsid w:val="001637D2"/>
    <w:rsid w:val="0016437E"/>
    <w:rsid w:val="00164C69"/>
    <w:rsid w:val="00165AF0"/>
    <w:rsid w:val="001667D0"/>
    <w:rsid w:val="00166EFF"/>
    <w:rsid w:val="00170749"/>
    <w:rsid w:val="00170A2D"/>
    <w:rsid w:val="00171360"/>
    <w:rsid w:val="00171D87"/>
    <w:rsid w:val="00172A27"/>
    <w:rsid w:val="00172FF1"/>
    <w:rsid w:val="00173033"/>
    <w:rsid w:val="001749B6"/>
    <w:rsid w:val="0017505E"/>
    <w:rsid w:val="00176950"/>
    <w:rsid w:val="00181110"/>
    <w:rsid w:val="0018156A"/>
    <w:rsid w:val="00182E37"/>
    <w:rsid w:val="00183EB5"/>
    <w:rsid w:val="001864A5"/>
    <w:rsid w:val="00186705"/>
    <w:rsid w:val="00187B49"/>
    <w:rsid w:val="00187C1F"/>
    <w:rsid w:val="00187DC4"/>
    <w:rsid w:val="0019076F"/>
    <w:rsid w:val="00193274"/>
    <w:rsid w:val="00193DAC"/>
    <w:rsid w:val="00194202"/>
    <w:rsid w:val="001946FF"/>
    <w:rsid w:val="001947C5"/>
    <w:rsid w:val="001953B0"/>
    <w:rsid w:val="00195808"/>
    <w:rsid w:val="00195A83"/>
    <w:rsid w:val="001A1033"/>
    <w:rsid w:val="001A187D"/>
    <w:rsid w:val="001A18C0"/>
    <w:rsid w:val="001A1D99"/>
    <w:rsid w:val="001A26B5"/>
    <w:rsid w:val="001A57FF"/>
    <w:rsid w:val="001A6C7F"/>
    <w:rsid w:val="001A7BA0"/>
    <w:rsid w:val="001A7F3C"/>
    <w:rsid w:val="001B1D18"/>
    <w:rsid w:val="001B2822"/>
    <w:rsid w:val="001B34C4"/>
    <w:rsid w:val="001B37C7"/>
    <w:rsid w:val="001B4172"/>
    <w:rsid w:val="001B452D"/>
    <w:rsid w:val="001B4A8B"/>
    <w:rsid w:val="001B52A8"/>
    <w:rsid w:val="001B5378"/>
    <w:rsid w:val="001B6B93"/>
    <w:rsid w:val="001B79B5"/>
    <w:rsid w:val="001B7A07"/>
    <w:rsid w:val="001B7A15"/>
    <w:rsid w:val="001C02D6"/>
    <w:rsid w:val="001C077B"/>
    <w:rsid w:val="001C21EF"/>
    <w:rsid w:val="001C2404"/>
    <w:rsid w:val="001C2429"/>
    <w:rsid w:val="001C2454"/>
    <w:rsid w:val="001C3136"/>
    <w:rsid w:val="001C37D3"/>
    <w:rsid w:val="001C3F88"/>
    <w:rsid w:val="001C573D"/>
    <w:rsid w:val="001C6670"/>
    <w:rsid w:val="001C7269"/>
    <w:rsid w:val="001D03CD"/>
    <w:rsid w:val="001D0B04"/>
    <w:rsid w:val="001D1063"/>
    <w:rsid w:val="001D1087"/>
    <w:rsid w:val="001D1E13"/>
    <w:rsid w:val="001D3DF4"/>
    <w:rsid w:val="001D4B6D"/>
    <w:rsid w:val="001D5588"/>
    <w:rsid w:val="001D690B"/>
    <w:rsid w:val="001D6F14"/>
    <w:rsid w:val="001E1785"/>
    <w:rsid w:val="001E19C0"/>
    <w:rsid w:val="001E218A"/>
    <w:rsid w:val="001E2A27"/>
    <w:rsid w:val="001E2AB5"/>
    <w:rsid w:val="001E3117"/>
    <w:rsid w:val="001E3212"/>
    <w:rsid w:val="001E48AF"/>
    <w:rsid w:val="001E4C69"/>
    <w:rsid w:val="001E6CFD"/>
    <w:rsid w:val="001F35A1"/>
    <w:rsid w:val="001F4946"/>
    <w:rsid w:val="001F4B41"/>
    <w:rsid w:val="001F58DB"/>
    <w:rsid w:val="001F5F91"/>
    <w:rsid w:val="001F64B1"/>
    <w:rsid w:val="001F6652"/>
    <w:rsid w:val="00200726"/>
    <w:rsid w:val="00201570"/>
    <w:rsid w:val="00201AAD"/>
    <w:rsid w:val="00201B5C"/>
    <w:rsid w:val="002026FD"/>
    <w:rsid w:val="002029A0"/>
    <w:rsid w:val="00203FDB"/>
    <w:rsid w:val="00204503"/>
    <w:rsid w:val="00204B0E"/>
    <w:rsid w:val="00207854"/>
    <w:rsid w:val="002114C5"/>
    <w:rsid w:val="0021150E"/>
    <w:rsid w:val="00211D84"/>
    <w:rsid w:val="002129B4"/>
    <w:rsid w:val="00213554"/>
    <w:rsid w:val="002135F1"/>
    <w:rsid w:val="00213952"/>
    <w:rsid w:val="0021413E"/>
    <w:rsid w:val="002150AA"/>
    <w:rsid w:val="00215D7A"/>
    <w:rsid w:val="0021681C"/>
    <w:rsid w:val="00216D78"/>
    <w:rsid w:val="0022068B"/>
    <w:rsid w:val="0022183A"/>
    <w:rsid w:val="00224BF6"/>
    <w:rsid w:val="00224D56"/>
    <w:rsid w:val="002250E1"/>
    <w:rsid w:val="0022514B"/>
    <w:rsid w:val="002251B2"/>
    <w:rsid w:val="00225592"/>
    <w:rsid w:val="00225C8B"/>
    <w:rsid w:val="00225CD5"/>
    <w:rsid w:val="00227982"/>
    <w:rsid w:val="00227C43"/>
    <w:rsid w:val="0023202D"/>
    <w:rsid w:val="00232077"/>
    <w:rsid w:val="0023283A"/>
    <w:rsid w:val="00232BF5"/>
    <w:rsid w:val="002331F2"/>
    <w:rsid w:val="00235603"/>
    <w:rsid w:val="002369AF"/>
    <w:rsid w:val="00236A1C"/>
    <w:rsid w:val="00237C74"/>
    <w:rsid w:val="00241187"/>
    <w:rsid w:val="00241203"/>
    <w:rsid w:val="002412FF"/>
    <w:rsid w:val="002414E0"/>
    <w:rsid w:val="00241671"/>
    <w:rsid w:val="00243079"/>
    <w:rsid w:val="00243975"/>
    <w:rsid w:val="002447BD"/>
    <w:rsid w:val="00246C19"/>
    <w:rsid w:val="00250E77"/>
    <w:rsid w:val="002514DA"/>
    <w:rsid w:val="00252722"/>
    <w:rsid w:val="00252AA4"/>
    <w:rsid w:val="002537B2"/>
    <w:rsid w:val="00254207"/>
    <w:rsid w:val="00254B9B"/>
    <w:rsid w:val="00255C8D"/>
    <w:rsid w:val="00255FEB"/>
    <w:rsid w:val="00257A01"/>
    <w:rsid w:val="00261A7E"/>
    <w:rsid w:val="002623E9"/>
    <w:rsid w:val="0026387F"/>
    <w:rsid w:val="002640B2"/>
    <w:rsid w:val="0026470C"/>
    <w:rsid w:val="00264902"/>
    <w:rsid w:val="00264B13"/>
    <w:rsid w:val="00264D4D"/>
    <w:rsid w:val="00264FAC"/>
    <w:rsid w:val="002657FF"/>
    <w:rsid w:val="00266329"/>
    <w:rsid w:val="002665DA"/>
    <w:rsid w:val="00266BA2"/>
    <w:rsid w:val="00267D06"/>
    <w:rsid w:val="00267D13"/>
    <w:rsid w:val="002702B6"/>
    <w:rsid w:val="00270609"/>
    <w:rsid w:val="002706C2"/>
    <w:rsid w:val="002707A9"/>
    <w:rsid w:val="00270858"/>
    <w:rsid w:val="00270E78"/>
    <w:rsid w:val="00270EEE"/>
    <w:rsid w:val="00270F7A"/>
    <w:rsid w:val="00271354"/>
    <w:rsid w:val="0027159B"/>
    <w:rsid w:val="002750C2"/>
    <w:rsid w:val="00275F24"/>
    <w:rsid w:val="0027611E"/>
    <w:rsid w:val="00276467"/>
    <w:rsid w:val="002767AF"/>
    <w:rsid w:val="002769A6"/>
    <w:rsid w:val="00276C85"/>
    <w:rsid w:val="002773BE"/>
    <w:rsid w:val="00280CC5"/>
    <w:rsid w:val="00280F9F"/>
    <w:rsid w:val="00281C6E"/>
    <w:rsid w:val="00282FDE"/>
    <w:rsid w:val="0028368D"/>
    <w:rsid w:val="00284A73"/>
    <w:rsid w:val="00284F56"/>
    <w:rsid w:val="0028524A"/>
    <w:rsid w:val="00285266"/>
    <w:rsid w:val="0028532D"/>
    <w:rsid w:val="002854C9"/>
    <w:rsid w:val="00286E46"/>
    <w:rsid w:val="00287A23"/>
    <w:rsid w:val="0029224A"/>
    <w:rsid w:val="0029269B"/>
    <w:rsid w:val="00293DBF"/>
    <w:rsid w:val="00293ED7"/>
    <w:rsid w:val="00296520"/>
    <w:rsid w:val="00296EE7"/>
    <w:rsid w:val="00297C93"/>
    <w:rsid w:val="002A006D"/>
    <w:rsid w:val="002A1B0C"/>
    <w:rsid w:val="002A35C8"/>
    <w:rsid w:val="002A67A6"/>
    <w:rsid w:val="002A693A"/>
    <w:rsid w:val="002A7962"/>
    <w:rsid w:val="002B084C"/>
    <w:rsid w:val="002B11E6"/>
    <w:rsid w:val="002B1B75"/>
    <w:rsid w:val="002B3E53"/>
    <w:rsid w:val="002B4B17"/>
    <w:rsid w:val="002B5620"/>
    <w:rsid w:val="002B6716"/>
    <w:rsid w:val="002B70EF"/>
    <w:rsid w:val="002C00C1"/>
    <w:rsid w:val="002C067B"/>
    <w:rsid w:val="002C29A7"/>
    <w:rsid w:val="002C3863"/>
    <w:rsid w:val="002C4077"/>
    <w:rsid w:val="002C4418"/>
    <w:rsid w:val="002C5B63"/>
    <w:rsid w:val="002C75A7"/>
    <w:rsid w:val="002D046F"/>
    <w:rsid w:val="002D1163"/>
    <w:rsid w:val="002D15D0"/>
    <w:rsid w:val="002D3E1D"/>
    <w:rsid w:val="002D4138"/>
    <w:rsid w:val="002D44AA"/>
    <w:rsid w:val="002D6759"/>
    <w:rsid w:val="002D703B"/>
    <w:rsid w:val="002D78A6"/>
    <w:rsid w:val="002D7B1C"/>
    <w:rsid w:val="002E0200"/>
    <w:rsid w:val="002E0546"/>
    <w:rsid w:val="002E1397"/>
    <w:rsid w:val="002E192A"/>
    <w:rsid w:val="002E2B69"/>
    <w:rsid w:val="002E3028"/>
    <w:rsid w:val="002E4A67"/>
    <w:rsid w:val="002E4B77"/>
    <w:rsid w:val="002E4D8D"/>
    <w:rsid w:val="002E717B"/>
    <w:rsid w:val="002E7638"/>
    <w:rsid w:val="002E7821"/>
    <w:rsid w:val="002E7FEC"/>
    <w:rsid w:val="002F080F"/>
    <w:rsid w:val="002F0B59"/>
    <w:rsid w:val="002F0E29"/>
    <w:rsid w:val="002F2018"/>
    <w:rsid w:val="002F3084"/>
    <w:rsid w:val="002F3C42"/>
    <w:rsid w:val="002F3DAA"/>
    <w:rsid w:val="002F45B0"/>
    <w:rsid w:val="002F56BB"/>
    <w:rsid w:val="002F57C5"/>
    <w:rsid w:val="002F5A9D"/>
    <w:rsid w:val="002F7C78"/>
    <w:rsid w:val="002F7F15"/>
    <w:rsid w:val="00302002"/>
    <w:rsid w:val="00303AB3"/>
    <w:rsid w:val="00303E18"/>
    <w:rsid w:val="00304294"/>
    <w:rsid w:val="003065CE"/>
    <w:rsid w:val="003077D7"/>
    <w:rsid w:val="00310052"/>
    <w:rsid w:val="003105BC"/>
    <w:rsid w:val="00310924"/>
    <w:rsid w:val="00310A49"/>
    <w:rsid w:val="003119DF"/>
    <w:rsid w:val="00313D00"/>
    <w:rsid w:val="003146AA"/>
    <w:rsid w:val="00314D7A"/>
    <w:rsid w:val="00315BB3"/>
    <w:rsid w:val="00315D25"/>
    <w:rsid w:val="00316838"/>
    <w:rsid w:val="003176F0"/>
    <w:rsid w:val="00317A43"/>
    <w:rsid w:val="00317CA3"/>
    <w:rsid w:val="003203FB"/>
    <w:rsid w:val="00320A43"/>
    <w:rsid w:val="00320F55"/>
    <w:rsid w:val="00321DA1"/>
    <w:rsid w:val="003238EE"/>
    <w:rsid w:val="00325989"/>
    <w:rsid w:val="003267CD"/>
    <w:rsid w:val="00326BC1"/>
    <w:rsid w:val="003306B8"/>
    <w:rsid w:val="003306B9"/>
    <w:rsid w:val="003313D8"/>
    <w:rsid w:val="003320F3"/>
    <w:rsid w:val="003323B2"/>
    <w:rsid w:val="00332D6E"/>
    <w:rsid w:val="003346DE"/>
    <w:rsid w:val="00334AA9"/>
    <w:rsid w:val="00336151"/>
    <w:rsid w:val="0033681E"/>
    <w:rsid w:val="0034142F"/>
    <w:rsid w:val="00341757"/>
    <w:rsid w:val="00341E0E"/>
    <w:rsid w:val="00342DCC"/>
    <w:rsid w:val="00343BB6"/>
    <w:rsid w:val="00344805"/>
    <w:rsid w:val="00344B6D"/>
    <w:rsid w:val="0034542F"/>
    <w:rsid w:val="003458F9"/>
    <w:rsid w:val="0034648C"/>
    <w:rsid w:val="0034699A"/>
    <w:rsid w:val="00346D70"/>
    <w:rsid w:val="00347AB6"/>
    <w:rsid w:val="0035011B"/>
    <w:rsid w:val="00350189"/>
    <w:rsid w:val="003508CE"/>
    <w:rsid w:val="0035183D"/>
    <w:rsid w:val="00351988"/>
    <w:rsid w:val="00351C56"/>
    <w:rsid w:val="00352EFB"/>
    <w:rsid w:val="003543A9"/>
    <w:rsid w:val="003545FF"/>
    <w:rsid w:val="00356239"/>
    <w:rsid w:val="003570D2"/>
    <w:rsid w:val="00357549"/>
    <w:rsid w:val="00357654"/>
    <w:rsid w:val="00357F4D"/>
    <w:rsid w:val="00361201"/>
    <w:rsid w:val="00361C5C"/>
    <w:rsid w:val="00362C38"/>
    <w:rsid w:val="00363F37"/>
    <w:rsid w:val="003643E2"/>
    <w:rsid w:val="003646CC"/>
    <w:rsid w:val="00364EDB"/>
    <w:rsid w:val="00366A96"/>
    <w:rsid w:val="003670B2"/>
    <w:rsid w:val="0036776C"/>
    <w:rsid w:val="00367FE7"/>
    <w:rsid w:val="00370A2C"/>
    <w:rsid w:val="003715B6"/>
    <w:rsid w:val="00373601"/>
    <w:rsid w:val="00373708"/>
    <w:rsid w:val="00373911"/>
    <w:rsid w:val="003758D1"/>
    <w:rsid w:val="00375F18"/>
    <w:rsid w:val="0037721C"/>
    <w:rsid w:val="00377CC7"/>
    <w:rsid w:val="00381306"/>
    <w:rsid w:val="00381464"/>
    <w:rsid w:val="003817C2"/>
    <w:rsid w:val="0038282F"/>
    <w:rsid w:val="00382FB7"/>
    <w:rsid w:val="003849D4"/>
    <w:rsid w:val="00385814"/>
    <w:rsid w:val="00385B86"/>
    <w:rsid w:val="0038623D"/>
    <w:rsid w:val="00386ACE"/>
    <w:rsid w:val="003872C9"/>
    <w:rsid w:val="00391270"/>
    <w:rsid w:val="003919D8"/>
    <w:rsid w:val="00391DF3"/>
    <w:rsid w:val="003931D2"/>
    <w:rsid w:val="00393A1F"/>
    <w:rsid w:val="00394D4B"/>
    <w:rsid w:val="003957DF"/>
    <w:rsid w:val="0039611D"/>
    <w:rsid w:val="00396232"/>
    <w:rsid w:val="00396B6D"/>
    <w:rsid w:val="00396C2C"/>
    <w:rsid w:val="0039729F"/>
    <w:rsid w:val="003979B3"/>
    <w:rsid w:val="003A0F75"/>
    <w:rsid w:val="003A1161"/>
    <w:rsid w:val="003A201F"/>
    <w:rsid w:val="003A2A26"/>
    <w:rsid w:val="003A359F"/>
    <w:rsid w:val="003A3E40"/>
    <w:rsid w:val="003A543B"/>
    <w:rsid w:val="003A56A9"/>
    <w:rsid w:val="003A6696"/>
    <w:rsid w:val="003A787B"/>
    <w:rsid w:val="003B0C2E"/>
    <w:rsid w:val="003B1B8D"/>
    <w:rsid w:val="003B2DBA"/>
    <w:rsid w:val="003B3157"/>
    <w:rsid w:val="003B4334"/>
    <w:rsid w:val="003B43AD"/>
    <w:rsid w:val="003B515E"/>
    <w:rsid w:val="003B529D"/>
    <w:rsid w:val="003B5AD2"/>
    <w:rsid w:val="003B5EF0"/>
    <w:rsid w:val="003B7727"/>
    <w:rsid w:val="003C0167"/>
    <w:rsid w:val="003C10FE"/>
    <w:rsid w:val="003C1167"/>
    <w:rsid w:val="003C19FD"/>
    <w:rsid w:val="003C1CD0"/>
    <w:rsid w:val="003C2871"/>
    <w:rsid w:val="003C2A77"/>
    <w:rsid w:val="003C351A"/>
    <w:rsid w:val="003C3568"/>
    <w:rsid w:val="003C3C93"/>
    <w:rsid w:val="003C45FD"/>
    <w:rsid w:val="003C4D5A"/>
    <w:rsid w:val="003C56E8"/>
    <w:rsid w:val="003C5927"/>
    <w:rsid w:val="003C5C27"/>
    <w:rsid w:val="003C70E2"/>
    <w:rsid w:val="003C71C6"/>
    <w:rsid w:val="003D2469"/>
    <w:rsid w:val="003D3332"/>
    <w:rsid w:val="003D3B66"/>
    <w:rsid w:val="003D784D"/>
    <w:rsid w:val="003E1622"/>
    <w:rsid w:val="003E18FC"/>
    <w:rsid w:val="003E1E7B"/>
    <w:rsid w:val="003E2237"/>
    <w:rsid w:val="003E264C"/>
    <w:rsid w:val="003E2E2E"/>
    <w:rsid w:val="003E33E7"/>
    <w:rsid w:val="003E3E53"/>
    <w:rsid w:val="003E4E2B"/>
    <w:rsid w:val="003E7B57"/>
    <w:rsid w:val="003F0211"/>
    <w:rsid w:val="003F121A"/>
    <w:rsid w:val="003F28E4"/>
    <w:rsid w:val="003F421A"/>
    <w:rsid w:val="003F4303"/>
    <w:rsid w:val="003F4C69"/>
    <w:rsid w:val="003F518D"/>
    <w:rsid w:val="003F564E"/>
    <w:rsid w:val="003F5F28"/>
    <w:rsid w:val="003F5F35"/>
    <w:rsid w:val="00401CB7"/>
    <w:rsid w:val="00401E65"/>
    <w:rsid w:val="00402203"/>
    <w:rsid w:val="0040243C"/>
    <w:rsid w:val="00402F1F"/>
    <w:rsid w:val="0040487A"/>
    <w:rsid w:val="00406032"/>
    <w:rsid w:val="00407C08"/>
    <w:rsid w:val="00411EE8"/>
    <w:rsid w:val="00412DDC"/>
    <w:rsid w:val="004132F7"/>
    <w:rsid w:val="00413748"/>
    <w:rsid w:val="004159DA"/>
    <w:rsid w:val="004177AB"/>
    <w:rsid w:val="00417D89"/>
    <w:rsid w:val="00420F30"/>
    <w:rsid w:val="0042107D"/>
    <w:rsid w:val="004224DE"/>
    <w:rsid w:val="00422896"/>
    <w:rsid w:val="004241F1"/>
    <w:rsid w:val="00424246"/>
    <w:rsid w:val="0042442B"/>
    <w:rsid w:val="00425878"/>
    <w:rsid w:val="00426093"/>
    <w:rsid w:val="004263B3"/>
    <w:rsid w:val="00426987"/>
    <w:rsid w:val="0043085D"/>
    <w:rsid w:val="00430CEA"/>
    <w:rsid w:val="0043137F"/>
    <w:rsid w:val="00432B25"/>
    <w:rsid w:val="00432CC5"/>
    <w:rsid w:val="00433E58"/>
    <w:rsid w:val="004342CE"/>
    <w:rsid w:val="004365C8"/>
    <w:rsid w:val="004365F0"/>
    <w:rsid w:val="004372D1"/>
    <w:rsid w:val="00437676"/>
    <w:rsid w:val="00441C99"/>
    <w:rsid w:val="00442013"/>
    <w:rsid w:val="0044504A"/>
    <w:rsid w:val="0044618B"/>
    <w:rsid w:val="004472F6"/>
    <w:rsid w:val="004474F1"/>
    <w:rsid w:val="004508AB"/>
    <w:rsid w:val="00451204"/>
    <w:rsid w:val="00451285"/>
    <w:rsid w:val="004519BB"/>
    <w:rsid w:val="00451C2C"/>
    <w:rsid w:val="00454102"/>
    <w:rsid w:val="00455551"/>
    <w:rsid w:val="004559D5"/>
    <w:rsid w:val="00457712"/>
    <w:rsid w:val="00460782"/>
    <w:rsid w:val="00461077"/>
    <w:rsid w:val="004613FD"/>
    <w:rsid w:val="0046161D"/>
    <w:rsid w:val="00461967"/>
    <w:rsid w:val="00461A67"/>
    <w:rsid w:val="004629B0"/>
    <w:rsid w:val="004639B1"/>
    <w:rsid w:val="00463AFA"/>
    <w:rsid w:val="00466966"/>
    <w:rsid w:val="004710C4"/>
    <w:rsid w:val="00471489"/>
    <w:rsid w:val="0047189B"/>
    <w:rsid w:val="0047253D"/>
    <w:rsid w:val="00472CBE"/>
    <w:rsid w:val="00473367"/>
    <w:rsid w:val="0047381F"/>
    <w:rsid w:val="00473C95"/>
    <w:rsid w:val="00474D40"/>
    <w:rsid w:val="00476ACD"/>
    <w:rsid w:val="0047734E"/>
    <w:rsid w:val="00477ADD"/>
    <w:rsid w:val="00477F45"/>
    <w:rsid w:val="00480225"/>
    <w:rsid w:val="00480325"/>
    <w:rsid w:val="004803B5"/>
    <w:rsid w:val="00480999"/>
    <w:rsid w:val="00482268"/>
    <w:rsid w:val="00482632"/>
    <w:rsid w:val="00482710"/>
    <w:rsid w:val="00482774"/>
    <w:rsid w:val="004839CA"/>
    <w:rsid w:val="004839E9"/>
    <w:rsid w:val="00484112"/>
    <w:rsid w:val="00484166"/>
    <w:rsid w:val="00484277"/>
    <w:rsid w:val="004852FF"/>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96C5F"/>
    <w:rsid w:val="004A00A9"/>
    <w:rsid w:val="004A147C"/>
    <w:rsid w:val="004A1507"/>
    <w:rsid w:val="004A16D9"/>
    <w:rsid w:val="004A1865"/>
    <w:rsid w:val="004A21EF"/>
    <w:rsid w:val="004A23FD"/>
    <w:rsid w:val="004A2DA5"/>
    <w:rsid w:val="004A4E03"/>
    <w:rsid w:val="004A5003"/>
    <w:rsid w:val="004A58A4"/>
    <w:rsid w:val="004B246E"/>
    <w:rsid w:val="004B4AF9"/>
    <w:rsid w:val="004B4CC3"/>
    <w:rsid w:val="004B5F0A"/>
    <w:rsid w:val="004B6D38"/>
    <w:rsid w:val="004B6FBF"/>
    <w:rsid w:val="004C0A0F"/>
    <w:rsid w:val="004C0C79"/>
    <w:rsid w:val="004C1EDB"/>
    <w:rsid w:val="004C35DD"/>
    <w:rsid w:val="004C3779"/>
    <w:rsid w:val="004C44BC"/>
    <w:rsid w:val="004C5E96"/>
    <w:rsid w:val="004C64CB"/>
    <w:rsid w:val="004C6752"/>
    <w:rsid w:val="004C6900"/>
    <w:rsid w:val="004C6B7A"/>
    <w:rsid w:val="004C70CE"/>
    <w:rsid w:val="004C71F0"/>
    <w:rsid w:val="004C774A"/>
    <w:rsid w:val="004C7A80"/>
    <w:rsid w:val="004D009E"/>
    <w:rsid w:val="004D10CE"/>
    <w:rsid w:val="004D1DAE"/>
    <w:rsid w:val="004D20D8"/>
    <w:rsid w:val="004D3D3B"/>
    <w:rsid w:val="004D4416"/>
    <w:rsid w:val="004D5A75"/>
    <w:rsid w:val="004D6F55"/>
    <w:rsid w:val="004E03BC"/>
    <w:rsid w:val="004E1641"/>
    <w:rsid w:val="004E1780"/>
    <w:rsid w:val="004E241E"/>
    <w:rsid w:val="004E2B96"/>
    <w:rsid w:val="004E3C48"/>
    <w:rsid w:val="004E3C8C"/>
    <w:rsid w:val="004E4069"/>
    <w:rsid w:val="004E42B6"/>
    <w:rsid w:val="004E59D5"/>
    <w:rsid w:val="004E7DFC"/>
    <w:rsid w:val="004F05EC"/>
    <w:rsid w:val="004F0B8C"/>
    <w:rsid w:val="004F0FA7"/>
    <w:rsid w:val="004F1130"/>
    <w:rsid w:val="004F2D73"/>
    <w:rsid w:val="004F2FEF"/>
    <w:rsid w:val="004F3277"/>
    <w:rsid w:val="004F4320"/>
    <w:rsid w:val="004F4FE8"/>
    <w:rsid w:val="004F543A"/>
    <w:rsid w:val="004F5FE8"/>
    <w:rsid w:val="004F6692"/>
    <w:rsid w:val="004F76A4"/>
    <w:rsid w:val="005000AE"/>
    <w:rsid w:val="00500F24"/>
    <w:rsid w:val="0050144C"/>
    <w:rsid w:val="00502618"/>
    <w:rsid w:val="00503278"/>
    <w:rsid w:val="00503D2C"/>
    <w:rsid w:val="005056C0"/>
    <w:rsid w:val="005069E2"/>
    <w:rsid w:val="00506DCB"/>
    <w:rsid w:val="005116ED"/>
    <w:rsid w:val="00512587"/>
    <w:rsid w:val="005130CC"/>
    <w:rsid w:val="005140BE"/>
    <w:rsid w:val="0051457B"/>
    <w:rsid w:val="0051588C"/>
    <w:rsid w:val="005164B9"/>
    <w:rsid w:val="00516F0A"/>
    <w:rsid w:val="00517791"/>
    <w:rsid w:val="00517F84"/>
    <w:rsid w:val="00520B4F"/>
    <w:rsid w:val="00523526"/>
    <w:rsid w:val="0052372F"/>
    <w:rsid w:val="005241ED"/>
    <w:rsid w:val="00524999"/>
    <w:rsid w:val="00525ABC"/>
    <w:rsid w:val="00525C95"/>
    <w:rsid w:val="005274DB"/>
    <w:rsid w:val="0052786A"/>
    <w:rsid w:val="00530081"/>
    <w:rsid w:val="005303F9"/>
    <w:rsid w:val="00531126"/>
    <w:rsid w:val="00531461"/>
    <w:rsid w:val="00532144"/>
    <w:rsid w:val="00532583"/>
    <w:rsid w:val="00533C4E"/>
    <w:rsid w:val="00534E21"/>
    <w:rsid w:val="0053652A"/>
    <w:rsid w:val="00536C3C"/>
    <w:rsid w:val="005370DA"/>
    <w:rsid w:val="00537C9F"/>
    <w:rsid w:val="00540FEA"/>
    <w:rsid w:val="00541234"/>
    <w:rsid w:val="005413F9"/>
    <w:rsid w:val="00541D72"/>
    <w:rsid w:val="00542948"/>
    <w:rsid w:val="00544C26"/>
    <w:rsid w:val="0054560C"/>
    <w:rsid w:val="0055051E"/>
    <w:rsid w:val="00550E5A"/>
    <w:rsid w:val="00551CC7"/>
    <w:rsid w:val="00551FA0"/>
    <w:rsid w:val="00553521"/>
    <w:rsid w:val="005542B5"/>
    <w:rsid w:val="00555955"/>
    <w:rsid w:val="00557558"/>
    <w:rsid w:val="00560104"/>
    <w:rsid w:val="0056019B"/>
    <w:rsid w:val="00560D0C"/>
    <w:rsid w:val="00560E9F"/>
    <w:rsid w:val="00561076"/>
    <w:rsid w:val="0056140C"/>
    <w:rsid w:val="00562990"/>
    <w:rsid w:val="00562C82"/>
    <w:rsid w:val="00562D2C"/>
    <w:rsid w:val="00563224"/>
    <w:rsid w:val="0056324E"/>
    <w:rsid w:val="005641A4"/>
    <w:rsid w:val="005644FD"/>
    <w:rsid w:val="00564883"/>
    <w:rsid w:val="00564F7B"/>
    <w:rsid w:val="00564F9A"/>
    <w:rsid w:val="00570226"/>
    <w:rsid w:val="00570533"/>
    <w:rsid w:val="00571918"/>
    <w:rsid w:val="0057213D"/>
    <w:rsid w:val="00573D5C"/>
    <w:rsid w:val="00574032"/>
    <w:rsid w:val="0057530D"/>
    <w:rsid w:val="00576232"/>
    <w:rsid w:val="0057660D"/>
    <w:rsid w:val="00577F13"/>
    <w:rsid w:val="00580612"/>
    <w:rsid w:val="00580814"/>
    <w:rsid w:val="00580A8F"/>
    <w:rsid w:val="005814EE"/>
    <w:rsid w:val="00581985"/>
    <w:rsid w:val="00581A36"/>
    <w:rsid w:val="00581CC3"/>
    <w:rsid w:val="00581D84"/>
    <w:rsid w:val="005821DF"/>
    <w:rsid w:val="0058318B"/>
    <w:rsid w:val="00583D3B"/>
    <w:rsid w:val="00584298"/>
    <w:rsid w:val="005862F7"/>
    <w:rsid w:val="00587127"/>
    <w:rsid w:val="005879B9"/>
    <w:rsid w:val="00587EC6"/>
    <w:rsid w:val="00590EE1"/>
    <w:rsid w:val="00594762"/>
    <w:rsid w:val="00594C98"/>
    <w:rsid w:val="005957FD"/>
    <w:rsid w:val="00595D5A"/>
    <w:rsid w:val="00597277"/>
    <w:rsid w:val="00597651"/>
    <w:rsid w:val="00597C31"/>
    <w:rsid w:val="005A1802"/>
    <w:rsid w:val="005A1FD8"/>
    <w:rsid w:val="005A4AC9"/>
    <w:rsid w:val="005A4DAF"/>
    <w:rsid w:val="005B0D40"/>
    <w:rsid w:val="005B0D5A"/>
    <w:rsid w:val="005B1A8B"/>
    <w:rsid w:val="005B20EB"/>
    <w:rsid w:val="005B2186"/>
    <w:rsid w:val="005B2208"/>
    <w:rsid w:val="005B25E7"/>
    <w:rsid w:val="005B284F"/>
    <w:rsid w:val="005B3EE0"/>
    <w:rsid w:val="005B3F4A"/>
    <w:rsid w:val="005B41AD"/>
    <w:rsid w:val="005B520E"/>
    <w:rsid w:val="005B6BCB"/>
    <w:rsid w:val="005C02DA"/>
    <w:rsid w:val="005C19D0"/>
    <w:rsid w:val="005C2806"/>
    <w:rsid w:val="005C2941"/>
    <w:rsid w:val="005C526F"/>
    <w:rsid w:val="005C6801"/>
    <w:rsid w:val="005C7A3E"/>
    <w:rsid w:val="005C7DD2"/>
    <w:rsid w:val="005D197A"/>
    <w:rsid w:val="005D1C6C"/>
    <w:rsid w:val="005D27E4"/>
    <w:rsid w:val="005D2838"/>
    <w:rsid w:val="005D34D5"/>
    <w:rsid w:val="005D452A"/>
    <w:rsid w:val="005D59C2"/>
    <w:rsid w:val="005D6EFD"/>
    <w:rsid w:val="005D7200"/>
    <w:rsid w:val="005E1A40"/>
    <w:rsid w:val="005E22B7"/>
    <w:rsid w:val="005E232E"/>
    <w:rsid w:val="005E6055"/>
    <w:rsid w:val="005E79EF"/>
    <w:rsid w:val="005E7D55"/>
    <w:rsid w:val="005F0CA7"/>
    <w:rsid w:val="005F3081"/>
    <w:rsid w:val="005F3B87"/>
    <w:rsid w:val="005F4E1F"/>
    <w:rsid w:val="005F50AA"/>
    <w:rsid w:val="005F61E0"/>
    <w:rsid w:val="005F6E74"/>
    <w:rsid w:val="005F7393"/>
    <w:rsid w:val="005F754E"/>
    <w:rsid w:val="00601800"/>
    <w:rsid w:val="006026CF"/>
    <w:rsid w:val="006037E7"/>
    <w:rsid w:val="00604122"/>
    <w:rsid w:val="00604EE1"/>
    <w:rsid w:val="0060514E"/>
    <w:rsid w:val="00605499"/>
    <w:rsid w:val="00606153"/>
    <w:rsid w:val="00606829"/>
    <w:rsid w:val="00607BDE"/>
    <w:rsid w:val="00610478"/>
    <w:rsid w:val="00611B7B"/>
    <w:rsid w:val="006125F6"/>
    <w:rsid w:val="00613EC9"/>
    <w:rsid w:val="00615C60"/>
    <w:rsid w:val="00616B9A"/>
    <w:rsid w:val="006176D8"/>
    <w:rsid w:val="00620646"/>
    <w:rsid w:val="00620798"/>
    <w:rsid w:val="00620A02"/>
    <w:rsid w:val="00620FB8"/>
    <w:rsid w:val="0062161E"/>
    <w:rsid w:val="00622100"/>
    <w:rsid w:val="00622BBE"/>
    <w:rsid w:val="006233F1"/>
    <w:rsid w:val="006235A4"/>
    <w:rsid w:val="006264C0"/>
    <w:rsid w:val="006304F2"/>
    <w:rsid w:val="00630DEF"/>
    <w:rsid w:val="0063168A"/>
    <w:rsid w:val="006334DB"/>
    <w:rsid w:val="0063359A"/>
    <w:rsid w:val="0063389F"/>
    <w:rsid w:val="0063484A"/>
    <w:rsid w:val="00635FBA"/>
    <w:rsid w:val="006366D3"/>
    <w:rsid w:val="00636D68"/>
    <w:rsid w:val="00636F10"/>
    <w:rsid w:val="006375B9"/>
    <w:rsid w:val="0063764D"/>
    <w:rsid w:val="00637F29"/>
    <w:rsid w:val="00640A52"/>
    <w:rsid w:val="006414AE"/>
    <w:rsid w:val="00641D5B"/>
    <w:rsid w:val="00642C5D"/>
    <w:rsid w:val="00643113"/>
    <w:rsid w:val="00643235"/>
    <w:rsid w:val="00644264"/>
    <w:rsid w:val="006444FB"/>
    <w:rsid w:val="00644F9E"/>
    <w:rsid w:val="00646E6B"/>
    <w:rsid w:val="006470D3"/>
    <w:rsid w:val="00647B5F"/>
    <w:rsid w:val="00647DCD"/>
    <w:rsid w:val="00650DAE"/>
    <w:rsid w:val="00652A80"/>
    <w:rsid w:val="00652D1E"/>
    <w:rsid w:val="0065333B"/>
    <w:rsid w:val="00654EC5"/>
    <w:rsid w:val="0065652B"/>
    <w:rsid w:val="00656E91"/>
    <w:rsid w:val="00657D19"/>
    <w:rsid w:val="006602B2"/>
    <w:rsid w:val="00660571"/>
    <w:rsid w:val="006625D5"/>
    <w:rsid w:val="00662AA0"/>
    <w:rsid w:val="006666E7"/>
    <w:rsid w:val="006669B9"/>
    <w:rsid w:val="00666AA4"/>
    <w:rsid w:val="00666D45"/>
    <w:rsid w:val="00666E2E"/>
    <w:rsid w:val="00667933"/>
    <w:rsid w:val="0067155D"/>
    <w:rsid w:val="00671D55"/>
    <w:rsid w:val="00672174"/>
    <w:rsid w:val="00672511"/>
    <w:rsid w:val="006727DB"/>
    <w:rsid w:val="00672AC0"/>
    <w:rsid w:val="0067457D"/>
    <w:rsid w:val="00677215"/>
    <w:rsid w:val="00677D3C"/>
    <w:rsid w:val="006806A0"/>
    <w:rsid w:val="00680FBF"/>
    <w:rsid w:val="00680FD5"/>
    <w:rsid w:val="006821F1"/>
    <w:rsid w:val="0068231F"/>
    <w:rsid w:val="00682BB2"/>
    <w:rsid w:val="006835EF"/>
    <w:rsid w:val="00683881"/>
    <w:rsid w:val="006838D3"/>
    <w:rsid w:val="00683D2C"/>
    <w:rsid w:val="00684443"/>
    <w:rsid w:val="00684688"/>
    <w:rsid w:val="0068608D"/>
    <w:rsid w:val="00691E5A"/>
    <w:rsid w:val="00692790"/>
    <w:rsid w:val="006932A6"/>
    <w:rsid w:val="00693B8D"/>
    <w:rsid w:val="00693E0F"/>
    <w:rsid w:val="006952FE"/>
    <w:rsid w:val="0069530B"/>
    <w:rsid w:val="006965B4"/>
    <w:rsid w:val="0069777E"/>
    <w:rsid w:val="00697F18"/>
    <w:rsid w:val="006A0DFB"/>
    <w:rsid w:val="006A2053"/>
    <w:rsid w:val="006A20A7"/>
    <w:rsid w:val="006A2213"/>
    <w:rsid w:val="006A2E48"/>
    <w:rsid w:val="006A3865"/>
    <w:rsid w:val="006A41F7"/>
    <w:rsid w:val="006A530E"/>
    <w:rsid w:val="006A7659"/>
    <w:rsid w:val="006A77B9"/>
    <w:rsid w:val="006A7E1D"/>
    <w:rsid w:val="006B014A"/>
    <w:rsid w:val="006B2566"/>
    <w:rsid w:val="006B2E16"/>
    <w:rsid w:val="006B39DB"/>
    <w:rsid w:val="006B442F"/>
    <w:rsid w:val="006B57E8"/>
    <w:rsid w:val="006B66B1"/>
    <w:rsid w:val="006B79C6"/>
    <w:rsid w:val="006C010E"/>
    <w:rsid w:val="006C0263"/>
    <w:rsid w:val="006C1436"/>
    <w:rsid w:val="006C24A6"/>
    <w:rsid w:val="006C29A8"/>
    <w:rsid w:val="006C3527"/>
    <w:rsid w:val="006C3D35"/>
    <w:rsid w:val="006C6406"/>
    <w:rsid w:val="006C7F12"/>
    <w:rsid w:val="006D16AB"/>
    <w:rsid w:val="006D1BFF"/>
    <w:rsid w:val="006D2BBC"/>
    <w:rsid w:val="006D2E1F"/>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53"/>
    <w:rsid w:val="006F0BB9"/>
    <w:rsid w:val="006F109E"/>
    <w:rsid w:val="006F1814"/>
    <w:rsid w:val="006F2BF0"/>
    <w:rsid w:val="006F4417"/>
    <w:rsid w:val="006F4A43"/>
    <w:rsid w:val="006F4C11"/>
    <w:rsid w:val="006F5368"/>
    <w:rsid w:val="006F60F7"/>
    <w:rsid w:val="006F7BDC"/>
    <w:rsid w:val="007000A4"/>
    <w:rsid w:val="00702618"/>
    <w:rsid w:val="00703E9E"/>
    <w:rsid w:val="00704E67"/>
    <w:rsid w:val="00705115"/>
    <w:rsid w:val="0070651C"/>
    <w:rsid w:val="00707755"/>
    <w:rsid w:val="00711C3B"/>
    <w:rsid w:val="00711E18"/>
    <w:rsid w:val="00713F73"/>
    <w:rsid w:val="00713FFA"/>
    <w:rsid w:val="0071427C"/>
    <w:rsid w:val="007146F7"/>
    <w:rsid w:val="007149B2"/>
    <w:rsid w:val="007158EF"/>
    <w:rsid w:val="0071631E"/>
    <w:rsid w:val="00716632"/>
    <w:rsid w:val="00716702"/>
    <w:rsid w:val="00720115"/>
    <w:rsid w:val="007210EF"/>
    <w:rsid w:val="007227FE"/>
    <w:rsid w:val="00722A7B"/>
    <w:rsid w:val="007250CA"/>
    <w:rsid w:val="00725731"/>
    <w:rsid w:val="0072667B"/>
    <w:rsid w:val="00726C14"/>
    <w:rsid w:val="007277F0"/>
    <w:rsid w:val="00727A7D"/>
    <w:rsid w:val="00727D39"/>
    <w:rsid w:val="00733908"/>
    <w:rsid w:val="00734AA6"/>
    <w:rsid w:val="00735288"/>
    <w:rsid w:val="00737EBA"/>
    <w:rsid w:val="007406DB"/>
    <w:rsid w:val="00740C8C"/>
    <w:rsid w:val="00741C51"/>
    <w:rsid w:val="007439BF"/>
    <w:rsid w:val="0074531B"/>
    <w:rsid w:val="0074572F"/>
    <w:rsid w:val="00745CA2"/>
    <w:rsid w:val="007501AF"/>
    <w:rsid w:val="00751574"/>
    <w:rsid w:val="007515CC"/>
    <w:rsid w:val="00752B83"/>
    <w:rsid w:val="00753568"/>
    <w:rsid w:val="00753D56"/>
    <w:rsid w:val="00755371"/>
    <w:rsid w:val="00761DEC"/>
    <w:rsid w:val="00762CE9"/>
    <w:rsid w:val="007638CF"/>
    <w:rsid w:val="0076480E"/>
    <w:rsid w:val="00766A0D"/>
    <w:rsid w:val="0076701E"/>
    <w:rsid w:val="00767FBB"/>
    <w:rsid w:val="007700D4"/>
    <w:rsid w:val="007703DD"/>
    <w:rsid w:val="007721EB"/>
    <w:rsid w:val="00774164"/>
    <w:rsid w:val="007743C6"/>
    <w:rsid w:val="00775A41"/>
    <w:rsid w:val="00777D52"/>
    <w:rsid w:val="00780CDB"/>
    <w:rsid w:val="00781A33"/>
    <w:rsid w:val="0078474D"/>
    <w:rsid w:val="00784763"/>
    <w:rsid w:val="00785A40"/>
    <w:rsid w:val="00790661"/>
    <w:rsid w:val="00791230"/>
    <w:rsid w:val="00791649"/>
    <w:rsid w:val="00794260"/>
    <w:rsid w:val="00794C51"/>
    <w:rsid w:val="007952DF"/>
    <w:rsid w:val="00795557"/>
    <w:rsid w:val="00795A57"/>
    <w:rsid w:val="007969C1"/>
    <w:rsid w:val="007A08E7"/>
    <w:rsid w:val="007A2791"/>
    <w:rsid w:val="007A383E"/>
    <w:rsid w:val="007A74E5"/>
    <w:rsid w:val="007A7A18"/>
    <w:rsid w:val="007B14B1"/>
    <w:rsid w:val="007B16DD"/>
    <w:rsid w:val="007B20C4"/>
    <w:rsid w:val="007B2ECE"/>
    <w:rsid w:val="007B708C"/>
    <w:rsid w:val="007B7ABF"/>
    <w:rsid w:val="007C1569"/>
    <w:rsid w:val="007C4A2C"/>
    <w:rsid w:val="007D06B7"/>
    <w:rsid w:val="007D1506"/>
    <w:rsid w:val="007D40E2"/>
    <w:rsid w:val="007D490C"/>
    <w:rsid w:val="007D5132"/>
    <w:rsid w:val="007D5221"/>
    <w:rsid w:val="007D6351"/>
    <w:rsid w:val="007D68FB"/>
    <w:rsid w:val="007E1466"/>
    <w:rsid w:val="007E2571"/>
    <w:rsid w:val="007E302C"/>
    <w:rsid w:val="007E325F"/>
    <w:rsid w:val="007E4185"/>
    <w:rsid w:val="007E4A08"/>
    <w:rsid w:val="007E4FAB"/>
    <w:rsid w:val="007E5799"/>
    <w:rsid w:val="007E5A1C"/>
    <w:rsid w:val="007E5CFD"/>
    <w:rsid w:val="007E5DE0"/>
    <w:rsid w:val="007E7CC0"/>
    <w:rsid w:val="007E7E9F"/>
    <w:rsid w:val="007F2020"/>
    <w:rsid w:val="007F2FB0"/>
    <w:rsid w:val="007F4C3B"/>
    <w:rsid w:val="007F53E2"/>
    <w:rsid w:val="007F561B"/>
    <w:rsid w:val="007F5749"/>
    <w:rsid w:val="007F6AC8"/>
    <w:rsid w:val="007F6F33"/>
    <w:rsid w:val="00800BAC"/>
    <w:rsid w:val="00801272"/>
    <w:rsid w:val="0080467D"/>
    <w:rsid w:val="00805C95"/>
    <w:rsid w:val="00806153"/>
    <w:rsid w:val="008063C6"/>
    <w:rsid w:val="008063CB"/>
    <w:rsid w:val="00810100"/>
    <w:rsid w:val="008109B0"/>
    <w:rsid w:val="00810C91"/>
    <w:rsid w:val="00815852"/>
    <w:rsid w:val="008158EF"/>
    <w:rsid w:val="00816EE6"/>
    <w:rsid w:val="0081732B"/>
    <w:rsid w:val="00820D79"/>
    <w:rsid w:val="008210D4"/>
    <w:rsid w:val="00821AEF"/>
    <w:rsid w:val="00821FA6"/>
    <w:rsid w:val="00822573"/>
    <w:rsid w:val="008227E2"/>
    <w:rsid w:val="00822AC8"/>
    <w:rsid w:val="00822B35"/>
    <w:rsid w:val="00823272"/>
    <w:rsid w:val="008232BD"/>
    <w:rsid w:val="00823D0E"/>
    <w:rsid w:val="00826134"/>
    <w:rsid w:val="008263E2"/>
    <w:rsid w:val="00830585"/>
    <w:rsid w:val="00831B06"/>
    <w:rsid w:val="00832016"/>
    <w:rsid w:val="00832B8C"/>
    <w:rsid w:val="00832E5D"/>
    <w:rsid w:val="0083356B"/>
    <w:rsid w:val="008338D8"/>
    <w:rsid w:val="008355D4"/>
    <w:rsid w:val="008370C1"/>
    <w:rsid w:val="00842EAC"/>
    <w:rsid w:val="00843EED"/>
    <w:rsid w:val="0084407C"/>
    <w:rsid w:val="0084414A"/>
    <w:rsid w:val="00844875"/>
    <w:rsid w:val="00845A4C"/>
    <w:rsid w:val="00846062"/>
    <w:rsid w:val="0084647B"/>
    <w:rsid w:val="0084796E"/>
    <w:rsid w:val="00850B80"/>
    <w:rsid w:val="00851E51"/>
    <w:rsid w:val="008520C9"/>
    <w:rsid w:val="008539C7"/>
    <w:rsid w:val="008547DC"/>
    <w:rsid w:val="00854A2D"/>
    <w:rsid w:val="00854A8D"/>
    <w:rsid w:val="008551BA"/>
    <w:rsid w:val="008568AC"/>
    <w:rsid w:val="008576EF"/>
    <w:rsid w:val="00860E5C"/>
    <w:rsid w:val="00861F00"/>
    <w:rsid w:val="0086232B"/>
    <w:rsid w:val="00863D85"/>
    <w:rsid w:val="00864C9C"/>
    <w:rsid w:val="008659D6"/>
    <w:rsid w:val="00866672"/>
    <w:rsid w:val="0086712E"/>
    <w:rsid w:val="00870AAD"/>
    <w:rsid w:val="008715E0"/>
    <w:rsid w:val="00874BAB"/>
    <w:rsid w:val="00875931"/>
    <w:rsid w:val="00876248"/>
    <w:rsid w:val="0087713C"/>
    <w:rsid w:val="0087740E"/>
    <w:rsid w:val="00880159"/>
    <w:rsid w:val="0088393E"/>
    <w:rsid w:val="00885FC4"/>
    <w:rsid w:val="00886D12"/>
    <w:rsid w:val="00886F84"/>
    <w:rsid w:val="00887E94"/>
    <w:rsid w:val="008928E6"/>
    <w:rsid w:val="00892DC1"/>
    <w:rsid w:val="0089354A"/>
    <w:rsid w:val="00894558"/>
    <w:rsid w:val="0089738C"/>
    <w:rsid w:val="008A004C"/>
    <w:rsid w:val="008A067E"/>
    <w:rsid w:val="008A0C4A"/>
    <w:rsid w:val="008A1810"/>
    <w:rsid w:val="008A212F"/>
    <w:rsid w:val="008A21EC"/>
    <w:rsid w:val="008A291B"/>
    <w:rsid w:val="008A318E"/>
    <w:rsid w:val="008A70C8"/>
    <w:rsid w:val="008A793D"/>
    <w:rsid w:val="008A7B56"/>
    <w:rsid w:val="008B0885"/>
    <w:rsid w:val="008B3B09"/>
    <w:rsid w:val="008B4097"/>
    <w:rsid w:val="008B45DD"/>
    <w:rsid w:val="008B48DE"/>
    <w:rsid w:val="008C0EFC"/>
    <w:rsid w:val="008C1620"/>
    <w:rsid w:val="008C294F"/>
    <w:rsid w:val="008C2A57"/>
    <w:rsid w:val="008C399B"/>
    <w:rsid w:val="008C4171"/>
    <w:rsid w:val="008C429A"/>
    <w:rsid w:val="008C675A"/>
    <w:rsid w:val="008C70A7"/>
    <w:rsid w:val="008C7BF9"/>
    <w:rsid w:val="008D055B"/>
    <w:rsid w:val="008D199A"/>
    <w:rsid w:val="008D29E2"/>
    <w:rsid w:val="008D2D5F"/>
    <w:rsid w:val="008D4366"/>
    <w:rsid w:val="008D46B1"/>
    <w:rsid w:val="008D7C24"/>
    <w:rsid w:val="008E206E"/>
    <w:rsid w:val="008E211B"/>
    <w:rsid w:val="008E22E9"/>
    <w:rsid w:val="008E2666"/>
    <w:rsid w:val="008E296A"/>
    <w:rsid w:val="008E35A7"/>
    <w:rsid w:val="008E3E12"/>
    <w:rsid w:val="008E4BC0"/>
    <w:rsid w:val="008E538F"/>
    <w:rsid w:val="008E5B0E"/>
    <w:rsid w:val="008E5B74"/>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1675"/>
    <w:rsid w:val="00902139"/>
    <w:rsid w:val="00902860"/>
    <w:rsid w:val="00902884"/>
    <w:rsid w:val="00902D61"/>
    <w:rsid w:val="00907908"/>
    <w:rsid w:val="00910D58"/>
    <w:rsid w:val="009124E3"/>
    <w:rsid w:val="009125AE"/>
    <w:rsid w:val="00912C3E"/>
    <w:rsid w:val="0091343D"/>
    <w:rsid w:val="00915D17"/>
    <w:rsid w:val="00917031"/>
    <w:rsid w:val="009171C9"/>
    <w:rsid w:val="00917A79"/>
    <w:rsid w:val="0092024E"/>
    <w:rsid w:val="00920842"/>
    <w:rsid w:val="00920FE4"/>
    <w:rsid w:val="00921D77"/>
    <w:rsid w:val="009222B0"/>
    <w:rsid w:val="00923406"/>
    <w:rsid w:val="0092428A"/>
    <w:rsid w:val="0092484B"/>
    <w:rsid w:val="009249B4"/>
    <w:rsid w:val="00927DDF"/>
    <w:rsid w:val="00927FE6"/>
    <w:rsid w:val="009310E4"/>
    <w:rsid w:val="009316D2"/>
    <w:rsid w:val="00931CE7"/>
    <w:rsid w:val="009334EE"/>
    <w:rsid w:val="00935971"/>
    <w:rsid w:val="009364DE"/>
    <w:rsid w:val="00936B2E"/>
    <w:rsid w:val="00937108"/>
    <w:rsid w:val="00937B24"/>
    <w:rsid w:val="00941790"/>
    <w:rsid w:val="009438EB"/>
    <w:rsid w:val="00943A59"/>
    <w:rsid w:val="00943F44"/>
    <w:rsid w:val="009446B1"/>
    <w:rsid w:val="009447DC"/>
    <w:rsid w:val="009448EB"/>
    <w:rsid w:val="00945114"/>
    <w:rsid w:val="00945370"/>
    <w:rsid w:val="00946ABA"/>
    <w:rsid w:val="00946C15"/>
    <w:rsid w:val="00947663"/>
    <w:rsid w:val="00947E99"/>
    <w:rsid w:val="009525C3"/>
    <w:rsid w:val="0095341B"/>
    <w:rsid w:val="00953BBB"/>
    <w:rsid w:val="00954BFE"/>
    <w:rsid w:val="00954E69"/>
    <w:rsid w:val="009554AC"/>
    <w:rsid w:val="00956694"/>
    <w:rsid w:val="0095690A"/>
    <w:rsid w:val="00961EC8"/>
    <w:rsid w:val="009625D4"/>
    <w:rsid w:val="009631FA"/>
    <w:rsid w:val="0096362C"/>
    <w:rsid w:val="00965AEC"/>
    <w:rsid w:val="009668C2"/>
    <w:rsid w:val="00967B62"/>
    <w:rsid w:val="0097077D"/>
    <w:rsid w:val="00971E52"/>
    <w:rsid w:val="00971FF7"/>
    <w:rsid w:val="00972AF9"/>
    <w:rsid w:val="00974F8C"/>
    <w:rsid w:val="00975A18"/>
    <w:rsid w:val="00976082"/>
    <w:rsid w:val="00976359"/>
    <w:rsid w:val="009770AB"/>
    <w:rsid w:val="009803F5"/>
    <w:rsid w:val="009810FC"/>
    <w:rsid w:val="00981AED"/>
    <w:rsid w:val="0098223A"/>
    <w:rsid w:val="00982397"/>
    <w:rsid w:val="009828F8"/>
    <w:rsid w:val="00982C4F"/>
    <w:rsid w:val="009835BB"/>
    <w:rsid w:val="00983904"/>
    <w:rsid w:val="0098642B"/>
    <w:rsid w:val="00987188"/>
    <w:rsid w:val="00987369"/>
    <w:rsid w:val="00987EEB"/>
    <w:rsid w:val="00990589"/>
    <w:rsid w:val="00990672"/>
    <w:rsid w:val="00990CF7"/>
    <w:rsid w:val="00992D59"/>
    <w:rsid w:val="00994812"/>
    <w:rsid w:val="009948ED"/>
    <w:rsid w:val="00995AF3"/>
    <w:rsid w:val="00995B1C"/>
    <w:rsid w:val="0099603D"/>
    <w:rsid w:val="009A0FE1"/>
    <w:rsid w:val="009A1207"/>
    <w:rsid w:val="009A12CC"/>
    <w:rsid w:val="009A1E6A"/>
    <w:rsid w:val="009A322D"/>
    <w:rsid w:val="009A4021"/>
    <w:rsid w:val="009A5A12"/>
    <w:rsid w:val="009A5E63"/>
    <w:rsid w:val="009A6055"/>
    <w:rsid w:val="009A6718"/>
    <w:rsid w:val="009A6AA0"/>
    <w:rsid w:val="009B00F8"/>
    <w:rsid w:val="009B0EBA"/>
    <w:rsid w:val="009B2512"/>
    <w:rsid w:val="009B4072"/>
    <w:rsid w:val="009B4657"/>
    <w:rsid w:val="009B5096"/>
    <w:rsid w:val="009B79E5"/>
    <w:rsid w:val="009B7E34"/>
    <w:rsid w:val="009B7FEF"/>
    <w:rsid w:val="009C2B21"/>
    <w:rsid w:val="009C2BC4"/>
    <w:rsid w:val="009C3CC4"/>
    <w:rsid w:val="009C4D7A"/>
    <w:rsid w:val="009C57D2"/>
    <w:rsid w:val="009C6D07"/>
    <w:rsid w:val="009C7CC2"/>
    <w:rsid w:val="009D18C4"/>
    <w:rsid w:val="009D4829"/>
    <w:rsid w:val="009D4EA6"/>
    <w:rsid w:val="009D4EB3"/>
    <w:rsid w:val="009D4F38"/>
    <w:rsid w:val="009D6298"/>
    <w:rsid w:val="009D6C9B"/>
    <w:rsid w:val="009D7D5C"/>
    <w:rsid w:val="009D7F85"/>
    <w:rsid w:val="009E50F7"/>
    <w:rsid w:val="009E7800"/>
    <w:rsid w:val="009F3B3B"/>
    <w:rsid w:val="009F512E"/>
    <w:rsid w:val="009F7CB7"/>
    <w:rsid w:val="00A00F8D"/>
    <w:rsid w:val="00A019F4"/>
    <w:rsid w:val="00A01BA0"/>
    <w:rsid w:val="00A02040"/>
    <w:rsid w:val="00A02D65"/>
    <w:rsid w:val="00A0357B"/>
    <w:rsid w:val="00A037B8"/>
    <w:rsid w:val="00A03C0A"/>
    <w:rsid w:val="00A03DE2"/>
    <w:rsid w:val="00A059FE"/>
    <w:rsid w:val="00A05F20"/>
    <w:rsid w:val="00A06AAA"/>
    <w:rsid w:val="00A11095"/>
    <w:rsid w:val="00A11229"/>
    <w:rsid w:val="00A122DF"/>
    <w:rsid w:val="00A12567"/>
    <w:rsid w:val="00A13BEA"/>
    <w:rsid w:val="00A14171"/>
    <w:rsid w:val="00A15232"/>
    <w:rsid w:val="00A15EDE"/>
    <w:rsid w:val="00A16B79"/>
    <w:rsid w:val="00A16E24"/>
    <w:rsid w:val="00A20C90"/>
    <w:rsid w:val="00A20F13"/>
    <w:rsid w:val="00A22C11"/>
    <w:rsid w:val="00A237AF"/>
    <w:rsid w:val="00A24A78"/>
    <w:rsid w:val="00A25378"/>
    <w:rsid w:val="00A25803"/>
    <w:rsid w:val="00A269BE"/>
    <w:rsid w:val="00A26F02"/>
    <w:rsid w:val="00A27013"/>
    <w:rsid w:val="00A2716D"/>
    <w:rsid w:val="00A273E5"/>
    <w:rsid w:val="00A27EDD"/>
    <w:rsid w:val="00A315F2"/>
    <w:rsid w:val="00A31FDD"/>
    <w:rsid w:val="00A33A76"/>
    <w:rsid w:val="00A33BAB"/>
    <w:rsid w:val="00A34A44"/>
    <w:rsid w:val="00A35926"/>
    <w:rsid w:val="00A35BA2"/>
    <w:rsid w:val="00A35C68"/>
    <w:rsid w:val="00A37278"/>
    <w:rsid w:val="00A37D8B"/>
    <w:rsid w:val="00A40BCD"/>
    <w:rsid w:val="00A411A3"/>
    <w:rsid w:val="00A42755"/>
    <w:rsid w:val="00A438A7"/>
    <w:rsid w:val="00A43E05"/>
    <w:rsid w:val="00A44A1A"/>
    <w:rsid w:val="00A467C8"/>
    <w:rsid w:val="00A46DBC"/>
    <w:rsid w:val="00A478B1"/>
    <w:rsid w:val="00A51444"/>
    <w:rsid w:val="00A516A8"/>
    <w:rsid w:val="00A51E42"/>
    <w:rsid w:val="00A52F13"/>
    <w:rsid w:val="00A5322E"/>
    <w:rsid w:val="00A53677"/>
    <w:rsid w:val="00A548B5"/>
    <w:rsid w:val="00A5594C"/>
    <w:rsid w:val="00A55B0B"/>
    <w:rsid w:val="00A56003"/>
    <w:rsid w:val="00A56D55"/>
    <w:rsid w:val="00A60265"/>
    <w:rsid w:val="00A6109B"/>
    <w:rsid w:val="00A63987"/>
    <w:rsid w:val="00A63D7C"/>
    <w:rsid w:val="00A6507F"/>
    <w:rsid w:val="00A66FF6"/>
    <w:rsid w:val="00A70CA8"/>
    <w:rsid w:val="00A7113D"/>
    <w:rsid w:val="00A71E75"/>
    <w:rsid w:val="00A72E9B"/>
    <w:rsid w:val="00A747FA"/>
    <w:rsid w:val="00A74DBB"/>
    <w:rsid w:val="00A765DF"/>
    <w:rsid w:val="00A808DD"/>
    <w:rsid w:val="00A820A8"/>
    <w:rsid w:val="00A821B5"/>
    <w:rsid w:val="00A869AC"/>
    <w:rsid w:val="00A86C3B"/>
    <w:rsid w:val="00A87912"/>
    <w:rsid w:val="00A90070"/>
    <w:rsid w:val="00A90235"/>
    <w:rsid w:val="00A902F6"/>
    <w:rsid w:val="00A90BE2"/>
    <w:rsid w:val="00A90CBF"/>
    <w:rsid w:val="00A90E4D"/>
    <w:rsid w:val="00A93324"/>
    <w:rsid w:val="00A94729"/>
    <w:rsid w:val="00A970B8"/>
    <w:rsid w:val="00A97174"/>
    <w:rsid w:val="00AA0091"/>
    <w:rsid w:val="00AA00AD"/>
    <w:rsid w:val="00AA0803"/>
    <w:rsid w:val="00AA0888"/>
    <w:rsid w:val="00AA12D7"/>
    <w:rsid w:val="00AA3408"/>
    <w:rsid w:val="00AA45A7"/>
    <w:rsid w:val="00AA46B9"/>
    <w:rsid w:val="00AA4F80"/>
    <w:rsid w:val="00AA575E"/>
    <w:rsid w:val="00AA5ADD"/>
    <w:rsid w:val="00AA5D39"/>
    <w:rsid w:val="00AA650F"/>
    <w:rsid w:val="00AB01B2"/>
    <w:rsid w:val="00AB0247"/>
    <w:rsid w:val="00AB0265"/>
    <w:rsid w:val="00AB03C2"/>
    <w:rsid w:val="00AB1105"/>
    <w:rsid w:val="00AB2564"/>
    <w:rsid w:val="00AB3BA3"/>
    <w:rsid w:val="00AB490F"/>
    <w:rsid w:val="00AB547D"/>
    <w:rsid w:val="00AC01B5"/>
    <w:rsid w:val="00AC0CA1"/>
    <w:rsid w:val="00AC13F4"/>
    <w:rsid w:val="00AC25D1"/>
    <w:rsid w:val="00AC3044"/>
    <w:rsid w:val="00AC3EAF"/>
    <w:rsid w:val="00AC5641"/>
    <w:rsid w:val="00AC6560"/>
    <w:rsid w:val="00AC70DD"/>
    <w:rsid w:val="00AD107E"/>
    <w:rsid w:val="00AD1611"/>
    <w:rsid w:val="00AD2B10"/>
    <w:rsid w:val="00AD3297"/>
    <w:rsid w:val="00AD3405"/>
    <w:rsid w:val="00AD394E"/>
    <w:rsid w:val="00AD4493"/>
    <w:rsid w:val="00AD5653"/>
    <w:rsid w:val="00AD7D87"/>
    <w:rsid w:val="00AE2384"/>
    <w:rsid w:val="00AE24D0"/>
    <w:rsid w:val="00AE666E"/>
    <w:rsid w:val="00AE6D69"/>
    <w:rsid w:val="00AF2825"/>
    <w:rsid w:val="00AF2E9A"/>
    <w:rsid w:val="00AF3FB7"/>
    <w:rsid w:val="00AF4183"/>
    <w:rsid w:val="00AF4DC6"/>
    <w:rsid w:val="00AF4DEC"/>
    <w:rsid w:val="00AF4FF8"/>
    <w:rsid w:val="00AF50B7"/>
    <w:rsid w:val="00AF5117"/>
    <w:rsid w:val="00AF609E"/>
    <w:rsid w:val="00AF6367"/>
    <w:rsid w:val="00B00498"/>
    <w:rsid w:val="00B00823"/>
    <w:rsid w:val="00B0089D"/>
    <w:rsid w:val="00B01606"/>
    <w:rsid w:val="00B02505"/>
    <w:rsid w:val="00B042EE"/>
    <w:rsid w:val="00B0452E"/>
    <w:rsid w:val="00B05012"/>
    <w:rsid w:val="00B05BB3"/>
    <w:rsid w:val="00B060E2"/>
    <w:rsid w:val="00B10DDB"/>
    <w:rsid w:val="00B10F04"/>
    <w:rsid w:val="00B1130A"/>
    <w:rsid w:val="00B11DC0"/>
    <w:rsid w:val="00B12AF7"/>
    <w:rsid w:val="00B12BDA"/>
    <w:rsid w:val="00B13827"/>
    <w:rsid w:val="00B150F7"/>
    <w:rsid w:val="00B15380"/>
    <w:rsid w:val="00B175A0"/>
    <w:rsid w:val="00B20552"/>
    <w:rsid w:val="00B2069B"/>
    <w:rsid w:val="00B214D3"/>
    <w:rsid w:val="00B2406E"/>
    <w:rsid w:val="00B24A27"/>
    <w:rsid w:val="00B25B24"/>
    <w:rsid w:val="00B27108"/>
    <w:rsid w:val="00B3037F"/>
    <w:rsid w:val="00B30769"/>
    <w:rsid w:val="00B319DD"/>
    <w:rsid w:val="00B31D2C"/>
    <w:rsid w:val="00B329B6"/>
    <w:rsid w:val="00B3349F"/>
    <w:rsid w:val="00B33DCE"/>
    <w:rsid w:val="00B34013"/>
    <w:rsid w:val="00B34F8F"/>
    <w:rsid w:val="00B353E9"/>
    <w:rsid w:val="00B3738F"/>
    <w:rsid w:val="00B37C39"/>
    <w:rsid w:val="00B4071D"/>
    <w:rsid w:val="00B41D59"/>
    <w:rsid w:val="00B42AC5"/>
    <w:rsid w:val="00B43774"/>
    <w:rsid w:val="00B43C1B"/>
    <w:rsid w:val="00B444B6"/>
    <w:rsid w:val="00B44752"/>
    <w:rsid w:val="00B447B4"/>
    <w:rsid w:val="00B45AEE"/>
    <w:rsid w:val="00B465BD"/>
    <w:rsid w:val="00B469E5"/>
    <w:rsid w:val="00B46A45"/>
    <w:rsid w:val="00B471A4"/>
    <w:rsid w:val="00B47BD3"/>
    <w:rsid w:val="00B500DB"/>
    <w:rsid w:val="00B5089C"/>
    <w:rsid w:val="00B51AA4"/>
    <w:rsid w:val="00B52721"/>
    <w:rsid w:val="00B54757"/>
    <w:rsid w:val="00B54EFD"/>
    <w:rsid w:val="00B555CE"/>
    <w:rsid w:val="00B55870"/>
    <w:rsid w:val="00B56214"/>
    <w:rsid w:val="00B5651F"/>
    <w:rsid w:val="00B56C7F"/>
    <w:rsid w:val="00B579E5"/>
    <w:rsid w:val="00B60093"/>
    <w:rsid w:val="00B60ECC"/>
    <w:rsid w:val="00B612CF"/>
    <w:rsid w:val="00B62EA8"/>
    <w:rsid w:val="00B63002"/>
    <w:rsid w:val="00B633C0"/>
    <w:rsid w:val="00B63FB6"/>
    <w:rsid w:val="00B64F87"/>
    <w:rsid w:val="00B64FE3"/>
    <w:rsid w:val="00B66533"/>
    <w:rsid w:val="00B66B50"/>
    <w:rsid w:val="00B6704D"/>
    <w:rsid w:val="00B67F4F"/>
    <w:rsid w:val="00B71427"/>
    <w:rsid w:val="00B71AD4"/>
    <w:rsid w:val="00B72829"/>
    <w:rsid w:val="00B72948"/>
    <w:rsid w:val="00B72DA5"/>
    <w:rsid w:val="00B73520"/>
    <w:rsid w:val="00B7368F"/>
    <w:rsid w:val="00B745FB"/>
    <w:rsid w:val="00B74AD0"/>
    <w:rsid w:val="00B76488"/>
    <w:rsid w:val="00B764B0"/>
    <w:rsid w:val="00B77D12"/>
    <w:rsid w:val="00B8043E"/>
    <w:rsid w:val="00B80864"/>
    <w:rsid w:val="00B817CF"/>
    <w:rsid w:val="00B8269F"/>
    <w:rsid w:val="00B82EDC"/>
    <w:rsid w:val="00B830EF"/>
    <w:rsid w:val="00B83201"/>
    <w:rsid w:val="00B8338B"/>
    <w:rsid w:val="00B83C43"/>
    <w:rsid w:val="00B83E72"/>
    <w:rsid w:val="00B851FB"/>
    <w:rsid w:val="00B873C2"/>
    <w:rsid w:val="00B908E7"/>
    <w:rsid w:val="00B93186"/>
    <w:rsid w:val="00B9472A"/>
    <w:rsid w:val="00B94780"/>
    <w:rsid w:val="00B974E5"/>
    <w:rsid w:val="00BA0A43"/>
    <w:rsid w:val="00BA2102"/>
    <w:rsid w:val="00BA4D63"/>
    <w:rsid w:val="00BA5C53"/>
    <w:rsid w:val="00BA6021"/>
    <w:rsid w:val="00BA6BC8"/>
    <w:rsid w:val="00BB0257"/>
    <w:rsid w:val="00BB0292"/>
    <w:rsid w:val="00BB02DB"/>
    <w:rsid w:val="00BB19B7"/>
    <w:rsid w:val="00BB32B8"/>
    <w:rsid w:val="00BB4322"/>
    <w:rsid w:val="00BB5B80"/>
    <w:rsid w:val="00BB60B8"/>
    <w:rsid w:val="00BC085E"/>
    <w:rsid w:val="00BC5FDF"/>
    <w:rsid w:val="00BC634D"/>
    <w:rsid w:val="00BC6E2A"/>
    <w:rsid w:val="00BC6E3B"/>
    <w:rsid w:val="00BC7FE9"/>
    <w:rsid w:val="00BD3E0D"/>
    <w:rsid w:val="00BD4529"/>
    <w:rsid w:val="00BD4CA2"/>
    <w:rsid w:val="00BD4E96"/>
    <w:rsid w:val="00BD589C"/>
    <w:rsid w:val="00BD60AF"/>
    <w:rsid w:val="00BE095B"/>
    <w:rsid w:val="00BE0A0A"/>
    <w:rsid w:val="00BE1DC6"/>
    <w:rsid w:val="00BE22B6"/>
    <w:rsid w:val="00BE2857"/>
    <w:rsid w:val="00BE4C09"/>
    <w:rsid w:val="00BE4D08"/>
    <w:rsid w:val="00BE4FC8"/>
    <w:rsid w:val="00BE5551"/>
    <w:rsid w:val="00BE58B4"/>
    <w:rsid w:val="00BE5DB0"/>
    <w:rsid w:val="00BE766E"/>
    <w:rsid w:val="00BE7F6A"/>
    <w:rsid w:val="00BF0209"/>
    <w:rsid w:val="00BF063B"/>
    <w:rsid w:val="00BF06A4"/>
    <w:rsid w:val="00BF08F0"/>
    <w:rsid w:val="00BF0A60"/>
    <w:rsid w:val="00BF195B"/>
    <w:rsid w:val="00BF289F"/>
    <w:rsid w:val="00BF2B03"/>
    <w:rsid w:val="00BF2B1B"/>
    <w:rsid w:val="00BF2D29"/>
    <w:rsid w:val="00BF2F55"/>
    <w:rsid w:val="00BF32B7"/>
    <w:rsid w:val="00BF3DA2"/>
    <w:rsid w:val="00BF4F27"/>
    <w:rsid w:val="00BF6D0B"/>
    <w:rsid w:val="00BF7E18"/>
    <w:rsid w:val="00BF7F82"/>
    <w:rsid w:val="00C00C3B"/>
    <w:rsid w:val="00C01F08"/>
    <w:rsid w:val="00C0268E"/>
    <w:rsid w:val="00C0358B"/>
    <w:rsid w:val="00C0449D"/>
    <w:rsid w:val="00C06083"/>
    <w:rsid w:val="00C064A7"/>
    <w:rsid w:val="00C102D6"/>
    <w:rsid w:val="00C103E2"/>
    <w:rsid w:val="00C110AA"/>
    <w:rsid w:val="00C11385"/>
    <w:rsid w:val="00C11843"/>
    <w:rsid w:val="00C11AF0"/>
    <w:rsid w:val="00C12152"/>
    <w:rsid w:val="00C1217A"/>
    <w:rsid w:val="00C12ED0"/>
    <w:rsid w:val="00C13613"/>
    <w:rsid w:val="00C14128"/>
    <w:rsid w:val="00C1468B"/>
    <w:rsid w:val="00C149A5"/>
    <w:rsid w:val="00C16CA0"/>
    <w:rsid w:val="00C2149B"/>
    <w:rsid w:val="00C22419"/>
    <w:rsid w:val="00C245D1"/>
    <w:rsid w:val="00C262BA"/>
    <w:rsid w:val="00C27D64"/>
    <w:rsid w:val="00C304E4"/>
    <w:rsid w:val="00C30E16"/>
    <w:rsid w:val="00C34B28"/>
    <w:rsid w:val="00C35E83"/>
    <w:rsid w:val="00C36B5B"/>
    <w:rsid w:val="00C3779A"/>
    <w:rsid w:val="00C37D5E"/>
    <w:rsid w:val="00C410A8"/>
    <w:rsid w:val="00C41C1F"/>
    <w:rsid w:val="00C4245A"/>
    <w:rsid w:val="00C44C80"/>
    <w:rsid w:val="00C45335"/>
    <w:rsid w:val="00C509EA"/>
    <w:rsid w:val="00C51F9F"/>
    <w:rsid w:val="00C52130"/>
    <w:rsid w:val="00C52361"/>
    <w:rsid w:val="00C524ED"/>
    <w:rsid w:val="00C52A0B"/>
    <w:rsid w:val="00C57489"/>
    <w:rsid w:val="00C604BD"/>
    <w:rsid w:val="00C61872"/>
    <w:rsid w:val="00C61A15"/>
    <w:rsid w:val="00C631D2"/>
    <w:rsid w:val="00C63E2A"/>
    <w:rsid w:val="00C6424B"/>
    <w:rsid w:val="00C6614D"/>
    <w:rsid w:val="00C671D3"/>
    <w:rsid w:val="00C67D52"/>
    <w:rsid w:val="00C67F47"/>
    <w:rsid w:val="00C707AA"/>
    <w:rsid w:val="00C70DEB"/>
    <w:rsid w:val="00C71983"/>
    <w:rsid w:val="00C7234D"/>
    <w:rsid w:val="00C72DEB"/>
    <w:rsid w:val="00C74171"/>
    <w:rsid w:val="00C74338"/>
    <w:rsid w:val="00C74C4D"/>
    <w:rsid w:val="00C77337"/>
    <w:rsid w:val="00C774C9"/>
    <w:rsid w:val="00C801A7"/>
    <w:rsid w:val="00C8036D"/>
    <w:rsid w:val="00C80841"/>
    <w:rsid w:val="00C80A33"/>
    <w:rsid w:val="00C80DCA"/>
    <w:rsid w:val="00C84E9B"/>
    <w:rsid w:val="00C86851"/>
    <w:rsid w:val="00C86BF0"/>
    <w:rsid w:val="00C923A0"/>
    <w:rsid w:val="00C926A4"/>
    <w:rsid w:val="00C92B56"/>
    <w:rsid w:val="00C930DF"/>
    <w:rsid w:val="00C93737"/>
    <w:rsid w:val="00C9402E"/>
    <w:rsid w:val="00C9461A"/>
    <w:rsid w:val="00C94F87"/>
    <w:rsid w:val="00C95C4E"/>
    <w:rsid w:val="00C969D1"/>
    <w:rsid w:val="00C9789E"/>
    <w:rsid w:val="00C97927"/>
    <w:rsid w:val="00C97A9F"/>
    <w:rsid w:val="00C97AE2"/>
    <w:rsid w:val="00CA0D6F"/>
    <w:rsid w:val="00CA33F8"/>
    <w:rsid w:val="00CA3732"/>
    <w:rsid w:val="00CA3A65"/>
    <w:rsid w:val="00CA584B"/>
    <w:rsid w:val="00CA735A"/>
    <w:rsid w:val="00CB04A4"/>
    <w:rsid w:val="00CB0C94"/>
    <w:rsid w:val="00CB28E7"/>
    <w:rsid w:val="00CB2DEE"/>
    <w:rsid w:val="00CB4260"/>
    <w:rsid w:val="00CB449E"/>
    <w:rsid w:val="00CB5475"/>
    <w:rsid w:val="00CB54F4"/>
    <w:rsid w:val="00CB5A5A"/>
    <w:rsid w:val="00CB5CA9"/>
    <w:rsid w:val="00CB649B"/>
    <w:rsid w:val="00CB6718"/>
    <w:rsid w:val="00CC0807"/>
    <w:rsid w:val="00CC0852"/>
    <w:rsid w:val="00CC09C8"/>
    <w:rsid w:val="00CC0DB4"/>
    <w:rsid w:val="00CC0DF1"/>
    <w:rsid w:val="00CC1DED"/>
    <w:rsid w:val="00CC1E5D"/>
    <w:rsid w:val="00CC257A"/>
    <w:rsid w:val="00CC2AA5"/>
    <w:rsid w:val="00CC48AC"/>
    <w:rsid w:val="00CC4CA4"/>
    <w:rsid w:val="00CC513F"/>
    <w:rsid w:val="00CC7B85"/>
    <w:rsid w:val="00CD17D5"/>
    <w:rsid w:val="00CD2D1F"/>
    <w:rsid w:val="00CD3B53"/>
    <w:rsid w:val="00CD3B69"/>
    <w:rsid w:val="00CD5B08"/>
    <w:rsid w:val="00CD5C8A"/>
    <w:rsid w:val="00CD76A5"/>
    <w:rsid w:val="00CD7BA5"/>
    <w:rsid w:val="00CE00D2"/>
    <w:rsid w:val="00CE08E1"/>
    <w:rsid w:val="00CE114E"/>
    <w:rsid w:val="00CE1389"/>
    <w:rsid w:val="00CE15BC"/>
    <w:rsid w:val="00CE27A9"/>
    <w:rsid w:val="00CE3355"/>
    <w:rsid w:val="00CE36C3"/>
    <w:rsid w:val="00CE43FB"/>
    <w:rsid w:val="00CE55F3"/>
    <w:rsid w:val="00CE660C"/>
    <w:rsid w:val="00CE66EA"/>
    <w:rsid w:val="00CE720B"/>
    <w:rsid w:val="00CE7C56"/>
    <w:rsid w:val="00CE7ED3"/>
    <w:rsid w:val="00CF170D"/>
    <w:rsid w:val="00CF2B49"/>
    <w:rsid w:val="00CF3F63"/>
    <w:rsid w:val="00CF4C60"/>
    <w:rsid w:val="00CF60E0"/>
    <w:rsid w:val="00CF61E2"/>
    <w:rsid w:val="00CF716B"/>
    <w:rsid w:val="00D00673"/>
    <w:rsid w:val="00D0198A"/>
    <w:rsid w:val="00D0245A"/>
    <w:rsid w:val="00D03AF1"/>
    <w:rsid w:val="00D0437F"/>
    <w:rsid w:val="00D05470"/>
    <w:rsid w:val="00D06750"/>
    <w:rsid w:val="00D06C89"/>
    <w:rsid w:val="00D06FC1"/>
    <w:rsid w:val="00D06FE4"/>
    <w:rsid w:val="00D106B9"/>
    <w:rsid w:val="00D14C64"/>
    <w:rsid w:val="00D164D5"/>
    <w:rsid w:val="00D16B57"/>
    <w:rsid w:val="00D16B59"/>
    <w:rsid w:val="00D17428"/>
    <w:rsid w:val="00D21203"/>
    <w:rsid w:val="00D21E78"/>
    <w:rsid w:val="00D22497"/>
    <w:rsid w:val="00D224A3"/>
    <w:rsid w:val="00D228EA"/>
    <w:rsid w:val="00D2329C"/>
    <w:rsid w:val="00D23717"/>
    <w:rsid w:val="00D23D3B"/>
    <w:rsid w:val="00D24BF5"/>
    <w:rsid w:val="00D25C8B"/>
    <w:rsid w:val="00D25D12"/>
    <w:rsid w:val="00D25DC4"/>
    <w:rsid w:val="00D27188"/>
    <w:rsid w:val="00D27859"/>
    <w:rsid w:val="00D309E8"/>
    <w:rsid w:val="00D31430"/>
    <w:rsid w:val="00D33ACB"/>
    <w:rsid w:val="00D352A3"/>
    <w:rsid w:val="00D363FD"/>
    <w:rsid w:val="00D37234"/>
    <w:rsid w:val="00D37FE6"/>
    <w:rsid w:val="00D4096C"/>
    <w:rsid w:val="00D40EB1"/>
    <w:rsid w:val="00D416E3"/>
    <w:rsid w:val="00D41EDC"/>
    <w:rsid w:val="00D41F7E"/>
    <w:rsid w:val="00D428A0"/>
    <w:rsid w:val="00D43564"/>
    <w:rsid w:val="00D43750"/>
    <w:rsid w:val="00D44AF3"/>
    <w:rsid w:val="00D4667B"/>
    <w:rsid w:val="00D47001"/>
    <w:rsid w:val="00D5001E"/>
    <w:rsid w:val="00D504EE"/>
    <w:rsid w:val="00D51AFA"/>
    <w:rsid w:val="00D51B3B"/>
    <w:rsid w:val="00D52153"/>
    <w:rsid w:val="00D52403"/>
    <w:rsid w:val="00D5327B"/>
    <w:rsid w:val="00D5379A"/>
    <w:rsid w:val="00D55F4E"/>
    <w:rsid w:val="00D565C9"/>
    <w:rsid w:val="00D57629"/>
    <w:rsid w:val="00D60878"/>
    <w:rsid w:val="00D60ECA"/>
    <w:rsid w:val="00D63683"/>
    <w:rsid w:val="00D63B86"/>
    <w:rsid w:val="00D64531"/>
    <w:rsid w:val="00D647E8"/>
    <w:rsid w:val="00D64944"/>
    <w:rsid w:val="00D664E3"/>
    <w:rsid w:val="00D67710"/>
    <w:rsid w:val="00D71906"/>
    <w:rsid w:val="00D7435C"/>
    <w:rsid w:val="00D74539"/>
    <w:rsid w:val="00D74984"/>
    <w:rsid w:val="00D750F5"/>
    <w:rsid w:val="00D775DD"/>
    <w:rsid w:val="00D775EF"/>
    <w:rsid w:val="00D77E69"/>
    <w:rsid w:val="00D803E8"/>
    <w:rsid w:val="00D805DB"/>
    <w:rsid w:val="00D819E2"/>
    <w:rsid w:val="00D822F1"/>
    <w:rsid w:val="00D824F4"/>
    <w:rsid w:val="00D8372F"/>
    <w:rsid w:val="00D84905"/>
    <w:rsid w:val="00D90332"/>
    <w:rsid w:val="00D9073B"/>
    <w:rsid w:val="00D9264B"/>
    <w:rsid w:val="00D92988"/>
    <w:rsid w:val="00D9377B"/>
    <w:rsid w:val="00D94EAB"/>
    <w:rsid w:val="00D95DB2"/>
    <w:rsid w:val="00D96031"/>
    <w:rsid w:val="00D96ABC"/>
    <w:rsid w:val="00D9727A"/>
    <w:rsid w:val="00D97622"/>
    <w:rsid w:val="00DA003A"/>
    <w:rsid w:val="00DA2415"/>
    <w:rsid w:val="00DA27AF"/>
    <w:rsid w:val="00DA3A59"/>
    <w:rsid w:val="00DA3CED"/>
    <w:rsid w:val="00DA421F"/>
    <w:rsid w:val="00DA5D20"/>
    <w:rsid w:val="00DA6586"/>
    <w:rsid w:val="00DA66CE"/>
    <w:rsid w:val="00DA6B93"/>
    <w:rsid w:val="00DB0DF4"/>
    <w:rsid w:val="00DB2DE1"/>
    <w:rsid w:val="00DB3230"/>
    <w:rsid w:val="00DB3AA4"/>
    <w:rsid w:val="00DB50FF"/>
    <w:rsid w:val="00DB5495"/>
    <w:rsid w:val="00DB5C36"/>
    <w:rsid w:val="00DB7367"/>
    <w:rsid w:val="00DC0208"/>
    <w:rsid w:val="00DC09F8"/>
    <w:rsid w:val="00DC195D"/>
    <w:rsid w:val="00DC1A7E"/>
    <w:rsid w:val="00DC25D6"/>
    <w:rsid w:val="00DC3351"/>
    <w:rsid w:val="00DC393F"/>
    <w:rsid w:val="00DC3C3D"/>
    <w:rsid w:val="00DC4761"/>
    <w:rsid w:val="00DC4B2D"/>
    <w:rsid w:val="00DC54A5"/>
    <w:rsid w:val="00DC55B3"/>
    <w:rsid w:val="00DC5853"/>
    <w:rsid w:val="00DC5DCA"/>
    <w:rsid w:val="00DC79F4"/>
    <w:rsid w:val="00DD16BB"/>
    <w:rsid w:val="00DD1D6F"/>
    <w:rsid w:val="00DD32B0"/>
    <w:rsid w:val="00DD341D"/>
    <w:rsid w:val="00DD45D1"/>
    <w:rsid w:val="00DD4895"/>
    <w:rsid w:val="00DD6E5D"/>
    <w:rsid w:val="00DD6EBE"/>
    <w:rsid w:val="00DD7087"/>
    <w:rsid w:val="00DD76FD"/>
    <w:rsid w:val="00DE106B"/>
    <w:rsid w:val="00DE19C0"/>
    <w:rsid w:val="00DE2F57"/>
    <w:rsid w:val="00DE30B0"/>
    <w:rsid w:val="00DE496D"/>
    <w:rsid w:val="00DE4D98"/>
    <w:rsid w:val="00DE515C"/>
    <w:rsid w:val="00DE5BB1"/>
    <w:rsid w:val="00DE60C5"/>
    <w:rsid w:val="00DE6E8A"/>
    <w:rsid w:val="00DF073F"/>
    <w:rsid w:val="00DF28B5"/>
    <w:rsid w:val="00DF2B05"/>
    <w:rsid w:val="00DF2D4B"/>
    <w:rsid w:val="00DF3107"/>
    <w:rsid w:val="00DF3E3C"/>
    <w:rsid w:val="00DF3E6E"/>
    <w:rsid w:val="00DF47D8"/>
    <w:rsid w:val="00DF4A95"/>
    <w:rsid w:val="00DF4C89"/>
    <w:rsid w:val="00DF617D"/>
    <w:rsid w:val="00DF7578"/>
    <w:rsid w:val="00DF7E7B"/>
    <w:rsid w:val="00E0089B"/>
    <w:rsid w:val="00E01093"/>
    <w:rsid w:val="00E0185C"/>
    <w:rsid w:val="00E02A6B"/>
    <w:rsid w:val="00E02E0E"/>
    <w:rsid w:val="00E0302B"/>
    <w:rsid w:val="00E030E1"/>
    <w:rsid w:val="00E033BE"/>
    <w:rsid w:val="00E042A2"/>
    <w:rsid w:val="00E04CB5"/>
    <w:rsid w:val="00E06D95"/>
    <w:rsid w:val="00E075CF"/>
    <w:rsid w:val="00E10563"/>
    <w:rsid w:val="00E10FD4"/>
    <w:rsid w:val="00E118A4"/>
    <w:rsid w:val="00E11C4A"/>
    <w:rsid w:val="00E12F28"/>
    <w:rsid w:val="00E13183"/>
    <w:rsid w:val="00E1445A"/>
    <w:rsid w:val="00E160F7"/>
    <w:rsid w:val="00E1696F"/>
    <w:rsid w:val="00E17816"/>
    <w:rsid w:val="00E17F27"/>
    <w:rsid w:val="00E20A8B"/>
    <w:rsid w:val="00E2125F"/>
    <w:rsid w:val="00E21D8C"/>
    <w:rsid w:val="00E22B48"/>
    <w:rsid w:val="00E22FFC"/>
    <w:rsid w:val="00E233FF"/>
    <w:rsid w:val="00E23836"/>
    <w:rsid w:val="00E2403C"/>
    <w:rsid w:val="00E25019"/>
    <w:rsid w:val="00E2511A"/>
    <w:rsid w:val="00E258C4"/>
    <w:rsid w:val="00E27092"/>
    <w:rsid w:val="00E31792"/>
    <w:rsid w:val="00E32577"/>
    <w:rsid w:val="00E33C3D"/>
    <w:rsid w:val="00E33FBD"/>
    <w:rsid w:val="00E341B6"/>
    <w:rsid w:val="00E34476"/>
    <w:rsid w:val="00E34B93"/>
    <w:rsid w:val="00E34BB9"/>
    <w:rsid w:val="00E34C91"/>
    <w:rsid w:val="00E35C21"/>
    <w:rsid w:val="00E360F0"/>
    <w:rsid w:val="00E366C8"/>
    <w:rsid w:val="00E36B2F"/>
    <w:rsid w:val="00E370FB"/>
    <w:rsid w:val="00E37BDE"/>
    <w:rsid w:val="00E42A0C"/>
    <w:rsid w:val="00E4567F"/>
    <w:rsid w:val="00E4613C"/>
    <w:rsid w:val="00E46249"/>
    <w:rsid w:val="00E4629B"/>
    <w:rsid w:val="00E478EE"/>
    <w:rsid w:val="00E51CE6"/>
    <w:rsid w:val="00E5230E"/>
    <w:rsid w:val="00E52D43"/>
    <w:rsid w:val="00E540B0"/>
    <w:rsid w:val="00E54D0D"/>
    <w:rsid w:val="00E5551B"/>
    <w:rsid w:val="00E55610"/>
    <w:rsid w:val="00E558FB"/>
    <w:rsid w:val="00E562AB"/>
    <w:rsid w:val="00E56C8B"/>
    <w:rsid w:val="00E57705"/>
    <w:rsid w:val="00E601A3"/>
    <w:rsid w:val="00E60794"/>
    <w:rsid w:val="00E60E34"/>
    <w:rsid w:val="00E613FD"/>
    <w:rsid w:val="00E61B17"/>
    <w:rsid w:val="00E62119"/>
    <w:rsid w:val="00E6227E"/>
    <w:rsid w:val="00E62669"/>
    <w:rsid w:val="00E62CAC"/>
    <w:rsid w:val="00E638F7"/>
    <w:rsid w:val="00E65370"/>
    <w:rsid w:val="00E65BF4"/>
    <w:rsid w:val="00E663BB"/>
    <w:rsid w:val="00E664A2"/>
    <w:rsid w:val="00E669BF"/>
    <w:rsid w:val="00E72582"/>
    <w:rsid w:val="00E72D56"/>
    <w:rsid w:val="00E72F5C"/>
    <w:rsid w:val="00E73AB0"/>
    <w:rsid w:val="00E747B3"/>
    <w:rsid w:val="00E74A51"/>
    <w:rsid w:val="00E75210"/>
    <w:rsid w:val="00E76839"/>
    <w:rsid w:val="00E77326"/>
    <w:rsid w:val="00E800B0"/>
    <w:rsid w:val="00E81067"/>
    <w:rsid w:val="00E810A8"/>
    <w:rsid w:val="00E82405"/>
    <w:rsid w:val="00E83644"/>
    <w:rsid w:val="00E83C7C"/>
    <w:rsid w:val="00E83CC4"/>
    <w:rsid w:val="00E84EF4"/>
    <w:rsid w:val="00E86820"/>
    <w:rsid w:val="00E87244"/>
    <w:rsid w:val="00E873DB"/>
    <w:rsid w:val="00E906F2"/>
    <w:rsid w:val="00E90895"/>
    <w:rsid w:val="00E90F03"/>
    <w:rsid w:val="00E911E7"/>
    <w:rsid w:val="00E91CB2"/>
    <w:rsid w:val="00E92641"/>
    <w:rsid w:val="00E94FF5"/>
    <w:rsid w:val="00E96E22"/>
    <w:rsid w:val="00E97C51"/>
    <w:rsid w:val="00E97D4D"/>
    <w:rsid w:val="00EA0150"/>
    <w:rsid w:val="00EA0F0F"/>
    <w:rsid w:val="00EA1E79"/>
    <w:rsid w:val="00EA3015"/>
    <w:rsid w:val="00EA33D9"/>
    <w:rsid w:val="00EA3579"/>
    <w:rsid w:val="00EA3B1D"/>
    <w:rsid w:val="00EA3B91"/>
    <w:rsid w:val="00EA3FFB"/>
    <w:rsid w:val="00EA49EF"/>
    <w:rsid w:val="00EA4A0F"/>
    <w:rsid w:val="00EA6769"/>
    <w:rsid w:val="00EA6BFD"/>
    <w:rsid w:val="00EA71ED"/>
    <w:rsid w:val="00EB0ADA"/>
    <w:rsid w:val="00EB18C1"/>
    <w:rsid w:val="00EB3DA1"/>
    <w:rsid w:val="00EB3ED3"/>
    <w:rsid w:val="00EB447F"/>
    <w:rsid w:val="00EB44E2"/>
    <w:rsid w:val="00EB6AB1"/>
    <w:rsid w:val="00EB6E10"/>
    <w:rsid w:val="00EB7353"/>
    <w:rsid w:val="00EB7A1B"/>
    <w:rsid w:val="00EC021F"/>
    <w:rsid w:val="00EC0C4E"/>
    <w:rsid w:val="00EC21F9"/>
    <w:rsid w:val="00EC44AB"/>
    <w:rsid w:val="00EC4A1F"/>
    <w:rsid w:val="00EC4CA9"/>
    <w:rsid w:val="00EC6204"/>
    <w:rsid w:val="00EC720C"/>
    <w:rsid w:val="00EC7C03"/>
    <w:rsid w:val="00ED0230"/>
    <w:rsid w:val="00ED2C73"/>
    <w:rsid w:val="00ED2D71"/>
    <w:rsid w:val="00ED498B"/>
    <w:rsid w:val="00ED58B2"/>
    <w:rsid w:val="00ED5A1C"/>
    <w:rsid w:val="00ED6A6E"/>
    <w:rsid w:val="00ED7AB9"/>
    <w:rsid w:val="00ED7FA7"/>
    <w:rsid w:val="00EE0555"/>
    <w:rsid w:val="00EE3ED6"/>
    <w:rsid w:val="00EE5504"/>
    <w:rsid w:val="00EE6C71"/>
    <w:rsid w:val="00EE7B20"/>
    <w:rsid w:val="00EF0017"/>
    <w:rsid w:val="00EF21B3"/>
    <w:rsid w:val="00EF2464"/>
    <w:rsid w:val="00EF2999"/>
    <w:rsid w:val="00EF2C5B"/>
    <w:rsid w:val="00EF3CEF"/>
    <w:rsid w:val="00EF3D14"/>
    <w:rsid w:val="00EF4A01"/>
    <w:rsid w:val="00EF60ED"/>
    <w:rsid w:val="00EF6956"/>
    <w:rsid w:val="00EF6B64"/>
    <w:rsid w:val="00EF784D"/>
    <w:rsid w:val="00F01D2A"/>
    <w:rsid w:val="00F02034"/>
    <w:rsid w:val="00F044BE"/>
    <w:rsid w:val="00F048B9"/>
    <w:rsid w:val="00F05B56"/>
    <w:rsid w:val="00F0624B"/>
    <w:rsid w:val="00F0711A"/>
    <w:rsid w:val="00F10334"/>
    <w:rsid w:val="00F1056F"/>
    <w:rsid w:val="00F11686"/>
    <w:rsid w:val="00F11EC8"/>
    <w:rsid w:val="00F12B32"/>
    <w:rsid w:val="00F1330A"/>
    <w:rsid w:val="00F14F0B"/>
    <w:rsid w:val="00F15061"/>
    <w:rsid w:val="00F150FA"/>
    <w:rsid w:val="00F15826"/>
    <w:rsid w:val="00F203D0"/>
    <w:rsid w:val="00F20A51"/>
    <w:rsid w:val="00F2131E"/>
    <w:rsid w:val="00F23C3B"/>
    <w:rsid w:val="00F243B5"/>
    <w:rsid w:val="00F26400"/>
    <w:rsid w:val="00F30066"/>
    <w:rsid w:val="00F31969"/>
    <w:rsid w:val="00F32880"/>
    <w:rsid w:val="00F32D9A"/>
    <w:rsid w:val="00F334FF"/>
    <w:rsid w:val="00F33A69"/>
    <w:rsid w:val="00F368DF"/>
    <w:rsid w:val="00F370C1"/>
    <w:rsid w:val="00F40D6E"/>
    <w:rsid w:val="00F4207B"/>
    <w:rsid w:val="00F4475E"/>
    <w:rsid w:val="00F44C48"/>
    <w:rsid w:val="00F44C84"/>
    <w:rsid w:val="00F44EF3"/>
    <w:rsid w:val="00F4581C"/>
    <w:rsid w:val="00F4684B"/>
    <w:rsid w:val="00F505B0"/>
    <w:rsid w:val="00F5105B"/>
    <w:rsid w:val="00F511B6"/>
    <w:rsid w:val="00F524CD"/>
    <w:rsid w:val="00F52998"/>
    <w:rsid w:val="00F53CA2"/>
    <w:rsid w:val="00F5401C"/>
    <w:rsid w:val="00F542CA"/>
    <w:rsid w:val="00F5466F"/>
    <w:rsid w:val="00F54DCB"/>
    <w:rsid w:val="00F56116"/>
    <w:rsid w:val="00F56661"/>
    <w:rsid w:val="00F56888"/>
    <w:rsid w:val="00F56C22"/>
    <w:rsid w:val="00F602FE"/>
    <w:rsid w:val="00F60457"/>
    <w:rsid w:val="00F60F9B"/>
    <w:rsid w:val="00F61917"/>
    <w:rsid w:val="00F62167"/>
    <w:rsid w:val="00F62CC1"/>
    <w:rsid w:val="00F6339C"/>
    <w:rsid w:val="00F636A8"/>
    <w:rsid w:val="00F63B77"/>
    <w:rsid w:val="00F64DDC"/>
    <w:rsid w:val="00F653D7"/>
    <w:rsid w:val="00F6609A"/>
    <w:rsid w:val="00F66557"/>
    <w:rsid w:val="00F71770"/>
    <w:rsid w:val="00F717A5"/>
    <w:rsid w:val="00F72576"/>
    <w:rsid w:val="00F7304D"/>
    <w:rsid w:val="00F73C1D"/>
    <w:rsid w:val="00F742BF"/>
    <w:rsid w:val="00F748DD"/>
    <w:rsid w:val="00F753A9"/>
    <w:rsid w:val="00F759D6"/>
    <w:rsid w:val="00F75E96"/>
    <w:rsid w:val="00F766B8"/>
    <w:rsid w:val="00F77D9D"/>
    <w:rsid w:val="00F77FA4"/>
    <w:rsid w:val="00F81FFE"/>
    <w:rsid w:val="00F829A0"/>
    <w:rsid w:val="00F830BF"/>
    <w:rsid w:val="00F83B35"/>
    <w:rsid w:val="00F8496D"/>
    <w:rsid w:val="00F84F4E"/>
    <w:rsid w:val="00F855DC"/>
    <w:rsid w:val="00F908C6"/>
    <w:rsid w:val="00F90B9C"/>
    <w:rsid w:val="00F91316"/>
    <w:rsid w:val="00F91828"/>
    <w:rsid w:val="00F91D71"/>
    <w:rsid w:val="00F91DD2"/>
    <w:rsid w:val="00F92310"/>
    <w:rsid w:val="00F93137"/>
    <w:rsid w:val="00F94F34"/>
    <w:rsid w:val="00F94F3F"/>
    <w:rsid w:val="00F94F68"/>
    <w:rsid w:val="00F9567C"/>
    <w:rsid w:val="00F95967"/>
    <w:rsid w:val="00F9605D"/>
    <w:rsid w:val="00F96BC7"/>
    <w:rsid w:val="00F97DE9"/>
    <w:rsid w:val="00FA09E1"/>
    <w:rsid w:val="00FA15BA"/>
    <w:rsid w:val="00FA2C0E"/>
    <w:rsid w:val="00FA3DAE"/>
    <w:rsid w:val="00FA4D54"/>
    <w:rsid w:val="00FA5745"/>
    <w:rsid w:val="00FA67C1"/>
    <w:rsid w:val="00FA7FE2"/>
    <w:rsid w:val="00FB1683"/>
    <w:rsid w:val="00FB3149"/>
    <w:rsid w:val="00FB391B"/>
    <w:rsid w:val="00FB402B"/>
    <w:rsid w:val="00FB40CB"/>
    <w:rsid w:val="00FB4175"/>
    <w:rsid w:val="00FB457A"/>
    <w:rsid w:val="00FB629C"/>
    <w:rsid w:val="00FB772E"/>
    <w:rsid w:val="00FB7E93"/>
    <w:rsid w:val="00FB7F02"/>
    <w:rsid w:val="00FC0948"/>
    <w:rsid w:val="00FC188D"/>
    <w:rsid w:val="00FC4BB2"/>
    <w:rsid w:val="00FC6466"/>
    <w:rsid w:val="00FC796E"/>
    <w:rsid w:val="00FD104A"/>
    <w:rsid w:val="00FD207C"/>
    <w:rsid w:val="00FD2B77"/>
    <w:rsid w:val="00FD3E2A"/>
    <w:rsid w:val="00FD4832"/>
    <w:rsid w:val="00FD5311"/>
    <w:rsid w:val="00FD54C6"/>
    <w:rsid w:val="00FD6445"/>
    <w:rsid w:val="00FD7C18"/>
    <w:rsid w:val="00FE2A0B"/>
    <w:rsid w:val="00FE453C"/>
    <w:rsid w:val="00FE7430"/>
    <w:rsid w:val="00FF03A7"/>
    <w:rsid w:val="00FF0EE1"/>
    <w:rsid w:val="00FF1B23"/>
    <w:rsid w:val="00FF29B8"/>
    <w:rsid w:val="00FF2FAE"/>
    <w:rsid w:val="00FF38FA"/>
    <w:rsid w:val="00FF5B2A"/>
    <w:rsid w:val="00FF6DB0"/>
    <w:rsid w:val="00FF74FF"/>
    <w:rsid w:val="00FF76BA"/>
    <w:rsid w:val="01087389"/>
    <w:rsid w:val="01142947"/>
    <w:rsid w:val="01200505"/>
    <w:rsid w:val="0122216F"/>
    <w:rsid w:val="01325A8F"/>
    <w:rsid w:val="013516BE"/>
    <w:rsid w:val="014A0D22"/>
    <w:rsid w:val="01747137"/>
    <w:rsid w:val="017E3632"/>
    <w:rsid w:val="01BB5FED"/>
    <w:rsid w:val="01FB1BFF"/>
    <w:rsid w:val="0205056A"/>
    <w:rsid w:val="02190BBE"/>
    <w:rsid w:val="021B6D21"/>
    <w:rsid w:val="02322F28"/>
    <w:rsid w:val="023B08EE"/>
    <w:rsid w:val="023F388C"/>
    <w:rsid w:val="02421CC3"/>
    <w:rsid w:val="02561DE2"/>
    <w:rsid w:val="02695A35"/>
    <w:rsid w:val="02725E2D"/>
    <w:rsid w:val="027377CD"/>
    <w:rsid w:val="027D11A2"/>
    <w:rsid w:val="028227B2"/>
    <w:rsid w:val="0286314D"/>
    <w:rsid w:val="02873BB9"/>
    <w:rsid w:val="02935814"/>
    <w:rsid w:val="02A0096B"/>
    <w:rsid w:val="02AE013F"/>
    <w:rsid w:val="02B64DFD"/>
    <w:rsid w:val="02C1579F"/>
    <w:rsid w:val="02C32118"/>
    <w:rsid w:val="02CA6108"/>
    <w:rsid w:val="02D60F91"/>
    <w:rsid w:val="02D76984"/>
    <w:rsid w:val="02E4078F"/>
    <w:rsid w:val="02E40D97"/>
    <w:rsid w:val="02E85072"/>
    <w:rsid w:val="02F333A9"/>
    <w:rsid w:val="02FB21AB"/>
    <w:rsid w:val="030247BA"/>
    <w:rsid w:val="030544FF"/>
    <w:rsid w:val="030D1793"/>
    <w:rsid w:val="030E29BA"/>
    <w:rsid w:val="03280EF8"/>
    <w:rsid w:val="03357038"/>
    <w:rsid w:val="033A0C2B"/>
    <w:rsid w:val="035475CC"/>
    <w:rsid w:val="03654039"/>
    <w:rsid w:val="03663018"/>
    <w:rsid w:val="03704A13"/>
    <w:rsid w:val="037D1336"/>
    <w:rsid w:val="038E120F"/>
    <w:rsid w:val="039E1095"/>
    <w:rsid w:val="03A30167"/>
    <w:rsid w:val="03A54CF2"/>
    <w:rsid w:val="03AA04B8"/>
    <w:rsid w:val="03AF714B"/>
    <w:rsid w:val="03B57082"/>
    <w:rsid w:val="03BE7AAE"/>
    <w:rsid w:val="03C345D9"/>
    <w:rsid w:val="03CD305E"/>
    <w:rsid w:val="03E80CD8"/>
    <w:rsid w:val="03EE48EF"/>
    <w:rsid w:val="03F11BF1"/>
    <w:rsid w:val="03F24DC9"/>
    <w:rsid w:val="03F34100"/>
    <w:rsid w:val="04161F26"/>
    <w:rsid w:val="04170DF7"/>
    <w:rsid w:val="04320854"/>
    <w:rsid w:val="043D5D21"/>
    <w:rsid w:val="04483D61"/>
    <w:rsid w:val="045020EC"/>
    <w:rsid w:val="046A53CB"/>
    <w:rsid w:val="047821E2"/>
    <w:rsid w:val="04947470"/>
    <w:rsid w:val="04C40E62"/>
    <w:rsid w:val="04D66201"/>
    <w:rsid w:val="04DB2929"/>
    <w:rsid w:val="04DF1292"/>
    <w:rsid w:val="04FC3F5D"/>
    <w:rsid w:val="04FF5314"/>
    <w:rsid w:val="05010644"/>
    <w:rsid w:val="051313AC"/>
    <w:rsid w:val="05144C7F"/>
    <w:rsid w:val="051678E6"/>
    <w:rsid w:val="053013D0"/>
    <w:rsid w:val="056612F2"/>
    <w:rsid w:val="057B42FE"/>
    <w:rsid w:val="05A02D22"/>
    <w:rsid w:val="05B37535"/>
    <w:rsid w:val="05DC08CF"/>
    <w:rsid w:val="05E31168"/>
    <w:rsid w:val="05E40F06"/>
    <w:rsid w:val="060646BB"/>
    <w:rsid w:val="06096F34"/>
    <w:rsid w:val="061C53B3"/>
    <w:rsid w:val="064017F2"/>
    <w:rsid w:val="064737C1"/>
    <w:rsid w:val="065B3392"/>
    <w:rsid w:val="06626E56"/>
    <w:rsid w:val="06636C72"/>
    <w:rsid w:val="0672304F"/>
    <w:rsid w:val="067526A6"/>
    <w:rsid w:val="0680104B"/>
    <w:rsid w:val="06835943"/>
    <w:rsid w:val="0686299B"/>
    <w:rsid w:val="068A2316"/>
    <w:rsid w:val="068C384C"/>
    <w:rsid w:val="068D21A7"/>
    <w:rsid w:val="069B4513"/>
    <w:rsid w:val="06A17F3E"/>
    <w:rsid w:val="06A20FC1"/>
    <w:rsid w:val="06A833F4"/>
    <w:rsid w:val="06B33EC2"/>
    <w:rsid w:val="06B34496"/>
    <w:rsid w:val="06B66577"/>
    <w:rsid w:val="06B95AC7"/>
    <w:rsid w:val="06C158EB"/>
    <w:rsid w:val="06C74C9F"/>
    <w:rsid w:val="06CC3929"/>
    <w:rsid w:val="06CF60DB"/>
    <w:rsid w:val="06E82CFE"/>
    <w:rsid w:val="06F313BF"/>
    <w:rsid w:val="071C0C28"/>
    <w:rsid w:val="073B74A1"/>
    <w:rsid w:val="074B379C"/>
    <w:rsid w:val="07561504"/>
    <w:rsid w:val="07565F25"/>
    <w:rsid w:val="075864F0"/>
    <w:rsid w:val="076C4500"/>
    <w:rsid w:val="07751C03"/>
    <w:rsid w:val="0777098F"/>
    <w:rsid w:val="07841BEF"/>
    <w:rsid w:val="0786398B"/>
    <w:rsid w:val="078932FF"/>
    <w:rsid w:val="07B224B6"/>
    <w:rsid w:val="07B5030F"/>
    <w:rsid w:val="07B75BB0"/>
    <w:rsid w:val="07BF3D6F"/>
    <w:rsid w:val="07D12B5A"/>
    <w:rsid w:val="07D505EB"/>
    <w:rsid w:val="07E037EB"/>
    <w:rsid w:val="07E71830"/>
    <w:rsid w:val="07F53F9D"/>
    <w:rsid w:val="07FA0547"/>
    <w:rsid w:val="080571A2"/>
    <w:rsid w:val="080A2255"/>
    <w:rsid w:val="080D777F"/>
    <w:rsid w:val="0814117C"/>
    <w:rsid w:val="0828314D"/>
    <w:rsid w:val="084E0BD6"/>
    <w:rsid w:val="08503979"/>
    <w:rsid w:val="085A158C"/>
    <w:rsid w:val="085D7497"/>
    <w:rsid w:val="086428B3"/>
    <w:rsid w:val="08656BD0"/>
    <w:rsid w:val="08713341"/>
    <w:rsid w:val="087760D1"/>
    <w:rsid w:val="087B0710"/>
    <w:rsid w:val="089D7D7B"/>
    <w:rsid w:val="08B35707"/>
    <w:rsid w:val="08D02251"/>
    <w:rsid w:val="08DC7509"/>
    <w:rsid w:val="08DD6B03"/>
    <w:rsid w:val="08E43B0F"/>
    <w:rsid w:val="08FF7DDD"/>
    <w:rsid w:val="090166A2"/>
    <w:rsid w:val="09022534"/>
    <w:rsid w:val="090D5D07"/>
    <w:rsid w:val="0922667C"/>
    <w:rsid w:val="09275236"/>
    <w:rsid w:val="092B119A"/>
    <w:rsid w:val="0940385B"/>
    <w:rsid w:val="0941465B"/>
    <w:rsid w:val="094F6709"/>
    <w:rsid w:val="0952183D"/>
    <w:rsid w:val="09664528"/>
    <w:rsid w:val="096C5C58"/>
    <w:rsid w:val="096D038B"/>
    <w:rsid w:val="097848B8"/>
    <w:rsid w:val="0983683C"/>
    <w:rsid w:val="09853824"/>
    <w:rsid w:val="09985395"/>
    <w:rsid w:val="099F7FEA"/>
    <w:rsid w:val="09B65D38"/>
    <w:rsid w:val="09CB3C0A"/>
    <w:rsid w:val="09D24C53"/>
    <w:rsid w:val="09EF672A"/>
    <w:rsid w:val="09FA3203"/>
    <w:rsid w:val="09FF7BFE"/>
    <w:rsid w:val="0A2479D9"/>
    <w:rsid w:val="0A3D1A29"/>
    <w:rsid w:val="0A3F5CD9"/>
    <w:rsid w:val="0A5A637B"/>
    <w:rsid w:val="0A663B0A"/>
    <w:rsid w:val="0A6D2417"/>
    <w:rsid w:val="0A6E4652"/>
    <w:rsid w:val="0A7C228C"/>
    <w:rsid w:val="0AA536BF"/>
    <w:rsid w:val="0AA82F3B"/>
    <w:rsid w:val="0AB75001"/>
    <w:rsid w:val="0AD754CD"/>
    <w:rsid w:val="0AE83ED5"/>
    <w:rsid w:val="0B0634FA"/>
    <w:rsid w:val="0B0C5CC4"/>
    <w:rsid w:val="0B1612A2"/>
    <w:rsid w:val="0B212588"/>
    <w:rsid w:val="0B217B56"/>
    <w:rsid w:val="0B2C6CAB"/>
    <w:rsid w:val="0B2D79F3"/>
    <w:rsid w:val="0B310B66"/>
    <w:rsid w:val="0B3F2C19"/>
    <w:rsid w:val="0B5012DA"/>
    <w:rsid w:val="0B523A95"/>
    <w:rsid w:val="0B681ED1"/>
    <w:rsid w:val="0B6B22C9"/>
    <w:rsid w:val="0B72147D"/>
    <w:rsid w:val="0B7725F4"/>
    <w:rsid w:val="0B7F5D75"/>
    <w:rsid w:val="0B8B2703"/>
    <w:rsid w:val="0B8D3F60"/>
    <w:rsid w:val="0B951D43"/>
    <w:rsid w:val="0B9A1F23"/>
    <w:rsid w:val="0B9B6EF1"/>
    <w:rsid w:val="0B9C1C9D"/>
    <w:rsid w:val="0BA706AC"/>
    <w:rsid w:val="0BB02E2A"/>
    <w:rsid w:val="0BB53545"/>
    <w:rsid w:val="0BB8526F"/>
    <w:rsid w:val="0BC71C64"/>
    <w:rsid w:val="0BC8644B"/>
    <w:rsid w:val="0BDB78F8"/>
    <w:rsid w:val="0BFC49CA"/>
    <w:rsid w:val="0BFF7F8F"/>
    <w:rsid w:val="0C1A74BA"/>
    <w:rsid w:val="0C2658DC"/>
    <w:rsid w:val="0C3410D8"/>
    <w:rsid w:val="0C410A25"/>
    <w:rsid w:val="0C477D93"/>
    <w:rsid w:val="0C55652A"/>
    <w:rsid w:val="0C5E1BFD"/>
    <w:rsid w:val="0C7042B9"/>
    <w:rsid w:val="0C7512C7"/>
    <w:rsid w:val="0C777867"/>
    <w:rsid w:val="0C793191"/>
    <w:rsid w:val="0C7B02EA"/>
    <w:rsid w:val="0C937576"/>
    <w:rsid w:val="0C992063"/>
    <w:rsid w:val="0C9F6118"/>
    <w:rsid w:val="0CA14B3C"/>
    <w:rsid w:val="0CC441C8"/>
    <w:rsid w:val="0CC53C5B"/>
    <w:rsid w:val="0CCD169F"/>
    <w:rsid w:val="0CCD5722"/>
    <w:rsid w:val="0CCE2EB0"/>
    <w:rsid w:val="0CDC0754"/>
    <w:rsid w:val="0CE831C7"/>
    <w:rsid w:val="0CE916F8"/>
    <w:rsid w:val="0D033888"/>
    <w:rsid w:val="0D1A0B50"/>
    <w:rsid w:val="0D295F98"/>
    <w:rsid w:val="0D2C070A"/>
    <w:rsid w:val="0D2C767A"/>
    <w:rsid w:val="0D3247FD"/>
    <w:rsid w:val="0D4F346B"/>
    <w:rsid w:val="0D694F5F"/>
    <w:rsid w:val="0D6A79DB"/>
    <w:rsid w:val="0DA6181C"/>
    <w:rsid w:val="0DAE75C1"/>
    <w:rsid w:val="0DAF2A5B"/>
    <w:rsid w:val="0DB00D5C"/>
    <w:rsid w:val="0DB8226D"/>
    <w:rsid w:val="0DB902A0"/>
    <w:rsid w:val="0DC85F26"/>
    <w:rsid w:val="0DD2548D"/>
    <w:rsid w:val="0DDF7BF6"/>
    <w:rsid w:val="0DE133C7"/>
    <w:rsid w:val="0DE657DA"/>
    <w:rsid w:val="0DF03072"/>
    <w:rsid w:val="0DF465A6"/>
    <w:rsid w:val="0DF575E7"/>
    <w:rsid w:val="0E0B0E89"/>
    <w:rsid w:val="0E191823"/>
    <w:rsid w:val="0E227B23"/>
    <w:rsid w:val="0E2E708F"/>
    <w:rsid w:val="0E3A292E"/>
    <w:rsid w:val="0E502AAA"/>
    <w:rsid w:val="0E5D364A"/>
    <w:rsid w:val="0EA86FBB"/>
    <w:rsid w:val="0EC842D6"/>
    <w:rsid w:val="0ED8416C"/>
    <w:rsid w:val="0EEA02B1"/>
    <w:rsid w:val="0EED0C82"/>
    <w:rsid w:val="0EF42513"/>
    <w:rsid w:val="0EFC6C34"/>
    <w:rsid w:val="0F020558"/>
    <w:rsid w:val="0F052A35"/>
    <w:rsid w:val="0F18383B"/>
    <w:rsid w:val="0F196507"/>
    <w:rsid w:val="0F204B19"/>
    <w:rsid w:val="0F2D739E"/>
    <w:rsid w:val="0F343334"/>
    <w:rsid w:val="0F375BC5"/>
    <w:rsid w:val="0F3B242E"/>
    <w:rsid w:val="0F3B3452"/>
    <w:rsid w:val="0F4E2DD2"/>
    <w:rsid w:val="0F661A9F"/>
    <w:rsid w:val="0F8344AB"/>
    <w:rsid w:val="0F8632D3"/>
    <w:rsid w:val="0F8F1D65"/>
    <w:rsid w:val="0F915FE1"/>
    <w:rsid w:val="0F9C07C7"/>
    <w:rsid w:val="0FD757AD"/>
    <w:rsid w:val="0FE07CC3"/>
    <w:rsid w:val="0FF44CA3"/>
    <w:rsid w:val="100173F2"/>
    <w:rsid w:val="100C4023"/>
    <w:rsid w:val="100E76C7"/>
    <w:rsid w:val="10132D37"/>
    <w:rsid w:val="102121B6"/>
    <w:rsid w:val="102E22AB"/>
    <w:rsid w:val="103A2F9B"/>
    <w:rsid w:val="103C085C"/>
    <w:rsid w:val="10532861"/>
    <w:rsid w:val="106D3EDC"/>
    <w:rsid w:val="109B3F51"/>
    <w:rsid w:val="10AA3894"/>
    <w:rsid w:val="10AC4127"/>
    <w:rsid w:val="10BE21EF"/>
    <w:rsid w:val="110C7F5E"/>
    <w:rsid w:val="111431D1"/>
    <w:rsid w:val="111A7834"/>
    <w:rsid w:val="112278CE"/>
    <w:rsid w:val="112C3B78"/>
    <w:rsid w:val="113F131D"/>
    <w:rsid w:val="11402938"/>
    <w:rsid w:val="11512B20"/>
    <w:rsid w:val="115305C3"/>
    <w:rsid w:val="11563AAD"/>
    <w:rsid w:val="11610A29"/>
    <w:rsid w:val="11671A45"/>
    <w:rsid w:val="11682FBD"/>
    <w:rsid w:val="117046DB"/>
    <w:rsid w:val="11992D75"/>
    <w:rsid w:val="11A264FE"/>
    <w:rsid w:val="11A93A6B"/>
    <w:rsid w:val="11A97B89"/>
    <w:rsid w:val="11B54ED8"/>
    <w:rsid w:val="11BD1C00"/>
    <w:rsid w:val="11BF511D"/>
    <w:rsid w:val="11C9491E"/>
    <w:rsid w:val="11CE5425"/>
    <w:rsid w:val="11ED1B8B"/>
    <w:rsid w:val="11F40BF5"/>
    <w:rsid w:val="11FA5A8C"/>
    <w:rsid w:val="11FC73C1"/>
    <w:rsid w:val="120945EA"/>
    <w:rsid w:val="121B3B70"/>
    <w:rsid w:val="121C4D18"/>
    <w:rsid w:val="122300F0"/>
    <w:rsid w:val="12377FD1"/>
    <w:rsid w:val="124F3FCF"/>
    <w:rsid w:val="125F3B3E"/>
    <w:rsid w:val="12601EFA"/>
    <w:rsid w:val="126401D3"/>
    <w:rsid w:val="12662A16"/>
    <w:rsid w:val="12734291"/>
    <w:rsid w:val="127614B6"/>
    <w:rsid w:val="127F42ED"/>
    <w:rsid w:val="12917963"/>
    <w:rsid w:val="129206AA"/>
    <w:rsid w:val="12932067"/>
    <w:rsid w:val="12942106"/>
    <w:rsid w:val="12970D18"/>
    <w:rsid w:val="12A7080A"/>
    <w:rsid w:val="12A70C59"/>
    <w:rsid w:val="12B3472F"/>
    <w:rsid w:val="12D13428"/>
    <w:rsid w:val="12D1659E"/>
    <w:rsid w:val="12DF77AA"/>
    <w:rsid w:val="12E02E18"/>
    <w:rsid w:val="12E35613"/>
    <w:rsid w:val="13013A04"/>
    <w:rsid w:val="130A326B"/>
    <w:rsid w:val="13142C82"/>
    <w:rsid w:val="1320256D"/>
    <w:rsid w:val="132E3653"/>
    <w:rsid w:val="132F4AB0"/>
    <w:rsid w:val="132F62D2"/>
    <w:rsid w:val="133B323C"/>
    <w:rsid w:val="133E409F"/>
    <w:rsid w:val="134279E1"/>
    <w:rsid w:val="13524BCD"/>
    <w:rsid w:val="13541569"/>
    <w:rsid w:val="135610DD"/>
    <w:rsid w:val="135B7BC8"/>
    <w:rsid w:val="135D4BEE"/>
    <w:rsid w:val="136649CE"/>
    <w:rsid w:val="137D5290"/>
    <w:rsid w:val="137E5CEB"/>
    <w:rsid w:val="13AA53FC"/>
    <w:rsid w:val="13AE5829"/>
    <w:rsid w:val="13C76879"/>
    <w:rsid w:val="13C90091"/>
    <w:rsid w:val="13D562D3"/>
    <w:rsid w:val="13EE3A98"/>
    <w:rsid w:val="13F31769"/>
    <w:rsid w:val="13FF65A9"/>
    <w:rsid w:val="1440200A"/>
    <w:rsid w:val="1450411B"/>
    <w:rsid w:val="145C7AB8"/>
    <w:rsid w:val="14751C07"/>
    <w:rsid w:val="147B7D72"/>
    <w:rsid w:val="148A7C64"/>
    <w:rsid w:val="14A2036B"/>
    <w:rsid w:val="14A6471E"/>
    <w:rsid w:val="14A81CBB"/>
    <w:rsid w:val="14AE1156"/>
    <w:rsid w:val="14CB13CC"/>
    <w:rsid w:val="14DC1B42"/>
    <w:rsid w:val="14DD1797"/>
    <w:rsid w:val="14EC1251"/>
    <w:rsid w:val="1500607F"/>
    <w:rsid w:val="150263BE"/>
    <w:rsid w:val="15036EB4"/>
    <w:rsid w:val="15417FCB"/>
    <w:rsid w:val="156B1873"/>
    <w:rsid w:val="157F3DAD"/>
    <w:rsid w:val="15810381"/>
    <w:rsid w:val="158F7650"/>
    <w:rsid w:val="15CF75C2"/>
    <w:rsid w:val="15DB4E8B"/>
    <w:rsid w:val="15DB629E"/>
    <w:rsid w:val="16005B4D"/>
    <w:rsid w:val="16023749"/>
    <w:rsid w:val="16117F11"/>
    <w:rsid w:val="16122D70"/>
    <w:rsid w:val="163500E7"/>
    <w:rsid w:val="16390BF0"/>
    <w:rsid w:val="16394F6A"/>
    <w:rsid w:val="163A5649"/>
    <w:rsid w:val="16511CDE"/>
    <w:rsid w:val="165C63EB"/>
    <w:rsid w:val="16610551"/>
    <w:rsid w:val="166169AF"/>
    <w:rsid w:val="166D5CF9"/>
    <w:rsid w:val="1679677C"/>
    <w:rsid w:val="16806F5F"/>
    <w:rsid w:val="16891110"/>
    <w:rsid w:val="16B200D8"/>
    <w:rsid w:val="16B53E81"/>
    <w:rsid w:val="16C91A60"/>
    <w:rsid w:val="16D30DE4"/>
    <w:rsid w:val="16D53A3A"/>
    <w:rsid w:val="16EC69F2"/>
    <w:rsid w:val="16F46BD4"/>
    <w:rsid w:val="17011FF5"/>
    <w:rsid w:val="17082077"/>
    <w:rsid w:val="17086A04"/>
    <w:rsid w:val="170C79EF"/>
    <w:rsid w:val="1733704F"/>
    <w:rsid w:val="1739584F"/>
    <w:rsid w:val="175D2140"/>
    <w:rsid w:val="17704AAB"/>
    <w:rsid w:val="17731FA9"/>
    <w:rsid w:val="1785028E"/>
    <w:rsid w:val="179F445C"/>
    <w:rsid w:val="17A36B40"/>
    <w:rsid w:val="17A408D6"/>
    <w:rsid w:val="17A974E2"/>
    <w:rsid w:val="17B920AF"/>
    <w:rsid w:val="17BA6CC5"/>
    <w:rsid w:val="17BC7BFC"/>
    <w:rsid w:val="17BE4DD5"/>
    <w:rsid w:val="17D23C27"/>
    <w:rsid w:val="18142066"/>
    <w:rsid w:val="181D0DEF"/>
    <w:rsid w:val="182401DB"/>
    <w:rsid w:val="18242F81"/>
    <w:rsid w:val="184B2CE6"/>
    <w:rsid w:val="185524EF"/>
    <w:rsid w:val="185858F1"/>
    <w:rsid w:val="185A16FC"/>
    <w:rsid w:val="186B4D4A"/>
    <w:rsid w:val="188B6D6F"/>
    <w:rsid w:val="188E5E3A"/>
    <w:rsid w:val="188F5CA0"/>
    <w:rsid w:val="189622E4"/>
    <w:rsid w:val="18A15213"/>
    <w:rsid w:val="18C33FDF"/>
    <w:rsid w:val="18CD25A4"/>
    <w:rsid w:val="18D3152C"/>
    <w:rsid w:val="18D82E24"/>
    <w:rsid w:val="18EC533E"/>
    <w:rsid w:val="18FE3820"/>
    <w:rsid w:val="19130E36"/>
    <w:rsid w:val="192F1F1B"/>
    <w:rsid w:val="194B1EC4"/>
    <w:rsid w:val="19550C97"/>
    <w:rsid w:val="1962306A"/>
    <w:rsid w:val="19775154"/>
    <w:rsid w:val="198364F1"/>
    <w:rsid w:val="198D4077"/>
    <w:rsid w:val="19996254"/>
    <w:rsid w:val="19A36B5B"/>
    <w:rsid w:val="19AB225A"/>
    <w:rsid w:val="19AD7F51"/>
    <w:rsid w:val="19D65577"/>
    <w:rsid w:val="19FB1C97"/>
    <w:rsid w:val="1A0A4ACB"/>
    <w:rsid w:val="1A143B2C"/>
    <w:rsid w:val="1A1846F1"/>
    <w:rsid w:val="1A2062AD"/>
    <w:rsid w:val="1A3261AF"/>
    <w:rsid w:val="1A352916"/>
    <w:rsid w:val="1A606D71"/>
    <w:rsid w:val="1A8D27AD"/>
    <w:rsid w:val="1A9021AA"/>
    <w:rsid w:val="1A920900"/>
    <w:rsid w:val="1A9349CE"/>
    <w:rsid w:val="1A942CB7"/>
    <w:rsid w:val="1A9E57EB"/>
    <w:rsid w:val="1AA151CF"/>
    <w:rsid w:val="1AA2653D"/>
    <w:rsid w:val="1AA82093"/>
    <w:rsid w:val="1AD244DF"/>
    <w:rsid w:val="1AF06026"/>
    <w:rsid w:val="1AF54F22"/>
    <w:rsid w:val="1B0B7197"/>
    <w:rsid w:val="1B270D19"/>
    <w:rsid w:val="1B312411"/>
    <w:rsid w:val="1B3157F0"/>
    <w:rsid w:val="1B347B21"/>
    <w:rsid w:val="1B35192A"/>
    <w:rsid w:val="1B4120DC"/>
    <w:rsid w:val="1B473D6A"/>
    <w:rsid w:val="1B50316D"/>
    <w:rsid w:val="1B5230EB"/>
    <w:rsid w:val="1B593292"/>
    <w:rsid w:val="1B5B3A17"/>
    <w:rsid w:val="1B5E7755"/>
    <w:rsid w:val="1B6B1CE4"/>
    <w:rsid w:val="1B6B6F05"/>
    <w:rsid w:val="1B6B7277"/>
    <w:rsid w:val="1B701516"/>
    <w:rsid w:val="1B77374A"/>
    <w:rsid w:val="1B7927FA"/>
    <w:rsid w:val="1B832673"/>
    <w:rsid w:val="1B870F6D"/>
    <w:rsid w:val="1B873604"/>
    <w:rsid w:val="1B8804C7"/>
    <w:rsid w:val="1B9008DD"/>
    <w:rsid w:val="1BAD6F45"/>
    <w:rsid w:val="1BB25C71"/>
    <w:rsid w:val="1BBC2E22"/>
    <w:rsid w:val="1BF16305"/>
    <w:rsid w:val="1C122B82"/>
    <w:rsid w:val="1C1952D0"/>
    <w:rsid w:val="1C226D51"/>
    <w:rsid w:val="1C2D27CB"/>
    <w:rsid w:val="1C5300CD"/>
    <w:rsid w:val="1C784A20"/>
    <w:rsid w:val="1C9C180B"/>
    <w:rsid w:val="1CC00E4E"/>
    <w:rsid w:val="1CC10B52"/>
    <w:rsid w:val="1CCC725F"/>
    <w:rsid w:val="1CD53DBF"/>
    <w:rsid w:val="1CDB373E"/>
    <w:rsid w:val="1CF00DBA"/>
    <w:rsid w:val="1D0807A5"/>
    <w:rsid w:val="1D090ADB"/>
    <w:rsid w:val="1D0E00EC"/>
    <w:rsid w:val="1D1939ED"/>
    <w:rsid w:val="1D2101C2"/>
    <w:rsid w:val="1D29203C"/>
    <w:rsid w:val="1D5613CC"/>
    <w:rsid w:val="1D652F47"/>
    <w:rsid w:val="1D657F1B"/>
    <w:rsid w:val="1D6926C1"/>
    <w:rsid w:val="1D7A117D"/>
    <w:rsid w:val="1D880D96"/>
    <w:rsid w:val="1D9A1B1C"/>
    <w:rsid w:val="1D9B3BF5"/>
    <w:rsid w:val="1D9E241B"/>
    <w:rsid w:val="1DA014B3"/>
    <w:rsid w:val="1DB213DC"/>
    <w:rsid w:val="1DB26BBC"/>
    <w:rsid w:val="1DBF4C41"/>
    <w:rsid w:val="1DCE7F11"/>
    <w:rsid w:val="1DD0331B"/>
    <w:rsid w:val="1E021E39"/>
    <w:rsid w:val="1E0358BF"/>
    <w:rsid w:val="1E214A6A"/>
    <w:rsid w:val="1E244853"/>
    <w:rsid w:val="1E286DFF"/>
    <w:rsid w:val="1E2D10E0"/>
    <w:rsid w:val="1E3D3A5F"/>
    <w:rsid w:val="1E3E15B2"/>
    <w:rsid w:val="1E3E4FF3"/>
    <w:rsid w:val="1E4F234C"/>
    <w:rsid w:val="1E5D2340"/>
    <w:rsid w:val="1E620067"/>
    <w:rsid w:val="1E9004FA"/>
    <w:rsid w:val="1E9202BE"/>
    <w:rsid w:val="1E9646FF"/>
    <w:rsid w:val="1E966318"/>
    <w:rsid w:val="1EA11680"/>
    <w:rsid w:val="1EC024D4"/>
    <w:rsid w:val="1EC3007D"/>
    <w:rsid w:val="1ECF054D"/>
    <w:rsid w:val="1ED815CC"/>
    <w:rsid w:val="1EEF5642"/>
    <w:rsid w:val="1F045F88"/>
    <w:rsid w:val="1F3D5A2B"/>
    <w:rsid w:val="1F422AE4"/>
    <w:rsid w:val="1F434323"/>
    <w:rsid w:val="1F4E0DE8"/>
    <w:rsid w:val="1F77383F"/>
    <w:rsid w:val="1F7E73A9"/>
    <w:rsid w:val="1F8034E6"/>
    <w:rsid w:val="1F87452F"/>
    <w:rsid w:val="1F875D46"/>
    <w:rsid w:val="1F896D6A"/>
    <w:rsid w:val="1F95416B"/>
    <w:rsid w:val="1FB72D07"/>
    <w:rsid w:val="1FC37E78"/>
    <w:rsid w:val="1FD54EF5"/>
    <w:rsid w:val="1FF40688"/>
    <w:rsid w:val="1FF52A08"/>
    <w:rsid w:val="1FFD0BB5"/>
    <w:rsid w:val="2003179C"/>
    <w:rsid w:val="2003268C"/>
    <w:rsid w:val="200B5C0B"/>
    <w:rsid w:val="200D1367"/>
    <w:rsid w:val="20150AF2"/>
    <w:rsid w:val="201C4CA7"/>
    <w:rsid w:val="20201E76"/>
    <w:rsid w:val="2033450B"/>
    <w:rsid w:val="20526EB3"/>
    <w:rsid w:val="206D6F3E"/>
    <w:rsid w:val="20715473"/>
    <w:rsid w:val="207D3B26"/>
    <w:rsid w:val="209C2B3E"/>
    <w:rsid w:val="20B35BED"/>
    <w:rsid w:val="20B36678"/>
    <w:rsid w:val="20BD4F1E"/>
    <w:rsid w:val="20CA66FD"/>
    <w:rsid w:val="20D13B63"/>
    <w:rsid w:val="20E85164"/>
    <w:rsid w:val="20ED5FC1"/>
    <w:rsid w:val="20F50EA7"/>
    <w:rsid w:val="20FC1B45"/>
    <w:rsid w:val="212B1CCB"/>
    <w:rsid w:val="212D5B2C"/>
    <w:rsid w:val="213A3605"/>
    <w:rsid w:val="213F2BAB"/>
    <w:rsid w:val="214E088D"/>
    <w:rsid w:val="215C01B1"/>
    <w:rsid w:val="21603FBE"/>
    <w:rsid w:val="2194182A"/>
    <w:rsid w:val="21A77AE0"/>
    <w:rsid w:val="21B667D4"/>
    <w:rsid w:val="21B87BA4"/>
    <w:rsid w:val="21CE6CB6"/>
    <w:rsid w:val="21D555AC"/>
    <w:rsid w:val="220646A2"/>
    <w:rsid w:val="22165C38"/>
    <w:rsid w:val="22224D86"/>
    <w:rsid w:val="22386FD2"/>
    <w:rsid w:val="22410FAB"/>
    <w:rsid w:val="22414157"/>
    <w:rsid w:val="224263F9"/>
    <w:rsid w:val="22440002"/>
    <w:rsid w:val="224C30CF"/>
    <w:rsid w:val="224F2D6A"/>
    <w:rsid w:val="225116B9"/>
    <w:rsid w:val="225418B2"/>
    <w:rsid w:val="22547524"/>
    <w:rsid w:val="225F67AC"/>
    <w:rsid w:val="226E6D66"/>
    <w:rsid w:val="228C0017"/>
    <w:rsid w:val="228F35D6"/>
    <w:rsid w:val="229949E3"/>
    <w:rsid w:val="22B24BDD"/>
    <w:rsid w:val="22B342E1"/>
    <w:rsid w:val="22C01A09"/>
    <w:rsid w:val="22C52F66"/>
    <w:rsid w:val="22C708C4"/>
    <w:rsid w:val="22C7230E"/>
    <w:rsid w:val="22D842DA"/>
    <w:rsid w:val="22E71D38"/>
    <w:rsid w:val="22EA0933"/>
    <w:rsid w:val="22EC07EF"/>
    <w:rsid w:val="22EE7D2D"/>
    <w:rsid w:val="22F10EAE"/>
    <w:rsid w:val="23036601"/>
    <w:rsid w:val="230D48E9"/>
    <w:rsid w:val="231D1CA3"/>
    <w:rsid w:val="2321231C"/>
    <w:rsid w:val="232F01C4"/>
    <w:rsid w:val="23331BF5"/>
    <w:rsid w:val="233D0BA3"/>
    <w:rsid w:val="23425054"/>
    <w:rsid w:val="23501055"/>
    <w:rsid w:val="235B5E01"/>
    <w:rsid w:val="236C5D90"/>
    <w:rsid w:val="236E4580"/>
    <w:rsid w:val="237C6924"/>
    <w:rsid w:val="2390111C"/>
    <w:rsid w:val="23BD3CBF"/>
    <w:rsid w:val="23CA51A8"/>
    <w:rsid w:val="23CC7174"/>
    <w:rsid w:val="23DF1584"/>
    <w:rsid w:val="23FA639B"/>
    <w:rsid w:val="23FD4981"/>
    <w:rsid w:val="24131E75"/>
    <w:rsid w:val="241C3500"/>
    <w:rsid w:val="241C3808"/>
    <w:rsid w:val="242530D9"/>
    <w:rsid w:val="243A2CDC"/>
    <w:rsid w:val="24450C8E"/>
    <w:rsid w:val="24505030"/>
    <w:rsid w:val="246254F1"/>
    <w:rsid w:val="246256CC"/>
    <w:rsid w:val="246A5AC3"/>
    <w:rsid w:val="2480376B"/>
    <w:rsid w:val="24803A09"/>
    <w:rsid w:val="24805846"/>
    <w:rsid w:val="248C219B"/>
    <w:rsid w:val="24941808"/>
    <w:rsid w:val="249F59AA"/>
    <w:rsid w:val="24A77CC7"/>
    <w:rsid w:val="24AA572C"/>
    <w:rsid w:val="24B11A33"/>
    <w:rsid w:val="24BD0D51"/>
    <w:rsid w:val="24EA3E07"/>
    <w:rsid w:val="24F4342B"/>
    <w:rsid w:val="24F77329"/>
    <w:rsid w:val="24FC6EB5"/>
    <w:rsid w:val="250107BC"/>
    <w:rsid w:val="250170D7"/>
    <w:rsid w:val="250C1416"/>
    <w:rsid w:val="251870B1"/>
    <w:rsid w:val="25215F5B"/>
    <w:rsid w:val="25287EFC"/>
    <w:rsid w:val="25314CEF"/>
    <w:rsid w:val="253506B3"/>
    <w:rsid w:val="253F224B"/>
    <w:rsid w:val="255710E7"/>
    <w:rsid w:val="25696F6D"/>
    <w:rsid w:val="258409DC"/>
    <w:rsid w:val="2585705F"/>
    <w:rsid w:val="25923602"/>
    <w:rsid w:val="25A04D0A"/>
    <w:rsid w:val="25B306C7"/>
    <w:rsid w:val="25CC1B09"/>
    <w:rsid w:val="25CE43CE"/>
    <w:rsid w:val="25DC7BF4"/>
    <w:rsid w:val="25EF09CC"/>
    <w:rsid w:val="25F018F1"/>
    <w:rsid w:val="26123E85"/>
    <w:rsid w:val="261E1B8F"/>
    <w:rsid w:val="262E79BC"/>
    <w:rsid w:val="26436B55"/>
    <w:rsid w:val="26454B11"/>
    <w:rsid w:val="264616B2"/>
    <w:rsid w:val="264B5C5F"/>
    <w:rsid w:val="264F0D93"/>
    <w:rsid w:val="265911BA"/>
    <w:rsid w:val="265E5FBA"/>
    <w:rsid w:val="26600667"/>
    <w:rsid w:val="266C74E3"/>
    <w:rsid w:val="268A268F"/>
    <w:rsid w:val="26997A56"/>
    <w:rsid w:val="269A4AD7"/>
    <w:rsid w:val="269C4E0B"/>
    <w:rsid w:val="269C55D5"/>
    <w:rsid w:val="26C17B69"/>
    <w:rsid w:val="26C33FFE"/>
    <w:rsid w:val="26C64400"/>
    <w:rsid w:val="26CE36E5"/>
    <w:rsid w:val="26E31B06"/>
    <w:rsid w:val="26E6217B"/>
    <w:rsid w:val="26FB22FC"/>
    <w:rsid w:val="26FC7D13"/>
    <w:rsid w:val="26FF6276"/>
    <w:rsid w:val="27037513"/>
    <w:rsid w:val="27117BFF"/>
    <w:rsid w:val="27203EEB"/>
    <w:rsid w:val="2754129C"/>
    <w:rsid w:val="27603EC1"/>
    <w:rsid w:val="276B04F3"/>
    <w:rsid w:val="27851A0B"/>
    <w:rsid w:val="27876136"/>
    <w:rsid w:val="279462F5"/>
    <w:rsid w:val="27A06CC5"/>
    <w:rsid w:val="27B34755"/>
    <w:rsid w:val="27C112E1"/>
    <w:rsid w:val="27DB14BA"/>
    <w:rsid w:val="27DD6376"/>
    <w:rsid w:val="27E03D9F"/>
    <w:rsid w:val="27E07DE8"/>
    <w:rsid w:val="27E862A2"/>
    <w:rsid w:val="27EF19B8"/>
    <w:rsid w:val="280334C5"/>
    <w:rsid w:val="2804309E"/>
    <w:rsid w:val="28071DAC"/>
    <w:rsid w:val="28130274"/>
    <w:rsid w:val="281459A7"/>
    <w:rsid w:val="28327F9F"/>
    <w:rsid w:val="2841272B"/>
    <w:rsid w:val="28454B2D"/>
    <w:rsid w:val="28603EB7"/>
    <w:rsid w:val="286930B9"/>
    <w:rsid w:val="286A5D40"/>
    <w:rsid w:val="286F6AEE"/>
    <w:rsid w:val="287967D6"/>
    <w:rsid w:val="289A4C69"/>
    <w:rsid w:val="28AC4758"/>
    <w:rsid w:val="28AE3251"/>
    <w:rsid w:val="28C04C4C"/>
    <w:rsid w:val="28C82DD8"/>
    <w:rsid w:val="28E07697"/>
    <w:rsid w:val="28E824C9"/>
    <w:rsid w:val="28EC4FBD"/>
    <w:rsid w:val="28EC7622"/>
    <w:rsid w:val="28EE5156"/>
    <w:rsid w:val="291268CF"/>
    <w:rsid w:val="291470DB"/>
    <w:rsid w:val="292A3D9E"/>
    <w:rsid w:val="292E34BD"/>
    <w:rsid w:val="29325D7D"/>
    <w:rsid w:val="29340781"/>
    <w:rsid w:val="29470E70"/>
    <w:rsid w:val="29482C06"/>
    <w:rsid w:val="296206AF"/>
    <w:rsid w:val="297045CA"/>
    <w:rsid w:val="298040D2"/>
    <w:rsid w:val="298E1846"/>
    <w:rsid w:val="298F5ED7"/>
    <w:rsid w:val="29A009BF"/>
    <w:rsid w:val="29A03A03"/>
    <w:rsid w:val="29BC6F56"/>
    <w:rsid w:val="29DA2DCF"/>
    <w:rsid w:val="29DA7D73"/>
    <w:rsid w:val="29E17A78"/>
    <w:rsid w:val="29E439C2"/>
    <w:rsid w:val="2A0F7329"/>
    <w:rsid w:val="2A132508"/>
    <w:rsid w:val="2A1D0B14"/>
    <w:rsid w:val="2A3A79B3"/>
    <w:rsid w:val="2A53353C"/>
    <w:rsid w:val="2A5534B9"/>
    <w:rsid w:val="2A57508D"/>
    <w:rsid w:val="2A5D2041"/>
    <w:rsid w:val="2A6F2F5D"/>
    <w:rsid w:val="2A713219"/>
    <w:rsid w:val="2A755211"/>
    <w:rsid w:val="2A7A1212"/>
    <w:rsid w:val="2A8D0991"/>
    <w:rsid w:val="2AA1252A"/>
    <w:rsid w:val="2AAE121F"/>
    <w:rsid w:val="2AAF72FB"/>
    <w:rsid w:val="2AC309F8"/>
    <w:rsid w:val="2AD80D1A"/>
    <w:rsid w:val="2AE863AE"/>
    <w:rsid w:val="2AF156B3"/>
    <w:rsid w:val="2B0158CD"/>
    <w:rsid w:val="2B0A133F"/>
    <w:rsid w:val="2B277B63"/>
    <w:rsid w:val="2B3758CC"/>
    <w:rsid w:val="2B50728E"/>
    <w:rsid w:val="2B520F1D"/>
    <w:rsid w:val="2B687D7B"/>
    <w:rsid w:val="2B694E68"/>
    <w:rsid w:val="2B791766"/>
    <w:rsid w:val="2B924276"/>
    <w:rsid w:val="2B9D59FF"/>
    <w:rsid w:val="2BA32F62"/>
    <w:rsid w:val="2BB53941"/>
    <w:rsid w:val="2BBE3BE5"/>
    <w:rsid w:val="2BCB64C7"/>
    <w:rsid w:val="2BD92E3F"/>
    <w:rsid w:val="2BD96F73"/>
    <w:rsid w:val="2BDE12CD"/>
    <w:rsid w:val="2BE25A98"/>
    <w:rsid w:val="2BE86CA8"/>
    <w:rsid w:val="2BEC7697"/>
    <w:rsid w:val="2BF01660"/>
    <w:rsid w:val="2BF2460D"/>
    <w:rsid w:val="2BF56003"/>
    <w:rsid w:val="2C0A517A"/>
    <w:rsid w:val="2C20470A"/>
    <w:rsid w:val="2C4A36EA"/>
    <w:rsid w:val="2C550ACB"/>
    <w:rsid w:val="2C571774"/>
    <w:rsid w:val="2C595F36"/>
    <w:rsid w:val="2C676E85"/>
    <w:rsid w:val="2C825C0E"/>
    <w:rsid w:val="2C837851"/>
    <w:rsid w:val="2CA0428D"/>
    <w:rsid w:val="2CA60204"/>
    <w:rsid w:val="2CAB6D99"/>
    <w:rsid w:val="2CC122AF"/>
    <w:rsid w:val="2CD566E0"/>
    <w:rsid w:val="2CDE1D5D"/>
    <w:rsid w:val="2CE1145B"/>
    <w:rsid w:val="2CEE5D0C"/>
    <w:rsid w:val="2CFB1ACD"/>
    <w:rsid w:val="2CFC166C"/>
    <w:rsid w:val="2D0C4370"/>
    <w:rsid w:val="2D19422F"/>
    <w:rsid w:val="2D1B612E"/>
    <w:rsid w:val="2D272A78"/>
    <w:rsid w:val="2D294D17"/>
    <w:rsid w:val="2D2D77E4"/>
    <w:rsid w:val="2D302844"/>
    <w:rsid w:val="2D340907"/>
    <w:rsid w:val="2D3D185B"/>
    <w:rsid w:val="2D416924"/>
    <w:rsid w:val="2D422B39"/>
    <w:rsid w:val="2D597D7C"/>
    <w:rsid w:val="2D5A26B3"/>
    <w:rsid w:val="2D5C7521"/>
    <w:rsid w:val="2D7149C3"/>
    <w:rsid w:val="2D747094"/>
    <w:rsid w:val="2D992C03"/>
    <w:rsid w:val="2DA216C6"/>
    <w:rsid w:val="2DA33153"/>
    <w:rsid w:val="2DB50AD8"/>
    <w:rsid w:val="2DB653BC"/>
    <w:rsid w:val="2DE17B90"/>
    <w:rsid w:val="2DFB0C12"/>
    <w:rsid w:val="2E11532A"/>
    <w:rsid w:val="2E2C7B59"/>
    <w:rsid w:val="2E3008BC"/>
    <w:rsid w:val="2E3507E9"/>
    <w:rsid w:val="2E512381"/>
    <w:rsid w:val="2E6D0A1B"/>
    <w:rsid w:val="2E896136"/>
    <w:rsid w:val="2E904A45"/>
    <w:rsid w:val="2E921142"/>
    <w:rsid w:val="2E9238C2"/>
    <w:rsid w:val="2E972F4E"/>
    <w:rsid w:val="2EB97398"/>
    <w:rsid w:val="2EBC2DDB"/>
    <w:rsid w:val="2EDE6676"/>
    <w:rsid w:val="2EE62071"/>
    <w:rsid w:val="2F015291"/>
    <w:rsid w:val="2F181834"/>
    <w:rsid w:val="2F1877C3"/>
    <w:rsid w:val="2F1D3166"/>
    <w:rsid w:val="2F1E4AC6"/>
    <w:rsid w:val="2F3D2575"/>
    <w:rsid w:val="2F5F6DC2"/>
    <w:rsid w:val="2F634EE2"/>
    <w:rsid w:val="2F6A2714"/>
    <w:rsid w:val="2F715E38"/>
    <w:rsid w:val="2F7313FD"/>
    <w:rsid w:val="2F732A13"/>
    <w:rsid w:val="2F941D65"/>
    <w:rsid w:val="2FA43F61"/>
    <w:rsid w:val="2FA71273"/>
    <w:rsid w:val="2FA96F2B"/>
    <w:rsid w:val="2FB35201"/>
    <w:rsid w:val="2FBD3AD7"/>
    <w:rsid w:val="2FD91648"/>
    <w:rsid w:val="2FF9240C"/>
    <w:rsid w:val="2FF946AE"/>
    <w:rsid w:val="2FFD2F9F"/>
    <w:rsid w:val="30040748"/>
    <w:rsid w:val="304537EB"/>
    <w:rsid w:val="304D1B6D"/>
    <w:rsid w:val="305059B1"/>
    <w:rsid w:val="30726515"/>
    <w:rsid w:val="30850E88"/>
    <w:rsid w:val="308C47E8"/>
    <w:rsid w:val="308D2CDE"/>
    <w:rsid w:val="30972D75"/>
    <w:rsid w:val="309A496D"/>
    <w:rsid w:val="30BB31C8"/>
    <w:rsid w:val="30C0620D"/>
    <w:rsid w:val="30CF2B57"/>
    <w:rsid w:val="30D34409"/>
    <w:rsid w:val="30DC76BD"/>
    <w:rsid w:val="30E43E01"/>
    <w:rsid w:val="30FD59F3"/>
    <w:rsid w:val="30FE700B"/>
    <w:rsid w:val="3120701A"/>
    <w:rsid w:val="313B489A"/>
    <w:rsid w:val="315238A4"/>
    <w:rsid w:val="315C56BE"/>
    <w:rsid w:val="316546A0"/>
    <w:rsid w:val="316D71E4"/>
    <w:rsid w:val="31802A8F"/>
    <w:rsid w:val="318B193E"/>
    <w:rsid w:val="31931ABF"/>
    <w:rsid w:val="31A10BF5"/>
    <w:rsid w:val="31A970A8"/>
    <w:rsid w:val="31AB1E21"/>
    <w:rsid w:val="31B75CB4"/>
    <w:rsid w:val="31BE052E"/>
    <w:rsid w:val="31BE18B6"/>
    <w:rsid w:val="31CA483D"/>
    <w:rsid w:val="31D156FC"/>
    <w:rsid w:val="32004C6A"/>
    <w:rsid w:val="320F2803"/>
    <w:rsid w:val="321043B9"/>
    <w:rsid w:val="32164D38"/>
    <w:rsid w:val="322713CA"/>
    <w:rsid w:val="322A670F"/>
    <w:rsid w:val="32304084"/>
    <w:rsid w:val="32432616"/>
    <w:rsid w:val="3243394A"/>
    <w:rsid w:val="324C6483"/>
    <w:rsid w:val="32522469"/>
    <w:rsid w:val="32776BA9"/>
    <w:rsid w:val="327B2A0D"/>
    <w:rsid w:val="329A6E6D"/>
    <w:rsid w:val="32B45676"/>
    <w:rsid w:val="32C5561F"/>
    <w:rsid w:val="32DC084A"/>
    <w:rsid w:val="32E12CEE"/>
    <w:rsid w:val="32F669C8"/>
    <w:rsid w:val="33001B7A"/>
    <w:rsid w:val="331535A7"/>
    <w:rsid w:val="33182DFB"/>
    <w:rsid w:val="331A0CC8"/>
    <w:rsid w:val="331A7AF8"/>
    <w:rsid w:val="33226E62"/>
    <w:rsid w:val="3324614F"/>
    <w:rsid w:val="33547948"/>
    <w:rsid w:val="335F2062"/>
    <w:rsid w:val="33686602"/>
    <w:rsid w:val="3369637D"/>
    <w:rsid w:val="336A7882"/>
    <w:rsid w:val="339771F4"/>
    <w:rsid w:val="339B1393"/>
    <w:rsid w:val="33B71F93"/>
    <w:rsid w:val="33BF2903"/>
    <w:rsid w:val="33CD6404"/>
    <w:rsid w:val="33D354D0"/>
    <w:rsid w:val="33D46EDF"/>
    <w:rsid w:val="33EF3CEA"/>
    <w:rsid w:val="33F07711"/>
    <w:rsid w:val="33FC203D"/>
    <w:rsid w:val="3406286A"/>
    <w:rsid w:val="34222A44"/>
    <w:rsid w:val="34234E4C"/>
    <w:rsid w:val="3464291B"/>
    <w:rsid w:val="34840E64"/>
    <w:rsid w:val="34890588"/>
    <w:rsid w:val="34910F9E"/>
    <w:rsid w:val="34911926"/>
    <w:rsid w:val="34927084"/>
    <w:rsid w:val="34A5266B"/>
    <w:rsid w:val="34A76BD5"/>
    <w:rsid w:val="34AF3A6D"/>
    <w:rsid w:val="34BD011B"/>
    <w:rsid w:val="34CD4B64"/>
    <w:rsid w:val="34D72B0D"/>
    <w:rsid w:val="34DF5BDE"/>
    <w:rsid w:val="34EE06B7"/>
    <w:rsid w:val="34F24CD0"/>
    <w:rsid w:val="34FA1E45"/>
    <w:rsid w:val="34FD7410"/>
    <w:rsid w:val="35020CF9"/>
    <w:rsid w:val="351A6043"/>
    <w:rsid w:val="351C0EA2"/>
    <w:rsid w:val="35255512"/>
    <w:rsid w:val="35280DC0"/>
    <w:rsid w:val="35461EBC"/>
    <w:rsid w:val="354716FF"/>
    <w:rsid w:val="354D7F75"/>
    <w:rsid w:val="355A12E4"/>
    <w:rsid w:val="35605956"/>
    <w:rsid w:val="35756336"/>
    <w:rsid w:val="3585603E"/>
    <w:rsid w:val="358D30B5"/>
    <w:rsid w:val="358F21E7"/>
    <w:rsid w:val="35914AC1"/>
    <w:rsid w:val="35921F18"/>
    <w:rsid w:val="359706D2"/>
    <w:rsid w:val="35A303EA"/>
    <w:rsid w:val="35A80566"/>
    <w:rsid w:val="35AA4F6C"/>
    <w:rsid w:val="35BE2E72"/>
    <w:rsid w:val="35F73CF2"/>
    <w:rsid w:val="360407DE"/>
    <w:rsid w:val="361E461E"/>
    <w:rsid w:val="362236CD"/>
    <w:rsid w:val="363955C3"/>
    <w:rsid w:val="364D069A"/>
    <w:rsid w:val="36507137"/>
    <w:rsid w:val="365628C0"/>
    <w:rsid w:val="365E4E53"/>
    <w:rsid w:val="36741C91"/>
    <w:rsid w:val="36745F37"/>
    <w:rsid w:val="36765224"/>
    <w:rsid w:val="36826C73"/>
    <w:rsid w:val="368C5779"/>
    <w:rsid w:val="36943485"/>
    <w:rsid w:val="369D3512"/>
    <w:rsid w:val="369D517D"/>
    <w:rsid w:val="36AD7FE4"/>
    <w:rsid w:val="36B54F4A"/>
    <w:rsid w:val="36B6196C"/>
    <w:rsid w:val="36C4252E"/>
    <w:rsid w:val="36C941C4"/>
    <w:rsid w:val="36D01095"/>
    <w:rsid w:val="36E1641D"/>
    <w:rsid w:val="36E6311A"/>
    <w:rsid w:val="36FD3CFD"/>
    <w:rsid w:val="37024C59"/>
    <w:rsid w:val="370F2612"/>
    <w:rsid w:val="37101BB1"/>
    <w:rsid w:val="37237B4D"/>
    <w:rsid w:val="3729161C"/>
    <w:rsid w:val="372F0DF2"/>
    <w:rsid w:val="373677D5"/>
    <w:rsid w:val="37433BFB"/>
    <w:rsid w:val="37471BEF"/>
    <w:rsid w:val="376923BA"/>
    <w:rsid w:val="37733813"/>
    <w:rsid w:val="378823DF"/>
    <w:rsid w:val="378E20BB"/>
    <w:rsid w:val="37941218"/>
    <w:rsid w:val="37945822"/>
    <w:rsid w:val="37990A35"/>
    <w:rsid w:val="37A12891"/>
    <w:rsid w:val="37AD65C6"/>
    <w:rsid w:val="37BB0FD8"/>
    <w:rsid w:val="37C35F96"/>
    <w:rsid w:val="37C4673A"/>
    <w:rsid w:val="37CA1A7A"/>
    <w:rsid w:val="37D31ED9"/>
    <w:rsid w:val="37E35871"/>
    <w:rsid w:val="37F5270D"/>
    <w:rsid w:val="37FE10B8"/>
    <w:rsid w:val="37FE7227"/>
    <w:rsid w:val="380B32C6"/>
    <w:rsid w:val="381309C6"/>
    <w:rsid w:val="3813100D"/>
    <w:rsid w:val="3827564E"/>
    <w:rsid w:val="386211A0"/>
    <w:rsid w:val="38774AC4"/>
    <w:rsid w:val="387A2AEC"/>
    <w:rsid w:val="38980B25"/>
    <w:rsid w:val="38B676A5"/>
    <w:rsid w:val="38B91722"/>
    <w:rsid w:val="39097304"/>
    <w:rsid w:val="3922196A"/>
    <w:rsid w:val="392502E5"/>
    <w:rsid w:val="39335925"/>
    <w:rsid w:val="393741B4"/>
    <w:rsid w:val="39531710"/>
    <w:rsid w:val="395D3D25"/>
    <w:rsid w:val="396804A8"/>
    <w:rsid w:val="397074D5"/>
    <w:rsid w:val="39777F08"/>
    <w:rsid w:val="397B405B"/>
    <w:rsid w:val="397D525A"/>
    <w:rsid w:val="39981BEB"/>
    <w:rsid w:val="39AC75EE"/>
    <w:rsid w:val="39B916DF"/>
    <w:rsid w:val="39BB0FFD"/>
    <w:rsid w:val="39DC2DAA"/>
    <w:rsid w:val="39DD0D52"/>
    <w:rsid w:val="39E81252"/>
    <w:rsid w:val="39ED01CA"/>
    <w:rsid w:val="39EE69BC"/>
    <w:rsid w:val="39F01DE6"/>
    <w:rsid w:val="39F24125"/>
    <w:rsid w:val="3A00359B"/>
    <w:rsid w:val="3A24028F"/>
    <w:rsid w:val="3A3718D6"/>
    <w:rsid w:val="3A4660AA"/>
    <w:rsid w:val="3A5E3659"/>
    <w:rsid w:val="3A614714"/>
    <w:rsid w:val="3A64520B"/>
    <w:rsid w:val="3A654204"/>
    <w:rsid w:val="3A7D3282"/>
    <w:rsid w:val="3A83468A"/>
    <w:rsid w:val="3A9F77C4"/>
    <w:rsid w:val="3AD9074E"/>
    <w:rsid w:val="3AE37285"/>
    <w:rsid w:val="3AE570F3"/>
    <w:rsid w:val="3AE8089A"/>
    <w:rsid w:val="3AFB240E"/>
    <w:rsid w:val="3AFD5CD9"/>
    <w:rsid w:val="3B0717C2"/>
    <w:rsid w:val="3B1919AB"/>
    <w:rsid w:val="3B246193"/>
    <w:rsid w:val="3B2C4003"/>
    <w:rsid w:val="3B322AFF"/>
    <w:rsid w:val="3B340B6C"/>
    <w:rsid w:val="3B431474"/>
    <w:rsid w:val="3B5E09F6"/>
    <w:rsid w:val="3B6B12B0"/>
    <w:rsid w:val="3B790184"/>
    <w:rsid w:val="3B88270F"/>
    <w:rsid w:val="3BAB27D1"/>
    <w:rsid w:val="3BAD7364"/>
    <w:rsid w:val="3BBE60C2"/>
    <w:rsid w:val="3BC34952"/>
    <w:rsid w:val="3BCB0097"/>
    <w:rsid w:val="3BD50F16"/>
    <w:rsid w:val="3BE01FA9"/>
    <w:rsid w:val="3BE82D14"/>
    <w:rsid w:val="3BEA7FE9"/>
    <w:rsid w:val="3BF03FA1"/>
    <w:rsid w:val="3BFC2F3F"/>
    <w:rsid w:val="3C05618E"/>
    <w:rsid w:val="3C25022E"/>
    <w:rsid w:val="3C2C06BD"/>
    <w:rsid w:val="3C343788"/>
    <w:rsid w:val="3C435976"/>
    <w:rsid w:val="3C5B4206"/>
    <w:rsid w:val="3C64645A"/>
    <w:rsid w:val="3C656018"/>
    <w:rsid w:val="3C667DB0"/>
    <w:rsid w:val="3C6C06DF"/>
    <w:rsid w:val="3C7B68BB"/>
    <w:rsid w:val="3C813619"/>
    <w:rsid w:val="3C946D71"/>
    <w:rsid w:val="3CAE79D6"/>
    <w:rsid w:val="3CB369E7"/>
    <w:rsid w:val="3CB83945"/>
    <w:rsid w:val="3CC106AE"/>
    <w:rsid w:val="3CCE5337"/>
    <w:rsid w:val="3CDE6477"/>
    <w:rsid w:val="3D0A559A"/>
    <w:rsid w:val="3D1E14E7"/>
    <w:rsid w:val="3D255602"/>
    <w:rsid w:val="3D292148"/>
    <w:rsid w:val="3D3A558F"/>
    <w:rsid w:val="3D3C3A49"/>
    <w:rsid w:val="3D3D225B"/>
    <w:rsid w:val="3D577E3C"/>
    <w:rsid w:val="3D6C3114"/>
    <w:rsid w:val="3D7A74DC"/>
    <w:rsid w:val="3D7E5C88"/>
    <w:rsid w:val="3D8252C4"/>
    <w:rsid w:val="3D8C2AD7"/>
    <w:rsid w:val="3D90155F"/>
    <w:rsid w:val="3D996C27"/>
    <w:rsid w:val="3D9B0069"/>
    <w:rsid w:val="3D9E48C4"/>
    <w:rsid w:val="3DDB77FC"/>
    <w:rsid w:val="3DEF7094"/>
    <w:rsid w:val="3DFF3C37"/>
    <w:rsid w:val="3E0445FE"/>
    <w:rsid w:val="3E0C4997"/>
    <w:rsid w:val="3E3B08E6"/>
    <w:rsid w:val="3E3F581A"/>
    <w:rsid w:val="3E4304F2"/>
    <w:rsid w:val="3E50322D"/>
    <w:rsid w:val="3E681FFC"/>
    <w:rsid w:val="3E6C643E"/>
    <w:rsid w:val="3E7919F5"/>
    <w:rsid w:val="3E830253"/>
    <w:rsid w:val="3E8950E5"/>
    <w:rsid w:val="3EA13331"/>
    <w:rsid w:val="3EAB50B7"/>
    <w:rsid w:val="3EC571FD"/>
    <w:rsid w:val="3ECF0CFF"/>
    <w:rsid w:val="3EE53B65"/>
    <w:rsid w:val="3EEB4417"/>
    <w:rsid w:val="3EF61C02"/>
    <w:rsid w:val="3EFC73B7"/>
    <w:rsid w:val="3F025C40"/>
    <w:rsid w:val="3F082623"/>
    <w:rsid w:val="3F304E08"/>
    <w:rsid w:val="3F3D4A3D"/>
    <w:rsid w:val="3F3F4D49"/>
    <w:rsid w:val="3F4E2855"/>
    <w:rsid w:val="3F517949"/>
    <w:rsid w:val="3F5F0663"/>
    <w:rsid w:val="3F733AE9"/>
    <w:rsid w:val="3F7722E4"/>
    <w:rsid w:val="3F88009A"/>
    <w:rsid w:val="3F8A5A5C"/>
    <w:rsid w:val="3F976986"/>
    <w:rsid w:val="3F9D725A"/>
    <w:rsid w:val="3F9E25CD"/>
    <w:rsid w:val="3FA708C6"/>
    <w:rsid w:val="3FAC46C9"/>
    <w:rsid w:val="3FBE264C"/>
    <w:rsid w:val="3FC04688"/>
    <w:rsid w:val="3FC35C6C"/>
    <w:rsid w:val="3FCC35A6"/>
    <w:rsid w:val="3FCE355B"/>
    <w:rsid w:val="3FDB2873"/>
    <w:rsid w:val="3FF94E2C"/>
    <w:rsid w:val="40035149"/>
    <w:rsid w:val="400351B4"/>
    <w:rsid w:val="4005743D"/>
    <w:rsid w:val="4010775A"/>
    <w:rsid w:val="40125316"/>
    <w:rsid w:val="4013337A"/>
    <w:rsid w:val="401364B0"/>
    <w:rsid w:val="40143DF8"/>
    <w:rsid w:val="40266073"/>
    <w:rsid w:val="40470673"/>
    <w:rsid w:val="404A445A"/>
    <w:rsid w:val="404A52B1"/>
    <w:rsid w:val="405E23E3"/>
    <w:rsid w:val="406E3A13"/>
    <w:rsid w:val="40754A75"/>
    <w:rsid w:val="40863AC3"/>
    <w:rsid w:val="409A1F76"/>
    <w:rsid w:val="40A219AE"/>
    <w:rsid w:val="40B576E7"/>
    <w:rsid w:val="40B70D19"/>
    <w:rsid w:val="40C24133"/>
    <w:rsid w:val="40CA5AEE"/>
    <w:rsid w:val="40DC4E34"/>
    <w:rsid w:val="40E260D9"/>
    <w:rsid w:val="40F461DB"/>
    <w:rsid w:val="4103272C"/>
    <w:rsid w:val="410F300B"/>
    <w:rsid w:val="4125450E"/>
    <w:rsid w:val="413041F2"/>
    <w:rsid w:val="4141305E"/>
    <w:rsid w:val="41421C8D"/>
    <w:rsid w:val="414C7ECC"/>
    <w:rsid w:val="415119B9"/>
    <w:rsid w:val="41654AEA"/>
    <w:rsid w:val="416C56EA"/>
    <w:rsid w:val="417007D7"/>
    <w:rsid w:val="41713E0B"/>
    <w:rsid w:val="41744B76"/>
    <w:rsid w:val="417F375C"/>
    <w:rsid w:val="41953D1B"/>
    <w:rsid w:val="41BC64D5"/>
    <w:rsid w:val="41DA54BD"/>
    <w:rsid w:val="41E8185E"/>
    <w:rsid w:val="42084E7C"/>
    <w:rsid w:val="420F79EB"/>
    <w:rsid w:val="421B685C"/>
    <w:rsid w:val="42323D88"/>
    <w:rsid w:val="423F1FDD"/>
    <w:rsid w:val="42435B11"/>
    <w:rsid w:val="42584A8A"/>
    <w:rsid w:val="426116DE"/>
    <w:rsid w:val="42786A51"/>
    <w:rsid w:val="42886EC3"/>
    <w:rsid w:val="429163FD"/>
    <w:rsid w:val="42963474"/>
    <w:rsid w:val="42AA0529"/>
    <w:rsid w:val="42AF2E88"/>
    <w:rsid w:val="42B14668"/>
    <w:rsid w:val="42C972FA"/>
    <w:rsid w:val="42DF1B53"/>
    <w:rsid w:val="42E414AE"/>
    <w:rsid w:val="42FF4F17"/>
    <w:rsid w:val="43171E14"/>
    <w:rsid w:val="431B6658"/>
    <w:rsid w:val="432F53AF"/>
    <w:rsid w:val="4352109E"/>
    <w:rsid w:val="435E4B64"/>
    <w:rsid w:val="436379C5"/>
    <w:rsid w:val="437454B8"/>
    <w:rsid w:val="437A14BF"/>
    <w:rsid w:val="438A50B6"/>
    <w:rsid w:val="4399065B"/>
    <w:rsid w:val="43992916"/>
    <w:rsid w:val="43C56BDE"/>
    <w:rsid w:val="43CC5F2C"/>
    <w:rsid w:val="43D50475"/>
    <w:rsid w:val="43E234DF"/>
    <w:rsid w:val="43E52CC5"/>
    <w:rsid w:val="43E960F8"/>
    <w:rsid w:val="43EC292D"/>
    <w:rsid w:val="43FC25A4"/>
    <w:rsid w:val="43FF2AD0"/>
    <w:rsid w:val="44052CBA"/>
    <w:rsid w:val="440740E3"/>
    <w:rsid w:val="440954ED"/>
    <w:rsid w:val="440C143D"/>
    <w:rsid w:val="44142F49"/>
    <w:rsid w:val="442C7144"/>
    <w:rsid w:val="443E5A02"/>
    <w:rsid w:val="444A6E63"/>
    <w:rsid w:val="44620E2F"/>
    <w:rsid w:val="44734028"/>
    <w:rsid w:val="4475210F"/>
    <w:rsid w:val="447F1A22"/>
    <w:rsid w:val="44830EA6"/>
    <w:rsid w:val="4488274F"/>
    <w:rsid w:val="449D3C54"/>
    <w:rsid w:val="44D41F91"/>
    <w:rsid w:val="44DC2DC4"/>
    <w:rsid w:val="44DD0CDA"/>
    <w:rsid w:val="44E87738"/>
    <w:rsid w:val="44F66110"/>
    <w:rsid w:val="451D4B80"/>
    <w:rsid w:val="4523563D"/>
    <w:rsid w:val="452926E8"/>
    <w:rsid w:val="45340E1B"/>
    <w:rsid w:val="45512375"/>
    <w:rsid w:val="456C6947"/>
    <w:rsid w:val="457436D1"/>
    <w:rsid w:val="45765517"/>
    <w:rsid w:val="4579370A"/>
    <w:rsid w:val="459C0CF6"/>
    <w:rsid w:val="459D0F13"/>
    <w:rsid w:val="45AE7782"/>
    <w:rsid w:val="45D02B0C"/>
    <w:rsid w:val="45DD1335"/>
    <w:rsid w:val="45E21FE7"/>
    <w:rsid w:val="45ED40E2"/>
    <w:rsid w:val="45ED4FA4"/>
    <w:rsid w:val="45F1221E"/>
    <w:rsid w:val="45F262B7"/>
    <w:rsid w:val="45F865A3"/>
    <w:rsid w:val="460A2471"/>
    <w:rsid w:val="464D3810"/>
    <w:rsid w:val="464F15EF"/>
    <w:rsid w:val="465511B3"/>
    <w:rsid w:val="46575EC8"/>
    <w:rsid w:val="46677ABB"/>
    <w:rsid w:val="46737C6F"/>
    <w:rsid w:val="468974CC"/>
    <w:rsid w:val="4693603D"/>
    <w:rsid w:val="469742E1"/>
    <w:rsid w:val="469B6A1E"/>
    <w:rsid w:val="46A42DF8"/>
    <w:rsid w:val="46AF2439"/>
    <w:rsid w:val="46BE6BCD"/>
    <w:rsid w:val="46C916D3"/>
    <w:rsid w:val="46CB5C37"/>
    <w:rsid w:val="46D05B31"/>
    <w:rsid w:val="46EE0EDA"/>
    <w:rsid w:val="46F9303C"/>
    <w:rsid w:val="47154453"/>
    <w:rsid w:val="47210AB5"/>
    <w:rsid w:val="47242D51"/>
    <w:rsid w:val="47355090"/>
    <w:rsid w:val="47423169"/>
    <w:rsid w:val="474336A4"/>
    <w:rsid w:val="475048B6"/>
    <w:rsid w:val="47583D74"/>
    <w:rsid w:val="475F36B2"/>
    <w:rsid w:val="479653C5"/>
    <w:rsid w:val="47A26A3C"/>
    <w:rsid w:val="47B67E04"/>
    <w:rsid w:val="47B72BD9"/>
    <w:rsid w:val="47BE24AA"/>
    <w:rsid w:val="47BF7E31"/>
    <w:rsid w:val="47CA0AC9"/>
    <w:rsid w:val="47D7253A"/>
    <w:rsid w:val="47E2428C"/>
    <w:rsid w:val="47E77A11"/>
    <w:rsid w:val="47E83C04"/>
    <w:rsid w:val="47EE5734"/>
    <w:rsid w:val="481C6DA3"/>
    <w:rsid w:val="482B24EA"/>
    <w:rsid w:val="4860425D"/>
    <w:rsid w:val="486924B1"/>
    <w:rsid w:val="487735EE"/>
    <w:rsid w:val="487970CD"/>
    <w:rsid w:val="488A2EB7"/>
    <w:rsid w:val="48902B3C"/>
    <w:rsid w:val="48A326ED"/>
    <w:rsid w:val="48AB58C3"/>
    <w:rsid w:val="48AF1997"/>
    <w:rsid w:val="48B013B1"/>
    <w:rsid w:val="48C03C76"/>
    <w:rsid w:val="48C22822"/>
    <w:rsid w:val="48C4391C"/>
    <w:rsid w:val="48C775B3"/>
    <w:rsid w:val="48C93E5F"/>
    <w:rsid w:val="48CB3363"/>
    <w:rsid w:val="48EB6461"/>
    <w:rsid w:val="48F10FE7"/>
    <w:rsid w:val="48F7551F"/>
    <w:rsid w:val="48FD2C21"/>
    <w:rsid w:val="48FF04F9"/>
    <w:rsid w:val="4903586B"/>
    <w:rsid w:val="49131BB2"/>
    <w:rsid w:val="49160122"/>
    <w:rsid w:val="49186988"/>
    <w:rsid w:val="492822E2"/>
    <w:rsid w:val="49284D7B"/>
    <w:rsid w:val="492E4E74"/>
    <w:rsid w:val="4931444D"/>
    <w:rsid w:val="494F46CF"/>
    <w:rsid w:val="4961011A"/>
    <w:rsid w:val="497751F7"/>
    <w:rsid w:val="499A2986"/>
    <w:rsid w:val="499F7F0B"/>
    <w:rsid w:val="49A200E2"/>
    <w:rsid w:val="49A72FB2"/>
    <w:rsid w:val="49AD58E5"/>
    <w:rsid w:val="49B133BD"/>
    <w:rsid w:val="49B75190"/>
    <w:rsid w:val="49C72642"/>
    <w:rsid w:val="49CC519F"/>
    <w:rsid w:val="49D60DA0"/>
    <w:rsid w:val="49DC64FA"/>
    <w:rsid w:val="49DD13EB"/>
    <w:rsid w:val="49E07403"/>
    <w:rsid w:val="49E52C6C"/>
    <w:rsid w:val="49EA6878"/>
    <w:rsid w:val="49F15863"/>
    <w:rsid w:val="49F242C9"/>
    <w:rsid w:val="49F44FF0"/>
    <w:rsid w:val="4A030844"/>
    <w:rsid w:val="4A0D7F42"/>
    <w:rsid w:val="4A130CD4"/>
    <w:rsid w:val="4A1B647C"/>
    <w:rsid w:val="4A2A2D74"/>
    <w:rsid w:val="4A2B6F2D"/>
    <w:rsid w:val="4A541C13"/>
    <w:rsid w:val="4A7D7215"/>
    <w:rsid w:val="4A8D52FB"/>
    <w:rsid w:val="4A8D56DE"/>
    <w:rsid w:val="4A981A8C"/>
    <w:rsid w:val="4A9E3173"/>
    <w:rsid w:val="4AB33A2C"/>
    <w:rsid w:val="4AB47A12"/>
    <w:rsid w:val="4AB538C9"/>
    <w:rsid w:val="4ABB1C1E"/>
    <w:rsid w:val="4ABE260E"/>
    <w:rsid w:val="4AD66CD6"/>
    <w:rsid w:val="4AD74653"/>
    <w:rsid w:val="4AE07DFB"/>
    <w:rsid w:val="4AE23121"/>
    <w:rsid w:val="4AEC627C"/>
    <w:rsid w:val="4AEE16B8"/>
    <w:rsid w:val="4AEF24ED"/>
    <w:rsid w:val="4AF96CB6"/>
    <w:rsid w:val="4AFD5169"/>
    <w:rsid w:val="4B093295"/>
    <w:rsid w:val="4B0C06DC"/>
    <w:rsid w:val="4B184095"/>
    <w:rsid w:val="4B2043B8"/>
    <w:rsid w:val="4B285F31"/>
    <w:rsid w:val="4B406692"/>
    <w:rsid w:val="4B492A3B"/>
    <w:rsid w:val="4B497029"/>
    <w:rsid w:val="4B4D50EA"/>
    <w:rsid w:val="4B5C74E9"/>
    <w:rsid w:val="4B5F3ED9"/>
    <w:rsid w:val="4B605F8F"/>
    <w:rsid w:val="4B634726"/>
    <w:rsid w:val="4B7D0C82"/>
    <w:rsid w:val="4B8F6E14"/>
    <w:rsid w:val="4B951AD0"/>
    <w:rsid w:val="4B9809FD"/>
    <w:rsid w:val="4BB0472C"/>
    <w:rsid w:val="4BBB33A6"/>
    <w:rsid w:val="4BBE46DB"/>
    <w:rsid w:val="4BC472D1"/>
    <w:rsid w:val="4BC54E66"/>
    <w:rsid w:val="4BC66ACD"/>
    <w:rsid w:val="4BCD57A7"/>
    <w:rsid w:val="4BCF788F"/>
    <w:rsid w:val="4BD84E75"/>
    <w:rsid w:val="4BDC5224"/>
    <w:rsid w:val="4BE76065"/>
    <w:rsid w:val="4BEA3BEA"/>
    <w:rsid w:val="4BF149C3"/>
    <w:rsid w:val="4BFA4125"/>
    <w:rsid w:val="4C23448B"/>
    <w:rsid w:val="4C2D1A87"/>
    <w:rsid w:val="4C345224"/>
    <w:rsid w:val="4C4C2771"/>
    <w:rsid w:val="4C543B22"/>
    <w:rsid w:val="4C5566D7"/>
    <w:rsid w:val="4C644E8C"/>
    <w:rsid w:val="4C742D40"/>
    <w:rsid w:val="4C746C1E"/>
    <w:rsid w:val="4C7C48A7"/>
    <w:rsid w:val="4C7C506B"/>
    <w:rsid w:val="4CA87F80"/>
    <w:rsid w:val="4CBB0A14"/>
    <w:rsid w:val="4CCB4740"/>
    <w:rsid w:val="4CCD1A64"/>
    <w:rsid w:val="4CD251A8"/>
    <w:rsid w:val="4CD52E3E"/>
    <w:rsid w:val="4CE57A8E"/>
    <w:rsid w:val="4CEE62DB"/>
    <w:rsid w:val="4CFB55CD"/>
    <w:rsid w:val="4D072D79"/>
    <w:rsid w:val="4D145D5B"/>
    <w:rsid w:val="4D17778C"/>
    <w:rsid w:val="4D281D25"/>
    <w:rsid w:val="4D2C015A"/>
    <w:rsid w:val="4D2E66D8"/>
    <w:rsid w:val="4D473BE7"/>
    <w:rsid w:val="4D5544C8"/>
    <w:rsid w:val="4D616AAD"/>
    <w:rsid w:val="4D700D45"/>
    <w:rsid w:val="4D720CBA"/>
    <w:rsid w:val="4D73778C"/>
    <w:rsid w:val="4D745DFC"/>
    <w:rsid w:val="4D8663D0"/>
    <w:rsid w:val="4D8F10BC"/>
    <w:rsid w:val="4D8F631A"/>
    <w:rsid w:val="4DA2170E"/>
    <w:rsid w:val="4DA226DD"/>
    <w:rsid w:val="4DB63F42"/>
    <w:rsid w:val="4DBC6884"/>
    <w:rsid w:val="4DCE3A17"/>
    <w:rsid w:val="4DEE07CD"/>
    <w:rsid w:val="4DF010A0"/>
    <w:rsid w:val="4DF633EF"/>
    <w:rsid w:val="4E0361F9"/>
    <w:rsid w:val="4E096E2C"/>
    <w:rsid w:val="4E0B4471"/>
    <w:rsid w:val="4E131941"/>
    <w:rsid w:val="4E34712A"/>
    <w:rsid w:val="4E37534F"/>
    <w:rsid w:val="4E3A1C2D"/>
    <w:rsid w:val="4E463A07"/>
    <w:rsid w:val="4E4F7006"/>
    <w:rsid w:val="4E567965"/>
    <w:rsid w:val="4E5879FD"/>
    <w:rsid w:val="4E5B246B"/>
    <w:rsid w:val="4E68558F"/>
    <w:rsid w:val="4E6A6162"/>
    <w:rsid w:val="4E6A7AAB"/>
    <w:rsid w:val="4E6F7F3D"/>
    <w:rsid w:val="4E77126F"/>
    <w:rsid w:val="4E832A53"/>
    <w:rsid w:val="4E870CEC"/>
    <w:rsid w:val="4E932227"/>
    <w:rsid w:val="4E951779"/>
    <w:rsid w:val="4EA310EA"/>
    <w:rsid w:val="4EA36C51"/>
    <w:rsid w:val="4EAB5E7F"/>
    <w:rsid w:val="4EAB7B87"/>
    <w:rsid w:val="4EB27D68"/>
    <w:rsid w:val="4ECA4D18"/>
    <w:rsid w:val="4EDD4F23"/>
    <w:rsid w:val="4EEA4880"/>
    <w:rsid w:val="4EF82C0F"/>
    <w:rsid w:val="4F1705ED"/>
    <w:rsid w:val="4F1B405C"/>
    <w:rsid w:val="4F221450"/>
    <w:rsid w:val="4F39547D"/>
    <w:rsid w:val="4F3B332E"/>
    <w:rsid w:val="4F570DF0"/>
    <w:rsid w:val="4F5831BF"/>
    <w:rsid w:val="4F5E50E8"/>
    <w:rsid w:val="4F6065C7"/>
    <w:rsid w:val="4F67737B"/>
    <w:rsid w:val="4F766114"/>
    <w:rsid w:val="4F944AF3"/>
    <w:rsid w:val="4F9B48E0"/>
    <w:rsid w:val="4FB547BF"/>
    <w:rsid w:val="4FD46E5C"/>
    <w:rsid w:val="4FD518A8"/>
    <w:rsid w:val="4FDA66A3"/>
    <w:rsid w:val="4FFB4A12"/>
    <w:rsid w:val="4FFB53F6"/>
    <w:rsid w:val="500B08C0"/>
    <w:rsid w:val="50136893"/>
    <w:rsid w:val="50187BDC"/>
    <w:rsid w:val="501A6B51"/>
    <w:rsid w:val="50271C76"/>
    <w:rsid w:val="503754C6"/>
    <w:rsid w:val="50435E55"/>
    <w:rsid w:val="50486282"/>
    <w:rsid w:val="50511B72"/>
    <w:rsid w:val="50693BBD"/>
    <w:rsid w:val="50700EA1"/>
    <w:rsid w:val="50795EBC"/>
    <w:rsid w:val="50886E32"/>
    <w:rsid w:val="508D1967"/>
    <w:rsid w:val="509B22D6"/>
    <w:rsid w:val="50B109AF"/>
    <w:rsid w:val="50B9275C"/>
    <w:rsid w:val="50C9265F"/>
    <w:rsid w:val="50C954CC"/>
    <w:rsid w:val="50D856A5"/>
    <w:rsid w:val="50E20B5E"/>
    <w:rsid w:val="512C2F2E"/>
    <w:rsid w:val="51475B9B"/>
    <w:rsid w:val="514F764A"/>
    <w:rsid w:val="515446F4"/>
    <w:rsid w:val="515C44D2"/>
    <w:rsid w:val="51607C8A"/>
    <w:rsid w:val="51646F20"/>
    <w:rsid w:val="5173358C"/>
    <w:rsid w:val="51866838"/>
    <w:rsid w:val="518F457C"/>
    <w:rsid w:val="51917235"/>
    <w:rsid w:val="519E06BD"/>
    <w:rsid w:val="51A94649"/>
    <w:rsid w:val="51AD7117"/>
    <w:rsid w:val="51BA3A7E"/>
    <w:rsid w:val="51CD59F0"/>
    <w:rsid w:val="51D37172"/>
    <w:rsid w:val="51DA6316"/>
    <w:rsid w:val="51FE1BA6"/>
    <w:rsid w:val="52012770"/>
    <w:rsid w:val="52115C1C"/>
    <w:rsid w:val="521E385D"/>
    <w:rsid w:val="521F3230"/>
    <w:rsid w:val="522A6D57"/>
    <w:rsid w:val="522F077A"/>
    <w:rsid w:val="524E1C99"/>
    <w:rsid w:val="525700F4"/>
    <w:rsid w:val="525A5EFE"/>
    <w:rsid w:val="52642B9B"/>
    <w:rsid w:val="526724C9"/>
    <w:rsid w:val="52692625"/>
    <w:rsid w:val="527E1DD7"/>
    <w:rsid w:val="527F727E"/>
    <w:rsid w:val="52983A2D"/>
    <w:rsid w:val="52993E93"/>
    <w:rsid w:val="52AC20F1"/>
    <w:rsid w:val="52AF035E"/>
    <w:rsid w:val="52BD4667"/>
    <w:rsid w:val="52C4650C"/>
    <w:rsid w:val="52C673B2"/>
    <w:rsid w:val="52C75BB0"/>
    <w:rsid w:val="52C9432D"/>
    <w:rsid w:val="52D16FF2"/>
    <w:rsid w:val="52DB5A3F"/>
    <w:rsid w:val="52E674BE"/>
    <w:rsid w:val="52EC48FA"/>
    <w:rsid w:val="530748DF"/>
    <w:rsid w:val="53222E14"/>
    <w:rsid w:val="53300FB6"/>
    <w:rsid w:val="533019DA"/>
    <w:rsid w:val="534053B7"/>
    <w:rsid w:val="53475D3A"/>
    <w:rsid w:val="53655A80"/>
    <w:rsid w:val="538B42DE"/>
    <w:rsid w:val="539E6AA6"/>
    <w:rsid w:val="53A60DD5"/>
    <w:rsid w:val="53A87967"/>
    <w:rsid w:val="53CC5E1A"/>
    <w:rsid w:val="53D127E7"/>
    <w:rsid w:val="53DC7670"/>
    <w:rsid w:val="53EC1861"/>
    <w:rsid w:val="53F76048"/>
    <w:rsid w:val="542F35D9"/>
    <w:rsid w:val="542F444C"/>
    <w:rsid w:val="543876E2"/>
    <w:rsid w:val="543A3C6A"/>
    <w:rsid w:val="543C7CB2"/>
    <w:rsid w:val="54576514"/>
    <w:rsid w:val="545F6B68"/>
    <w:rsid w:val="54703B76"/>
    <w:rsid w:val="54760A75"/>
    <w:rsid w:val="54AF37EA"/>
    <w:rsid w:val="54C16897"/>
    <w:rsid w:val="54CF1AAB"/>
    <w:rsid w:val="54CF254E"/>
    <w:rsid w:val="54D51B2F"/>
    <w:rsid w:val="54E551BD"/>
    <w:rsid w:val="54ED448D"/>
    <w:rsid w:val="54F55A9E"/>
    <w:rsid w:val="55010C6B"/>
    <w:rsid w:val="55025A45"/>
    <w:rsid w:val="55092FAD"/>
    <w:rsid w:val="55194651"/>
    <w:rsid w:val="551E3960"/>
    <w:rsid w:val="55306D65"/>
    <w:rsid w:val="556154BA"/>
    <w:rsid w:val="5585712D"/>
    <w:rsid w:val="558D4110"/>
    <w:rsid w:val="559912AF"/>
    <w:rsid w:val="559961B4"/>
    <w:rsid w:val="55AA6225"/>
    <w:rsid w:val="55AE6718"/>
    <w:rsid w:val="55BC7E92"/>
    <w:rsid w:val="55D73612"/>
    <w:rsid w:val="55F83D27"/>
    <w:rsid w:val="55F94F8E"/>
    <w:rsid w:val="56004989"/>
    <w:rsid w:val="56110C10"/>
    <w:rsid w:val="561428C1"/>
    <w:rsid w:val="56150EB3"/>
    <w:rsid w:val="561901FA"/>
    <w:rsid w:val="561E2D2C"/>
    <w:rsid w:val="561F3CB6"/>
    <w:rsid w:val="56233904"/>
    <w:rsid w:val="566969D2"/>
    <w:rsid w:val="56796C5B"/>
    <w:rsid w:val="568E1D15"/>
    <w:rsid w:val="56955916"/>
    <w:rsid w:val="569A6E40"/>
    <w:rsid w:val="56AE6EA8"/>
    <w:rsid w:val="56B83943"/>
    <w:rsid w:val="56BA113F"/>
    <w:rsid w:val="56C41882"/>
    <w:rsid w:val="56D54E6B"/>
    <w:rsid w:val="56DC53F6"/>
    <w:rsid w:val="56DD6FA5"/>
    <w:rsid w:val="56DF626B"/>
    <w:rsid w:val="56EC2D4F"/>
    <w:rsid w:val="56FB3FF9"/>
    <w:rsid w:val="56FD2198"/>
    <w:rsid w:val="57114899"/>
    <w:rsid w:val="5718099E"/>
    <w:rsid w:val="571F4340"/>
    <w:rsid w:val="572409FC"/>
    <w:rsid w:val="57380C37"/>
    <w:rsid w:val="5739626B"/>
    <w:rsid w:val="574717EA"/>
    <w:rsid w:val="574E13AD"/>
    <w:rsid w:val="577522C7"/>
    <w:rsid w:val="57861513"/>
    <w:rsid w:val="5789573D"/>
    <w:rsid w:val="578C704A"/>
    <w:rsid w:val="57981B34"/>
    <w:rsid w:val="579A1FB5"/>
    <w:rsid w:val="579B7EDC"/>
    <w:rsid w:val="57A13883"/>
    <w:rsid w:val="57A2525D"/>
    <w:rsid w:val="57AC6B77"/>
    <w:rsid w:val="57B671D8"/>
    <w:rsid w:val="57BF3979"/>
    <w:rsid w:val="57E74CF7"/>
    <w:rsid w:val="57E825D4"/>
    <w:rsid w:val="57F413E2"/>
    <w:rsid w:val="57F70468"/>
    <w:rsid w:val="581329DA"/>
    <w:rsid w:val="58230D38"/>
    <w:rsid w:val="5837317F"/>
    <w:rsid w:val="583B5B3E"/>
    <w:rsid w:val="583B6401"/>
    <w:rsid w:val="584157D2"/>
    <w:rsid w:val="584331DC"/>
    <w:rsid w:val="586036A7"/>
    <w:rsid w:val="58661D68"/>
    <w:rsid w:val="586D0393"/>
    <w:rsid w:val="587F7ED1"/>
    <w:rsid w:val="589D49D4"/>
    <w:rsid w:val="589D5EBC"/>
    <w:rsid w:val="58A219B7"/>
    <w:rsid w:val="58A2448A"/>
    <w:rsid w:val="58A45E46"/>
    <w:rsid w:val="58C06677"/>
    <w:rsid w:val="58C17993"/>
    <w:rsid w:val="58E93DFA"/>
    <w:rsid w:val="590E7B63"/>
    <w:rsid w:val="5911704A"/>
    <w:rsid w:val="591E31B2"/>
    <w:rsid w:val="593239B2"/>
    <w:rsid w:val="593D52A0"/>
    <w:rsid w:val="594279D7"/>
    <w:rsid w:val="59434133"/>
    <w:rsid w:val="594C3D3D"/>
    <w:rsid w:val="59796DE8"/>
    <w:rsid w:val="599A30CF"/>
    <w:rsid w:val="59AC10B0"/>
    <w:rsid w:val="59AE331A"/>
    <w:rsid w:val="59B31432"/>
    <w:rsid w:val="59B86BB4"/>
    <w:rsid w:val="59BC5BAA"/>
    <w:rsid w:val="59C14573"/>
    <w:rsid w:val="59C52172"/>
    <w:rsid w:val="59DC530F"/>
    <w:rsid w:val="59DD0BC9"/>
    <w:rsid w:val="59DE647C"/>
    <w:rsid w:val="59E44CEE"/>
    <w:rsid w:val="59EC3697"/>
    <w:rsid w:val="59EE732A"/>
    <w:rsid w:val="59F24F64"/>
    <w:rsid w:val="59F83A7F"/>
    <w:rsid w:val="5A063D38"/>
    <w:rsid w:val="5A142786"/>
    <w:rsid w:val="5A2B00AB"/>
    <w:rsid w:val="5A3A281E"/>
    <w:rsid w:val="5A3C6AE3"/>
    <w:rsid w:val="5A4C6AB4"/>
    <w:rsid w:val="5A4C6EDF"/>
    <w:rsid w:val="5A517945"/>
    <w:rsid w:val="5A60354C"/>
    <w:rsid w:val="5A684474"/>
    <w:rsid w:val="5A807B8B"/>
    <w:rsid w:val="5A8B483A"/>
    <w:rsid w:val="5A9B3CFD"/>
    <w:rsid w:val="5AAD0BDB"/>
    <w:rsid w:val="5AB10E32"/>
    <w:rsid w:val="5AC44599"/>
    <w:rsid w:val="5ADF07E8"/>
    <w:rsid w:val="5AE979C9"/>
    <w:rsid w:val="5AEC6396"/>
    <w:rsid w:val="5B07328E"/>
    <w:rsid w:val="5B0E001E"/>
    <w:rsid w:val="5B376556"/>
    <w:rsid w:val="5B393C4D"/>
    <w:rsid w:val="5B4165B4"/>
    <w:rsid w:val="5B5F159B"/>
    <w:rsid w:val="5B750D47"/>
    <w:rsid w:val="5B7610DF"/>
    <w:rsid w:val="5B7B1DBC"/>
    <w:rsid w:val="5B820CEA"/>
    <w:rsid w:val="5B830C39"/>
    <w:rsid w:val="5B8816A9"/>
    <w:rsid w:val="5BC815A9"/>
    <w:rsid w:val="5BDF10EC"/>
    <w:rsid w:val="5BE11AD0"/>
    <w:rsid w:val="5BF65E4A"/>
    <w:rsid w:val="5BFC5DEF"/>
    <w:rsid w:val="5C031C08"/>
    <w:rsid w:val="5C073493"/>
    <w:rsid w:val="5C08313A"/>
    <w:rsid w:val="5C271679"/>
    <w:rsid w:val="5C277A24"/>
    <w:rsid w:val="5C284D5E"/>
    <w:rsid w:val="5C2C3EF8"/>
    <w:rsid w:val="5C2F6D78"/>
    <w:rsid w:val="5C3071E6"/>
    <w:rsid w:val="5C4205B9"/>
    <w:rsid w:val="5C4707B9"/>
    <w:rsid w:val="5C4A2E02"/>
    <w:rsid w:val="5C526139"/>
    <w:rsid w:val="5C5675E5"/>
    <w:rsid w:val="5C5F5E7F"/>
    <w:rsid w:val="5C646B0E"/>
    <w:rsid w:val="5C6921EC"/>
    <w:rsid w:val="5C731A7F"/>
    <w:rsid w:val="5C7569AD"/>
    <w:rsid w:val="5C9A1694"/>
    <w:rsid w:val="5CAF2C03"/>
    <w:rsid w:val="5CD062DF"/>
    <w:rsid w:val="5CD27D37"/>
    <w:rsid w:val="5CD36B2E"/>
    <w:rsid w:val="5CD4779E"/>
    <w:rsid w:val="5CD677DA"/>
    <w:rsid w:val="5CDE27BC"/>
    <w:rsid w:val="5D137532"/>
    <w:rsid w:val="5D157C88"/>
    <w:rsid w:val="5D1E0ED1"/>
    <w:rsid w:val="5D2D2508"/>
    <w:rsid w:val="5D374EE4"/>
    <w:rsid w:val="5D496913"/>
    <w:rsid w:val="5D604E1A"/>
    <w:rsid w:val="5D613ECE"/>
    <w:rsid w:val="5D6A6E55"/>
    <w:rsid w:val="5D76283E"/>
    <w:rsid w:val="5D8306C9"/>
    <w:rsid w:val="5D842A1D"/>
    <w:rsid w:val="5DB20FCB"/>
    <w:rsid w:val="5DB70023"/>
    <w:rsid w:val="5DE51229"/>
    <w:rsid w:val="5DF31E43"/>
    <w:rsid w:val="5E021953"/>
    <w:rsid w:val="5E023994"/>
    <w:rsid w:val="5E036527"/>
    <w:rsid w:val="5E04757B"/>
    <w:rsid w:val="5E087B7C"/>
    <w:rsid w:val="5E0E54E0"/>
    <w:rsid w:val="5E207E63"/>
    <w:rsid w:val="5E2733FB"/>
    <w:rsid w:val="5E4565B9"/>
    <w:rsid w:val="5E4B0A93"/>
    <w:rsid w:val="5E7E1766"/>
    <w:rsid w:val="5E8F38D1"/>
    <w:rsid w:val="5E927AEF"/>
    <w:rsid w:val="5E9345EC"/>
    <w:rsid w:val="5EB37363"/>
    <w:rsid w:val="5EBA5D65"/>
    <w:rsid w:val="5EBF4211"/>
    <w:rsid w:val="5EC4031F"/>
    <w:rsid w:val="5EC6445F"/>
    <w:rsid w:val="5ED0080C"/>
    <w:rsid w:val="5ED50336"/>
    <w:rsid w:val="5ED65319"/>
    <w:rsid w:val="5EEB5E61"/>
    <w:rsid w:val="5EF1586C"/>
    <w:rsid w:val="5F2141F8"/>
    <w:rsid w:val="5F46047A"/>
    <w:rsid w:val="5F4A68D0"/>
    <w:rsid w:val="5F7A0801"/>
    <w:rsid w:val="5F7B1346"/>
    <w:rsid w:val="5F843E24"/>
    <w:rsid w:val="5F8D62F8"/>
    <w:rsid w:val="5FA23D09"/>
    <w:rsid w:val="5FAF7865"/>
    <w:rsid w:val="5FB5B2C3"/>
    <w:rsid w:val="5FB73F3B"/>
    <w:rsid w:val="5FC67588"/>
    <w:rsid w:val="5FD046CB"/>
    <w:rsid w:val="5FE73D0E"/>
    <w:rsid w:val="60067040"/>
    <w:rsid w:val="6008140F"/>
    <w:rsid w:val="60086F0A"/>
    <w:rsid w:val="601B4A47"/>
    <w:rsid w:val="60217A1A"/>
    <w:rsid w:val="603C0CB4"/>
    <w:rsid w:val="604270E5"/>
    <w:rsid w:val="604D05E2"/>
    <w:rsid w:val="605F20D7"/>
    <w:rsid w:val="60646418"/>
    <w:rsid w:val="60691264"/>
    <w:rsid w:val="60761A02"/>
    <w:rsid w:val="607704D1"/>
    <w:rsid w:val="608D24C2"/>
    <w:rsid w:val="609A3072"/>
    <w:rsid w:val="609E62ED"/>
    <w:rsid w:val="60A76608"/>
    <w:rsid w:val="60A80CA6"/>
    <w:rsid w:val="60B26B24"/>
    <w:rsid w:val="60B322B3"/>
    <w:rsid w:val="60BF1DF9"/>
    <w:rsid w:val="60E53543"/>
    <w:rsid w:val="60EE0218"/>
    <w:rsid w:val="60F306C1"/>
    <w:rsid w:val="60FA4B1B"/>
    <w:rsid w:val="60FE7FA1"/>
    <w:rsid w:val="610544EA"/>
    <w:rsid w:val="61091E5D"/>
    <w:rsid w:val="610A7CB7"/>
    <w:rsid w:val="611F56E1"/>
    <w:rsid w:val="61353591"/>
    <w:rsid w:val="613D1187"/>
    <w:rsid w:val="61453B98"/>
    <w:rsid w:val="61477FF3"/>
    <w:rsid w:val="614B40F4"/>
    <w:rsid w:val="6160227E"/>
    <w:rsid w:val="6162303C"/>
    <w:rsid w:val="616F678F"/>
    <w:rsid w:val="61775741"/>
    <w:rsid w:val="61816FC0"/>
    <w:rsid w:val="618C32E6"/>
    <w:rsid w:val="61942B31"/>
    <w:rsid w:val="61B01959"/>
    <w:rsid w:val="61B17E42"/>
    <w:rsid w:val="61BB3420"/>
    <w:rsid w:val="61D17319"/>
    <w:rsid w:val="61D81473"/>
    <w:rsid w:val="61F77AB6"/>
    <w:rsid w:val="620436BF"/>
    <w:rsid w:val="621078B3"/>
    <w:rsid w:val="62186A15"/>
    <w:rsid w:val="621A2E5F"/>
    <w:rsid w:val="621F7BE7"/>
    <w:rsid w:val="6226668F"/>
    <w:rsid w:val="62322E1F"/>
    <w:rsid w:val="623624F2"/>
    <w:rsid w:val="62406662"/>
    <w:rsid w:val="624A6F2B"/>
    <w:rsid w:val="62577A6A"/>
    <w:rsid w:val="62584960"/>
    <w:rsid w:val="6259394F"/>
    <w:rsid w:val="625B15D8"/>
    <w:rsid w:val="62691671"/>
    <w:rsid w:val="62875AAB"/>
    <w:rsid w:val="62BC0D55"/>
    <w:rsid w:val="62BC6E3C"/>
    <w:rsid w:val="62E0150F"/>
    <w:rsid w:val="62E02F60"/>
    <w:rsid w:val="62F526E7"/>
    <w:rsid w:val="63106D5B"/>
    <w:rsid w:val="6332766D"/>
    <w:rsid w:val="63396158"/>
    <w:rsid w:val="633C5B98"/>
    <w:rsid w:val="63416D0D"/>
    <w:rsid w:val="63430D2A"/>
    <w:rsid w:val="63473BF7"/>
    <w:rsid w:val="634D61C9"/>
    <w:rsid w:val="635A27C9"/>
    <w:rsid w:val="635B1617"/>
    <w:rsid w:val="635C4C57"/>
    <w:rsid w:val="635C750D"/>
    <w:rsid w:val="63674CA4"/>
    <w:rsid w:val="63A54F06"/>
    <w:rsid w:val="63AD6951"/>
    <w:rsid w:val="63B05C41"/>
    <w:rsid w:val="63B16962"/>
    <w:rsid w:val="63BA2EDA"/>
    <w:rsid w:val="63C139AA"/>
    <w:rsid w:val="63CC601E"/>
    <w:rsid w:val="63D719DB"/>
    <w:rsid w:val="63ED4724"/>
    <w:rsid w:val="63F641ED"/>
    <w:rsid w:val="63F80D94"/>
    <w:rsid w:val="63FF6FFC"/>
    <w:rsid w:val="64001A81"/>
    <w:rsid w:val="64026854"/>
    <w:rsid w:val="64354398"/>
    <w:rsid w:val="643C75EB"/>
    <w:rsid w:val="643D2B73"/>
    <w:rsid w:val="643E0D96"/>
    <w:rsid w:val="644857E1"/>
    <w:rsid w:val="644A226C"/>
    <w:rsid w:val="64525187"/>
    <w:rsid w:val="64553A5C"/>
    <w:rsid w:val="6462771D"/>
    <w:rsid w:val="64750A67"/>
    <w:rsid w:val="648F4603"/>
    <w:rsid w:val="64940BBC"/>
    <w:rsid w:val="649D6000"/>
    <w:rsid w:val="64A22D34"/>
    <w:rsid w:val="64B2181C"/>
    <w:rsid w:val="64B82FFF"/>
    <w:rsid w:val="64BD6D1E"/>
    <w:rsid w:val="64CA3146"/>
    <w:rsid w:val="64CF2FBB"/>
    <w:rsid w:val="64D076D0"/>
    <w:rsid w:val="64D25ADC"/>
    <w:rsid w:val="64D8700C"/>
    <w:rsid w:val="64DA642E"/>
    <w:rsid w:val="64FB1BDE"/>
    <w:rsid w:val="651A5F91"/>
    <w:rsid w:val="652C5EB4"/>
    <w:rsid w:val="654B2836"/>
    <w:rsid w:val="6556509D"/>
    <w:rsid w:val="65680726"/>
    <w:rsid w:val="657F58CB"/>
    <w:rsid w:val="658159DC"/>
    <w:rsid w:val="65830371"/>
    <w:rsid w:val="65A76DE5"/>
    <w:rsid w:val="65BA079C"/>
    <w:rsid w:val="65FA1534"/>
    <w:rsid w:val="65FA5D55"/>
    <w:rsid w:val="66020B60"/>
    <w:rsid w:val="660255FB"/>
    <w:rsid w:val="66065FEC"/>
    <w:rsid w:val="66123D10"/>
    <w:rsid w:val="66133DAB"/>
    <w:rsid w:val="661A16F1"/>
    <w:rsid w:val="661C75BD"/>
    <w:rsid w:val="663D1055"/>
    <w:rsid w:val="664541E6"/>
    <w:rsid w:val="66474970"/>
    <w:rsid w:val="6648514C"/>
    <w:rsid w:val="664B39FF"/>
    <w:rsid w:val="6663790C"/>
    <w:rsid w:val="66747232"/>
    <w:rsid w:val="667D15A4"/>
    <w:rsid w:val="668215CB"/>
    <w:rsid w:val="66837765"/>
    <w:rsid w:val="668533B4"/>
    <w:rsid w:val="66A129BA"/>
    <w:rsid w:val="66A93610"/>
    <w:rsid w:val="66AB587F"/>
    <w:rsid w:val="66AD3A54"/>
    <w:rsid w:val="66DA1819"/>
    <w:rsid w:val="66DC6F2C"/>
    <w:rsid w:val="66E016CA"/>
    <w:rsid w:val="66E0683D"/>
    <w:rsid w:val="66E83E34"/>
    <w:rsid w:val="66EF52A5"/>
    <w:rsid w:val="66F30D69"/>
    <w:rsid w:val="66FC72F7"/>
    <w:rsid w:val="670B0931"/>
    <w:rsid w:val="67120309"/>
    <w:rsid w:val="67443AE9"/>
    <w:rsid w:val="67572F8F"/>
    <w:rsid w:val="6759214B"/>
    <w:rsid w:val="675E333F"/>
    <w:rsid w:val="6775322B"/>
    <w:rsid w:val="67893596"/>
    <w:rsid w:val="678A0557"/>
    <w:rsid w:val="679A69EC"/>
    <w:rsid w:val="67B57CC9"/>
    <w:rsid w:val="67BF023C"/>
    <w:rsid w:val="67CE55FF"/>
    <w:rsid w:val="67D5557E"/>
    <w:rsid w:val="67E0047E"/>
    <w:rsid w:val="67F6293B"/>
    <w:rsid w:val="67FA187D"/>
    <w:rsid w:val="68142795"/>
    <w:rsid w:val="68336430"/>
    <w:rsid w:val="684B6875"/>
    <w:rsid w:val="684F4B81"/>
    <w:rsid w:val="685149A2"/>
    <w:rsid w:val="68571975"/>
    <w:rsid w:val="685A79FC"/>
    <w:rsid w:val="68611261"/>
    <w:rsid w:val="686A5EB8"/>
    <w:rsid w:val="688E4077"/>
    <w:rsid w:val="688F672B"/>
    <w:rsid w:val="688F6F87"/>
    <w:rsid w:val="68A17AAF"/>
    <w:rsid w:val="68A2445E"/>
    <w:rsid w:val="68B027B4"/>
    <w:rsid w:val="68DA74AF"/>
    <w:rsid w:val="68E05863"/>
    <w:rsid w:val="68EE64F5"/>
    <w:rsid w:val="69030B1E"/>
    <w:rsid w:val="69085C0C"/>
    <w:rsid w:val="691378B0"/>
    <w:rsid w:val="6920283B"/>
    <w:rsid w:val="693B41FE"/>
    <w:rsid w:val="6941314D"/>
    <w:rsid w:val="69521130"/>
    <w:rsid w:val="69580133"/>
    <w:rsid w:val="69586E43"/>
    <w:rsid w:val="69662AFA"/>
    <w:rsid w:val="69672C6C"/>
    <w:rsid w:val="696A29B9"/>
    <w:rsid w:val="69770527"/>
    <w:rsid w:val="698222FD"/>
    <w:rsid w:val="6985069B"/>
    <w:rsid w:val="69AD5538"/>
    <w:rsid w:val="69BA1C87"/>
    <w:rsid w:val="69E274C8"/>
    <w:rsid w:val="69E928CE"/>
    <w:rsid w:val="69F4010D"/>
    <w:rsid w:val="69F70652"/>
    <w:rsid w:val="6A065174"/>
    <w:rsid w:val="6A1073EC"/>
    <w:rsid w:val="6A2004CE"/>
    <w:rsid w:val="6A2C3B47"/>
    <w:rsid w:val="6A35394F"/>
    <w:rsid w:val="6A4C4802"/>
    <w:rsid w:val="6A5779AC"/>
    <w:rsid w:val="6A6A1708"/>
    <w:rsid w:val="6A6C42F6"/>
    <w:rsid w:val="6A7513A2"/>
    <w:rsid w:val="6A86465B"/>
    <w:rsid w:val="6A8C267C"/>
    <w:rsid w:val="6AA103AC"/>
    <w:rsid w:val="6AA84B5B"/>
    <w:rsid w:val="6AAB3624"/>
    <w:rsid w:val="6AC66A6D"/>
    <w:rsid w:val="6AC75641"/>
    <w:rsid w:val="6ACE7ECF"/>
    <w:rsid w:val="6AD55603"/>
    <w:rsid w:val="6ADB14A0"/>
    <w:rsid w:val="6ADE12E5"/>
    <w:rsid w:val="6AE22AC5"/>
    <w:rsid w:val="6AE44653"/>
    <w:rsid w:val="6AF42BA2"/>
    <w:rsid w:val="6B047FBB"/>
    <w:rsid w:val="6B1430EB"/>
    <w:rsid w:val="6B146AB5"/>
    <w:rsid w:val="6B184B73"/>
    <w:rsid w:val="6B1B3BDE"/>
    <w:rsid w:val="6B2040B3"/>
    <w:rsid w:val="6B410AE7"/>
    <w:rsid w:val="6B453FFA"/>
    <w:rsid w:val="6B59096C"/>
    <w:rsid w:val="6B623CC4"/>
    <w:rsid w:val="6B674FF6"/>
    <w:rsid w:val="6B74202F"/>
    <w:rsid w:val="6B81450D"/>
    <w:rsid w:val="6B8558F1"/>
    <w:rsid w:val="6B9416DB"/>
    <w:rsid w:val="6B9568EC"/>
    <w:rsid w:val="6B9E2823"/>
    <w:rsid w:val="6BC71567"/>
    <w:rsid w:val="6BCB1C20"/>
    <w:rsid w:val="6BD10E4A"/>
    <w:rsid w:val="6BD12BF8"/>
    <w:rsid w:val="6BD22BED"/>
    <w:rsid w:val="6BE45057"/>
    <w:rsid w:val="6BF35803"/>
    <w:rsid w:val="6BF62C43"/>
    <w:rsid w:val="6BFB724A"/>
    <w:rsid w:val="6C056342"/>
    <w:rsid w:val="6C1F12F7"/>
    <w:rsid w:val="6C2235BB"/>
    <w:rsid w:val="6C225202"/>
    <w:rsid w:val="6C2358F3"/>
    <w:rsid w:val="6C285F16"/>
    <w:rsid w:val="6C2B087F"/>
    <w:rsid w:val="6C3D08E7"/>
    <w:rsid w:val="6C477DAC"/>
    <w:rsid w:val="6C6E5018"/>
    <w:rsid w:val="6C743C3C"/>
    <w:rsid w:val="6C781324"/>
    <w:rsid w:val="6C787634"/>
    <w:rsid w:val="6C7A3290"/>
    <w:rsid w:val="6CA83A9D"/>
    <w:rsid w:val="6CAE0FC7"/>
    <w:rsid w:val="6CB60E58"/>
    <w:rsid w:val="6CB90ABC"/>
    <w:rsid w:val="6CC17C43"/>
    <w:rsid w:val="6CCC1D14"/>
    <w:rsid w:val="6CE1750C"/>
    <w:rsid w:val="6CE32FE9"/>
    <w:rsid w:val="6CF50CAC"/>
    <w:rsid w:val="6CFA47C3"/>
    <w:rsid w:val="6D013069"/>
    <w:rsid w:val="6D0A4253"/>
    <w:rsid w:val="6D17288C"/>
    <w:rsid w:val="6D234F26"/>
    <w:rsid w:val="6D41740F"/>
    <w:rsid w:val="6D5F1476"/>
    <w:rsid w:val="6D6131F6"/>
    <w:rsid w:val="6D6362FF"/>
    <w:rsid w:val="6D6908C9"/>
    <w:rsid w:val="6D891B50"/>
    <w:rsid w:val="6DA0720B"/>
    <w:rsid w:val="6DBA383E"/>
    <w:rsid w:val="6DBC4E4A"/>
    <w:rsid w:val="6DCF2747"/>
    <w:rsid w:val="6DE26E66"/>
    <w:rsid w:val="6DF4133C"/>
    <w:rsid w:val="6DFE0A46"/>
    <w:rsid w:val="6E046D6A"/>
    <w:rsid w:val="6E0A4EE7"/>
    <w:rsid w:val="6E1D77C2"/>
    <w:rsid w:val="6E1D7D06"/>
    <w:rsid w:val="6E275A60"/>
    <w:rsid w:val="6E2D6A2F"/>
    <w:rsid w:val="6E392AF4"/>
    <w:rsid w:val="6E445903"/>
    <w:rsid w:val="6E4B7BC4"/>
    <w:rsid w:val="6E6267FC"/>
    <w:rsid w:val="6E816EBD"/>
    <w:rsid w:val="6E892BF0"/>
    <w:rsid w:val="6E922738"/>
    <w:rsid w:val="6E931C3F"/>
    <w:rsid w:val="6EB0012B"/>
    <w:rsid w:val="6EB849F5"/>
    <w:rsid w:val="6EF93A79"/>
    <w:rsid w:val="6F017A68"/>
    <w:rsid w:val="6F074C7D"/>
    <w:rsid w:val="6F095F3A"/>
    <w:rsid w:val="6F0A214A"/>
    <w:rsid w:val="6F0B3914"/>
    <w:rsid w:val="6F282B2F"/>
    <w:rsid w:val="6F35524C"/>
    <w:rsid w:val="6F3732CE"/>
    <w:rsid w:val="6F4266DF"/>
    <w:rsid w:val="6F573414"/>
    <w:rsid w:val="6F7B6364"/>
    <w:rsid w:val="6F881695"/>
    <w:rsid w:val="6F8C16B9"/>
    <w:rsid w:val="6F92194C"/>
    <w:rsid w:val="6F997777"/>
    <w:rsid w:val="6FAC2382"/>
    <w:rsid w:val="6FC13DD2"/>
    <w:rsid w:val="6FCD418C"/>
    <w:rsid w:val="6FE83720"/>
    <w:rsid w:val="6FEF7D8A"/>
    <w:rsid w:val="6FFD2BE7"/>
    <w:rsid w:val="70006A1E"/>
    <w:rsid w:val="70050220"/>
    <w:rsid w:val="70076EA8"/>
    <w:rsid w:val="700F3CEF"/>
    <w:rsid w:val="702674D3"/>
    <w:rsid w:val="702C5E4F"/>
    <w:rsid w:val="703062FD"/>
    <w:rsid w:val="703A2C04"/>
    <w:rsid w:val="70486DDE"/>
    <w:rsid w:val="70556940"/>
    <w:rsid w:val="70677361"/>
    <w:rsid w:val="706A0FD7"/>
    <w:rsid w:val="70762356"/>
    <w:rsid w:val="70827379"/>
    <w:rsid w:val="70846B10"/>
    <w:rsid w:val="708F5CC6"/>
    <w:rsid w:val="70A51E7A"/>
    <w:rsid w:val="70A94695"/>
    <w:rsid w:val="70AE1665"/>
    <w:rsid w:val="70C64C13"/>
    <w:rsid w:val="70CE2A7D"/>
    <w:rsid w:val="70F57258"/>
    <w:rsid w:val="7101188A"/>
    <w:rsid w:val="710D3A95"/>
    <w:rsid w:val="7123116D"/>
    <w:rsid w:val="712626A7"/>
    <w:rsid w:val="71295015"/>
    <w:rsid w:val="712F4753"/>
    <w:rsid w:val="71405C9D"/>
    <w:rsid w:val="71605930"/>
    <w:rsid w:val="716A0E09"/>
    <w:rsid w:val="717402AD"/>
    <w:rsid w:val="717F25F9"/>
    <w:rsid w:val="71861D20"/>
    <w:rsid w:val="7186437F"/>
    <w:rsid w:val="719E3962"/>
    <w:rsid w:val="71A45894"/>
    <w:rsid w:val="71BA0287"/>
    <w:rsid w:val="71BE7BEA"/>
    <w:rsid w:val="71C933A1"/>
    <w:rsid w:val="71DF2A49"/>
    <w:rsid w:val="71E96735"/>
    <w:rsid w:val="71EE2413"/>
    <w:rsid w:val="720000E6"/>
    <w:rsid w:val="72034464"/>
    <w:rsid w:val="720C50DD"/>
    <w:rsid w:val="72281098"/>
    <w:rsid w:val="723D68C6"/>
    <w:rsid w:val="723E1C92"/>
    <w:rsid w:val="72493B52"/>
    <w:rsid w:val="726A35DE"/>
    <w:rsid w:val="726C29D6"/>
    <w:rsid w:val="72812BB6"/>
    <w:rsid w:val="728A58AF"/>
    <w:rsid w:val="72934FF3"/>
    <w:rsid w:val="72992DCB"/>
    <w:rsid w:val="729C0A73"/>
    <w:rsid w:val="72A10AC9"/>
    <w:rsid w:val="72AC3A77"/>
    <w:rsid w:val="72B01AB7"/>
    <w:rsid w:val="72BD7A32"/>
    <w:rsid w:val="72BE0926"/>
    <w:rsid w:val="72C405CA"/>
    <w:rsid w:val="72C46B36"/>
    <w:rsid w:val="72E10B87"/>
    <w:rsid w:val="72E17BC5"/>
    <w:rsid w:val="72FB055A"/>
    <w:rsid w:val="72FE1676"/>
    <w:rsid w:val="72FF7DFC"/>
    <w:rsid w:val="730A4D01"/>
    <w:rsid w:val="731A788A"/>
    <w:rsid w:val="731D44F3"/>
    <w:rsid w:val="731D49AA"/>
    <w:rsid w:val="731E1436"/>
    <w:rsid w:val="73283E0D"/>
    <w:rsid w:val="732E26DE"/>
    <w:rsid w:val="7332362C"/>
    <w:rsid w:val="7334325D"/>
    <w:rsid w:val="73350C5E"/>
    <w:rsid w:val="734F0FD2"/>
    <w:rsid w:val="73513CCA"/>
    <w:rsid w:val="73574EBF"/>
    <w:rsid w:val="73581579"/>
    <w:rsid w:val="735A1D60"/>
    <w:rsid w:val="735C724B"/>
    <w:rsid w:val="736A2E27"/>
    <w:rsid w:val="73743E64"/>
    <w:rsid w:val="73922C6D"/>
    <w:rsid w:val="73A21C06"/>
    <w:rsid w:val="73AA4C42"/>
    <w:rsid w:val="73B20E59"/>
    <w:rsid w:val="73B60A10"/>
    <w:rsid w:val="73C05B2F"/>
    <w:rsid w:val="73CA2AC9"/>
    <w:rsid w:val="73CC5B9E"/>
    <w:rsid w:val="73DE05EE"/>
    <w:rsid w:val="74011DAF"/>
    <w:rsid w:val="74051691"/>
    <w:rsid w:val="74251284"/>
    <w:rsid w:val="74355159"/>
    <w:rsid w:val="743B31CD"/>
    <w:rsid w:val="743F3479"/>
    <w:rsid w:val="745049B3"/>
    <w:rsid w:val="74546174"/>
    <w:rsid w:val="745D6BD7"/>
    <w:rsid w:val="74661EF8"/>
    <w:rsid w:val="746F5A57"/>
    <w:rsid w:val="7476433D"/>
    <w:rsid w:val="74795BDB"/>
    <w:rsid w:val="747A3B5C"/>
    <w:rsid w:val="747C0EC2"/>
    <w:rsid w:val="74941B1E"/>
    <w:rsid w:val="74982BC3"/>
    <w:rsid w:val="74A027D8"/>
    <w:rsid w:val="74A369C6"/>
    <w:rsid w:val="74D75E35"/>
    <w:rsid w:val="74E47827"/>
    <w:rsid w:val="75022074"/>
    <w:rsid w:val="751050E9"/>
    <w:rsid w:val="75130B97"/>
    <w:rsid w:val="75202B2C"/>
    <w:rsid w:val="754247CE"/>
    <w:rsid w:val="75436915"/>
    <w:rsid w:val="755D4111"/>
    <w:rsid w:val="75687183"/>
    <w:rsid w:val="756E4E38"/>
    <w:rsid w:val="757F5E29"/>
    <w:rsid w:val="75A97B92"/>
    <w:rsid w:val="75BE2C13"/>
    <w:rsid w:val="75C867D8"/>
    <w:rsid w:val="75C91681"/>
    <w:rsid w:val="75CC1F36"/>
    <w:rsid w:val="75E834FA"/>
    <w:rsid w:val="75F52AFB"/>
    <w:rsid w:val="760412B3"/>
    <w:rsid w:val="760756D8"/>
    <w:rsid w:val="760E676A"/>
    <w:rsid w:val="76226E1B"/>
    <w:rsid w:val="7624764F"/>
    <w:rsid w:val="762C0888"/>
    <w:rsid w:val="762F6D25"/>
    <w:rsid w:val="763275DB"/>
    <w:rsid w:val="763E0E8A"/>
    <w:rsid w:val="765C3FDB"/>
    <w:rsid w:val="7667139C"/>
    <w:rsid w:val="76672689"/>
    <w:rsid w:val="766C1E9B"/>
    <w:rsid w:val="76715FC4"/>
    <w:rsid w:val="767D2360"/>
    <w:rsid w:val="76813BAB"/>
    <w:rsid w:val="768B2490"/>
    <w:rsid w:val="768F2D84"/>
    <w:rsid w:val="769B20F2"/>
    <w:rsid w:val="76A80580"/>
    <w:rsid w:val="76AD7DBE"/>
    <w:rsid w:val="76B313B7"/>
    <w:rsid w:val="76B36E87"/>
    <w:rsid w:val="76B65EF5"/>
    <w:rsid w:val="76BF19C6"/>
    <w:rsid w:val="76C86371"/>
    <w:rsid w:val="76D95C53"/>
    <w:rsid w:val="76F679B7"/>
    <w:rsid w:val="76FF643E"/>
    <w:rsid w:val="77027F7F"/>
    <w:rsid w:val="772A380A"/>
    <w:rsid w:val="772B6736"/>
    <w:rsid w:val="775A0E70"/>
    <w:rsid w:val="775B2B18"/>
    <w:rsid w:val="775D6AA2"/>
    <w:rsid w:val="77601172"/>
    <w:rsid w:val="77603D4F"/>
    <w:rsid w:val="777032C5"/>
    <w:rsid w:val="778E3455"/>
    <w:rsid w:val="778F5D5D"/>
    <w:rsid w:val="7794100B"/>
    <w:rsid w:val="779F63A2"/>
    <w:rsid w:val="77AB6538"/>
    <w:rsid w:val="77BF2F35"/>
    <w:rsid w:val="77BF46A4"/>
    <w:rsid w:val="77E75E53"/>
    <w:rsid w:val="77E80025"/>
    <w:rsid w:val="77F45185"/>
    <w:rsid w:val="77FD49BF"/>
    <w:rsid w:val="780E5553"/>
    <w:rsid w:val="781007D0"/>
    <w:rsid w:val="78284AA1"/>
    <w:rsid w:val="78335932"/>
    <w:rsid w:val="78342BFE"/>
    <w:rsid w:val="78381BDF"/>
    <w:rsid w:val="783C5C12"/>
    <w:rsid w:val="783F561E"/>
    <w:rsid w:val="784811A2"/>
    <w:rsid w:val="784D6313"/>
    <w:rsid w:val="78627D0B"/>
    <w:rsid w:val="78732237"/>
    <w:rsid w:val="78930909"/>
    <w:rsid w:val="78935C12"/>
    <w:rsid w:val="78980533"/>
    <w:rsid w:val="789E75C3"/>
    <w:rsid w:val="78AD313F"/>
    <w:rsid w:val="78B01E75"/>
    <w:rsid w:val="78BE05D7"/>
    <w:rsid w:val="78BE5E7F"/>
    <w:rsid w:val="78D5711D"/>
    <w:rsid w:val="78E83B09"/>
    <w:rsid w:val="78EE5162"/>
    <w:rsid w:val="78F50C83"/>
    <w:rsid w:val="78FA71C1"/>
    <w:rsid w:val="791D12D7"/>
    <w:rsid w:val="79222CE5"/>
    <w:rsid w:val="792339A0"/>
    <w:rsid w:val="79304FC0"/>
    <w:rsid w:val="793150EC"/>
    <w:rsid w:val="79336CA0"/>
    <w:rsid w:val="794530C2"/>
    <w:rsid w:val="79725D75"/>
    <w:rsid w:val="797711F5"/>
    <w:rsid w:val="799678E9"/>
    <w:rsid w:val="79AC0125"/>
    <w:rsid w:val="79BC1E65"/>
    <w:rsid w:val="79BC691E"/>
    <w:rsid w:val="79C370CC"/>
    <w:rsid w:val="79CB4015"/>
    <w:rsid w:val="79EA7D45"/>
    <w:rsid w:val="79EC2752"/>
    <w:rsid w:val="7A022DAC"/>
    <w:rsid w:val="7A077D86"/>
    <w:rsid w:val="7A0F6AA3"/>
    <w:rsid w:val="7A1E34AC"/>
    <w:rsid w:val="7A29027E"/>
    <w:rsid w:val="7A2B4E0B"/>
    <w:rsid w:val="7A2F1E62"/>
    <w:rsid w:val="7A3000FF"/>
    <w:rsid w:val="7A3D4B0E"/>
    <w:rsid w:val="7A524F0D"/>
    <w:rsid w:val="7A6A04A0"/>
    <w:rsid w:val="7A7443E6"/>
    <w:rsid w:val="7A8157E9"/>
    <w:rsid w:val="7A820CB5"/>
    <w:rsid w:val="7A8D74A2"/>
    <w:rsid w:val="7A990D85"/>
    <w:rsid w:val="7AA0686D"/>
    <w:rsid w:val="7AA17C39"/>
    <w:rsid w:val="7AA42764"/>
    <w:rsid w:val="7AB3181F"/>
    <w:rsid w:val="7AB65491"/>
    <w:rsid w:val="7AC048A7"/>
    <w:rsid w:val="7AEF76CB"/>
    <w:rsid w:val="7B0408F4"/>
    <w:rsid w:val="7B056A7F"/>
    <w:rsid w:val="7B082DB3"/>
    <w:rsid w:val="7B0A12D7"/>
    <w:rsid w:val="7B0D5ACD"/>
    <w:rsid w:val="7B1743C0"/>
    <w:rsid w:val="7B2429F8"/>
    <w:rsid w:val="7B265958"/>
    <w:rsid w:val="7B336BC8"/>
    <w:rsid w:val="7B3E5BD9"/>
    <w:rsid w:val="7B411828"/>
    <w:rsid w:val="7B4229E6"/>
    <w:rsid w:val="7B5810C9"/>
    <w:rsid w:val="7B664919"/>
    <w:rsid w:val="7B666F72"/>
    <w:rsid w:val="7B681541"/>
    <w:rsid w:val="7B8E13EB"/>
    <w:rsid w:val="7BA1297E"/>
    <w:rsid w:val="7BA44318"/>
    <w:rsid w:val="7BAE2D8D"/>
    <w:rsid w:val="7BBE70D0"/>
    <w:rsid w:val="7BC70E87"/>
    <w:rsid w:val="7BD44EE3"/>
    <w:rsid w:val="7BDC7CBF"/>
    <w:rsid w:val="7BDE7643"/>
    <w:rsid w:val="7BE45866"/>
    <w:rsid w:val="7BEE1EEB"/>
    <w:rsid w:val="7BF40907"/>
    <w:rsid w:val="7C194DCB"/>
    <w:rsid w:val="7C2036C5"/>
    <w:rsid w:val="7C21033A"/>
    <w:rsid w:val="7C27425D"/>
    <w:rsid w:val="7C330C76"/>
    <w:rsid w:val="7C4C5FDA"/>
    <w:rsid w:val="7C5062E6"/>
    <w:rsid w:val="7C5E7893"/>
    <w:rsid w:val="7C76130F"/>
    <w:rsid w:val="7C817D22"/>
    <w:rsid w:val="7C82417D"/>
    <w:rsid w:val="7C886DA3"/>
    <w:rsid w:val="7C8F12C6"/>
    <w:rsid w:val="7C904C17"/>
    <w:rsid w:val="7C992D45"/>
    <w:rsid w:val="7C993C6F"/>
    <w:rsid w:val="7CB44F60"/>
    <w:rsid w:val="7CD5583A"/>
    <w:rsid w:val="7CE53197"/>
    <w:rsid w:val="7D0B5714"/>
    <w:rsid w:val="7D1D7B5D"/>
    <w:rsid w:val="7D3F7B43"/>
    <w:rsid w:val="7D412929"/>
    <w:rsid w:val="7D4157D8"/>
    <w:rsid w:val="7D585D08"/>
    <w:rsid w:val="7D6A441D"/>
    <w:rsid w:val="7D742B7F"/>
    <w:rsid w:val="7D79512E"/>
    <w:rsid w:val="7D7B7260"/>
    <w:rsid w:val="7D8557E5"/>
    <w:rsid w:val="7D8B5FF0"/>
    <w:rsid w:val="7D900D66"/>
    <w:rsid w:val="7D951CD7"/>
    <w:rsid w:val="7D9B631F"/>
    <w:rsid w:val="7D9C45E3"/>
    <w:rsid w:val="7D9D2594"/>
    <w:rsid w:val="7DA64309"/>
    <w:rsid w:val="7DB55ED6"/>
    <w:rsid w:val="7DCB394B"/>
    <w:rsid w:val="7DD36B30"/>
    <w:rsid w:val="7DD65438"/>
    <w:rsid w:val="7DDC23C7"/>
    <w:rsid w:val="7DE41C45"/>
    <w:rsid w:val="7E1741FF"/>
    <w:rsid w:val="7E183080"/>
    <w:rsid w:val="7E1A6A4C"/>
    <w:rsid w:val="7E1E164C"/>
    <w:rsid w:val="7E236558"/>
    <w:rsid w:val="7E2F1CBD"/>
    <w:rsid w:val="7E310BC1"/>
    <w:rsid w:val="7E336A9D"/>
    <w:rsid w:val="7E3C4EA2"/>
    <w:rsid w:val="7E405738"/>
    <w:rsid w:val="7E510CBD"/>
    <w:rsid w:val="7E5155FB"/>
    <w:rsid w:val="7E54753C"/>
    <w:rsid w:val="7E582E84"/>
    <w:rsid w:val="7E5E609E"/>
    <w:rsid w:val="7E5F5FE3"/>
    <w:rsid w:val="7E6D347C"/>
    <w:rsid w:val="7E7354F5"/>
    <w:rsid w:val="7E943510"/>
    <w:rsid w:val="7E986A37"/>
    <w:rsid w:val="7EDF056C"/>
    <w:rsid w:val="7EEDB6B1"/>
    <w:rsid w:val="7EEF2E28"/>
    <w:rsid w:val="7EF21F47"/>
    <w:rsid w:val="7EF31942"/>
    <w:rsid w:val="7EFB4FD9"/>
    <w:rsid w:val="7EFD2A44"/>
    <w:rsid w:val="7F011AFE"/>
    <w:rsid w:val="7F0C3BD0"/>
    <w:rsid w:val="7F0D76C0"/>
    <w:rsid w:val="7F303107"/>
    <w:rsid w:val="7F33157B"/>
    <w:rsid w:val="7F3D1095"/>
    <w:rsid w:val="7F4327F8"/>
    <w:rsid w:val="7F480CEA"/>
    <w:rsid w:val="7F4E4945"/>
    <w:rsid w:val="7F593BCF"/>
    <w:rsid w:val="7F675F78"/>
    <w:rsid w:val="7F727385"/>
    <w:rsid w:val="7F7741D2"/>
    <w:rsid w:val="7F7C2FEC"/>
    <w:rsid w:val="7F801D46"/>
    <w:rsid w:val="7F995383"/>
    <w:rsid w:val="7FBC103A"/>
    <w:rsid w:val="7FE20B4D"/>
    <w:rsid w:val="7FF20382"/>
    <w:rsid w:val="B77F19D3"/>
    <w:rsid w:val="DF6E69CF"/>
    <w:rsid w:val="ED7C43D2"/>
    <w:rsid w:val="F7EB0086"/>
    <w:rsid w:val="FD5FC4D6"/>
    <w:rsid w:val="FFE72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link w:val="56"/>
    <w:autoRedefine/>
    <w:qFormat/>
    <w:uiPriority w:val="9"/>
    <w:pPr>
      <w:keepNext/>
      <w:jc w:val="center"/>
      <w:outlineLvl w:val="0"/>
    </w:pPr>
    <w:rPr>
      <w:rFonts w:ascii="楷体_GB2312" w:hAnsi="楷体_GB2312"/>
      <w:b/>
      <w:sz w:val="32"/>
      <w:szCs w:val="32"/>
    </w:rPr>
  </w:style>
  <w:style w:type="paragraph" w:styleId="5">
    <w:name w:val="heading 2"/>
    <w:basedOn w:val="1"/>
    <w:next w:val="4"/>
    <w:link w:val="55"/>
    <w:autoRedefine/>
    <w:qFormat/>
    <w:uiPriority w:val="0"/>
    <w:pPr>
      <w:keepNext/>
      <w:keepLines/>
      <w:spacing w:before="200" w:after="200" w:line="480" w:lineRule="auto"/>
      <w:jc w:val="left"/>
      <w:outlineLvl w:val="1"/>
    </w:pPr>
    <w:rPr>
      <w:rFonts w:ascii="Arial" w:hAnsi="Arial" w:cs="Arial"/>
      <w:b/>
      <w:bCs/>
      <w:sz w:val="30"/>
      <w:szCs w:val="30"/>
    </w:rPr>
  </w:style>
  <w:style w:type="paragraph" w:styleId="6">
    <w:name w:val="heading 3"/>
    <w:basedOn w:val="1"/>
    <w:next w:val="4"/>
    <w:link w:val="88"/>
    <w:autoRedefine/>
    <w:qFormat/>
    <w:uiPriority w:val="0"/>
    <w:pPr>
      <w:keepNext/>
      <w:keepLines/>
      <w:spacing w:before="200" w:after="100" w:line="480" w:lineRule="auto"/>
      <w:jc w:val="left"/>
      <w:outlineLvl w:val="2"/>
    </w:pPr>
    <w:rPr>
      <w:b/>
      <w:bCs/>
      <w:sz w:val="28"/>
      <w:szCs w:val="32"/>
    </w:rPr>
  </w:style>
  <w:style w:type="paragraph" w:styleId="7">
    <w:name w:val="heading 4"/>
    <w:basedOn w:val="1"/>
    <w:next w:val="1"/>
    <w:link w:val="61"/>
    <w:autoRedefine/>
    <w:qFormat/>
    <w:uiPriority w:val="0"/>
    <w:pPr>
      <w:keepNext/>
      <w:keepLines/>
      <w:ind w:firstLine="420" w:firstLineChars="150"/>
      <w:outlineLvl w:val="3"/>
    </w:pPr>
    <w:rPr>
      <w:rFonts w:ascii="Arial" w:hAnsi="Arial" w:cs="Arial"/>
      <w:b/>
      <w:sz w:val="28"/>
      <w:szCs w:val="28"/>
    </w:rPr>
  </w:style>
  <w:style w:type="paragraph" w:styleId="8">
    <w:name w:val="heading 5"/>
    <w:basedOn w:val="1"/>
    <w:next w:val="4"/>
    <w:link w:val="97"/>
    <w:autoRedefine/>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9"/>
    <w:autoRedefine/>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70"/>
    <w:autoRedefine/>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link w:val="208"/>
    <w:autoRedefine/>
    <w:qFormat/>
    <w:uiPriority w:val="0"/>
    <w:pPr>
      <w:snapToGrid w:val="0"/>
      <w:jc w:val="left"/>
    </w:pPr>
    <w:rPr>
      <w:sz w:val="18"/>
    </w:rPr>
  </w:style>
  <w:style w:type="paragraph" w:styleId="4">
    <w:name w:val="Normal Indent"/>
    <w:basedOn w:val="1"/>
    <w:next w:val="1"/>
    <w:link w:val="76"/>
    <w:autoRedefine/>
    <w:qFormat/>
    <w:uiPriority w:val="0"/>
    <w:pPr>
      <w:ind w:firstLine="420"/>
    </w:pPr>
  </w:style>
  <w:style w:type="paragraph" w:styleId="13">
    <w:name w:val="List 3"/>
    <w:basedOn w:val="1"/>
    <w:autoRedefine/>
    <w:qFormat/>
    <w:uiPriority w:val="0"/>
    <w:pPr>
      <w:ind w:left="100" w:leftChars="400" w:hanging="200" w:hangingChars="200"/>
    </w:pPr>
  </w:style>
  <w:style w:type="paragraph" w:styleId="14">
    <w:name w:val="Document Map"/>
    <w:basedOn w:val="1"/>
    <w:link w:val="94"/>
    <w:autoRedefine/>
    <w:semiHidden/>
    <w:qFormat/>
    <w:uiPriority w:val="0"/>
    <w:pPr>
      <w:shd w:val="clear" w:color="auto" w:fill="000080"/>
    </w:pPr>
  </w:style>
  <w:style w:type="paragraph" w:styleId="15">
    <w:name w:val="toa heading"/>
    <w:basedOn w:val="1"/>
    <w:next w:val="1"/>
    <w:autoRedefine/>
    <w:qFormat/>
    <w:uiPriority w:val="0"/>
    <w:pPr>
      <w:spacing w:before="120"/>
    </w:pPr>
    <w:rPr>
      <w:rFonts w:ascii="Cambria" w:hAnsi="Cambria"/>
      <w:sz w:val="24"/>
    </w:rPr>
  </w:style>
  <w:style w:type="paragraph" w:styleId="16">
    <w:name w:val="annotation text"/>
    <w:basedOn w:val="1"/>
    <w:link w:val="207"/>
    <w:autoRedefine/>
    <w:semiHidden/>
    <w:qFormat/>
    <w:uiPriority w:val="0"/>
    <w:pPr>
      <w:jc w:val="left"/>
    </w:pPr>
  </w:style>
  <w:style w:type="paragraph" w:styleId="17">
    <w:name w:val="Body Text 3"/>
    <w:basedOn w:val="1"/>
    <w:link w:val="72"/>
    <w:autoRedefine/>
    <w:qFormat/>
    <w:uiPriority w:val="0"/>
    <w:rPr>
      <w:rFonts w:ascii="仿宋_GB2312" w:hAnsi="Arial" w:eastAsia="仿宋_GB2312"/>
      <w:sz w:val="32"/>
      <w:szCs w:val="32"/>
    </w:rPr>
  </w:style>
  <w:style w:type="paragraph" w:styleId="18">
    <w:name w:val="Body Text"/>
    <w:basedOn w:val="1"/>
    <w:next w:val="1"/>
    <w:link w:val="68"/>
    <w:autoRedefine/>
    <w:qFormat/>
    <w:uiPriority w:val="0"/>
    <w:rPr>
      <w:rFonts w:ascii="楷体_GB2312" w:hAnsi="Arial" w:eastAsia="楷体_GB2312"/>
      <w:sz w:val="28"/>
      <w:szCs w:val="28"/>
    </w:rPr>
  </w:style>
  <w:style w:type="paragraph" w:styleId="19">
    <w:name w:val="Body Text Indent"/>
    <w:basedOn w:val="1"/>
    <w:next w:val="4"/>
    <w:link w:val="74"/>
    <w:autoRedefine/>
    <w:qFormat/>
    <w:uiPriority w:val="0"/>
    <w:pPr>
      <w:ind w:firstLine="645"/>
    </w:pPr>
    <w:rPr>
      <w:rFonts w:ascii="楷体_GB2312" w:eastAsia="楷体_GB2312"/>
      <w:sz w:val="32"/>
      <w:szCs w:val="32"/>
    </w:rPr>
  </w:style>
  <w:style w:type="paragraph" w:styleId="20">
    <w:name w:val="List 2"/>
    <w:basedOn w:val="1"/>
    <w:autoRedefine/>
    <w:qFormat/>
    <w:uiPriority w:val="0"/>
    <w:pPr>
      <w:ind w:left="100" w:leftChars="200" w:hanging="200" w:hangingChars="200"/>
    </w:pPr>
  </w:style>
  <w:style w:type="paragraph" w:styleId="21">
    <w:name w:val="toc 3"/>
    <w:basedOn w:val="22"/>
    <w:next w:val="1"/>
    <w:autoRedefine/>
    <w:qFormat/>
    <w:uiPriority w:val="39"/>
    <w:pPr>
      <w:ind w:left="840" w:leftChars="400"/>
    </w:pPr>
  </w:style>
  <w:style w:type="paragraph" w:styleId="22">
    <w:name w:val="toc 1"/>
    <w:basedOn w:val="1"/>
    <w:next w:val="1"/>
    <w:autoRedefine/>
    <w:unhideWhenUsed/>
    <w:qFormat/>
    <w:uiPriority w:val="39"/>
    <w:pPr>
      <w:widowControl/>
      <w:spacing w:after="100" w:line="259" w:lineRule="auto"/>
      <w:jc w:val="left"/>
    </w:pPr>
    <w:rPr>
      <w:rFonts w:ascii="Calibri" w:hAnsi="Calibri"/>
      <w:kern w:val="0"/>
      <w:sz w:val="22"/>
      <w:szCs w:val="22"/>
    </w:rPr>
  </w:style>
  <w:style w:type="paragraph" w:styleId="23">
    <w:name w:val="Plain Text"/>
    <w:basedOn w:val="1"/>
    <w:link w:val="96"/>
    <w:autoRedefine/>
    <w:qFormat/>
    <w:uiPriority w:val="0"/>
    <w:rPr>
      <w:rFonts w:ascii="宋体" w:hAnsi="Courier New" w:cs="Courier New"/>
    </w:rPr>
  </w:style>
  <w:style w:type="paragraph" w:styleId="24">
    <w:name w:val="Date"/>
    <w:basedOn w:val="1"/>
    <w:next w:val="1"/>
    <w:link w:val="80"/>
    <w:autoRedefine/>
    <w:qFormat/>
    <w:uiPriority w:val="0"/>
    <w:rPr>
      <w:sz w:val="24"/>
      <w:szCs w:val="24"/>
    </w:rPr>
  </w:style>
  <w:style w:type="paragraph" w:styleId="25">
    <w:name w:val="Body Text Indent 2"/>
    <w:basedOn w:val="1"/>
    <w:link w:val="75"/>
    <w:autoRedefine/>
    <w:qFormat/>
    <w:uiPriority w:val="0"/>
    <w:pPr>
      <w:ind w:left="630" w:firstLine="645"/>
    </w:pPr>
    <w:rPr>
      <w:rFonts w:ascii="Arial" w:hAnsi="Arial" w:eastAsia="仿宋_GB2312" w:cs="Arial"/>
      <w:sz w:val="32"/>
      <w:szCs w:val="32"/>
    </w:rPr>
  </w:style>
  <w:style w:type="paragraph" w:styleId="26">
    <w:name w:val="Balloon Text"/>
    <w:basedOn w:val="1"/>
    <w:link w:val="98"/>
    <w:autoRedefine/>
    <w:semiHidden/>
    <w:qFormat/>
    <w:uiPriority w:val="0"/>
    <w:rPr>
      <w:sz w:val="18"/>
      <w:szCs w:val="18"/>
    </w:rPr>
  </w:style>
  <w:style w:type="paragraph" w:styleId="27">
    <w:name w:val="footer"/>
    <w:basedOn w:val="1"/>
    <w:link w:val="73"/>
    <w:autoRedefine/>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8">
    <w:name w:val="header"/>
    <w:basedOn w:val="1"/>
    <w:link w:val="91"/>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4"/>
    <w:basedOn w:val="1"/>
    <w:next w:val="1"/>
    <w:autoRedefine/>
    <w:qFormat/>
    <w:uiPriority w:val="39"/>
    <w:pPr>
      <w:ind w:left="960"/>
      <w:jc w:val="left"/>
    </w:pPr>
    <w:rPr>
      <w:rFonts w:ascii="Calibri" w:hAnsi="Calibri"/>
      <w:sz w:val="18"/>
      <w:szCs w:val="18"/>
    </w:rPr>
  </w:style>
  <w:style w:type="paragraph" w:styleId="30">
    <w:name w:val="List"/>
    <w:basedOn w:val="1"/>
    <w:autoRedefine/>
    <w:qFormat/>
    <w:uiPriority w:val="0"/>
    <w:pPr>
      <w:ind w:left="200" w:hanging="200" w:hangingChars="200"/>
    </w:pPr>
  </w:style>
  <w:style w:type="paragraph" w:styleId="31">
    <w:name w:val="Body Text Indent 3"/>
    <w:basedOn w:val="1"/>
    <w:link w:val="90"/>
    <w:autoRedefine/>
    <w:qFormat/>
    <w:uiPriority w:val="0"/>
    <w:pPr>
      <w:ind w:left="645" w:firstLine="645"/>
    </w:pPr>
    <w:rPr>
      <w:rFonts w:ascii="Arial" w:hAnsi="Arial" w:eastAsia="仿宋_GB2312" w:cs="Arial"/>
      <w:color w:val="FFFF00"/>
      <w:sz w:val="32"/>
      <w:szCs w:val="32"/>
    </w:rPr>
  </w:style>
  <w:style w:type="paragraph" w:styleId="32">
    <w:name w:val="toc 2"/>
    <w:basedOn w:val="22"/>
    <w:next w:val="1"/>
    <w:autoRedefine/>
    <w:qFormat/>
    <w:uiPriority w:val="39"/>
    <w:pPr>
      <w:ind w:left="210"/>
    </w:pPr>
    <w:rPr>
      <w:smallCaps/>
      <w:szCs w:val="24"/>
    </w:rPr>
  </w:style>
  <w:style w:type="paragraph" w:styleId="33">
    <w:name w:val="Body Text 2"/>
    <w:basedOn w:val="1"/>
    <w:link w:val="95"/>
    <w:autoRedefine/>
    <w:qFormat/>
    <w:uiPriority w:val="0"/>
    <w:pPr>
      <w:widowControl/>
      <w:jc w:val="center"/>
    </w:pPr>
    <w:rPr>
      <w:rFonts w:ascii="楷体_GB2312" w:eastAsia="楷体_GB2312"/>
      <w:sz w:val="28"/>
      <w:szCs w:val="28"/>
    </w:rPr>
  </w:style>
  <w:style w:type="paragraph" w:styleId="34">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6"/>
    <w:next w:val="16"/>
    <w:link w:val="92"/>
    <w:autoRedefine/>
    <w:semiHidden/>
    <w:qFormat/>
    <w:uiPriority w:val="0"/>
    <w:rPr>
      <w:b/>
      <w:bCs/>
    </w:rPr>
  </w:style>
  <w:style w:type="paragraph" w:styleId="36">
    <w:name w:val="Body Text First Indent"/>
    <w:basedOn w:val="18"/>
    <w:link w:val="93"/>
    <w:autoRedefine/>
    <w:qFormat/>
    <w:uiPriority w:val="0"/>
    <w:pPr>
      <w:spacing w:line="360" w:lineRule="auto"/>
      <w:ind w:firstLine="200" w:firstLineChars="200"/>
    </w:pPr>
    <w:rPr>
      <w:rFonts w:ascii="仿宋_GB2312" w:eastAsia="仿宋_GB2312"/>
      <w:sz w:val="30"/>
      <w:szCs w:val="30"/>
    </w:rPr>
  </w:style>
  <w:style w:type="paragraph" w:styleId="37">
    <w:name w:val="Body Text First Indent 2"/>
    <w:basedOn w:val="19"/>
    <w:next w:val="1"/>
    <w:link w:val="77"/>
    <w:autoRedefine/>
    <w:qFormat/>
    <w:uiPriority w:val="0"/>
    <w:pPr>
      <w:spacing w:line="360" w:lineRule="auto"/>
      <w:ind w:firstLine="420" w:firstLineChars="200"/>
    </w:pPr>
    <w:rPr>
      <w:rFonts w:ascii="宋体" w:hAnsi="宋体" w:eastAsia="宋体"/>
      <w:sz w:val="21"/>
      <w:szCs w:val="20"/>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bCs/>
    </w:rPr>
  </w:style>
  <w:style w:type="character" w:styleId="42">
    <w:name w:val="page number"/>
    <w:basedOn w:val="40"/>
    <w:autoRedefine/>
    <w:qFormat/>
    <w:uiPriority w:val="0"/>
  </w:style>
  <w:style w:type="character" w:styleId="43">
    <w:name w:val="FollowedHyperlink"/>
    <w:autoRedefine/>
    <w:qFormat/>
    <w:uiPriority w:val="99"/>
    <w:rPr>
      <w:color w:val="800080"/>
      <w:u w:val="single"/>
    </w:rPr>
  </w:style>
  <w:style w:type="character" w:styleId="44">
    <w:name w:val="Emphasis"/>
    <w:basedOn w:val="40"/>
    <w:autoRedefine/>
    <w:qFormat/>
    <w:uiPriority w:val="0"/>
  </w:style>
  <w:style w:type="character" w:styleId="45">
    <w:name w:val="HTML Definition"/>
    <w:basedOn w:val="40"/>
    <w:autoRedefine/>
    <w:qFormat/>
    <w:uiPriority w:val="0"/>
  </w:style>
  <w:style w:type="character" w:styleId="46">
    <w:name w:val="HTML Typewriter"/>
    <w:basedOn w:val="40"/>
    <w:autoRedefine/>
    <w:qFormat/>
    <w:uiPriority w:val="0"/>
    <w:rPr>
      <w:rFonts w:hint="default" w:ascii="monospace" w:hAnsi="monospace" w:eastAsia="monospace" w:cs="monospace"/>
      <w:sz w:val="20"/>
    </w:rPr>
  </w:style>
  <w:style w:type="character" w:styleId="47">
    <w:name w:val="HTML Acronym"/>
    <w:basedOn w:val="40"/>
    <w:autoRedefine/>
    <w:qFormat/>
    <w:uiPriority w:val="0"/>
  </w:style>
  <w:style w:type="character" w:styleId="48">
    <w:name w:val="HTML Variable"/>
    <w:basedOn w:val="40"/>
    <w:autoRedefine/>
    <w:qFormat/>
    <w:uiPriority w:val="0"/>
  </w:style>
  <w:style w:type="character" w:styleId="49">
    <w:name w:val="Hyperlink"/>
    <w:autoRedefine/>
    <w:qFormat/>
    <w:uiPriority w:val="99"/>
    <w:rPr>
      <w:color w:val="0000FF"/>
      <w:u w:val="single"/>
    </w:rPr>
  </w:style>
  <w:style w:type="character" w:styleId="50">
    <w:name w:val="HTML Code"/>
    <w:basedOn w:val="40"/>
    <w:autoRedefine/>
    <w:qFormat/>
    <w:uiPriority w:val="0"/>
    <w:rPr>
      <w:rFonts w:hint="default" w:ascii="monospace" w:hAnsi="monospace" w:eastAsia="monospace" w:cs="monospace"/>
      <w:sz w:val="20"/>
    </w:rPr>
  </w:style>
  <w:style w:type="character" w:styleId="51">
    <w:name w:val="annotation reference"/>
    <w:autoRedefine/>
    <w:qFormat/>
    <w:uiPriority w:val="0"/>
    <w:rPr>
      <w:sz w:val="21"/>
      <w:szCs w:val="21"/>
    </w:rPr>
  </w:style>
  <w:style w:type="character" w:styleId="52">
    <w:name w:val="HTML Cite"/>
    <w:basedOn w:val="40"/>
    <w:autoRedefine/>
    <w:qFormat/>
    <w:uiPriority w:val="0"/>
  </w:style>
  <w:style w:type="character" w:styleId="53">
    <w:name w:val="HTML Keyboard"/>
    <w:basedOn w:val="40"/>
    <w:autoRedefine/>
    <w:qFormat/>
    <w:uiPriority w:val="0"/>
    <w:rPr>
      <w:rFonts w:hint="default" w:ascii="monospace" w:hAnsi="monospace" w:eastAsia="monospace" w:cs="monospace"/>
      <w:sz w:val="20"/>
    </w:rPr>
  </w:style>
  <w:style w:type="character" w:styleId="54">
    <w:name w:val="HTML Sample"/>
    <w:basedOn w:val="40"/>
    <w:autoRedefine/>
    <w:qFormat/>
    <w:uiPriority w:val="0"/>
    <w:rPr>
      <w:rFonts w:ascii="monospace" w:hAnsi="monospace" w:eastAsia="monospace" w:cs="monospace"/>
    </w:rPr>
  </w:style>
  <w:style w:type="character" w:customStyle="1" w:styleId="55">
    <w:name w:val="标题 2 Char"/>
    <w:link w:val="5"/>
    <w:autoRedefine/>
    <w:qFormat/>
    <w:uiPriority w:val="0"/>
    <w:rPr>
      <w:rFonts w:ascii="Arial" w:hAnsi="Arial" w:eastAsia="宋体" w:cs="Arial"/>
      <w:b/>
      <w:bCs/>
      <w:kern w:val="2"/>
      <w:sz w:val="30"/>
      <w:szCs w:val="30"/>
      <w:lang w:val="en-US" w:eastAsia="zh-CN" w:bidi="ar-SA"/>
    </w:rPr>
  </w:style>
  <w:style w:type="character" w:customStyle="1" w:styleId="56">
    <w:name w:val="标题 1 Char"/>
    <w:link w:val="3"/>
    <w:autoRedefine/>
    <w:qFormat/>
    <w:uiPriority w:val="9"/>
    <w:rPr>
      <w:rFonts w:ascii="楷体_GB2312" w:hAnsi="楷体_GB2312" w:eastAsia="宋体"/>
      <w:b/>
      <w:kern w:val="2"/>
      <w:sz w:val="32"/>
      <w:szCs w:val="32"/>
      <w:lang w:val="en-US" w:eastAsia="zh-CN" w:bidi="ar-SA"/>
    </w:rPr>
  </w:style>
  <w:style w:type="paragraph" w:customStyle="1" w:styleId="57">
    <w:name w:val="无间隔1"/>
    <w:basedOn w:val="58"/>
    <w:autoRedefine/>
    <w:qFormat/>
    <w:uiPriority w:val="1"/>
    <w:pPr>
      <w:spacing w:line="400" w:lineRule="exact"/>
    </w:pPr>
    <w:rPr>
      <w:sz w:val="24"/>
    </w:rPr>
  </w:style>
  <w:style w:type="paragraph" w:customStyle="1" w:styleId="58">
    <w:name w:val="正文1"/>
    <w:next w:val="59"/>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9">
    <w:name w:val="页脚1"/>
    <w:basedOn w:val="58"/>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customStyle="1" w:styleId="60">
    <w:name w:val="Heading2"/>
    <w:basedOn w:val="1"/>
    <w:next w:val="1"/>
    <w:autoRedefine/>
    <w:qFormat/>
    <w:uiPriority w:val="0"/>
    <w:pPr>
      <w:keepNext/>
      <w:keepLines/>
      <w:numPr>
        <w:ilvl w:val="1"/>
        <w:numId w:val="2"/>
      </w:numPr>
      <w:spacing w:before="260" w:after="260" w:line="416" w:lineRule="auto"/>
    </w:pPr>
    <w:rPr>
      <w:rFonts w:ascii="宋体" w:hAnsi="宋体"/>
      <w:b/>
      <w:bCs/>
      <w:sz w:val="32"/>
      <w:szCs w:val="32"/>
    </w:rPr>
  </w:style>
  <w:style w:type="character" w:customStyle="1" w:styleId="61">
    <w:name w:val="标题 4 Char"/>
    <w:link w:val="7"/>
    <w:autoRedefine/>
    <w:qFormat/>
    <w:uiPriority w:val="0"/>
    <w:rPr>
      <w:rFonts w:ascii="Arial" w:hAnsi="Arial" w:eastAsia="宋体" w:cs="Arial"/>
      <w:b/>
      <w:kern w:val="2"/>
      <w:sz w:val="28"/>
      <w:szCs w:val="28"/>
      <w:lang w:val="en-US" w:eastAsia="zh-CN" w:bidi="ar-SA"/>
    </w:rPr>
  </w:style>
  <w:style w:type="paragraph" w:customStyle="1" w:styleId="62">
    <w:name w:val="标题 5（有编号）（绿盟科技）"/>
    <w:basedOn w:val="1"/>
    <w:next w:val="63"/>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3">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4">
    <w:name w:val="标题 9 Char"/>
    <w:link w:val="12"/>
    <w:autoRedefine/>
    <w:qFormat/>
    <w:uiPriority w:val="0"/>
    <w:rPr>
      <w:rFonts w:ascii="Arial" w:hAnsi="Arial" w:eastAsia="黑体"/>
      <w:kern w:val="2"/>
      <w:sz w:val="21"/>
      <w:szCs w:val="21"/>
      <w:lang w:val="en-US" w:eastAsia="zh-CN" w:bidi="ar-SA"/>
    </w:rPr>
  </w:style>
  <w:style w:type="character" w:customStyle="1" w:styleId="65">
    <w:name w:val="正文缩进 Char"/>
    <w:autoRedefine/>
    <w:qFormat/>
    <w:uiPriority w:val="0"/>
    <w:rPr>
      <w:kern w:val="2"/>
      <w:sz w:val="21"/>
      <w:szCs w:val="21"/>
    </w:rPr>
  </w:style>
  <w:style w:type="character" w:customStyle="1" w:styleId="66">
    <w:name w:val="列出段落 Char"/>
    <w:link w:val="67"/>
    <w:autoRedefine/>
    <w:qFormat/>
    <w:locked/>
    <w:uiPriority w:val="0"/>
    <w:rPr>
      <w:rFonts w:ascii="Calibri" w:hAnsi="Calibri"/>
      <w:sz w:val="24"/>
      <w:szCs w:val="24"/>
      <w:lang w:eastAsia="en-US" w:bidi="en-US"/>
    </w:rPr>
  </w:style>
  <w:style w:type="paragraph" w:customStyle="1" w:styleId="67">
    <w:name w:val="列出段落11"/>
    <w:basedOn w:val="1"/>
    <w:link w:val="66"/>
    <w:autoRedefine/>
    <w:qFormat/>
    <w:uiPriority w:val="0"/>
    <w:pPr>
      <w:widowControl/>
      <w:ind w:left="720"/>
      <w:contextualSpacing/>
      <w:jc w:val="left"/>
    </w:pPr>
    <w:rPr>
      <w:rFonts w:ascii="Calibri" w:hAnsi="Calibri"/>
      <w:kern w:val="0"/>
      <w:sz w:val="24"/>
      <w:szCs w:val="24"/>
      <w:lang w:eastAsia="en-US" w:bidi="en-US"/>
    </w:rPr>
  </w:style>
  <w:style w:type="character" w:customStyle="1" w:styleId="68">
    <w:name w:val="正文文本 Char"/>
    <w:link w:val="18"/>
    <w:autoRedefine/>
    <w:qFormat/>
    <w:uiPriority w:val="0"/>
    <w:rPr>
      <w:rFonts w:ascii="楷体_GB2312" w:hAnsi="Arial" w:eastAsia="楷体_GB2312"/>
      <w:kern w:val="2"/>
      <w:sz w:val="28"/>
      <w:szCs w:val="28"/>
      <w:lang w:val="en-US" w:eastAsia="zh-CN" w:bidi="ar-SA"/>
    </w:rPr>
  </w:style>
  <w:style w:type="character" w:customStyle="1" w:styleId="69">
    <w:name w:val="标题 7 Char"/>
    <w:link w:val="10"/>
    <w:autoRedefine/>
    <w:qFormat/>
    <w:uiPriority w:val="0"/>
    <w:rPr>
      <w:rFonts w:eastAsia="宋体"/>
      <w:b/>
      <w:bCs/>
      <w:kern w:val="2"/>
      <w:sz w:val="24"/>
      <w:szCs w:val="24"/>
      <w:lang w:val="en-US" w:eastAsia="zh-CN" w:bidi="ar-SA"/>
    </w:rPr>
  </w:style>
  <w:style w:type="character" w:customStyle="1" w:styleId="70">
    <w:name w:val="标题 8 Char"/>
    <w:link w:val="11"/>
    <w:autoRedefine/>
    <w:qFormat/>
    <w:uiPriority w:val="0"/>
    <w:rPr>
      <w:rFonts w:ascii="Arial" w:hAnsi="Arial" w:eastAsia="黑体"/>
      <w:kern w:val="2"/>
      <w:sz w:val="24"/>
      <w:szCs w:val="24"/>
      <w:lang w:val="en-US" w:eastAsia="zh-CN" w:bidi="ar-SA"/>
    </w:rPr>
  </w:style>
  <w:style w:type="character" w:customStyle="1" w:styleId="71">
    <w:name w:val="正文首行缩进 Char"/>
    <w:autoRedefine/>
    <w:qFormat/>
    <w:uiPriority w:val="0"/>
    <w:rPr>
      <w:rFonts w:ascii="仿宋_GB2312" w:hAnsi="Times New Roman" w:eastAsia="仿宋_GB2312" w:cs="Times New Roman"/>
      <w:kern w:val="2"/>
      <w:sz w:val="30"/>
      <w:szCs w:val="30"/>
    </w:rPr>
  </w:style>
  <w:style w:type="character" w:customStyle="1" w:styleId="72">
    <w:name w:val="正文文本 3 Char"/>
    <w:link w:val="17"/>
    <w:autoRedefine/>
    <w:qFormat/>
    <w:uiPriority w:val="0"/>
    <w:rPr>
      <w:rFonts w:ascii="仿宋_GB2312" w:hAnsi="Arial" w:eastAsia="仿宋_GB2312"/>
      <w:kern w:val="2"/>
      <w:sz w:val="32"/>
      <w:szCs w:val="32"/>
      <w:lang w:val="en-US" w:eastAsia="zh-CN" w:bidi="ar-SA"/>
    </w:rPr>
  </w:style>
  <w:style w:type="character" w:customStyle="1" w:styleId="73">
    <w:name w:val="页脚 Char"/>
    <w:link w:val="27"/>
    <w:autoRedefine/>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4">
    <w:name w:val="正文文本缩进 Char"/>
    <w:link w:val="19"/>
    <w:autoRedefine/>
    <w:qFormat/>
    <w:uiPriority w:val="0"/>
    <w:rPr>
      <w:rFonts w:ascii="楷体_GB2312" w:eastAsia="楷体_GB2312"/>
      <w:kern w:val="2"/>
      <w:sz w:val="32"/>
      <w:szCs w:val="32"/>
      <w:lang w:val="en-US" w:eastAsia="zh-CN" w:bidi="ar-SA"/>
    </w:rPr>
  </w:style>
  <w:style w:type="character" w:customStyle="1" w:styleId="75">
    <w:name w:val="正文文本缩进 2 Char"/>
    <w:link w:val="25"/>
    <w:autoRedefine/>
    <w:qFormat/>
    <w:uiPriority w:val="0"/>
    <w:rPr>
      <w:rFonts w:ascii="Arial" w:hAnsi="Arial" w:eastAsia="仿宋_GB2312" w:cs="Arial"/>
      <w:kern w:val="2"/>
      <w:sz w:val="32"/>
      <w:szCs w:val="32"/>
      <w:lang w:val="en-US" w:eastAsia="zh-CN" w:bidi="ar-SA"/>
    </w:rPr>
  </w:style>
  <w:style w:type="character" w:customStyle="1" w:styleId="76">
    <w:name w:val="正文缩进 Char1"/>
    <w:link w:val="4"/>
    <w:autoRedefine/>
    <w:qFormat/>
    <w:uiPriority w:val="0"/>
    <w:rPr>
      <w:rFonts w:eastAsia="宋体"/>
      <w:kern w:val="2"/>
      <w:sz w:val="21"/>
      <w:szCs w:val="21"/>
      <w:lang w:bidi="ar-SA"/>
    </w:rPr>
  </w:style>
  <w:style w:type="character" w:customStyle="1" w:styleId="77">
    <w:name w:val="正文首行缩进 2 Char"/>
    <w:link w:val="37"/>
    <w:autoRedefine/>
    <w:qFormat/>
    <w:uiPriority w:val="0"/>
    <w:rPr>
      <w:rFonts w:ascii="宋体" w:hAnsi="宋体" w:eastAsia="宋体"/>
      <w:kern w:val="2"/>
      <w:sz w:val="21"/>
      <w:lang w:val="en-US" w:eastAsia="zh-CN" w:bidi="ar-SA"/>
    </w:rPr>
  </w:style>
  <w:style w:type="character" w:customStyle="1" w:styleId="78">
    <w:name w:val="正文首行缩进（qhb） Char"/>
    <w:link w:val="79"/>
    <w:autoRedefine/>
    <w:qFormat/>
    <w:uiPriority w:val="0"/>
    <w:rPr>
      <w:rFonts w:ascii="Arial" w:hAnsi="Arial"/>
      <w:sz w:val="24"/>
      <w:szCs w:val="21"/>
    </w:rPr>
  </w:style>
  <w:style w:type="paragraph" w:customStyle="1" w:styleId="79">
    <w:name w:val="正文首行缩进（qhb）"/>
    <w:basedOn w:val="1"/>
    <w:link w:val="78"/>
    <w:autoRedefine/>
    <w:qFormat/>
    <w:uiPriority w:val="0"/>
    <w:pPr>
      <w:widowControl/>
      <w:spacing w:after="50" w:line="360" w:lineRule="auto"/>
      <w:ind w:firstLine="200" w:firstLineChars="200"/>
      <w:jc w:val="left"/>
    </w:pPr>
    <w:rPr>
      <w:rFonts w:ascii="Arial" w:hAnsi="Arial"/>
      <w:kern w:val="0"/>
      <w:sz w:val="24"/>
    </w:rPr>
  </w:style>
  <w:style w:type="character" w:customStyle="1" w:styleId="80">
    <w:name w:val="日期 Char"/>
    <w:link w:val="24"/>
    <w:autoRedefine/>
    <w:qFormat/>
    <w:uiPriority w:val="0"/>
    <w:rPr>
      <w:rFonts w:eastAsia="宋体"/>
      <w:kern w:val="2"/>
      <w:sz w:val="24"/>
      <w:szCs w:val="24"/>
      <w:lang w:val="en-US" w:eastAsia="zh-CN" w:bidi="ar-SA"/>
    </w:rPr>
  </w:style>
  <w:style w:type="character" w:customStyle="1" w:styleId="81">
    <w:name w:val="font5 Char"/>
    <w:autoRedefine/>
    <w:qFormat/>
    <w:uiPriority w:val="0"/>
    <w:rPr>
      <w:rFonts w:ascii="宋体" w:hAnsi="宋体" w:eastAsia="宋体"/>
      <w:sz w:val="28"/>
      <w:szCs w:val="28"/>
      <w:lang w:val="en-US" w:eastAsia="zh-CN" w:bidi="ar-SA"/>
    </w:rPr>
  </w:style>
  <w:style w:type="character" w:customStyle="1" w:styleId="82">
    <w:name w:val="Char Char2"/>
    <w:autoRedefine/>
    <w:qFormat/>
    <w:uiPriority w:val="0"/>
    <w:rPr>
      <w:rFonts w:ascii="Times New Roman" w:hAnsi="Times New Roman" w:eastAsia="宋体" w:cs="Times New Roman"/>
      <w:szCs w:val="21"/>
    </w:rPr>
  </w:style>
  <w:style w:type="character" w:customStyle="1" w:styleId="83">
    <w:name w:val="正文格式 Char"/>
    <w:link w:val="84"/>
    <w:autoRedefine/>
    <w:qFormat/>
    <w:uiPriority w:val="0"/>
    <w:rPr>
      <w:rFonts w:eastAsia="仿宋_GB2312"/>
      <w:sz w:val="28"/>
      <w:lang w:bidi="ar-SA"/>
    </w:rPr>
  </w:style>
  <w:style w:type="paragraph" w:customStyle="1" w:styleId="84">
    <w:name w:val="正文格式"/>
    <w:basedOn w:val="1"/>
    <w:link w:val="83"/>
    <w:autoRedefine/>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5">
    <w:name w:val="二级目录 Char"/>
    <w:link w:val="86"/>
    <w:autoRedefine/>
    <w:qFormat/>
    <w:uiPriority w:val="0"/>
    <w:rPr>
      <w:rFonts w:eastAsia="Times New Roman"/>
      <w:b/>
      <w:kern w:val="2"/>
      <w:sz w:val="30"/>
      <w:szCs w:val="28"/>
      <w:lang w:val="en-US" w:eastAsia="zh-CN" w:bidi="ar-SA"/>
    </w:rPr>
  </w:style>
  <w:style w:type="paragraph" w:customStyle="1" w:styleId="86">
    <w:name w:val="二级目录"/>
    <w:next w:val="1"/>
    <w:link w:val="85"/>
    <w:autoRedefine/>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7">
    <w:name w:val="Char Char6"/>
    <w:autoRedefine/>
    <w:qFormat/>
    <w:uiPriority w:val="0"/>
    <w:rPr>
      <w:rFonts w:ascii="Times New Roman" w:hAnsi="Times New Roman" w:eastAsia="宋体" w:cs="Times New Roman"/>
      <w:sz w:val="18"/>
      <w:szCs w:val="18"/>
    </w:rPr>
  </w:style>
  <w:style w:type="character" w:customStyle="1" w:styleId="88">
    <w:name w:val="标题 3 Char"/>
    <w:link w:val="6"/>
    <w:autoRedefine/>
    <w:qFormat/>
    <w:uiPriority w:val="0"/>
    <w:rPr>
      <w:rFonts w:ascii="Times New Roman" w:hAnsi="Times New Roman" w:eastAsia="宋体"/>
      <w:b/>
      <w:bCs/>
      <w:kern w:val="2"/>
      <w:sz w:val="28"/>
      <w:szCs w:val="32"/>
      <w:lang w:val="en-US" w:eastAsia="zh-CN" w:bidi="ar-SA"/>
    </w:rPr>
  </w:style>
  <w:style w:type="character" w:customStyle="1" w:styleId="89">
    <w:name w:val="标题 6 Char"/>
    <w:link w:val="9"/>
    <w:autoRedefine/>
    <w:qFormat/>
    <w:uiPriority w:val="0"/>
    <w:rPr>
      <w:rFonts w:ascii="Arial" w:hAnsi="Arial" w:eastAsia="黑体"/>
      <w:b/>
      <w:bCs/>
      <w:kern w:val="2"/>
      <w:sz w:val="24"/>
      <w:szCs w:val="24"/>
      <w:lang w:val="en-US" w:eastAsia="zh-CN" w:bidi="ar-SA"/>
    </w:rPr>
  </w:style>
  <w:style w:type="character" w:customStyle="1" w:styleId="90">
    <w:name w:val="正文文本缩进 3 Char"/>
    <w:link w:val="31"/>
    <w:autoRedefine/>
    <w:qFormat/>
    <w:uiPriority w:val="0"/>
    <w:rPr>
      <w:rFonts w:ascii="Arial" w:hAnsi="Arial" w:eastAsia="仿宋_GB2312" w:cs="Arial"/>
      <w:color w:val="FFFF00"/>
      <w:kern w:val="2"/>
      <w:sz w:val="32"/>
      <w:szCs w:val="32"/>
      <w:lang w:val="en-US" w:eastAsia="zh-CN" w:bidi="ar-SA"/>
    </w:rPr>
  </w:style>
  <w:style w:type="character" w:customStyle="1" w:styleId="91">
    <w:name w:val="页眉 Char"/>
    <w:link w:val="28"/>
    <w:autoRedefine/>
    <w:qFormat/>
    <w:uiPriority w:val="99"/>
    <w:rPr>
      <w:rFonts w:eastAsia="宋体"/>
      <w:kern w:val="2"/>
      <w:sz w:val="18"/>
      <w:szCs w:val="18"/>
      <w:lang w:val="en-US" w:eastAsia="zh-CN" w:bidi="ar-SA"/>
    </w:rPr>
  </w:style>
  <w:style w:type="character" w:customStyle="1" w:styleId="92">
    <w:name w:val="批注主题 Char"/>
    <w:link w:val="35"/>
    <w:autoRedefine/>
    <w:semiHidden/>
    <w:qFormat/>
    <w:uiPriority w:val="0"/>
    <w:rPr>
      <w:rFonts w:eastAsia="宋体"/>
      <w:b/>
      <w:bCs/>
      <w:kern w:val="2"/>
      <w:sz w:val="21"/>
      <w:szCs w:val="21"/>
      <w:lang w:val="en-US" w:eastAsia="zh-CN" w:bidi="ar-SA"/>
    </w:rPr>
  </w:style>
  <w:style w:type="character" w:customStyle="1" w:styleId="93">
    <w:name w:val="正文首行缩进 Char1"/>
    <w:link w:val="36"/>
    <w:autoRedefine/>
    <w:qFormat/>
    <w:uiPriority w:val="0"/>
    <w:rPr>
      <w:rFonts w:ascii="仿宋_GB2312" w:eastAsia="仿宋_GB2312"/>
      <w:kern w:val="2"/>
      <w:sz w:val="30"/>
      <w:szCs w:val="30"/>
      <w:lang w:val="en-US" w:eastAsia="zh-CN" w:bidi="ar-SA"/>
    </w:rPr>
  </w:style>
  <w:style w:type="character" w:customStyle="1" w:styleId="94">
    <w:name w:val="文档结构图 Char"/>
    <w:link w:val="14"/>
    <w:autoRedefine/>
    <w:semiHidden/>
    <w:qFormat/>
    <w:uiPriority w:val="0"/>
    <w:rPr>
      <w:rFonts w:eastAsia="宋体"/>
      <w:kern w:val="2"/>
      <w:sz w:val="21"/>
      <w:szCs w:val="21"/>
      <w:lang w:bidi="ar-SA"/>
    </w:rPr>
  </w:style>
  <w:style w:type="character" w:customStyle="1" w:styleId="95">
    <w:name w:val="正文文本 2 Char"/>
    <w:link w:val="33"/>
    <w:autoRedefine/>
    <w:qFormat/>
    <w:uiPriority w:val="0"/>
    <w:rPr>
      <w:rFonts w:ascii="楷体_GB2312" w:eastAsia="楷体_GB2312"/>
      <w:kern w:val="2"/>
      <w:sz w:val="28"/>
      <w:szCs w:val="28"/>
      <w:lang w:val="en-US" w:eastAsia="zh-CN" w:bidi="ar-SA"/>
    </w:rPr>
  </w:style>
  <w:style w:type="character" w:customStyle="1" w:styleId="96">
    <w:name w:val="纯文本 Char"/>
    <w:link w:val="23"/>
    <w:autoRedefine/>
    <w:qFormat/>
    <w:uiPriority w:val="0"/>
    <w:rPr>
      <w:rFonts w:ascii="宋体" w:hAnsi="Courier New" w:eastAsia="宋体" w:cs="Courier New"/>
      <w:kern w:val="2"/>
      <w:sz w:val="21"/>
      <w:szCs w:val="21"/>
      <w:lang w:val="en-US" w:eastAsia="zh-CN" w:bidi="ar-SA"/>
    </w:rPr>
  </w:style>
  <w:style w:type="character" w:customStyle="1" w:styleId="97">
    <w:name w:val="标题 5 Char"/>
    <w:link w:val="8"/>
    <w:autoRedefine/>
    <w:qFormat/>
    <w:uiPriority w:val="0"/>
    <w:rPr>
      <w:rFonts w:ascii="宋体" w:eastAsia="宋体"/>
      <w:color w:val="000000"/>
      <w:sz w:val="28"/>
      <w:szCs w:val="28"/>
      <w:lang w:val="en-US" w:eastAsia="zh-CN" w:bidi="ar-SA"/>
    </w:rPr>
  </w:style>
  <w:style w:type="character" w:customStyle="1" w:styleId="98">
    <w:name w:val="批注框文本 Char"/>
    <w:link w:val="26"/>
    <w:autoRedefine/>
    <w:semiHidden/>
    <w:qFormat/>
    <w:uiPriority w:val="0"/>
    <w:rPr>
      <w:rFonts w:eastAsia="宋体"/>
      <w:kern w:val="2"/>
      <w:sz w:val="18"/>
      <w:szCs w:val="18"/>
      <w:lang w:val="en-US" w:eastAsia="zh-CN" w:bidi="ar-SA"/>
    </w:rPr>
  </w:style>
  <w:style w:type="paragraph" w:customStyle="1" w:styleId="99">
    <w:name w:val="font7"/>
    <w:basedOn w:val="1"/>
    <w:autoRedefine/>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0">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1">
    <w:name w:val="p1"/>
    <w:basedOn w:val="1"/>
    <w:autoRedefine/>
    <w:qFormat/>
    <w:uiPriority w:val="0"/>
    <w:pPr>
      <w:spacing w:line="380" w:lineRule="atLeast"/>
      <w:jc w:val="left"/>
    </w:pPr>
    <w:rPr>
      <w:rFonts w:ascii="Helvetica Neue" w:hAnsi="Helvetica Neue" w:eastAsia="Helvetica Neue"/>
      <w:kern w:val="0"/>
      <w:sz w:val="26"/>
      <w:szCs w:val="26"/>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3">
    <w:name w:val="标题3"/>
    <w:basedOn w:val="1"/>
    <w:next w:val="1"/>
    <w:autoRedefine/>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4">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5">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6">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7">
    <w:name w:val="Char Char Char Char Char Char Char Char Char Char"/>
    <w:basedOn w:val="1"/>
    <w:autoRedefine/>
    <w:qFormat/>
    <w:uiPriority w:val="0"/>
    <w:pPr>
      <w:adjustRightInd w:val="0"/>
      <w:spacing w:line="360" w:lineRule="auto"/>
    </w:pPr>
    <w:rPr>
      <w:kern w:val="0"/>
      <w:sz w:val="24"/>
      <w:szCs w:val="20"/>
    </w:rPr>
  </w:style>
  <w:style w:type="paragraph" w:customStyle="1" w:styleId="108">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9">
    <w:name w:val="_Style 3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2">
    <w:name w:val="列出段落1"/>
    <w:basedOn w:val="1"/>
    <w:autoRedefine/>
    <w:qFormat/>
    <w:uiPriority w:val="99"/>
    <w:pPr>
      <w:ind w:firstLine="420" w:firstLineChars="200"/>
    </w:pPr>
  </w:style>
  <w:style w:type="paragraph" w:customStyle="1" w:styleId="113">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4">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115">
    <w:name w:val="Char"/>
    <w:basedOn w:val="1"/>
    <w:autoRedefine/>
    <w:qFormat/>
    <w:uiPriority w:val="0"/>
    <w:pPr>
      <w:tabs>
        <w:tab w:val="left" w:pos="360"/>
      </w:tabs>
      <w:ind w:firstLine="200" w:firstLineChars="200"/>
    </w:pPr>
    <w:rPr>
      <w:sz w:val="28"/>
      <w:szCs w:val="30"/>
    </w:rPr>
  </w:style>
  <w:style w:type="paragraph" w:customStyle="1" w:styleId="116">
    <w:name w:val="table_1stline"/>
    <w:basedOn w:val="1"/>
    <w:autoRedefine/>
    <w:qFormat/>
    <w:uiPriority w:val="0"/>
    <w:pPr>
      <w:widowControl/>
      <w:spacing w:before="120"/>
      <w:jc w:val="left"/>
    </w:pPr>
    <w:rPr>
      <w:bCs/>
      <w:kern w:val="0"/>
      <w:sz w:val="20"/>
      <w:szCs w:val="20"/>
      <w:lang w:val="de-DE" w:eastAsia="de-DE"/>
    </w:rPr>
  </w:style>
  <w:style w:type="paragraph" w:customStyle="1" w:styleId="117">
    <w:name w:val="table_lines"/>
    <w:basedOn w:val="1"/>
    <w:autoRedefine/>
    <w:qFormat/>
    <w:uiPriority w:val="0"/>
    <w:pPr>
      <w:widowControl/>
      <w:jc w:val="left"/>
    </w:pPr>
    <w:rPr>
      <w:kern w:val="0"/>
      <w:sz w:val="20"/>
      <w:szCs w:val="20"/>
      <w:lang w:val="de-DE" w:eastAsia="de-DE"/>
    </w:rPr>
  </w:style>
  <w:style w:type="paragraph" w:customStyle="1" w:styleId="118">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119">
    <w:name w:val="Char Char Char Char1"/>
    <w:basedOn w:val="14"/>
    <w:autoRedefine/>
    <w:qFormat/>
    <w:uiPriority w:val="0"/>
    <w:pPr>
      <w:adjustRightInd w:val="0"/>
      <w:snapToGrid w:val="0"/>
      <w:spacing w:line="360" w:lineRule="auto"/>
    </w:pPr>
    <w:rPr>
      <w:rFonts w:ascii="Tahoma" w:hAnsi="Tahoma"/>
      <w:kern w:val="0"/>
      <w:sz w:val="24"/>
      <w:szCs w:val="24"/>
    </w:rPr>
  </w:style>
  <w:style w:type="paragraph" w:customStyle="1" w:styleId="120">
    <w:name w:val="font5"/>
    <w:basedOn w:val="1"/>
    <w:autoRedefine/>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21">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2">
    <w:name w:val="Char Char Char Char"/>
    <w:basedOn w:val="14"/>
    <w:autoRedefine/>
    <w:qFormat/>
    <w:uiPriority w:val="0"/>
    <w:pPr>
      <w:adjustRightInd w:val="0"/>
      <w:snapToGrid w:val="0"/>
      <w:spacing w:line="360" w:lineRule="auto"/>
    </w:pPr>
    <w:rPr>
      <w:rFonts w:ascii="Tahoma" w:hAnsi="Tahoma"/>
      <w:sz w:val="24"/>
      <w:szCs w:val="24"/>
    </w:rPr>
  </w:style>
  <w:style w:type="paragraph" w:customStyle="1" w:styleId="123">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5">
    <w:name w:val="列表内容"/>
    <w:basedOn w:val="1"/>
    <w:next w:val="1"/>
    <w:autoRedefine/>
    <w:qFormat/>
    <w:uiPriority w:val="0"/>
    <w:pPr>
      <w:widowControl/>
      <w:numPr>
        <w:ilvl w:val="0"/>
        <w:numId w:val="6"/>
      </w:numPr>
      <w:tabs>
        <w:tab w:val="left" w:pos="840"/>
      </w:tabs>
      <w:jc w:val="left"/>
    </w:pPr>
    <w:rPr>
      <w:kern w:val="0"/>
      <w:sz w:val="18"/>
      <w:szCs w:val="24"/>
    </w:rPr>
  </w:style>
  <w:style w:type="paragraph" w:customStyle="1" w:styleId="126">
    <w:name w:val="Body Text(ch)"/>
    <w:basedOn w:val="1"/>
    <w:next w:val="18"/>
    <w:autoRedefine/>
    <w:qFormat/>
    <w:uiPriority w:val="0"/>
    <w:pPr>
      <w:spacing w:after="120"/>
    </w:pPr>
    <w:rPr>
      <w:rFonts w:ascii="宋体" w:hAnsi="Arial"/>
      <w:bCs/>
      <w:iCs/>
      <w:szCs w:val="24"/>
    </w:rPr>
  </w:style>
  <w:style w:type="paragraph" w:styleId="127">
    <w:name w:val="List Paragraph"/>
    <w:basedOn w:val="1"/>
    <w:autoRedefine/>
    <w:qFormat/>
    <w:uiPriority w:val="34"/>
    <w:pPr>
      <w:widowControl/>
      <w:ind w:left="720"/>
      <w:contextualSpacing/>
      <w:jc w:val="left"/>
    </w:pPr>
    <w:rPr>
      <w:rFonts w:ascii="Calibri" w:hAnsi="Calibri"/>
      <w:kern w:val="0"/>
      <w:sz w:val="24"/>
      <w:szCs w:val="24"/>
      <w:lang w:eastAsia="en-US" w:bidi="en-US"/>
    </w:rPr>
  </w:style>
  <w:style w:type="paragraph" w:customStyle="1" w:styleId="128">
    <w:name w:val="Char11"/>
    <w:basedOn w:val="14"/>
    <w:autoRedefine/>
    <w:qFormat/>
    <w:uiPriority w:val="0"/>
    <w:rPr>
      <w:rFonts w:ascii="Tahoma" w:hAnsi="Tahoma"/>
      <w:sz w:val="24"/>
      <w:szCs w:val="24"/>
    </w:rPr>
  </w:style>
  <w:style w:type="paragraph" w:customStyle="1" w:styleId="129">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30">
    <w:name w:val="_Style 4"/>
    <w:basedOn w:val="14"/>
    <w:autoRedefine/>
    <w:qFormat/>
    <w:uiPriority w:val="0"/>
    <w:pPr>
      <w:shd w:val="clear" w:color="auto" w:fill="auto"/>
      <w:spacing w:line="360" w:lineRule="auto"/>
      <w:jc w:val="left"/>
    </w:pPr>
    <w:rPr>
      <w:kern w:val="0"/>
      <w:sz w:val="20"/>
      <w:szCs w:val="20"/>
    </w:rPr>
  </w:style>
  <w:style w:type="paragraph" w:customStyle="1" w:styleId="131">
    <w:name w:val="4"/>
    <w:basedOn w:val="1"/>
    <w:next w:val="31"/>
    <w:autoRedefine/>
    <w:qFormat/>
    <w:uiPriority w:val="0"/>
    <w:pPr>
      <w:spacing w:line="360" w:lineRule="auto"/>
      <w:ind w:firstLine="420"/>
    </w:pPr>
    <w:rPr>
      <w:color w:val="FF0000"/>
      <w:sz w:val="24"/>
      <w:szCs w:val="24"/>
    </w:rPr>
  </w:style>
  <w:style w:type="paragraph" w:customStyle="1" w:styleId="132">
    <w:name w:val="Char Char Char Char Char Char 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TOC 标题1"/>
    <w:basedOn w:val="3"/>
    <w:next w:val="1"/>
    <w:autoRedefine/>
    <w:qFormat/>
    <w:uiPriority w:val="39"/>
    <w:pPr>
      <w:keepLines/>
      <w:widowControl/>
      <w:spacing w:before="480" w:line="276" w:lineRule="auto"/>
      <w:jc w:val="left"/>
      <w:outlineLvl w:val="9"/>
    </w:pPr>
    <w:rPr>
      <w:rFonts w:ascii="Cambria" w:hAnsi="Cambria"/>
      <w:bCs/>
      <w:color w:val="365F91"/>
      <w:kern w:val="0"/>
    </w:rPr>
  </w:style>
  <w:style w:type="paragraph" w:customStyle="1" w:styleId="134">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5">
    <w:name w:val="Char1"/>
    <w:basedOn w:val="1"/>
    <w:autoRedefine/>
    <w:qFormat/>
    <w:uiPriority w:val="0"/>
    <w:pPr>
      <w:tabs>
        <w:tab w:val="left" w:pos="360"/>
      </w:tabs>
      <w:ind w:firstLine="200" w:firstLineChars="200"/>
    </w:pPr>
    <w:rPr>
      <w:sz w:val="28"/>
      <w:szCs w:val="30"/>
    </w:rPr>
  </w:style>
  <w:style w:type="paragraph" w:customStyle="1" w:styleId="136">
    <w:name w:val="Char2 Char1 Char"/>
    <w:basedOn w:val="1"/>
    <w:autoRedefine/>
    <w:qFormat/>
    <w:uiPriority w:val="0"/>
    <w:pPr>
      <w:tabs>
        <w:tab w:val="left" w:pos="360"/>
      </w:tabs>
    </w:pPr>
    <w:rPr>
      <w:rFonts w:eastAsia="方正仿宋简体"/>
      <w:sz w:val="24"/>
      <w:szCs w:val="32"/>
    </w:rPr>
  </w:style>
  <w:style w:type="paragraph" w:customStyle="1" w:styleId="137">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8">
    <w:name w:val="Char Char Char Char2"/>
    <w:basedOn w:val="14"/>
    <w:autoRedefine/>
    <w:qFormat/>
    <w:uiPriority w:val="0"/>
    <w:pPr>
      <w:adjustRightInd w:val="0"/>
      <w:snapToGrid w:val="0"/>
      <w:spacing w:line="360" w:lineRule="auto"/>
    </w:pPr>
    <w:rPr>
      <w:rFonts w:ascii="Tahoma" w:hAnsi="Tahoma"/>
      <w:sz w:val="24"/>
      <w:szCs w:val="24"/>
    </w:rPr>
  </w:style>
  <w:style w:type="paragraph" w:customStyle="1" w:styleId="139">
    <w:name w:val="_Style 119"/>
    <w:basedOn w:val="1"/>
    <w:next w:val="127"/>
    <w:autoRedefine/>
    <w:qFormat/>
    <w:uiPriority w:val="34"/>
    <w:pPr>
      <w:widowControl/>
      <w:ind w:left="720"/>
      <w:contextualSpacing/>
      <w:jc w:val="left"/>
    </w:pPr>
    <w:rPr>
      <w:rFonts w:ascii="Calibri" w:hAnsi="Calibri"/>
      <w:kern w:val="0"/>
      <w:sz w:val="24"/>
      <w:szCs w:val="24"/>
      <w:lang w:eastAsia="en-US" w:bidi="en-US"/>
    </w:rPr>
  </w:style>
  <w:style w:type="paragraph" w:customStyle="1" w:styleId="1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1">
    <w:name w:val="Table Paragraph"/>
    <w:basedOn w:val="1"/>
    <w:autoRedefine/>
    <w:qFormat/>
    <w:uiPriority w:val="1"/>
  </w:style>
  <w:style w:type="character" w:customStyle="1" w:styleId="142">
    <w:name w:val="纯文本 字符"/>
    <w:autoRedefine/>
    <w:qFormat/>
    <w:uiPriority w:val="0"/>
    <w:rPr>
      <w:rFonts w:ascii="宋体" w:hAnsi="Courier New" w:cs="Courier New"/>
      <w:kern w:val="2"/>
      <w:sz w:val="21"/>
      <w:szCs w:val="21"/>
    </w:rPr>
  </w:style>
  <w:style w:type="character" w:customStyle="1" w:styleId="143">
    <w:name w:val="正文缩进 字符"/>
    <w:autoRedefine/>
    <w:qFormat/>
    <w:uiPriority w:val="0"/>
    <w:rPr>
      <w:kern w:val="2"/>
      <w:sz w:val="21"/>
      <w:szCs w:val="21"/>
    </w:rPr>
  </w:style>
  <w:style w:type="paragraph" w:customStyle="1" w:styleId="144">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5">
    <w:name w:val="xl70"/>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46">
    <w:name w:val="xl71"/>
    <w:basedOn w:val="1"/>
    <w:autoRedefine/>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8">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4">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1">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7">
    <w:name w:val="xl9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8">
    <w:name w:val="xl9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9">
    <w:name w:val="xl94"/>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0">
    <w:name w:val="xl95"/>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2">
    <w:name w:val="xl97"/>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3">
    <w:name w:val="xl98"/>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4">
    <w:name w:val="xl9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5">
    <w:name w:val="xl10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6">
    <w:name w:val="xl10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7">
    <w:name w:val="xl102"/>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8">
    <w:name w:val="xl103"/>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9">
    <w:name w:val="xl10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80">
    <w:name w:val="xl68"/>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81">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customStyle="1" w:styleId="182">
    <w:name w:val="超链接_0"/>
    <w:autoRedefine/>
    <w:qFormat/>
    <w:uiPriority w:val="99"/>
    <w:rPr>
      <w:rFonts w:hint="default" w:ascii="Calibri" w:hAnsi="Calibri" w:cs="Calibri"/>
      <w:color w:val="0000FF"/>
      <w:u w:val="single"/>
    </w:rPr>
  </w:style>
  <w:style w:type="paragraph" w:customStyle="1" w:styleId="183">
    <w:name w:val="正文_0"/>
    <w:basedOn w:val="1"/>
    <w:next w:val="1"/>
    <w:autoRedefine/>
    <w:qFormat/>
    <w:uiPriority w:val="0"/>
    <w:pPr>
      <w:spacing w:after="200" w:line="276" w:lineRule="auto"/>
    </w:pPr>
    <w:rPr>
      <w:rFonts w:ascii="Calibri" w:hAnsi="Calibri"/>
      <w:szCs w:val="24"/>
    </w:rPr>
  </w:style>
  <w:style w:type="paragraph" w:customStyle="1" w:styleId="184">
    <w:name w:val="普通(网站)1"/>
    <w:basedOn w:val="1"/>
    <w:autoRedefine/>
    <w:qFormat/>
    <w:uiPriority w:val="0"/>
    <w:pPr>
      <w:spacing w:beforeAutospacing="1" w:afterAutospacing="1"/>
      <w:jc w:val="left"/>
    </w:pPr>
    <w:rPr>
      <w:rFonts w:ascii="Calibri" w:hAnsi="Calibri"/>
      <w:kern w:val="0"/>
      <w:sz w:val="24"/>
    </w:rPr>
  </w:style>
  <w:style w:type="character" w:customStyle="1" w:styleId="185">
    <w:name w:val="bookmark-item"/>
    <w:basedOn w:val="40"/>
    <w:autoRedefine/>
    <w:qFormat/>
    <w:uiPriority w:val="0"/>
  </w:style>
  <w:style w:type="paragraph" w:customStyle="1" w:styleId="186">
    <w:name w:val="表格"/>
    <w:basedOn w:val="30"/>
    <w:next w:val="1"/>
    <w:autoRedefine/>
    <w:qFormat/>
    <w:uiPriority w:val="0"/>
    <w:pPr>
      <w:adjustRightInd w:val="0"/>
      <w:snapToGrid w:val="0"/>
      <w:spacing w:before="20" w:after="20"/>
      <w:jc w:val="center"/>
      <w:textAlignment w:val="baseline"/>
    </w:pPr>
    <w:rPr>
      <w:rFonts w:ascii="Arial" w:hAnsi="Arial"/>
      <w:snapToGrid w:val="0"/>
    </w:rPr>
  </w:style>
  <w:style w:type="character" w:customStyle="1" w:styleId="187">
    <w:name w:val="btn-auto-1"/>
    <w:basedOn w:val="40"/>
    <w:autoRedefine/>
    <w:qFormat/>
    <w:uiPriority w:val="0"/>
  </w:style>
  <w:style w:type="character" w:customStyle="1" w:styleId="188">
    <w:name w:val="s1"/>
    <w:basedOn w:val="40"/>
    <w:autoRedefine/>
    <w:qFormat/>
    <w:uiPriority w:val="0"/>
    <w:rPr>
      <w:color w:val="DDDDDD"/>
      <w:sz w:val="14"/>
      <w:szCs w:val="14"/>
    </w:rPr>
  </w:style>
  <w:style w:type="character" w:customStyle="1" w:styleId="189">
    <w:name w:val="btn-task-gray2"/>
    <w:basedOn w:val="40"/>
    <w:autoRedefine/>
    <w:qFormat/>
    <w:uiPriority w:val="0"/>
    <w:rPr>
      <w:color w:val="FFFFFF"/>
      <w:u w:val="none"/>
      <w:shd w:val="clear" w:color="auto" w:fill="CCCCCC"/>
    </w:rPr>
  </w:style>
  <w:style w:type="character" w:customStyle="1" w:styleId="190">
    <w:name w:val="btn-task-gray3"/>
    <w:basedOn w:val="40"/>
    <w:autoRedefine/>
    <w:qFormat/>
    <w:uiPriority w:val="0"/>
  </w:style>
  <w:style w:type="character" w:customStyle="1" w:styleId="191">
    <w:name w:val="fontstyle01"/>
    <w:basedOn w:val="40"/>
    <w:autoRedefine/>
    <w:qFormat/>
    <w:uiPriority w:val="0"/>
    <w:rPr>
      <w:rFonts w:ascii="仿宋" w:hAnsi="仿宋" w:eastAsia="仿宋" w:cs="仿宋"/>
      <w:color w:val="000000"/>
      <w:sz w:val="32"/>
      <w:szCs w:val="32"/>
    </w:rPr>
  </w:style>
  <w:style w:type="paragraph" w:customStyle="1" w:styleId="192">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193">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xl6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9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8">
    <w:name w:val="正文2"/>
    <w:basedOn w:val="1"/>
    <w:autoRedefine/>
    <w:qFormat/>
    <w:uiPriority w:val="0"/>
    <w:pPr>
      <w:spacing w:before="156" w:line="360" w:lineRule="auto"/>
      <w:ind w:firstLine="510" w:firstLineChars="200"/>
    </w:pPr>
    <w:rPr>
      <w:sz w:val="24"/>
    </w:rPr>
  </w:style>
  <w:style w:type="paragraph" w:customStyle="1" w:styleId="199">
    <w:name w:val="正文_0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文本缩进_2"/>
    <w:basedOn w:val="201"/>
    <w:autoRedefine/>
    <w:qFormat/>
    <w:uiPriority w:val="0"/>
    <w:pPr>
      <w:spacing w:line="500" w:lineRule="exact"/>
      <w:ind w:left="1588" w:leftChars="832" w:firstLine="433" w:firstLineChars="196"/>
    </w:pPr>
    <w:rPr>
      <w:kern w:val="0"/>
      <w:sz w:val="24"/>
    </w:rPr>
  </w:style>
  <w:style w:type="paragraph" w:customStyle="1" w:styleId="201">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2">
    <w:name w:val="layui-layer-tabnow"/>
    <w:basedOn w:val="40"/>
    <w:autoRedefine/>
    <w:qFormat/>
    <w:uiPriority w:val="0"/>
    <w:rPr>
      <w:bdr w:val="single" w:color="CCCCCC" w:sz="4" w:space="0"/>
      <w:shd w:val="clear" w:color="auto" w:fill="FFFFFF"/>
    </w:rPr>
  </w:style>
  <w:style w:type="character" w:customStyle="1" w:styleId="203">
    <w:name w:val="first-child"/>
    <w:basedOn w:val="40"/>
    <w:autoRedefine/>
    <w:qFormat/>
    <w:uiPriority w:val="0"/>
  </w:style>
  <w:style w:type="paragraph" w:customStyle="1" w:styleId="204">
    <w:name w:val="正文（深信服）"/>
    <w:autoRedefine/>
    <w:qFormat/>
    <w:uiPriority w:val="0"/>
    <w:pPr>
      <w:adjustRightInd w:val="0"/>
      <w:snapToGrid w:val="0"/>
      <w:spacing w:line="360" w:lineRule="auto"/>
      <w:ind w:firstLine="480" w:firstLineChars="200"/>
    </w:pPr>
    <w:rPr>
      <w:rFonts w:ascii="Times New Roman" w:hAnsi="Times New Roman" w:eastAsia="宋体" w:cs="Times New Roman"/>
      <w:sz w:val="24"/>
      <w:szCs w:val="21"/>
      <w:lang w:val="en-US" w:eastAsia="zh-CN" w:bidi="ar-SA"/>
    </w:rPr>
  </w:style>
  <w:style w:type="paragraph" w:customStyle="1" w:styleId="205">
    <w:name w:val="正文2.25"/>
    <w:basedOn w:val="1"/>
    <w:autoRedefine/>
    <w:qFormat/>
    <w:uiPriority w:val="0"/>
    <w:pPr>
      <w:spacing w:line="360" w:lineRule="auto"/>
      <w:ind w:firstLine="540"/>
    </w:pPr>
    <w:rPr>
      <w:sz w:val="24"/>
      <w:szCs w:val="24"/>
    </w:rPr>
  </w:style>
  <w:style w:type="paragraph" w:customStyle="1" w:styleId="206">
    <w:name w:val="文档正文"/>
    <w:basedOn w:val="1"/>
    <w:autoRedefine/>
    <w:qFormat/>
    <w:uiPriority w:val="0"/>
    <w:pPr>
      <w:adjustRightInd w:val="0"/>
      <w:spacing w:before="60" w:after="60" w:line="360" w:lineRule="atLeast"/>
      <w:ind w:firstLine="482"/>
    </w:pPr>
    <w:rPr>
      <w:rFonts w:hAnsi="宋体" w:cs="宋体"/>
      <w:sz w:val="24"/>
    </w:rPr>
  </w:style>
  <w:style w:type="character" w:customStyle="1" w:styleId="207">
    <w:name w:val="批注文字 Char"/>
    <w:basedOn w:val="40"/>
    <w:link w:val="16"/>
    <w:autoRedefine/>
    <w:semiHidden/>
    <w:qFormat/>
    <w:uiPriority w:val="0"/>
    <w:rPr>
      <w:kern w:val="2"/>
      <w:sz w:val="21"/>
      <w:szCs w:val="21"/>
    </w:rPr>
  </w:style>
  <w:style w:type="character" w:customStyle="1" w:styleId="208">
    <w:name w:val="脚注文本 Char"/>
    <w:basedOn w:val="40"/>
    <w:link w:val="2"/>
    <w:autoRedefine/>
    <w:qFormat/>
    <w:uiPriority w:val="0"/>
    <w:rPr>
      <w:kern w:val="2"/>
      <w:sz w:val="18"/>
      <w:szCs w:val="21"/>
    </w:rPr>
  </w:style>
  <w:style w:type="character" w:customStyle="1" w:styleId="209">
    <w:name w:val="font01"/>
    <w:basedOn w:val="40"/>
    <w:autoRedefine/>
    <w:qFormat/>
    <w:uiPriority w:val="0"/>
    <w:rPr>
      <w:rFonts w:hint="default" w:ascii="Times New Roman" w:hAnsi="Times New Roman" w:cs="Times New Roman"/>
      <w:color w:val="000000"/>
      <w:sz w:val="24"/>
      <w:szCs w:val="24"/>
      <w:u w:val="none"/>
    </w:rPr>
  </w:style>
  <w:style w:type="character" w:customStyle="1" w:styleId="210">
    <w:name w:val="font21"/>
    <w:basedOn w:val="40"/>
    <w:autoRedefine/>
    <w:qFormat/>
    <w:uiPriority w:val="0"/>
    <w:rPr>
      <w:rFonts w:hint="eastAsia" w:ascii="宋体" w:hAnsi="宋体" w:eastAsia="宋体" w:cs="宋体"/>
      <w:color w:val="000000"/>
      <w:sz w:val="24"/>
      <w:szCs w:val="24"/>
      <w:u w:val="none"/>
    </w:rPr>
  </w:style>
  <w:style w:type="character" w:customStyle="1" w:styleId="211">
    <w:name w:val="font11"/>
    <w:basedOn w:val="40"/>
    <w:autoRedefine/>
    <w:qFormat/>
    <w:uiPriority w:val="0"/>
    <w:rPr>
      <w:rFonts w:hint="eastAsia" w:ascii="宋体" w:hAnsi="宋体" w:eastAsia="宋体" w:cs="宋体"/>
      <w:color w:val="000000"/>
      <w:sz w:val="24"/>
      <w:szCs w:val="24"/>
      <w:u w:val="none"/>
    </w:rPr>
  </w:style>
  <w:style w:type="table" w:customStyle="1" w:styleId="212">
    <w:name w:val="Table Normal"/>
    <w:autoRedefine/>
    <w:semiHidden/>
    <w:unhideWhenUsed/>
    <w:qFormat/>
    <w:uiPriority w:val="0"/>
    <w:tblPr>
      <w:tblCellMar>
        <w:top w:w="0" w:type="dxa"/>
        <w:left w:w="0" w:type="dxa"/>
        <w:bottom w:w="0" w:type="dxa"/>
        <w:right w:w="0" w:type="dxa"/>
      </w:tblCellMar>
    </w:tblPr>
  </w:style>
  <w:style w:type="character" w:customStyle="1" w:styleId="213">
    <w:name w:val="font31"/>
    <w:basedOn w:val="40"/>
    <w:autoRedefine/>
    <w:qFormat/>
    <w:uiPriority w:val="0"/>
    <w:rPr>
      <w:rFonts w:hint="eastAsia" w:ascii="宋体" w:hAnsi="宋体" w:eastAsia="宋体" w:cs="宋体"/>
      <w:color w:val="000000"/>
      <w:sz w:val="24"/>
      <w:szCs w:val="24"/>
      <w:u w:val="none"/>
    </w:rPr>
  </w:style>
  <w:style w:type="character" w:customStyle="1" w:styleId="214">
    <w:name w:val="font61"/>
    <w:basedOn w:val="40"/>
    <w:autoRedefine/>
    <w:qFormat/>
    <w:uiPriority w:val="0"/>
    <w:rPr>
      <w:rFonts w:hint="eastAsia" w:ascii="宋体" w:hAnsi="宋体" w:eastAsia="宋体" w:cs="宋体"/>
      <w:color w:val="FF0000"/>
      <w:sz w:val="20"/>
      <w:szCs w:val="20"/>
      <w:u w:val="none"/>
    </w:rPr>
  </w:style>
  <w:style w:type="character" w:customStyle="1" w:styleId="215">
    <w:name w:val="font51"/>
    <w:basedOn w:val="40"/>
    <w:autoRedefine/>
    <w:qFormat/>
    <w:uiPriority w:val="0"/>
    <w:rPr>
      <w:rFonts w:hint="default" w:ascii="方正黑体_GBK" w:hAnsi="方正黑体_GBK" w:eastAsia="方正黑体_GBK" w:cs="方正黑体_GBK"/>
      <w:color w:val="FF0000"/>
      <w:sz w:val="20"/>
      <w:szCs w:val="20"/>
      <w:u w:val="none"/>
    </w:rPr>
  </w:style>
  <w:style w:type="character" w:customStyle="1" w:styleId="216">
    <w:name w:val="font41"/>
    <w:basedOn w:val="40"/>
    <w:autoRedefine/>
    <w:qFormat/>
    <w:uiPriority w:val="0"/>
    <w:rPr>
      <w:rFonts w:hint="default" w:ascii="方正黑体_GBK" w:hAnsi="方正黑体_GBK" w:eastAsia="方正黑体_GBK" w:cs="方正黑体_GBK"/>
      <w:color w:val="000000"/>
      <w:sz w:val="20"/>
      <w:szCs w:val="20"/>
      <w:u w:val="none"/>
    </w:rPr>
  </w:style>
  <w:style w:type="character" w:customStyle="1" w:styleId="217">
    <w:name w:val="font81"/>
    <w:basedOn w:val="40"/>
    <w:autoRedefine/>
    <w:qFormat/>
    <w:uiPriority w:val="0"/>
    <w:rPr>
      <w:rFonts w:hint="eastAsia" w:ascii="黑体" w:hAnsi="宋体" w:eastAsia="黑体" w:cs="黑体"/>
      <w:color w:val="FF0000"/>
      <w:sz w:val="20"/>
      <w:szCs w:val="20"/>
      <w:u w:val="none"/>
    </w:rPr>
  </w:style>
  <w:style w:type="character" w:customStyle="1" w:styleId="218">
    <w:name w:val="font71"/>
    <w:basedOn w:val="40"/>
    <w:autoRedefine/>
    <w:qFormat/>
    <w:uiPriority w:val="0"/>
    <w:rPr>
      <w:rFonts w:hint="default" w:ascii="方正黑体_GBK" w:hAnsi="方正黑体_GBK" w:eastAsia="方正黑体_GBK" w:cs="方正黑体_GBK"/>
      <w:color w:val="000000"/>
      <w:sz w:val="20"/>
      <w:szCs w:val="20"/>
      <w:u w:val="none"/>
    </w:rPr>
  </w:style>
  <w:style w:type="character" w:customStyle="1" w:styleId="219">
    <w:name w:val="font91"/>
    <w:basedOn w:val="40"/>
    <w:autoRedefine/>
    <w:qFormat/>
    <w:uiPriority w:val="0"/>
    <w:rPr>
      <w:rFonts w:hint="default"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D8702-CD7E-4C19-ACCF-7EE74A4FBC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140</Pages>
  <Words>82869</Words>
  <Characters>88043</Characters>
  <Lines>616</Lines>
  <Paragraphs>173</Paragraphs>
  <TotalTime>0</TotalTime>
  <ScaleCrop>false</ScaleCrop>
  <LinksUpToDate>false</LinksUpToDate>
  <CharactersWithSpaces>91081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2022-12-30T13:26:00Z</dcterms:created>
  <dc:creator>yinjian</dc:creator>
  <cp:lastModifiedBy>Administrator</cp:lastModifiedBy>
  <cp:lastPrinted>2024-03-29T01:51:00Z</cp:lastPrinted>
  <dcterms:modified xsi:type="dcterms:W3CDTF">2024-04-07T07:21:00Z</dcterms:modified>
  <dc:title>招　标　文　件</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572769497275435FA01D7C189D9624ED_13</vt:lpwstr>
  </property>
</Properties>
</file>