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tLeast"/>
        <w:jc w:val="center"/>
        <w:rPr>
          <w:rFonts w:hint="eastAsia" w:eastAsia="宋体" w:cs="宋体"/>
          <w:b/>
          <w:bCs/>
          <w:kern w:val="0"/>
          <w:sz w:val="36"/>
          <w:szCs w:val="36"/>
          <w:highlight w:val="none"/>
          <w:lang w:eastAsia="zh-CN"/>
        </w:rPr>
      </w:pPr>
      <w:r>
        <w:rPr>
          <w:rFonts w:hint="eastAsia" w:cs="宋体"/>
          <w:b/>
          <w:bCs/>
          <w:kern w:val="0"/>
          <w:sz w:val="36"/>
          <w:szCs w:val="36"/>
          <w:highlight w:val="none"/>
          <w:lang w:val="en-US" w:eastAsia="zh-CN"/>
        </w:rPr>
        <w:t>新疆消防救援总队乌鲁木齐支队“自然灾害应急能力提升工程”装备配备项目</w:t>
      </w:r>
      <w:r>
        <w:rPr>
          <w:rFonts w:hint="eastAsia" w:cs="宋体"/>
          <w:b/>
          <w:bCs/>
          <w:kern w:val="0"/>
          <w:sz w:val="36"/>
          <w:szCs w:val="36"/>
          <w:highlight w:val="none"/>
          <w:lang w:eastAsia="zh-CN"/>
        </w:rPr>
        <w:t>（</w:t>
      </w:r>
      <w:r>
        <w:rPr>
          <w:rFonts w:hint="eastAsia" w:cs="宋体"/>
          <w:b/>
          <w:bCs/>
          <w:kern w:val="0"/>
          <w:sz w:val="36"/>
          <w:szCs w:val="36"/>
          <w:highlight w:val="none"/>
          <w:lang w:val="en-US" w:eastAsia="zh-CN"/>
        </w:rPr>
        <w:t>九</w:t>
      </w:r>
      <w:r>
        <w:rPr>
          <w:rFonts w:hint="eastAsia" w:cs="宋体"/>
          <w:b/>
          <w:bCs/>
          <w:kern w:val="0"/>
          <w:sz w:val="36"/>
          <w:szCs w:val="36"/>
          <w:highlight w:val="none"/>
          <w:lang w:eastAsia="zh-CN"/>
        </w:rPr>
        <w:t>）</w:t>
      </w:r>
    </w:p>
    <w:p>
      <w:pPr>
        <w:spacing w:line="360" w:lineRule="atLeast"/>
        <w:ind w:left="1446" w:hanging="1446" w:hangingChars="450"/>
        <w:jc w:val="center"/>
        <w:rPr>
          <w:rFonts w:hAnsi="宋体" w:cs="宋体"/>
          <w:b/>
          <w:bCs/>
          <w:kern w:val="0"/>
          <w:sz w:val="32"/>
          <w:szCs w:val="32"/>
          <w:highlight w:val="none"/>
        </w:rPr>
      </w:pPr>
    </w:p>
    <w:p>
      <w:pPr>
        <w:spacing w:line="360" w:lineRule="atLeast"/>
        <w:ind w:left="1446" w:hanging="1446" w:hangingChars="450"/>
        <w:jc w:val="center"/>
        <w:rPr>
          <w:rFonts w:hint="default" w:eastAsia="宋体"/>
          <w:sz w:val="30"/>
          <w:szCs w:val="30"/>
          <w:highlight w:val="none"/>
          <w:lang w:val="en-US" w:eastAsia="zh-CN"/>
        </w:rPr>
      </w:pPr>
      <w:r>
        <w:rPr>
          <w:rFonts w:hint="eastAsia" w:hAnsi="宋体" w:cs="宋体"/>
          <w:b/>
          <w:bCs/>
          <w:kern w:val="0"/>
          <w:sz w:val="32"/>
          <w:szCs w:val="32"/>
          <w:highlight w:val="none"/>
        </w:rPr>
        <w:t>项目编号：</w:t>
      </w:r>
      <w:r>
        <w:rPr>
          <w:rFonts w:hint="eastAsia" w:hAnsi="宋体" w:cs="宋体"/>
          <w:b/>
          <w:bCs/>
          <w:kern w:val="0"/>
          <w:sz w:val="32"/>
          <w:szCs w:val="32"/>
          <w:highlight w:val="none"/>
          <w:lang w:val="en-US" w:eastAsia="zh-CN"/>
        </w:rPr>
        <w:t>XJYY-HWZB-2024003A</w:t>
      </w:r>
    </w:p>
    <w:p>
      <w:pPr>
        <w:spacing w:line="360" w:lineRule="atLeast"/>
        <w:ind w:left="1350" w:hanging="1350" w:hangingChars="450"/>
        <w:jc w:val="center"/>
        <w:rPr>
          <w:sz w:val="30"/>
          <w:szCs w:val="30"/>
          <w:highlight w:val="none"/>
        </w:rPr>
      </w:pPr>
    </w:p>
    <w:p>
      <w:pPr>
        <w:spacing w:line="360" w:lineRule="auto"/>
        <w:jc w:val="center"/>
        <w:rPr>
          <w:rFonts w:ascii="宋体" w:hAnsi="宋体" w:cs="宋体"/>
          <w:b/>
          <w:bCs/>
          <w:sz w:val="44"/>
          <w:szCs w:val="44"/>
          <w:highlight w:val="none"/>
        </w:rPr>
      </w:pPr>
      <w:r>
        <w:rPr>
          <w:rFonts w:hint="eastAsia" w:ascii="宋体" w:hAnsi="宋体" w:cs="宋体"/>
          <w:b/>
          <w:bCs/>
          <w:sz w:val="44"/>
          <w:szCs w:val="44"/>
          <w:highlight w:val="none"/>
        </w:rPr>
        <w:t>招  标  文  件</w:t>
      </w:r>
    </w:p>
    <w:p>
      <w:pPr>
        <w:spacing w:line="360" w:lineRule="auto"/>
        <w:rPr>
          <w:rFonts w:ascii="宋体" w:hAnsi="宋体" w:cs="宋体"/>
          <w:sz w:val="30"/>
          <w:szCs w:val="30"/>
          <w:highlight w:val="none"/>
        </w:rPr>
      </w:pPr>
    </w:p>
    <w:p>
      <w:pPr>
        <w:spacing w:line="360" w:lineRule="auto"/>
        <w:rPr>
          <w:rFonts w:ascii="宋体" w:hAnsi="宋体" w:cs="宋体"/>
          <w:sz w:val="30"/>
          <w:szCs w:val="30"/>
          <w:highlight w:val="none"/>
        </w:rPr>
      </w:pPr>
    </w:p>
    <w:p>
      <w:pPr>
        <w:spacing w:line="360" w:lineRule="auto"/>
        <w:rPr>
          <w:rFonts w:ascii="宋体" w:hAnsi="宋体" w:cs="宋体"/>
          <w:sz w:val="30"/>
          <w:szCs w:val="30"/>
          <w:highlight w:val="none"/>
        </w:rPr>
      </w:pPr>
    </w:p>
    <w:p>
      <w:pPr>
        <w:pStyle w:val="12"/>
        <w:rPr>
          <w:highlight w:val="none"/>
        </w:rPr>
      </w:pPr>
    </w:p>
    <w:p>
      <w:pPr>
        <w:rPr>
          <w:rFonts w:ascii="宋体" w:hAnsi="宋体" w:cs="宋体"/>
          <w:sz w:val="30"/>
          <w:szCs w:val="30"/>
          <w:highlight w:val="none"/>
        </w:rPr>
      </w:pPr>
    </w:p>
    <w:p>
      <w:pPr>
        <w:rPr>
          <w:rFonts w:ascii="宋体" w:hAnsi="宋体" w:cs="宋体"/>
          <w:sz w:val="30"/>
          <w:szCs w:val="30"/>
          <w:highlight w:val="none"/>
        </w:rPr>
      </w:pPr>
    </w:p>
    <w:p>
      <w:pPr>
        <w:pStyle w:val="3"/>
        <w:rPr>
          <w:highlight w:val="none"/>
        </w:rPr>
      </w:pPr>
    </w:p>
    <w:p>
      <w:pPr>
        <w:spacing w:line="600" w:lineRule="auto"/>
        <w:ind w:firstLine="602" w:firstLineChars="200"/>
        <w:rPr>
          <w:rFonts w:hint="eastAsia" w:ascii="宋体" w:hAnsi="宋体" w:cs="宋体"/>
          <w:b/>
          <w:bCs/>
          <w:sz w:val="30"/>
          <w:szCs w:val="30"/>
          <w:highlight w:val="none"/>
          <w:lang w:val="en-US" w:eastAsia="zh-CN"/>
        </w:rPr>
      </w:pPr>
      <w:r>
        <w:rPr>
          <w:rFonts w:hint="eastAsia" w:ascii="宋体" w:hAnsi="宋体" w:cs="宋体"/>
          <w:b/>
          <w:bCs/>
          <w:kern w:val="0"/>
          <w:sz w:val="30"/>
          <w:szCs w:val="30"/>
          <w:highlight w:val="none"/>
          <w:lang w:eastAsia="zh-CN"/>
        </w:rPr>
        <w:t>采购人</w:t>
      </w:r>
      <w:r>
        <w:rPr>
          <w:rFonts w:hint="eastAsia" w:ascii="宋体" w:hAnsi="宋体" w:cs="宋体"/>
          <w:b/>
          <w:bCs/>
          <w:kern w:val="0"/>
          <w:sz w:val="30"/>
          <w:szCs w:val="30"/>
          <w:highlight w:val="none"/>
        </w:rPr>
        <w:t>（盖章）</w:t>
      </w:r>
      <w:r>
        <w:rPr>
          <w:rFonts w:hint="eastAsia" w:ascii="宋体" w:hAnsi="宋体" w:cs="宋体"/>
          <w:b/>
          <w:bCs/>
          <w:sz w:val="30"/>
          <w:szCs w:val="30"/>
          <w:highlight w:val="none"/>
        </w:rPr>
        <w:t>：</w:t>
      </w:r>
      <w:r>
        <w:rPr>
          <w:rFonts w:hint="eastAsia" w:ascii="宋体" w:hAnsi="宋体" w:cs="宋体"/>
          <w:b/>
          <w:bCs/>
          <w:sz w:val="30"/>
          <w:szCs w:val="30"/>
          <w:highlight w:val="none"/>
          <w:lang w:val="en-US" w:eastAsia="zh-CN"/>
        </w:rPr>
        <w:t>乌鲁木齐市消防救援支队</w:t>
      </w:r>
    </w:p>
    <w:p>
      <w:pPr>
        <w:spacing w:line="600" w:lineRule="auto"/>
        <w:ind w:firstLine="602" w:firstLineChars="200"/>
        <w:rPr>
          <w:rFonts w:hint="eastAsia" w:ascii="宋体" w:hAnsi="宋体" w:cs="宋体"/>
          <w:b/>
          <w:bCs/>
          <w:kern w:val="0"/>
          <w:sz w:val="30"/>
          <w:szCs w:val="30"/>
          <w:highlight w:val="none"/>
          <w:lang w:eastAsia="zh-CN"/>
        </w:rPr>
      </w:pPr>
      <w:r>
        <w:rPr>
          <w:rFonts w:hint="eastAsia" w:ascii="宋体" w:hAnsi="宋体" w:cs="宋体"/>
          <w:b/>
          <w:bCs/>
          <w:kern w:val="0"/>
          <w:sz w:val="30"/>
          <w:szCs w:val="30"/>
          <w:highlight w:val="none"/>
          <w:lang w:eastAsia="zh-CN"/>
        </w:rPr>
        <w:t>联系人：邓</w:t>
      </w:r>
      <w:r>
        <w:rPr>
          <w:rFonts w:hint="eastAsia" w:ascii="宋体" w:hAnsi="宋体" w:cs="宋体"/>
          <w:b/>
          <w:bCs/>
          <w:kern w:val="0"/>
          <w:sz w:val="30"/>
          <w:szCs w:val="30"/>
          <w:highlight w:val="none"/>
          <w:lang w:val="en-US" w:eastAsia="zh-CN"/>
        </w:rPr>
        <w:t>先生</w:t>
      </w:r>
      <w:r>
        <w:rPr>
          <w:rFonts w:hint="eastAsia" w:ascii="宋体" w:hAnsi="宋体" w:cs="宋体"/>
          <w:b/>
          <w:bCs/>
          <w:kern w:val="0"/>
          <w:sz w:val="30"/>
          <w:szCs w:val="30"/>
          <w:highlight w:val="none"/>
          <w:lang w:eastAsia="zh-CN"/>
        </w:rPr>
        <w:t>、阴</w:t>
      </w:r>
      <w:r>
        <w:rPr>
          <w:rFonts w:hint="eastAsia" w:ascii="宋体" w:hAnsi="宋体" w:cs="宋体"/>
          <w:b/>
          <w:bCs/>
          <w:kern w:val="0"/>
          <w:sz w:val="30"/>
          <w:szCs w:val="30"/>
          <w:highlight w:val="none"/>
          <w:lang w:val="en-US" w:eastAsia="zh-CN"/>
        </w:rPr>
        <w:t>女士</w:t>
      </w:r>
    </w:p>
    <w:p>
      <w:pPr>
        <w:spacing w:line="600" w:lineRule="auto"/>
        <w:ind w:firstLine="602" w:firstLineChars="200"/>
        <w:rPr>
          <w:rFonts w:hint="eastAsia" w:ascii="宋体" w:hAnsi="宋体" w:cs="宋体"/>
          <w:b/>
          <w:bCs/>
          <w:kern w:val="0"/>
          <w:sz w:val="30"/>
          <w:szCs w:val="30"/>
          <w:highlight w:val="none"/>
          <w:lang w:eastAsia="zh-CN"/>
        </w:rPr>
      </w:pPr>
      <w:r>
        <w:rPr>
          <w:rFonts w:hint="eastAsia" w:ascii="宋体" w:hAnsi="宋体" w:cs="宋体"/>
          <w:b/>
          <w:bCs/>
          <w:kern w:val="0"/>
          <w:sz w:val="30"/>
          <w:szCs w:val="30"/>
          <w:highlight w:val="none"/>
          <w:lang w:eastAsia="zh-CN"/>
        </w:rPr>
        <w:t xml:space="preserve">联系电话：18999992360、13699380864 </w:t>
      </w:r>
    </w:p>
    <w:p>
      <w:pPr>
        <w:spacing w:line="600" w:lineRule="auto"/>
        <w:ind w:firstLine="602" w:firstLineChars="200"/>
        <w:rPr>
          <w:rFonts w:hint="eastAsia" w:ascii="宋体" w:hAnsi="宋体" w:cs="宋体"/>
          <w:b/>
          <w:bCs/>
          <w:kern w:val="0"/>
          <w:sz w:val="30"/>
          <w:szCs w:val="30"/>
          <w:highlight w:val="none"/>
          <w:lang w:val="en-US" w:eastAsia="zh-CN"/>
        </w:rPr>
      </w:pPr>
      <w:r>
        <w:rPr>
          <w:rFonts w:ascii="宋体" w:hAnsi="宋体" w:cs="宋体"/>
          <w:b/>
          <w:bCs/>
          <w:sz w:val="30"/>
          <w:szCs w:val="30"/>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6019800" cy="0"/>
                <wp:effectExtent l="0" t="6350" r="0" b="6350"/>
                <wp:wrapNone/>
                <wp:docPr id="1" name="直接连接符 1"/>
                <wp:cNvGraphicFramePr/>
                <a:graphic xmlns:a="http://schemas.openxmlformats.org/drawingml/2006/main">
                  <a:graphicData uri="http://schemas.microsoft.com/office/word/2010/wordprocessingShape">
                    <wps:wsp>
                      <wps:cNvCnPr/>
                      <wps:spPr>
                        <a:xfrm>
                          <a:off x="0" y="0"/>
                          <a:ext cx="6019800" cy="0"/>
                        </a:xfrm>
                        <a:prstGeom prst="line">
                          <a:avLst/>
                        </a:prstGeom>
                        <a:ln w="12700" cap="flat" cmpd="sng">
                          <a:solidFill>
                            <a:srgbClr val="000000"/>
                          </a:solidFill>
                          <a:prstDash val="sysDot"/>
                          <a:headEnd type="none" w="med" len="med"/>
                          <a:tailEnd type="none" w="med" len="med"/>
                        </a:ln>
                        <a:effectLst/>
                      </wps:spPr>
                      <wps:bodyPr/>
                    </wps:wsp>
                  </a:graphicData>
                </a:graphic>
              </wp:anchor>
            </w:drawing>
          </mc:Choice>
          <mc:Fallback>
            <w:pict>
              <v:line id="_x0000_s1026" o:spid="_x0000_s1026" o:spt="20" style="position:absolute;left:0pt;margin-left:-9pt;margin-top:0pt;height:0pt;width:474pt;z-index:251659264;mso-width-relative:page;mso-height-relative:page;" filled="f" stroked="t" coordsize="21600,21600" o:gfxdata="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xY7g9MAAAAFAQAADwAAAAAAAAABACAAAAAiAAAAZHJzL2Rvd25yZXYueG1sUEsBAhQAFAAAAAgA&#10;h07iQCY6lI3xAQAA6AMAAA4AAAAAAAAAAQAgAAAAIgEAAGRycy9lMm9Eb2MueG1sUEsFBgAAAAAG&#10;AAYAWQEAAIUFAAAAAA==&#10;">
                <v:fill on="f" focussize="0,0"/>
                <v:stroke weight="1pt" color="#000000" joinstyle="round" dashstyle="1 1"/>
                <v:imagedata o:title=""/>
                <o:lock v:ext="edit" aspectratio="f"/>
              </v:line>
            </w:pict>
          </mc:Fallback>
        </mc:AlternateContent>
      </w:r>
      <w:r>
        <w:rPr>
          <w:rFonts w:hint="eastAsia" w:ascii="宋体" w:hAnsi="宋体" w:cs="宋体"/>
          <w:b/>
          <w:bCs/>
          <w:kern w:val="0"/>
          <w:sz w:val="30"/>
          <w:szCs w:val="30"/>
          <w:highlight w:val="none"/>
          <w:lang w:eastAsia="zh-CN"/>
        </w:rPr>
        <w:t>采购代理机构</w:t>
      </w:r>
      <w:r>
        <w:rPr>
          <w:rFonts w:hint="eastAsia" w:ascii="宋体" w:hAnsi="宋体" w:cs="宋体"/>
          <w:b/>
          <w:bCs/>
          <w:kern w:val="0"/>
          <w:sz w:val="30"/>
          <w:szCs w:val="30"/>
          <w:highlight w:val="none"/>
        </w:rPr>
        <w:t>（盖章）：</w:t>
      </w:r>
      <w:r>
        <w:rPr>
          <w:rFonts w:hint="eastAsia" w:ascii="宋体" w:hAnsi="宋体" w:cs="宋体"/>
          <w:b/>
          <w:bCs/>
          <w:kern w:val="0"/>
          <w:sz w:val="30"/>
          <w:szCs w:val="30"/>
          <w:highlight w:val="none"/>
          <w:lang w:val="en-US" w:eastAsia="zh-CN"/>
        </w:rPr>
        <w:t>新疆懿源工程咨询管理有限公司</w:t>
      </w:r>
    </w:p>
    <w:p>
      <w:pPr>
        <w:spacing w:line="600" w:lineRule="auto"/>
        <w:ind w:firstLine="602" w:firstLineChars="200"/>
        <w:rPr>
          <w:rFonts w:hint="eastAsia" w:ascii="宋体" w:hAnsi="宋体" w:cs="宋体"/>
          <w:b/>
          <w:bCs/>
          <w:kern w:val="0"/>
          <w:sz w:val="30"/>
          <w:szCs w:val="30"/>
          <w:highlight w:val="none"/>
          <w:lang w:val="en-US" w:eastAsia="zh-CN"/>
        </w:rPr>
      </w:pPr>
      <w:r>
        <w:rPr>
          <w:rFonts w:hint="eastAsia" w:ascii="宋体" w:hAnsi="宋体" w:cs="宋体"/>
          <w:b/>
          <w:bCs/>
          <w:kern w:val="0"/>
          <w:sz w:val="30"/>
          <w:szCs w:val="30"/>
          <w:highlight w:val="none"/>
        </w:rPr>
        <w:t>法人代表（盖章）：</w:t>
      </w:r>
      <w:r>
        <w:rPr>
          <w:rFonts w:hint="eastAsia" w:ascii="宋体" w:hAnsi="宋体" w:cs="宋体"/>
          <w:b/>
          <w:bCs/>
          <w:kern w:val="0"/>
          <w:sz w:val="30"/>
          <w:szCs w:val="30"/>
          <w:highlight w:val="none"/>
          <w:lang w:val="en-US" w:eastAsia="zh-CN"/>
        </w:rPr>
        <w:t>苏文娣</w:t>
      </w:r>
    </w:p>
    <w:p>
      <w:pPr>
        <w:spacing w:line="600" w:lineRule="auto"/>
        <w:ind w:firstLine="602" w:firstLineChars="200"/>
        <w:rPr>
          <w:rFonts w:hint="default" w:ascii="宋体" w:hAnsi="宋体" w:cs="宋体"/>
          <w:b/>
          <w:bCs/>
          <w:kern w:val="0"/>
          <w:sz w:val="30"/>
          <w:szCs w:val="30"/>
          <w:highlight w:val="none"/>
          <w:lang w:val="en-US" w:eastAsia="zh-CN"/>
        </w:rPr>
      </w:pPr>
      <w:r>
        <w:rPr>
          <w:rFonts w:hint="eastAsia" w:ascii="宋体" w:hAnsi="宋体" w:cs="宋体"/>
          <w:b/>
          <w:bCs/>
          <w:kern w:val="0"/>
          <w:sz w:val="30"/>
          <w:szCs w:val="30"/>
          <w:highlight w:val="none"/>
        </w:rPr>
        <w:t>联系人：</w:t>
      </w:r>
      <w:r>
        <w:rPr>
          <w:rFonts w:hint="eastAsia" w:ascii="宋体" w:hAnsi="宋体" w:cs="宋体"/>
          <w:b/>
          <w:bCs/>
          <w:kern w:val="0"/>
          <w:sz w:val="30"/>
          <w:szCs w:val="30"/>
          <w:highlight w:val="none"/>
          <w:lang w:eastAsia="zh-CN"/>
        </w:rPr>
        <w:t>朱玉斌、苏莉</w:t>
      </w:r>
    </w:p>
    <w:p>
      <w:pPr>
        <w:spacing w:line="600" w:lineRule="auto"/>
        <w:ind w:firstLine="602" w:firstLineChars="200"/>
        <w:rPr>
          <w:rFonts w:hint="eastAsia" w:ascii="宋体" w:hAnsi="宋体" w:cs="宋体"/>
          <w:b/>
          <w:bCs/>
          <w:kern w:val="0"/>
          <w:sz w:val="30"/>
          <w:szCs w:val="30"/>
          <w:highlight w:val="none"/>
          <w:lang w:eastAsia="zh-CN"/>
        </w:rPr>
      </w:pPr>
      <w:r>
        <w:rPr>
          <w:rFonts w:hint="eastAsia" w:ascii="宋体" w:hAnsi="宋体" w:cs="宋体"/>
          <w:b/>
          <w:bCs/>
          <w:kern w:val="0"/>
          <w:sz w:val="30"/>
          <w:szCs w:val="30"/>
          <w:highlight w:val="none"/>
        </w:rPr>
        <w:t>联系电话：</w:t>
      </w:r>
      <w:r>
        <w:rPr>
          <w:rFonts w:hint="eastAsia" w:ascii="宋体" w:hAnsi="宋体" w:cs="宋体"/>
          <w:b/>
          <w:bCs/>
          <w:kern w:val="0"/>
          <w:sz w:val="30"/>
          <w:szCs w:val="30"/>
          <w:highlight w:val="none"/>
          <w:lang w:eastAsia="zh-CN"/>
        </w:rPr>
        <w:t>13009617191、18599017770</w:t>
      </w:r>
    </w:p>
    <w:p>
      <w:pPr>
        <w:pStyle w:val="12"/>
        <w:rPr>
          <w:rFonts w:ascii="宋体" w:hAnsi="宋体" w:cs="宋体"/>
          <w:b/>
          <w:bCs/>
          <w:kern w:val="0"/>
          <w:sz w:val="30"/>
          <w:szCs w:val="30"/>
          <w:highlight w:val="none"/>
        </w:rPr>
      </w:pPr>
    </w:p>
    <w:p>
      <w:pPr>
        <w:pStyle w:val="12"/>
        <w:rPr>
          <w:rFonts w:ascii="宋体" w:hAnsi="宋体" w:cs="宋体"/>
          <w:b/>
          <w:bCs/>
          <w:kern w:val="0"/>
          <w:sz w:val="30"/>
          <w:szCs w:val="30"/>
          <w:highlight w:val="none"/>
        </w:rPr>
        <w:sectPr>
          <w:headerReference r:id="rId4" w:type="first"/>
          <w:footerReference r:id="rId5" w:type="default"/>
          <w:headerReference r:id="rId3" w:type="even"/>
          <w:footerReference r:id="rId6" w:type="even"/>
          <w:pgSz w:w="11906" w:h="16838"/>
          <w:pgMar w:top="1418" w:right="1417" w:bottom="1418" w:left="1417" w:header="851" w:footer="907" w:gutter="0"/>
          <w:pgBorders>
            <w:top w:val="none" w:sz="0" w:space="0"/>
            <w:left w:val="none" w:sz="0" w:space="0"/>
            <w:bottom w:val="none" w:sz="0" w:space="0"/>
            <w:right w:val="none" w:sz="0" w:space="0"/>
          </w:pgBorders>
          <w:pgNumType w:start="1"/>
          <w:cols w:space="720" w:num="1"/>
          <w:titlePg/>
          <w:docGrid w:type="lines" w:linePitch="290" w:charSpace="0"/>
        </w:sectPr>
      </w:pPr>
    </w:p>
    <w:p>
      <w:pPr>
        <w:pStyle w:val="21"/>
        <w:jc w:val="center"/>
        <w:rPr>
          <w:color w:val="auto"/>
          <w:sz w:val="44"/>
          <w:szCs w:val="44"/>
          <w:highlight w:val="none"/>
          <w:lang w:val="zh-CN"/>
        </w:rPr>
      </w:pPr>
      <w:r>
        <w:rPr>
          <w:color w:val="auto"/>
          <w:sz w:val="44"/>
          <w:szCs w:val="44"/>
          <w:highlight w:val="none"/>
          <w:lang w:val="zh-CN"/>
        </w:rPr>
        <w:t>目录</w:t>
      </w:r>
    </w:p>
    <w:p>
      <w:pPr>
        <w:pStyle w:val="10"/>
        <w:tabs>
          <w:tab w:val="right" w:leader="dot" w:pos="8306"/>
        </w:tabs>
        <w:rPr>
          <w:sz w:val="28"/>
          <w:szCs w:val="28"/>
          <w:highlight w:val="none"/>
        </w:rPr>
      </w:pPr>
      <w:r>
        <w:rPr>
          <w:sz w:val="28"/>
          <w:szCs w:val="28"/>
          <w:highlight w:val="none"/>
        </w:rPr>
        <w:fldChar w:fldCharType="begin"/>
      </w:r>
      <w:r>
        <w:rPr>
          <w:sz w:val="28"/>
          <w:szCs w:val="28"/>
          <w:highlight w:val="none"/>
        </w:rPr>
        <w:instrText xml:space="preserve">TOC \o "1-1" \h \u </w:instrText>
      </w:r>
      <w:r>
        <w:rPr>
          <w:sz w:val="28"/>
          <w:szCs w:val="28"/>
          <w:highlight w:val="none"/>
        </w:rPr>
        <w:fldChar w:fldCharType="separate"/>
      </w:r>
      <w:r>
        <w:rPr>
          <w:sz w:val="28"/>
          <w:szCs w:val="28"/>
          <w:highlight w:val="none"/>
        </w:rPr>
        <w:fldChar w:fldCharType="begin"/>
      </w:r>
      <w:r>
        <w:rPr>
          <w:sz w:val="28"/>
          <w:szCs w:val="28"/>
          <w:highlight w:val="none"/>
        </w:rPr>
        <w:instrText xml:space="preserve"> HYPERLINK \l _Toc24830 </w:instrText>
      </w:r>
      <w:r>
        <w:rPr>
          <w:sz w:val="28"/>
          <w:szCs w:val="28"/>
          <w:highlight w:val="none"/>
        </w:rPr>
        <w:fldChar w:fldCharType="separate"/>
      </w:r>
      <w:r>
        <w:rPr>
          <w:rFonts w:hint="eastAsia"/>
          <w:sz w:val="28"/>
          <w:szCs w:val="28"/>
          <w:highlight w:val="none"/>
        </w:rPr>
        <w:t>须知前附表</w:t>
      </w:r>
      <w:r>
        <w:rPr>
          <w:sz w:val="28"/>
          <w:szCs w:val="28"/>
          <w:highlight w:val="none"/>
        </w:rPr>
        <w:tab/>
      </w:r>
      <w:r>
        <w:rPr>
          <w:sz w:val="28"/>
          <w:szCs w:val="28"/>
          <w:highlight w:val="none"/>
        </w:rPr>
        <w:fldChar w:fldCharType="begin"/>
      </w:r>
      <w:r>
        <w:rPr>
          <w:sz w:val="28"/>
          <w:szCs w:val="28"/>
          <w:highlight w:val="none"/>
        </w:rPr>
        <w:instrText xml:space="preserve"> PAGEREF _Toc24830 \h </w:instrText>
      </w:r>
      <w:r>
        <w:rPr>
          <w:sz w:val="28"/>
          <w:szCs w:val="28"/>
          <w:highlight w:val="none"/>
        </w:rPr>
        <w:fldChar w:fldCharType="separate"/>
      </w:r>
      <w:r>
        <w:rPr>
          <w:sz w:val="28"/>
          <w:szCs w:val="28"/>
          <w:highlight w:val="none"/>
        </w:rPr>
        <w:t>1</w:t>
      </w:r>
      <w:r>
        <w:rPr>
          <w:sz w:val="28"/>
          <w:szCs w:val="28"/>
          <w:highlight w:val="none"/>
        </w:rPr>
        <w:fldChar w:fldCharType="end"/>
      </w:r>
      <w:r>
        <w:rPr>
          <w:sz w:val="28"/>
          <w:szCs w:val="28"/>
          <w:highlight w:val="none"/>
        </w:rPr>
        <w:fldChar w:fldCharType="end"/>
      </w:r>
    </w:p>
    <w:p>
      <w:pPr>
        <w:pStyle w:val="10"/>
        <w:tabs>
          <w:tab w:val="right" w:leader="dot" w:pos="8306"/>
        </w:tabs>
        <w:rPr>
          <w:sz w:val="28"/>
          <w:szCs w:val="28"/>
          <w:highlight w:val="none"/>
        </w:rPr>
      </w:pPr>
      <w:r>
        <w:rPr>
          <w:sz w:val="28"/>
          <w:szCs w:val="28"/>
          <w:highlight w:val="none"/>
        </w:rPr>
        <w:fldChar w:fldCharType="begin"/>
      </w:r>
      <w:r>
        <w:rPr>
          <w:sz w:val="28"/>
          <w:szCs w:val="28"/>
          <w:highlight w:val="none"/>
        </w:rPr>
        <w:instrText xml:space="preserve"> HYPERLINK \l _Toc7445 </w:instrText>
      </w:r>
      <w:r>
        <w:rPr>
          <w:sz w:val="28"/>
          <w:szCs w:val="28"/>
          <w:highlight w:val="none"/>
        </w:rPr>
        <w:fldChar w:fldCharType="separate"/>
      </w:r>
      <w:r>
        <w:rPr>
          <w:rFonts w:hint="eastAsia"/>
          <w:sz w:val="28"/>
          <w:szCs w:val="28"/>
          <w:highlight w:val="none"/>
        </w:rPr>
        <w:t>第一章 招标</w:t>
      </w:r>
      <w:r>
        <w:rPr>
          <w:rFonts w:hint="eastAsia"/>
          <w:sz w:val="28"/>
          <w:szCs w:val="28"/>
          <w:highlight w:val="none"/>
          <w:lang w:val="en-US" w:eastAsia="zh-CN"/>
        </w:rPr>
        <w:t>邀请</w:t>
      </w:r>
      <w:r>
        <w:rPr>
          <w:sz w:val="28"/>
          <w:szCs w:val="28"/>
          <w:highlight w:val="none"/>
        </w:rPr>
        <w:tab/>
      </w:r>
      <w:r>
        <w:rPr>
          <w:sz w:val="28"/>
          <w:szCs w:val="28"/>
          <w:highlight w:val="none"/>
        </w:rPr>
        <w:fldChar w:fldCharType="begin"/>
      </w:r>
      <w:r>
        <w:rPr>
          <w:sz w:val="28"/>
          <w:szCs w:val="28"/>
          <w:highlight w:val="none"/>
        </w:rPr>
        <w:instrText xml:space="preserve"> PAGEREF _Toc7445 \h </w:instrText>
      </w:r>
      <w:r>
        <w:rPr>
          <w:sz w:val="28"/>
          <w:szCs w:val="28"/>
          <w:highlight w:val="none"/>
        </w:rPr>
        <w:fldChar w:fldCharType="separate"/>
      </w:r>
      <w:r>
        <w:rPr>
          <w:sz w:val="28"/>
          <w:szCs w:val="28"/>
          <w:highlight w:val="none"/>
        </w:rPr>
        <w:t>8</w:t>
      </w:r>
      <w:r>
        <w:rPr>
          <w:sz w:val="28"/>
          <w:szCs w:val="28"/>
          <w:highlight w:val="none"/>
        </w:rPr>
        <w:fldChar w:fldCharType="end"/>
      </w:r>
      <w:r>
        <w:rPr>
          <w:sz w:val="28"/>
          <w:szCs w:val="28"/>
          <w:highlight w:val="none"/>
        </w:rPr>
        <w:fldChar w:fldCharType="end"/>
      </w:r>
    </w:p>
    <w:p>
      <w:pPr>
        <w:pStyle w:val="10"/>
        <w:tabs>
          <w:tab w:val="right" w:leader="dot" w:pos="8306"/>
        </w:tabs>
        <w:rPr>
          <w:sz w:val="28"/>
          <w:szCs w:val="28"/>
          <w:highlight w:val="none"/>
        </w:rPr>
      </w:pPr>
      <w:r>
        <w:rPr>
          <w:sz w:val="28"/>
          <w:szCs w:val="28"/>
          <w:highlight w:val="none"/>
        </w:rPr>
        <w:fldChar w:fldCharType="begin"/>
      </w:r>
      <w:r>
        <w:rPr>
          <w:sz w:val="28"/>
          <w:szCs w:val="28"/>
          <w:highlight w:val="none"/>
        </w:rPr>
        <w:instrText xml:space="preserve"> HYPERLINK \l _Toc20905 </w:instrText>
      </w:r>
      <w:r>
        <w:rPr>
          <w:sz w:val="28"/>
          <w:szCs w:val="28"/>
          <w:highlight w:val="none"/>
        </w:rPr>
        <w:fldChar w:fldCharType="separate"/>
      </w:r>
      <w:r>
        <w:rPr>
          <w:rFonts w:hint="eastAsia"/>
          <w:sz w:val="28"/>
          <w:szCs w:val="28"/>
          <w:highlight w:val="none"/>
        </w:rPr>
        <w:t xml:space="preserve">第二章 </w:t>
      </w:r>
      <w:r>
        <w:rPr>
          <w:rFonts w:hint="eastAsia"/>
          <w:sz w:val="28"/>
          <w:szCs w:val="28"/>
          <w:highlight w:val="none"/>
          <w:lang w:eastAsia="zh-CN"/>
        </w:rPr>
        <w:t>供应商</w:t>
      </w:r>
      <w:r>
        <w:rPr>
          <w:rFonts w:hint="eastAsia"/>
          <w:sz w:val="28"/>
          <w:szCs w:val="28"/>
          <w:highlight w:val="none"/>
        </w:rPr>
        <w:t>须知</w:t>
      </w:r>
      <w:r>
        <w:rPr>
          <w:sz w:val="28"/>
          <w:szCs w:val="28"/>
          <w:highlight w:val="none"/>
        </w:rPr>
        <w:tab/>
      </w:r>
      <w:r>
        <w:rPr>
          <w:sz w:val="28"/>
          <w:szCs w:val="28"/>
          <w:highlight w:val="none"/>
        </w:rPr>
        <w:fldChar w:fldCharType="begin"/>
      </w:r>
      <w:r>
        <w:rPr>
          <w:sz w:val="28"/>
          <w:szCs w:val="28"/>
          <w:highlight w:val="none"/>
        </w:rPr>
        <w:instrText xml:space="preserve"> PAGEREF _Toc20905 \h </w:instrText>
      </w:r>
      <w:r>
        <w:rPr>
          <w:sz w:val="28"/>
          <w:szCs w:val="28"/>
          <w:highlight w:val="none"/>
        </w:rPr>
        <w:fldChar w:fldCharType="separate"/>
      </w:r>
      <w:r>
        <w:rPr>
          <w:sz w:val="28"/>
          <w:szCs w:val="28"/>
          <w:highlight w:val="none"/>
        </w:rPr>
        <w:t>14</w:t>
      </w:r>
      <w:r>
        <w:rPr>
          <w:sz w:val="28"/>
          <w:szCs w:val="28"/>
          <w:highlight w:val="none"/>
        </w:rPr>
        <w:fldChar w:fldCharType="end"/>
      </w:r>
      <w:r>
        <w:rPr>
          <w:sz w:val="28"/>
          <w:szCs w:val="28"/>
          <w:highlight w:val="none"/>
        </w:rPr>
        <w:fldChar w:fldCharType="end"/>
      </w:r>
    </w:p>
    <w:p>
      <w:pPr>
        <w:pStyle w:val="10"/>
        <w:tabs>
          <w:tab w:val="right" w:leader="dot" w:pos="8306"/>
        </w:tabs>
        <w:rPr>
          <w:sz w:val="28"/>
          <w:szCs w:val="28"/>
          <w:highlight w:val="none"/>
        </w:rPr>
      </w:pPr>
      <w:r>
        <w:rPr>
          <w:sz w:val="28"/>
          <w:szCs w:val="28"/>
          <w:highlight w:val="none"/>
        </w:rPr>
        <w:fldChar w:fldCharType="begin"/>
      </w:r>
      <w:r>
        <w:rPr>
          <w:sz w:val="28"/>
          <w:szCs w:val="28"/>
          <w:highlight w:val="none"/>
        </w:rPr>
        <w:instrText xml:space="preserve"> HYPERLINK \l _Toc31573 </w:instrText>
      </w:r>
      <w:r>
        <w:rPr>
          <w:sz w:val="28"/>
          <w:szCs w:val="28"/>
          <w:highlight w:val="none"/>
        </w:rPr>
        <w:fldChar w:fldCharType="separate"/>
      </w:r>
      <w:r>
        <w:rPr>
          <w:rFonts w:hint="eastAsia"/>
          <w:sz w:val="28"/>
          <w:szCs w:val="28"/>
          <w:highlight w:val="none"/>
        </w:rPr>
        <w:t>第三章 评分办法及评分标准</w:t>
      </w:r>
      <w:r>
        <w:rPr>
          <w:sz w:val="28"/>
          <w:szCs w:val="28"/>
          <w:highlight w:val="none"/>
        </w:rPr>
        <w:tab/>
      </w:r>
      <w:r>
        <w:rPr>
          <w:sz w:val="28"/>
          <w:szCs w:val="28"/>
          <w:highlight w:val="none"/>
        </w:rPr>
        <w:fldChar w:fldCharType="begin"/>
      </w:r>
      <w:r>
        <w:rPr>
          <w:sz w:val="28"/>
          <w:szCs w:val="28"/>
          <w:highlight w:val="none"/>
        </w:rPr>
        <w:instrText xml:space="preserve"> PAGEREF _Toc31573 \h </w:instrText>
      </w:r>
      <w:r>
        <w:rPr>
          <w:sz w:val="28"/>
          <w:szCs w:val="28"/>
          <w:highlight w:val="none"/>
        </w:rPr>
        <w:fldChar w:fldCharType="separate"/>
      </w:r>
      <w:r>
        <w:rPr>
          <w:sz w:val="28"/>
          <w:szCs w:val="28"/>
          <w:highlight w:val="none"/>
        </w:rPr>
        <w:t>29</w:t>
      </w:r>
      <w:r>
        <w:rPr>
          <w:sz w:val="28"/>
          <w:szCs w:val="28"/>
          <w:highlight w:val="none"/>
        </w:rPr>
        <w:fldChar w:fldCharType="end"/>
      </w:r>
      <w:r>
        <w:rPr>
          <w:sz w:val="28"/>
          <w:szCs w:val="28"/>
          <w:highlight w:val="none"/>
        </w:rPr>
        <w:fldChar w:fldCharType="end"/>
      </w:r>
    </w:p>
    <w:p>
      <w:pPr>
        <w:pStyle w:val="10"/>
        <w:tabs>
          <w:tab w:val="right" w:leader="dot" w:pos="8306"/>
        </w:tabs>
        <w:rPr>
          <w:sz w:val="28"/>
          <w:szCs w:val="28"/>
          <w:highlight w:val="none"/>
        </w:rPr>
      </w:pPr>
      <w:r>
        <w:rPr>
          <w:sz w:val="28"/>
          <w:szCs w:val="28"/>
          <w:highlight w:val="none"/>
        </w:rPr>
        <w:fldChar w:fldCharType="begin"/>
      </w:r>
      <w:r>
        <w:rPr>
          <w:sz w:val="28"/>
          <w:szCs w:val="28"/>
          <w:highlight w:val="none"/>
        </w:rPr>
        <w:instrText xml:space="preserve"> HYPERLINK \l _Toc25159 </w:instrText>
      </w:r>
      <w:r>
        <w:rPr>
          <w:sz w:val="28"/>
          <w:szCs w:val="28"/>
          <w:highlight w:val="none"/>
        </w:rPr>
        <w:fldChar w:fldCharType="separate"/>
      </w:r>
      <w:r>
        <w:rPr>
          <w:rFonts w:hint="eastAsia"/>
          <w:sz w:val="28"/>
          <w:szCs w:val="28"/>
          <w:highlight w:val="none"/>
        </w:rPr>
        <w:t>第四章 拟订立的合同样本</w:t>
      </w:r>
      <w:r>
        <w:rPr>
          <w:sz w:val="28"/>
          <w:szCs w:val="28"/>
          <w:highlight w:val="none"/>
        </w:rPr>
        <w:tab/>
      </w:r>
      <w:r>
        <w:rPr>
          <w:sz w:val="28"/>
          <w:szCs w:val="28"/>
          <w:highlight w:val="none"/>
        </w:rPr>
        <w:fldChar w:fldCharType="begin"/>
      </w:r>
      <w:r>
        <w:rPr>
          <w:sz w:val="28"/>
          <w:szCs w:val="28"/>
          <w:highlight w:val="none"/>
        </w:rPr>
        <w:instrText xml:space="preserve"> PAGEREF _Toc25159 \h </w:instrText>
      </w:r>
      <w:r>
        <w:rPr>
          <w:sz w:val="28"/>
          <w:szCs w:val="28"/>
          <w:highlight w:val="none"/>
        </w:rPr>
        <w:fldChar w:fldCharType="separate"/>
      </w:r>
      <w:r>
        <w:rPr>
          <w:sz w:val="28"/>
          <w:szCs w:val="28"/>
          <w:highlight w:val="none"/>
        </w:rPr>
        <w:t>44</w:t>
      </w:r>
      <w:r>
        <w:rPr>
          <w:sz w:val="28"/>
          <w:szCs w:val="28"/>
          <w:highlight w:val="none"/>
        </w:rPr>
        <w:fldChar w:fldCharType="end"/>
      </w:r>
      <w:r>
        <w:rPr>
          <w:sz w:val="28"/>
          <w:szCs w:val="28"/>
          <w:highlight w:val="none"/>
        </w:rPr>
        <w:fldChar w:fldCharType="end"/>
      </w:r>
    </w:p>
    <w:p>
      <w:pPr>
        <w:pStyle w:val="10"/>
        <w:tabs>
          <w:tab w:val="right" w:leader="dot" w:pos="8306"/>
        </w:tabs>
        <w:rPr>
          <w:sz w:val="28"/>
          <w:szCs w:val="28"/>
          <w:highlight w:val="none"/>
        </w:rPr>
      </w:pPr>
      <w:r>
        <w:rPr>
          <w:sz w:val="28"/>
          <w:szCs w:val="28"/>
          <w:highlight w:val="none"/>
        </w:rPr>
        <w:fldChar w:fldCharType="begin"/>
      </w:r>
      <w:r>
        <w:rPr>
          <w:sz w:val="28"/>
          <w:szCs w:val="28"/>
          <w:highlight w:val="none"/>
        </w:rPr>
        <w:instrText xml:space="preserve"> HYPERLINK \l _Toc4864 </w:instrText>
      </w:r>
      <w:r>
        <w:rPr>
          <w:sz w:val="28"/>
          <w:szCs w:val="28"/>
          <w:highlight w:val="none"/>
        </w:rPr>
        <w:fldChar w:fldCharType="separate"/>
      </w:r>
      <w:r>
        <w:rPr>
          <w:rFonts w:hint="eastAsia"/>
          <w:sz w:val="28"/>
          <w:szCs w:val="28"/>
          <w:highlight w:val="none"/>
        </w:rPr>
        <w:t>第五章 投标文件格式</w:t>
      </w:r>
      <w:r>
        <w:rPr>
          <w:sz w:val="28"/>
          <w:szCs w:val="28"/>
          <w:highlight w:val="none"/>
        </w:rPr>
        <w:tab/>
      </w:r>
      <w:r>
        <w:rPr>
          <w:sz w:val="28"/>
          <w:szCs w:val="28"/>
          <w:highlight w:val="none"/>
        </w:rPr>
        <w:fldChar w:fldCharType="begin"/>
      </w:r>
      <w:r>
        <w:rPr>
          <w:sz w:val="28"/>
          <w:szCs w:val="28"/>
          <w:highlight w:val="none"/>
        </w:rPr>
        <w:instrText xml:space="preserve"> PAGEREF _Toc4864 \h </w:instrText>
      </w:r>
      <w:r>
        <w:rPr>
          <w:sz w:val="28"/>
          <w:szCs w:val="28"/>
          <w:highlight w:val="none"/>
        </w:rPr>
        <w:fldChar w:fldCharType="separate"/>
      </w:r>
      <w:r>
        <w:rPr>
          <w:sz w:val="28"/>
          <w:szCs w:val="28"/>
          <w:highlight w:val="none"/>
        </w:rPr>
        <w:t>53</w:t>
      </w:r>
      <w:r>
        <w:rPr>
          <w:sz w:val="28"/>
          <w:szCs w:val="28"/>
          <w:highlight w:val="none"/>
        </w:rPr>
        <w:fldChar w:fldCharType="end"/>
      </w:r>
      <w:r>
        <w:rPr>
          <w:sz w:val="28"/>
          <w:szCs w:val="28"/>
          <w:highlight w:val="none"/>
        </w:rPr>
        <w:fldChar w:fldCharType="end"/>
      </w:r>
    </w:p>
    <w:p>
      <w:pPr>
        <w:pStyle w:val="10"/>
        <w:tabs>
          <w:tab w:val="right" w:leader="dot" w:pos="8306"/>
        </w:tabs>
        <w:rPr>
          <w:sz w:val="28"/>
          <w:szCs w:val="28"/>
          <w:highlight w:val="none"/>
        </w:rPr>
      </w:pPr>
      <w:r>
        <w:rPr>
          <w:sz w:val="28"/>
          <w:szCs w:val="28"/>
          <w:highlight w:val="none"/>
        </w:rPr>
        <w:fldChar w:fldCharType="begin"/>
      </w:r>
      <w:r>
        <w:rPr>
          <w:sz w:val="28"/>
          <w:szCs w:val="28"/>
          <w:highlight w:val="none"/>
        </w:rPr>
        <w:instrText xml:space="preserve"> HYPERLINK \l _Toc23510 </w:instrText>
      </w:r>
      <w:r>
        <w:rPr>
          <w:sz w:val="28"/>
          <w:szCs w:val="28"/>
          <w:highlight w:val="none"/>
        </w:rPr>
        <w:fldChar w:fldCharType="separate"/>
      </w:r>
      <w:r>
        <w:rPr>
          <w:rFonts w:hint="eastAsia"/>
          <w:sz w:val="28"/>
          <w:szCs w:val="28"/>
          <w:highlight w:val="none"/>
        </w:rPr>
        <w:t>第六章 项目需求</w:t>
      </w:r>
      <w:r>
        <w:rPr>
          <w:sz w:val="28"/>
          <w:szCs w:val="28"/>
          <w:highlight w:val="none"/>
        </w:rPr>
        <w:tab/>
      </w:r>
      <w:r>
        <w:rPr>
          <w:sz w:val="28"/>
          <w:szCs w:val="28"/>
          <w:highlight w:val="none"/>
        </w:rPr>
        <w:fldChar w:fldCharType="begin"/>
      </w:r>
      <w:r>
        <w:rPr>
          <w:sz w:val="28"/>
          <w:szCs w:val="28"/>
          <w:highlight w:val="none"/>
        </w:rPr>
        <w:instrText xml:space="preserve"> PAGEREF _Toc23510 \h </w:instrText>
      </w:r>
      <w:r>
        <w:rPr>
          <w:sz w:val="28"/>
          <w:szCs w:val="28"/>
          <w:highlight w:val="none"/>
        </w:rPr>
        <w:fldChar w:fldCharType="separate"/>
      </w:r>
      <w:r>
        <w:rPr>
          <w:sz w:val="28"/>
          <w:szCs w:val="28"/>
          <w:highlight w:val="none"/>
        </w:rPr>
        <w:t>76</w:t>
      </w:r>
      <w:r>
        <w:rPr>
          <w:sz w:val="28"/>
          <w:szCs w:val="28"/>
          <w:highlight w:val="none"/>
        </w:rPr>
        <w:fldChar w:fldCharType="end"/>
      </w:r>
      <w:r>
        <w:rPr>
          <w:sz w:val="28"/>
          <w:szCs w:val="28"/>
          <w:highlight w:val="none"/>
        </w:rPr>
        <w:fldChar w:fldCharType="end"/>
      </w:r>
    </w:p>
    <w:p>
      <w:pPr>
        <w:rPr>
          <w:highlight w:val="none"/>
        </w:rPr>
      </w:pPr>
      <w:r>
        <w:rPr>
          <w:sz w:val="28"/>
          <w:szCs w:val="28"/>
          <w:highlight w:val="none"/>
        </w:rPr>
        <w:fldChar w:fldCharType="end"/>
      </w:r>
    </w:p>
    <w:p>
      <w:pPr>
        <w:pStyle w:val="2"/>
        <w:rPr>
          <w:highlight w:val="none"/>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2"/>
        <w:rPr>
          <w:highlight w:val="none"/>
          <w:lang w:eastAsia="en-US"/>
        </w:rPr>
      </w:pPr>
      <w:bookmarkStart w:id="0" w:name="_Toc24830"/>
      <w:r>
        <w:rPr>
          <w:rFonts w:hint="eastAsia"/>
          <w:highlight w:val="none"/>
        </w:rPr>
        <w:t>须知前附表</w:t>
      </w:r>
      <w:bookmarkEnd w:id="0"/>
    </w:p>
    <w:tbl>
      <w:tblPr>
        <w:tblStyle w:val="15"/>
        <w:tblW w:w="92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956"/>
        <w:gridCol w:w="66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Ansi="宋体" w:cs="Arial"/>
                <w:b/>
                <w:bCs/>
                <w:highlight w:val="none"/>
              </w:rPr>
            </w:pPr>
            <w:r>
              <w:rPr>
                <w:rFonts w:hint="eastAsia" w:hAnsi="宋体" w:cs="Arial"/>
                <w:b/>
                <w:bCs/>
                <w:highlight w:val="none"/>
              </w:rPr>
              <w:t>序号</w:t>
            </w:r>
          </w:p>
        </w:tc>
        <w:tc>
          <w:tcPr>
            <w:tcW w:w="195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Ansi="宋体" w:cs="Arial"/>
                <w:b/>
                <w:bCs/>
                <w:highlight w:val="none"/>
              </w:rPr>
            </w:pPr>
            <w:r>
              <w:rPr>
                <w:rFonts w:hint="eastAsia" w:hAnsi="宋体" w:cs="Arial"/>
                <w:b/>
                <w:bCs/>
                <w:highlight w:val="none"/>
              </w:rPr>
              <w:t>内  容</w:t>
            </w:r>
          </w:p>
        </w:tc>
        <w:tc>
          <w:tcPr>
            <w:tcW w:w="66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Ansi="宋体" w:cs="Arial"/>
                <w:b/>
                <w:bCs/>
                <w:highlight w:val="none"/>
              </w:rPr>
            </w:pPr>
            <w:r>
              <w:rPr>
                <w:rFonts w:hint="eastAsia" w:hAnsi="宋体" w:cs="Arial"/>
                <w:b/>
                <w:bCs/>
                <w:highlight w:val="none"/>
              </w:rPr>
              <w:t>说明及要求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675" w:type="dxa"/>
            <w:vMerge w:val="restart"/>
            <w:tcBorders>
              <w:top w:val="single" w:color="auto" w:sz="4" w:space="0"/>
              <w:left w:val="single" w:color="auto" w:sz="4" w:space="0"/>
              <w:right w:val="single" w:color="auto" w:sz="4" w:space="0"/>
            </w:tcBorders>
            <w:vAlign w:val="center"/>
          </w:tcPr>
          <w:p>
            <w:pPr>
              <w:spacing w:line="300" w:lineRule="exact"/>
              <w:jc w:val="center"/>
              <w:rPr>
                <w:rFonts w:hAnsi="宋体" w:cs="Arial"/>
                <w:bCs/>
                <w:highlight w:val="none"/>
              </w:rPr>
            </w:pPr>
            <w:r>
              <w:rPr>
                <w:rFonts w:hint="eastAsia" w:hAnsi="宋体" w:cs="Arial"/>
                <w:bCs/>
                <w:highlight w:val="none"/>
              </w:rPr>
              <w:t>1</w:t>
            </w:r>
          </w:p>
        </w:tc>
        <w:tc>
          <w:tcPr>
            <w:tcW w:w="19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int="eastAsia" w:hAnsi="宋体" w:cs="Arial"/>
                <w:bCs/>
                <w:highlight w:val="none"/>
              </w:rPr>
            </w:pPr>
            <w:r>
              <w:rPr>
                <w:rFonts w:hint="eastAsia" w:hAnsi="宋体" w:cs="Arial"/>
                <w:bCs/>
                <w:highlight w:val="none"/>
              </w:rPr>
              <w:t>项目名称</w:t>
            </w:r>
          </w:p>
        </w:tc>
        <w:tc>
          <w:tcPr>
            <w:tcW w:w="6639"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hint="eastAsia" w:hAnsi="宋体" w:cs="Arial"/>
                <w:bCs/>
                <w:highlight w:val="none"/>
                <w:lang w:eastAsia="zh-CN"/>
              </w:rPr>
            </w:pPr>
            <w:r>
              <w:rPr>
                <w:rFonts w:hint="eastAsia" w:hAnsi="宋体" w:cs="Arial"/>
                <w:bCs/>
                <w:highlight w:val="none"/>
                <w:lang w:val="en-US" w:eastAsia="zh-CN"/>
              </w:rPr>
              <w:t>新疆消防救援总队乌鲁木齐支队“自然灾害应急能力提升工程”装备配备项目</w:t>
            </w:r>
            <w:r>
              <w:rPr>
                <w:rFonts w:hint="eastAsia" w:hAnsi="宋体" w:cs="Arial"/>
                <w:bCs/>
                <w:highlight w:val="none"/>
                <w:lang w:eastAsia="zh-CN"/>
              </w:rPr>
              <w:t>（</w:t>
            </w:r>
            <w:r>
              <w:rPr>
                <w:rFonts w:hint="eastAsia" w:hAnsi="宋体" w:cs="Arial"/>
                <w:bCs/>
                <w:highlight w:val="none"/>
                <w:lang w:val="en-US" w:eastAsia="zh-CN"/>
              </w:rPr>
              <w:t>九</w:t>
            </w:r>
            <w:r>
              <w:rPr>
                <w:rFonts w:hint="eastAsia" w:hAnsi="宋体" w:cs="Arial"/>
                <w:bCs/>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86"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00" w:lineRule="exact"/>
              <w:jc w:val="center"/>
              <w:rPr>
                <w:rFonts w:hAnsi="宋体" w:cs="Arial"/>
                <w:bCs/>
                <w:highlight w:val="none"/>
              </w:rPr>
            </w:pPr>
          </w:p>
        </w:tc>
        <w:tc>
          <w:tcPr>
            <w:tcW w:w="19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Ansi="宋体" w:cs="Arial"/>
                <w:bCs/>
                <w:highlight w:val="none"/>
              </w:rPr>
            </w:pPr>
            <w:r>
              <w:rPr>
                <w:rFonts w:hint="eastAsia" w:hAnsi="宋体" w:cs="Arial"/>
                <w:highlight w:val="none"/>
              </w:rPr>
              <w:t>招标编号</w:t>
            </w:r>
          </w:p>
        </w:tc>
        <w:tc>
          <w:tcPr>
            <w:tcW w:w="6639"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bCs/>
                <w:highlight w:val="none"/>
                <w:lang w:eastAsia="zh-CN"/>
              </w:rPr>
            </w:pPr>
            <w:r>
              <w:rPr>
                <w:rFonts w:hint="eastAsia" w:ascii="宋体" w:hAnsi="宋体" w:cs="宋体"/>
                <w:bCs/>
                <w:highlight w:val="none"/>
              </w:rPr>
              <w:t>项目编号：</w:t>
            </w:r>
            <w:r>
              <w:rPr>
                <w:rFonts w:hint="eastAsia" w:ascii="宋体" w:hAnsi="宋体" w:cs="宋体"/>
                <w:bCs/>
                <w:highlight w:val="none"/>
                <w:lang w:val="en-US" w:eastAsia="zh-CN"/>
              </w:rPr>
              <w:t>XJYY-HWZB-2024003A</w:t>
            </w:r>
          </w:p>
          <w:p>
            <w:pPr>
              <w:spacing w:line="400" w:lineRule="exact"/>
              <w:rPr>
                <w:rFonts w:hint="eastAsia" w:ascii="宋体" w:hAnsi="宋体" w:cs="宋体"/>
                <w:bCs/>
                <w:highlight w:val="none"/>
              </w:rPr>
            </w:pPr>
            <w:r>
              <w:rPr>
                <w:rFonts w:hint="eastAsia" w:ascii="宋体" w:hAnsi="宋体" w:cs="宋体"/>
                <w:bCs/>
                <w:highlight w:val="none"/>
              </w:rPr>
              <w:t>标包编号：</w:t>
            </w:r>
            <w:r>
              <w:rPr>
                <w:rFonts w:hint="eastAsia" w:ascii="宋体" w:hAnsi="宋体" w:cs="宋体"/>
                <w:bCs/>
                <w:highlight w:val="none"/>
                <w:lang w:val="en-US" w:eastAsia="zh-CN"/>
              </w:rPr>
              <w:t>第一包：XJYY-HWZB-2024003A</w:t>
            </w:r>
            <w:r>
              <w:rPr>
                <w:rFonts w:hint="eastAsia" w:ascii="宋体" w:hAnsi="宋体" w:cs="宋体"/>
                <w:bCs/>
                <w:highlight w:val="none"/>
              </w:rPr>
              <w:t>-01</w:t>
            </w:r>
          </w:p>
          <w:p>
            <w:pPr>
              <w:spacing w:line="400" w:lineRule="exact"/>
              <w:rPr>
                <w:rFonts w:hint="eastAsia" w:ascii="宋体" w:hAnsi="宋体" w:cs="宋体"/>
                <w:bCs/>
                <w:highlight w:val="none"/>
              </w:rPr>
            </w:pPr>
            <w:r>
              <w:rPr>
                <w:rFonts w:hint="eastAsia" w:ascii="宋体" w:hAnsi="宋体" w:cs="宋体"/>
                <w:bCs/>
                <w:highlight w:val="none"/>
                <w:lang w:val="en-US" w:eastAsia="zh-CN"/>
              </w:rPr>
              <w:t>第二包：XJYY-HWZB-2024003A</w:t>
            </w:r>
            <w:r>
              <w:rPr>
                <w:rFonts w:hint="eastAsia" w:ascii="宋体" w:hAnsi="宋体" w:cs="宋体"/>
                <w:bCs/>
                <w:highlight w:val="none"/>
              </w:rPr>
              <w:t>-02</w:t>
            </w:r>
          </w:p>
          <w:p>
            <w:pPr>
              <w:spacing w:line="400" w:lineRule="exact"/>
              <w:rPr>
                <w:rFonts w:hint="eastAsia" w:ascii="宋体" w:hAnsi="宋体" w:cs="宋体"/>
                <w:bCs/>
                <w:highlight w:val="none"/>
              </w:rPr>
            </w:pPr>
            <w:r>
              <w:rPr>
                <w:rFonts w:hint="eastAsia" w:ascii="宋体" w:hAnsi="宋体" w:cs="宋体"/>
                <w:bCs/>
                <w:highlight w:val="none"/>
                <w:lang w:val="en-US" w:eastAsia="zh-CN"/>
              </w:rPr>
              <w:t>第三包：XJYY-HWZB-2024003A</w:t>
            </w:r>
            <w:r>
              <w:rPr>
                <w:rFonts w:hint="eastAsia" w:ascii="宋体" w:hAnsi="宋体" w:cs="宋体"/>
                <w:bCs/>
                <w:highlight w:val="none"/>
              </w:rPr>
              <w:t>-03</w:t>
            </w:r>
          </w:p>
          <w:p>
            <w:pPr>
              <w:spacing w:line="400" w:lineRule="exact"/>
              <w:rPr>
                <w:rFonts w:hint="eastAsia" w:hAnsi="宋体" w:eastAsia="宋体" w:cs="Arial"/>
                <w:bCs/>
                <w:highlight w:val="none"/>
                <w:lang w:val="en-US" w:eastAsia="zh-CN"/>
              </w:rPr>
            </w:pPr>
            <w:r>
              <w:rPr>
                <w:rFonts w:hint="eastAsia" w:ascii="宋体" w:hAnsi="宋体" w:cs="宋体"/>
                <w:bCs/>
                <w:highlight w:val="none"/>
                <w:lang w:val="en-US" w:eastAsia="zh-CN"/>
              </w:rPr>
              <w:t>第四包：XJYY-HWZB-2024003A</w:t>
            </w:r>
            <w:r>
              <w:rPr>
                <w:rFonts w:hint="eastAsia" w:ascii="宋体" w:hAnsi="宋体" w:cs="宋体"/>
                <w:bCs/>
                <w:highlight w:val="none"/>
              </w:rPr>
              <w:t>-0</w:t>
            </w:r>
            <w:r>
              <w:rPr>
                <w:rFonts w:hint="eastAsia" w:ascii="宋体" w:hAnsi="宋体" w:cs="宋体"/>
                <w:bCs/>
                <w:highlight w:val="none"/>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75" w:type="dxa"/>
            <w:vMerge w:val="restart"/>
            <w:tcBorders>
              <w:top w:val="single" w:color="auto" w:sz="4" w:space="0"/>
              <w:left w:val="single" w:color="auto" w:sz="4" w:space="0"/>
              <w:right w:val="single" w:color="auto" w:sz="4" w:space="0"/>
            </w:tcBorders>
            <w:vAlign w:val="center"/>
          </w:tcPr>
          <w:p>
            <w:pPr>
              <w:spacing w:line="300" w:lineRule="exact"/>
              <w:jc w:val="center"/>
              <w:rPr>
                <w:rFonts w:hAnsi="宋体" w:cs="Arial"/>
                <w:bCs/>
                <w:highlight w:val="none"/>
              </w:rPr>
            </w:pPr>
            <w:r>
              <w:rPr>
                <w:rFonts w:hint="eastAsia" w:hAnsi="宋体" w:cs="Arial"/>
                <w:bCs/>
                <w:highlight w:val="none"/>
              </w:rPr>
              <w:t>2</w:t>
            </w:r>
          </w:p>
        </w:tc>
        <w:tc>
          <w:tcPr>
            <w:tcW w:w="19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Ansi="宋体" w:cs="Arial"/>
                <w:bCs/>
                <w:highlight w:val="none"/>
              </w:rPr>
            </w:pPr>
            <w:r>
              <w:rPr>
                <w:rFonts w:hint="eastAsia" w:hAnsi="宋体" w:cs="Arial"/>
                <w:bCs/>
                <w:highlight w:val="none"/>
              </w:rPr>
              <w:t>资金来源</w:t>
            </w:r>
          </w:p>
        </w:tc>
        <w:tc>
          <w:tcPr>
            <w:tcW w:w="6639"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hint="eastAsia" w:hAnsi="宋体" w:eastAsia="宋体" w:cs="Arial"/>
                <w:bCs/>
                <w:highlight w:val="none"/>
                <w:lang w:eastAsia="zh-CN"/>
              </w:rPr>
            </w:pPr>
            <w:r>
              <w:rPr>
                <w:rFonts w:hint="eastAsia" w:hAnsi="宋体" w:cs="Arial"/>
                <w:bCs/>
                <w:highlight w:val="none"/>
                <w:lang w:eastAsia="zh-CN"/>
              </w:rPr>
              <w:t>国债资金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2" w:hRule="atLeast"/>
          <w:jc w:val="center"/>
        </w:trPr>
        <w:tc>
          <w:tcPr>
            <w:tcW w:w="675" w:type="dxa"/>
            <w:vMerge w:val="continue"/>
            <w:tcBorders>
              <w:left w:val="single" w:color="auto" w:sz="4" w:space="0"/>
              <w:right w:val="single" w:color="auto" w:sz="4" w:space="0"/>
            </w:tcBorders>
            <w:vAlign w:val="center"/>
          </w:tcPr>
          <w:p>
            <w:pPr>
              <w:spacing w:line="300" w:lineRule="exact"/>
              <w:jc w:val="center"/>
              <w:rPr>
                <w:rFonts w:hAnsi="宋体" w:cs="Arial"/>
                <w:bCs/>
                <w:highlight w:val="none"/>
              </w:rPr>
            </w:pPr>
          </w:p>
        </w:tc>
        <w:tc>
          <w:tcPr>
            <w:tcW w:w="1956" w:type="dxa"/>
            <w:vMerge w:val="restart"/>
            <w:tcBorders>
              <w:top w:val="single" w:color="auto" w:sz="4" w:space="0"/>
              <w:left w:val="single" w:color="auto" w:sz="4" w:space="0"/>
              <w:right w:val="single" w:color="auto" w:sz="4" w:space="0"/>
            </w:tcBorders>
            <w:vAlign w:val="center"/>
          </w:tcPr>
          <w:p>
            <w:pPr>
              <w:spacing w:line="288" w:lineRule="auto"/>
              <w:jc w:val="center"/>
              <w:rPr>
                <w:rFonts w:hAnsi="宋体" w:cs="Arial"/>
                <w:bCs/>
                <w:highlight w:val="none"/>
              </w:rPr>
            </w:pPr>
            <w:r>
              <w:rPr>
                <w:rFonts w:hint="eastAsia" w:hAnsi="宋体" w:cs="Arial"/>
                <w:bCs/>
                <w:highlight w:val="none"/>
              </w:rPr>
              <w:t>预算金额</w:t>
            </w:r>
          </w:p>
          <w:p>
            <w:pPr>
              <w:spacing w:line="288" w:lineRule="auto"/>
              <w:jc w:val="center"/>
              <w:rPr>
                <w:highlight w:val="none"/>
              </w:rPr>
            </w:pPr>
            <w:r>
              <w:rPr>
                <w:rFonts w:hint="eastAsia" w:hAnsi="宋体" w:cs="Arial"/>
                <w:bCs/>
                <w:highlight w:val="none"/>
              </w:rPr>
              <w:t>最高限价</w:t>
            </w:r>
          </w:p>
        </w:tc>
        <w:tc>
          <w:tcPr>
            <w:tcW w:w="6639" w:type="dxa"/>
            <w:tcBorders>
              <w:top w:val="single" w:color="auto" w:sz="4" w:space="0"/>
              <w:left w:val="single" w:color="auto" w:sz="4" w:space="0"/>
              <w:bottom w:val="single" w:color="auto" w:sz="4" w:space="0"/>
              <w:right w:val="single" w:color="auto" w:sz="4" w:space="0"/>
            </w:tcBorders>
            <w:vAlign w:val="center"/>
          </w:tcPr>
          <w:p>
            <w:pPr>
              <w:pStyle w:val="7"/>
              <w:spacing w:line="288" w:lineRule="auto"/>
              <w:jc w:val="left"/>
              <w:rPr>
                <w:rFonts w:hint="default" w:hAnsi="宋体" w:eastAsia="宋体" w:cs="Arial"/>
                <w:bCs/>
                <w:color w:val="auto"/>
                <w:highlight w:val="none"/>
                <w:lang w:val="en-US" w:eastAsia="zh-CN"/>
              </w:rPr>
            </w:pPr>
            <w:r>
              <w:rPr>
                <w:rFonts w:hint="eastAsia" w:hAnsi="宋体" w:cs="Arial"/>
                <w:bCs/>
                <w:color w:val="auto"/>
                <w:highlight w:val="none"/>
              </w:rPr>
              <w:t>预算总金额：</w:t>
            </w:r>
            <w:r>
              <w:rPr>
                <w:rFonts w:hint="eastAsia" w:hAnsi="宋体" w:cs="Arial"/>
                <w:bCs/>
                <w:color w:val="auto"/>
                <w:highlight w:val="none"/>
                <w:lang w:val="en-US" w:eastAsia="zh-CN"/>
              </w:rPr>
              <w:t>1347.53</w:t>
            </w:r>
            <w:r>
              <w:rPr>
                <w:rFonts w:hint="eastAsia" w:hAnsi="宋体" w:cs="Arial"/>
                <w:bCs/>
                <w:color w:val="auto"/>
                <w:highlight w:val="none"/>
              </w:rPr>
              <w:t>万元</w:t>
            </w:r>
          </w:p>
          <w:p>
            <w:pPr>
              <w:pStyle w:val="7"/>
              <w:spacing w:line="288" w:lineRule="auto"/>
              <w:jc w:val="left"/>
              <w:rPr>
                <w:rFonts w:hAnsi="宋体" w:cs="Arial"/>
                <w:bCs/>
                <w:color w:val="auto"/>
                <w:highlight w:val="none"/>
              </w:rPr>
            </w:pPr>
            <w:r>
              <w:rPr>
                <w:rFonts w:hint="eastAsia" w:hAnsi="宋体" w:cs="Arial"/>
                <w:bCs/>
                <w:color w:val="auto"/>
                <w:highlight w:val="none"/>
              </w:rPr>
              <w:t>第一包：</w:t>
            </w:r>
            <w:r>
              <w:rPr>
                <w:rFonts w:hint="eastAsia" w:hAnsi="宋体" w:cs="Arial"/>
                <w:bCs/>
                <w:color w:val="auto"/>
                <w:highlight w:val="none"/>
                <w:lang w:val="en-US" w:eastAsia="zh-CN"/>
              </w:rPr>
              <w:t>256.86</w:t>
            </w:r>
            <w:r>
              <w:rPr>
                <w:rFonts w:hint="eastAsia" w:hAnsi="宋体" w:cs="Arial"/>
                <w:bCs/>
                <w:color w:val="auto"/>
                <w:highlight w:val="none"/>
              </w:rPr>
              <w:t>万元；第二包：</w:t>
            </w:r>
            <w:r>
              <w:rPr>
                <w:rFonts w:hint="eastAsia" w:hAnsi="宋体" w:cs="Arial"/>
                <w:bCs/>
                <w:color w:val="auto"/>
                <w:highlight w:val="none"/>
                <w:lang w:val="en-US" w:eastAsia="zh-CN"/>
              </w:rPr>
              <w:t>309.32</w:t>
            </w:r>
            <w:r>
              <w:rPr>
                <w:rFonts w:hint="eastAsia" w:hAnsi="宋体" w:cs="Arial"/>
                <w:bCs/>
                <w:color w:val="auto"/>
                <w:highlight w:val="none"/>
              </w:rPr>
              <w:t>万元；第三包：</w:t>
            </w:r>
            <w:r>
              <w:rPr>
                <w:rFonts w:hint="eastAsia" w:hAnsi="宋体" w:cs="Arial"/>
                <w:bCs/>
                <w:color w:val="auto"/>
                <w:highlight w:val="none"/>
                <w:lang w:val="en-US" w:eastAsia="zh-CN"/>
              </w:rPr>
              <w:t>620</w:t>
            </w:r>
            <w:r>
              <w:rPr>
                <w:rFonts w:hint="eastAsia" w:hAnsi="宋体" w:cs="Arial"/>
                <w:bCs/>
                <w:color w:val="auto"/>
                <w:highlight w:val="none"/>
              </w:rPr>
              <w:t>万元</w:t>
            </w:r>
            <w:r>
              <w:rPr>
                <w:rFonts w:hint="eastAsia" w:hAnsi="宋体" w:cs="Arial"/>
                <w:bCs/>
                <w:color w:val="auto"/>
                <w:highlight w:val="none"/>
                <w:lang w:eastAsia="zh-CN"/>
              </w:rPr>
              <w:t>；第四包：</w:t>
            </w:r>
            <w:r>
              <w:rPr>
                <w:rFonts w:hint="eastAsia" w:hAnsi="宋体" w:cs="Arial"/>
                <w:bCs/>
                <w:color w:val="auto"/>
                <w:highlight w:val="none"/>
                <w:lang w:val="en-US" w:eastAsia="zh-CN"/>
              </w:rPr>
              <w:t>161.35万元</w:t>
            </w:r>
            <w:r>
              <w:rPr>
                <w:rFonts w:hint="eastAsia" w:hAnsi="宋体" w:cs="Arial"/>
                <w:bCs/>
                <w:color w:val="auto"/>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8"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00" w:lineRule="exact"/>
              <w:jc w:val="center"/>
              <w:rPr>
                <w:rFonts w:hAnsi="宋体" w:cs="Arial"/>
                <w:bCs/>
                <w:highlight w:val="none"/>
              </w:rPr>
            </w:pPr>
          </w:p>
        </w:tc>
        <w:tc>
          <w:tcPr>
            <w:tcW w:w="1956" w:type="dxa"/>
            <w:vMerge w:val="continue"/>
            <w:tcBorders>
              <w:left w:val="single" w:color="auto" w:sz="4" w:space="0"/>
              <w:bottom w:val="single" w:color="auto" w:sz="4" w:space="0"/>
              <w:right w:val="single" w:color="auto" w:sz="4" w:space="0"/>
            </w:tcBorders>
            <w:vAlign w:val="center"/>
          </w:tcPr>
          <w:p>
            <w:pPr>
              <w:spacing w:line="288" w:lineRule="auto"/>
              <w:jc w:val="center"/>
              <w:rPr>
                <w:rFonts w:hAnsi="宋体" w:cs="Arial"/>
                <w:bCs/>
                <w:highlight w:val="none"/>
              </w:rPr>
            </w:pPr>
          </w:p>
        </w:tc>
        <w:tc>
          <w:tcPr>
            <w:tcW w:w="6639" w:type="dxa"/>
            <w:tcBorders>
              <w:top w:val="single" w:color="auto" w:sz="4" w:space="0"/>
              <w:left w:val="single" w:color="auto" w:sz="4" w:space="0"/>
              <w:bottom w:val="single" w:color="auto" w:sz="4" w:space="0"/>
              <w:right w:val="single" w:color="auto" w:sz="4" w:space="0"/>
            </w:tcBorders>
            <w:vAlign w:val="center"/>
          </w:tcPr>
          <w:p>
            <w:pPr>
              <w:pStyle w:val="7"/>
              <w:spacing w:line="288" w:lineRule="auto"/>
              <w:jc w:val="left"/>
              <w:rPr>
                <w:rFonts w:hAnsi="宋体" w:cs="Arial"/>
                <w:bCs/>
                <w:color w:val="auto"/>
                <w:highlight w:val="none"/>
              </w:rPr>
            </w:pPr>
            <w:r>
              <w:rPr>
                <w:rFonts w:hint="eastAsia" w:hAnsi="宋体" w:cs="Arial"/>
                <w:bCs/>
                <w:color w:val="auto"/>
                <w:highlight w:val="none"/>
              </w:rPr>
              <w:t>最高限价：</w:t>
            </w:r>
            <w:r>
              <w:rPr>
                <w:rFonts w:hint="eastAsia" w:hAnsi="宋体" w:cs="Arial"/>
                <w:bCs/>
                <w:color w:val="auto"/>
                <w:highlight w:val="none"/>
                <w:lang w:val="en-US" w:eastAsia="zh-CN"/>
              </w:rPr>
              <w:t>1347.53</w:t>
            </w:r>
            <w:r>
              <w:rPr>
                <w:rFonts w:hint="eastAsia" w:hAnsi="宋体" w:cs="Arial"/>
                <w:bCs/>
                <w:color w:val="auto"/>
                <w:highlight w:val="none"/>
              </w:rPr>
              <w:t>万元</w:t>
            </w:r>
          </w:p>
          <w:p>
            <w:pPr>
              <w:pStyle w:val="7"/>
              <w:spacing w:line="288" w:lineRule="auto"/>
              <w:jc w:val="left"/>
              <w:rPr>
                <w:rFonts w:hint="eastAsia" w:hAnsi="宋体" w:cs="Arial"/>
                <w:bCs/>
                <w:color w:val="auto"/>
                <w:highlight w:val="none"/>
              </w:rPr>
            </w:pPr>
            <w:r>
              <w:rPr>
                <w:rFonts w:hint="eastAsia" w:hAnsi="宋体" w:cs="Arial"/>
                <w:bCs/>
                <w:color w:val="auto"/>
                <w:highlight w:val="none"/>
              </w:rPr>
              <w:t>第一包：</w:t>
            </w:r>
            <w:r>
              <w:rPr>
                <w:rFonts w:hint="eastAsia" w:hAnsi="宋体" w:cs="Arial"/>
                <w:bCs/>
                <w:color w:val="auto"/>
                <w:highlight w:val="none"/>
                <w:lang w:val="en-US" w:eastAsia="zh-CN"/>
              </w:rPr>
              <w:t>256.86</w:t>
            </w:r>
            <w:r>
              <w:rPr>
                <w:rFonts w:hint="eastAsia" w:hAnsi="宋体" w:cs="Arial"/>
                <w:bCs/>
                <w:color w:val="auto"/>
                <w:highlight w:val="none"/>
              </w:rPr>
              <w:t>万元；第二包：</w:t>
            </w:r>
            <w:r>
              <w:rPr>
                <w:rFonts w:hint="eastAsia" w:hAnsi="宋体" w:cs="Arial"/>
                <w:bCs/>
                <w:color w:val="auto"/>
                <w:highlight w:val="none"/>
                <w:lang w:val="en-US" w:eastAsia="zh-CN"/>
              </w:rPr>
              <w:t>309.32</w:t>
            </w:r>
            <w:r>
              <w:rPr>
                <w:rFonts w:hint="eastAsia" w:hAnsi="宋体" w:cs="Arial"/>
                <w:bCs/>
                <w:color w:val="auto"/>
                <w:highlight w:val="none"/>
              </w:rPr>
              <w:t>万元；第三包：</w:t>
            </w:r>
            <w:r>
              <w:rPr>
                <w:rFonts w:hint="eastAsia" w:hAnsi="宋体" w:cs="Arial"/>
                <w:bCs/>
                <w:color w:val="auto"/>
                <w:highlight w:val="none"/>
                <w:lang w:val="en-US" w:eastAsia="zh-CN"/>
              </w:rPr>
              <w:t>620</w:t>
            </w:r>
            <w:r>
              <w:rPr>
                <w:rFonts w:hint="eastAsia" w:hAnsi="宋体" w:cs="Arial"/>
                <w:bCs/>
                <w:color w:val="auto"/>
                <w:highlight w:val="none"/>
              </w:rPr>
              <w:t>万元</w:t>
            </w:r>
            <w:r>
              <w:rPr>
                <w:rFonts w:hint="eastAsia" w:hAnsi="宋体" w:cs="Arial"/>
                <w:bCs/>
                <w:color w:val="auto"/>
                <w:highlight w:val="none"/>
                <w:lang w:eastAsia="zh-CN"/>
              </w:rPr>
              <w:t>；第四包：</w:t>
            </w:r>
            <w:r>
              <w:rPr>
                <w:rFonts w:hint="eastAsia" w:hAnsi="宋体" w:cs="Arial"/>
                <w:bCs/>
                <w:color w:val="auto"/>
                <w:highlight w:val="none"/>
                <w:lang w:val="en-US" w:eastAsia="zh-CN"/>
              </w:rPr>
              <w:t>161.35万元</w:t>
            </w:r>
            <w:r>
              <w:rPr>
                <w:rFonts w:hint="eastAsia" w:hAnsi="宋体" w:cs="Arial"/>
                <w:bCs/>
                <w:color w:val="auto"/>
                <w:highlight w:val="none"/>
              </w:rPr>
              <w:t>。</w:t>
            </w:r>
          </w:p>
          <w:p>
            <w:pPr>
              <w:pStyle w:val="7"/>
              <w:spacing w:line="288" w:lineRule="auto"/>
              <w:jc w:val="left"/>
              <w:rPr>
                <w:rFonts w:asciiTheme="minorEastAsia" w:hAnsiTheme="minorEastAsia" w:eastAsiaTheme="minorEastAsia" w:cstheme="minorEastAsia"/>
                <w:bCs/>
                <w:color w:val="auto"/>
                <w:highlight w:val="none"/>
              </w:rPr>
            </w:pPr>
            <w:r>
              <w:rPr>
                <w:rFonts w:hint="eastAsia" w:hAnsi="宋体" w:cs="Arial"/>
                <w:bCs/>
                <w:color w:val="auto"/>
                <w:highlight w:val="none"/>
              </w:rPr>
              <w:t>（供应商的报价不得超过最高限价</w:t>
            </w:r>
            <w:r>
              <w:rPr>
                <w:rFonts w:hint="eastAsia" w:hAnsi="宋体" w:cs="Arial"/>
                <w:bCs/>
                <w:color w:val="auto"/>
                <w:highlight w:val="none"/>
                <w:lang w:val="en-US" w:eastAsia="zh-CN"/>
              </w:rPr>
              <w:t>且</w:t>
            </w:r>
            <w:r>
              <w:rPr>
                <w:rFonts w:hint="eastAsia" w:hAnsi="宋体" w:cs="Arial"/>
                <w:bCs/>
                <w:color w:val="auto"/>
                <w:highlight w:val="none"/>
              </w:rPr>
              <w:t>不得超过单价最高限价，否则其响应文件将被拒绝。）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Ansi="宋体" w:cs="Arial"/>
                <w:bCs/>
                <w:highlight w:val="none"/>
              </w:rPr>
            </w:pPr>
            <w:r>
              <w:rPr>
                <w:rFonts w:hint="eastAsia" w:hAnsi="宋体" w:cs="Arial"/>
                <w:bCs/>
                <w:highlight w:val="none"/>
              </w:rPr>
              <w:t>3</w:t>
            </w:r>
          </w:p>
        </w:tc>
        <w:tc>
          <w:tcPr>
            <w:tcW w:w="19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Ansi="宋体" w:cs="Arial"/>
                <w:bCs/>
                <w:highlight w:val="none"/>
              </w:rPr>
            </w:pPr>
            <w:r>
              <w:rPr>
                <w:rFonts w:hint="eastAsia" w:hAnsi="宋体" w:cs="Arial"/>
                <w:bCs/>
                <w:highlight w:val="none"/>
              </w:rPr>
              <w:t>招标方式</w:t>
            </w:r>
          </w:p>
        </w:tc>
        <w:tc>
          <w:tcPr>
            <w:tcW w:w="6639" w:type="dxa"/>
            <w:tcBorders>
              <w:top w:val="single" w:color="auto" w:sz="4" w:space="0"/>
              <w:left w:val="single" w:color="auto" w:sz="4" w:space="0"/>
              <w:bottom w:val="single" w:color="auto" w:sz="4" w:space="0"/>
              <w:right w:val="single" w:color="auto" w:sz="4" w:space="0"/>
            </w:tcBorders>
            <w:vAlign w:val="center"/>
          </w:tcPr>
          <w:p>
            <w:pPr>
              <w:pStyle w:val="22"/>
              <w:spacing w:line="288" w:lineRule="auto"/>
              <w:ind w:left="0"/>
              <w:rPr>
                <w:rFonts w:ascii="宋体" w:hAnsi="宋体" w:cs="Arial"/>
                <w:bCs/>
                <w:sz w:val="21"/>
                <w:szCs w:val="21"/>
                <w:highlight w:val="none"/>
              </w:rPr>
            </w:pPr>
            <w:r>
              <w:rPr>
                <w:rFonts w:hint="eastAsia" w:ascii="宋体" w:hAnsi="宋体" w:cs="Arial"/>
                <w:bCs/>
                <w:sz w:val="21"/>
                <w:szCs w:val="21"/>
                <w:highlight w:val="none"/>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Ansi="宋体" w:cs="Arial"/>
                <w:bCs/>
                <w:highlight w:val="none"/>
              </w:rPr>
            </w:pPr>
            <w:r>
              <w:rPr>
                <w:rFonts w:hint="eastAsia" w:hAnsi="宋体" w:cs="Arial"/>
                <w:bCs/>
                <w:highlight w:val="none"/>
              </w:rPr>
              <w:t>4</w:t>
            </w:r>
          </w:p>
        </w:tc>
        <w:tc>
          <w:tcPr>
            <w:tcW w:w="19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Ansi="宋体" w:cs="Arial"/>
                <w:bCs/>
                <w:highlight w:val="none"/>
              </w:rPr>
            </w:pPr>
            <w:r>
              <w:rPr>
                <w:rFonts w:hint="eastAsia" w:hAnsi="宋体" w:cs="Arial"/>
                <w:bCs/>
                <w:highlight w:val="none"/>
              </w:rPr>
              <w:t>招标内容</w:t>
            </w:r>
          </w:p>
        </w:tc>
        <w:tc>
          <w:tcPr>
            <w:tcW w:w="6639"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hAnsi="宋体"/>
                <w:highlight w:val="none"/>
              </w:rPr>
            </w:pPr>
            <w:r>
              <w:rPr>
                <w:rFonts w:hint="eastAsia" w:hAnsi="宋体"/>
                <w:highlight w:val="none"/>
              </w:rPr>
              <w:t>详见本招标文件第六章项目需求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Ansi="宋体" w:cs="Arial"/>
                <w:bCs/>
                <w:highlight w:val="none"/>
              </w:rPr>
            </w:pPr>
            <w:r>
              <w:rPr>
                <w:rFonts w:hint="eastAsia" w:hAnsi="宋体" w:cs="Arial"/>
                <w:bCs/>
                <w:highlight w:val="none"/>
              </w:rPr>
              <w:t>5</w:t>
            </w:r>
          </w:p>
        </w:tc>
        <w:tc>
          <w:tcPr>
            <w:tcW w:w="19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Ansi="宋体" w:cs="Arial"/>
                <w:bCs/>
                <w:highlight w:val="none"/>
              </w:rPr>
            </w:pPr>
            <w:r>
              <w:rPr>
                <w:rFonts w:hint="eastAsia" w:hAnsi="宋体" w:cs="Arial"/>
                <w:bCs/>
                <w:highlight w:val="none"/>
                <w:lang w:val="en-US" w:eastAsia="zh-CN"/>
              </w:rPr>
              <w:t>供货</w:t>
            </w:r>
            <w:r>
              <w:rPr>
                <w:rFonts w:hint="eastAsia" w:hAnsi="宋体" w:cs="Arial"/>
                <w:bCs/>
                <w:highlight w:val="none"/>
              </w:rPr>
              <w:t>地点</w:t>
            </w:r>
          </w:p>
        </w:tc>
        <w:tc>
          <w:tcPr>
            <w:tcW w:w="6639"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hAnsi="宋体"/>
                <w:color w:val="auto"/>
                <w:highlight w:val="none"/>
              </w:rPr>
            </w:pPr>
            <w:r>
              <w:rPr>
                <w:rFonts w:hint="eastAsia" w:hAnsi="宋体"/>
                <w:color w:val="auto"/>
                <w:highlight w:val="none"/>
                <w:lang w:eastAsia="zh-CN"/>
              </w:rPr>
              <w:t>采购人</w:t>
            </w:r>
            <w:r>
              <w:rPr>
                <w:rFonts w:hint="eastAsia" w:hAnsi="宋体"/>
                <w:color w:val="auto"/>
                <w:highlight w:val="none"/>
              </w:rPr>
              <w:t>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Ansi="宋体" w:cs="Arial"/>
                <w:highlight w:val="none"/>
              </w:rPr>
            </w:pPr>
            <w:r>
              <w:rPr>
                <w:rFonts w:hint="eastAsia" w:hAnsi="宋体" w:cs="Arial"/>
                <w:highlight w:val="none"/>
              </w:rPr>
              <w:t>6</w:t>
            </w:r>
          </w:p>
        </w:tc>
        <w:tc>
          <w:tcPr>
            <w:tcW w:w="19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int="default" w:hAnsi="宋体" w:cs="宋体"/>
                <w:color w:val="auto"/>
                <w:highlight w:val="none"/>
                <w:lang w:val="en-US" w:eastAsia="zh-CN"/>
              </w:rPr>
            </w:pPr>
            <w:r>
              <w:rPr>
                <w:rFonts w:hint="eastAsia" w:hAnsi="宋体" w:cs="宋体"/>
                <w:color w:val="auto"/>
                <w:highlight w:val="none"/>
                <w:lang w:val="en-US" w:eastAsia="zh-CN"/>
              </w:rPr>
              <w:t>合同履约期限</w:t>
            </w:r>
          </w:p>
        </w:tc>
        <w:tc>
          <w:tcPr>
            <w:tcW w:w="6639" w:type="dxa"/>
            <w:tcBorders>
              <w:top w:val="single" w:color="auto" w:sz="4" w:space="0"/>
              <w:left w:val="single" w:color="auto" w:sz="4" w:space="0"/>
              <w:bottom w:val="single" w:color="auto" w:sz="4" w:space="0"/>
              <w:right w:val="single" w:color="auto" w:sz="4" w:space="0"/>
            </w:tcBorders>
            <w:vAlign w:val="center"/>
          </w:tcPr>
          <w:p>
            <w:pPr>
              <w:spacing w:line="288" w:lineRule="auto"/>
              <w:rPr>
                <w:rFonts w:hint="eastAsia" w:hAnsi="宋体" w:eastAsia="宋体"/>
                <w:color w:val="auto"/>
                <w:highlight w:val="none"/>
                <w:lang w:eastAsia="zh-CN"/>
              </w:rPr>
            </w:pPr>
            <w:r>
              <w:rPr>
                <w:rFonts w:hint="eastAsia" w:hAnsi="宋体"/>
                <w:color w:val="auto"/>
                <w:highlight w:val="none"/>
              </w:rPr>
              <w:t>签订合同后45日内交付货物、安装并完成调试，采购人7日内组织初验，通过采购人初验后，试运行1个月，所供货物使用正常，满足采购人需求，采购人7日内出具最终验收意见。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Ansi="宋体" w:cs="Arial"/>
                <w:bCs/>
                <w:highlight w:val="none"/>
              </w:rPr>
            </w:pPr>
            <w:r>
              <w:rPr>
                <w:rFonts w:hint="eastAsia" w:hAnsi="宋体" w:cs="Arial"/>
                <w:bCs/>
                <w:highlight w:val="none"/>
              </w:rPr>
              <w:t>7</w:t>
            </w:r>
          </w:p>
        </w:tc>
        <w:tc>
          <w:tcPr>
            <w:tcW w:w="19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Ansi="宋体" w:cs="宋体"/>
                <w:highlight w:val="none"/>
              </w:rPr>
            </w:pPr>
            <w:r>
              <w:rPr>
                <w:rFonts w:hint="eastAsia" w:hAnsi="宋体" w:cs="宋体"/>
                <w:highlight w:val="none"/>
              </w:rPr>
              <w:t>质量标准</w:t>
            </w:r>
          </w:p>
        </w:tc>
        <w:tc>
          <w:tcPr>
            <w:tcW w:w="6639"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hAnsi="宋体"/>
                <w:highlight w:val="none"/>
              </w:rPr>
            </w:pPr>
            <w:r>
              <w:rPr>
                <w:rFonts w:hint="eastAsia" w:hAnsi="宋体"/>
                <w:highlight w:val="none"/>
              </w:rPr>
              <w:t>达到</w:t>
            </w:r>
            <w:r>
              <w:rPr>
                <w:rFonts w:hint="eastAsia" w:hAnsi="宋体"/>
                <w:highlight w:val="none"/>
                <w:lang w:eastAsia="zh-CN"/>
              </w:rPr>
              <w:t>采购人</w:t>
            </w:r>
            <w:r>
              <w:rPr>
                <w:rFonts w:hint="eastAsia" w:hAnsi="宋体"/>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6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Arial"/>
                <w:bCs/>
                <w:highlight w:val="none"/>
              </w:rPr>
            </w:pPr>
            <w:r>
              <w:rPr>
                <w:rFonts w:hint="eastAsia" w:hAnsi="宋体" w:cs="Arial"/>
                <w:bCs/>
                <w:highlight w:val="none"/>
              </w:rPr>
              <w:t>8</w:t>
            </w:r>
          </w:p>
        </w:tc>
        <w:tc>
          <w:tcPr>
            <w:tcW w:w="19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Ansi="宋体" w:cs="宋体"/>
                <w:highlight w:val="none"/>
              </w:rPr>
            </w:pPr>
            <w:r>
              <w:rPr>
                <w:rFonts w:hint="eastAsia" w:cs="宋体"/>
                <w:color w:val="auto"/>
                <w:highlight w:val="none"/>
              </w:rPr>
              <w:t>付款方式</w:t>
            </w:r>
          </w:p>
        </w:tc>
        <w:tc>
          <w:tcPr>
            <w:tcW w:w="6639" w:type="dxa"/>
            <w:tcBorders>
              <w:top w:val="single" w:color="auto" w:sz="4" w:space="0"/>
              <w:left w:val="single" w:color="auto" w:sz="4" w:space="0"/>
              <w:bottom w:val="single" w:color="auto" w:sz="4" w:space="0"/>
              <w:right w:val="single" w:color="auto" w:sz="4" w:space="0"/>
            </w:tcBorders>
            <w:vAlign w:val="center"/>
          </w:tcPr>
          <w:p>
            <w:pPr>
              <w:spacing w:line="288" w:lineRule="auto"/>
              <w:rPr>
                <w:highlight w:val="none"/>
              </w:rPr>
            </w:pPr>
            <w:r>
              <w:rPr>
                <w:rFonts w:hint="eastAsia"/>
                <w:color w:val="auto"/>
                <w:highlight w:val="none"/>
                <w:lang w:val="en-US" w:eastAsia="zh-CN"/>
              </w:rPr>
              <w:t>中标单位按合同约定交付全部产品、安装调试完毕，验收合格并经过结算审计后30日内，采购人按验收报告、结算审计、合同相关条款支付货款100%；如结算审计有审减，按照结算审计结果支付货款；如验收不合格、未完成安装调试，参照违约责任执行。(如采购人有付款需求，在签订合同后，中标单位向采购人提供同等合同金额的银行保函，收到保函，采购人可支付合同金额的100%，待验收合格、安装调试完毕后，根据结算审计结果解除银行质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Arial"/>
                <w:bCs/>
                <w:highlight w:val="none"/>
              </w:rPr>
            </w:pPr>
            <w:r>
              <w:rPr>
                <w:rFonts w:hint="eastAsia" w:hAnsi="宋体" w:cs="Arial"/>
                <w:bCs/>
                <w:highlight w:val="none"/>
              </w:rPr>
              <w:t>9</w:t>
            </w:r>
          </w:p>
        </w:tc>
        <w:tc>
          <w:tcPr>
            <w:tcW w:w="19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color w:val="auto"/>
                <w:highlight w:val="none"/>
              </w:rPr>
            </w:pPr>
            <w:r>
              <w:rPr>
                <w:rFonts w:hint="eastAsia" w:cs="宋体"/>
                <w:color w:val="auto"/>
                <w:highlight w:val="none"/>
              </w:rPr>
              <w:t>质量保修期</w:t>
            </w:r>
          </w:p>
        </w:tc>
        <w:tc>
          <w:tcPr>
            <w:tcW w:w="6639" w:type="dxa"/>
            <w:tcBorders>
              <w:top w:val="single" w:color="auto" w:sz="4" w:space="0"/>
              <w:left w:val="single" w:color="auto" w:sz="4" w:space="0"/>
              <w:bottom w:val="single" w:color="auto" w:sz="4" w:space="0"/>
              <w:right w:val="single" w:color="auto" w:sz="4" w:space="0"/>
            </w:tcBorders>
            <w:vAlign w:val="center"/>
          </w:tcPr>
          <w:p>
            <w:pPr>
              <w:spacing w:line="288" w:lineRule="auto"/>
              <w:rPr>
                <w:color w:val="auto"/>
                <w:highlight w:val="none"/>
              </w:rPr>
            </w:pPr>
            <w:r>
              <w:rPr>
                <w:rFonts w:hint="eastAsia"/>
                <w:color w:val="auto"/>
                <w:highlight w:val="none"/>
              </w:rPr>
              <w:t>消防装备自验收</w:t>
            </w:r>
            <w:r>
              <w:rPr>
                <w:rFonts w:hint="eastAsia"/>
                <w:color w:val="auto"/>
                <w:highlight w:val="none"/>
                <w:lang w:eastAsia="zh-CN"/>
              </w:rPr>
              <w:t>合格</w:t>
            </w:r>
            <w:r>
              <w:rPr>
                <w:rFonts w:hint="eastAsia"/>
                <w:color w:val="auto"/>
                <w:highlight w:val="none"/>
              </w:rPr>
              <w:t>之日起</w:t>
            </w:r>
            <w:r>
              <w:rPr>
                <w:rFonts w:hint="eastAsia"/>
                <w:color w:val="auto"/>
                <w:highlight w:val="none"/>
                <w:lang w:val="en-US" w:eastAsia="zh-CN"/>
              </w:rPr>
              <w:t>3</w:t>
            </w:r>
            <w:r>
              <w:rPr>
                <w:rFonts w:hint="eastAsia"/>
                <w:color w:val="auto"/>
                <w:highlight w:val="none"/>
              </w:rPr>
              <w:t>年</w:t>
            </w:r>
            <w:r>
              <w:rPr>
                <w:rFonts w:hint="eastAsia"/>
                <w:color w:val="auto"/>
                <w:highlight w:val="none"/>
                <w:lang w:eastAsia="zh-CN"/>
              </w:rPr>
              <w:t>，质保期内</w:t>
            </w:r>
            <w:r>
              <w:rPr>
                <w:rFonts w:hint="eastAsia"/>
                <w:color w:val="auto"/>
                <w:highlight w:val="none"/>
              </w:rPr>
              <w:t>免费维修更换相关配件。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Arial"/>
                <w:bCs/>
                <w:highlight w:val="none"/>
              </w:rPr>
            </w:pPr>
            <w:r>
              <w:rPr>
                <w:rFonts w:hint="eastAsia" w:hAnsi="宋体" w:cs="Arial"/>
                <w:bCs/>
                <w:highlight w:val="none"/>
              </w:rPr>
              <w:t>10</w:t>
            </w:r>
          </w:p>
        </w:tc>
        <w:tc>
          <w:tcPr>
            <w:tcW w:w="19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highlight w:val="none"/>
              </w:rPr>
            </w:pPr>
            <w:r>
              <w:rPr>
                <w:rFonts w:hint="eastAsia" w:cs="宋体"/>
                <w:highlight w:val="none"/>
              </w:rPr>
              <w:t>进口产品</w:t>
            </w:r>
          </w:p>
        </w:tc>
        <w:tc>
          <w:tcPr>
            <w:tcW w:w="6639"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hAnsi="宋体"/>
                <w:highlight w:val="none"/>
              </w:rPr>
            </w:pPr>
            <w:r>
              <w:rPr>
                <w:rFonts w:hint="eastAsia" w:hAnsi="宋体"/>
                <w:highlight w:val="none"/>
              </w:rPr>
              <w:t>本项目不接受进口产品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Arial"/>
                <w:bCs/>
                <w:highlight w:val="none"/>
              </w:rPr>
            </w:pPr>
            <w:r>
              <w:rPr>
                <w:rFonts w:hint="eastAsia" w:hAnsi="宋体" w:cs="Arial"/>
                <w:bCs/>
                <w:highlight w:val="none"/>
              </w:rPr>
              <w:t>11</w:t>
            </w:r>
          </w:p>
        </w:tc>
        <w:tc>
          <w:tcPr>
            <w:tcW w:w="19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color w:val="auto"/>
                <w:highlight w:val="none"/>
              </w:rPr>
            </w:pPr>
            <w:r>
              <w:rPr>
                <w:rFonts w:hint="eastAsia" w:cs="宋体"/>
                <w:color w:val="auto"/>
                <w:highlight w:val="none"/>
              </w:rPr>
              <w:t>核心产品</w:t>
            </w:r>
          </w:p>
        </w:tc>
        <w:tc>
          <w:tcPr>
            <w:tcW w:w="6639" w:type="dxa"/>
            <w:tcBorders>
              <w:top w:val="single" w:color="auto" w:sz="4" w:space="0"/>
              <w:left w:val="single" w:color="auto" w:sz="4" w:space="0"/>
              <w:bottom w:val="single" w:color="auto" w:sz="4" w:space="0"/>
              <w:right w:val="single" w:color="auto" w:sz="4" w:space="0"/>
            </w:tcBorders>
            <w:vAlign w:val="center"/>
          </w:tcPr>
          <w:p>
            <w:pPr>
              <w:spacing w:line="288" w:lineRule="auto"/>
              <w:rPr>
                <w:rFonts w:hint="eastAsia"/>
                <w:color w:val="auto"/>
                <w:highlight w:val="none"/>
                <w:lang w:eastAsia="zh-CN"/>
              </w:rPr>
            </w:pPr>
            <w:r>
              <w:rPr>
                <w:rFonts w:hint="eastAsia"/>
                <w:color w:val="auto"/>
                <w:highlight w:val="none"/>
              </w:rPr>
              <w:t>第一包：☑有  □无 核心产品为：无齿锯</w:t>
            </w:r>
            <w:r>
              <w:rPr>
                <w:rFonts w:hint="eastAsia"/>
                <w:color w:val="auto"/>
                <w:highlight w:val="none"/>
                <w:lang w:eastAsia="zh-CN"/>
              </w:rPr>
              <w:t>；</w:t>
            </w:r>
          </w:p>
          <w:p>
            <w:pPr>
              <w:spacing w:line="288" w:lineRule="auto"/>
              <w:rPr>
                <w:rFonts w:hint="eastAsia"/>
                <w:color w:val="auto"/>
                <w:highlight w:val="none"/>
                <w:lang w:eastAsia="zh-CN"/>
              </w:rPr>
            </w:pPr>
            <w:r>
              <w:rPr>
                <w:rFonts w:hint="eastAsia"/>
                <w:color w:val="auto"/>
                <w:highlight w:val="none"/>
              </w:rPr>
              <w:t>第二包：☑有  □无 核心产品为：</w:t>
            </w:r>
            <w:r>
              <w:rPr>
                <w:rFonts w:hint="eastAsia"/>
                <w:color w:val="auto"/>
                <w:highlight w:val="none"/>
                <w:lang w:val="en-US" w:eastAsia="zh-CN"/>
              </w:rPr>
              <w:t>电动液压剪扩组</w:t>
            </w:r>
            <w:r>
              <w:rPr>
                <w:rFonts w:hint="eastAsia"/>
                <w:color w:val="auto"/>
                <w:highlight w:val="none"/>
                <w:lang w:eastAsia="zh-CN"/>
              </w:rPr>
              <w:t>；</w:t>
            </w:r>
          </w:p>
          <w:p>
            <w:pPr>
              <w:spacing w:line="288" w:lineRule="auto"/>
              <w:rPr>
                <w:rFonts w:hint="eastAsia"/>
                <w:color w:val="auto"/>
                <w:highlight w:val="none"/>
                <w:lang w:eastAsia="zh-CN"/>
              </w:rPr>
            </w:pPr>
            <w:r>
              <w:rPr>
                <w:rFonts w:hint="eastAsia"/>
                <w:color w:val="auto"/>
                <w:highlight w:val="none"/>
              </w:rPr>
              <w:t>第三包：☑有  □无 核心产品为：液压破拆工具组A</w:t>
            </w:r>
            <w:r>
              <w:rPr>
                <w:rFonts w:hint="eastAsia"/>
                <w:color w:val="auto"/>
                <w:highlight w:val="none"/>
                <w:lang w:eastAsia="zh-CN"/>
              </w:rPr>
              <w:t>；</w:t>
            </w:r>
          </w:p>
          <w:p>
            <w:pPr>
              <w:spacing w:line="288" w:lineRule="auto"/>
              <w:rPr>
                <w:rFonts w:hint="eastAsia" w:eastAsia="宋体"/>
                <w:color w:val="auto"/>
                <w:highlight w:val="none"/>
                <w:lang w:eastAsia="zh-CN"/>
              </w:rPr>
            </w:pPr>
            <w:r>
              <w:rPr>
                <w:rFonts w:hint="eastAsia"/>
                <w:color w:val="auto"/>
                <w:highlight w:val="none"/>
              </w:rPr>
              <w:t>第</w:t>
            </w:r>
            <w:r>
              <w:rPr>
                <w:rFonts w:hint="eastAsia"/>
                <w:color w:val="auto"/>
                <w:highlight w:val="none"/>
                <w:lang w:eastAsia="zh-CN"/>
              </w:rPr>
              <w:t>四</w:t>
            </w:r>
            <w:r>
              <w:rPr>
                <w:rFonts w:hint="eastAsia"/>
                <w:color w:val="auto"/>
                <w:highlight w:val="none"/>
              </w:rPr>
              <w:t>包：☑有  □无 核心产品为：凿岩机；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Ansi="宋体" w:cs="Arial"/>
                <w:bCs/>
                <w:highlight w:val="none"/>
              </w:rPr>
            </w:pPr>
            <w:r>
              <w:rPr>
                <w:rFonts w:hint="eastAsia" w:hAnsi="宋体" w:cs="Arial"/>
                <w:bCs/>
                <w:highlight w:val="none"/>
              </w:rPr>
              <w:t>12</w:t>
            </w:r>
          </w:p>
        </w:tc>
        <w:tc>
          <w:tcPr>
            <w:tcW w:w="19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highlight w:val="none"/>
              </w:rPr>
            </w:pPr>
            <w:r>
              <w:rPr>
                <w:rFonts w:hint="eastAsia" w:ascii="宋体" w:hAnsi="宋体" w:cs="宋体"/>
                <w:highlight w:val="none"/>
                <w:lang w:val="zh-CN"/>
              </w:rPr>
              <w:t>构成招标文件的其他文件</w:t>
            </w:r>
          </w:p>
        </w:tc>
        <w:tc>
          <w:tcPr>
            <w:tcW w:w="6639"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hAnsi="宋体"/>
                <w:highlight w:val="none"/>
              </w:rPr>
            </w:pPr>
            <w:r>
              <w:rPr>
                <w:rFonts w:hint="eastAsia" w:hAnsi="宋体"/>
                <w:highlight w:val="none"/>
                <w:lang w:val="zh-CN"/>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Arial"/>
                <w:bCs/>
                <w:highlight w:val="none"/>
              </w:rPr>
            </w:pPr>
            <w:r>
              <w:rPr>
                <w:rFonts w:hint="eastAsia" w:hAnsi="宋体" w:cs="Arial"/>
                <w:bCs/>
                <w:highlight w:val="none"/>
              </w:rPr>
              <w:t>13</w:t>
            </w:r>
          </w:p>
        </w:tc>
        <w:tc>
          <w:tcPr>
            <w:tcW w:w="19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Arial"/>
                <w:highlight w:val="none"/>
              </w:rPr>
            </w:pPr>
            <w:r>
              <w:rPr>
                <w:rFonts w:hint="eastAsia" w:hAnsi="宋体" w:cs="Arial"/>
                <w:color w:val="auto"/>
                <w:highlight w:val="none"/>
                <w:lang w:eastAsia="zh-CN"/>
              </w:rPr>
              <w:t>供应商</w:t>
            </w:r>
            <w:r>
              <w:rPr>
                <w:rFonts w:hint="eastAsia" w:hAnsi="宋体" w:cs="Arial"/>
                <w:color w:val="auto"/>
                <w:highlight w:val="none"/>
              </w:rPr>
              <w:t>资格要求</w:t>
            </w:r>
          </w:p>
        </w:tc>
        <w:tc>
          <w:tcPr>
            <w:tcW w:w="6639"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88" w:lineRule="auto"/>
              <w:rPr>
                <w:rFonts w:hint="eastAsia"/>
                <w:highlight w:val="none"/>
                <w:lang w:val="zh-CN"/>
              </w:rPr>
            </w:pPr>
            <w:r>
              <w:rPr>
                <w:rFonts w:hint="eastAsia" w:cs="Times New Roman"/>
                <w:kern w:val="2"/>
                <w:sz w:val="21"/>
                <w:szCs w:val="21"/>
                <w:highlight w:val="none"/>
                <w:lang w:val="en-US" w:eastAsia="zh-CN" w:bidi="ar-SA"/>
              </w:rPr>
              <w:t>1.</w:t>
            </w:r>
            <w:r>
              <w:rPr>
                <w:rFonts w:hint="eastAsia"/>
                <w:highlight w:val="none"/>
                <w:lang w:val="zh-CN"/>
              </w:rPr>
              <w:t>满足《中华人民共和国政府采购法》第二十二条规定；</w:t>
            </w:r>
          </w:p>
          <w:p>
            <w:pPr>
              <w:spacing w:line="400" w:lineRule="exact"/>
              <w:rPr>
                <w:rFonts w:hint="eastAsia"/>
                <w:color w:val="auto"/>
                <w:highlight w:val="none"/>
                <w:lang w:val="zh-CN"/>
              </w:rPr>
            </w:pPr>
            <w:r>
              <w:rPr>
                <w:rFonts w:hint="eastAsia"/>
                <w:color w:val="auto"/>
                <w:highlight w:val="none"/>
                <w:lang w:val="zh-CN"/>
              </w:rPr>
              <w:t>1.1 具有独立承担民事责任的能力；</w:t>
            </w:r>
          </w:p>
          <w:p>
            <w:pPr>
              <w:spacing w:line="400" w:lineRule="exact"/>
              <w:rPr>
                <w:rFonts w:hint="eastAsia" w:asciiTheme="majorEastAsia" w:hAnsiTheme="majorEastAsia" w:eastAsiaTheme="majorEastAsia" w:cstheme="majorEastAsia"/>
                <w:sz w:val="24"/>
                <w:szCs w:val="24"/>
                <w:highlight w:val="none"/>
                <w:lang w:val="en-US" w:eastAsia="zh-CN"/>
              </w:rPr>
            </w:pPr>
            <w:r>
              <w:rPr>
                <w:rFonts w:hint="eastAsia"/>
                <w:color w:val="auto"/>
                <w:highlight w:val="none"/>
                <w:lang w:val="zh-CN"/>
              </w:rPr>
              <w:t>1.2 具有良好的商业信誉和健全的财务会计制度：</w:t>
            </w:r>
            <w:r>
              <w:rPr>
                <w:rFonts w:hint="eastAsia" w:asciiTheme="majorEastAsia" w:hAnsiTheme="majorEastAsia" w:eastAsiaTheme="majorEastAsia" w:cstheme="majorEastAsia"/>
                <w:sz w:val="21"/>
                <w:szCs w:val="21"/>
                <w:highlight w:val="none"/>
                <w:lang w:val="en-US" w:eastAsia="zh-CN"/>
              </w:rPr>
              <w:t xml:space="preserve">应提供本单位2022年度或2023年度经会计师事务所出具的审计报告复印件（报告中须包括资产负债表、利润表、现金流量表及财务报表附注）。如供应商注册不满1年则提供具有良好的商业信誉和健全的财务会计制度承诺函； </w:t>
            </w:r>
          </w:p>
          <w:p>
            <w:pPr>
              <w:spacing w:line="400" w:lineRule="exact"/>
              <w:rPr>
                <w:rFonts w:hint="eastAsia"/>
                <w:color w:val="auto"/>
                <w:highlight w:val="none"/>
                <w:lang w:val="zh-CN"/>
              </w:rPr>
            </w:pPr>
            <w:r>
              <w:rPr>
                <w:rFonts w:hint="eastAsia"/>
                <w:color w:val="auto"/>
                <w:highlight w:val="none"/>
                <w:lang w:val="zh-CN"/>
              </w:rPr>
              <w:t>1.3 具有履行合同所必需的设备和专业技术能力：须附相关证明材料或声明；</w:t>
            </w:r>
          </w:p>
          <w:p>
            <w:pPr>
              <w:spacing w:line="400" w:lineRule="exact"/>
              <w:rPr>
                <w:rFonts w:hint="eastAsia"/>
                <w:color w:val="auto"/>
                <w:highlight w:val="none"/>
                <w:lang w:val="zh-CN"/>
              </w:rPr>
            </w:pPr>
            <w:r>
              <w:rPr>
                <w:rFonts w:hint="eastAsia"/>
                <w:color w:val="auto"/>
                <w:highlight w:val="none"/>
                <w:lang w:val="zh-CN"/>
              </w:rPr>
              <w:t>1.4 有依法缴纳税收和社会保障资金的良好记录：缴纳税收的证明材料，指供应商缴纳增值税和企业所得税两种缴纳凭据；本项目开标前6个月内（至少提供1个月）缴纳税收的凭据（完税证、缴款书、印花税票、银行代扣（代缴）转账凭证等均可）；供应商依法缴纳社会保障资金的证明材料：本项目开标前 6个月内（至少提供1个月）缴纳社会保险的凭据（专用收据或社会保险交纳清单）；供应商为其他组织或自然人的，也需要按此项规定提供缴纳税收的凭据和交纳社会保险的凭据。如供应商的社会保险为委托第三方代缴，还需同时提供供应商与第三方服务机构签署的服务合同（合同中应明确写明第三方为供应商代缴其社会保险）；</w:t>
            </w:r>
          </w:p>
          <w:p>
            <w:pPr>
              <w:spacing w:line="400" w:lineRule="exact"/>
              <w:rPr>
                <w:rFonts w:hint="eastAsia"/>
                <w:color w:val="auto"/>
                <w:highlight w:val="none"/>
                <w:lang w:val="zh-CN"/>
              </w:rPr>
            </w:pPr>
            <w:r>
              <w:rPr>
                <w:rFonts w:hint="eastAsia"/>
                <w:color w:val="auto"/>
                <w:highlight w:val="none"/>
                <w:lang w:val="zh-CN"/>
              </w:rPr>
              <w:t xml:space="preserve">1.5 参加政府采购活动前三年内，在经营活动中没有重大违法记录：提供前三年内在经营活动中没有重大违法记录的书面声明； </w:t>
            </w:r>
          </w:p>
          <w:p>
            <w:pPr>
              <w:spacing w:line="400" w:lineRule="exact"/>
              <w:rPr>
                <w:rFonts w:hint="eastAsia"/>
                <w:color w:val="auto"/>
                <w:highlight w:val="none"/>
                <w:lang w:val="zh-CN"/>
              </w:rPr>
            </w:pPr>
            <w:r>
              <w:rPr>
                <w:rFonts w:hint="eastAsia"/>
                <w:color w:val="auto"/>
                <w:highlight w:val="none"/>
                <w:lang w:val="zh-CN"/>
              </w:rPr>
              <w:t>1.6 法律、行政法规规定的其他条件。</w:t>
            </w:r>
          </w:p>
          <w:p>
            <w:pPr>
              <w:spacing w:line="400" w:lineRule="exact"/>
              <w:rPr>
                <w:highlight w:val="none"/>
                <w:lang w:val="zh-CN"/>
              </w:rPr>
            </w:pPr>
            <w:r>
              <w:rPr>
                <w:rFonts w:hint="eastAsia"/>
                <w:highlight w:val="none"/>
                <w:lang w:val="zh-CN"/>
              </w:rPr>
              <w:t>2.落实政府采购政策需满足的资格要求</w:t>
            </w:r>
            <w:r>
              <w:rPr>
                <w:rFonts w:hint="eastAsia"/>
                <w:color w:val="auto"/>
                <w:highlight w:val="none"/>
                <w:lang w:val="zh-CN"/>
              </w:rPr>
              <w:t>：1）本项目</w:t>
            </w:r>
            <w:r>
              <w:rPr>
                <w:rFonts w:hint="eastAsia"/>
                <w:color w:val="auto"/>
                <w:highlight w:val="none"/>
                <w:lang w:val="en-US" w:eastAsia="zh-CN"/>
              </w:rPr>
              <w:t>第一包、第二包、第四包为</w:t>
            </w:r>
            <w:r>
              <w:rPr>
                <w:rFonts w:hint="eastAsia"/>
                <w:color w:val="auto"/>
                <w:highlight w:val="none"/>
                <w:lang w:val="zh-CN"/>
              </w:rPr>
              <w:t>专门面向</w:t>
            </w:r>
            <w:r>
              <w:rPr>
                <w:rFonts w:hint="eastAsia"/>
                <w:color w:val="auto"/>
                <w:highlight w:val="none"/>
                <w:lang w:val="en-US" w:eastAsia="zh-CN"/>
              </w:rPr>
              <w:t>小微</w:t>
            </w:r>
            <w:r>
              <w:rPr>
                <w:rFonts w:hint="eastAsia"/>
                <w:color w:val="auto"/>
                <w:highlight w:val="none"/>
                <w:lang w:val="zh-CN"/>
              </w:rPr>
              <w:t>企业采购，</w:t>
            </w:r>
            <w:r>
              <w:rPr>
                <w:rFonts w:hint="eastAsia"/>
                <w:color w:val="auto"/>
                <w:highlight w:val="none"/>
                <w:lang w:val="en-US" w:eastAsia="zh-CN"/>
              </w:rPr>
              <w:t>第三包为</w:t>
            </w:r>
            <w:r>
              <w:rPr>
                <w:rFonts w:hint="eastAsia"/>
                <w:color w:val="auto"/>
                <w:highlight w:val="none"/>
                <w:lang w:val="zh-CN"/>
              </w:rPr>
              <w:t>专门面向</w:t>
            </w:r>
            <w:r>
              <w:rPr>
                <w:rFonts w:hint="eastAsia"/>
                <w:color w:val="auto"/>
                <w:highlight w:val="none"/>
                <w:lang w:val="en-US" w:eastAsia="zh-CN"/>
              </w:rPr>
              <w:t>中小</w:t>
            </w:r>
            <w:r>
              <w:rPr>
                <w:rFonts w:hint="eastAsia"/>
                <w:color w:val="auto"/>
                <w:highlight w:val="none"/>
                <w:lang w:val="zh-CN"/>
              </w:rPr>
              <w:t>企业采购；价格不再进行财政政策扣除。2）落实《关于调整优化节能产品、环境标志产品政府采购执行机制的通知》（财库[2019]9号）、财政部《关于进一步加大政府采购支持中小企业力度的通知》（财库〔2022</w:t>
            </w:r>
            <w:r>
              <w:rPr>
                <w:rFonts w:hint="eastAsia"/>
                <w:highlight w:val="none"/>
                <w:lang w:val="zh-CN"/>
              </w:rPr>
              <w:t>〕19号）、关于印发《政府采购促进中小企业发展管理办法》的通知（财库[2020]46号）、《财政部、司法部关于政府采购支持监狱企业发展有关问题的通知》（财库[2014]68号）和《关于促进残疾人就业政府采购政策的通知》（财库[2017]141号）等政府采购政策。</w:t>
            </w:r>
          </w:p>
          <w:p>
            <w:pPr>
              <w:spacing w:line="288" w:lineRule="auto"/>
              <w:rPr>
                <w:highlight w:val="none"/>
                <w:lang w:val="zh-CN"/>
              </w:rPr>
            </w:pPr>
            <w:r>
              <w:rPr>
                <w:rFonts w:hint="eastAsia"/>
                <w:highlight w:val="none"/>
              </w:rPr>
              <w:t>3</w:t>
            </w:r>
            <w:r>
              <w:rPr>
                <w:rFonts w:hint="eastAsia"/>
                <w:highlight w:val="none"/>
                <w:lang w:val="zh-CN"/>
              </w:rPr>
              <w:t>.本项目的特定资格要求：</w:t>
            </w:r>
          </w:p>
          <w:p>
            <w:pPr>
              <w:spacing w:line="288" w:lineRule="auto"/>
              <w:rPr>
                <w:highlight w:val="none"/>
              </w:rPr>
            </w:pPr>
            <w:r>
              <w:rPr>
                <w:rFonts w:hint="eastAsia"/>
                <w:highlight w:val="none"/>
              </w:rPr>
              <w:t>3.1与</w:t>
            </w:r>
            <w:r>
              <w:rPr>
                <w:rFonts w:hint="eastAsia"/>
                <w:highlight w:val="none"/>
                <w:lang w:eastAsia="zh-CN"/>
              </w:rPr>
              <w:t>采购人</w:t>
            </w:r>
            <w:r>
              <w:rPr>
                <w:rFonts w:hint="eastAsia"/>
                <w:highlight w:val="none"/>
              </w:rPr>
              <w:t>存在利害关系可能影响招标公正性的法人、其他组织或者个人，不得参加同一标段投标或者未划分标段的同一招标不得参加投标；</w:t>
            </w:r>
          </w:p>
          <w:p>
            <w:pPr>
              <w:spacing w:line="400" w:lineRule="exact"/>
              <w:rPr>
                <w:highlight w:val="none"/>
                <w:lang w:val="zh-CN"/>
              </w:rPr>
            </w:pPr>
            <w:r>
              <w:rPr>
                <w:rFonts w:hint="eastAsia"/>
                <w:highlight w:val="none"/>
              </w:rPr>
              <w:t>3.2</w:t>
            </w:r>
            <w:r>
              <w:rPr>
                <w:rFonts w:hint="eastAsia"/>
                <w:highlight w:val="none"/>
                <w:lang w:val="zh-CN"/>
              </w:rPr>
              <w:t xml:space="preserve"> 供应商负责人为同一人或者存在控股、管理关系的不同单位，不得同时参加本项目的投标。</w:t>
            </w:r>
          </w:p>
          <w:p>
            <w:pPr>
              <w:spacing w:line="400" w:lineRule="exact"/>
              <w:rPr>
                <w:rFonts w:hint="eastAsia"/>
                <w:highlight w:val="none"/>
                <w:lang w:val="zh-CN"/>
              </w:rPr>
            </w:pPr>
            <w:r>
              <w:rPr>
                <w:rFonts w:hint="eastAsia"/>
                <w:highlight w:val="none"/>
                <w:lang w:val="zh-CN"/>
              </w:rPr>
              <w:t>3.3 根据《财政部关于在政府采购活动中查询及使用信用记录有关问题的通知》（财库﹝2016﹞125号）的要求，凡拟参加本次招标项目的投标供应商，如在“信用中国”网（www.creditchina.gov.cn）、中国政府采购网（www.ccgp.gov.cn）列入失信被执行人、重大税收违法失信主体、政府采购严重违法失信行为记录名单的（尚在处罚期内的），将拒绝其参加本次项目投标。</w:t>
            </w:r>
          </w:p>
          <w:p>
            <w:pPr>
              <w:spacing w:line="288" w:lineRule="auto"/>
              <w:rPr>
                <w:highlight w:val="none"/>
              </w:rPr>
            </w:pPr>
            <w:r>
              <w:rPr>
                <w:rFonts w:hint="eastAsia"/>
                <w:color w:val="auto"/>
                <w:highlight w:val="none"/>
              </w:rPr>
              <w:t>4.本项目不接受联合体投标。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Arial"/>
                <w:bCs/>
                <w:highlight w:val="none"/>
              </w:rPr>
            </w:pPr>
            <w:r>
              <w:rPr>
                <w:rFonts w:hint="eastAsia" w:hAnsi="宋体" w:cs="Arial"/>
                <w:bCs/>
                <w:highlight w:val="none"/>
              </w:rPr>
              <w:t>14</w:t>
            </w:r>
          </w:p>
        </w:tc>
        <w:tc>
          <w:tcPr>
            <w:tcW w:w="19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Arial"/>
                <w:bCs/>
                <w:highlight w:val="none"/>
              </w:rPr>
            </w:pPr>
            <w:r>
              <w:rPr>
                <w:rFonts w:hint="eastAsia" w:hAnsi="宋体" w:cs="Arial"/>
                <w:bCs/>
                <w:highlight w:val="none"/>
              </w:rPr>
              <w:t>投标保证金</w:t>
            </w:r>
          </w:p>
        </w:tc>
        <w:tc>
          <w:tcPr>
            <w:tcW w:w="6639" w:type="dxa"/>
            <w:tcBorders>
              <w:top w:val="single" w:color="auto" w:sz="4" w:space="0"/>
              <w:left w:val="single" w:color="auto" w:sz="4" w:space="0"/>
              <w:bottom w:val="single" w:color="auto" w:sz="4" w:space="0"/>
              <w:right w:val="single" w:color="auto" w:sz="4" w:space="0"/>
            </w:tcBorders>
            <w:vAlign w:val="center"/>
          </w:tcPr>
          <w:p>
            <w:pPr>
              <w:pStyle w:val="7"/>
              <w:spacing w:line="288" w:lineRule="auto"/>
              <w:jc w:val="left"/>
              <w:rPr>
                <w:rFonts w:hAnsi="宋体" w:cs="宋体"/>
                <w:b/>
                <w:bCs/>
                <w:highlight w:val="none"/>
              </w:rPr>
            </w:pPr>
            <w:r>
              <w:rPr>
                <w:rFonts w:hint="eastAsia" w:hAnsi="宋体" w:cs="宋体"/>
                <w:b/>
                <w:bCs/>
                <w:highlight w:val="none"/>
              </w:rPr>
              <w:t>1.投标保证金金额：</w:t>
            </w:r>
          </w:p>
          <w:p>
            <w:pPr>
              <w:spacing w:line="360" w:lineRule="exact"/>
              <w:rPr>
                <w:rFonts w:ascii="宋体" w:hAnsi="宋体" w:cs="宋体"/>
                <w:b/>
                <w:bCs/>
                <w:highlight w:val="none"/>
              </w:rPr>
            </w:pPr>
            <w:r>
              <w:rPr>
                <w:rFonts w:hint="eastAsia" w:ascii="宋体" w:hAnsi="宋体" w:cs="宋体"/>
                <w:b/>
                <w:bCs/>
                <w:highlight w:val="none"/>
              </w:rPr>
              <w:t>一包：</w:t>
            </w:r>
            <w:r>
              <w:rPr>
                <w:rFonts w:hint="eastAsia" w:ascii="宋体" w:hAnsi="宋体" w:cs="宋体"/>
                <w:b/>
                <w:bCs/>
                <w:highlight w:val="none"/>
                <w:lang w:val="en-US" w:eastAsia="zh-CN"/>
              </w:rPr>
              <w:t>19700.00</w:t>
            </w:r>
            <w:r>
              <w:rPr>
                <w:rFonts w:hint="eastAsia" w:ascii="宋体" w:hAnsi="宋体" w:cs="宋体"/>
                <w:b/>
                <w:bCs/>
                <w:highlight w:val="none"/>
              </w:rPr>
              <w:t>元，大写：</w:t>
            </w:r>
            <w:r>
              <w:rPr>
                <w:rFonts w:hint="eastAsia" w:ascii="宋体" w:hAnsi="宋体" w:cs="宋体"/>
                <w:b/>
                <w:bCs/>
                <w:highlight w:val="none"/>
                <w:lang w:val="en-US" w:eastAsia="zh-CN"/>
              </w:rPr>
              <w:t>壹万玖仟柒佰元整</w:t>
            </w:r>
            <w:r>
              <w:rPr>
                <w:rFonts w:hint="eastAsia" w:ascii="宋体" w:hAnsi="宋体" w:cs="宋体"/>
                <w:b/>
                <w:bCs/>
                <w:highlight w:val="none"/>
              </w:rPr>
              <w:t>；</w:t>
            </w:r>
          </w:p>
          <w:p>
            <w:pPr>
              <w:spacing w:line="360" w:lineRule="exact"/>
              <w:rPr>
                <w:rFonts w:hint="eastAsia" w:ascii="宋体" w:hAnsi="宋体" w:cs="宋体"/>
                <w:b/>
                <w:bCs/>
                <w:highlight w:val="none"/>
              </w:rPr>
            </w:pPr>
            <w:r>
              <w:rPr>
                <w:rFonts w:hint="eastAsia" w:ascii="宋体" w:hAnsi="宋体" w:cs="宋体"/>
                <w:b/>
                <w:bCs/>
                <w:highlight w:val="none"/>
              </w:rPr>
              <w:t>二包：</w:t>
            </w:r>
            <w:r>
              <w:rPr>
                <w:rFonts w:hint="eastAsia" w:ascii="宋体" w:hAnsi="宋体" w:cs="宋体"/>
                <w:b/>
                <w:bCs/>
                <w:highlight w:val="none"/>
                <w:lang w:val="en-US" w:eastAsia="zh-CN"/>
              </w:rPr>
              <w:t>19500.00</w:t>
            </w:r>
            <w:r>
              <w:rPr>
                <w:rFonts w:hint="eastAsia" w:ascii="宋体" w:hAnsi="宋体" w:cs="宋体"/>
                <w:b/>
                <w:bCs/>
                <w:highlight w:val="none"/>
              </w:rPr>
              <w:t>元，大写：</w:t>
            </w:r>
            <w:r>
              <w:rPr>
                <w:rFonts w:hint="eastAsia" w:ascii="宋体" w:hAnsi="宋体" w:cs="宋体"/>
                <w:b/>
                <w:bCs/>
                <w:highlight w:val="none"/>
                <w:lang w:val="en-US" w:eastAsia="zh-CN"/>
              </w:rPr>
              <w:t>壹万玖仟伍佰元整</w:t>
            </w:r>
            <w:r>
              <w:rPr>
                <w:rFonts w:hint="eastAsia" w:ascii="宋体" w:hAnsi="宋体" w:cs="宋体"/>
                <w:b/>
                <w:bCs/>
                <w:highlight w:val="none"/>
              </w:rPr>
              <w:t>；</w:t>
            </w:r>
          </w:p>
          <w:p>
            <w:pPr>
              <w:spacing w:line="360" w:lineRule="exact"/>
              <w:rPr>
                <w:rFonts w:hint="eastAsia" w:ascii="宋体" w:hAnsi="宋体" w:cs="宋体"/>
                <w:b/>
                <w:bCs/>
                <w:highlight w:val="none"/>
              </w:rPr>
            </w:pPr>
            <w:r>
              <w:rPr>
                <w:rFonts w:hint="eastAsia" w:ascii="宋体" w:hAnsi="宋体" w:cs="宋体"/>
                <w:b/>
                <w:bCs/>
                <w:highlight w:val="none"/>
                <w:lang w:eastAsia="zh-CN"/>
              </w:rPr>
              <w:t>三</w:t>
            </w:r>
            <w:r>
              <w:rPr>
                <w:rFonts w:hint="eastAsia" w:ascii="宋体" w:hAnsi="宋体" w:cs="宋体"/>
                <w:b/>
                <w:bCs/>
                <w:highlight w:val="none"/>
              </w:rPr>
              <w:t>包：</w:t>
            </w:r>
            <w:r>
              <w:rPr>
                <w:rFonts w:hint="eastAsia" w:ascii="宋体" w:hAnsi="宋体" w:cs="宋体"/>
                <w:b/>
                <w:bCs/>
                <w:highlight w:val="none"/>
                <w:lang w:val="en-US" w:eastAsia="zh-CN"/>
              </w:rPr>
              <w:t>19300.00</w:t>
            </w:r>
            <w:r>
              <w:rPr>
                <w:rFonts w:hint="eastAsia" w:ascii="宋体" w:hAnsi="宋体" w:cs="宋体"/>
                <w:b/>
                <w:bCs/>
                <w:highlight w:val="none"/>
              </w:rPr>
              <w:t>元，大写：</w:t>
            </w:r>
            <w:r>
              <w:rPr>
                <w:rFonts w:hint="eastAsia" w:ascii="宋体" w:hAnsi="宋体" w:cs="宋体"/>
                <w:b/>
                <w:bCs/>
                <w:highlight w:val="none"/>
                <w:lang w:val="en-US" w:eastAsia="zh-CN"/>
              </w:rPr>
              <w:t>壹万玖仟叁佰元整</w:t>
            </w:r>
            <w:r>
              <w:rPr>
                <w:rFonts w:hint="eastAsia" w:ascii="宋体" w:hAnsi="宋体" w:cs="宋体"/>
                <w:b/>
                <w:bCs/>
                <w:highlight w:val="none"/>
              </w:rPr>
              <w:t>；</w:t>
            </w:r>
          </w:p>
          <w:p>
            <w:pPr>
              <w:spacing w:line="360" w:lineRule="exact"/>
              <w:rPr>
                <w:rFonts w:hint="eastAsia" w:ascii="宋体" w:hAnsi="宋体" w:cs="宋体"/>
                <w:b/>
                <w:bCs/>
                <w:highlight w:val="none"/>
              </w:rPr>
            </w:pPr>
            <w:r>
              <w:rPr>
                <w:rFonts w:hint="eastAsia" w:ascii="宋体" w:hAnsi="宋体" w:cs="宋体"/>
                <w:b/>
                <w:bCs/>
                <w:highlight w:val="none"/>
                <w:lang w:eastAsia="zh-CN"/>
              </w:rPr>
              <w:t>四</w:t>
            </w:r>
            <w:r>
              <w:rPr>
                <w:rFonts w:hint="eastAsia" w:ascii="宋体" w:hAnsi="宋体" w:cs="宋体"/>
                <w:b/>
                <w:bCs/>
                <w:highlight w:val="none"/>
              </w:rPr>
              <w:t>包：</w:t>
            </w:r>
            <w:r>
              <w:rPr>
                <w:rFonts w:hint="eastAsia" w:ascii="宋体" w:hAnsi="宋体" w:cs="宋体"/>
                <w:b/>
                <w:bCs/>
                <w:highlight w:val="none"/>
                <w:lang w:val="en-US" w:eastAsia="zh-CN"/>
              </w:rPr>
              <w:t>16000.00</w:t>
            </w:r>
            <w:r>
              <w:rPr>
                <w:rFonts w:hint="eastAsia" w:ascii="宋体" w:hAnsi="宋体" w:cs="宋体"/>
                <w:b/>
                <w:bCs/>
                <w:highlight w:val="none"/>
              </w:rPr>
              <w:t>元，大写：</w:t>
            </w:r>
            <w:r>
              <w:rPr>
                <w:rFonts w:hint="eastAsia" w:ascii="宋体" w:hAnsi="宋体" w:cs="宋体"/>
                <w:b/>
                <w:bCs/>
                <w:highlight w:val="none"/>
                <w:lang w:val="en-US" w:eastAsia="zh-CN"/>
              </w:rPr>
              <w:t>壹万陆仟元整</w:t>
            </w:r>
            <w:r>
              <w:rPr>
                <w:rFonts w:hint="eastAsia" w:ascii="宋体" w:hAnsi="宋体" w:cs="宋体"/>
                <w:b/>
                <w:bCs/>
                <w:highlight w:val="none"/>
              </w:rPr>
              <w:t>；</w:t>
            </w:r>
          </w:p>
          <w:p>
            <w:pPr>
              <w:spacing w:line="360" w:lineRule="exact"/>
              <w:rPr>
                <w:color w:val="auto"/>
                <w:highlight w:val="none"/>
                <w:lang w:val="zh-CN"/>
              </w:rPr>
            </w:pPr>
            <w:r>
              <w:rPr>
                <w:rFonts w:hint="eastAsia"/>
                <w:color w:val="auto"/>
                <w:highlight w:val="none"/>
              </w:rPr>
              <w:t>2.</w:t>
            </w:r>
            <w:r>
              <w:rPr>
                <w:rFonts w:hint="eastAsia"/>
                <w:color w:val="auto"/>
                <w:highlight w:val="none"/>
                <w:lang w:val="zh-CN"/>
              </w:rPr>
              <w:t>投标保证金递交截止时间：投标文件递交截止时间前。</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color w:val="auto"/>
                <w:highlight w:val="none"/>
              </w:rPr>
              <w:t>3.投标保证金缴纳形式：投标保证金应当以支票、汇票、本票或者金融机构、担保机构出具的保函等非现金形式提交</w:t>
            </w:r>
            <w:r>
              <w:rPr>
                <w:rFonts w:hint="eastAsia"/>
                <w:color w:val="auto"/>
                <w:highlight w:val="none"/>
                <w:lang w:eastAsia="zh-CN"/>
              </w:rPr>
              <w:t>，供应商</w:t>
            </w:r>
            <w:r>
              <w:rPr>
                <w:rFonts w:hint="eastAsia"/>
                <w:color w:val="auto"/>
                <w:highlight w:val="none"/>
              </w:rPr>
              <w:t>未按照招标文件要求提交投标保证金的，投标无效。</w:t>
            </w: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rFonts w:hint="eastAsia"/>
                <w:color w:val="auto"/>
                <w:highlight w:val="none"/>
              </w:rPr>
              <w:t>4.投标保证金由</w:t>
            </w:r>
            <w:r>
              <w:rPr>
                <w:rFonts w:hint="eastAsia"/>
                <w:color w:val="auto"/>
                <w:highlight w:val="none"/>
                <w:lang w:eastAsia="zh-CN"/>
              </w:rPr>
              <w:t>供应商</w:t>
            </w:r>
            <w:r>
              <w:rPr>
                <w:rFonts w:hint="eastAsia"/>
                <w:color w:val="auto"/>
                <w:highlight w:val="none"/>
              </w:rPr>
              <w:t>基本账户一次性汇入</w:t>
            </w:r>
            <w:r>
              <w:rPr>
                <w:rFonts w:hint="eastAsia"/>
                <w:color w:val="auto"/>
                <w:highlight w:val="none"/>
                <w:lang w:eastAsia="zh-CN"/>
              </w:rPr>
              <w:t>，</w:t>
            </w:r>
            <w:r>
              <w:rPr>
                <w:rFonts w:hint="eastAsia"/>
                <w:b/>
                <w:bCs/>
                <w:color w:val="auto"/>
                <w:highlight w:val="none"/>
                <w:lang w:val="en-US" w:eastAsia="zh-CN"/>
              </w:rPr>
              <w:t>并</w:t>
            </w:r>
            <w:r>
              <w:rPr>
                <w:rFonts w:hint="eastAsia"/>
                <w:b/>
                <w:bCs/>
                <w:color w:val="auto"/>
                <w:highlight w:val="none"/>
                <w:lang w:val="zh-CN" w:eastAsia="zh-CN"/>
              </w:rPr>
              <w:t>注明项目名称</w:t>
            </w:r>
            <w:r>
              <w:rPr>
                <w:rFonts w:hint="eastAsia"/>
                <w:b/>
                <w:bCs/>
                <w:color w:val="auto"/>
                <w:highlight w:val="none"/>
                <w:lang w:val="en-US" w:eastAsia="zh-CN"/>
              </w:rPr>
              <w:t>及包号</w:t>
            </w:r>
            <w:r>
              <w:rPr>
                <w:rFonts w:hint="eastAsia"/>
                <w:b/>
                <w:bCs/>
                <w:color w:val="auto"/>
                <w:highlight w:val="none"/>
                <w:lang w:val="zh-CN" w:eastAsia="zh-CN"/>
              </w:rPr>
              <w:t>；</w:t>
            </w:r>
            <w:r>
              <w:rPr>
                <w:rFonts w:hint="eastAsia"/>
                <w:color w:val="auto"/>
                <w:highlight w:val="none"/>
              </w:rPr>
              <w:t>投标保证金必须在提交投标文件截止时间前缴纳，</w:t>
            </w:r>
            <w:r>
              <w:rPr>
                <w:rFonts w:hint="eastAsia"/>
                <w:color w:val="auto"/>
                <w:highlight w:val="none"/>
                <w:lang w:eastAsia="zh-CN"/>
              </w:rPr>
              <w:t>供应商</w:t>
            </w:r>
            <w:r>
              <w:rPr>
                <w:rFonts w:hint="eastAsia"/>
                <w:color w:val="auto"/>
                <w:highlight w:val="none"/>
              </w:rPr>
              <w:t>应充分考虑资金到账时间，在规定的时限前自行办妥投标保证金交纳手续。投标保证金采取银行转账、电汇方式递交的，以电汇凭证和网银对账单的时间为准，采取支票、银行汇票、保函方式递交的，以实际递交至</w:t>
            </w:r>
            <w:r>
              <w:rPr>
                <w:rFonts w:hint="eastAsia"/>
                <w:color w:val="auto"/>
                <w:highlight w:val="none"/>
                <w:lang w:eastAsia="zh-CN"/>
              </w:rPr>
              <w:t>采购代理机构</w:t>
            </w:r>
            <w:r>
              <w:rPr>
                <w:rFonts w:hint="eastAsia"/>
                <w:color w:val="auto"/>
                <w:highlight w:val="none"/>
              </w:rPr>
              <w:t>的时间为准，超过时限交纳投标保证金视为投标无效。</w:t>
            </w: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rFonts w:hint="eastAsia"/>
                <w:color w:val="auto"/>
                <w:highlight w:val="none"/>
              </w:rPr>
              <w:t>5.投标保证金递交的开户银行及账号如下：</w:t>
            </w:r>
          </w:p>
          <w:p>
            <w:pPr>
              <w:spacing w:line="360" w:lineRule="exact"/>
              <w:rPr>
                <w:rFonts w:hint="eastAsia" w:ascii="宋体" w:hAnsi="宋体" w:eastAsia="宋体" w:cs="宋体"/>
                <w:highlight w:val="none"/>
                <w:lang w:eastAsia="zh-CN"/>
              </w:rPr>
            </w:pPr>
            <w:r>
              <w:rPr>
                <w:rFonts w:hint="eastAsia" w:ascii="宋体" w:hAnsi="宋体" w:cs="宋体"/>
                <w:highlight w:val="none"/>
              </w:rPr>
              <w:t>账户名称：</w:t>
            </w:r>
            <w:r>
              <w:rPr>
                <w:rFonts w:hint="eastAsia" w:ascii="宋体" w:hAnsi="宋体" w:cs="宋体"/>
                <w:highlight w:val="none"/>
                <w:lang w:eastAsia="zh-CN"/>
              </w:rPr>
              <w:t>新疆懿源工程咨询管理有限公司</w:t>
            </w:r>
          </w:p>
          <w:p>
            <w:pPr>
              <w:spacing w:line="360" w:lineRule="exact"/>
              <w:rPr>
                <w:rFonts w:ascii="宋体" w:hAnsi="宋体" w:cs="宋体"/>
                <w:highlight w:val="none"/>
              </w:rPr>
            </w:pPr>
            <w:r>
              <w:rPr>
                <w:rFonts w:hint="eastAsia" w:ascii="宋体" w:hAnsi="宋体" w:cs="宋体"/>
                <w:highlight w:val="none"/>
              </w:rPr>
              <w:t>账    号：3002013309200169576</w:t>
            </w:r>
          </w:p>
          <w:p>
            <w:pPr>
              <w:spacing w:line="360" w:lineRule="exact"/>
              <w:rPr>
                <w:rFonts w:ascii="宋体" w:hAnsi="宋体" w:cs="宋体"/>
                <w:highlight w:val="none"/>
              </w:rPr>
            </w:pPr>
            <w:r>
              <w:rPr>
                <w:rFonts w:hint="eastAsia" w:ascii="宋体" w:hAnsi="宋体" w:cs="宋体"/>
                <w:highlight w:val="none"/>
              </w:rPr>
              <w:t>开户行名称：中国工商银行股份有限公司乌鲁木齐友好路支行营业室</w:t>
            </w:r>
          </w:p>
          <w:p>
            <w:pPr>
              <w:spacing w:line="360" w:lineRule="exact"/>
              <w:rPr>
                <w:rFonts w:ascii="宋体" w:hAnsi="宋体" w:cs="宋体"/>
                <w:highlight w:val="none"/>
              </w:rPr>
            </w:pPr>
            <w:r>
              <w:rPr>
                <w:rFonts w:hint="eastAsia" w:ascii="宋体" w:hAnsi="宋体" w:cs="宋体"/>
                <w:highlight w:val="none"/>
              </w:rPr>
              <w:t>行    号：102881001337</w:t>
            </w:r>
          </w:p>
          <w:p>
            <w:pPr>
              <w:spacing w:line="360" w:lineRule="exact"/>
              <w:rPr>
                <w:rFonts w:ascii="宋体" w:hAnsi="宋体" w:cs="宋体"/>
                <w:highlight w:val="none"/>
              </w:rPr>
            </w:pPr>
            <w:r>
              <w:rPr>
                <w:rFonts w:hint="eastAsia"/>
                <w:color w:val="auto"/>
                <w:highlight w:val="none"/>
              </w:rPr>
              <w:t>注意：不得以现金的方式和其他的形式缴纳，不得以办事处或其他机构名义缴纳，</w:t>
            </w:r>
            <w:r>
              <w:rPr>
                <w:rFonts w:hint="eastAsia"/>
                <w:color w:val="auto"/>
                <w:highlight w:val="none"/>
                <w:lang w:eastAsia="zh-CN"/>
              </w:rPr>
              <w:t>供应商</w:t>
            </w:r>
            <w:r>
              <w:rPr>
                <w:rFonts w:hint="eastAsia"/>
                <w:color w:val="auto"/>
                <w:highlight w:val="none"/>
              </w:rPr>
              <w:t>在缴纳保证金时，需在进账凭证上明确自己用途和投标项目，并注明联系人及电话，以便查对核实。请</w:t>
            </w:r>
            <w:r>
              <w:rPr>
                <w:rFonts w:hint="eastAsia"/>
                <w:color w:val="auto"/>
                <w:highlight w:val="none"/>
                <w:lang w:eastAsia="zh-CN"/>
              </w:rPr>
              <w:t>供应商</w:t>
            </w:r>
            <w:r>
              <w:rPr>
                <w:rFonts w:hint="eastAsia"/>
                <w:color w:val="auto"/>
                <w:highlight w:val="none"/>
              </w:rPr>
              <w:t>按上述要求将投标保证金汇入指定的开户银行，未按规定提交投标保证金的投标，将被视为投标无效。保证金事宜请联系财务室：</w:t>
            </w:r>
            <w:r>
              <w:rPr>
                <w:rFonts w:hint="eastAsia" w:ascii="宋体" w:hAnsi="宋体" w:cs="宋体"/>
                <w:highlight w:val="none"/>
                <w:lang w:val="en-US" w:eastAsia="zh-CN"/>
              </w:rPr>
              <w:t>付丽丽15099607671。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Arial"/>
                <w:bCs/>
                <w:highlight w:val="none"/>
              </w:rPr>
            </w:pPr>
            <w:r>
              <w:rPr>
                <w:rFonts w:hint="eastAsia" w:hAnsi="宋体" w:cs="Arial"/>
                <w:bCs/>
                <w:highlight w:val="none"/>
              </w:rPr>
              <w:t>15</w:t>
            </w:r>
          </w:p>
        </w:tc>
        <w:tc>
          <w:tcPr>
            <w:tcW w:w="19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Arial"/>
                <w:bCs/>
                <w:highlight w:val="none"/>
              </w:rPr>
            </w:pPr>
            <w:r>
              <w:rPr>
                <w:rFonts w:hint="eastAsia" w:hAnsi="宋体" w:cs="Arial"/>
                <w:bCs/>
                <w:highlight w:val="none"/>
              </w:rPr>
              <w:t>投标有效期</w:t>
            </w:r>
          </w:p>
        </w:tc>
        <w:tc>
          <w:tcPr>
            <w:tcW w:w="6639"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left"/>
              <w:rPr>
                <w:rFonts w:ascii="宋体" w:hAnsi="宋体" w:cs="Arial"/>
                <w:bCs/>
                <w:highlight w:val="none"/>
              </w:rPr>
            </w:pPr>
            <w:r>
              <w:rPr>
                <w:rFonts w:hint="eastAsia" w:ascii="宋体" w:hAnsi="宋体" w:cs="宋体"/>
                <w:kern w:val="0"/>
                <w:highlight w:val="none"/>
              </w:rPr>
              <w:t>递交</w:t>
            </w:r>
            <w:r>
              <w:rPr>
                <w:rFonts w:ascii="宋体" w:hAnsi="宋体" w:cs="宋体"/>
                <w:kern w:val="0"/>
                <w:highlight w:val="none"/>
              </w:rPr>
              <w:t>投标文件的截止之日</w:t>
            </w:r>
            <w:r>
              <w:rPr>
                <w:rFonts w:hint="eastAsia" w:cs="宋体"/>
                <w:kern w:val="0"/>
                <w:highlight w:val="none"/>
              </w:rPr>
              <w:t>起90天。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Arial"/>
                <w:bCs/>
                <w:highlight w:val="none"/>
              </w:rPr>
            </w:pPr>
            <w:r>
              <w:rPr>
                <w:rFonts w:hint="eastAsia" w:hAnsi="宋体" w:cs="Arial"/>
                <w:bCs/>
                <w:highlight w:val="none"/>
              </w:rPr>
              <w:t>16</w:t>
            </w:r>
          </w:p>
        </w:tc>
        <w:tc>
          <w:tcPr>
            <w:tcW w:w="19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Arial"/>
                <w:bCs/>
                <w:highlight w:val="none"/>
              </w:rPr>
            </w:pPr>
            <w:r>
              <w:rPr>
                <w:rFonts w:hint="eastAsia" w:hAnsi="宋体" w:cs="Arial"/>
                <w:bCs/>
                <w:highlight w:val="none"/>
              </w:rPr>
              <w:t>现场踏勘</w:t>
            </w:r>
          </w:p>
        </w:tc>
        <w:tc>
          <w:tcPr>
            <w:tcW w:w="6639"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宋体" w:hAnsi="宋体" w:cs="Arial"/>
                <w:bCs/>
                <w:highlight w:val="none"/>
              </w:rPr>
            </w:pPr>
            <w:r>
              <w:rPr>
                <w:rFonts w:hint="eastAsia" w:hAnsi="宋体" w:cs="Arial"/>
                <w:bCs/>
                <w:highlight w:val="none"/>
              </w:rPr>
              <w:t>本项目不</w:t>
            </w:r>
            <w:r>
              <w:rPr>
                <w:rFonts w:hint="eastAsia" w:hAnsi="宋体" w:cs="Arial"/>
                <w:bCs/>
                <w:highlight w:val="none"/>
                <w:lang w:val="en-US" w:eastAsia="zh-CN"/>
              </w:rPr>
              <w:t>组织</w:t>
            </w:r>
            <w:r>
              <w:rPr>
                <w:rFonts w:hint="eastAsia" w:hAnsi="宋体" w:cs="Arial"/>
                <w:bCs/>
                <w:highlight w:val="none"/>
              </w:rPr>
              <w:t>现场踏勘。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Arial"/>
                <w:bCs/>
                <w:highlight w:val="none"/>
              </w:rPr>
            </w:pPr>
            <w:r>
              <w:rPr>
                <w:rFonts w:hint="eastAsia" w:hAnsi="宋体" w:cs="Arial"/>
                <w:bCs/>
                <w:highlight w:val="none"/>
              </w:rPr>
              <w:t>17</w:t>
            </w:r>
          </w:p>
        </w:tc>
        <w:tc>
          <w:tcPr>
            <w:tcW w:w="19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Arial"/>
                <w:bCs/>
                <w:highlight w:val="none"/>
              </w:rPr>
            </w:pPr>
            <w:r>
              <w:rPr>
                <w:rFonts w:hint="eastAsia" w:ascii="宋体" w:hAnsi="宋体" w:cs="Arial"/>
                <w:bCs/>
                <w:color w:val="auto"/>
                <w:highlight w:val="none"/>
              </w:rPr>
              <w:t>投标文件</w:t>
            </w:r>
            <w:r>
              <w:rPr>
                <w:rFonts w:hint="eastAsia" w:ascii="宋体" w:hAnsi="宋体" w:cs="Arial"/>
                <w:bCs/>
                <w:color w:val="auto"/>
                <w:highlight w:val="none"/>
                <w:lang w:eastAsia="zh-CN"/>
              </w:rPr>
              <w:t>要求</w:t>
            </w:r>
          </w:p>
        </w:tc>
        <w:tc>
          <w:tcPr>
            <w:tcW w:w="6639" w:type="dxa"/>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cs="Arial"/>
                <w:bCs/>
                <w:highlight w:val="none"/>
              </w:rPr>
            </w:pPr>
            <w:r>
              <w:rPr>
                <w:rFonts w:hint="eastAsia" w:ascii="宋体" w:hAnsi="宋体" w:cs="Arial"/>
                <w:bCs/>
                <w:color w:val="auto"/>
                <w:highlight w:val="none"/>
              </w:rPr>
              <w:t>1.本项目采用不见面开标，</w:t>
            </w:r>
            <w:r>
              <w:rPr>
                <w:rFonts w:hint="eastAsia" w:ascii="宋体" w:hAnsi="宋体" w:cs="Arial"/>
                <w:bCs/>
                <w:color w:val="auto"/>
                <w:highlight w:val="none"/>
                <w:lang w:eastAsia="zh-CN"/>
              </w:rPr>
              <w:t>供应商</w:t>
            </w:r>
            <w:r>
              <w:rPr>
                <w:rFonts w:hint="eastAsia" w:ascii="宋体" w:hAnsi="宋体" w:cs="Arial"/>
                <w:bCs/>
                <w:color w:val="auto"/>
                <w:highlight w:val="none"/>
              </w:rPr>
              <w:t>需要递交加密的电子投标文件，在投标截止时间前通过新疆政采云平台上传到指定位置。                                       2.本项目采用远程不见面交易的模式。开标当日，</w:t>
            </w:r>
            <w:r>
              <w:rPr>
                <w:rFonts w:hint="eastAsia" w:ascii="宋体" w:hAnsi="宋体" w:cs="Arial"/>
                <w:bCs/>
                <w:color w:val="auto"/>
                <w:highlight w:val="none"/>
                <w:lang w:eastAsia="zh-CN"/>
              </w:rPr>
              <w:t>供应商</w:t>
            </w:r>
            <w:r>
              <w:rPr>
                <w:rFonts w:hint="eastAsia" w:ascii="宋体" w:hAnsi="宋体" w:cs="Arial"/>
                <w:bCs/>
                <w:color w:val="auto"/>
                <w:highlight w:val="none"/>
              </w:rPr>
              <w:t>无需到达开标现场，仅需登录“政采云”平台 (https://www.zcygov.cn/)开标大厅完成远程解密、提疑澄清、开标唱标、结果公布等交互环节。</w:t>
            </w:r>
            <w:r>
              <w:rPr>
                <w:rFonts w:hint="eastAsia" w:ascii="宋体" w:hAnsi="宋体" w:cs="Arial"/>
                <w:bCs/>
                <w:color w:val="auto"/>
                <w:highlight w:val="none"/>
                <w:lang w:eastAsia="zh-CN"/>
              </w:rPr>
              <w:t>供应商</w:t>
            </w:r>
            <w:r>
              <w:rPr>
                <w:rFonts w:hint="eastAsia" w:ascii="宋体" w:hAnsi="宋体" w:cs="Arial"/>
                <w:bCs/>
                <w:color w:val="auto"/>
                <w:highlight w:val="none"/>
              </w:rPr>
              <w:t>必须使用能正确解密投标文件的“新疆政采云数字证书”在规定的时间内完成远程解密，因</w:t>
            </w:r>
            <w:r>
              <w:rPr>
                <w:rFonts w:hint="eastAsia" w:ascii="宋体" w:hAnsi="宋体" w:cs="Arial"/>
                <w:bCs/>
                <w:color w:val="auto"/>
                <w:highlight w:val="none"/>
                <w:lang w:eastAsia="zh-CN"/>
              </w:rPr>
              <w:t>供应商</w:t>
            </w:r>
            <w:r>
              <w:rPr>
                <w:rFonts w:hint="eastAsia" w:ascii="宋体" w:hAnsi="宋体" w:cs="Arial"/>
                <w:bCs/>
                <w:color w:val="auto"/>
                <w:highlight w:val="none"/>
              </w:rPr>
              <w:t>原因未能 解密、解密失败或解密超时，视为</w:t>
            </w:r>
            <w:r>
              <w:rPr>
                <w:rFonts w:hint="eastAsia" w:ascii="宋体" w:hAnsi="宋体" w:cs="Arial"/>
                <w:bCs/>
                <w:color w:val="auto"/>
                <w:highlight w:val="none"/>
                <w:lang w:eastAsia="zh-CN"/>
              </w:rPr>
              <w:t>供应商</w:t>
            </w:r>
            <w:r>
              <w:rPr>
                <w:rFonts w:hint="eastAsia" w:ascii="宋体" w:hAnsi="宋体" w:cs="Arial"/>
                <w:bCs/>
                <w:color w:val="auto"/>
                <w:highlight w:val="none"/>
              </w:rPr>
              <w:t>撤销其投标文件，系统内投标文件将被退回；因采购人原因或网上招 投标平台发生故障，导致无法按时完成投标文件解密或开、评标工作无法进行的，可根据实际情况相应延迟解密时间或调整开、评标时间。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Arial"/>
                <w:highlight w:val="none"/>
              </w:rPr>
            </w:pPr>
            <w:r>
              <w:rPr>
                <w:rFonts w:hint="eastAsia" w:hAnsi="宋体" w:cs="Arial"/>
                <w:highlight w:val="none"/>
              </w:rPr>
              <w:t>18</w:t>
            </w:r>
          </w:p>
        </w:tc>
        <w:tc>
          <w:tcPr>
            <w:tcW w:w="19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Arial"/>
                <w:bCs/>
                <w:highlight w:val="none"/>
              </w:rPr>
            </w:pPr>
            <w:r>
              <w:rPr>
                <w:rFonts w:hint="eastAsia" w:hAnsi="宋体" w:cs="Arial"/>
                <w:bCs/>
                <w:color w:val="auto"/>
                <w:highlight w:val="none"/>
              </w:rPr>
              <w:t>投标截止时间及投标文件递交地点</w:t>
            </w:r>
          </w:p>
        </w:tc>
        <w:tc>
          <w:tcPr>
            <w:tcW w:w="6639"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hint="eastAsia" w:ascii="宋体" w:hAnsi="宋体" w:cs="Arial"/>
                <w:bCs/>
                <w:color w:val="auto"/>
                <w:highlight w:val="none"/>
              </w:rPr>
            </w:pPr>
            <w:r>
              <w:rPr>
                <w:rFonts w:hint="eastAsia" w:ascii="宋体" w:hAnsi="宋体" w:cs="Arial"/>
                <w:bCs/>
                <w:color w:val="auto"/>
                <w:highlight w:val="none"/>
              </w:rPr>
              <w:t>递交截止时间：202</w:t>
            </w:r>
            <w:r>
              <w:rPr>
                <w:rFonts w:hint="eastAsia" w:ascii="宋体" w:hAnsi="宋体" w:cs="Arial"/>
                <w:bCs/>
                <w:color w:val="auto"/>
                <w:highlight w:val="none"/>
                <w:lang w:val="en-US" w:eastAsia="zh-CN"/>
              </w:rPr>
              <w:t>4</w:t>
            </w:r>
            <w:r>
              <w:rPr>
                <w:rFonts w:hint="eastAsia" w:ascii="宋体" w:hAnsi="宋体" w:cs="Arial"/>
                <w:bCs/>
                <w:color w:val="auto"/>
                <w:highlight w:val="none"/>
              </w:rPr>
              <w:t>年</w:t>
            </w:r>
            <w:r>
              <w:rPr>
                <w:rFonts w:hint="eastAsia" w:ascii="宋体" w:hAnsi="宋体" w:cs="Arial"/>
                <w:bCs/>
                <w:color w:val="auto"/>
                <w:highlight w:val="none"/>
                <w:lang w:val="en-US" w:eastAsia="zh-CN"/>
              </w:rPr>
              <w:t>04</w:t>
            </w:r>
            <w:r>
              <w:rPr>
                <w:rFonts w:hint="eastAsia" w:ascii="宋体" w:hAnsi="宋体" w:cs="Arial"/>
                <w:bCs/>
                <w:color w:val="auto"/>
                <w:highlight w:val="none"/>
              </w:rPr>
              <w:t>月</w:t>
            </w:r>
            <w:r>
              <w:rPr>
                <w:rFonts w:hint="eastAsia" w:ascii="宋体" w:hAnsi="宋体" w:cs="Arial"/>
                <w:bCs/>
                <w:color w:val="auto"/>
                <w:highlight w:val="none"/>
                <w:lang w:val="en-US" w:eastAsia="zh-CN"/>
              </w:rPr>
              <w:t>29</w:t>
            </w:r>
            <w:r>
              <w:rPr>
                <w:rFonts w:hint="eastAsia" w:ascii="宋体" w:hAnsi="宋体" w:cs="Arial"/>
                <w:bCs/>
                <w:color w:val="auto"/>
                <w:highlight w:val="none"/>
              </w:rPr>
              <w:t xml:space="preserve">日 </w:t>
            </w:r>
            <w:r>
              <w:rPr>
                <w:rFonts w:hint="eastAsia" w:ascii="宋体" w:hAnsi="宋体" w:cs="Arial"/>
                <w:bCs/>
                <w:color w:val="auto"/>
                <w:highlight w:val="none"/>
                <w:lang w:val="en-US" w:eastAsia="zh-CN"/>
              </w:rPr>
              <w:t>11</w:t>
            </w:r>
            <w:r>
              <w:rPr>
                <w:rFonts w:hint="eastAsia" w:ascii="宋体" w:hAnsi="宋体" w:cs="Arial"/>
                <w:bCs/>
                <w:color w:val="auto"/>
                <w:highlight w:val="none"/>
              </w:rPr>
              <w:t>:00（北京时间）</w:t>
            </w:r>
          </w:p>
          <w:p>
            <w:pPr>
              <w:spacing w:line="288" w:lineRule="auto"/>
              <w:jc w:val="left"/>
              <w:rPr>
                <w:rFonts w:ascii="宋体" w:hAnsi="宋体" w:cs="Arial"/>
                <w:bCs/>
                <w:highlight w:val="none"/>
              </w:rPr>
            </w:pPr>
            <w:r>
              <w:rPr>
                <w:rFonts w:hint="eastAsia" w:ascii="宋体" w:hAnsi="宋体" w:cs="Arial"/>
                <w:bCs/>
                <w:color w:val="auto"/>
                <w:highlight w:val="none"/>
              </w:rPr>
              <w:t>电子形式递交至：“政采云”平台（https://www.zcygov.cn/）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Arial"/>
                <w:bCs/>
                <w:highlight w:val="none"/>
              </w:rPr>
            </w:pPr>
            <w:r>
              <w:rPr>
                <w:rFonts w:hint="eastAsia" w:hAnsi="宋体" w:cs="Arial"/>
                <w:bCs/>
                <w:highlight w:val="none"/>
              </w:rPr>
              <w:t>19</w:t>
            </w:r>
          </w:p>
        </w:tc>
        <w:tc>
          <w:tcPr>
            <w:tcW w:w="19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Ansi="宋体" w:cs="Arial"/>
                <w:bCs/>
                <w:color w:val="auto"/>
                <w:highlight w:val="none"/>
              </w:rPr>
            </w:pPr>
            <w:r>
              <w:rPr>
                <w:rFonts w:hint="eastAsia" w:hAnsi="宋体" w:cs="Arial"/>
                <w:bCs/>
                <w:color w:val="auto"/>
                <w:highlight w:val="none"/>
              </w:rPr>
              <w:t>开标时间</w:t>
            </w:r>
          </w:p>
          <w:p>
            <w:pPr>
              <w:spacing w:line="288" w:lineRule="auto"/>
              <w:jc w:val="center"/>
              <w:rPr>
                <w:rFonts w:ascii="宋体" w:hAnsi="宋体" w:cs="Arial"/>
                <w:bCs/>
                <w:highlight w:val="none"/>
              </w:rPr>
            </w:pPr>
            <w:r>
              <w:rPr>
                <w:rFonts w:hint="eastAsia" w:hAnsi="宋体" w:cs="Arial"/>
                <w:bCs/>
                <w:color w:val="auto"/>
                <w:highlight w:val="none"/>
              </w:rPr>
              <w:t>及地点</w:t>
            </w:r>
          </w:p>
        </w:tc>
        <w:tc>
          <w:tcPr>
            <w:tcW w:w="66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ind w:left="0" w:firstLine="0" w:firstLineChars="0"/>
              <w:jc w:val="both"/>
              <w:textAlignment w:val="auto"/>
              <w:rPr>
                <w:rFonts w:hint="eastAsia" w:ascii="宋体" w:hAnsi="宋体" w:cs="Arial"/>
                <w:bCs/>
                <w:color w:val="auto"/>
                <w:highlight w:val="none"/>
              </w:rPr>
            </w:pPr>
            <w:r>
              <w:rPr>
                <w:rFonts w:hint="eastAsia" w:ascii="宋体" w:hAnsi="宋体" w:cs="Arial"/>
                <w:bCs/>
                <w:color w:val="auto"/>
                <w:highlight w:val="none"/>
                <w:lang w:val="en-US" w:eastAsia="zh-CN"/>
              </w:rPr>
              <w:t>开标</w:t>
            </w:r>
            <w:r>
              <w:rPr>
                <w:rFonts w:hint="eastAsia" w:ascii="宋体" w:hAnsi="宋体" w:cs="Arial"/>
                <w:bCs/>
                <w:color w:val="auto"/>
                <w:highlight w:val="none"/>
              </w:rPr>
              <w:t>时间：202</w:t>
            </w:r>
            <w:r>
              <w:rPr>
                <w:rFonts w:hint="eastAsia" w:ascii="宋体" w:hAnsi="宋体" w:cs="Arial"/>
                <w:bCs/>
                <w:color w:val="auto"/>
                <w:highlight w:val="none"/>
                <w:lang w:val="en-US" w:eastAsia="zh-CN"/>
              </w:rPr>
              <w:t>4</w:t>
            </w:r>
            <w:r>
              <w:rPr>
                <w:rFonts w:hint="eastAsia" w:ascii="宋体" w:hAnsi="宋体" w:cs="Arial"/>
                <w:bCs/>
                <w:color w:val="auto"/>
                <w:highlight w:val="none"/>
              </w:rPr>
              <w:t>年</w:t>
            </w:r>
            <w:r>
              <w:rPr>
                <w:rFonts w:hint="eastAsia" w:ascii="宋体" w:hAnsi="宋体" w:cs="Arial"/>
                <w:bCs/>
                <w:color w:val="auto"/>
                <w:highlight w:val="none"/>
                <w:lang w:val="en-US" w:eastAsia="zh-CN"/>
              </w:rPr>
              <w:t>04</w:t>
            </w:r>
            <w:r>
              <w:rPr>
                <w:rFonts w:hint="eastAsia" w:ascii="宋体" w:hAnsi="宋体" w:cs="Arial"/>
                <w:bCs/>
                <w:color w:val="auto"/>
                <w:highlight w:val="none"/>
              </w:rPr>
              <w:t>月</w:t>
            </w:r>
            <w:r>
              <w:rPr>
                <w:rFonts w:hint="eastAsia" w:ascii="宋体" w:hAnsi="宋体" w:cs="Arial"/>
                <w:bCs/>
                <w:color w:val="auto"/>
                <w:highlight w:val="none"/>
                <w:lang w:val="en-US" w:eastAsia="zh-CN"/>
              </w:rPr>
              <w:t>29</w:t>
            </w:r>
            <w:r>
              <w:rPr>
                <w:rFonts w:hint="eastAsia" w:ascii="宋体" w:hAnsi="宋体" w:cs="Arial"/>
                <w:bCs/>
                <w:color w:val="auto"/>
                <w:highlight w:val="none"/>
              </w:rPr>
              <w:t xml:space="preserve">日 </w:t>
            </w:r>
            <w:r>
              <w:rPr>
                <w:rFonts w:hint="eastAsia" w:ascii="宋体" w:hAnsi="宋体" w:cs="Arial"/>
                <w:bCs/>
                <w:color w:val="auto"/>
                <w:highlight w:val="none"/>
                <w:lang w:val="en-US" w:eastAsia="zh-CN"/>
              </w:rPr>
              <w:t>11</w:t>
            </w:r>
            <w:r>
              <w:rPr>
                <w:rFonts w:hint="eastAsia" w:ascii="宋体" w:hAnsi="宋体" w:cs="Arial"/>
                <w:bCs/>
                <w:color w:val="auto"/>
                <w:highlight w:val="none"/>
              </w:rPr>
              <w:t>:00（北京时间）</w:t>
            </w:r>
          </w:p>
          <w:p>
            <w:pPr>
              <w:keepNext w:val="0"/>
              <w:keepLines w:val="0"/>
              <w:pageBreakBefore w:val="0"/>
              <w:widowControl w:val="0"/>
              <w:kinsoku/>
              <w:wordWrap/>
              <w:overflowPunct/>
              <w:topLinePunct w:val="0"/>
              <w:autoSpaceDE/>
              <w:autoSpaceDN/>
              <w:bidi w:val="0"/>
              <w:adjustRightInd/>
              <w:snapToGrid/>
              <w:spacing w:line="288" w:lineRule="auto"/>
              <w:ind w:left="0" w:firstLine="0" w:firstLineChars="0"/>
              <w:jc w:val="both"/>
              <w:textAlignment w:val="auto"/>
              <w:rPr>
                <w:rFonts w:hint="eastAsia" w:ascii="宋体" w:hAnsi="宋体" w:cs="Arial"/>
                <w:bCs/>
                <w:color w:val="auto"/>
                <w:highlight w:val="none"/>
              </w:rPr>
            </w:pPr>
            <w:r>
              <w:rPr>
                <w:rFonts w:hint="eastAsia" w:ascii="宋体" w:hAnsi="宋体" w:cs="Arial"/>
                <w:bCs/>
                <w:color w:val="auto"/>
                <w:highlight w:val="none"/>
                <w:lang w:val="en-US" w:eastAsia="zh-CN"/>
              </w:rPr>
              <w:t>开标地点</w:t>
            </w:r>
            <w:r>
              <w:rPr>
                <w:rFonts w:hint="eastAsia" w:ascii="宋体" w:hAnsi="宋体" w:cs="Arial"/>
                <w:bCs/>
                <w:color w:val="auto"/>
                <w:highlight w:val="none"/>
              </w:rPr>
              <w:t>：“政采云”平台（https://www.zcygov.cn/）政采云平台不见面开标大厅</w:t>
            </w:r>
          </w:p>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ascii="宋体" w:hAnsi="宋体" w:cs="Arial"/>
                <w:bCs/>
                <w:highlight w:val="none"/>
              </w:rPr>
            </w:pPr>
            <w:r>
              <w:rPr>
                <w:rFonts w:hint="eastAsia" w:ascii="宋体" w:hAnsi="宋体" w:cs="Arial"/>
                <w:bCs/>
                <w:color w:val="auto"/>
                <w:highlight w:val="none"/>
              </w:rPr>
              <w:t>解密时长：30分钟。如因</w:t>
            </w:r>
            <w:r>
              <w:rPr>
                <w:rFonts w:hint="eastAsia" w:ascii="宋体" w:hAnsi="宋体" w:cs="Arial"/>
                <w:bCs/>
                <w:color w:val="auto"/>
                <w:highlight w:val="none"/>
                <w:lang w:eastAsia="zh-CN"/>
              </w:rPr>
              <w:t>供应商</w:t>
            </w:r>
            <w:r>
              <w:rPr>
                <w:rFonts w:hint="eastAsia" w:ascii="宋体" w:hAnsi="宋体" w:cs="Arial"/>
                <w:bCs/>
                <w:color w:val="auto"/>
                <w:highlight w:val="none"/>
              </w:rPr>
              <w:t>自身原因导致在规定时间内无法正常解密的（如：浏览器故障、未安装相关驱动、网络故障、加密CA与解密CA不一致等），采购中心/代理机构不予异常处理，视为</w:t>
            </w:r>
            <w:r>
              <w:rPr>
                <w:rFonts w:hint="eastAsia" w:ascii="宋体" w:hAnsi="宋体" w:cs="Arial"/>
                <w:bCs/>
                <w:color w:val="auto"/>
                <w:highlight w:val="none"/>
                <w:lang w:eastAsia="zh-CN"/>
              </w:rPr>
              <w:t>供应商</w:t>
            </w:r>
            <w:r>
              <w:rPr>
                <w:rFonts w:hint="eastAsia" w:ascii="宋体" w:hAnsi="宋体" w:cs="Arial"/>
                <w:bCs/>
                <w:color w:val="auto"/>
                <w:highlight w:val="none"/>
              </w:rPr>
              <w:t>自动弃标。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Arial"/>
                <w:bCs/>
                <w:highlight w:val="none"/>
              </w:rPr>
            </w:pPr>
            <w:r>
              <w:rPr>
                <w:rFonts w:hint="eastAsia" w:hAnsi="宋体" w:cs="Arial"/>
                <w:bCs/>
                <w:highlight w:val="none"/>
              </w:rPr>
              <w:t>20</w:t>
            </w:r>
          </w:p>
        </w:tc>
        <w:tc>
          <w:tcPr>
            <w:tcW w:w="1956" w:type="dxa"/>
            <w:tcBorders>
              <w:top w:val="single" w:color="auto" w:sz="4" w:space="0"/>
              <w:left w:val="single" w:color="auto" w:sz="4" w:space="0"/>
              <w:bottom w:val="single" w:color="auto" w:sz="4" w:space="0"/>
              <w:right w:val="single" w:color="auto" w:sz="4" w:space="0"/>
            </w:tcBorders>
            <w:vAlign w:val="center"/>
          </w:tcPr>
          <w:p>
            <w:pPr>
              <w:spacing w:line="288" w:lineRule="auto"/>
              <w:ind w:right="-8" w:rightChars="0"/>
              <w:jc w:val="center"/>
              <w:rPr>
                <w:rFonts w:ascii="宋体" w:hAnsi="宋体" w:cs="Arial"/>
                <w:bCs/>
                <w:highlight w:val="none"/>
              </w:rPr>
            </w:pPr>
            <w:r>
              <w:rPr>
                <w:rFonts w:hint="eastAsia" w:hAnsi="宋体" w:cs="Arial"/>
                <w:bCs/>
                <w:color w:val="auto"/>
                <w:highlight w:val="none"/>
              </w:rPr>
              <w:t>评标办法</w:t>
            </w:r>
          </w:p>
        </w:tc>
        <w:tc>
          <w:tcPr>
            <w:tcW w:w="6639"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宋体" w:hAnsi="宋体" w:cs="Arial"/>
                <w:bCs/>
                <w:highlight w:val="none"/>
              </w:rPr>
            </w:pPr>
            <w:r>
              <w:rPr>
                <w:rFonts w:hint="eastAsia" w:hAnsi="宋体" w:cs="Arial"/>
                <w:bCs/>
                <w:color w:val="auto"/>
                <w:highlight w:val="none"/>
              </w:rPr>
              <w:t>综合评</w:t>
            </w:r>
            <w:r>
              <w:rPr>
                <w:rFonts w:hint="eastAsia" w:cs="Arial"/>
                <w:bCs/>
                <w:color w:val="auto"/>
                <w:highlight w:val="none"/>
              </w:rPr>
              <w:t>分</w:t>
            </w:r>
            <w:r>
              <w:rPr>
                <w:rFonts w:hint="eastAsia" w:hAnsi="宋体" w:cs="Arial"/>
                <w:bCs/>
                <w:color w:val="auto"/>
                <w:highlight w:val="none"/>
              </w:rPr>
              <w:t>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Arial"/>
                <w:bCs/>
                <w:highlight w:val="none"/>
              </w:rPr>
            </w:pPr>
            <w:r>
              <w:rPr>
                <w:rFonts w:hint="eastAsia" w:hAnsi="宋体" w:cs="Arial"/>
                <w:bCs/>
                <w:highlight w:val="none"/>
              </w:rPr>
              <w:t>21</w:t>
            </w:r>
          </w:p>
        </w:tc>
        <w:tc>
          <w:tcPr>
            <w:tcW w:w="19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Ansi="宋体" w:cs="Arial"/>
                <w:bCs/>
                <w:highlight w:val="none"/>
              </w:rPr>
            </w:pPr>
            <w:r>
              <w:rPr>
                <w:rFonts w:hint="eastAsia" w:hAnsi="宋体" w:cs="Arial"/>
                <w:bCs/>
                <w:color w:val="auto"/>
                <w:highlight w:val="none"/>
              </w:rPr>
              <w:t>履约保证金</w:t>
            </w:r>
          </w:p>
        </w:tc>
        <w:tc>
          <w:tcPr>
            <w:tcW w:w="6639" w:type="dxa"/>
            <w:tcBorders>
              <w:top w:val="single" w:color="auto" w:sz="4" w:space="0"/>
              <w:left w:val="single" w:color="auto" w:sz="4" w:space="0"/>
              <w:bottom w:val="single" w:color="auto" w:sz="4" w:space="0"/>
              <w:right w:val="single" w:color="auto" w:sz="4" w:space="0"/>
            </w:tcBorders>
            <w:vAlign w:val="center"/>
          </w:tcPr>
          <w:p>
            <w:pPr>
              <w:spacing w:line="288" w:lineRule="auto"/>
              <w:rPr>
                <w:highlight w:val="none"/>
              </w:rPr>
            </w:pPr>
            <w:r>
              <w:rPr>
                <w:color w:val="auto"/>
                <w:highlight w:val="none"/>
              </w:rPr>
              <w:t>合同签订前，中标</w:t>
            </w:r>
            <w:r>
              <w:rPr>
                <w:rFonts w:hint="eastAsia"/>
                <w:color w:val="auto"/>
                <w:highlight w:val="none"/>
              </w:rPr>
              <w:t>单位</w:t>
            </w:r>
            <w:r>
              <w:rPr>
                <w:color w:val="auto"/>
                <w:highlight w:val="none"/>
              </w:rPr>
              <w:t>按照中标</w:t>
            </w:r>
            <w:r>
              <w:rPr>
                <w:rFonts w:hint="eastAsia"/>
                <w:color w:val="auto"/>
                <w:highlight w:val="none"/>
              </w:rPr>
              <w:t>金额</w:t>
            </w:r>
            <w:r>
              <w:rPr>
                <w:color w:val="auto"/>
                <w:highlight w:val="none"/>
              </w:rPr>
              <w:t>的</w:t>
            </w:r>
            <w:r>
              <w:rPr>
                <w:rFonts w:hint="eastAsia"/>
                <w:color w:val="auto"/>
                <w:highlight w:val="none"/>
              </w:rPr>
              <w:t>5</w:t>
            </w:r>
            <w:r>
              <w:rPr>
                <w:color w:val="auto"/>
                <w:highlight w:val="none"/>
              </w:rPr>
              <w:t>%缴纳履约保证金，</w:t>
            </w:r>
            <w:r>
              <w:rPr>
                <w:rFonts w:hint="eastAsia"/>
                <w:color w:val="auto"/>
                <w:highlight w:val="none"/>
              </w:rPr>
              <w:t>中标单位按合同约定交付全部产品，安装调试完毕，书面验收合格一年后，采购单位无息退还全部履约保证金</w:t>
            </w:r>
            <w:r>
              <w:rPr>
                <w:color w:val="auto"/>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Arial"/>
                <w:bCs/>
                <w:highlight w:val="none"/>
              </w:rPr>
            </w:pPr>
            <w:r>
              <w:rPr>
                <w:rFonts w:hint="eastAsia" w:hAnsi="宋体" w:cs="Arial"/>
                <w:bCs/>
                <w:highlight w:val="none"/>
              </w:rPr>
              <w:t>22</w:t>
            </w:r>
          </w:p>
        </w:tc>
        <w:tc>
          <w:tcPr>
            <w:tcW w:w="1956" w:type="dxa"/>
            <w:tcBorders>
              <w:top w:val="single" w:color="auto" w:sz="4" w:space="0"/>
              <w:left w:val="single" w:color="auto" w:sz="4" w:space="0"/>
              <w:bottom w:val="single" w:color="auto" w:sz="4" w:space="0"/>
              <w:right w:val="single" w:color="auto" w:sz="4" w:space="0"/>
            </w:tcBorders>
            <w:vAlign w:val="center"/>
          </w:tcPr>
          <w:p>
            <w:pPr>
              <w:widowControl/>
              <w:tabs>
                <w:tab w:val="left" w:pos="720"/>
                <w:tab w:val="left" w:pos="900"/>
                <w:tab w:val="left" w:pos="1080"/>
                <w:tab w:val="left" w:pos="1260"/>
                <w:tab w:val="left" w:pos="1440"/>
                <w:tab w:val="left" w:pos="1800"/>
              </w:tabs>
              <w:spacing w:line="288" w:lineRule="auto"/>
              <w:jc w:val="center"/>
              <w:rPr>
                <w:rFonts w:ascii="宋体" w:hAnsi="宋体" w:cs="宋体"/>
                <w:spacing w:val="-4"/>
                <w:highlight w:val="none"/>
              </w:rPr>
            </w:pPr>
            <w:r>
              <w:rPr>
                <w:rFonts w:hint="eastAsia" w:ascii="宋体" w:hAnsi="宋体" w:cs="宋体"/>
                <w:bCs/>
                <w:color w:val="auto"/>
                <w:spacing w:val="-4"/>
                <w:highlight w:val="none"/>
                <w:lang w:val="en-US" w:eastAsia="zh-CN"/>
              </w:rPr>
              <w:t>开标准备</w:t>
            </w:r>
          </w:p>
        </w:tc>
        <w:tc>
          <w:tcPr>
            <w:tcW w:w="6639" w:type="dxa"/>
            <w:tcBorders>
              <w:top w:val="single" w:color="auto" w:sz="4" w:space="0"/>
              <w:left w:val="single" w:color="auto" w:sz="4" w:space="0"/>
              <w:bottom w:val="single" w:color="auto" w:sz="4" w:space="0"/>
              <w:right w:val="single" w:color="auto" w:sz="4" w:space="0"/>
            </w:tcBorders>
            <w:vAlign w:val="center"/>
          </w:tcPr>
          <w:p>
            <w:pPr>
              <w:widowControl/>
              <w:tabs>
                <w:tab w:val="left" w:pos="720"/>
                <w:tab w:val="left" w:pos="900"/>
                <w:tab w:val="left" w:pos="1080"/>
                <w:tab w:val="left" w:pos="1260"/>
                <w:tab w:val="left" w:pos="1440"/>
                <w:tab w:val="left" w:pos="1800"/>
              </w:tabs>
              <w:spacing w:line="288" w:lineRule="auto"/>
              <w:rPr>
                <w:highlight w:val="none"/>
              </w:rPr>
            </w:pPr>
            <w:r>
              <w:rPr>
                <w:rFonts w:hint="eastAsia" w:ascii="宋体" w:hAnsi="宋体" w:cs="宋体"/>
                <w:color w:val="auto"/>
                <w:spacing w:val="-4"/>
                <w:highlight w:val="none"/>
              </w:rPr>
              <w:t>详见本招标文件</w:t>
            </w:r>
            <w:r>
              <w:rPr>
                <w:rFonts w:hint="eastAsia" w:ascii="宋体" w:hAnsi="宋体" w:cs="宋体"/>
                <w:color w:val="auto"/>
                <w:spacing w:val="-4"/>
                <w:highlight w:val="none"/>
                <w:lang w:eastAsia="zh-CN"/>
              </w:rPr>
              <w:t>供应商</w:t>
            </w:r>
            <w:r>
              <w:rPr>
                <w:rFonts w:hint="eastAsia" w:ascii="宋体" w:hAnsi="宋体" w:cs="宋体"/>
                <w:color w:val="auto"/>
                <w:spacing w:val="-4"/>
                <w:highlight w:val="none"/>
              </w:rPr>
              <w:t>须知第</w:t>
            </w:r>
            <w:r>
              <w:rPr>
                <w:rFonts w:hint="eastAsia" w:ascii="宋体" w:hAnsi="宋体" w:cs="宋体"/>
                <w:color w:val="auto"/>
                <w:spacing w:val="-4"/>
                <w:highlight w:val="none"/>
                <w:lang w:val="en-US" w:eastAsia="zh-CN"/>
              </w:rPr>
              <w:t>22</w:t>
            </w:r>
            <w:r>
              <w:rPr>
                <w:rFonts w:hint="eastAsia" w:ascii="宋体" w:hAnsi="宋体" w:cs="宋体"/>
                <w:color w:val="auto"/>
                <w:spacing w:val="-4"/>
                <w:highlight w:val="none"/>
              </w:rPr>
              <w:t>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Arial"/>
                <w:bCs/>
                <w:highlight w:val="none"/>
              </w:rPr>
            </w:pPr>
            <w:r>
              <w:rPr>
                <w:rFonts w:hint="eastAsia" w:hAnsi="宋体" w:cs="Arial"/>
                <w:bCs/>
                <w:highlight w:val="none"/>
              </w:rPr>
              <w:t>23</w:t>
            </w:r>
          </w:p>
        </w:tc>
        <w:tc>
          <w:tcPr>
            <w:tcW w:w="1956" w:type="dxa"/>
            <w:tcBorders>
              <w:top w:val="single" w:color="auto" w:sz="4" w:space="0"/>
              <w:left w:val="single" w:color="auto" w:sz="4" w:space="0"/>
              <w:bottom w:val="single" w:color="auto" w:sz="4" w:space="0"/>
              <w:right w:val="single" w:color="auto" w:sz="4" w:space="0"/>
            </w:tcBorders>
            <w:vAlign w:val="center"/>
          </w:tcPr>
          <w:p>
            <w:pPr>
              <w:widowControl/>
              <w:tabs>
                <w:tab w:val="left" w:pos="720"/>
                <w:tab w:val="left" w:pos="900"/>
                <w:tab w:val="left" w:pos="1080"/>
                <w:tab w:val="left" w:pos="1260"/>
                <w:tab w:val="left" w:pos="1440"/>
                <w:tab w:val="left" w:pos="1800"/>
              </w:tabs>
              <w:spacing w:line="288" w:lineRule="auto"/>
              <w:jc w:val="center"/>
              <w:rPr>
                <w:rFonts w:ascii="宋体" w:hAnsi="宋体" w:cs="宋体"/>
                <w:spacing w:val="-4"/>
                <w:highlight w:val="none"/>
              </w:rPr>
            </w:pPr>
            <w:r>
              <w:rPr>
                <w:rFonts w:hint="eastAsia" w:ascii="宋体" w:hAnsi="宋体" w:cs="宋体"/>
                <w:color w:val="auto"/>
                <w:spacing w:val="-4"/>
                <w:highlight w:val="none"/>
              </w:rPr>
              <w:t>同品牌投标处理原则</w:t>
            </w:r>
          </w:p>
        </w:tc>
        <w:tc>
          <w:tcPr>
            <w:tcW w:w="6639" w:type="dxa"/>
            <w:tcBorders>
              <w:top w:val="single" w:color="auto" w:sz="4" w:space="0"/>
              <w:left w:val="single" w:color="auto" w:sz="4" w:space="0"/>
              <w:bottom w:val="single" w:color="auto" w:sz="4" w:space="0"/>
              <w:right w:val="single" w:color="auto" w:sz="4" w:space="0"/>
            </w:tcBorders>
            <w:vAlign w:val="center"/>
          </w:tcPr>
          <w:p>
            <w:pPr>
              <w:widowControl/>
              <w:tabs>
                <w:tab w:val="left" w:pos="720"/>
                <w:tab w:val="left" w:pos="900"/>
                <w:tab w:val="left" w:pos="1080"/>
                <w:tab w:val="left" w:pos="1260"/>
                <w:tab w:val="left" w:pos="1440"/>
                <w:tab w:val="left" w:pos="1800"/>
              </w:tabs>
              <w:spacing w:line="288" w:lineRule="auto"/>
              <w:rPr>
                <w:rFonts w:ascii="宋体" w:hAnsi="宋体" w:cs="宋体"/>
                <w:b/>
                <w:bCs/>
                <w:spacing w:val="-4"/>
                <w:highlight w:val="none"/>
              </w:rPr>
            </w:pPr>
            <w:r>
              <w:rPr>
                <w:rFonts w:hint="eastAsia" w:ascii="宋体" w:hAnsi="宋体" w:cs="宋体"/>
                <w:color w:val="auto"/>
                <w:spacing w:val="-4"/>
                <w:highlight w:val="none"/>
              </w:rPr>
              <w:t>详见本招标文件</w:t>
            </w:r>
            <w:r>
              <w:rPr>
                <w:rFonts w:hint="eastAsia" w:ascii="宋体" w:hAnsi="宋体" w:cs="宋体"/>
                <w:color w:val="auto"/>
                <w:spacing w:val="-4"/>
                <w:highlight w:val="none"/>
                <w:lang w:eastAsia="zh-CN"/>
              </w:rPr>
              <w:t>供应商</w:t>
            </w:r>
            <w:r>
              <w:rPr>
                <w:rFonts w:hint="eastAsia" w:ascii="宋体" w:hAnsi="宋体" w:cs="宋体"/>
                <w:color w:val="auto"/>
                <w:spacing w:val="-4"/>
                <w:highlight w:val="none"/>
              </w:rPr>
              <w:t>须知第7条。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Ansi="宋体" w:cs="Arial"/>
                <w:bCs/>
                <w:highlight w:val="none"/>
              </w:rPr>
            </w:pPr>
            <w:r>
              <w:rPr>
                <w:rFonts w:hint="eastAsia" w:hAnsi="宋体" w:cs="Arial"/>
                <w:bCs/>
                <w:highlight w:val="none"/>
              </w:rPr>
              <w:t>24</w:t>
            </w:r>
          </w:p>
        </w:tc>
        <w:tc>
          <w:tcPr>
            <w:tcW w:w="1956" w:type="dxa"/>
            <w:tcBorders>
              <w:top w:val="single" w:color="auto" w:sz="4" w:space="0"/>
              <w:left w:val="single" w:color="auto" w:sz="4" w:space="0"/>
              <w:bottom w:val="single" w:color="auto" w:sz="4" w:space="0"/>
              <w:right w:val="single" w:color="auto" w:sz="4" w:space="0"/>
            </w:tcBorders>
            <w:vAlign w:val="center"/>
          </w:tcPr>
          <w:p>
            <w:pPr>
              <w:widowControl/>
              <w:tabs>
                <w:tab w:val="left" w:pos="720"/>
                <w:tab w:val="left" w:pos="900"/>
                <w:tab w:val="left" w:pos="1080"/>
                <w:tab w:val="left" w:pos="1260"/>
                <w:tab w:val="left" w:pos="1440"/>
                <w:tab w:val="left" w:pos="1800"/>
              </w:tabs>
              <w:spacing w:line="288" w:lineRule="auto"/>
              <w:jc w:val="center"/>
              <w:rPr>
                <w:rFonts w:ascii="宋体" w:hAnsi="宋体" w:cs="宋体"/>
                <w:color w:val="auto"/>
                <w:spacing w:val="-4"/>
                <w:highlight w:val="none"/>
              </w:rPr>
            </w:pPr>
            <w:r>
              <w:rPr>
                <w:rFonts w:hint="eastAsia" w:ascii="宋体" w:hAnsi="宋体" w:cs="宋体"/>
                <w:color w:val="auto"/>
                <w:spacing w:val="-4"/>
                <w:highlight w:val="none"/>
              </w:rPr>
              <w:t>国家规定的优先、强制采购范围（节能、环保）</w:t>
            </w:r>
          </w:p>
        </w:tc>
        <w:tc>
          <w:tcPr>
            <w:tcW w:w="6639"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tabs>
                <w:tab w:val="left" w:pos="720"/>
                <w:tab w:val="left" w:pos="900"/>
                <w:tab w:val="left" w:pos="1080"/>
                <w:tab w:val="left" w:pos="1260"/>
                <w:tab w:val="left" w:pos="1440"/>
                <w:tab w:val="left" w:pos="1800"/>
              </w:tabs>
              <w:spacing w:line="288" w:lineRule="auto"/>
              <w:rPr>
                <w:rFonts w:hint="eastAsia"/>
                <w:highlight w:val="none"/>
              </w:rPr>
            </w:pPr>
            <w:r>
              <w:rPr>
                <w:rFonts w:hint="eastAsia"/>
                <w:color w:val="auto"/>
                <w:highlight w:val="none"/>
                <w:lang w:val="en-US" w:eastAsia="zh-CN"/>
              </w:rPr>
              <w:t>1.</w:t>
            </w:r>
            <w:r>
              <w:rPr>
                <w:rFonts w:hint="eastAsia"/>
                <w:color w:val="auto"/>
                <w:highlight w:val="none"/>
              </w:rPr>
              <w:t>根据《国家市场监督管理总局关于发布强制性产品认证目录描述与界定表的公告》（2023年第36号）要求，</w:t>
            </w:r>
            <w:r>
              <w:rPr>
                <w:rFonts w:hint="eastAsia"/>
                <w:color w:val="auto"/>
                <w:highlight w:val="none"/>
                <w:lang w:val="en-US" w:eastAsia="zh-CN"/>
              </w:rPr>
              <w:t>如</w:t>
            </w:r>
            <w:r>
              <w:rPr>
                <w:rFonts w:hint="eastAsia"/>
                <w:color w:val="auto"/>
                <w:highlight w:val="none"/>
              </w:rPr>
              <w:t>本项目</w:t>
            </w:r>
            <w:r>
              <w:rPr>
                <w:rFonts w:hint="eastAsia"/>
                <w:color w:val="auto"/>
                <w:highlight w:val="none"/>
                <w:lang w:val="en-US" w:eastAsia="zh-CN"/>
              </w:rPr>
              <w:t>的产品</w:t>
            </w:r>
            <w:r>
              <w:rPr>
                <w:rFonts w:hint="eastAsia"/>
                <w:color w:val="auto"/>
                <w:highlight w:val="none"/>
              </w:rPr>
              <w:t>属于《强制性产品认证目录》、《强制性产品认证目录描述与界定表（2023年修订）》范围内产品的，应取得有效期内的强制性认证证书（CCC认证证书），</w:t>
            </w:r>
            <w:r>
              <w:rPr>
                <w:rFonts w:hint="eastAsia"/>
                <w:color w:val="auto"/>
                <w:highlight w:val="none"/>
                <w:lang w:val="en-US" w:eastAsia="zh-CN"/>
              </w:rPr>
              <w:t>供应商须在投标文件中提供认证证书复印件（加盖公章），否则将被视为无效投标。</w:t>
            </w:r>
          </w:p>
          <w:p>
            <w:pPr>
              <w:widowControl/>
              <w:tabs>
                <w:tab w:val="left" w:pos="720"/>
                <w:tab w:val="left" w:pos="900"/>
                <w:tab w:val="left" w:pos="1080"/>
                <w:tab w:val="left" w:pos="1260"/>
                <w:tab w:val="left" w:pos="1440"/>
                <w:tab w:val="left" w:pos="1800"/>
              </w:tabs>
              <w:spacing w:line="288" w:lineRule="auto"/>
              <w:rPr>
                <w:color w:val="auto"/>
                <w:highlight w:val="none"/>
              </w:rPr>
            </w:pPr>
            <w:r>
              <w:rPr>
                <w:rFonts w:hint="eastAsia"/>
                <w:color w:val="auto"/>
                <w:highlight w:val="none"/>
              </w:rPr>
              <w:t>2.根据财政部、发展改革委、生态环境部、市场监管总局联合发布的《关于调整优化节能产品、环境标志产品政府采购执行机制的通知》(财库[2019]9号)要求,本项目采购产品如属于《关于印发节能产品政府采购品目清单的通知》（财库[2019]19号）范围内的政府强制采购产品的，应取得有效期内的节能产品认证证书，</w:t>
            </w:r>
            <w:r>
              <w:rPr>
                <w:rFonts w:hint="eastAsia"/>
                <w:color w:val="auto"/>
                <w:highlight w:val="none"/>
                <w:lang w:val="en-US" w:eastAsia="zh-CN"/>
              </w:rPr>
              <w:t>供应商须在投标文件中提供认证证书复印件（加盖公章），否则将被视为无效投标</w:t>
            </w:r>
            <w:r>
              <w:rPr>
                <w:rFonts w:hint="eastAsia"/>
                <w:color w:val="auto"/>
                <w:highlight w:val="none"/>
              </w:rPr>
              <w:t>。</w:t>
            </w:r>
          </w:p>
          <w:p>
            <w:pPr>
              <w:widowControl/>
              <w:tabs>
                <w:tab w:val="left" w:pos="720"/>
                <w:tab w:val="left" w:pos="900"/>
                <w:tab w:val="left" w:pos="1080"/>
                <w:tab w:val="left" w:pos="1260"/>
                <w:tab w:val="left" w:pos="1440"/>
                <w:tab w:val="left" w:pos="1800"/>
              </w:tabs>
              <w:spacing w:line="288" w:lineRule="auto"/>
              <w:rPr>
                <w:color w:val="auto"/>
                <w:highlight w:val="none"/>
              </w:rPr>
            </w:pPr>
            <w:r>
              <w:rPr>
                <w:rFonts w:hint="eastAsia"/>
                <w:color w:val="auto"/>
                <w:highlight w:val="none"/>
              </w:rPr>
              <w:t>3.根据财政部、发展改革委、生态环境部、市场监管总局联合发布的《关于调整优化节能产品、环境标志产品政府采购执行机制的通知》(财库[2019]9号)要求,本项目采购产品如属于《关于印发节能产品政府采购品目清单的通知》（财库[2019]19号）、《关于印发环境标志产品政府采购品目清单的通知》（财库[2019]18号）范围内的政府优先采购产品的，应取得有效期内的节能产品、环境标志产品认证证书，供应商须在投标文件中提供认证证书复印件（加盖公章），否则不予认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Ansi="宋体" w:cs="Arial"/>
                <w:bCs/>
                <w:highlight w:val="none"/>
              </w:rPr>
            </w:pPr>
            <w:r>
              <w:rPr>
                <w:rFonts w:hint="eastAsia" w:hAnsi="宋体" w:cs="Arial"/>
                <w:bCs/>
                <w:highlight w:val="none"/>
              </w:rPr>
              <w:t>25</w:t>
            </w:r>
          </w:p>
        </w:tc>
        <w:tc>
          <w:tcPr>
            <w:tcW w:w="19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Arial"/>
                <w:bCs/>
                <w:color w:val="000000" w:themeColor="text1"/>
                <w:highlight w:val="none"/>
                <w14:textFill>
                  <w14:solidFill>
                    <w14:schemeClr w14:val="tx1"/>
                  </w14:solidFill>
                </w14:textFill>
              </w:rPr>
            </w:pPr>
            <w:r>
              <w:rPr>
                <w:rFonts w:hint="eastAsia" w:cs="Arial"/>
                <w:bCs/>
                <w:color w:val="auto"/>
                <w:highlight w:val="none"/>
              </w:rPr>
              <w:t>代理服务费用</w:t>
            </w:r>
          </w:p>
        </w:tc>
        <w:tc>
          <w:tcPr>
            <w:tcW w:w="6639"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hint="eastAsia" w:ascii="宋体" w:hAnsi="宋体" w:eastAsia="宋体" w:cs="Arial"/>
                <w:bCs/>
                <w:color w:val="000000" w:themeColor="text1"/>
                <w:highlight w:val="none"/>
                <w:lang w:eastAsia="zh-CN"/>
                <w14:textFill>
                  <w14:solidFill>
                    <w14:schemeClr w14:val="tx1"/>
                  </w14:solidFill>
                </w14:textFill>
              </w:rPr>
            </w:pPr>
            <w:r>
              <w:rPr>
                <w:rFonts w:hint="eastAsia" w:hAnsi="宋体" w:cs="Arial"/>
                <w:bCs/>
                <w:color w:val="auto"/>
                <w:highlight w:val="none"/>
              </w:rPr>
              <w:t>参照国家发展改革委员会发改价格【2011】534号、发改办价格【2003】857号文件和国家发展改革委“发改价格”和《招标代理服务收费管理暂行办法》（计价格【2002】1980号），以中标价为基准计算，采用差额定率累进计法计取，下浮</w:t>
            </w:r>
            <w:r>
              <w:rPr>
                <w:rFonts w:hint="eastAsia" w:hAnsi="宋体" w:cs="Arial"/>
                <w:bCs/>
                <w:color w:val="auto"/>
                <w:highlight w:val="none"/>
                <w:lang w:val="en-US" w:eastAsia="zh-CN"/>
              </w:rPr>
              <w:t>25</w:t>
            </w:r>
            <w:r>
              <w:rPr>
                <w:rFonts w:hint="eastAsia" w:hAnsi="宋体" w:cs="Arial"/>
                <w:bCs/>
                <w:color w:val="auto"/>
                <w:highlight w:val="none"/>
              </w:rPr>
              <w:t>%，</w:t>
            </w:r>
            <w:r>
              <w:rPr>
                <w:rFonts w:hint="eastAsia" w:hAnsi="宋体" w:cs="Arial"/>
                <w:bCs/>
                <w:color w:val="000000" w:themeColor="text1"/>
                <w:highlight w:val="none"/>
                <w:lang w:eastAsia="zh-CN"/>
                <w14:textFill>
                  <w14:solidFill>
                    <w14:schemeClr w14:val="tx1"/>
                  </w14:solidFill>
                </w14:textFill>
              </w:rPr>
              <w:t>由中标单位支付</w:t>
            </w:r>
            <w:r>
              <w:rPr>
                <w:rFonts w:hint="eastAsia" w:hAnsi="宋体" w:cs="Arial"/>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Ansi="宋体" w:cs="Arial"/>
                <w:bCs/>
                <w:highlight w:val="none"/>
              </w:rPr>
            </w:pPr>
            <w:r>
              <w:rPr>
                <w:rFonts w:hint="eastAsia" w:cs="Arial"/>
                <w:bCs/>
                <w:highlight w:val="none"/>
              </w:rPr>
              <w:t>26</w:t>
            </w:r>
          </w:p>
        </w:tc>
        <w:tc>
          <w:tcPr>
            <w:tcW w:w="1956" w:type="dxa"/>
            <w:tcBorders>
              <w:top w:val="single" w:color="auto" w:sz="4" w:space="0"/>
              <w:left w:val="single" w:color="auto" w:sz="4" w:space="0"/>
              <w:bottom w:val="single" w:color="auto" w:sz="4" w:space="0"/>
              <w:right w:val="single" w:color="auto" w:sz="4" w:space="0"/>
            </w:tcBorders>
            <w:vAlign w:val="center"/>
          </w:tcPr>
          <w:p>
            <w:pPr>
              <w:widowControl/>
              <w:tabs>
                <w:tab w:val="left" w:pos="720"/>
                <w:tab w:val="left" w:pos="900"/>
                <w:tab w:val="left" w:pos="1080"/>
                <w:tab w:val="left" w:pos="1260"/>
                <w:tab w:val="left" w:pos="1440"/>
                <w:tab w:val="left" w:pos="1800"/>
              </w:tabs>
              <w:spacing w:line="288" w:lineRule="auto"/>
              <w:jc w:val="center"/>
              <w:rPr>
                <w:rFonts w:ascii="宋体" w:hAnsi="宋体" w:cs="宋体"/>
                <w:spacing w:val="-4"/>
                <w:highlight w:val="none"/>
              </w:rPr>
            </w:pPr>
            <w:r>
              <w:rPr>
                <w:rFonts w:hint="eastAsia" w:ascii="宋体" w:hAnsi="宋体" w:cs="Arial"/>
                <w:bCs/>
                <w:color w:val="auto"/>
                <w:highlight w:val="none"/>
              </w:rPr>
              <w:t>低于成本价不正当竞争预防措施</w:t>
            </w:r>
          </w:p>
        </w:tc>
        <w:tc>
          <w:tcPr>
            <w:tcW w:w="6639"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tabs>
                <w:tab w:val="left" w:pos="720"/>
                <w:tab w:val="left" w:pos="900"/>
                <w:tab w:val="left" w:pos="1080"/>
                <w:tab w:val="left" w:pos="1260"/>
                <w:tab w:val="left" w:pos="1440"/>
                <w:tab w:val="left" w:pos="1800"/>
              </w:tabs>
              <w:spacing w:line="288" w:lineRule="auto"/>
              <w:jc w:val="left"/>
              <w:rPr>
                <w:rFonts w:hint="default" w:ascii="宋体" w:hAnsi="宋体" w:cs="宋体"/>
                <w:spacing w:val="-4"/>
                <w:highlight w:val="none"/>
                <w:lang w:val="en-US" w:eastAsia="zh-CN"/>
              </w:rPr>
            </w:pPr>
            <w:r>
              <w:rPr>
                <w:rFonts w:hint="eastAsia" w:ascii="宋体" w:hAnsi="宋体" w:cs="宋体"/>
                <w:spacing w:val="-4"/>
                <w:highlight w:val="none"/>
                <w:lang w:val="en-US" w:eastAsia="zh-CN"/>
              </w:rPr>
              <w:t>1.</w:t>
            </w:r>
            <w:r>
              <w:rPr>
                <w:rFonts w:hint="eastAsia" w:ascii="宋体" w:hAnsi="宋体" w:cs="宋体"/>
                <w:spacing w:val="-4"/>
                <w:highlight w:val="none"/>
              </w:rPr>
              <w:t>在评标过程中，</w:t>
            </w:r>
            <w:r>
              <w:rPr>
                <w:rFonts w:hint="eastAsia" w:ascii="宋体" w:hAnsi="宋体" w:cs="宋体"/>
                <w:spacing w:val="-4"/>
                <w:highlight w:val="none"/>
                <w:lang w:val="en-US" w:eastAsia="zh-CN"/>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widowControl/>
              <w:tabs>
                <w:tab w:val="left" w:pos="720"/>
                <w:tab w:val="left" w:pos="900"/>
                <w:tab w:val="left" w:pos="1080"/>
                <w:tab w:val="left" w:pos="1260"/>
                <w:tab w:val="left" w:pos="1440"/>
                <w:tab w:val="left" w:pos="1800"/>
              </w:tabs>
              <w:spacing w:line="288" w:lineRule="auto"/>
              <w:jc w:val="left"/>
              <w:rPr>
                <w:rFonts w:ascii="宋体" w:hAnsi="宋体" w:cs="宋体"/>
                <w:color w:val="auto"/>
                <w:spacing w:val="-4"/>
                <w:highlight w:val="none"/>
              </w:rPr>
            </w:pPr>
            <w:r>
              <w:rPr>
                <w:rFonts w:hint="eastAsia" w:ascii="宋体" w:hAnsi="宋体" w:cs="宋体"/>
                <w:color w:val="auto"/>
                <w:spacing w:val="-4"/>
                <w:highlight w:val="none"/>
                <w:lang w:val="en-US" w:eastAsia="zh-CN"/>
              </w:rPr>
              <w:t>2.</w:t>
            </w:r>
            <w:r>
              <w:rPr>
                <w:rFonts w:hint="eastAsia" w:ascii="宋体" w:hAnsi="宋体" w:cs="宋体"/>
                <w:color w:val="auto"/>
                <w:spacing w:val="-4"/>
                <w:highlight w:val="none"/>
                <w:lang w:eastAsia="zh-CN"/>
              </w:rPr>
              <w:t>供应商</w:t>
            </w:r>
            <w:r>
              <w:rPr>
                <w:rFonts w:hint="eastAsia" w:ascii="宋体" w:hAnsi="宋体" w:cs="宋体"/>
                <w:color w:val="auto"/>
                <w:spacing w:val="-4"/>
                <w:highlight w:val="none"/>
              </w:rPr>
              <w:t>书面说明应当签字确认并且加盖公章，否则无效。书面说明的签字确认，</w:t>
            </w:r>
            <w:r>
              <w:rPr>
                <w:rFonts w:hint="eastAsia" w:ascii="宋体" w:hAnsi="宋体" w:cs="宋体"/>
                <w:color w:val="auto"/>
                <w:spacing w:val="-4"/>
                <w:highlight w:val="none"/>
                <w:lang w:eastAsia="zh-CN"/>
              </w:rPr>
              <w:t>供应商</w:t>
            </w:r>
            <w:r>
              <w:rPr>
                <w:rFonts w:hint="eastAsia" w:ascii="宋体" w:hAnsi="宋体" w:cs="宋体"/>
                <w:color w:val="auto"/>
                <w:spacing w:val="-4"/>
                <w:highlight w:val="none"/>
              </w:rPr>
              <w:t>为法人的，由其法定代表人或者代理人签字确认；</w:t>
            </w:r>
            <w:r>
              <w:rPr>
                <w:rFonts w:hint="eastAsia" w:ascii="宋体" w:hAnsi="宋体" w:cs="宋体"/>
                <w:color w:val="auto"/>
                <w:spacing w:val="-4"/>
                <w:highlight w:val="none"/>
                <w:lang w:eastAsia="zh-CN"/>
              </w:rPr>
              <w:t>供应商</w:t>
            </w:r>
            <w:r>
              <w:rPr>
                <w:rFonts w:hint="eastAsia" w:ascii="宋体" w:hAnsi="宋体" w:cs="宋体"/>
                <w:color w:val="auto"/>
                <w:spacing w:val="-4"/>
                <w:highlight w:val="none"/>
              </w:rPr>
              <w:t>为其他组织的，由其主要负责人或者代理人签字确认；</w:t>
            </w:r>
            <w:r>
              <w:rPr>
                <w:rFonts w:hint="eastAsia" w:ascii="宋体" w:hAnsi="宋体" w:cs="宋体"/>
                <w:color w:val="auto"/>
                <w:spacing w:val="-4"/>
                <w:highlight w:val="none"/>
                <w:lang w:eastAsia="zh-CN"/>
              </w:rPr>
              <w:t>供应商</w:t>
            </w:r>
            <w:r>
              <w:rPr>
                <w:rFonts w:hint="eastAsia" w:ascii="宋体" w:hAnsi="宋体" w:cs="宋体"/>
                <w:color w:val="auto"/>
                <w:spacing w:val="-4"/>
                <w:highlight w:val="none"/>
              </w:rPr>
              <w:t>为自然人的，由其本人或者代理人签字确认。</w:t>
            </w:r>
          </w:p>
          <w:p>
            <w:pPr>
              <w:widowControl/>
              <w:tabs>
                <w:tab w:val="left" w:pos="720"/>
                <w:tab w:val="left" w:pos="900"/>
                <w:tab w:val="left" w:pos="1080"/>
                <w:tab w:val="left" w:pos="1260"/>
                <w:tab w:val="left" w:pos="1440"/>
                <w:tab w:val="left" w:pos="1800"/>
              </w:tabs>
              <w:spacing w:line="288" w:lineRule="auto"/>
              <w:jc w:val="left"/>
              <w:rPr>
                <w:rFonts w:ascii="宋体" w:hAnsi="宋体" w:cs="宋体"/>
                <w:spacing w:val="-4"/>
                <w:highlight w:val="none"/>
              </w:rPr>
            </w:pPr>
            <w:r>
              <w:rPr>
                <w:rFonts w:hint="eastAsia" w:ascii="宋体" w:hAnsi="宋体" w:cs="宋体"/>
                <w:color w:val="auto"/>
                <w:spacing w:val="-4"/>
                <w:highlight w:val="none"/>
                <w:lang w:val="en-US" w:eastAsia="zh-CN"/>
              </w:rPr>
              <w:t>3.</w:t>
            </w:r>
            <w:r>
              <w:rPr>
                <w:rFonts w:hint="eastAsia" w:ascii="宋体" w:hAnsi="宋体" w:cs="宋体"/>
                <w:color w:val="auto"/>
                <w:spacing w:val="-4"/>
                <w:highlight w:val="none"/>
                <w:lang w:eastAsia="zh-CN"/>
              </w:rPr>
              <w:t>供应商</w:t>
            </w:r>
            <w:r>
              <w:rPr>
                <w:rFonts w:hint="eastAsia" w:ascii="宋体" w:hAnsi="宋体" w:cs="宋体"/>
                <w:color w:val="auto"/>
                <w:spacing w:val="-4"/>
                <w:highlight w:val="none"/>
              </w:rPr>
              <w:t>提供书面说明后，评标委员会应当结合采购项目采购需求、专业实际情况、</w:t>
            </w:r>
            <w:r>
              <w:rPr>
                <w:rFonts w:hint="eastAsia" w:ascii="宋体" w:hAnsi="宋体" w:cs="宋体"/>
                <w:color w:val="auto"/>
                <w:spacing w:val="-4"/>
                <w:highlight w:val="none"/>
                <w:lang w:eastAsia="zh-CN"/>
              </w:rPr>
              <w:t>供应商</w:t>
            </w:r>
            <w:r>
              <w:rPr>
                <w:rFonts w:hint="eastAsia" w:ascii="宋体" w:hAnsi="宋体" w:cs="宋体"/>
                <w:color w:val="auto"/>
                <w:spacing w:val="-4"/>
                <w:highlight w:val="none"/>
              </w:rPr>
              <w:t>财务状况报告、与其他</w:t>
            </w:r>
            <w:r>
              <w:rPr>
                <w:rFonts w:hint="eastAsia" w:ascii="宋体" w:hAnsi="宋体" w:cs="宋体"/>
                <w:color w:val="auto"/>
                <w:spacing w:val="-4"/>
                <w:highlight w:val="none"/>
                <w:lang w:eastAsia="zh-CN"/>
              </w:rPr>
              <w:t>供应商</w:t>
            </w:r>
            <w:r>
              <w:rPr>
                <w:rFonts w:hint="eastAsia" w:ascii="宋体" w:hAnsi="宋体" w:cs="宋体"/>
                <w:color w:val="auto"/>
                <w:spacing w:val="-4"/>
                <w:highlight w:val="none"/>
              </w:rPr>
              <w:t>比较情况等就</w:t>
            </w:r>
            <w:r>
              <w:rPr>
                <w:rFonts w:hint="eastAsia" w:ascii="宋体" w:hAnsi="宋体" w:cs="宋体"/>
                <w:color w:val="auto"/>
                <w:spacing w:val="-4"/>
                <w:highlight w:val="none"/>
                <w:lang w:eastAsia="zh-CN"/>
              </w:rPr>
              <w:t>供应商</w:t>
            </w:r>
            <w:r>
              <w:rPr>
                <w:rFonts w:hint="eastAsia" w:ascii="宋体" w:hAnsi="宋体" w:cs="宋体"/>
                <w:color w:val="auto"/>
                <w:spacing w:val="-4"/>
                <w:highlight w:val="none"/>
              </w:rPr>
              <w:t>书面说明进行审查评价。</w:t>
            </w:r>
            <w:r>
              <w:rPr>
                <w:rFonts w:hint="eastAsia" w:ascii="宋体" w:hAnsi="宋体" w:cs="宋体"/>
                <w:color w:val="auto"/>
                <w:spacing w:val="-4"/>
                <w:highlight w:val="none"/>
                <w:lang w:eastAsia="zh-CN"/>
              </w:rPr>
              <w:t>供应商</w:t>
            </w:r>
            <w:r>
              <w:rPr>
                <w:rFonts w:hint="eastAsia" w:ascii="宋体" w:hAnsi="宋体" w:cs="宋体"/>
                <w:color w:val="auto"/>
                <w:spacing w:val="-4"/>
                <w:highlight w:val="none"/>
              </w:rPr>
              <w:t>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Arial"/>
                <w:bCs/>
                <w:highlight w:val="none"/>
              </w:rPr>
            </w:pPr>
            <w:r>
              <w:rPr>
                <w:rFonts w:hint="eastAsia" w:cs="Arial"/>
                <w:bCs/>
                <w:highlight w:val="none"/>
              </w:rPr>
              <w:t>27</w:t>
            </w:r>
          </w:p>
        </w:tc>
        <w:tc>
          <w:tcPr>
            <w:tcW w:w="1956" w:type="dxa"/>
            <w:tcBorders>
              <w:top w:val="single" w:color="auto" w:sz="4" w:space="0"/>
              <w:left w:val="single" w:color="auto" w:sz="4" w:space="0"/>
              <w:bottom w:val="single" w:color="auto" w:sz="4" w:space="0"/>
              <w:right w:val="single" w:color="auto" w:sz="4" w:space="0"/>
            </w:tcBorders>
            <w:vAlign w:val="center"/>
          </w:tcPr>
          <w:p>
            <w:pPr>
              <w:widowControl/>
              <w:tabs>
                <w:tab w:val="left" w:pos="720"/>
                <w:tab w:val="left" w:pos="900"/>
                <w:tab w:val="left" w:pos="1080"/>
                <w:tab w:val="left" w:pos="1260"/>
                <w:tab w:val="left" w:pos="1440"/>
                <w:tab w:val="left" w:pos="1800"/>
              </w:tabs>
              <w:spacing w:line="288" w:lineRule="auto"/>
              <w:jc w:val="center"/>
              <w:rPr>
                <w:rFonts w:ascii="宋体" w:hAnsi="宋体" w:cs="宋体"/>
                <w:spacing w:val="-4"/>
                <w:highlight w:val="none"/>
              </w:rPr>
            </w:pPr>
            <w:r>
              <w:rPr>
                <w:rFonts w:hint="eastAsia" w:ascii="宋体" w:hAnsi="宋体" w:cs="宋体"/>
                <w:color w:val="auto"/>
                <w:spacing w:val="-4"/>
                <w:highlight w:val="none"/>
              </w:rPr>
              <w:t>中小企业所属行业</w:t>
            </w:r>
          </w:p>
        </w:tc>
        <w:tc>
          <w:tcPr>
            <w:tcW w:w="6639" w:type="dxa"/>
            <w:tcBorders>
              <w:top w:val="single" w:color="auto" w:sz="4" w:space="0"/>
              <w:left w:val="single" w:color="auto" w:sz="4" w:space="0"/>
              <w:bottom w:val="single" w:color="auto" w:sz="4" w:space="0"/>
              <w:right w:val="single" w:color="auto" w:sz="4" w:space="0"/>
            </w:tcBorders>
            <w:vAlign w:val="center"/>
          </w:tcPr>
          <w:p>
            <w:pPr>
              <w:widowControl/>
              <w:tabs>
                <w:tab w:val="left" w:pos="720"/>
                <w:tab w:val="left" w:pos="900"/>
                <w:tab w:val="left" w:pos="1080"/>
                <w:tab w:val="left" w:pos="1260"/>
                <w:tab w:val="left" w:pos="1440"/>
                <w:tab w:val="left" w:pos="1800"/>
              </w:tabs>
              <w:spacing w:line="288" w:lineRule="auto"/>
              <w:jc w:val="left"/>
              <w:rPr>
                <w:rFonts w:ascii="宋体" w:hAnsi="宋体" w:cs="宋体"/>
                <w:spacing w:val="-4"/>
                <w:highlight w:val="none"/>
              </w:rPr>
            </w:pPr>
            <w:r>
              <w:rPr>
                <w:rFonts w:hint="eastAsia" w:ascii="宋体" w:hAnsi="宋体" w:cs="宋体"/>
                <w:color w:val="auto"/>
                <w:spacing w:val="-4"/>
                <w:highlight w:val="none"/>
              </w:rPr>
              <w:t xml:space="preserve">本项目采购标的对应的中小企业划分标准所属行业：工业（根据工信部联企业〔2011〕300 号中小企业划型标准规定：工业。从业人员1000 人以下或营业收入 40000 万元以下的为中小微型企业。其中，从业人员300 人及以上，且营业收入 2000 万元及以上的为中型企业；从业人员20 人及以上，且营业收入 300 万元及以上的为小型企业；从业人员20 人以下或营业收入 300 万元以下的为微型企业。）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Arial"/>
                <w:bCs/>
                <w:highlight w:val="none"/>
              </w:rPr>
            </w:pPr>
            <w:r>
              <w:rPr>
                <w:rFonts w:hint="eastAsia" w:cs="Arial"/>
                <w:bCs/>
                <w:highlight w:val="none"/>
              </w:rPr>
              <w:t>28</w:t>
            </w:r>
          </w:p>
        </w:tc>
        <w:tc>
          <w:tcPr>
            <w:tcW w:w="1956" w:type="dxa"/>
            <w:tcBorders>
              <w:top w:val="single" w:color="auto" w:sz="4" w:space="0"/>
              <w:left w:val="single" w:color="auto" w:sz="4" w:space="0"/>
              <w:bottom w:val="single" w:color="auto" w:sz="4" w:space="0"/>
              <w:right w:val="single" w:color="auto" w:sz="4" w:space="0"/>
            </w:tcBorders>
            <w:vAlign w:val="center"/>
          </w:tcPr>
          <w:p>
            <w:pPr>
              <w:widowControl/>
              <w:tabs>
                <w:tab w:val="left" w:pos="720"/>
                <w:tab w:val="left" w:pos="900"/>
                <w:tab w:val="left" w:pos="1080"/>
                <w:tab w:val="left" w:pos="1260"/>
                <w:tab w:val="left" w:pos="1440"/>
                <w:tab w:val="left" w:pos="1800"/>
              </w:tabs>
              <w:spacing w:line="288" w:lineRule="auto"/>
              <w:jc w:val="center"/>
              <w:rPr>
                <w:rFonts w:ascii="宋体" w:hAnsi="宋体" w:cs="宋体"/>
                <w:color w:val="auto"/>
                <w:spacing w:val="-4"/>
                <w:highlight w:val="none"/>
              </w:rPr>
            </w:pPr>
            <w:r>
              <w:rPr>
                <w:rFonts w:hint="eastAsia" w:ascii="宋体" w:hAnsi="宋体" w:cs="宋体"/>
                <w:color w:val="auto"/>
                <w:spacing w:val="-4"/>
                <w:highlight w:val="none"/>
              </w:rPr>
              <w:t>中小企业</w:t>
            </w:r>
          </w:p>
          <w:p>
            <w:pPr>
              <w:widowControl/>
              <w:tabs>
                <w:tab w:val="left" w:pos="720"/>
                <w:tab w:val="left" w:pos="900"/>
                <w:tab w:val="left" w:pos="1080"/>
                <w:tab w:val="left" w:pos="1260"/>
                <w:tab w:val="left" w:pos="1440"/>
                <w:tab w:val="left" w:pos="1800"/>
              </w:tabs>
              <w:spacing w:line="288" w:lineRule="auto"/>
              <w:jc w:val="center"/>
              <w:rPr>
                <w:rFonts w:ascii="宋体" w:hAnsi="宋体" w:cs="宋体"/>
                <w:spacing w:val="-4"/>
                <w:highlight w:val="none"/>
              </w:rPr>
            </w:pPr>
            <w:r>
              <w:rPr>
                <w:rFonts w:hint="eastAsia" w:ascii="宋体" w:hAnsi="宋体" w:cs="宋体"/>
                <w:color w:val="auto"/>
                <w:spacing w:val="-4"/>
                <w:highlight w:val="none"/>
              </w:rPr>
              <w:t>声明函</w:t>
            </w:r>
          </w:p>
        </w:tc>
        <w:tc>
          <w:tcPr>
            <w:tcW w:w="6639"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tabs>
                <w:tab w:val="left" w:pos="720"/>
                <w:tab w:val="left" w:pos="900"/>
                <w:tab w:val="left" w:pos="1080"/>
                <w:tab w:val="left" w:pos="1260"/>
                <w:tab w:val="left" w:pos="1440"/>
                <w:tab w:val="left" w:pos="1800"/>
              </w:tabs>
              <w:spacing w:line="288" w:lineRule="auto"/>
              <w:jc w:val="left"/>
              <w:rPr>
                <w:rFonts w:hint="eastAsia" w:ascii="Times New Roman" w:hAnsi="Times New Roman" w:eastAsia="宋体" w:cs="Times New Roman"/>
                <w:color w:val="auto"/>
                <w:highlight w:val="none"/>
                <w:lang w:val="en-US" w:eastAsia="zh-CN"/>
              </w:rPr>
            </w:pPr>
            <w:r>
              <w:rPr>
                <w:rFonts w:hint="eastAsia"/>
                <w:color w:val="auto"/>
                <w:highlight w:val="none"/>
                <w:lang w:val="en-US" w:eastAsia="zh-CN"/>
              </w:rPr>
              <w:t>1.</w:t>
            </w:r>
            <w:r>
              <w:rPr>
                <w:rFonts w:hint="eastAsia"/>
                <w:color w:val="auto"/>
                <w:highlight w:val="none"/>
                <w:lang w:val="zh-CN"/>
              </w:rPr>
              <w:t>本项目</w:t>
            </w:r>
            <w:r>
              <w:rPr>
                <w:rFonts w:hint="eastAsia"/>
                <w:color w:val="auto"/>
                <w:highlight w:val="none"/>
                <w:lang w:val="en-US" w:eastAsia="zh-CN"/>
              </w:rPr>
              <w:t>第一包、第二包、第四包为</w:t>
            </w:r>
            <w:r>
              <w:rPr>
                <w:rFonts w:hint="eastAsia"/>
                <w:color w:val="auto"/>
                <w:highlight w:val="none"/>
                <w:lang w:val="zh-CN"/>
              </w:rPr>
              <w:t>专门面向</w:t>
            </w:r>
            <w:r>
              <w:rPr>
                <w:rFonts w:hint="eastAsia"/>
                <w:color w:val="auto"/>
                <w:highlight w:val="none"/>
                <w:lang w:val="en-US" w:eastAsia="zh-CN"/>
              </w:rPr>
              <w:t>小微</w:t>
            </w:r>
            <w:r>
              <w:rPr>
                <w:rFonts w:hint="eastAsia"/>
                <w:color w:val="auto"/>
                <w:highlight w:val="none"/>
                <w:lang w:val="zh-CN"/>
              </w:rPr>
              <w:t>企业采购，</w:t>
            </w:r>
            <w:r>
              <w:rPr>
                <w:rFonts w:hint="eastAsia"/>
                <w:color w:val="auto"/>
                <w:highlight w:val="none"/>
                <w:lang w:val="en-US" w:eastAsia="zh-CN"/>
              </w:rPr>
              <w:t>第三包为</w:t>
            </w:r>
            <w:r>
              <w:rPr>
                <w:rFonts w:hint="eastAsia"/>
                <w:color w:val="auto"/>
                <w:highlight w:val="none"/>
                <w:lang w:val="zh-CN"/>
              </w:rPr>
              <w:t>专门面向</w:t>
            </w:r>
            <w:r>
              <w:rPr>
                <w:rFonts w:hint="eastAsia"/>
                <w:color w:val="auto"/>
                <w:highlight w:val="none"/>
                <w:lang w:val="en-US" w:eastAsia="zh-CN"/>
              </w:rPr>
              <w:t>中小</w:t>
            </w:r>
            <w:r>
              <w:rPr>
                <w:rFonts w:hint="eastAsia"/>
                <w:color w:val="auto"/>
                <w:highlight w:val="none"/>
                <w:lang w:val="zh-CN"/>
              </w:rPr>
              <w:t>企业采购，</w:t>
            </w:r>
            <w:r>
              <w:rPr>
                <w:rFonts w:hint="eastAsia" w:ascii="宋体" w:hAnsi="宋体" w:eastAsia="宋体" w:cs="宋体"/>
                <w:color w:val="auto"/>
                <w:highlight w:val="none"/>
                <w:lang w:val="zh-CN"/>
              </w:rPr>
              <w:t>价格不再进行财政政策扣除</w:t>
            </w:r>
            <w:r>
              <w:rPr>
                <w:rFonts w:hint="eastAsia"/>
                <w:color w:val="auto"/>
                <w:highlight w:val="none"/>
                <w:lang w:val="zh-CN"/>
              </w:rPr>
              <w:t>；</w:t>
            </w:r>
          </w:p>
          <w:p>
            <w:pPr>
              <w:widowControl/>
              <w:numPr>
                <w:ilvl w:val="0"/>
                <w:numId w:val="0"/>
              </w:numPr>
              <w:tabs>
                <w:tab w:val="left" w:pos="720"/>
                <w:tab w:val="left" w:pos="900"/>
                <w:tab w:val="left" w:pos="1080"/>
                <w:tab w:val="left" w:pos="1260"/>
                <w:tab w:val="left" w:pos="1440"/>
                <w:tab w:val="left" w:pos="1800"/>
              </w:tabs>
              <w:spacing w:line="288" w:lineRule="auto"/>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2.残疾人福利性单位、监狱和戒毒企业（简称监狱企业）视同小型、微型企业</w:t>
            </w:r>
            <w:r>
              <w:rPr>
                <w:rFonts w:hint="eastAsia" w:cs="Times New Roman"/>
                <w:color w:val="auto"/>
                <w:highlight w:val="none"/>
                <w:lang w:val="en-US" w:eastAsia="zh-CN"/>
              </w:rPr>
              <w:t>；残疾人福利单位、监狱企业同时属于小型、微型企业的，不重复享受财政政策；</w:t>
            </w:r>
          </w:p>
          <w:p>
            <w:pPr>
              <w:widowControl/>
              <w:numPr>
                <w:ilvl w:val="0"/>
                <w:numId w:val="0"/>
              </w:numPr>
              <w:tabs>
                <w:tab w:val="left" w:pos="720"/>
                <w:tab w:val="left" w:pos="900"/>
                <w:tab w:val="left" w:pos="1080"/>
                <w:tab w:val="left" w:pos="1260"/>
                <w:tab w:val="left" w:pos="1440"/>
                <w:tab w:val="left" w:pos="1800"/>
              </w:tabs>
              <w:spacing w:line="288" w:lineRule="auto"/>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3.根据《政府采购促进中小企业发展管理办法》（财库[2020]46号）和《财政部关于进一步加大政府采购支持中小企业力度的通知》要求，供应商应提供合格的《中小企业声明函》，如</w:t>
            </w:r>
            <w:r>
              <w:rPr>
                <w:rFonts w:hint="eastAsia" w:cs="Times New Roman"/>
                <w:color w:val="auto"/>
                <w:highlight w:val="none"/>
                <w:lang w:val="en-US" w:eastAsia="zh-CN"/>
              </w:rPr>
              <w:t>供应商</w:t>
            </w:r>
            <w:r>
              <w:rPr>
                <w:rFonts w:hint="eastAsia" w:ascii="Times New Roman" w:hAnsi="Times New Roman" w:eastAsia="宋体" w:cs="Times New Roman"/>
                <w:color w:val="auto"/>
                <w:highlight w:val="none"/>
                <w:lang w:val="en-US" w:eastAsia="zh-CN"/>
              </w:rPr>
              <w:t>提供的《中小企业声明函》不合格或未提供《中小企业声明函》的，不得享受相关中小微企业扶持政策</w:t>
            </w:r>
            <w:r>
              <w:rPr>
                <w:rFonts w:hint="eastAsia" w:cs="Times New Roman"/>
                <w:color w:val="auto"/>
                <w:highlight w:val="none"/>
                <w:lang w:val="en-US" w:eastAsia="zh-CN"/>
              </w:rPr>
              <w:t>；</w:t>
            </w:r>
          </w:p>
          <w:p>
            <w:pPr>
              <w:widowControl/>
              <w:numPr>
                <w:ilvl w:val="0"/>
                <w:numId w:val="0"/>
              </w:numPr>
              <w:tabs>
                <w:tab w:val="left" w:pos="720"/>
                <w:tab w:val="left" w:pos="900"/>
                <w:tab w:val="left" w:pos="1080"/>
                <w:tab w:val="left" w:pos="1260"/>
                <w:tab w:val="left" w:pos="1440"/>
                <w:tab w:val="left" w:pos="1800"/>
              </w:tabs>
              <w:spacing w:line="288" w:lineRule="auto"/>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4.根据《关于政府采购支持监狱企业发展有关问题的通知》（财库[2014]68号）和本</w:t>
            </w:r>
            <w:r>
              <w:rPr>
                <w:rFonts w:hint="eastAsia" w:cs="Times New Roman"/>
                <w:color w:val="auto"/>
                <w:highlight w:val="none"/>
                <w:lang w:val="en-US" w:eastAsia="zh-CN"/>
              </w:rPr>
              <w:t>招标文件</w:t>
            </w:r>
            <w:r>
              <w:rPr>
                <w:rFonts w:hint="eastAsia" w:ascii="Times New Roman" w:hAnsi="Times New Roman" w:eastAsia="宋体" w:cs="Times New Roman"/>
                <w:color w:val="auto"/>
                <w:highlight w:val="none"/>
                <w:lang w:val="en-US" w:eastAsia="zh-CN"/>
              </w:rPr>
              <w:t>要求，</w:t>
            </w:r>
            <w:r>
              <w:rPr>
                <w:rFonts w:hint="eastAsia" w:cs="Times New Roman"/>
                <w:color w:val="auto"/>
                <w:highlight w:val="none"/>
                <w:lang w:val="en-US" w:eastAsia="zh-CN"/>
              </w:rPr>
              <w:t>供应商</w:t>
            </w:r>
            <w:r>
              <w:rPr>
                <w:rFonts w:hint="eastAsia" w:ascii="Times New Roman" w:hAnsi="Times New Roman" w:eastAsia="宋体" w:cs="Times New Roman"/>
                <w:color w:val="auto"/>
                <w:highlight w:val="none"/>
                <w:lang w:val="en-US" w:eastAsia="zh-CN"/>
              </w:rPr>
              <w:t>应提供合格的</w:t>
            </w:r>
            <w:r>
              <w:rPr>
                <w:rFonts w:hint="eastAsia" w:cs="Times New Roman"/>
                <w:color w:val="auto"/>
                <w:highlight w:val="none"/>
                <w:lang w:val="en-US" w:eastAsia="zh-CN"/>
              </w:rPr>
              <w:t>监狱企业的证明文件</w:t>
            </w:r>
            <w:r>
              <w:rPr>
                <w:rFonts w:hint="eastAsia" w:ascii="Times New Roman" w:hAnsi="Times New Roman" w:eastAsia="宋体" w:cs="Times New Roman"/>
                <w:color w:val="auto"/>
                <w:highlight w:val="none"/>
                <w:lang w:val="en-US" w:eastAsia="zh-CN"/>
              </w:rPr>
              <w:t>，如</w:t>
            </w:r>
            <w:r>
              <w:rPr>
                <w:rFonts w:hint="eastAsia" w:cs="Times New Roman"/>
                <w:color w:val="auto"/>
                <w:highlight w:val="none"/>
                <w:lang w:val="en-US" w:eastAsia="zh-CN"/>
              </w:rPr>
              <w:t>供应商</w:t>
            </w:r>
            <w:r>
              <w:rPr>
                <w:rFonts w:hint="eastAsia" w:ascii="Times New Roman" w:hAnsi="Times New Roman" w:eastAsia="宋体" w:cs="Times New Roman"/>
                <w:color w:val="auto"/>
                <w:highlight w:val="none"/>
                <w:lang w:val="en-US" w:eastAsia="zh-CN"/>
              </w:rPr>
              <w:t>提供的</w:t>
            </w:r>
            <w:r>
              <w:rPr>
                <w:rFonts w:hint="eastAsia" w:cs="Times New Roman"/>
                <w:color w:val="auto"/>
                <w:highlight w:val="none"/>
                <w:lang w:val="en-US" w:eastAsia="zh-CN"/>
              </w:rPr>
              <w:t>监狱企业的证明文件</w:t>
            </w:r>
            <w:r>
              <w:rPr>
                <w:rFonts w:hint="eastAsia" w:ascii="Times New Roman" w:hAnsi="Times New Roman" w:eastAsia="宋体" w:cs="Times New Roman"/>
                <w:color w:val="auto"/>
                <w:highlight w:val="none"/>
                <w:lang w:val="en-US" w:eastAsia="zh-CN"/>
              </w:rPr>
              <w:t>不合格或未提供</w:t>
            </w:r>
            <w:r>
              <w:rPr>
                <w:rFonts w:hint="eastAsia" w:cs="Times New Roman"/>
                <w:color w:val="auto"/>
                <w:highlight w:val="none"/>
                <w:lang w:val="en-US" w:eastAsia="zh-CN"/>
              </w:rPr>
              <w:t>监狱企业的证明文件</w:t>
            </w:r>
            <w:r>
              <w:rPr>
                <w:rFonts w:hint="eastAsia" w:ascii="Times New Roman" w:hAnsi="Times New Roman" w:eastAsia="宋体" w:cs="Times New Roman"/>
                <w:color w:val="auto"/>
                <w:highlight w:val="none"/>
                <w:lang w:val="en-US" w:eastAsia="zh-CN"/>
              </w:rPr>
              <w:t>的，不得享受相关中小微企业扶持政策</w:t>
            </w:r>
            <w:r>
              <w:rPr>
                <w:rFonts w:hint="eastAsia" w:cs="Times New Roman"/>
                <w:color w:val="auto"/>
                <w:highlight w:val="none"/>
                <w:lang w:val="en-US" w:eastAsia="zh-CN"/>
              </w:rPr>
              <w:t>；</w:t>
            </w:r>
          </w:p>
          <w:p>
            <w:pPr>
              <w:widowControl/>
              <w:numPr>
                <w:ilvl w:val="0"/>
                <w:numId w:val="0"/>
              </w:numPr>
              <w:tabs>
                <w:tab w:val="left" w:pos="720"/>
                <w:tab w:val="left" w:pos="900"/>
                <w:tab w:val="left" w:pos="1080"/>
                <w:tab w:val="left" w:pos="1260"/>
                <w:tab w:val="left" w:pos="1440"/>
                <w:tab w:val="left" w:pos="1800"/>
              </w:tabs>
              <w:spacing w:line="288" w:lineRule="auto"/>
              <w:ind w:left="0" w:leftChars="0" w:firstLine="0" w:firstLineChars="0"/>
              <w:jc w:val="left"/>
              <w:rPr>
                <w:highlight w:val="none"/>
              </w:rPr>
            </w:pPr>
            <w:r>
              <w:rPr>
                <w:rFonts w:hint="eastAsia" w:ascii="Times New Roman" w:hAnsi="Times New Roman" w:eastAsia="宋体" w:cs="Times New Roman"/>
                <w:color w:val="auto"/>
                <w:highlight w:val="none"/>
                <w:lang w:val="en-US" w:eastAsia="zh-CN"/>
              </w:rPr>
              <w:t>5.根据《关于促进残疾人就业政府采购政策的通知》（财库[2017]141号）要求，</w:t>
            </w:r>
            <w:r>
              <w:rPr>
                <w:rFonts w:hint="eastAsia" w:cs="Times New Roman"/>
                <w:color w:val="auto"/>
                <w:highlight w:val="none"/>
                <w:lang w:val="en-US" w:eastAsia="zh-CN"/>
              </w:rPr>
              <w:t>供应商</w:t>
            </w:r>
            <w:r>
              <w:rPr>
                <w:rFonts w:hint="eastAsia" w:ascii="Times New Roman" w:hAnsi="Times New Roman" w:eastAsia="宋体" w:cs="Times New Roman"/>
                <w:color w:val="auto"/>
                <w:highlight w:val="none"/>
                <w:lang w:val="en-US" w:eastAsia="zh-CN"/>
              </w:rPr>
              <w:t>应提供合格的《残疾人福利性单位声明函》，如</w:t>
            </w:r>
            <w:r>
              <w:rPr>
                <w:rFonts w:hint="eastAsia" w:cs="Times New Roman"/>
                <w:color w:val="auto"/>
                <w:highlight w:val="none"/>
                <w:lang w:val="en-US" w:eastAsia="zh-CN"/>
              </w:rPr>
              <w:t>供应商</w:t>
            </w:r>
            <w:r>
              <w:rPr>
                <w:rFonts w:hint="eastAsia" w:ascii="Times New Roman" w:hAnsi="Times New Roman" w:eastAsia="宋体" w:cs="Times New Roman"/>
                <w:color w:val="auto"/>
                <w:highlight w:val="none"/>
                <w:lang w:val="en-US" w:eastAsia="zh-CN"/>
              </w:rPr>
              <w:t>提供的《残疾人福利性单位声明函》不合格或未提供《残疾人福利性单位声明函》的，不得享受相关中小微企业扶持政策。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Arial"/>
                <w:bCs/>
                <w:highlight w:val="none"/>
              </w:rPr>
            </w:pPr>
            <w:r>
              <w:rPr>
                <w:rFonts w:hint="eastAsia" w:cs="Arial"/>
                <w:bCs/>
                <w:highlight w:val="none"/>
              </w:rPr>
              <w:t>29</w:t>
            </w:r>
          </w:p>
        </w:tc>
        <w:tc>
          <w:tcPr>
            <w:tcW w:w="1956" w:type="dxa"/>
            <w:tcBorders>
              <w:top w:val="single" w:color="auto" w:sz="4" w:space="0"/>
              <w:left w:val="single" w:color="auto" w:sz="4" w:space="0"/>
              <w:bottom w:val="single" w:color="auto" w:sz="4" w:space="0"/>
              <w:right w:val="single" w:color="auto" w:sz="4" w:space="0"/>
            </w:tcBorders>
            <w:vAlign w:val="center"/>
          </w:tcPr>
          <w:p>
            <w:pPr>
              <w:widowControl/>
              <w:tabs>
                <w:tab w:val="left" w:pos="720"/>
                <w:tab w:val="left" w:pos="900"/>
                <w:tab w:val="left" w:pos="1080"/>
                <w:tab w:val="left" w:pos="1260"/>
                <w:tab w:val="left" w:pos="1440"/>
                <w:tab w:val="left" w:pos="1800"/>
              </w:tabs>
              <w:spacing w:line="288" w:lineRule="auto"/>
              <w:jc w:val="center"/>
              <w:rPr>
                <w:rFonts w:ascii="宋体" w:hAnsi="宋体" w:cs="宋体"/>
                <w:color w:val="auto"/>
                <w:spacing w:val="-4"/>
                <w:highlight w:val="none"/>
              </w:rPr>
            </w:pPr>
            <w:r>
              <w:rPr>
                <w:rFonts w:hint="eastAsia" w:ascii="宋体" w:hAnsi="宋体" w:cs="宋体"/>
                <w:color w:val="auto"/>
                <w:spacing w:val="-4"/>
                <w:highlight w:val="none"/>
              </w:rPr>
              <w:t>公告及检验</w:t>
            </w:r>
          </w:p>
          <w:p>
            <w:pPr>
              <w:widowControl/>
              <w:tabs>
                <w:tab w:val="left" w:pos="720"/>
                <w:tab w:val="left" w:pos="900"/>
                <w:tab w:val="left" w:pos="1080"/>
                <w:tab w:val="left" w:pos="1260"/>
                <w:tab w:val="left" w:pos="1440"/>
                <w:tab w:val="left" w:pos="1800"/>
              </w:tabs>
              <w:spacing w:line="288" w:lineRule="auto"/>
              <w:jc w:val="center"/>
              <w:rPr>
                <w:rFonts w:ascii="宋体" w:hAnsi="宋体" w:cs="宋体"/>
                <w:spacing w:val="-4"/>
                <w:highlight w:val="none"/>
              </w:rPr>
            </w:pPr>
            <w:r>
              <w:rPr>
                <w:rFonts w:hint="eastAsia" w:ascii="宋体" w:hAnsi="宋体" w:cs="宋体"/>
                <w:color w:val="auto"/>
                <w:spacing w:val="-4"/>
                <w:highlight w:val="none"/>
              </w:rPr>
              <w:t>检测报告</w:t>
            </w:r>
          </w:p>
        </w:tc>
        <w:tc>
          <w:tcPr>
            <w:tcW w:w="6639"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tabs>
                <w:tab w:val="left" w:pos="720"/>
                <w:tab w:val="left" w:pos="900"/>
                <w:tab w:val="left" w:pos="1080"/>
                <w:tab w:val="left" w:pos="1260"/>
                <w:tab w:val="left" w:pos="1440"/>
                <w:tab w:val="left" w:pos="1800"/>
              </w:tabs>
              <w:spacing w:line="288" w:lineRule="auto"/>
              <w:jc w:val="left"/>
              <w:rPr>
                <w:rFonts w:hint="eastAsia"/>
                <w:color w:val="auto"/>
                <w:highlight w:val="none"/>
                <w:lang w:val="en-US" w:eastAsia="zh-CN"/>
              </w:rPr>
            </w:pPr>
            <w:r>
              <w:rPr>
                <w:rFonts w:hint="eastAsia"/>
                <w:color w:val="auto"/>
                <w:highlight w:val="none"/>
                <w:lang w:val="en-US" w:eastAsia="zh-CN"/>
              </w:rPr>
              <w:t>1.有国家或行业标准的产品投标时应提供国家消防产品合格评定中心所属国家消防装备质量检验检测中心（应急管理部上海消防研究所）、国家消防电子产品质量检验检测中心（应急管理部沈阳消防研究所）、国家防火建筑材料质量检验检测中心（应急管理部四川消防研究所）、国家固定灭火系统和耐火构件质量检验检测中心（应急管理部天津消防研究所）、国家消防产品质量检验检测中心（广东）、国家消防及阻燃产品质量检验检测中心（山东）、国家消防产品质量检验检测中心（江苏）、国家五金工具及门类产品质量检验检测中心出具的检验检测报告，或国家级质量检验检测机构出具的检验检测报告。</w:t>
            </w:r>
          </w:p>
          <w:p>
            <w:pPr>
              <w:widowControl/>
              <w:numPr>
                <w:ilvl w:val="0"/>
                <w:numId w:val="0"/>
              </w:numPr>
              <w:tabs>
                <w:tab w:val="left" w:pos="720"/>
                <w:tab w:val="left" w:pos="900"/>
                <w:tab w:val="left" w:pos="1080"/>
                <w:tab w:val="left" w:pos="1260"/>
                <w:tab w:val="left" w:pos="1440"/>
                <w:tab w:val="left" w:pos="1800"/>
              </w:tabs>
              <w:spacing w:line="288" w:lineRule="auto"/>
              <w:jc w:val="left"/>
              <w:rPr>
                <w:highlight w:val="none"/>
              </w:rPr>
            </w:pPr>
            <w:r>
              <w:rPr>
                <w:rFonts w:hint="eastAsia"/>
                <w:color w:val="auto"/>
                <w:highlight w:val="none"/>
                <w:lang w:val="en-US" w:eastAsia="zh-CN"/>
              </w:rPr>
              <w:t>2、无国家或行业标准的产品投标时应提供国家认可的质量检验检测机构出具的检验检测报告（如有）；如投标时未提供，应在产品交付验收时提供国家认可的质量检验检测机构出具的检验检测报告。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Arial"/>
                <w:bCs/>
                <w:highlight w:val="none"/>
              </w:rPr>
            </w:pPr>
            <w:r>
              <w:rPr>
                <w:rFonts w:hint="eastAsia" w:cs="Arial"/>
                <w:bCs/>
                <w:highlight w:val="none"/>
              </w:rPr>
              <w:t>30</w:t>
            </w:r>
          </w:p>
        </w:tc>
        <w:tc>
          <w:tcPr>
            <w:tcW w:w="1956" w:type="dxa"/>
            <w:tcBorders>
              <w:top w:val="single" w:color="auto" w:sz="4" w:space="0"/>
              <w:left w:val="single" w:color="auto" w:sz="4" w:space="0"/>
              <w:bottom w:val="single" w:color="auto" w:sz="4" w:space="0"/>
              <w:right w:val="single" w:color="auto" w:sz="4" w:space="0"/>
            </w:tcBorders>
            <w:vAlign w:val="center"/>
          </w:tcPr>
          <w:p>
            <w:pPr>
              <w:widowControl/>
              <w:tabs>
                <w:tab w:val="left" w:pos="720"/>
                <w:tab w:val="left" w:pos="900"/>
                <w:tab w:val="left" w:pos="1080"/>
                <w:tab w:val="left" w:pos="1260"/>
                <w:tab w:val="left" w:pos="1440"/>
                <w:tab w:val="left" w:pos="1800"/>
              </w:tabs>
              <w:spacing w:line="288" w:lineRule="auto"/>
              <w:jc w:val="center"/>
              <w:rPr>
                <w:rFonts w:ascii="宋体" w:hAnsi="宋体" w:cs="宋体"/>
                <w:spacing w:val="-4"/>
                <w:highlight w:val="none"/>
              </w:rPr>
            </w:pPr>
            <w:r>
              <w:rPr>
                <w:rFonts w:hint="eastAsia" w:ascii="宋体" w:hAnsi="宋体" w:cs="宋体"/>
                <w:spacing w:val="-4"/>
                <w:highlight w:val="none"/>
              </w:rPr>
              <w:t>样品</w:t>
            </w:r>
          </w:p>
        </w:tc>
        <w:tc>
          <w:tcPr>
            <w:tcW w:w="6639" w:type="dxa"/>
            <w:tcBorders>
              <w:top w:val="single" w:color="auto" w:sz="4" w:space="0"/>
              <w:left w:val="single" w:color="auto" w:sz="4" w:space="0"/>
              <w:bottom w:val="single" w:color="auto" w:sz="4" w:space="0"/>
              <w:right w:val="single" w:color="auto" w:sz="4" w:space="0"/>
            </w:tcBorders>
            <w:vAlign w:val="center"/>
          </w:tcPr>
          <w:p>
            <w:pPr>
              <w:widowControl/>
              <w:tabs>
                <w:tab w:val="left" w:pos="720"/>
                <w:tab w:val="left" w:pos="900"/>
                <w:tab w:val="left" w:pos="1080"/>
                <w:tab w:val="left" w:pos="1260"/>
                <w:tab w:val="left" w:pos="1440"/>
                <w:tab w:val="left" w:pos="1800"/>
              </w:tabs>
              <w:spacing w:line="288" w:lineRule="auto"/>
              <w:jc w:val="left"/>
              <w:rPr>
                <w:rFonts w:hint="eastAsia" w:ascii="宋体" w:hAnsi="宋体" w:eastAsia="宋体" w:cs="宋体"/>
                <w:spacing w:val="-4"/>
                <w:highlight w:val="none"/>
                <w:lang w:eastAsia="zh-CN"/>
              </w:rPr>
            </w:pPr>
            <w:r>
              <w:rPr>
                <w:rFonts w:hint="eastAsia"/>
                <w:highlight w:val="none"/>
                <w:lang w:eastAsia="zh-CN"/>
              </w:rPr>
              <w:t>中标供应商须在中标通知书发放之日起10日内提供中标产品的实物样品（每种产品1件/套/台）至采购人指定地点，作为项目验收的标准。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6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Arial"/>
                <w:bCs/>
                <w:highlight w:val="none"/>
              </w:rPr>
            </w:pPr>
            <w:r>
              <w:rPr>
                <w:rFonts w:hint="eastAsia" w:cs="Arial"/>
                <w:bCs/>
                <w:highlight w:val="none"/>
              </w:rPr>
              <w:t>31</w:t>
            </w:r>
          </w:p>
        </w:tc>
        <w:tc>
          <w:tcPr>
            <w:tcW w:w="1956" w:type="dxa"/>
            <w:tcBorders>
              <w:top w:val="single" w:color="auto" w:sz="4" w:space="0"/>
              <w:left w:val="single" w:color="auto" w:sz="4" w:space="0"/>
              <w:bottom w:val="single" w:color="auto" w:sz="4" w:space="0"/>
              <w:right w:val="single" w:color="auto" w:sz="4" w:space="0"/>
            </w:tcBorders>
            <w:vAlign w:val="center"/>
          </w:tcPr>
          <w:p>
            <w:pPr>
              <w:widowControl/>
              <w:tabs>
                <w:tab w:val="left" w:pos="720"/>
                <w:tab w:val="left" w:pos="900"/>
                <w:tab w:val="left" w:pos="1080"/>
                <w:tab w:val="left" w:pos="1260"/>
                <w:tab w:val="left" w:pos="1440"/>
                <w:tab w:val="left" w:pos="1800"/>
              </w:tabs>
              <w:spacing w:line="288" w:lineRule="auto"/>
              <w:jc w:val="center"/>
              <w:rPr>
                <w:rFonts w:ascii="宋体" w:hAnsi="宋体" w:cs="宋体"/>
                <w:color w:val="auto"/>
                <w:spacing w:val="-4"/>
                <w:highlight w:val="none"/>
              </w:rPr>
            </w:pPr>
            <w:r>
              <w:rPr>
                <w:rFonts w:hint="eastAsia" w:ascii="宋体" w:hAnsi="宋体" w:cs="宋体"/>
                <w:color w:val="auto"/>
                <w:spacing w:val="-4"/>
                <w:highlight w:val="none"/>
              </w:rPr>
              <w:t>其他</w:t>
            </w:r>
          </w:p>
        </w:tc>
        <w:tc>
          <w:tcPr>
            <w:tcW w:w="6639" w:type="dxa"/>
            <w:tcBorders>
              <w:top w:val="single" w:color="auto" w:sz="4" w:space="0"/>
              <w:left w:val="single" w:color="auto" w:sz="4" w:space="0"/>
              <w:bottom w:val="single" w:color="auto" w:sz="4" w:space="0"/>
              <w:right w:val="single" w:color="auto" w:sz="4" w:space="0"/>
            </w:tcBorders>
            <w:vAlign w:val="center"/>
          </w:tcPr>
          <w:p>
            <w:pPr>
              <w:widowControl/>
              <w:tabs>
                <w:tab w:val="left" w:pos="720"/>
                <w:tab w:val="left" w:pos="900"/>
                <w:tab w:val="left" w:pos="1080"/>
                <w:tab w:val="left" w:pos="1260"/>
                <w:tab w:val="left" w:pos="1440"/>
                <w:tab w:val="left" w:pos="1800"/>
              </w:tabs>
              <w:spacing w:line="288" w:lineRule="auto"/>
              <w:jc w:val="left"/>
              <w:rPr>
                <w:rFonts w:hint="default"/>
                <w:color w:val="auto"/>
                <w:highlight w:val="none"/>
                <w:lang w:val="en-US" w:eastAsia="zh-CN"/>
              </w:rPr>
            </w:pPr>
            <w:r>
              <w:rPr>
                <w:rFonts w:hint="eastAsia"/>
                <w:color w:val="auto"/>
                <w:highlight w:val="none"/>
                <w:lang w:val="en-US" w:eastAsia="zh-CN"/>
              </w:rPr>
              <w:t>1、</w:t>
            </w:r>
            <w:r>
              <w:rPr>
                <w:rFonts w:hint="eastAsia" w:ascii="宋体" w:hAnsi="宋体" w:eastAsia="宋体" w:cs="宋体"/>
                <w:color w:val="auto"/>
                <w:highlight w:val="none"/>
                <w:lang w:val="en-US" w:eastAsia="zh-CN"/>
              </w:rPr>
              <w:t>根据《国家消防救援局办公室关于推广应用新版消防装备管理系统的通知》要求，中标投标人在交付装备时须附着由“消防装备物资信息采集系统”统一发行的装备物资二维码和RFID。必需与目前已实施的新版装备管理系统配备的各类标签、二维码和RFID等硬件设施、型号兼容匹配。</w:t>
            </w:r>
          </w:p>
          <w:p>
            <w:pPr>
              <w:widowControl/>
              <w:tabs>
                <w:tab w:val="left" w:pos="720"/>
                <w:tab w:val="left" w:pos="900"/>
                <w:tab w:val="left" w:pos="1080"/>
                <w:tab w:val="left" w:pos="1260"/>
                <w:tab w:val="left" w:pos="1440"/>
                <w:tab w:val="left" w:pos="1800"/>
              </w:tabs>
              <w:spacing w:line="288" w:lineRule="auto"/>
              <w:jc w:val="left"/>
              <w:rPr>
                <w:rFonts w:ascii="宋体" w:hAnsi="宋体" w:cs="宋体"/>
                <w:color w:val="auto"/>
                <w:highlight w:val="none"/>
              </w:rPr>
            </w:pPr>
            <w:r>
              <w:rPr>
                <w:rFonts w:hint="eastAsia"/>
                <w:color w:val="auto"/>
                <w:highlight w:val="none"/>
                <w:lang w:val="en-US" w:eastAsia="zh-CN"/>
              </w:rPr>
              <w:t>2、</w:t>
            </w:r>
            <w:r>
              <w:rPr>
                <w:rFonts w:hint="eastAsia"/>
                <w:color w:val="auto"/>
                <w:highlight w:val="none"/>
              </w:rPr>
              <w:t>除法律、法规和规章规定外，招标文件中用“拒绝”“不接受”“无效”“不得”“必须”“应当”等文字规定的条款为实质性要求条款（即重要条款），对其中任何一条偏离的，在评标时将其视为无效投标。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927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Ansi="宋体" w:cs="Arial"/>
                <w:bCs/>
                <w:highlight w:val="none"/>
              </w:rPr>
            </w:pPr>
            <w:r>
              <w:rPr>
                <w:rFonts w:hint="eastAsia" w:hAnsi="宋体" w:cs="Arial"/>
                <w:b/>
                <w:bCs/>
                <w:highlight w:val="none"/>
              </w:rPr>
              <w:t>备注：本</w:t>
            </w:r>
            <w:r>
              <w:rPr>
                <w:rFonts w:hint="eastAsia" w:hAnsi="宋体" w:cs="Arial"/>
                <w:b/>
                <w:bCs/>
                <w:highlight w:val="none"/>
                <w:lang w:eastAsia="zh-CN"/>
              </w:rPr>
              <w:t>供应商</w:t>
            </w:r>
            <w:r>
              <w:rPr>
                <w:rFonts w:hint="eastAsia" w:hAnsi="宋体" w:cs="Arial"/>
                <w:b/>
                <w:bCs/>
                <w:highlight w:val="none"/>
              </w:rPr>
              <w:t>须知前附表是对招标文件中的重要内容进行罗列；如与招标文件不符，应以本表为准。</w:t>
            </w:r>
          </w:p>
        </w:tc>
      </w:tr>
    </w:tbl>
    <w:p>
      <w:pPr>
        <w:rPr>
          <w:highlight w:val="none"/>
        </w:rPr>
      </w:pPr>
      <w:r>
        <w:rPr>
          <w:rFonts w:hint="eastAsia"/>
          <w:highlight w:val="none"/>
        </w:rPr>
        <w:br w:type="page"/>
      </w:r>
    </w:p>
    <w:p>
      <w:pPr>
        <w:pStyle w:val="2"/>
        <w:rPr>
          <w:rFonts w:hint="eastAsia" w:eastAsia="宋体"/>
          <w:highlight w:val="none"/>
          <w:lang w:eastAsia="zh-CN"/>
        </w:rPr>
      </w:pPr>
      <w:bookmarkStart w:id="1" w:name="_Toc7445"/>
      <w:r>
        <w:rPr>
          <w:rFonts w:hint="eastAsia"/>
          <w:highlight w:val="none"/>
        </w:rPr>
        <w:t>第一章 招标</w:t>
      </w:r>
      <w:r>
        <w:rPr>
          <w:rFonts w:hint="eastAsia"/>
          <w:highlight w:val="none"/>
          <w:lang w:val="en-US" w:eastAsia="zh-CN"/>
        </w:rPr>
        <w:t>邀请</w:t>
      </w:r>
      <w:bookmarkEnd w:id="1"/>
    </w:p>
    <w:p>
      <w:pPr>
        <w:spacing w:line="360" w:lineRule="atLeast"/>
        <w:jc w:val="center"/>
        <w:rPr>
          <w:rFonts w:hint="eastAsia" w:cs="宋体"/>
          <w:b/>
          <w:bCs/>
          <w:kern w:val="0"/>
          <w:sz w:val="28"/>
          <w:szCs w:val="28"/>
          <w:highlight w:val="none"/>
          <w:u w:val="single"/>
          <w:lang w:val="en-US" w:eastAsia="zh-CN"/>
        </w:rPr>
      </w:pPr>
      <w:r>
        <w:rPr>
          <w:rFonts w:hint="eastAsia" w:cs="宋体"/>
          <w:b/>
          <w:bCs/>
          <w:kern w:val="0"/>
          <w:sz w:val="28"/>
          <w:szCs w:val="28"/>
          <w:highlight w:val="none"/>
          <w:u w:val="single"/>
          <w:lang w:val="en-US" w:eastAsia="zh-CN"/>
        </w:rPr>
        <w:t>新疆消防救援总队乌鲁木齐支队“自然灾害应急能力提升工程”装备配备项目</w:t>
      </w:r>
      <w:r>
        <w:rPr>
          <w:rFonts w:hint="eastAsia" w:cs="宋体"/>
          <w:b/>
          <w:bCs/>
          <w:kern w:val="0"/>
          <w:sz w:val="28"/>
          <w:szCs w:val="28"/>
          <w:highlight w:val="none"/>
          <w:u w:val="single"/>
          <w:lang w:eastAsia="zh-CN"/>
        </w:rPr>
        <w:t>（</w:t>
      </w:r>
      <w:r>
        <w:rPr>
          <w:rFonts w:hint="eastAsia" w:cs="宋体"/>
          <w:b/>
          <w:bCs/>
          <w:kern w:val="0"/>
          <w:sz w:val="28"/>
          <w:szCs w:val="28"/>
          <w:highlight w:val="none"/>
          <w:u w:val="single"/>
          <w:lang w:val="en-US" w:eastAsia="zh-CN"/>
        </w:rPr>
        <w:t>九</w:t>
      </w:r>
      <w:r>
        <w:rPr>
          <w:rFonts w:hint="eastAsia" w:cs="宋体"/>
          <w:b/>
          <w:bCs/>
          <w:kern w:val="0"/>
          <w:sz w:val="28"/>
          <w:szCs w:val="28"/>
          <w:highlight w:val="none"/>
          <w:u w:val="single"/>
          <w:lang w:eastAsia="zh-CN"/>
        </w:rPr>
        <w:t>）</w:t>
      </w:r>
      <w:r>
        <w:rPr>
          <w:rFonts w:hint="eastAsia" w:cs="宋体"/>
          <w:b/>
          <w:bCs/>
          <w:kern w:val="0"/>
          <w:sz w:val="28"/>
          <w:szCs w:val="28"/>
          <w:highlight w:val="none"/>
          <w:u w:val="single"/>
          <w:lang w:val="en-US" w:eastAsia="zh-CN"/>
        </w:rPr>
        <w:t>公开招标公告</w:t>
      </w:r>
    </w:p>
    <w:p>
      <w:pPr>
        <w:pBdr>
          <w:top w:val="single" w:color="auto" w:sz="4" w:space="1"/>
          <w:left w:val="single" w:color="auto" w:sz="4" w:space="4"/>
          <w:bottom w:val="single" w:color="auto" w:sz="4" w:space="15"/>
          <w:right w:val="single" w:color="auto" w:sz="4" w:space="4"/>
        </w:pBdr>
        <w:spacing w:line="500" w:lineRule="exact"/>
        <w:jc w:val="center"/>
        <w:rPr>
          <w:rFonts w:ascii="宋体" w:hAnsi="宋体" w:cs="宋体"/>
          <w:b/>
          <w:bCs/>
          <w:sz w:val="24"/>
          <w:szCs w:val="24"/>
          <w:highlight w:val="none"/>
        </w:rPr>
      </w:pPr>
      <w:r>
        <w:rPr>
          <w:rFonts w:hint="eastAsia" w:ascii="宋体" w:hAnsi="宋体" w:cs="宋体"/>
          <w:b/>
          <w:bCs/>
          <w:sz w:val="24"/>
          <w:szCs w:val="24"/>
          <w:highlight w:val="none"/>
        </w:rPr>
        <w:t>项目概况</w:t>
      </w:r>
    </w:p>
    <w:p>
      <w:pPr>
        <w:pBdr>
          <w:top w:val="single" w:color="auto" w:sz="4" w:space="1"/>
          <w:left w:val="single" w:color="auto" w:sz="4" w:space="4"/>
          <w:bottom w:val="single" w:color="auto" w:sz="4" w:space="15"/>
          <w:right w:val="single" w:color="auto" w:sz="4" w:space="4"/>
        </w:pBd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u w:val="single"/>
          <w:lang w:val="en-US" w:eastAsia="zh-CN"/>
        </w:rPr>
        <w:t>新疆消防救援总队乌鲁木齐支队“自然灾害应急能力提升工程”装备配备项目</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lang w:val="en-US" w:eastAsia="zh-CN"/>
        </w:rPr>
        <w:t>九</w:t>
      </w:r>
      <w:r>
        <w:rPr>
          <w:rFonts w:hint="eastAsia" w:ascii="宋体" w:hAnsi="宋体" w:cs="宋体"/>
          <w:sz w:val="24"/>
          <w:szCs w:val="24"/>
          <w:highlight w:val="none"/>
          <w:u w:val="single"/>
          <w:lang w:eastAsia="zh-CN"/>
        </w:rPr>
        <w:t>）</w:t>
      </w:r>
      <w:r>
        <w:rPr>
          <w:rFonts w:hint="eastAsia" w:ascii="宋体" w:hAnsi="宋体" w:cs="宋体"/>
          <w:sz w:val="24"/>
          <w:szCs w:val="24"/>
          <w:highlight w:val="none"/>
        </w:rPr>
        <w:t>的潜在</w:t>
      </w:r>
      <w:r>
        <w:rPr>
          <w:rFonts w:hint="eastAsia" w:ascii="宋体" w:hAnsi="宋体" w:cs="宋体"/>
          <w:sz w:val="24"/>
          <w:szCs w:val="24"/>
          <w:highlight w:val="none"/>
          <w:lang w:eastAsia="zh-CN"/>
        </w:rPr>
        <w:t>供应商</w:t>
      </w:r>
      <w:r>
        <w:rPr>
          <w:rFonts w:hint="eastAsia" w:ascii="宋体" w:hAnsi="宋体" w:cs="宋体"/>
          <w:sz w:val="24"/>
          <w:szCs w:val="24"/>
          <w:highlight w:val="none"/>
        </w:rPr>
        <w:t>应在</w:t>
      </w:r>
      <w:r>
        <w:rPr>
          <w:rFonts w:hint="eastAsia" w:ascii="宋体" w:hAnsi="宋体" w:cs="宋体"/>
          <w:sz w:val="24"/>
          <w:szCs w:val="24"/>
          <w:highlight w:val="none"/>
          <w:u w:val="single"/>
        </w:rPr>
        <w:t>线上</w:t>
      </w:r>
      <w:r>
        <w:rPr>
          <w:rFonts w:hint="eastAsia" w:ascii="宋体" w:hAnsi="宋体" w:cs="宋体"/>
          <w:sz w:val="24"/>
          <w:szCs w:val="24"/>
          <w:highlight w:val="none"/>
        </w:rPr>
        <w:t>获取招标文件，并于</w:t>
      </w:r>
      <w:r>
        <w:rPr>
          <w:rFonts w:hint="eastAsia" w:ascii="宋体" w:hAnsi="宋体" w:cs="宋体"/>
          <w:color w:val="auto"/>
          <w:sz w:val="24"/>
          <w:szCs w:val="24"/>
          <w:highlight w:val="none"/>
          <w:u w:val="single"/>
          <w:lang w:val="en-US" w:eastAsia="zh-CN"/>
        </w:rPr>
        <w:t>2024</w:t>
      </w:r>
      <w:r>
        <w:rPr>
          <w:rFonts w:hint="eastAsia" w:ascii="宋体" w:hAnsi="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04</w:t>
      </w:r>
      <w:r>
        <w:rPr>
          <w:rFonts w:hint="eastAsia" w:ascii="宋体" w:hAnsi="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29</w:t>
      </w:r>
      <w:r>
        <w:rPr>
          <w:rFonts w:hint="eastAsia" w:ascii="宋体" w:hAnsi="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11:00</w:t>
      </w:r>
      <w:r>
        <w:rPr>
          <w:rFonts w:hint="eastAsia" w:ascii="宋体" w:hAnsi="宋体" w:cs="宋体"/>
          <w:bCs/>
          <w:color w:val="auto"/>
          <w:sz w:val="24"/>
          <w:szCs w:val="24"/>
          <w:highlight w:val="none"/>
        </w:rPr>
        <w:t>（北京时间）前提交投标文件</w:t>
      </w:r>
      <w:r>
        <w:rPr>
          <w:rFonts w:hint="eastAsia" w:ascii="宋体" w:hAnsi="宋体" w:cs="宋体"/>
          <w:color w:val="auto"/>
          <w:sz w:val="24"/>
          <w:szCs w:val="24"/>
          <w:highlight w:val="none"/>
        </w:rPr>
        <w:t>。</w:t>
      </w:r>
    </w:p>
    <w:p>
      <w:pPr>
        <w:bidi w:val="0"/>
        <w:rPr>
          <w:rFonts w:hint="eastAsia"/>
          <w:highlight w:val="none"/>
        </w:rPr>
      </w:pPr>
    </w:p>
    <w:p>
      <w:pPr>
        <w:pStyle w:val="4"/>
        <w:pageBreakBefore w:val="0"/>
        <w:kinsoku/>
        <w:wordWrap/>
        <w:overflowPunct/>
        <w:topLinePunct w:val="0"/>
        <w:autoSpaceDE/>
        <w:autoSpaceDN/>
        <w:bidi w:val="0"/>
        <w:adjustRightInd/>
        <w:snapToGrid w:val="0"/>
        <w:spacing w:before="0" w:after="0" w:line="360" w:lineRule="auto"/>
        <w:ind w:left="0" w:leftChars="0"/>
        <w:textAlignment w:val="auto"/>
        <w:rPr>
          <w:rFonts w:hint="eastAsia" w:ascii="宋体" w:hAnsi="宋体" w:eastAsia="宋体" w:cs="宋体"/>
          <w:sz w:val="30"/>
          <w:szCs w:val="30"/>
          <w:highlight w:val="none"/>
          <w:lang w:val="en-US" w:eastAsia="zh-CN"/>
        </w:rPr>
      </w:pPr>
      <w:r>
        <w:rPr>
          <w:rFonts w:hint="eastAsia"/>
          <w:sz w:val="30"/>
          <w:szCs w:val="30"/>
          <w:highlight w:val="none"/>
        </w:rPr>
        <w:t>一、项目基本情况</w:t>
      </w:r>
      <w:r>
        <w:rPr>
          <w:rFonts w:hint="eastAsia"/>
          <w:sz w:val="30"/>
          <w:szCs w:val="30"/>
          <w:highlight w:val="none"/>
          <w:lang w:val="en-US" w:eastAsia="zh-CN"/>
        </w:rPr>
        <w:t xml:space="preserve"> </w:t>
      </w:r>
    </w:p>
    <w:p>
      <w:pPr>
        <w:pageBreakBefore w:val="0"/>
        <w:tabs>
          <w:tab w:val="left" w:pos="1914"/>
        </w:tabs>
        <w:kinsoku/>
        <w:wordWrap/>
        <w:overflowPunct/>
        <w:topLinePunct w:val="0"/>
        <w:autoSpaceDE/>
        <w:autoSpaceDN/>
        <w:bidi w:val="0"/>
        <w:adjustRightInd/>
        <w:snapToGrid w:val="0"/>
        <w:spacing w:line="360" w:lineRule="auto"/>
        <w:ind w:left="0" w:leftChars="0"/>
        <w:jc w:val="left"/>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rPr>
        <w:t>项目编号</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val="en-US" w:eastAsia="zh-CN"/>
        </w:rPr>
        <w:t>XJYY-HWZB-2024003A</w:t>
      </w:r>
    </w:p>
    <w:p>
      <w:pPr>
        <w:pageBreakBefore w:val="0"/>
        <w:tabs>
          <w:tab w:val="left" w:pos="1914"/>
        </w:tabs>
        <w:kinsoku/>
        <w:wordWrap/>
        <w:overflowPunct/>
        <w:topLinePunct w:val="0"/>
        <w:autoSpaceDE/>
        <w:autoSpaceDN/>
        <w:bidi w:val="0"/>
        <w:adjustRightInd/>
        <w:snapToGrid w:val="0"/>
        <w:spacing w:line="360" w:lineRule="auto"/>
        <w:ind w:left="0" w:leftChars="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w:t>
      </w:r>
      <w:r>
        <w:rPr>
          <w:rFonts w:hint="eastAsia" w:ascii="宋体" w:hAnsi="宋体" w:cs="宋体"/>
          <w:sz w:val="24"/>
          <w:szCs w:val="24"/>
          <w:highlight w:val="none"/>
          <w:u w:val="single"/>
          <w:lang w:eastAsia="zh-CN"/>
        </w:rPr>
        <w:t>新疆消防救援总队乌鲁木齐支队“自然灾害应急能力提升工程”装备配备项目（</w:t>
      </w:r>
      <w:r>
        <w:rPr>
          <w:rFonts w:hint="eastAsia" w:ascii="宋体" w:hAnsi="宋体" w:cs="宋体"/>
          <w:sz w:val="24"/>
          <w:szCs w:val="24"/>
          <w:highlight w:val="none"/>
          <w:u w:val="single"/>
          <w:lang w:val="en-US" w:eastAsia="zh-CN"/>
        </w:rPr>
        <w:t>九）</w:t>
      </w:r>
    </w:p>
    <w:p>
      <w:pPr>
        <w:pageBreakBefore w:val="0"/>
        <w:tabs>
          <w:tab w:val="left" w:pos="1914"/>
        </w:tabs>
        <w:kinsoku/>
        <w:wordWrap/>
        <w:overflowPunct/>
        <w:topLinePunct w:val="0"/>
        <w:autoSpaceDE/>
        <w:autoSpaceDN/>
        <w:bidi w:val="0"/>
        <w:adjustRightInd/>
        <w:snapToGrid w:val="0"/>
        <w:spacing w:line="360" w:lineRule="auto"/>
        <w:ind w:left="0" w:leftChars="0"/>
        <w:jc w:val="left"/>
        <w:textAlignment w:val="auto"/>
        <w:rPr>
          <w:rFonts w:ascii="宋体" w:hAnsi="宋体" w:cs="宋体"/>
          <w:sz w:val="24"/>
          <w:szCs w:val="24"/>
          <w:highlight w:val="none"/>
        </w:rPr>
      </w:pPr>
      <w:r>
        <w:rPr>
          <w:rFonts w:hint="eastAsia" w:ascii="宋体" w:hAnsi="宋体" w:cs="宋体"/>
          <w:sz w:val="24"/>
          <w:szCs w:val="24"/>
          <w:highlight w:val="none"/>
        </w:rPr>
        <w:t>采购方式</w:t>
      </w:r>
      <w:r>
        <w:rPr>
          <w:rFonts w:hint="eastAsia" w:ascii="宋体" w:hAnsi="宋体" w:cs="宋体"/>
          <w:sz w:val="24"/>
          <w:szCs w:val="24"/>
          <w:highlight w:val="none"/>
          <w:lang w:eastAsia="zh-CN"/>
        </w:rPr>
        <w:t>：</w:t>
      </w:r>
      <w:r>
        <w:rPr>
          <w:rFonts w:hint="eastAsia" w:ascii="宋体" w:hAnsi="宋体" w:cs="宋体"/>
          <w:sz w:val="24"/>
          <w:szCs w:val="24"/>
          <w:highlight w:val="none"/>
        </w:rPr>
        <w:t>公开招标</w:t>
      </w:r>
    </w:p>
    <w:p>
      <w:pPr>
        <w:pageBreakBefore w:val="0"/>
        <w:tabs>
          <w:tab w:val="left" w:pos="1914"/>
        </w:tabs>
        <w:kinsoku/>
        <w:wordWrap/>
        <w:overflowPunct/>
        <w:topLinePunct w:val="0"/>
        <w:autoSpaceDE/>
        <w:autoSpaceDN/>
        <w:bidi w:val="0"/>
        <w:adjustRightInd/>
        <w:snapToGrid w:val="0"/>
        <w:spacing w:line="360" w:lineRule="auto"/>
        <w:ind w:left="0" w:leftChars="0"/>
        <w:jc w:val="left"/>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预算金额（元）：13475300.00</w:t>
      </w:r>
    </w:p>
    <w:p>
      <w:pPr>
        <w:pageBreakBefore w:val="0"/>
        <w:tabs>
          <w:tab w:val="left" w:pos="1914"/>
        </w:tabs>
        <w:kinsoku/>
        <w:wordWrap/>
        <w:overflowPunct/>
        <w:topLinePunct w:val="0"/>
        <w:autoSpaceDE/>
        <w:autoSpaceDN/>
        <w:bidi w:val="0"/>
        <w:adjustRightInd/>
        <w:snapToGrid w:val="0"/>
        <w:spacing w:line="360" w:lineRule="auto"/>
        <w:ind w:left="0" w:leftChars="0"/>
        <w:jc w:val="left"/>
        <w:textAlignment w:val="auto"/>
        <w:rPr>
          <w:rFonts w:hint="default" w:ascii="宋体" w:hAnsi="宋体" w:cs="宋体"/>
          <w:sz w:val="24"/>
          <w:szCs w:val="24"/>
          <w:highlight w:val="none"/>
          <w:lang w:val="en-US"/>
        </w:rPr>
      </w:pPr>
      <w:r>
        <w:rPr>
          <w:rFonts w:hint="eastAsia" w:ascii="宋体" w:hAnsi="宋体" w:cs="宋体"/>
          <w:sz w:val="24"/>
          <w:szCs w:val="24"/>
          <w:highlight w:val="none"/>
          <w:lang w:val="en-US" w:eastAsia="zh-CN"/>
        </w:rPr>
        <w:t>最高限价（元）：13475300.00</w:t>
      </w:r>
    </w:p>
    <w:p>
      <w:pPr>
        <w:pStyle w:val="13"/>
        <w:pageBreakBefore w:val="0"/>
        <w:kinsoku/>
        <w:wordWrap/>
        <w:overflowPunct/>
        <w:topLinePunct w:val="0"/>
        <w:autoSpaceDE/>
        <w:autoSpaceDN/>
        <w:bidi w:val="0"/>
        <w:adjustRightInd/>
        <w:snapToGrid w:val="0"/>
        <w:spacing w:before="0" w:beforeAutospacing="0" w:after="0" w:afterAutospacing="0" w:line="360" w:lineRule="auto"/>
        <w:ind w:left="0" w:leftChars="0" w:firstLine="48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采购需求：</w:t>
      </w:r>
    </w:p>
    <w:p>
      <w:pPr>
        <w:pStyle w:val="13"/>
        <w:pageBreakBefore w:val="0"/>
        <w:kinsoku/>
        <w:wordWrap/>
        <w:overflowPunct/>
        <w:topLinePunct w:val="0"/>
        <w:autoSpaceDE/>
        <w:autoSpaceDN/>
        <w:bidi w:val="0"/>
        <w:adjustRightInd/>
        <w:snapToGrid w:val="0"/>
        <w:spacing w:before="0" w:beforeAutospacing="0" w:after="0" w:afterAutospacing="0" w:line="360" w:lineRule="auto"/>
        <w:ind w:left="0" w:leftChars="0"/>
        <w:textAlignment w:val="auto"/>
        <w:rPr>
          <w:rFonts w:hint="eastAsia" w:ascii="宋体" w:hAnsi="宋体" w:eastAsia="宋体" w:cs="宋体"/>
          <w:b/>
          <w:bCs/>
          <w:color w:val="000000"/>
          <w:highlight w:val="none"/>
          <w:lang w:eastAsia="zh-CN"/>
        </w:rPr>
      </w:pPr>
      <w:r>
        <w:rPr>
          <w:rFonts w:hint="eastAsia" w:ascii="宋体" w:hAnsi="宋体" w:eastAsia="宋体" w:cs="宋体"/>
          <w:b/>
          <w:bCs/>
          <w:color w:val="000000"/>
          <w:highlight w:val="none"/>
          <w:lang w:eastAsia="zh-CN"/>
        </w:rPr>
        <w:t>标项一:</w:t>
      </w:r>
    </w:p>
    <w:p>
      <w:pPr>
        <w:pStyle w:val="13"/>
        <w:pageBreakBefore w:val="0"/>
        <w:kinsoku/>
        <w:wordWrap/>
        <w:overflowPunct/>
        <w:topLinePunct w:val="0"/>
        <w:autoSpaceDE/>
        <w:autoSpaceDN/>
        <w:bidi w:val="0"/>
        <w:adjustRightInd/>
        <w:snapToGrid w:val="0"/>
        <w:spacing w:before="0" w:beforeAutospacing="0" w:after="0" w:afterAutospacing="0" w:line="360" w:lineRule="auto"/>
        <w:ind w:left="0" w:leftChars="0" w:firstLine="480" w:firstLineChars="200"/>
        <w:textAlignment w:val="auto"/>
        <w:rPr>
          <w:rFonts w:hint="eastAsia" w:ascii="宋体" w:hAnsi="宋体" w:eastAsia="宋体" w:cs="宋体"/>
          <w:color w:val="000000"/>
          <w:highlight w:val="none"/>
          <w:lang w:eastAsia="zh-CN"/>
        </w:rPr>
      </w:pPr>
      <w:r>
        <w:rPr>
          <w:rFonts w:hint="eastAsia" w:ascii="宋体" w:hAnsi="宋体" w:eastAsia="宋体" w:cs="宋体"/>
          <w:color w:val="000000"/>
          <w:highlight w:val="none"/>
        </w:rPr>
        <w:t>标项名称:</w:t>
      </w:r>
      <w:r>
        <w:rPr>
          <w:rFonts w:hint="eastAsia" w:ascii="宋体" w:hAnsi="宋体" w:eastAsia="宋体" w:cs="宋体"/>
          <w:color w:val="000000"/>
          <w:highlight w:val="none"/>
          <w:lang w:eastAsia="zh-CN"/>
        </w:rPr>
        <w:t xml:space="preserve"> </w:t>
      </w:r>
      <w:r>
        <w:rPr>
          <w:rStyle w:val="29"/>
          <w:rFonts w:hint="eastAsia" w:cs="宋体"/>
          <w:highlight w:val="none"/>
          <w:lang w:val="en-US" w:eastAsia="zh-CN"/>
        </w:rPr>
        <w:t>第一包</w:t>
      </w:r>
    </w:p>
    <w:p>
      <w:pPr>
        <w:pStyle w:val="13"/>
        <w:pageBreakBefore w:val="0"/>
        <w:kinsoku/>
        <w:wordWrap/>
        <w:overflowPunct/>
        <w:topLinePunct w:val="0"/>
        <w:autoSpaceDE/>
        <w:autoSpaceDN/>
        <w:bidi w:val="0"/>
        <w:adjustRightInd/>
        <w:snapToGrid w:val="0"/>
        <w:spacing w:before="0" w:beforeAutospacing="0" w:after="0" w:afterAutospacing="0" w:line="360" w:lineRule="auto"/>
        <w:ind w:left="0" w:leftChars="0"/>
        <w:textAlignment w:val="auto"/>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eastAsia="zh-CN"/>
        </w:rPr>
        <w:t xml:space="preserve">  </w:t>
      </w:r>
      <w:r>
        <w:rPr>
          <w:rFonts w:hint="eastAsia" w:ascii="宋体" w:hAnsi="宋体" w:eastAsia="宋体" w:cs="宋体"/>
          <w:color w:val="000000"/>
          <w:highlight w:val="none"/>
        </w:rPr>
        <w:t xml:space="preserve"> </w:t>
      </w:r>
      <w:r>
        <w:rPr>
          <w:rFonts w:hint="eastAsia" w:ascii="宋体" w:hAnsi="宋体" w:eastAsia="宋体" w:cs="宋体"/>
          <w:color w:val="000000"/>
          <w:highlight w:val="none"/>
          <w:lang w:eastAsia="zh-CN"/>
        </w:rPr>
        <w:t xml:space="preserve"> </w:t>
      </w:r>
      <w:r>
        <w:rPr>
          <w:rFonts w:hint="eastAsia" w:ascii="宋体" w:hAnsi="宋体" w:eastAsia="宋体" w:cs="宋体"/>
          <w:color w:val="000000"/>
          <w:highlight w:val="none"/>
        </w:rPr>
        <w:t>数量:</w:t>
      </w:r>
      <w:r>
        <w:rPr>
          <w:rFonts w:hint="eastAsia" w:ascii="宋体" w:hAnsi="宋体" w:eastAsia="宋体" w:cs="宋体"/>
          <w:highlight w:val="none"/>
        </w:rPr>
        <w:t xml:space="preserve"> </w:t>
      </w:r>
      <w:r>
        <w:rPr>
          <w:rFonts w:hint="eastAsia" w:ascii="宋体" w:hAnsi="宋体" w:eastAsia="宋体" w:cs="宋体"/>
          <w:color w:val="000000"/>
          <w:highlight w:val="none"/>
          <w:lang w:val="en-US" w:eastAsia="zh-CN"/>
        </w:rPr>
        <w:t>1</w:t>
      </w:r>
      <w:r>
        <w:rPr>
          <w:rFonts w:hint="eastAsia" w:cs="宋体"/>
          <w:color w:val="000000"/>
          <w:highlight w:val="none"/>
          <w:lang w:val="en-US" w:eastAsia="zh-CN"/>
        </w:rPr>
        <w:t>批</w:t>
      </w:r>
    </w:p>
    <w:p>
      <w:pPr>
        <w:pageBreakBefore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预算金额（元）:2568600</w:t>
      </w:r>
      <w:r>
        <w:rPr>
          <w:rFonts w:hint="eastAsia" w:ascii="宋体" w:hAnsi="宋体" w:cs="宋体"/>
          <w:color w:val="000000"/>
          <w:kern w:val="0"/>
          <w:sz w:val="24"/>
          <w:szCs w:val="24"/>
          <w:highlight w:val="none"/>
          <w:lang w:val="en-US" w:eastAsia="zh-CN" w:bidi="ar-SA"/>
        </w:rPr>
        <w:t>.00</w:t>
      </w:r>
      <w:r>
        <w:rPr>
          <w:rFonts w:hint="eastAsia" w:ascii="宋体" w:hAnsi="宋体" w:eastAsia="宋体" w:cs="宋体"/>
          <w:color w:val="000000"/>
          <w:kern w:val="0"/>
          <w:sz w:val="24"/>
          <w:szCs w:val="24"/>
          <w:highlight w:val="none"/>
          <w:lang w:val="en-US" w:eastAsia="zh-CN" w:bidi="ar-SA"/>
        </w:rPr>
        <w:t>；</w:t>
      </w:r>
    </w:p>
    <w:p>
      <w:pPr>
        <w:pStyle w:val="13"/>
        <w:pageBreakBefore w:val="0"/>
        <w:kinsoku/>
        <w:wordWrap/>
        <w:overflowPunct/>
        <w:topLinePunct w:val="0"/>
        <w:autoSpaceDE/>
        <w:autoSpaceDN/>
        <w:bidi w:val="0"/>
        <w:adjustRightInd/>
        <w:snapToGrid w:val="0"/>
        <w:spacing w:before="0" w:beforeAutospacing="0" w:after="0" w:afterAutospacing="0" w:line="360" w:lineRule="auto"/>
        <w:ind w:left="0" w:leftChars="0" w:firstLine="480" w:firstLineChars="200"/>
        <w:textAlignment w:val="auto"/>
        <w:rPr>
          <w:rFonts w:hint="default" w:ascii="宋体" w:hAnsi="宋体" w:eastAsia="宋体" w:cs="宋体"/>
          <w:color w:val="000000"/>
          <w:highlight w:val="none"/>
          <w:lang w:val="en-US" w:eastAsia="zh-CN"/>
        </w:rPr>
      </w:pPr>
      <w:r>
        <w:rPr>
          <w:rFonts w:hint="eastAsia" w:ascii="宋体" w:hAnsi="宋体" w:eastAsia="宋体" w:cs="宋体"/>
          <w:color w:val="000000"/>
          <w:kern w:val="0"/>
          <w:sz w:val="24"/>
          <w:szCs w:val="24"/>
          <w:highlight w:val="none"/>
          <w:lang w:val="en-US" w:eastAsia="zh-CN" w:bidi="ar-SA"/>
        </w:rPr>
        <w:t>简要规</w:t>
      </w:r>
      <w:r>
        <w:rPr>
          <w:rFonts w:hint="eastAsia" w:ascii="宋体" w:hAnsi="宋体" w:eastAsia="宋体" w:cs="宋体"/>
          <w:color w:val="000000"/>
          <w:highlight w:val="none"/>
        </w:rPr>
        <w:t>格描述或项目基本概况介绍、用途：</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机动链锯</w:t>
      </w:r>
      <w:r>
        <w:rPr>
          <w:rFonts w:hint="eastAsia" w:cs="宋体"/>
          <w:b w:val="0"/>
          <w:bCs w:val="0"/>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无齿锯</w:t>
      </w:r>
      <w:r>
        <w:rPr>
          <w:rFonts w:hint="eastAsia" w:cs="宋体"/>
          <w:b w:val="0"/>
          <w:bCs w:val="0"/>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双轮异向切割锯</w:t>
      </w:r>
      <w:r>
        <w:rPr>
          <w:rFonts w:hint="eastAsia" w:cs="宋体"/>
          <w:b w:val="0"/>
          <w:bCs w:val="0"/>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水泥切割机</w:t>
      </w:r>
      <w:r>
        <w:rPr>
          <w:rFonts w:hint="eastAsia" w:cs="宋体"/>
          <w:b w:val="0"/>
          <w:bCs w:val="0"/>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绳锯</w:t>
      </w:r>
      <w:r>
        <w:rPr>
          <w:rFonts w:hint="eastAsia" w:cs="宋体"/>
          <w:b w:val="0"/>
          <w:bCs w:val="0"/>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等离子切割机</w:t>
      </w:r>
      <w:r>
        <w:rPr>
          <w:rFonts w:hint="eastAsia" w:cs="宋体"/>
          <w:b w:val="0"/>
          <w:bCs w:val="0"/>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氧炔气焊切割设备</w:t>
      </w:r>
      <w:r>
        <w:rPr>
          <w:rFonts w:hint="eastAsia" w:cs="宋体"/>
          <w:b w:val="0"/>
          <w:bCs w:val="0"/>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无电切割刀</w:t>
      </w:r>
      <w:r>
        <w:rPr>
          <w:rFonts w:hint="eastAsia" w:cs="宋体"/>
          <w:b w:val="0"/>
          <w:bCs w:val="0"/>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木锯切割机</w:t>
      </w:r>
      <w:r>
        <w:rPr>
          <w:rFonts w:hint="eastAsia" w:cs="宋体"/>
          <w:b w:val="0"/>
          <w:bCs w:val="0"/>
          <w:i w:val="0"/>
          <w:iCs w:val="0"/>
          <w:color w:val="000000" w:themeColor="text1"/>
          <w:kern w:val="0"/>
          <w:sz w:val="24"/>
          <w:szCs w:val="24"/>
          <w:highlight w:val="none"/>
          <w:u w:val="none"/>
          <w:lang w:val="en-US" w:eastAsia="zh-CN" w:bidi="ar"/>
          <w14:textFill>
            <w14:solidFill>
              <w14:schemeClr w14:val="tx1"/>
            </w14:solidFill>
          </w14:textFill>
        </w:rPr>
        <w:t>。</w:t>
      </w:r>
    </w:p>
    <w:p>
      <w:pPr>
        <w:pStyle w:val="13"/>
        <w:pageBreakBefore w:val="0"/>
        <w:kinsoku/>
        <w:wordWrap/>
        <w:overflowPunct/>
        <w:topLinePunct w:val="0"/>
        <w:autoSpaceDE/>
        <w:autoSpaceDN/>
        <w:bidi w:val="0"/>
        <w:adjustRightInd/>
        <w:snapToGrid w:val="0"/>
        <w:spacing w:before="0" w:beforeAutospacing="0" w:after="0" w:afterAutospacing="0" w:line="360" w:lineRule="auto"/>
        <w:ind w:left="0" w:leftChars="0" w:firstLine="480" w:firstLineChars="200"/>
        <w:textAlignment w:val="auto"/>
        <w:rPr>
          <w:rStyle w:val="29"/>
          <w:rFonts w:hint="eastAsia" w:ascii="宋体" w:hAnsi="宋体" w:eastAsia="宋体" w:cs="宋体"/>
          <w:color w:val="000000"/>
          <w:highlight w:val="none"/>
          <w:lang w:val="en-US" w:eastAsia="zh-CN"/>
        </w:rPr>
      </w:pPr>
      <w:r>
        <w:rPr>
          <w:rFonts w:hint="eastAsia" w:ascii="宋体" w:hAnsi="宋体" w:eastAsia="宋体" w:cs="宋体"/>
          <w:color w:val="000000"/>
          <w:highlight w:val="none"/>
        </w:rPr>
        <w:t>合同履约期限：</w:t>
      </w:r>
      <w:r>
        <w:rPr>
          <w:rStyle w:val="29"/>
          <w:rFonts w:hint="eastAsia" w:ascii="宋体" w:hAnsi="宋体" w:eastAsia="宋体" w:cs="宋体"/>
          <w:color w:val="000000"/>
          <w:highlight w:val="none"/>
        </w:rPr>
        <w:t>标项</w:t>
      </w:r>
      <w:r>
        <w:rPr>
          <w:rFonts w:hint="eastAsia" w:cs="宋体"/>
          <w:highlight w:val="none"/>
          <w:lang w:val="en-US" w:eastAsia="zh-CN"/>
        </w:rPr>
        <w:t>一</w:t>
      </w:r>
      <w:r>
        <w:rPr>
          <w:rStyle w:val="29"/>
          <w:rFonts w:hint="eastAsia" w:cs="宋体"/>
          <w:color w:val="000000"/>
          <w:highlight w:val="none"/>
          <w:lang w:eastAsia="zh-CN"/>
        </w:rPr>
        <w:t>：</w:t>
      </w:r>
      <w:r>
        <w:rPr>
          <w:rStyle w:val="29"/>
          <w:rFonts w:hint="eastAsia" w:ascii="宋体" w:hAnsi="宋体" w:eastAsia="宋体" w:cs="宋体"/>
          <w:color w:val="000000"/>
          <w:highlight w:val="none"/>
          <w:lang w:val="en-US" w:eastAsia="zh-CN"/>
        </w:rPr>
        <w:t>签订合同后45日内交付货物、安装并完成调试，采购人7日内组织初验，通过采购人初验后，试运行1个月，所供货物使用正常，满足采购人需求，采购人7日内出具最终验收意见。</w:t>
      </w:r>
    </w:p>
    <w:p>
      <w:pPr>
        <w:pStyle w:val="13"/>
        <w:pageBreakBefore w:val="0"/>
        <w:kinsoku/>
        <w:wordWrap/>
        <w:overflowPunct/>
        <w:topLinePunct w:val="0"/>
        <w:autoSpaceDE/>
        <w:autoSpaceDN/>
        <w:bidi w:val="0"/>
        <w:adjustRightInd/>
        <w:snapToGrid w:val="0"/>
        <w:spacing w:before="0" w:beforeAutospacing="0" w:after="0" w:afterAutospacing="0" w:line="360" w:lineRule="auto"/>
        <w:ind w:left="0" w:leftChars="0"/>
        <w:textAlignment w:val="auto"/>
        <w:rPr>
          <w:rFonts w:hint="eastAsia" w:ascii="宋体" w:hAnsi="宋体" w:eastAsia="宋体" w:cs="宋体"/>
          <w:b/>
          <w:bCs/>
          <w:color w:val="000000"/>
          <w:highlight w:val="none"/>
          <w:lang w:eastAsia="zh-CN"/>
        </w:rPr>
      </w:pPr>
      <w:r>
        <w:rPr>
          <w:rFonts w:hint="eastAsia" w:ascii="宋体" w:hAnsi="宋体" w:eastAsia="宋体" w:cs="宋体"/>
          <w:b/>
          <w:bCs/>
          <w:color w:val="000000"/>
          <w:highlight w:val="none"/>
          <w:lang w:eastAsia="zh-CN"/>
        </w:rPr>
        <w:t>标项</w:t>
      </w:r>
      <w:r>
        <w:rPr>
          <w:rFonts w:hint="eastAsia" w:cs="宋体"/>
          <w:b/>
          <w:bCs/>
          <w:color w:val="000000"/>
          <w:highlight w:val="none"/>
          <w:lang w:val="en-US" w:eastAsia="zh-CN"/>
        </w:rPr>
        <w:t>二</w:t>
      </w:r>
      <w:r>
        <w:rPr>
          <w:rFonts w:hint="eastAsia" w:ascii="宋体" w:hAnsi="宋体" w:eastAsia="宋体" w:cs="宋体"/>
          <w:b/>
          <w:bCs/>
          <w:color w:val="000000"/>
          <w:highlight w:val="none"/>
          <w:lang w:eastAsia="zh-CN"/>
        </w:rPr>
        <w:t>:</w:t>
      </w:r>
    </w:p>
    <w:p>
      <w:pPr>
        <w:pStyle w:val="13"/>
        <w:pageBreakBefore w:val="0"/>
        <w:kinsoku/>
        <w:wordWrap/>
        <w:overflowPunct/>
        <w:topLinePunct w:val="0"/>
        <w:autoSpaceDE/>
        <w:autoSpaceDN/>
        <w:bidi w:val="0"/>
        <w:adjustRightInd/>
        <w:snapToGrid w:val="0"/>
        <w:spacing w:before="0" w:beforeAutospacing="0" w:after="0" w:afterAutospacing="0" w:line="360" w:lineRule="auto"/>
        <w:ind w:left="0" w:leftChars="0" w:firstLine="480" w:firstLineChars="200"/>
        <w:textAlignment w:val="auto"/>
        <w:rPr>
          <w:rFonts w:hint="eastAsia" w:ascii="宋体" w:hAnsi="宋体" w:eastAsia="宋体" w:cs="宋体"/>
          <w:color w:val="000000"/>
          <w:highlight w:val="none"/>
          <w:lang w:eastAsia="zh-CN"/>
        </w:rPr>
      </w:pPr>
      <w:r>
        <w:rPr>
          <w:rFonts w:hint="eastAsia" w:ascii="宋体" w:hAnsi="宋体" w:eastAsia="宋体" w:cs="宋体"/>
          <w:color w:val="000000"/>
          <w:highlight w:val="none"/>
        </w:rPr>
        <w:t>标项名称:</w:t>
      </w:r>
      <w:r>
        <w:rPr>
          <w:rFonts w:hint="eastAsia" w:ascii="宋体" w:hAnsi="宋体" w:eastAsia="宋体" w:cs="宋体"/>
          <w:color w:val="000000"/>
          <w:highlight w:val="none"/>
          <w:lang w:eastAsia="zh-CN"/>
        </w:rPr>
        <w:t xml:space="preserve"> </w:t>
      </w:r>
      <w:r>
        <w:rPr>
          <w:rStyle w:val="29"/>
          <w:rFonts w:hint="eastAsia" w:cs="宋体"/>
          <w:highlight w:val="none"/>
          <w:lang w:val="en-US" w:eastAsia="zh-CN"/>
        </w:rPr>
        <w:t>第二包</w:t>
      </w:r>
    </w:p>
    <w:p>
      <w:pPr>
        <w:pStyle w:val="13"/>
        <w:pageBreakBefore w:val="0"/>
        <w:kinsoku/>
        <w:wordWrap/>
        <w:overflowPunct/>
        <w:topLinePunct w:val="0"/>
        <w:autoSpaceDE/>
        <w:autoSpaceDN/>
        <w:bidi w:val="0"/>
        <w:adjustRightInd/>
        <w:snapToGrid w:val="0"/>
        <w:spacing w:before="0" w:beforeAutospacing="0" w:after="0" w:afterAutospacing="0" w:line="360" w:lineRule="auto"/>
        <w:ind w:left="0" w:leftChars="0"/>
        <w:textAlignment w:val="auto"/>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eastAsia="zh-CN"/>
        </w:rPr>
        <w:t xml:space="preserve">  </w:t>
      </w:r>
      <w:r>
        <w:rPr>
          <w:rFonts w:hint="eastAsia" w:ascii="宋体" w:hAnsi="宋体" w:eastAsia="宋体" w:cs="宋体"/>
          <w:color w:val="000000"/>
          <w:highlight w:val="none"/>
        </w:rPr>
        <w:t xml:space="preserve"> </w:t>
      </w:r>
      <w:r>
        <w:rPr>
          <w:rFonts w:hint="eastAsia" w:ascii="宋体" w:hAnsi="宋体" w:eastAsia="宋体" w:cs="宋体"/>
          <w:color w:val="000000"/>
          <w:highlight w:val="none"/>
          <w:lang w:eastAsia="zh-CN"/>
        </w:rPr>
        <w:t xml:space="preserve"> </w:t>
      </w:r>
      <w:r>
        <w:rPr>
          <w:rFonts w:hint="eastAsia" w:ascii="宋体" w:hAnsi="宋体" w:eastAsia="宋体" w:cs="宋体"/>
          <w:color w:val="000000"/>
          <w:highlight w:val="none"/>
        </w:rPr>
        <w:t>数量:</w:t>
      </w:r>
      <w:r>
        <w:rPr>
          <w:rFonts w:hint="eastAsia" w:ascii="宋体" w:hAnsi="宋体" w:eastAsia="宋体" w:cs="宋体"/>
          <w:highlight w:val="none"/>
        </w:rPr>
        <w:t xml:space="preserve"> </w:t>
      </w:r>
      <w:r>
        <w:rPr>
          <w:rFonts w:hint="eastAsia" w:ascii="宋体" w:hAnsi="宋体" w:eastAsia="宋体" w:cs="宋体"/>
          <w:color w:val="000000"/>
          <w:highlight w:val="none"/>
          <w:lang w:val="en-US" w:eastAsia="zh-CN"/>
        </w:rPr>
        <w:t>1</w:t>
      </w:r>
      <w:r>
        <w:rPr>
          <w:rFonts w:hint="eastAsia" w:cs="宋体"/>
          <w:color w:val="000000"/>
          <w:highlight w:val="none"/>
          <w:lang w:val="en-US" w:eastAsia="zh-CN"/>
        </w:rPr>
        <w:t>批</w:t>
      </w:r>
    </w:p>
    <w:p>
      <w:pPr>
        <w:pageBreakBefore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预算金额（元）:3093200</w:t>
      </w: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.00</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w:t>
      </w:r>
    </w:p>
    <w:p>
      <w:pPr>
        <w:pStyle w:val="13"/>
        <w:pageBreakBefore w:val="0"/>
        <w:kinsoku/>
        <w:wordWrap/>
        <w:overflowPunct/>
        <w:topLinePunct w:val="0"/>
        <w:autoSpaceDE/>
        <w:autoSpaceDN/>
        <w:bidi w:val="0"/>
        <w:adjustRightInd/>
        <w:snapToGrid w:val="0"/>
        <w:spacing w:before="0" w:beforeAutospacing="0" w:after="0" w:afterAutospacing="0" w:line="360" w:lineRule="auto"/>
        <w:ind w:left="0" w:leftChars="0" w:firstLine="480" w:firstLineChars="200"/>
        <w:textAlignment w:val="auto"/>
        <w:rPr>
          <w:rFonts w:hint="default" w:ascii="宋体" w:hAnsi="宋体" w:eastAsia="宋体" w:cs="宋体"/>
          <w:color w:val="000000"/>
          <w:highlight w:val="none"/>
          <w:lang w:val="en-US" w:eastAsia="zh-CN"/>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简要规格描</w:t>
      </w:r>
      <w:r>
        <w:rPr>
          <w:rFonts w:hint="eastAsia" w:ascii="宋体" w:hAnsi="宋体" w:eastAsia="宋体" w:cs="宋体"/>
          <w:color w:val="000000"/>
          <w:highlight w:val="none"/>
        </w:rPr>
        <w:t>述或项目基本概况介绍、用途：</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电动链锯</w:t>
      </w:r>
      <w:r>
        <w:rPr>
          <w:rFonts w:hint="eastAsia" w:cs="宋体"/>
          <w:b w:val="0"/>
          <w:bCs w:val="0"/>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电钻</w:t>
      </w:r>
      <w:r>
        <w:rPr>
          <w:rFonts w:hint="eastAsia" w:cs="宋体"/>
          <w:b w:val="0"/>
          <w:bCs w:val="0"/>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角磨机</w:t>
      </w:r>
      <w:r>
        <w:rPr>
          <w:rFonts w:hint="eastAsia" w:cs="宋体"/>
          <w:b w:val="0"/>
          <w:bCs w:val="0"/>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电动液压剪扩组</w:t>
      </w:r>
      <w:r>
        <w:rPr>
          <w:rFonts w:hint="eastAsia" w:cs="宋体"/>
          <w:b w:val="0"/>
          <w:bCs w:val="0"/>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电动破拆工具组</w:t>
      </w:r>
      <w:r>
        <w:rPr>
          <w:rFonts w:hint="eastAsia" w:cs="宋体"/>
          <w:b w:val="0"/>
          <w:bCs w:val="0"/>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电动钢筋速断器</w:t>
      </w:r>
      <w:r>
        <w:rPr>
          <w:rFonts w:hint="eastAsia" w:cs="宋体"/>
          <w:b w:val="0"/>
          <w:bCs w:val="0"/>
          <w:i w:val="0"/>
          <w:iCs w:val="0"/>
          <w:color w:val="000000" w:themeColor="text1"/>
          <w:kern w:val="0"/>
          <w:sz w:val="24"/>
          <w:szCs w:val="24"/>
          <w:highlight w:val="none"/>
          <w:u w:val="none"/>
          <w:lang w:val="en-US" w:eastAsia="zh-CN" w:bidi="ar"/>
          <w14:textFill>
            <w14:solidFill>
              <w14:schemeClr w14:val="tx1"/>
            </w14:solidFill>
          </w14:textFill>
        </w:rPr>
        <w:t>。</w:t>
      </w:r>
    </w:p>
    <w:p>
      <w:pPr>
        <w:pStyle w:val="13"/>
        <w:pageBreakBefore w:val="0"/>
        <w:kinsoku/>
        <w:wordWrap/>
        <w:overflowPunct/>
        <w:topLinePunct w:val="0"/>
        <w:autoSpaceDE/>
        <w:autoSpaceDN/>
        <w:bidi w:val="0"/>
        <w:adjustRightInd/>
        <w:snapToGrid w:val="0"/>
        <w:spacing w:before="0" w:beforeAutospacing="0" w:after="0" w:afterAutospacing="0" w:line="360" w:lineRule="auto"/>
        <w:ind w:left="0" w:leftChars="0" w:firstLine="480" w:firstLineChars="200"/>
        <w:textAlignment w:val="auto"/>
        <w:rPr>
          <w:rStyle w:val="29"/>
          <w:rFonts w:hint="eastAsia" w:ascii="宋体" w:hAnsi="宋体" w:eastAsia="宋体" w:cs="宋体"/>
          <w:color w:val="000000"/>
          <w:highlight w:val="none"/>
          <w:lang w:val="en-US" w:eastAsia="zh-CN"/>
        </w:rPr>
      </w:pPr>
      <w:r>
        <w:rPr>
          <w:rFonts w:hint="eastAsia" w:ascii="宋体" w:hAnsi="宋体" w:eastAsia="宋体" w:cs="宋体"/>
          <w:color w:val="000000"/>
          <w:highlight w:val="none"/>
        </w:rPr>
        <w:t>合同履约期限：</w:t>
      </w:r>
      <w:r>
        <w:rPr>
          <w:rStyle w:val="29"/>
          <w:rFonts w:hint="eastAsia" w:ascii="宋体" w:hAnsi="宋体" w:eastAsia="宋体" w:cs="宋体"/>
          <w:color w:val="000000"/>
          <w:highlight w:val="none"/>
        </w:rPr>
        <w:t>标项</w:t>
      </w:r>
      <w:r>
        <w:rPr>
          <w:rFonts w:hint="eastAsia" w:cs="宋体"/>
          <w:highlight w:val="none"/>
          <w:lang w:val="en-US" w:eastAsia="zh-CN"/>
        </w:rPr>
        <w:t>二</w:t>
      </w:r>
      <w:r>
        <w:rPr>
          <w:rStyle w:val="29"/>
          <w:rFonts w:hint="eastAsia" w:cs="宋体"/>
          <w:color w:val="000000"/>
          <w:highlight w:val="none"/>
          <w:lang w:eastAsia="zh-CN"/>
        </w:rPr>
        <w:t>：</w:t>
      </w:r>
      <w:r>
        <w:rPr>
          <w:rStyle w:val="29"/>
          <w:rFonts w:hint="eastAsia" w:ascii="宋体" w:hAnsi="宋体" w:eastAsia="宋体" w:cs="宋体"/>
          <w:color w:val="000000"/>
          <w:highlight w:val="none"/>
          <w:lang w:val="en-US" w:eastAsia="zh-CN"/>
        </w:rPr>
        <w:t>签订合同后45日内交付货物、安装并完成调试，采购人7日内组织初验，通过采购人初验后，试运行1个月，所供货物使用正常，满足采购人需求，采购人7日内出具最终验收意见。</w:t>
      </w:r>
    </w:p>
    <w:p>
      <w:pPr>
        <w:pStyle w:val="13"/>
        <w:pageBreakBefore w:val="0"/>
        <w:kinsoku/>
        <w:wordWrap/>
        <w:overflowPunct/>
        <w:topLinePunct w:val="0"/>
        <w:autoSpaceDE/>
        <w:autoSpaceDN/>
        <w:bidi w:val="0"/>
        <w:adjustRightInd/>
        <w:snapToGrid w:val="0"/>
        <w:spacing w:before="0" w:beforeAutospacing="0" w:after="0" w:afterAutospacing="0" w:line="360" w:lineRule="auto"/>
        <w:ind w:left="0" w:leftChars="0"/>
        <w:textAlignment w:val="auto"/>
        <w:rPr>
          <w:rFonts w:hint="eastAsia" w:ascii="宋体" w:hAnsi="宋体" w:eastAsia="宋体" w:cs="宋体"/>
          <w:b/>
          <w:bCs/>
          <w:color w:val="000000"/>
          <w:highlight w:val="none"/>
          <w:lang w:eastAsia="zh-CN"/>
        </w:rPr>
      </w:pPr>
      <w:r>
        <w:rPr>
          <w:rFonts w:hint="eastAsia" w:ascii="宋体" w:hAnsi="宋体" w:eastAsia="宋体" w:cs="宋体"/>
          <w:b/>
          <w:bCs/>
          <w:color w:val="000000"/>
          <w:highlight w:val="none"/>
          <w:lang w:eastAsia="zh-CN"/>
        </w:rPr>
        <w:t>标项</w:t>
      </w:r>
      <w:r>
        <w:rPr>
          <w:rFonts w:hint="eastAsia" w:cs="宋体"/>
          <w:b/>
          <w:bCs/>
          <w:color w:val="000000"/>
          <w:highlight w:val="none"/>
          <w:lang w:val="en-US" w:eastAsia="zh-CN"/>
        </w:rPr>
        <w:t>三</w:t>
      </w:r>
      <w:r>
        <w:rPr>
          <w:rFonts w:hint="eastAsia" w:ascii="宋体" w:hAnsi="宋体" w:eastAsia="宋体" w:cs="宋体"/>
          <w:b/>
          <w:bCs/>
          <w:color w:val="000000"/>
          <w:highlight w:val="none"/>
          <w:lang w:eastAsia="zh-CN"/>
        </w:rPr>
        <w:t>:</w:t>
      </w:r>
    </w:p>
    <w:p>
      <w:pPr>
        <w:pStyle w:val="13"/>
        <w:pageBreakBefore w:val="0"/>
        <w:kinsoku/>
        <w:wordWrap/>
        <w:overflowPunct/>
        <w:topLinePunct w:val="0"/>
        <w:autoSpaceDE/>
        <w:autoSpaceDN/>
        <w:bidi w:val="0"/>
        <w:adjustRightInd/>
        <w:snapToGrid w:val="0"/>
        <w:spacing w:before="0" w:beforeAutospacing="0" w:after="0" w:afterAutospacing="0" w:line="360" w:lineRule="auto"/>
        <w:ind w:left="0" w:leftChars="0" w:firstLine="480" w:firstLineChars="200"/>
        <w:textAlignment w:val="auto"/>
        <w:rPr>
          <w:rFonts w:hint="eastAsia" w:ascii="宋体" w:hAnsi="宋体" w:eastAsia="宋体" w:cs="宋体"/>
          <w:color w:val="000000"/>
          <w:highlight w:val="none"/>
          <w:lang w:eastAsia="zh-CN"/>
        </w:rPr>
      </w:pPr>
      <w:r>
        <w:rPr>
          <w:rFonts w:hint="eastAsia" w:ascii="宋体" w:hAnsi="宋体" w:eastAsia="宋体" w:cs="宋体"/>
          <w:color w:val="000000"/>
          <w:highlight w:val="none"/>
        </w:rPr>
        <w:t>标项名称:</w:t>
      </w:r>
      <w:r>
        <w:rPr>
          <w:rFonts w:hint="eastAsia" w:ascii="宋体" w:hAnsi="宋体" w:eastAsia="宋体" w:cs="宋体"/>
          <w:color w:val="000000"/>
          <w:highlight w:val="none"/>
          <w:lang w:eastAsia="zh-CN"/>
        </w:rPr>
        <w:t xml:space="preserve"> </w:t>
      </w:r>
      <w:r>
        <w:rPr>
          <w:rStyle w:val="29"/>
          <w:rFonts w:hint="eastAsia" w:cs="宋体"/>
          <w:highlight w:val="none"/>
          <w:lang w:val="en-US" w:eastAsia="zh-CN"/>
        </w:rPr>
        <w:t>第三包</w:t>
      </w:r>
    </w:p>
    <w:p>
      <w:pPr>
        <w:pStyle w:val="13"/>
        <w:pageBreakBefore w:val="0"/>
        <w:kinsoku/>
        <w:wordWrap/>
        <w:overflowPunct/>
        <w:topLinePunct w:val="0"/>
        <w:autoSpaceDE/>
        <w:autoSpaceDN/>
        <w:bidi w:val="0"/>
        <w:adjustRightInd/>
        <w:snapToGrid w:val="0"/>
        <w:spacing w:before="0" w:beforeAutospacing="0" w:after="0" w:afterAutospacing="0" w:line="360" w:lineRule="auto"/>
        <w:ind w:left="0" w:leftChars="0"/>
        <w:textAlignment w:val="auto"/>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eastAsia="zh-CN"/>
        </w:rPr>
        <w:t xml:space="preserve">  </w:t>
      </w:r>
      <w:r>
        <w:rPr>
          <w:rFonts w:hint="eastAsia" w:ascii="宋体" w:hAnsi="宋体" w:eastAsia="宋体" w:cs="宋体"/>
          <w:color w:val="000000"/>
          <w:highlight w:val="none"/>
        </w:rPr>
        <w:t xml:space="preserve"> </w:t>
      </w:r>
      <w:r>
        <w:rPr>
          <w:rFonts w:hint="eastAsia" w:ascii="宋体" w:hAnsi="宋体" w:eastAsia="宋体" w:cs="宋体"/>
          <w:color w:val="000000"/>
          <w:highlight w:val="none"/>
          <w:lang w:eastAsia="zh-CN"/>
        </w:rPr>
        <w:t xml:space="preserve"> </w:t>
      </w:r>
      <w:r>
        <w:rPr>
          <w:rFonts w:hint="eastAsia" w:ascii="宋体" w:hAnsi="宋体" w:eastAsia="宋体" w:cs="宋体"/>
          <w:color w:val="000000"/>
          <w:highlight w:val="none"/>
        </w:rPr>
        <w:t>数量:</w:t>
      </w:r>
      <w:r>
        <w:rPr>
          <w:rFonts w:hint="eastAsia" w:ascii="宋体" w:hAnsi="宋体" w:eastAsia="宋体" w:cs="宋体"/>
          <w:highlight w:val="none"/>
        </w:rPr>
        <w:t xml:space="preserve"> </w:t>
      </w:r>
      <w:r>
        <w:rPr>
          <w:rFonts w:hint="eastAsia" w:ascii="宋体" w:hAnsi="宋体" w:eastAsia="宋体" w:cs="宋体"/>
          <w:color w:val="000000"/>
          <w:highlight w:val="none"/>
          <w:lang w:val="en-US" w:eastAsia="zh-CN"/>
        </w:rPr>
        <w:t>1</w:t>
      </w:r>
      <w:r>
        <w:rPr>
          <w:rFonts w:hint="eastAsia" w:cs="宋体"/>
          <w:color w:val="000000"/>
          <w:highlight w:val="none"/>
          <w:lang w:val="en-US" w:eastAsia="zh-CN"/>
        </w:rPr>
        <w:t>批</w:t>
      </w:r>
    </w:p>
    <w:p>
      <w:pPr>
        <w:pageBreakBefore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预算金额（元）:620</w:t>
      </w:r>
      <w:r>
        <w:rPr>
          <w:rFonts w:hint="eastAsia" w:ascii="宋体" w:hAnsi="宋体" w:cs="宋体"/>
          <w:color w:val="000000"/>
          <w:kern w:val="0"/>
          <w:sz w:val="24"/>
          <w:szCs w:val="24"/>
          <w:highlight w:val="none"/>
          <w:lang w:val="en-US" w:eastAsia="zh-CN" w:bidi="ar-SA"/>
        </w:rPr>
        <w:t>0000.00</w:t>
      </w:r>
      <w:r>
        <w:rPr>
          <w:rFonts w:hint="eastAsia" w:ascii="宋体" w:hAnsi="宋体" w:eastAsia="宋体" w:cs="宋体"/>
          <w:color w:val="000000"/>
          <w:kern w:val="0"/>
          <w:sz w:val="24"/>
          <w:szCs w:val="24"/>
          <w:highlight w:val="none"/>
          <w:lang w:val="en-US" w:eastAsia="zh-CN" w:bidi="ar-SA"/>
        </w:rPr>
        <w:t>；</w:t>
      </w:r>
    </w:p>
    <w:p>
      <w:pPr>
        <w:pageBreakBefore w:val="0"/>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000000"/>
          <w:highlight w:val="none"/>
          <w:lang w:val="en-US" w:eastAsia="zh-CN"/>
        </w:rPr>
      </w:pPr>
      <w:r>
        <w:rPr>
          <w:rFonts w:hint="eastAsia" w:ascii="宋体" w:hAnsi="宋体" w:eastAsia="宋体" w:cs="宋体"/>
          <w:color w:val="000000"/>
          <w:kern w:val="0"/>
          <w:sz w:val="24"/>
          <w:szCs w:val="24"/>
          <w:highlight w:val="none"/>
          <w:lang w:val="en-US" w:eastAsia="zh-CN" w:bidi="ar-SA"/>
        </w:rPr>
        <w:t>简要规格描述或项目基本概况介绍、用途：液压破拆工具组A。</w:t>
      </w:r>
    </w:p>
    <w:p>
      <w:pPr>
        <w:pageBreakBefore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合同履约期限：标项</w:t>
      </w:r>
      <w:r>
        <w:rPr>
          <w:rFonts w:hint="eastAsia" w:ascii="宋体" w:hAnsi="宋体" w:cs="宋体"/>
          <w:color w:val="000000"/>
          <w:kern w:val="0"/>
          <w:sz w:val="24"/>
          <w:szCs w:val="24"/>
          <w:highlight w:val="none"/>
          <w:lang w:val="en-US" w:eastAsia="zh-CN" w:bidi="ar-SA"/>
        </w:rPr>
        <w:t>二</w:t>
      </w:r>
      <w:r>
        <w:rPr>
          <w:rFonts w:hint="eastAsia" w:ascii="宋体" w:hAnsi="宋体" w:eastAsia="宋体" w:cs="宋体"/>
          <w:color w:val="000000"/>
          <w:kern w:val="0"/>
          <w:sz w:val="24"/>
          <w:szCs w:val="24"/>
          <w:highlight w:val="none"/>
          <w:lang w:val="en-US" w:eastAsia="zh-CN" w:bidi="ar-SA"/>
        </w:rPr>
        <w:t>：签订合同后45日内交付货物、安装并完成调试，采购人7日内组织初验，通过采购人初验后，试运行1个月，所供货物使用正常，满足采购人需求，采购人7日内出具最终验收意见。</w:t>
      </w:r>
    </w:p>
    <w:p>
      <w:pPr>
        <w:pStyle w:val="13"/>
        <w:pageBreakBefore w:val="0"/>
        <w:kinsoku/>
        <w:wordWrap/>
        <w:overflowPunct/>
        <w:topLinePunct w:val="0"/>
        <w:autoSpaceDE/>
        <w:autoSpaceDN/>
        <w:bidi w:val="0"/>
        <w:adjustRightInd/>
        <w:snapToGrid w:val="0"/>
        <w:spacing w:before="0" w:beforeAutospacing="0" w:after="0" w:afterAutospacing="0" w:line="360" w:lineRule="auto"/>
        <w:ind w:left="0" w:leftChars="0"/>
        <w:textAlignment w:val="auto"/>
        <w:rPr>
          <w:rFonts w:hint="eastAsia" w:ascii="宋体" w:hAnsi="宋体" w:eastAsia="宋体" w:cs="宋体"/>
          <w:b/>
          <w:bCs/>
          <w:color w:val="000000"/>
          <w:highlight w:val="none"/>
          <w:lang w:eastAsia="zh-CN"/>
        </w:rPr>
      </w:pPr>
      <w:r>
        <w:rPr>
          <w:rFonts w:hint="eastAsia" w:ascii="宋体" w:hAnsi="宋体" w:eastAsia="宋体" w:cs="宋体"/>
          <w:b/>
          <w:bCs/>
          <w:color w:val="000000"/>
          <w:highlight w:val="none"/>
          <w:lang w:eastAsia="zh-CN"/>
        </w:rPr>
        <w:t>标项</w:t>
      </w:r>
      <w:r>
        <w:rPr>
          <w:rFonts w:hint="eastAsia" w:cs="宋体"/>
          <w:b/>
          <w:bCs/>
          <w:color w:val="000000"/>
          <w:highlight w:val="none"/>
          <w:lang w:val="en-US" w:eastAsia="zh-CN"/>
        </w:rPr>
        <w:t>四</w:t>
      </w:r>
      <w:r>
        <w:rPr>
          <w:rFonts w:hint="eastAsia" w:ascii="宋体" w:hAnsi="宋体" w:eastAsia="宋体" w:cs="宋体"/>
          <w:b/>
          <w:bCs/>
          <w:color w:val="000000"/>
          <w:highlight w:val="none"/>
          <w:lang w:eastAsia="zh-CN"/>
        </w:rPr>
        <w:t>:</w:t>
      </w:r>
    </w:p>
    <w:p>
      <w:pPr>
        <w:pStyle w:val="13"/>
        <w:pageBreakBefore w:val="0"/>
        <w:kinsoku/>
        <w:wordWrap/>
        <w:overflowPunct/>
        <w:topLinePunct w:val="0"/>
        <w:autoSpaceDE/>
        <w:autoSpaceDN/>
        <w:bidi w:val="0"/>
        <w:adjustRightInd/>
        <w:snapToGrid w:val="0"/>
        <w:spacing w:before="0" w:beforeAutospacing="0" w:after="0" w:afterAutospacing="0" w:line="360" w:lineRule="auto"/>
        <w:ind w:left="0" w:leftChars="0" w:firstLine="480" w:firstLineChars="200"/>
        <w:textAlignment w:val="auto"/>
        <w:rPr>
          <w:rFonts w:hint="eastAsia" w:ascii="宋体" w:hAnsi="宋体" w:eastAsia="宋体" w:cs="宋体"/>
          <w:color w:val="000000"/>
          <w:highlight w:val="none"/>
          <w:lang w:eastAsia="zh-CN"/>
        </w:rPr>
      </w:pPr>
      <w:r>
        <w:rPr>
          <w:rFonts w:hint="eastAsia" w:ascii="宋体" w:hAnsi="宋体" w:eastAsia="宋体" w:cs="宋体"/>
          <w:color w:val="000000"/>
          <w:highlight w:val="none"/>
        </w:rPr>
        <w:t>标项名称:</w:t>
      </w:r>
      <w:r>
        <w:rPr>
          <w:rFonts w:hint="eastAsia" w:ascii="宋体" w:hAnsi="宋体" w:eastAsia="宋体" w:cs="宋体"/>
          <w:color w:val="000000"/>
          <w:highlight w:val="none"/>
          <w:lang w:eastAsia="zh-CN"/>
        </w:rPr>
        <w:t xml:space="preserve"> </w:t>
      </w:r>
      <w:r>
        <w:rPr>
          <w:rStyle w:val="29"/>
          <w:rFonts w:hint="eastAsia" w:cs="宋体"/>
          <w:highlight w:val="none"/>
          <w:lang w:val="en-US" w:eastAsia="zh-CN"/>
        </w:rPr>
        <w:t>第四包</w:t>
      </w:r>
    </w:p>
    <w:p>
      <w:pPr>
        <w:pStyle w:val="13"/>
        <w:pageBreakBefore w:val="0"/>
        <w:kinsoku/>
        <w:wordWrap/>
        <w:overflowPunct/>
        <w:topLinePunct w:val="0"/>
        <w:autoSpaceDE/>
        <w:autoSpaceDN/>
        <w:bidi w:val="0"/>
        <w:adjustRightInd/>
        <w:snapToGrid w:val="0"/>
        <w:spacing w:before="0" w:beforeAutospacing="0" w:after="0" w:afterAutospacing="0" w:line="360" w:lineRule="auto"/>
        <w:ind w:left="0" w:leftChars="0"/>
        <w:textAlignment w:val="auto"/>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eastAsia="zh-CN"/>
        </w:rPr>
        <w:t xml:space="preserve">  </w:t>
      </w:r>
      <w:r>
        <w:rPr>
          <w:rFonts w:hint="eastAsia" w:ascii="宋体" w:hAnsi="宋体" w:eastAsia="宋体" w:cs="宋体"/>
          <w:color w:val="000000"/>
          <w:highlight w:val="none"/>
        </w:rPr>
        <w:t xml:space="preserve"> </w:t>
      </w:r>
      <w:r>
        <w:rPr>
          <w:rFonts w:hint="eastAsia" w:ascii="宋体" w:hAnsi="宋体" w:eastAsia="宋体" w:cs="宋体"/>
          <w:color w:val="000000"/>
          <w:highlight w:val="none"/>
          <w:lang w:eastAsia="zh-CN"/>
        </w:rPr>
        <w:t xml:space="preserve"> </w:t>
      </w:r>
      <w:r>
        <w:rPr>
          <w:rFonts w:hint="eastAsia" w:ascii="宋体" w:hAnsi="宋体" w:eastAsia="宋体" w:cs="宋体"/>
          <w:color w:val="000000"/>
          <w:highlight w:val="none"/>
        </w:rPr>
        <w:t>数量:</w:t>
      </w:r>
      <w:r>
        <w:rPr>
          <w:rFonts w:hint="eastAsia" w:ascii="宋体" w:hAnsi="宋体" w:eastAsia="宋体" w:cs="宋体"/>
          <w:highlight w:val="none"/>
        </w:rPr>
        <w:t xml:space="preserve"> </w:t>
      </w:r>
      <w:r>
        <w:rPr>
          <w:rFonts w:hint="eastAsia" w:ascii="宋体" w:hAnsi="宋体" w:eastAsia="宋体" w:cs="宋体"/>
          <w:color w:val="000000"/>
          <w:highlight w:val="none"/>
          <w:lang w:val="en-US" w:eastAsia="zh-CN"/>
        </w:rPr>
        <w:t>1</w:t>
      </w:r>
      <w:r>
        <w:rPr>
          <w:rFonts w:hint="eastAsia" w:cs="宋体"/>
          <w:color w:val="000000"/>
          <w:highlight w:val="none"/>
          <w:lang w:val="en-US" w:eastAsia="zh-CN"/>
        </w:rPr>
        <w:t>批</w:t>
      </w:r>
    </w:p>
    <w:p>
      <w:pPr>
        <w:pageBreakBefore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预算金额（元）:1613500</w:t>
      </w:r>
      <w:r>
        <w:rPr>
          <w:rFonts w:hint="eastAsia" w:ascii="宋体" w:hAnsi="宋体" w:cs="宋体"/>
          <w:color w:val="000000"/>
          <w:kern w:val="0"/>
          <w:sz w:val="24"/>
          <w:szCs w:val="24"/>
          <w:highlight w:val="none"/>
          <w:lang w:val="en-US" w:eastAsia="zh-CN" w:bidi="ar-SA"/>
        </w:rPr>
        <w:t>.00</w:t>
      </w:r>
      <w:r>
        <w:rPr>
          <w:rFonts w:hint="eastAsia" w:ascii="宋体" w:hAnsi="宋体" w:eastAsia="宋体" w:cs="宋体"/>
          <w:color w:val="000000"/>
          <w:kern w:val="0"/>
          <w:sz w:val="24"/>
          <w:szCs w:val="24"/>
          <w:highlight w:val="none"/>
          <w:lang w:val="en-US" w:eastAsia="zh-CN" w:bidi="ar-SA"/>
        </w:rPr>
        <w:t>；</w:t>
      </w:r>
    </w:p>
    <w:p>
      <w:pPr>
        <w:pStyle w:val="13"/>
        <w:pageBreakBefore w:val="0"/>
        <w:kinsoku/>
        <w:wordWrap/>
        <w:overflowPunct/>
        <w:topLinePunct w:val="0"/>
        <w:autoSpaceDE/>
        <w:autoSpaceDN/>
        <w:bidi w:val="0"/>
        <w:adjustRightInd/>
        <w:snapToGrid w:val="0"/>
        <w:spacing w:before="0" w:beforeAutospacing="0" w:after="0" w:afterAutospacing="0" w:line="360" w:lineRule="auto"/>
        <w:ind w:left="0" w:leftChars="0" w:firstLine="480" w:firstLineChars="200"/>
        <w:textAlignment w:val="auto"/>
        <w:rPr>
          <w:rFonts w:hint="default" w:ascii="宋体" w:hAnsi="宋体" w:eastAsia="宋体" w:cs="宋体"/>
          <w:color w:val="000000"/>
          <w:highlight w:val="none"/>
          <w:lang w:val="en-US" w:eastAsia="zh-CN"/>
        </w:rPr>
      </w:pPr>
      <w:r>
        <w:rPr>
          <w:rFonts w:hint="eastAsia" w:ascii="宋体" w:hAnsi="宋体" w:eastAsia="宋体" w:cs="宋体"/>
          <w:color w:val="000000"/>
          <w:highlight w:val="none"/>
        </w:rPr>
        <w:t>简要规格描述或项目基本概况介绍、用途：</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凿岩机</w:t>
      </w:r>
      <w:r>
        <w:rPr>
          <w:rFonts w:hint="eastAsia" w:cs="宋体"/>
          <w:b w:val="0"/>
          <w:bCs w:val="0"/>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手动破拆工具组</w:t>
      </w:r>
      <w:r>
        <w:rPr>
          <w:rFonts w:hint="eastAsia" w:cs="宋体"/>
          <w:b w:val="0"/>
          <w:bCs w:val="0"/>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玻璃破碎器</w:t>
      </w:r>
      <w:r>
        <w:rPr>
          <w:rFonts w:hint="eastAsia" w:cs="宋体"/>
          <w:b w:val="0"/>
          <w:bCs w:val="0"/>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哈利根铁铤</w:t>
      </w:r>
      <w:r>
        <w:rPr>
          <w:rFonts w:hint="eastAsia" w:cs="宋体"/>
          <w:b w:val="0"/>
          <w:bCs w:val="0"/>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开缝器</w:t>
      </w:r>
      <w:r>
        <w:rPr>
          <w:rFonts w:hint="eastAsia" w:cs="宋体"/>
          <w:b w:val="0"/>
          <w:bCs w:val="0"/>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液压钻孔机</w:t>
      </w:r>
      <w:r>
        <w:rPr>
          <w:rFonts w:hint="eastAsia" w:cs="宋体"/>
          <w:b w:val="0"/>
          <w:bCs w:val="0"/>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门锁破拆工具组</w:t>
      </w:r>
      <w:r>
        <w:rPr>
          <w:rFonts w:hint="eastAsia" w:cs="宋体"/>
          <w:b w:val="0"/>
          <w:bCs w:val="0"/>
          <w:i w:val="0"/>
          <w:iCs w:val="0"/>
          <w:color w:val="000000" w:themeColor="text1"/>
          <w:kern w:val="0"/>
          <w:sz w:val="24"/>
          <w:szCs w:val="24"/>
          <w:highlight w:val="none"/>
          <w:u w:val="none"/>
          <w:lang w:val="en-US" w:eastAsia="zh-CN" w:bidi="ar"/>
          <w14:textFill>
            <w14:solidFill>
              <w14:schemeClr w14:val="tx1"/>
            </w14:solidFill>
          </w14:textFill>
        </w:rPr>
        <w:t>。</w:t>
      </w:r>
    </w:p>
    <w:p>
      <w:pPr>
        <w:pageBreakBefore w:val="0"/>
        <w:kinsoku/>
        <w:wordWrap/>
        <w:overflowPunct/>
        <w:topLinePunct w:val="0"/>
        <w:autoSpaceDE/>
        <w:autoSpaceDN/>
        <w:bidi w:val="0"/>
        <w:adjustRightInd/>
        <w:snapToGrid w:val="0"/>
        <w:spacing w:line="360" w:lineRule="auto"/>
        <w:ind w:left="0" w:leftChars="0" w:firstLine="480" w:firstLineChars="200"/>
        <w:jc w:val="left"/>
        <w:textAlignment w:val="auto"/>
        <w:rPr>
          <w:rFonts w:ascii="宋体" w:hAnsi="宋体" w:cs="宋体"/>
          <w:sz w:val="24"/>
          <w:szCs w:val="24"/>
          <w:highlight w:val="none"/>
        </w:rPr>
      </w:pPr>
      <w:r>
        <w:rPr>
          <w:rFonts w:hint="eastAsia" w:ascii="宋体" w:hAnsi="宋体" w:eastAsia="宋体" w:cs="宋体"/>
          <w:color w:val="000000"/>
          <w:kern w:val="0"/>
          <w:sz w:val="24"/>
          <w:szCs w:val="24"/>
          <w:highlight w:val="none"/>
          <w:lang w:val="en-US" w:eastAsia="zh-CN" w:bidi="ar-SA"/>
        </w:rPr>
        <w:t>合同履约期限：标项</w:t>
      </w:r>
      <w:r>
        <w:rPr>
          <w:rFonts w:hint="eastAsia" w:ascii="宋体" w:hAnsi="宋体" w:cs="宋体"/>
          <w:color w:val="000000"/>
          <w:kern w:val="0"/>
          <w:sz w:val="24"/>
          <w:szCs w:val="24"/>
          <w:highlight w:val="none"/>
          <w:lang w:val="en-US" w:eastAsia="zh-CN" w:bidi="ar-SA"/>
        </w:rPr>
        <w:t>四；</w:t>
      </w:r>
      <w:r>
        <w:rPr>
          <w:rFonts w:hint="eastAsia" w:ascii="宋体" w:hAnsi="宋体" w:eastAsia="宋体" w:cs="宋体"/>
          <w:color w:val="000000"/>
          <w:kern w:val="0"/>
          <w:sz w:val="24"/>
          <w:szCs w:val="24"/>
          <w:highlight w:val="none"/>
          <w:lang w:val="en-US" w:eastAsia="zh-CN" w:bidi="ar-SA"/>
        </w:rPr>
        <w:t>签订合同后45日内交付货物、安装并完成调试，采购人7日内组织初验，通过采购人初验后，试运行1个月，所供货物使用正常，满足采购人需求，采购人7日内出具最终验收意见。</w:t>
      </w:r>
    </w:p>
    <w:p>
      <w:pPr>
        <w:pageBreakBefore w:val="0"/>
        <w:kinsoku/>
        <w:wordWrap/>
        <w:overflowPunct/>
        <w:topLinePunct w:val="0"/>
        <w:autoSpaceDE/>
        <w:autoSpaceDN/>
        <w:bidi w:val="0"/>
        <w:adjustRightInd/>
        <w:snapToGrid w:val="0"/>
        <w:spacing w:line="360" w:lineRule="auto"/>
        <w:ind w:left="0" w:leftChars="0" w:firstLine="482" w:firstLineChars="200"/>
        <w:jc w:val="left"/>
        <w:textAlignment w:val="auto"/>
        <w:rPr>
          <w:rFonts w:ascii="宋体" w:hAnsi="宋体" w:cs="宋体"/>
          <w:color w:val="auto"/>
          <w:sz w:val="30"/>
          <w:szCs w:val="30"/>
          <w:highlight w:val="none"/>
        </w:rPr>
      </w:pPr>
      <w:r>
        <w:rPr>
          <w:rFonts w:hint="eastAsia" w:ascii="宋体" w:hAnsi="宋体" w:cs="宋体"/>
          <w:b/>
          <w:bCs/>
          <w:color w:val="auto"/>
          <w:sz w:val="24"/>
          <w:szCs w:val="24"/>
          <w:highlight w:val="none"/>
        </w:rPr>
        <w:t>本项目不接受联合体投标</w:t>
      </w:r>
      <w:r>
        <w:rPr>
          <w:rFonts w:hint="eastAsia" w:ascii="宋体" w:hAnsi="宋体" w:cs="宋体"/>
          <w:color w:val="auto"/>
          <w:sz w:val="24"/>
          <w:szCs w:val="24"/>
          <w:highlight w:val="none"/>
        </w:rPr>
        <w:t>。</w:t>
      </w:r>
    </w:p>
    <w:p>
      <w:pPr>
        <w:pStyle w:val="4"/>
        <w:pageBreakBefore w:val="0"/>
        <w:kinsoku/>
        <w:wordWrap/>
        <w:overflowPunct/>
        <w:topLinePunct w:val="0"/>
        <w:autoSpaceDE/>
        <w:autoSpaceDN/>
        <w:bidi w:val="0"/>
        <w:adjustRightInd/>
        <w:snapToGrid w:val="0"/>
        <w:spacing w:before="0" w:after="0" w:line="360" w:lineRule="auto"/>
        <w:ind w:left="0" w:leftChars="0"/>
        <w:textAlignment w:val="auto"/>
        <w:rPr>
          <w:sz w:val="30"/>
          <w:szCs w:val="30"/>
          <w:highlight w:val="none"/>
        </w:rPr>
      </w:pPr>
      <w:r>
        <w:rPr>
          <w:rFonts w:hint="eastAsia"/>
          <w:sz w:val="30"/>
          <w:szCs w:val="30"/>
          <w:highlight w:val="none"/>
        </w:rPr>
        <w:t>二、申请人的资格要求</w:t>
      </w:r>
    </w:p>
    <w:p>
      <w:pPr>
        <w:pageBreakBefore w:val="0"/>
        <w:numPr>
          <w:ilvl w:val="0"/>
          <w:numId w:val="0"/>
        </w:numPr>
        <w:kinsoku/>
        <w:wordWrap/>
        <w:overflowPunct/>
        <w:topLinePunct w:val="0"/>
        <w:autoSpaceDE/>
        <w:autoSpaceDN/>
        <w:bidi w:val="0"/>
        <w:adjustRightInd/>
        <w:snapToGrid w:val="0"/>
        <w:spacing w:line="360" w:lineRule="auto"/>
        <w:ind w:left="0" w:leftChars="0" w:firstLine="482" w:firstLineChars="200"/>
        <w:textAlignment w:val="auto"/>
        <w:rPr>
          <w:rFonts w:hint="eastAsia" w:ascii="宋体" w:hAnsi="宋体" w:eastAsia="宋体" w:cs="宋体"/>
          <w:b/>
          <w:bCs/>
          <w:sz w:val="24"/>
          <w:szCs w:val="24"/>
          <w:highlight w:val="none"/>
          <w:lang w:val="zh-CN"/>
        </w:rPr>
      </w:pPr>
      <w:r>
        <w:rPr>
          <w:rFonts w:hint="eastAsia" w:ascii="宋体" w:hAnsi="宋体" w:eastAsia="宋体" w:cs="宋体"/>
          <w:b/>
          <w:bCs/>
          <w:kern w:val="2"/>
          <w:sz w:val="24"/>
          <w:szCs w:val="24"/>
          <w:highlight w:val="none"/>
          <w:lang w:val="en-US" w:eastAsia="zh-CN" w:bidi="ar-SA"/>
        </w:rPr>
        <w:t>1.</w:t>
      </w:r>
      <w:r>
        <w:rPr>
          <w:rFonts w:hint="eastAsia" w:ascii="宋体" w:hAnsi="宋体" w:eastAsia="宋体" w:cs="宋体"/>
          <w:b/>
          <w:bCs/>
          <w:sz w:val="24"/>
          <w:szCs w:val="24"/>
          <w:highlight w:val="none"/>
          <w:lang w:val="zh-CN"/>
        </w:rPr>
        <w:t>满足《中华人民共和国政府采购法》第二十二条规定；</w:t>
      </w:r>
    </w:p>
    <w:p>
      <w:pPr>
        <w:pStyle w:val="13"/>
        <w:pageBreakBefore w:val="0"/>
        <w:kinsoku/>
        <w:wordWrap/>
        <w:overflowPunct/>
        <w:topLinePunct w:val="0"/>
        <w:autoSpaceDE/>
        <w:autoSpaceDN/>
        <w:bidi w:val="0"/>
        <w:adjustRightInd/>
        <w:snapToGrid w:val="0"/>
        <w:spacing w:before="0" w:beforeAutospacing="0" w:after="0" w:afterAutospacing="0" w:line="360" w:lineRule="auto"/>
        <w:ind w:left="0" w:leftChars="0" w:firstLine="482" w:firstLineChars="200"/>
        <w:textAlignment w:val="auto"/>
        <w:rPr>
          <w:rFonts w:hint="eastAsia" w:ascii="宋体" w:hAnsi="宋体" w:eastAsia="宋体" w:cs="宋体"/>
          <w:highlight w:val="none"/>
          <w:lang w:eastAsia="zh-CN"/>
        </w:rPr>
      </w:pPr>
      <w:r>
        <w:rPr>
          <w:rFonts w:hint="eastAsia" w:ascii="宋体" w:hAnsi="宋体" w:eastAsia="宋体" w:cs="宋体"/>
          <w:b/>
          <w:bCs/>
          <w:highlight w:val="none"/>
        </w:rPr>
        <w:t>2.落实政府采购政策需满足的资格要求：</w:t>
      </w:r>
      <w:r>
        <w:rPr>
          <w:rFonts w:hint="eastAsia"/>
          <w:color w:val="auto"/>
          <w:highlight w:val="none"/>
          <w:lang w:val="en-US" w:eastAsia="zh-CN"/>
        </w:rPr>
        <w:t>1）</w:t>
      </w:r>
      <w:r>
        <w:rPr>
          <w:rFonts w:hint="eastAsia"/>
          <w:color w:val="auto"/>
          <w:highlight w:val="none"/>
          <w:lang w:val="zh-CN"/>
        </w:rPr>
        <w:t>本项目</w:t>
      </w:r>
      <w:r>
        <w:rPr>
          <w:rFonts w:hint="eastAsia"/>
          <w:color w:val="auto"/>
          <w:highlight w:val="none"/>
          <w:lang w:val="en-US" w:eastAsia="zh-CN"/>
        </w:rPr>
        <w:t>第一包、第二包、第四包为</w:t>
      </w:r>
      <w:r>
        <w:rPr>
          <w:rFonts w:hint="eastAsia"/>
          <w:color w:val="auto"/>
          <w:highlight w:val="none"/>
          <w:lang w:val="zh-CN"/>
        </w:rPr>
        <w:t>专门面向</w:t>
      </w:r>
      <w:r>
        <w:rPr>
          <w:rFonts w:hint="eastAsia"/>
          <w:color w:val="auto"/>
          <w:highlight w:val="none"/>
          <w:lang w:val="en-US" w:eastAsia="zh-CN"/>
        </w:rPr>
        <w:t>小微</w:t>
      </w:r>
      <w:r>
        <w:rPr>
          <w:rFonts w:hint="eastAsia"/>
          <w:color w:val="auto"/>
          <w:highlight w:val="none"/>
          <w:lang w:val="zh-CN"/>
        </w:rPr>
        <w:t>企业采购，</w:t>
      </w:r>
      <w:r>
        <w:rPr>
          <w:rFonts w:hint="eastAsia"/>
          <w:color w:val="auto"/>
          <w:highlight w:val="none"/>
          <w:lang w:val="en-US" w:eastAsia="zh-CN"/>
        </w:rPr>
        <w:t>第三包为</w:t>
      </w:r>
      <w:r>
        <w:rPr>
          <w:rFonts w:hint="eastAsia"/>
          <w:color w:val="auto"/>
          <w:highlight w:val="none"/>
          <w:lang w:val="zh-CN"/>
        </w:rPr>
        <w:t>专门面向</w:t>
      </w:r>
      <w:r>
        <w:rPr>
          <w:rFonts w:hint="eastAsia"/>
          <w:color w:val="auto"/>
          <w:highlight w:val="none"/>
          <w:lang w:val="en-US" w:eastAsia="zh-CN"/>
        </w:rPr>
        <w:t>中小</w:t>
      </w:r>
      <w:r>
        <w:rPr>
          <w:rFonts w:hint="eastAsia"/>
          <w:color w:val="auto"/>
          <w:highlight w:val="none"/>
          <w:lang w:val="zh-CN"/>
        </w:rPr>
        <w:t>企业采购。2）落实《关于调整优化节能产品、环境标志产品政府采购执行机制的通知》（财库[2019]9号）、财政部《关于进一步加大政府采购支持中小企业力度的通知》（财库〔2022</w:t>
      </w:r>
      <w:r>
        <w:rPr>
          <w:rFonts w:hint="eastAsia"/>
          <w:highlight w:val="none"/>
          <w:lang w:val="zh-CN"/>
        </w:rPr>
        <w:t>〕19号）、关于印发《政府采购促进中小企业发展管理办法》的通知（财库[2020]46号）、《财政部、司法部关于政府采购支持监狱企业发展有关问题的通知》（财库[2014]68号）和《关于促进残疾人就业政府采购政策的通知》（财库[2017]141号）等政府采购政策。</w:t>
      </w:r>
    </w:p>
    <w:p>
      <w:pPr>
        <w:pStyle w:val="13"/>
        <w:pageBreakBefore w:val="0"/>
        <w:kinsoku/>
        <w:wordWrap/>
        <w:overflowPunct/>
        <w:topLinePunct w:val="0"/>
        <w:autoSpaceDE/>
        <w:autoSpaceDN/>
        <w:bidi w:val="0"/>
        <w:adjustRightInd/>
        <w:snapToGrid w:val="0"/>
        <w:spacing w:before="0" w:beforeAutospacing="0" w:after="0" w:afterAutospacing="0" w:line="360" w:lineRule="auto"/>
        <w:ind w:left="0" w:leftChars="0" w:firstLine="482" w:firstLineChars="200"/>
        <w:textAlignment w:val="auto"/>
        <w:rPr>
          <w:rFonts w:hint="eastAsia" w:ascii="宋体" w:hAnsi="宋体" w:eastAsia="宋体" w:cs="宋体"/>
          <w:b/>
          <w:bCs/>
          <w:highlight w:val="none"/>
        </w:rPr>
      </w:pPr>
      <w:r>
        <w:rPr>
          <w:rFonts w:hint="eastAsia" w:ascii="宋体" w:hAnsi="宋体" w:eastAsia="宋体" w:cs="宋体"/>
          <w:b/>
          <w:bCs/>
          <w:highlight w:val="none"/>
        </w:rPr>
        <w:t>3.本项目的特定资格要求:</w:t>
      </w:r>
    </w:p>
    <w:p>
      <w:pPr>
        <w:pStyle w:val="13"/>
        <w:pageBreakBefore w:val="0"/>
        <w:kinsoku/>
        <w:wordWrap/>
        <w:overflowPunct/>
        <w:topLinePunct w:val="0"/>
        <w:autoSpaceDE/>
        <w:autoSpaceDN/>
        <w:bidi w:val="0"/>
        <w:adjustRightInd/>
        <w:snapToGrid w:val="0"/>
        <w:spacing w:before="0" w:beforeAutospacing="0" w:after="0" w:afterAutospacing="0" w:line="360" w:lineRule="auto"/>
        <w:ind w:left="0" w:leftChars="0" w:firstLine="480" w:firstLineChars="200"/>
        <w:textAlignment w:val="auto"/>
        <w:rPr>
          <w:rFonts w:hint="eastAsia" w:ascii="宋体" w:hAnsi="宋体" w:eastAsia="宋体" w:cs="宋体"/>
          <w:highlight w:val="none"/>
        </w:rPr>
      </w:pPr>
      <w:r>
        <w:rPr>
          <w:rFonts w:hint="eastAsia" w:ascii="宋体" w:hAnsi="宋体" w:eastAsia="宋体" w:cs="宋体"/>
          <w:highlight w:val="none"/>
        </w:rPr>
        <w:t>3.1与</w:t>
      </w:r>
      <w:r>
        <w:rPr>
          <w:rFonts w:hint="eastAsia" w:cs="宋体"/>
          <w:highlight w:val="none"/>
          <w:lang w:eastAsia="zh-CN"/>
        </w:rPr>
        <w:t>采购人</w:t>
      </w:r>
      <w:r>
        <w:rPr>
          <w:rFonts w:hint="eastAsia" w:ascii="宋体" w:hAnsi="宋体" w:eastAsia="宋体" w:cs="宋体"/>
          <w:highlight w:val="none"/>
        </w:rPr>
        <w:t>存在利害关系可能影响招标公正性的法人、其他组织或者个人，不得参加同一标段投标或者未划分标段的同一招标不得参加投标；</w:t>
      </w:r>
    </w:p>
    <w:p>
      <w:pPr>
        <w:pStyle w:val="13"/>
        <w:pageBreakBefore w:val="0"/>
        <w:kinsoku/>
        <w:wordWrap/>
        <w:overflowPunct/>
        <w:topLinePunct w:val="0"/>
        <w:autoSpaceDE/>
        <w:autoSpaceDN/>
        <w:bidi w:val="0"/>
        <w:adjustRightInd/>
        <w:snapToGrid w:val="0"/>
        <w:spacing w:before="0" w:beforeAutospacing="0" w:after="0" w:afterAutospacing="0" w:line="360" w:lineRule="auto"/>
        <w:ind w:left="0" w:leftChars="0" w:firstLine="480" w:firstLineChars="200"/>
        <w:textAlignment w:val="auto"/>
        <w:rPr>
          <w:rFonts w:hint="eastAsia" w:ascii="宋体" w:hAnsi="宋体" w:eastAsia="宋体" w:cs="宋体"/>
          <w:highlight w:val="none"/>
          <w:lang w:val="zh-CN"/>
        </w:rPr>
      </w:pPr>
      <w:r>
        <w:rPr>
          <w:rFonts w:hint="eastAsia" w:ascii="宋体" w:hAnsi="宋体" w:eastAsia="宋体" w:cs="宋体"/>
          <w:highlight w:val="none"/>
        </w:rPr>
        <w:t>3.2</w:t>
      </w:r>
      <w:r>
        <w:rPr>
          <w:rFonts w:hint="eastAsia" w:ascii="宋体" w:hAnsi="宋体" w:eastAsia="宋体" w:cs="宋体"/>
          <w:highlight w:val="none"/>
          <w:lang w:val="zh-CN"/>
        </w:rPr>
        <w:t xml:space="preserve"> </w:t>
      </w:r>
      <w:r>
        <w:rPr>
          <w:rFonts w:hint="eastAsia" w:cs="宋体"/>
          <w:highlight w:val="none"/>
          <w:lang w:val="zh-CN"/>
        </w:rPr>
        <w:t>供应商</w:t>
      </w:r>
      <w:r>
        <w:rPr>
          <w:rFonts w:hint="eastAsia" w:ascii="宋体" w:hAnsi="宋体" w:eastAsia="宋体" w:cs="宋体"/>
          <w:highlight w:val="none"/>
          <w:lang w:val="zh-CN"/>
        </w:rPr>
        <w:t>负责人为同一人或者存在控股、管理关系的不同单位，不得同时参加本项目的投标。</w:t>
      </w:r>
    </w:p>
    <w:p>
      <w:pPr>
        <w:pStyle w:val="13"/>
        <w:pageBreakBefore w:val="0"/>
        <w:kinsoku/>
        <w:wordWrap/>
        <w:overflowPunct/>
        <w:topLinePunct w:val="0"/>
        <w:autoSpaceDE/>
        <w:autoSpaceDN/>
        <w:bidi w:val="0"/>
        <w:adjustRightInd/>
        <w:snapToGrid w:val="0"/>
        <w:spacing w:before="0" w:beforeAutospacing="0" w:after="0" w:afterAutospacing="0" w:line="360" w:lineRule="auto"/>
        <w:ind w:left="0" w:leftChars="0" w:firstLine="480" w:firstLineChars="200"/>
        <w:textAlignment w:val="auto"/>
        <w:rPr>
          <w:rFonts w:hint="eastAsia" w:ascii="宋体" w:hAnsi="宋体" w:eastAsia="宋体" w:cs="宋体"/>
          <w:highlight w:val="none"/>
          <w:lang w:val="zh-CN"/>
        </w:rPr>
      </w:pPr>
      <w:r>
        <w:rPr>
          <w:rFonts w:hint="eastAsia" w:ascii="宋体" w:hAnsi="宋体" w:eastAsia="宋体" w:cs="宋体"/>
          <w:highlight w:val="none"/>
          <w:lang w:val="zh-CN"/>
        </w:rPr>
        <w:t>3.3 根据《财政部关于在政府采购活动中查询及使用信用记录有关问题的通知》（财库﹝2016﹞125号）的要求，凡拟参加本次招标项目的投标</w:t>
      </w:r>
      <w:r>
        <w:rPr>
          <w:rFonts w:hint="eastAsia" w:cs="宋体"/>
          <w:highlight w:val="none"/>
          <w:lang w:val="zh-CN"/>
        </w:rPr>
        <w:t>供应商</w:t>
      </w:r>
      <w:r>
        <w:rPr>
          <w:rFonts w:hint="eastAsia" w:ascii="宋体" w:hAnsi="宋体" w:eastAsia="宋体" w:cs="宋体"/>
          <w:highlight w:val="none"/>
          <w:lang w:val="zh-CN"/>
        </w:rPr>
        <w:t>，如在“信用中国”网（www.creditchina.gov.cn）、中国政府采购网（www.ccgp.gov.cn）列入失信被执行人、</w:t>
      </w:r>
      <w:r>
        <w:rPr>
          <w:rFonts w:hint="eastAsia" w:cs="宋体"/>
          <w:highlight w:val="none"/>
          <w:lang w:val="zh-CN"/>
        </w:rPr>
        <w:t>重大税收违法失信主体</w:t>
      </w:r>
      <w:r>
        <w:rPr>
          <w:rFonts w:hint="eastAsia" w:ascii="宋体" w:hAnsi="宋体" w:eastAsia="宋体" w:cs="宋体"/>
          <w:highlight w:val="none"/>
          <w:lang w:val="zh-CN"/>
        </w:rPr>
        <w:t>、政府采购严重违法失信行为记录名单的（尚在处罚期内的），将拒绝其参加本次项目投标。</w:t>
      </w:r>
    </w:p>
    <w:p>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4.本项目不接受联合体投标。</w:t>
      </w:r>
    </w:p>
    <w:p>
      <w:pPr>
        <w:pStyle w:val="4"/>
        <w:pageBreakBefore w:val="0"/>
        <w:kinsoku/>
        <w:wordWrap/>
        <w:overflowPunct/>
        <w:topLinePunct w:val="0"/>
        <w:autoSpaceDE/>
        <w:autoSpaceDN/>
        <w:bidi w:val="0"/>
        <w:adjustRightInd/>
        <w:snapToGrid w:val="0"/>
        <w:spacing w:before="0" w:after="0" w:line="360" w:lineRule="auto"/>
        <w:ind w:left="0" w:leftChars="0"/>
        <w:textAlignment w:val="auto"/>
        <w:rPr>
          <w:sz w:val="30"/>
          <w:szCs w:val="30"/>
          <w:highlight w:val="none"/>
        </w:rPr>
      </w:pPr>
      <w:r>
        <w:rPr>
          <w:rFonts w:hint="eastAsia"/>
          <w:sz w:val="30"/>
          <w:szCs w:val="30"/>
          <w:highlight w:val="none"/>
        </w:rPr>
        <w:t>三、获取招标文件</w:t>
      </w:r>
    </w:p>
    <w:p>
      <w:pPr>
        <w:pStyle w:val="13"/>
        <w:pageBreakBefore w:val="0"/>
        <w:kinsoku/>
        <w:wordWrap/>
        <w:overflowPunct/>
        <w:topLinePunct w:val="0"/>
        <w:autoSpaceDE/>
        <w:autoSpaceDN/>
        <w:bidi w:val="0"/>
        <w:adjustRightInd/>
        <w:snapToGrid w:val="0"/>
        <w:spacing w:before="0" w:beforeAutospacing="0" w:after="0" w:afterAutospacing="0" w:line="360" w:lineRule="auto"/>
        <w:ind w:left="0" w:leftChars="0" w:firstLine="480" w:firstLineChars="200"/>
        <w:textAlignment w:val="auto"/>
        <w:rPr>
          <w:rFonts w:hint="eastAsia" w:ascii="宋体" w:hAnsi="宋体" w:eastAsia="宋体" w:cs="宋体"/>
          <w:color w:val="000000"/>
          <w:highlight w:val="none"/>
          <w:lang w:eastAsia="zh-CN"/>
        </w:rPr>
      </w:pPr>
      <w:r>
        <w:rPr>
          <w:rFonts w:hint="eastAsia" w:ascii="宋体" w:hAnsi="宋体" w:eastAsia="宋体" w:cs="宋体"/>
          <w:color w:val="000000"/>
          <w:highlight w:val="none"/>
          <w:lang w:eastAsia="zh-CN"/>
        </w:rPr>
        <w:t>时间：202</w:t>
      </w:r>
      <w:r>
        <w:rPr>
          <w:rFonts w:hint="eastAsia" w:cs="宋体"/>
          <w:color w:val="000000"/>
          <w:highlight w:val="none"/>
          <w:lang w:val="en-US" w:eastAsia="zh-CN"/>
        </w:rPr>
        <w:t>4</w:t>
      </w:r>
      <w:r>
        <w:rPr>
          <w:rFonts w:hint="eastAsia" w:ascii="宋体" w:hAnsi="宋体" w:eastAsia="宋体" w:cs="宋体"/>
          <w:color w:val="000000"/>
          <w:highlight w:val="none"/>
          <w:lang w:eastAsia="zh-CN"/>
        </w:rPr>
        <w:t>年</w:t>
      </w:r>
      <w:r>
        <w:rPr>
          <w:rFonts w:hint="eastAsia" w:cs="宋体"/>
          <w:color w:val="000000"/>
          <w:highlight w:val="none"/>
          <w:lang w:val="en-US" w:eastAsia="zh-CN"/>
        </w:rPr>
        <w:t>03</w:t>
      </w:r>
      <w:r>
        <w:rPr>
          <w:rFonts w:hint="eastAsia" w:ascii="宋体" w:hAnsi="宋体" w:eastAsia="宋体" w:cs="宋体"/>
          <w:color w:val="000000"/>
          <w:highlight w:val="none"/>
          <w:lang w:eastAsia="zh-CN"/>
        </w:rPr>
        <w:t>月</w:t>
      </w:r>
      <w:r>
        <w:rPr>
          <w:rFonts w:hint="eastAsia" w:cs="宋体"/>
          <w:color w:val="000000"/>
          <w:highlight w:val="none"/>
          <w:lang w:val="en-US" w:eastAsia="zh-CN"/>
        </w:rPr>
        <w:t>30</w:t>
      </w:r>
      <w:r>
        <w:rPr>
          <w:rFonts w:hint="eastAsia" w:ascii="宋体" w:hAnsi="宋体" w:eastAsia="宋体" w:cs="宋体"/>
          <w:color w:val="000000"/>
          <w:highlight w:val="none"/>
          <w:lang w:eastAsia="zh-CN"/>
        </w:rPr>
        <w:t>日至202</w:t>
      </w:r>
      <w:r>
        <w:rPr>
          <w:rFonts w:hint="eastAsia" w:ascii="宋体" w:hAnsi="宋体" w:eastAsia="宋体" w:cs="宋体"/>
          <w:color w:val="000000"/>
          <w:highlight w:val="none"/>
          <w:lang w:val="en-US" w:eastAsia="zh-CN"/>
        </w:rPr>
        <w:t>3</w:t>
      </w:r>
      <w:r>
        <w:rPr>
          <w:rFonts w:hint="eastAsia" w:ascii="宋体" w:hAnsi="宋体" w:eastAsia="宋体" w:cs="宋体"/>
          <w:color w:val="000000"/>
          <w:highlight w:val="none"/>
          <w:lang w:eastAsia="zh-CN"/>
        </w:rPr>
        <w:t>年</w:t>
      </w:r>
      <w:r>
        <w:rPr>
          <w:rFonts w:hint="eastAsia" w:cs="宋体"/>
          <w:color w:val="000000"/>
          <w:highlight w:val="none"/>
          <w:lang w:val="en-US" w:eastAsia="zh-CN"/>
        </w:rPr>
        <w:t>04</w:t>
      </w:r>
      <w:r>
        <w:rPr>
          <w:rFonts w:hint="eastAsia" w:ascii="宋体" w:hAnsi="宋体" w:eastAsia="宋体" w:cs="宋体"/>
          <w:color w:val="000000"/>
          <w:highlight w:val="none"/>
          <w:lang w:eastAsia="zh-CN"/>
        </w:rPr>
        <w:t>月</w:t>
      </w:r>
      <w:r>
        <w:rPr>
          <w:rFonts w:hint="eastAsia" w:ascii="宋体" w:hAnsi="宋体" w:eastAsia="宋体" w:cs="宋体"/>
          <w:color w:val="000000"/>
          <w:highlight w:val="none"/>
          <w:lang w:val="en-US" w:eastAsia="zh-CN"/>
        </w:rPr>
        <w:t>0</w:t>
      </w:r>
      <w:r>
        <w:rPr>
          <w:rFonts w:hint="eastAsia" w:cs="宋体"/>
          <w:color w:val="000000"/>
          <w:highlight w:val="none"/>
          <w:lang w:val="en-US" w:eastAsia="zh-CN"/>
        </w:rPr>
        <w:t>8</w:t>
      </w:r>
      <w:r>
        <w:rPr>
          <w:rFonts w:hint="eastAsia" w:ascii="宋体" w:hAnsi="宋体" w:eastAsia="宋体" w:cs="宋体"/>
          <w:color w:val="000000"/>
          <w:highlight w:val="none"/>
          <w:lang w:eastAsia="zh-CN"/>
        </w:rPr>
        <w:t>日，每天上午</w:t>
      </w:r>
      <w:r>
        <w:rPr>
          <w:rFonts w:hint="eastAsia" w:cs="宋体"/>
          <w:color w:val="000000"/>
          <w:highlight w:val="none"/>
          <w:lang w:val="en-US" w:eastAsia="zh-CN"/>
        </w:rPr>
        <w:t>00</w:t>
      </w:r>
      <w:r>
        <w:rPr>
          <w:rFonts w:hint="eastAsia" w:ascii="宋体" w:hAnsi="宋体" w:eastAsia="宋体" w:cs="宋体"/>
          <w:color w:val="000000"/>
          <w:highlight w:val="none"/>
          <w:lang w:eastAsia="zh-CN"/>
        </w:rPr>
        <w:t>:00至</w:t>
      </w:r>
      <w:r>
        <w:rPr>
          <w:rFonts w:hint="eastAsia" w:cs="宋体"/>
          <w:color w:val="000000"/>
          <w:highlight w:val="none"/>
          <w:lang w:val="en-US" w:eastAsia="zh-CN"/>
        </w:rPr>
        <w:t>14</w:t>
      </w:r>
      <w:r>
        <w:rPr>
          <w:rFonts w:hint="eastAsia" w:ascii="宋体" w:hAnsi="宋体" w:eastAsia="宋体" w:cs="宋体"/>
          <w:color w:val="000000"/>
          <w:highlight w:val="none"/>
          <w:lang w:eastAsia="zh-CN"/>
        </w:rPr>
        <w:t>:</w:t>
      </w:r>
      <w:r>
        <w:rPr>
          <w:rFonts w:hint="eastAsia" w:cs="宋体"/>
          <w:color w:val="000000"/>
          <w:highlight w:val="none"/>
          <w:lang w:val="en-US" w:eastAsia="zh-CN"/>
        </w:rPr>
        <w:t>0</w:t>
      </w:r>
      <w:r>
        <w:rPr>
          <w:rFonts w:hint="eastAsia" w:ascii="宋体" w:hAnsi="宋体" w:eastAsia="宋体" w:cs="宋体"/>
          <w:color w:val="000000"/>
          <w:highlight w:val="none"/>
          <w:lang w:eastAsia="zh-CN"/>
        </w:rPr>
        <w:t>0，下午</w:t>
      </w:r>
      <w:r>
        <w:rPr>
          <w:rFonts w:hint="eastAsia" w:cs="宋体"/>
          <w:color w:val="000000"/>
          <w:highlight w:val="none"/>
          <w:lang w:val="en-US" w:eastAsia="zh-CN"/>
        </w:rPr>
        <w:t>14</w:t>
      </w:r>
      <w:r>
        <w:rPr>
          <w:rFonts w:hint="eastAsia" w:ascii="宋体" w:hAnsi="宋体" w:eastAsia="宋体" w:cs="宋体"/>
          <w:color w:val="000000"/>
          <w:highlight w:val="none"/>
          <w:lang w:eastAsia="zh-CN"/>
        </w:rPr>
        <w:t>:00至</w:t>
      </w:r>
      <w:r>
        <w:rPr>
          <w:rFonts w:hint="eastAsia" w:cs="宋体"/>
          <w:color w:val="000000"/>
          <w:highlight w:val="none"/>
          <w:lang w:val="en-US" w:eastAsia="zh-CN"/>
        </w:rPr>
        <w:t>23:59</w:t>
      </w:r>
      <w:r>
        <w:rPr>
          <w:rFonts w:hint="eastAsia" w:ascii="宋体" w:hAnsi="宋体" w:eastAsia="宋体" w:cs="宋体"/>
          <w:color w:val="000000"/>
          <w:highlight w:val="none"/>
          <w:lang w:eastAsia="zh-CN"/>
        </w:rPr>
        <w:t>（北京时间，法定节假日除外）</w:t>
      </w:r>
    </w:p>
    <w:p>
      <w:pPr>
        <w:pStyle w:val="13"/>
        <w:pageBreakBefore w:val="0"/>
        <w:kinsoku/>
        <w:wordWrap/>
        <w:overflowPunct/>
        <w:topLinePunct w:val="0"/>
        <w:autoSpaceDE/>
        <w:autoSpaceDN/>
        <w:bidi w:val="0"/>
        <w:adjustRightInd/>
        <w:snapToGrid w:val="0"/>
        <w:spacing w:before="0" w:beforeAutospacing="0" w:after="0" w:afterAutospacing="0" w:line="360" w:lineRule="auto"/>
        <w:ind w:left="0" w:leftChars="0" w:firstLine="48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地点：政采云平台线上获取</w:t>
      </w:r>
    </w:p>
    <w:p>
      <w:pPr>
        <w:pStyle w:val="13"/>
        <w:pageBreakBefore w:val="0"/>
        <w:kinsoku/>
        <w:wordWrap/>
        <w:overflowPunct/>
        <w:topLinePunct w:val="0"/>
        <w:autoSpaceDE/>
        <w:autoSpaceDN/>
        <w:bidi w:val="0"/>
        <w:adjustRightInd/>
        <w:snapToGrid w:val="0"/>
        <w:spacing w:before="0" w:beforeAutospacing="0" w:after="0" w:afterAutospacing="0" w:line="360" w:lineRule="auto"/>
        <w:ind w:left="0" w:leftChars="0" w:firstLine="480" w:firstLineChars="20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方式：供应商登录政采云平台https://www.zcygov.cn/在线申请获取采购文件（进入“项目采购”应用，在获取采购文件菜单中选择项目，申请获取采购文件）</w:t>
      </w:r>
    </w:p>
    <w:p>
      <w:pPr>
        <w:pStyle w:val="13"/>
        <w:pageBreakBefore w:val="0"/>
        <w:kinsoku/>
        <w:wordWrap/>
        <w:overflowPunct/>
        <w:topLinePunct w:val="0"/>
        <w:autoSpaceDE/>
        <w:autoSpaceDN/>
        <w:bidi w:val="0"/>
        <w:adjustRightInd/>
        <w:snapToGrid w:val="0"/>
        <w:spacing w:before="0" w:beforeAutospacing="0" w:after="0" w:afterAutospacing="0" w:line="360" w:lineRule="auto"/>
        <w:ind w:left="0" w:leftChars="0" w:firstLine="480" w:firstLineChars="200"/>
        <w:textAlignment w:val="auto"/>
        <w:rPr>
          <w:rFonts w:hint="eastAsia" w:ascii="宋体" w:hAnsi="宋体" w:eastAsia="宋体" w:cs="宋体"/>
          <w:color w:val="000000"/>
          <w:sz w:val="30"/>
          <w:szCs w:val="30"/>
          <w:highlight w:val="none"/>
          <w:lang w:val="en-US" w:eastAsia="zh-CN"/>
        </w:rPr>
      </w:pPr>
      <w:r>
        <w:rPr>
          <w:rFonts w:hint="eastAsia" w:ascii="宋体" w:hAnsi="宋体" w:eastAsia="宋体" w:cs="宋体"/>
          <w:color w:val="000000"/>
          <w:highlight w:val="none"/>
          <w:lang w:val="en-US" w:eastAsia="zh-CN"/>
        </w:rPr>
        <w:t>售价（元）：0</w:t>
      </w:r>
    </w:p>
    <w:p>
      <w:pPr>
        <w:pStyle w:val="4"/>
        <w:pageBreakBefore w:val="0"/>
        <w:kinsoku/>
        <w:wordWrap/>
        <w:overflowPunct/>
        <w:topLinePunct w:val="0"/>
        <w:autoSpaceDE/>
        <w:autoSpaceDN/>
        <w:bidi w:val="0"/>
        <w:adjustRightInd/>
        <w:snapToGrid w:val="0"/>
        <w:spacing w:before="0" w:after="0" w:line="360" w:lineRule="auto"/>
        <w:ind w:left="0" w:leftChars="0"/>
        <w:textAlignment w:val="auto"/>
        <w:rPr>
          <w:sz w:val="30"/>
          <w:szCs w:val="30"/>
          <w:highlight w:val="none"/>
        </w:rPr>
      </w:pPr>
      <w:r>
        <w:rPr>
          <w:rFonts w:hint="eastAsia"/>
          <w:sz w:val="30"/>
          <w:szCs w:val="30"/>
          <w:highlight w:val="none"/>
        </w:rPr>
        <w:t>四、投标文件提交</w:t>
      </w:r>
    </w:p>
    <w:p>
      <w:pPr>
        <w:pStyle w:val="13"/>
        <w:pageBreakBefore w:val="0"/>
        <w:kinsoku/>
        <w:wordWrap/>
        <w:overflowPunct/>
        <w:topLinePunct w:val="0"/>
        <w:autoSpaceDE/>
        <w:autoSpaceDN/>
        <w:bidi w:val="0"/>
        <w:adjustRightInd/>
        <w:snapToGrid w:val="0"/>
        <w:spacing w:before="0" w:beforeAutospacing="0" w:after="0" w:afterAutospacing="0" w:line="360" w:lineRule="auto"/>
        <w:ind w:left="0" w:leftChars="0" w:firstLine="48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提交投标文件截止时间：</w:t>
      </w:r>
      <w:r>
        <w:rPr>
          <w:rStyle w:val="29"/>
          <w:rFonts w:hint="eastAsia" w:ascii="宋体" w:hAnsi="宋体" w:eastAsia="宋体" w:cs="宋体"/>
          <w:color w:val="000000"/>
          <w:highlight w:val="none"/>
        </w:rPr>
        <w:t>202</w:t>
      </w:r>
      <w:r>
        <w:rPr>
          <w:rStyle w:val="29"/>
          <w:rFonts w:hint="eastAsia" w:cs="宋体"/>
          <w:color w:val="000000"/>
          <w:highlight w:val="none"/>
          <w:lang w:val="en-US" w:eastAsia="zh-CN"/>
        </w:rPr>
        <w:t>4</w:t>
      </w:r>
      <w:r>
        <w:rPr>
          <w:rStyle w:val="29"/>
          <w:rFonts w:hint="eastAsia" w:ascii="宋体" w:hAnsi="宋体" w:eastAsia="宋体" w:cs="宋体"/>
          <w:color w:val="000000"/>
          <w:highlight w:val="none"/>
        </w:rPr>
        <w:t>年</w:t>
      </w:r>
      <w:r>
        <w:rPr>
          <w:rStyle w:val="29"/>
          <w:rFonts w:hint="eastAsia" w:cs="宋体"/>
          <w:color w:val="000000"/>
          <w:highlight w:val="none"/>
          <w:lang w:val="en-US" w:eastAsia="zh-CN"/>
        </w:rPr>
        <w:t>04</w:t>
      </w:r>
      <w:r>
        <w:rPr>
          <w:rStyle w:val="29"/>
          <w:rFonts w:hint="eastAsia" w:ascii="宋体" w:hAnsi="宋体" w:eastAsia="宋体" w:cs="宋体"/>
          <w:color w:val="000000"/>
          <w:highlight w:val="none"/>
        </w:rPr>
        <w:t>月</w:t>
      </w:r>
      <w:r>
        <w:rPr>
          <w:rStyle w:val="29"/>
          <w:rFonts w:hint="eastAsia" w:cs="宋体"/>
          <w:color w:val="000000"/>
          <w:highlight w:val="none"/>
          <w:lang w:val="en-US" w:eastAsia="zh-CN"/>
        </w:rPr>
        <w:t>29</w:t>
      </w:r>
      <w:r>
        <w:rPr>
          <w:rStyle w:val="29"/>
          <w:rFonts w:hint="eastAsia" w:ascii="宋体" w:hAnsi="宋体" w:eastAsia="宋体" w:cs="宋体"/>
          <w:color w:val="000000"/>
          <w:highlight w:val="none"/>
        </w:rPr>
        <w:t xml:space="preserve">日 </w:t>
      </w:r>
      <w:r>
        <w:rPr>
          <w:rStyle w:val="29"/>
          <w:rFonts w:hint="eastAsia" w:ascii="宋体" w:hAnsi="宋体" w:eastAsia="宋体" w:cs="宋体"/>
          <w:color w:val="000000"/>
          <w:highlight w:val="none"/>
          <w:lang w:val="en-US" w:eastAsia="zh-CN"/>
        </w:rPr>
        <w:t>11</w:t>
      </w:r>
      <w:r>
        <w:rPr>
          <w:rStyle w:val="29"/>
          <w:rFonts w:hint="eastAsia" w:ascii="宋体" w:hAnsi="宋体" w:eastAsia="宋体" w:cs="宋体"/>
          <w:color w:val="000000"/>
          <w:highlight w:val="none"/>
        </w:rPr>
        <w:t>:</w:t>
      </w:r>
      <w:r>
        <w:rPr>
          <w:rStyle w:val="29"/>
          <w:rFonts w:hint="eastAsia" w:ascii="宋体" w:hAnsi="宋体" w:eastAsia="宋体" w:cs="宋体"/>
          <w:color w:val="000000"/>
          <w:highlight w:val="none"/>
          <w:lang w:val="en-US" w:eastAsia="zh-CN"/>
        </w:rPr>
        <w:t>0</w:t>
      </w:r>
      <w:r>
        <w:rPr>
          <w:rStyle w:val="29"/>
          <w:rFonts w:hint="eastAsia" w:ascii="宋体" w:hAnsi="宋体" w:eastAsia="宋体" w:cs="宋体"/>
          <w:color w:val="000000"/>
          <w:highlight w:val="none"/>
        </w:rPr>
        <w:t>0</w:t>
      </w:r>
      <w:r>
        <w:rPr>
          <w:rFonts w:hint="eastAsia" w:ascii="宋体" w:hAnsi="宋体" w:eastAsia="宋体" w:cs="宋体"/>
          <w:color w:val="000000"/>
          <w:highlight w:val="none"/>
        </w:rPr>
        <w:t>（北京时间）</w:t>
      </w:r>
    </w:p>
    <w:p>
      <w:pPr>
        <w:pStyle w:val="13"/>
        <w:pageBreakBefore w:val="0"/>
        <w:kinsoku/>
        <w:wordWrap/>
        <w:overflowPunct/>
        <w:topLinePunct w:val="0"/>
        <w:autoSpaceDE/>
        <w:autoSpaceDN/>
        <w:bidi w:val="0"/>
        <w:adjustRightInd/>
        <w:snapToGrid w:val="0"/>
        <w:spacing w:before="0" w:beforeAutospacing="0" w:after="0" w:afterAutospacing="0" w:line="360" w:lineRule="auto"/>
        <w:ind w:left="0" w:leftChars="0" w:firstLine="48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投标地点：请登录政采云投标客户端投标</w:t>
      </w:r>
    </w:p>
    <w:p>
      <w:pPr>
        <w:pStyle w:val="13"/>
        <w:pageBreakBefore w:val="0"/>
        <w:kinsoku/>
        <w:wordWrap/>
        <w:overflowPunct/>
        <w:topLinePunct w:val="0"/>
        <w:autoSpaceDE/>
        <w:autoSpaceDN/>
        <w:bidi w:val="0"/>
        <w:adjustRightInd/>
        <w:snapToGrid w:val="0"/>
        <w:spacing w:before="0" w:beforeAutospacing="0" w:after="0" w:afterAutospacing="0" w:line="360" w:lineRule="auto"/>
        <w:ind w:left="0" w:leftChars="0" w:firstLine="48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开标时间：</w:t>
      </w:r>
      <w:r>
        <w:rPr>
          <w:rStyle w:val="29"/>
          <w:rFonts w:hint="eastAsia" w:ascii="宋体" w:hAnsi="宋体" w:eastAsia="宋体" w:cs="宋体"/>
          <w:color w:val="000000"/>
          <w:highlight w:val="none"/>
        </w:rPr>
        <w:t>202</w:t>
      </w:r>
      <w:r>
        <w:rPr>
          <w:rStyle w:val="29"/>
          <w:rFonts w:hint="eastAsia" w:cs="宋体"/>
          <w:color w:val="000000"/>
          <w:highlight w:val="none"/>
          <w:lang w:val="en-US" w:eastAsia="zh-CN"/>
        </w:rPr>
        <w:t>4</w:t>
      </w:r>
      <w:r>
        <w:rPr>
          <w:rStyle w:val="29"/>
          <w:rFonts w:hint="eastAsia" w:ascii="宋体" w:hAnsi="宋体" w:eastAsia="宋体" w:cs="宋体"/>
          <w:color w:val="000000"/>
          <w:highlight w:val="none"/>
        </w:rPr>
        <w:t>年</w:t>
      </w:r>
      <w:r>
        <w:rPr>
          <w:rStyle w:val="29"/>
          <w:rFonts w:hint="eastAsia" w:ascii="宋体" w:hAnsi="宋体" w:eastAsia="宋体" w:cs="宋体"/>
          <w:color w:val="000000"/>
          <w:highlight w:val="none"/>
          <w:lang w:val="en-US" w:eastAsia="zh-CN"/>
        </w:rPr>
        <w:t>0</w:t>
      </w:r>
      <w:r>
        <w:rPr>
          <w:rStyle w:val="29"/>
          <w:rFonts w:hint="eastAsia" w:cs="宋体"/>
          <w:color w:val="000000"/>
          <w:highlight w:val="none"/>
          <w:lang w:val="en-US" w:eastAsia="zh-CN"/>
        </w:rPr>
        <w:t>4</w:t>
      </w:r>
      <w:r>
        <w:rPr>
          <w:rStyle w:val="29"/>
          <w:rFonts w:hint="eastAsia" w:ascii="宋体" w:hAnsi="宋体" w:eastAsia="宋体" w:cs="宋体"/>
          <w:color w:val="000000"/>
          <w:highlight w:val="none"/>
        </w:rPr>
        <w:t>月</w:t>
      </w:r>
      <w:r>
        <w:rPr>
          <w:rStyle w:val="29"/>
          <w:rFonts w:hint="eastAsia" w:cs="宋体"/>
          <w:color w:val="000000"/>
          <w:highlight w:val="none"/>
          <w:lang w:val="en-US" w:eastAsia="zh-CN"/>
        </w:rPr>
        <w:t>29</w:t>
      </w:r>
      <w:r>
        <w:rPr>
          <w:rStyle w:val="29"/>
          <w:rFonts w:hint="eastAsia" w:ascii="宋体" w:hAnsi="宋体" w:eastAsia="宋体" w:cs="宋体"/>
          <w:color w:val="000000"/>
          <w:highlight w:val="none"/>
        </w:rPr>
        <w:t xml:space="preserve">日 </w:t>
      </w:r>
      <w:r>
        <w:rPr>
          <w:rStyle w:val="29"/>
          <w:rFonts w:hint="eastAsia" w:ascii="宋体" w:hAnsi="宋体" w:eastAsia="宋体" w:cs="宋体"/>
          <w:color w:val="000000"/>
          <w:highlight w:val="none"/>
          <w:lang w:val="en-US" w:eastAsia="zh-CN"/>
        </w:rPr>
        <w:t>11</w:t>
      </w:r>
      <w:r>
        <w:rPr>
          <w:rStyle w:val="29"/>
          <w:rFonts w:hint="eastAsia" w:ascii="宋体" w:hAnsi="宋体" w:eastAsia="宋体" w:cs="宋体"/>
          <w:color w:val="000000"/>
          <w:highlight w:val="none"/>
        </w:rPr>
        <w:t>:</w:t>
      </w:r>
      <w:r>
        <w:rPr>
          <w:rStyle w:val="29"/>
          <w:rFonts w:hint="eastAsia" w:ascii="宋体" w:hAnsi="宋体" w:eastAsia="宋体" w:cs="宋体"/>
          <w:color w:val="000000"/>
          <w:highlight w:val="none"/>
          <w:lang w:val="en-US" w:eastAsia="zh-CN"/>
        </w:rPr>
        <w:t>0</w:t>
      </w:r>
      <w:r>
        <w:rPr>
          <w:rStyle w:val="29"/>
          <w:rFonts w:hint="eastAsia" w:ascii="宋体" w:hAnsi="宋体" w:eastAsia="宋体" w:cs="宋体"/>
          <w:color w:val="000000"/>
          <w:highlight w:val="none"/>
        </w:rPr>
        <w:t>0</w:t>
      </w:r>
      <w:r>
        <w:rPr>
          <w:rFonts w:hint="eastAsia" w:ascii="宋体" w:hAnsi="宋体" w:eastAsia="宋体" w:cs="宋体"/>
          <w:color w:val="000000"/>
          <w:highlight w:val="none"/>
        </w:rPr>
        <w:t>（北京时间）</w:t>
      </w:r>
    </w:p>
    <w:p>
      <w:pPr>
        <w:pStyle w:val="13"/>
        <w:pageBreakBefore w:val="0"/>
        <w:kinsoku/>
        <w:wordWrap/>
        <w:overflowPunct/>
        <w:topLinePunct w:val="0"/>
        <w:autoSpaceDE/>
        <w:autoSpaceDN/>
        <w:bidi w:val="0"/>
        <w:adjustRightInd/>
        <w:snapToGrid w:val="0"/>
        <w:spacing w:before="0" w:beforeAutospacing="0" w:after="0" w:afterAutospacing="0" w:line="360" w:lineRule="auto"/>
        <w:ind w:left="0" w:leftChars="0" w:firstLine="48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开标地点：政采云平台https：//www.zcygov.cn/政采云</w:t>
      </w:r>
      <w:r>
        <w:rPr>
          <w:rFonts w:hint="eastAsia" w:cs="宋体"/>
          <w:color w:val="000000"/>
          <w:highlight w:val="none"/>
          <w:lang w:val="en-US" w:eastAsia="zh-CN"/>
        </w:rPr>
        <w:t>平台</w:t>
      </w:r>
      <w:r>
        <w:rPr>
          <w:rFonts w:hint="eastAsia" w:ascii="宋体" w:hAnsi="宋体" w:eastAsia="宋体" w:cs="宋体"/>
          <w:color w:val="000000"/>
          <w:highlight w:val="none"/>
        </w:rPr>
        <w:t>不见面开标大厅</w:t>
      </w:r>
    </w:p>
    <w:p>
      <w:pPr>
        <w:pStyle w:val="4"/>
        <w:pageBreakBefore w:val="0"/>
        <w:kinsoku/>
        <w:wordWrap/>
        <w:overflowPunct/>
        <w:topLinePunct w:val="0"/>
        <w:autoSpaceDE/>
        <w:autoSpaceDN/>
        <w:bidi w:val="0"/>
        <w:adjustRightInd/>
        <w:snapToGrid w:val="0"/>
        <w:spacing w:before="0" w:after="0" w:line="360" w:lineRule="auto"/>
        <w:ind w:left="0" w:leftChars="0"/>
        <w:textAlignment w:val="auto"/>
        <w:rPr>
          <w:rFonts w:hint="eastAsia"/>
          <w:sz w:val="30"/>
          <w:szCs w:val="30"/>
          <w:highlight w:val="none"/>
        </w:rPr>
      </w:pPr>
      <w:r>
        <w:rPr>
          <w:rFonts w:hint="eastAsia"/>
          <w:sz w:val="30"/>
          <w:szCs w:val="30"/>
          <w:highlight w:val="none"/>
        </w:rPr>
        <w:t>五、公告期限</w:t>
      </w:r>
    </w:p>
    <w:p>
      <w:pPr>
        <w:pStyle w:val="4"/>
        <w:pageBreakBefore w:val="0"/>
        <w:kinsoku/>
        <w:wordWrap/>
        <w:overflowPunct/>
        <w:topLinePunct w:val="0"/>
        <w:autoSpaceDE/>
        <w:autoSpaceDN/>
        <w:bidi w:val="0"/>
        <w:adjustRightInd/>
        <w:snapToGrid w:val="0"/>
        <w:spacing w:before="0" w:after="0" w:line="360" w:lineRule="auto"/>
        <w:ind w:left="0" w:leftChars="0" w:firstLine="480" w:firstLineChars="200"/>
        <w:textAlignment w:val="auto"/>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自本公告发布之日起5个工作日。</w:t>
      </w:r>
    </w:p>
    <w:p>
      <w:pPr>
        <w:pStyle w:val="4"/>
        <w:pageBreakBefore w:val="0"/>
        <w:kinsoku/>
        <w:wordWrap/>
        <w:overflowPunct/>
        <w:topLinePunct w:val="0"/>
        <w:autoSpaceDE/>
        <w:autoSpaceDN/>
        <w:bidi w:val="0"/>
        <w:adjustRightInd/>
        <w:snapToGrid w:val="0"/>
        <w:spacing w:before="0" w:after="0" w:line="360" w:lineRule="auto"/>
        <w:ind w:left="0" w:leftChars="0"/>
        <w:textAlignment w:val="auto"/>
        <w:rPr>
          <w:sz w:val="30"/>
          <w:szCs w:val="30"/>
          <w:highlight w:val="none"/>
        </w:rPr>
      </w:pPr>
      <w:r>
        <w:rPr>
          <w:rFonts w:hint="eastAsia"/>
          <w:sz w:val="30"/>
          <w:szCs w:val="30"/>
          <w:highlight w:val="none"/>
        </w:rPr>
        <w:t>六、其他补充事宜</w:t>
      </w:r>
    </w:p>
    <w:p>
      <w:pPr>
        <w:pStyle w:val="13"/>
        <w:pageBreakBefore w:val="0"/>
        <w:kinsoku/>
        <w:wordWrap/>
        <w:overflowPunct/>
        <w:topLinePunct w:val="0"/>
        <w:autoSpaceDE/>
        <w:autoSpaceDN/>
        <w:bidi w:val="0"/>
        <w:adjustRightInd/>
        <w:snapToGrid w:val="0"/>
        <w:spacing w:before="0" w:beforeAutospacing="0" w:after="0" w:afterAutospacing="0" w:line="360" w:lineRule="auto"/>
        <w:ind w:left="0" w:leftChars="0" w:firstLine="48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1、本项目采用全流程不见面电子开评标，供应商在开标前应确保成为新疆政府采购网正式注册入库供应商，并完成 CA 数字证书申领。因未注册入库、未办理 CA数字证书等原因造成无法投标或投标失败等后果由供应商自行承担。</w:t>
      </w:r>
    </w:p>
    <w:p>
      <w:pPr>
        <w:pStyle w:val="13"/>
        <w:pageBreakBefore w:val="0"/>
        <w:kinsoku/>
        <w:wordWrap/>
        <w:overflowPunct/>
        <w:topLinePunct w:val="0"/>
        <w:autoSpaceDE/>
        <w:autoSpaceDN/>
        <w:bidi w:val="0"/>
        <w:adjustRightInd/>
        <w:snapToGrid w:val="0"/>
        <w:spacing w:before="0" w:beforeAutospacing="0" w:after="0" w:afterAutospacing="0" w:line="360" w:lineRule="auto"/>
        <w:ind w:left="0" w:leftChars="0" w:firstLine="48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2、供应商可通过新疆数字证书认证中心官网（https://www.xjca.com.cn/）或下载“新疆政务通”APP 自行进行 CA 数字证书申领，也可与新疆 CA 全疆服务机构联系现场办理 CA 数字证书，具体流程请前往新疆政府采购网（http://www.ccgp-xinjiang.gov.cn/）办事指南模块查看《CA 证书办理操作指南》。</w:t>
      </w:r>
    </w:p>
    <w:p>
      <w:pPr>
        <w:pStyle w:val="13"/>
        <w:pageBreakBefore w:val="0"/>
        <w:kinsoku/>
        <w:wordWrap/>
        <w:overflowPunct/>
        <w:topLinePunct w:val="0"/>
        <w:autoSpaceDE/>
        <w:autoSpaceDN/>
        <w:bidi w:val="0"/>
        <w:adjustRightInd/>
        <w:snapToGrid w:val="0"/>
        <w:spacing w:before="0" w:beforeAutospacing="0" w:after="0" w:afterAutospacing="0" w:line="360" w:lineRule="auto"/>
        <w:ind w:left="0" w:leftChars="0" w:firstLine="48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3、本项目实行网上投标，采用加密电子投标文件(供应商须使用 CA 加密设备通过政采云电子投标客户端制作投标文件)。</w:t>
      </w:r>
    </w:p>
    <w:p>
      <w:pPr>
        <w:pStyle w:val="13"/>
        <w:pageBreakBefore w:val="0"/>
        <w:kinsoku/>
        <w:wordWrap/>
        <w:overflowPunct/>
        <w:topLinePunct w:val="0"/>
        <w:autoSpaceDE/>
        <w:autoSpaceDN/>
        <w:bidi w:val="0"/>
        <w:adjustRightInd/>
        <w:snapToGrid w:val="0"/>
        <w:spacing w:before="0" w:beforeAutospacing="0" w:after="0" w:afterAutospacing="0" w:line="360" w:lineRule="auto"/>
        <w:ind w:left="0" w:leftChars="0" w:firstLine="48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4、供应商编制电子投标文件应安装“电子招投标供应商投标客户端”软件，并按照本采购文件和政采云投标客户端的要求编制并加密投标文件。未按规定加密的投标文件，将被电子招投标供应商客户端拒收。“电子招投标供应商投标客户端”请至新疆政府采购网下载专区获取，如有问题可拨打政采云客户服务热线 95763 进行咨询。</w:t>
      </w:r>
    </w:p>
    <w:p>
      <w:pPr>
        <w:pStyle w:val="13"/>
        <w:pageBreakBefore w:val="0"/>
        <w:kinsoku/>
        <w:wordWrap/>
        <w:overflowPunct/>
        <w:topLinePunct w:val="0"/>
        <w:autoSpaceDE/>
        <w:autoSpaceDN/>
        <w:bidi w:val="0"/>
        <w:adjustRightInd/>
        <w:snapToGrid w:val="0"/>
        <w:spacing w:before="0" w:beforeAutospacing="0" w:after="0" w:afterAutospacing="0" w:line="360" w:lineRule="auto"/>
        <w:ind w:left="0" w:leftChars="0" w:firstLine="48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5、供应商在开标时须使用制作加密电子投标文件所使用的 CA 锁及电脑，电脑须提前配置好浏览器（建议使用谷歌浏览器），以便开标时解锁。</w:t>
      </w:r>
    </w:p>
    <w:p>
      <w:pPr>
        <w:pStyle w:val="13"/>
        <w:pageBreakBefore w:val="0"/>
        <w:kinsoku/>
        <w:wordWrap/>
        <w:overflowPunct/>
        <w:topLinePunct w:val="0"/>
        <w:autoSpaceDE/>
        <w:autoSpaceDN/>
        <w:bidi w:val="0"/>
        <w:adjustRightInd/>
        <w:snapToGrid w:val="0"/>
        <w:spacing w:before="0" w:beforeAutospacing="0" w:after="0" w:afterAutospacing="0" w:line="360" w:lineRule="auto"/>
        <w:ind w:left="0" w:leftChars="0" w:firstLine="48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6、供应商对不见面开评 标 系 统 的 技 术 操 作 咨 询 ， 可 通 过https://edu.zcygov.cn/luban/xinjiang-e-biding 自助查询，也可在政采云帮助中心 常 见 问 题 解 答 和 操 作 流 程 讲 解 视 频 中 自 助 查 询 ， 网 址 为 ：</w:t>
      </w:r>
      <w:r>
        <w:rPr>
          <w:rFonts w:hint="eastAsia" w:ascii="宋体" w:hAnsi="宋体" w:eastAsia="宋体" w:cs="宋体"/>
          <w:color w:val="000000"/>
          <w:highlight w:val="none"/>
          <w:lang w:val="en-US" w:eastAsia="zh-CN"/>
        </w:rPr>
        <w:fldChar w:fldCharType="begin"/>
      </w:r>
      <w:r>
        <w:rPr>
          <w:rFonts w:hint="eastAsia" w:ascii="宋体" w:hAnsi="宋体" w:eastAsia="宋体" w:cs="宋体"/>
          <w:color w:val="000000"/>
          <w:highlight w:val="none"/>
          <w:lang w:val="en-US" w:eastAsia="zh-CN"/>
        </w:rPr>
        <w:instrText xml:space="preserve"> HYPERLINK "https://service.zcygov.cn/#/help，\“项目采购\”—\“操作流程-电子招投标\”—\“政府采购项目电子交易管理操作指南-供应商\”版面获取操作指南。" </w:instrText>
      </w:r>
      <w:r>
        <w:rPr>
          <w:rFonts w:hint="eastAsia" w:ascii="宋体" w:hAnsi="宋体" w:eastAsia="宋体" w:cs="宋体"/>
          <w:color w:val="000000"/>
          <w:highlight w:val="none"/>
          <w:lang w:val="en-US" w:eastAsia="zh-CN"/>
        </w:rPr>
        <w:fldChar w:fldCharType="separate"/>
      </w:r>
      <w:r>
        <w:rPr>
          <w:rStyle w:val="19"/>
          <w:rFonts w:hint="eastAsia" w:ascii="宋体" w:hAnsi="宋体" w:eastAsia="宋体" w:cs="宋体"/>
          <w:color w:val="000000"/>
          <w:highlight w:val="none"/>
          <w:lang w:val="en-US" w:eastAsia="zh-CN"/>
        </w:rPr>
        <w:t>https://service.zcygov.cn/#/help，“项目采购”—“操作流程-电子招投标”—“政府采购项目电子交易管理操作指南-供应商”版面获取操作指南。</w:t>
      </w:r>
      <w:r>
        <w:rPr>
          <w:rFonts w:hint="eastAsia" w:ascii="宋体" w:hAnsi="宋体" w:eastAsia="宋体" w:cs="宋体"/>
          <w:color w:val="000000"/>
          <w:highlight w:val="none"/>
          <w:lang w:val="en-US" w:eastAsia="zh-CN"/>
        </w:rPr>
        <w:fldChar w:fldCharType="end"/>
      </w:r>
    </w:p>
    <w:p>
      <w:pPr>
        <w:pStyle w:val="13"/>
        <w:pageBreakBefore w:val="0"/>
        <w:kinsoku/>
        <w:wordWrap/>
        <w:overflowPunct/>
        <w:topLinePunct w:val="0"/>
        <w:autoSpaceDE/>
        <w:autoSpaceDN/>
        <w:bidi w:val="0"/>
        <w:adjustRightInd/>
        <w:snapToGrid w:val="0"/>
        <w:spacing w:before="0" w:beforeAutospacing="0" w:after="0" w:afterAutospacing="0" w:line="360" w:lineRule="auto"/>
        <w:ind w:left="0" w:leftChars="0" w:firstLine="48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7、为了保证开评标顺利进行，政采云线上开标功能完全实现，供应商开标所使用的电脑设备须具有视频及语音功能。</w:t>
      </w:r>
    </w:p>
    <w:p>
      <w:pPr>
        <w:pStyle w:val="13"/>
        <w:pageBreakBefore w:val="0"/>
        <w:kinsoku/>
        <w:wordWrap/>
        <w:overflowPunct/>
        <w:topLinePunct w:val="0"/>
        <w:autoSpaceDE/>
        <w:autoSpaceDN/>
        <w:bidi w:val="0"/>
        <w:adjustRightInd/>
        <w:snapToGrid w:val="0"/>
        <w:spacing w:before="0" w:beforeAutospacing="0" w:after="0" w:afterAutospacing="0" w:line="360" w:lineRule="auto"/>
        <w:ind w:left="0" w:leftChars="0" w:firstLine="48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8、本公告同时在新疆政府采购网（http://www.ccgp-xinjiang.gov.cn/）、中国政府采购网（http://www.ccgp.gov.cn/）发布。</w:t>
      </w:r>
    </w:p>
    <w:p>
      <w:pPr>
        <w:pStyle w:val="13"/>
        <w:pageBreakBefore w:val="0"/>
        <w:kinsoku/>
        <w:wordWrap/>
        <w:overflowPunct/>
        <w:topLinePunct w:val="0"/>
        <w:autoSpaceDE/>
        <w:autoSpaceDN/>
        <w:bidi w:val="0"/>
        <w:adjustRightInd/>
        <w:snapToGrid w:val="0"/>
        <w:spacing w:before="0" w:beforeAutospacing="0" w:after="0" w:afterAutospacing="0" w:line="360" w:lineRule="auto"/>
        <w:ind w:left="0" w:leftChars="0" w:firstLine="48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特别提示：</w:t>
      </w:r>
      <w:r>
        <w:rPr>
          <w:rFonts w:hint="eastAsia" w:ascii="宋体" w:hAnsi="宋体" w:eastAsia="宋体" w:cs="宋体"/>
          <w:color w:val="000000"/>
          <w:highlight w:val="none"/>
          <w:lang w:val="en-US" w:eastAsia="zh-CN"/>
        </w:rPr>
        <w:br w:type="textWrapping"/>
      </w:r>
      <w:r>
        <w:rPr>
          <w:rFonts w:hint="eastAsia" w:ascii="宋体" w:hAnsi="宋体" w:eastAsia="宋体" w:cs="宋体"/>
          <w:color w:val="000000"/>
          <w:highlight w:val="none"/>
          <w:lang w:val="en-US" w:eastAsia="zh-CN"/>
        </w:rPr>
        <w:t>1、采购限额标准以上，200万元以下的货物和服务采购项目、400万元以下的工程采购项目，适宜由中小企业提供的，采购人应当专门面向中小企业采购。</w:t>
      </w:r>
      <w:r>
        <w:rPr>
          <w:rFonts w:hint="eastAsia" w:ascii="宋体" w:hAnsi="宋体" w:eastAsia="宋体" w:cs="宋体"/>
          <w:color w:val="000000"/>
          <w:highlight w:val="none"/>
          <w:lang w:val="en-US" w:eastAsia="zh-CN"/>
        </w:rPr>
        <w:br w:type="textWrapping"/>
      </w:r>
      <w:r>
        <w:rPr>
          <w:rFonts w:hint="eastAsia" w:ascii="宋体" w:hAnsi="宋体" w:eastAsia="宋体" w:cs="宋体"/>
          <w:color w:val="000000"/>
          <w:highlight w:val="none"/>
          <w:lang w:val="en-US" w:eastAsia="zh-CN"/>
        </w:rPr>
        <w:t>2、超过200万元的货物和服务采购项目、超过400万元的工程采购项目中适宜由中小企业提供的，预留该部分采购项目预算总额的30%以上专门面向中小企业采购，其中预留给小微企业的比例不低于60%。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宋体" w:hAnsi="宋体" w:eastAsia="宋体" w:cs="宋体"/>
          <w:color w:val="000000"/>
          <w:highlight w:val="none"/>
          <w:lang w:val="en-US" w:eastAsia="zh-CN"/>
        </w:rPr>
        <w:br w:type="textWrapping"/>
      </w:r>
      <w:r>
        <w:rPr>
          <w:rFonts w:hint="eastAsia" w:ascii="宋体" w:hAnsi="宋体" w:eastAsia="宋体" w:cs="宋体"/>
          <w:color w:val="000000"/>
          <w:highlight w:val="none"/>
          <w:lang w:val="en-US" w:eastAsia="zh-CN"/>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宋体" w:hAnsi="宋体" w:eastAsia="宋体" w:cs="宋体"/>
          <w:color w:val="000000"/>
          <w:highlight w:val="none"/>
          <w:lang w:val="en-US" w:eastAsia="zh-CN"/>
        </w:rPr>
        <w:br w:type="textWrapping"/>
      </w:r>
      <w:r>
        <w:rPr>
          <w:rFonts w:hint="eastAsia" w:ascii="宋体" w:hAnsi="宋体" w:eastAsia="宋体" w:cs="宋体"/>
          <w:color w:val="000000"/>
          <w:highlight w:val="none"/>
          <w:lang w:val="en-US" w:eastAsia="zh-CN"/>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4"/>
        <w:pageBreakBefore w:val="0"/>
        <w:kinsoku/>
        <w:wordWrap/>
        <w:overflowPunct/>
        <w:topLinePunct w:val="0"/>
        <w:autoSpaceDE/>
        <w:autoSpaceDN/>
        <w:bidi w:val="0"/>
        <w:adjustRightInd/>
        <w:snapToGrid w:val="0"/>
        <w:spacing w:before="0" w:after="0" w:line="360" w:lineRule="auto"/>
        <w:ind w:left="0" w:leftChars="0"/>
        <w:textAlignment w:val="auto"/>
        <w:rPr>
          <w:sz w:val="30"/>
          <w:szCs w:val="30"/>
          <w:highlight w:val="none"/>
        </w:rPr>
      </w:pPr>
      <w:r>
        <w:rPr>
          <w:rFonts w:hint="eastAsia"/>
          <w:sz w:val="30"/>
          <w:szCs w:val="30"/>
          <w:highlight w:val="none"/>
          <w:lang w:val="en-US" w:eastAsia="zh-CN"/>
        </w:rPr>
        <w:t>七</w:t>
      </w:r>
      <w:r>
        <w:rPr>
          <w:rFonts w:hint="eastAsia"/>
          <w:sz w:val="30"/>
          <w:szCs w:val="30"/>
          <w:highlight w:val="none"/>
        </w:rPr>
        <w:t>、凡对本次采购提出询问，请按以下方式联系</w:t>
      </w:r>
    </w:p>
    <w:p>
      <w:pPr>
        <w:pageBreakBefore w:val="0"/>
        <w:kinsoku/>
        <w:wordWrap/>
        <w:overflowPunct/>
        <w:topLinePunct w:val="0"/>
        <w:autoSpaceDE/>
        <w:autoSpaceDN/>
        <w:bidi w:val="0"/>
        <w:adjustRightInd/>
        <w:snapToGrid w:val="0"/>
        <w:spacing w:line="360" w:lineRule="auto"/>
        <w:jc w:val="left"/>
        <w:textAlignment w:val="auto"/>
        <w:rPr>
          <w:rFonts w:ascii="宋体" w:hAnsi="宋体" w:cs="宋体"/>
          <w:sz w:val="24"/>
          <w:szCs w:val="24"/>
          <w:highlight w:val="none"/>
        </w:rPr>
      </w:pPr>
      <w:r>
        <w:rPr>
          <w:rFonts w:hint="eastAsia" w:ascii="宋体" w:hAnsi="宋体" w:cs="宋体"/>
          <w:sz w:val="24"/>
          <w:szCs w:val="24"/>
          <w:highlight w:val="none"/>
        </w:rPr>
        <w:t>1.采购人信息</w:t>
      </w:r>
    </w:p>
    <w:p>
      <w:pPr>
        <w:pageBreakBefore w:val="0"/>
        <w:kinsoku/>
        <w:wordWrap/>
        <w:overflowPunct/>
        <w:topLinePunct w:val="0"/>
        <w:autoSpaceDE/>
        <w:autoSpaceDN/>
        <w:bidi w:val="0"/>
        <w:adjustRightInd/>
        <w:snapToGrid w:val="0"/>
        <w:spacing w:line="360" w:lineRule="auto"/>
        <w:jc w:val="left"/>
        <w:textAlignment w:val="auto"/>
        <w:rPr>
          <w:rFonts w:ascii="宋体" w:hAnsi="宋体" w:cs="宋体"/>
          <w:sz w:val="24"/>
          <w:szCs w:val="24"/>
          <w:highlight w:val="none"/>
          <w:u w:val="single"/>
        </w:rPr>
      </w:pPr>
      <w:r>
        <w:rPr>
          <w:rFonts w:hint="eastAsia" w:ascii="宋体" w:hAnsi="宋体" w:cs="宋体"/>
          <w:sz w:val="24"/>
          <w:szCs w:val="24"/>
          <w:highlight w:val="none"/>
        </w:rPr>
        <w:t>名    称：乌</w:t>
      </w:r>
      <w:r>
        <w:rPr>
          <w:rFonts w:hint="eastAsia" w:ascii="宋体" w:hAnsi="宋体" w:cs="宋体"/>
          <w:sz w:val="24"/>
          <w:szCs w:val="24"/>
          <w:highlight w:val="none"/>
          <w:u w:val="single"/>
        </w:rPr>
        <w:t xml:space="preserve">鲁木齐市消防救援支队   </w:t>
      </w:r>
    </w:p>
    <w:p>
      <w:pPr>
        <w:pageBreakBefore w:val="0"/>
        <w:kinsoku/>
        <w:wordWrap/>
        <w:overflowPunct/>
        <w:topLinePunct w:val="0"/>
        <w:autoSpaceDE/>
        <w:autoSpaceDN/>
        <w:bidi w:val="0"/>
        <w:adjustRightInd/>
        <w:snapToGrid w:val="0"/>
        <w:spacing w:line="360" w:lineRule="auto"/>
        <w:jc w:val="left"/>
        <w:textAlignment w:val="auto"/>
        <w:rPr>
          <w:rFonts w:ascii="宋体" w:hAnsi="宋体" w:cs="宋体"/>
          <w:sz w:val="24"/>
          <w:szCs w:val="24"/>
          <w:highlight w:val="none"/>
        </w:rPr>
      </w:pPr>
      <w:r>
        <w:rPr>
          <w:rFonts w:hint="eastAsia" w:ascii="宋体" w:hAnsi="宋体" w:cs="宋体"/>
          <w:sz w:val="24"/>
          <w:szCs w:val="24"/>
          <w:highlight w:val="none"/>
        </w:rPr>
        <w:t>地    址：</w:t>
      </w:r>
      <w:r>
        <w:rPr>
          <w:rFonts w:hint="eastAsia" w:ascii="宋体" w:hAnsi="宋体" w:cs="宋体"/>
          <w:sz w:val="24"/>
          <w:szCs w:val="24"/>
          <w:highlight w:val="none"/>
          <w:u w:val="single"/>
        </w:rPr>
        <w:t>乌鲁木齐市水磨沟区七道湾南路凤起街2166号</w:t>
      </w:r>
    </w:p>
    <w:p>
      <w:pPr>
        <w:pageBreakBefore w:val="0"/>
        <w:kinsoku/>
        <w:wordWrap/>
        <w:overflowPunct/>
        <w:topLinePunct w:val="0"/>
        <w:autoSpaceDE/>
        <w:autoSpaceDN/>
        <w:bidi w:val="0"/>
        <w:adjustRightInd/>
        <w:snapToGrid w:val="0"/>
        <w:spacing w:line="360" w:lineRule="auto"/>
        <w:jc w:val="left"/>
        <w:textAlignment w:val="auto"/>
        <w:rPr>
          <w:rFonts w:hint="eastAsia" w:ascii="宋体" w:hAnsi="宋体" w:cs="宋体"/>
          <w:sz w:val="24"/>
          <w:szCs w:val="24"/>
          <w:highlight w:val="none"/>
          <w:u w:val="single"/>
          <w:lang w:eastAsia="zh-CN"/>
        </w:rPr>
      </w:pPr>
      <w:r>
        <w:rPr>
          <w:rFonts w:hint="eastAsia" w:ascii="宋体" w:hAnsi="宋体" w:cs="宋体"/>
          <w:sz w:val="24"/>
          <w:szCs w:val="24"/>
          <w:highlight w:val="none"/>
        </w:rPr>
        <w:t>联系人：</w:t>
      </w:r>
      <w:r>
        <w:rPr>
          <w:rFonts w:hint="eastAsia" w:ascii="宋体" w:hAnsi="宋体" w:cs="宋体"/>
          <w:sz w:val="24"/>
          <w:szCs w:val="24"/>
          <w:highlight w:val="none"/>
          <w:u w:val="single"/>
        </w:rPr>
        <w:t>邓</w:t>
      </w:r>
      <w:r>
        <w:rPr>
          <w:rFonts w:hint="eastAsia" w:ascii="宋体" w:hAnsi="宋体" w:cs="宋体"/>
          <w:sz w:val="24"/>
          <w:szCs w:val="24"/>
          <w:highlight w:val="none"/>
          <w:u w:val="single"/>
          <w:lang w:val="en-US" w:eastAsia="zh-CN"/>
        </w:rPr>
        <w:t>先生</w:t>
      </w:r>
      <w:r>
        <w:rPr>
          <w:rFonts w:hint="eastAsia" w:ascii="宋体" w:hAnsi="宋体" w:cs="宋体"/>
          <w:sz w:val="24"/>
          <w:szCs w:val="24"/>
          <w:highlight w:val="none"/>
          <w:u w:val="single"/>
        </w:rPr>
        <w:t>、阴</w:t>
      </w:r>
      <w:r>
        <w:rPr>
          <w:rFonts w:hint="eastAsia" w:ascii="宋体" w:hAnsi="宋体" w:cs="宋体"/>
          <w:sz w:val="24"/>
          <w:szCs w:val="24"/>
          <w:highlight w:val="none"/>
          <w:u w:val="single"/>
          <w:lang w:val="en-US" w:eastAsia="zh-CN"/>
        </w:rPr>
        <w:t>女士</w:t>
      </w:r>
    </w:p>
    <w:p>
      <w:pPr>
        <w:pageBreakBefore w:val="0"/>
        <w:kinsoku/>
        <w:wordWrap/>
        <w:overflowPunct/>
        <w:topLinePunct w:val="0"/>
        <w:autoSpaceDE/>
        <w:autoSpaceDN/>
        <w:bidi w:val="0"/>
        <w:adjustRightInd/>
        <w:snapToGrid w:val="0"/>
        <w:spacing w:line="360" w:lineRule="auto"/>
        <w:jc w:val="left"/>
        <w:textAlignment w:val="auto"/>
        <w:rPr>
          <w:rFonts w:hint="eastAsia" w:ascii="宋体" w:hAnsi="宋体" w:cs="宋体"/>
          <w:sz w:val="24"/>
          <w:szCs w:val="24"/>
          <w:highlight w:val="none"/>
        </w:rPr>
      </w:pPr>
      <w:r>
        <w:rPr>
          <w:rFonts w:hint="eastAsia" w:ascii="宋体" w:hAnsi="宋体" w:cs="宋体"/>
          <w:sz w:val="24"/>
          <w:szCs w:val="24"/>
          <w:highlight w:val="none"/>
        </w:rPr>
        <w:t>联系电话：</w:t>
      </w:r>
      <w:r>
        <w:rPr>
          <w:rFonts w:hint="eastAsia" w:ascii="宋体" w:hAnsi="宋体" w:cs="宋体"/>
          <w:sz w:val="24"/>
          <w:szCs w:val="24"/>
          <w:highlight w:val="none"/>
          <w:u w:val="single"/>
          <w:lang w:eastAsia="zh-CN"/>
        </w:rPr>
        <w:t>18999992360</w:t>
      </w:r>
      <w:r>
        <w:rPr>
          <w:rFonts w:hint="eastAsia" w:ascii="宋体" w:hAnsi="宋体" w:cs="宋体"/>
          <w:sz w:val="24"/>
          <w:szCs w:val="24"/>
          <w:highlight w:val="none"/>
          <w:u w:val="single"/>
        </w:rPr>
        <w:t xml:space="preserve">、13699380864 </w:t>
      </w:r>
    </w:p>
    <w:p>
      <w:pPr>
        <w:pageBreakBefore w:val="0"/>
        <w:kinsoku/>
        <w:wordWrap/>
        <w:overflowPunct/>
        <w:topLinePunct w:val="0"/>
        <w:autoSpaceDE/>
        <w:autoSpaceDN/>
        <w:bidi w:val="0"/>
        <w:adjustRightInd/>
        <w:snapToGrid w:val="0"/>
        <w:spacing w:line="360" w:lineRule="auto"/>
        <w:jc w:val="left"/>
        <w:textAlignment w:val="auto"/>
        <w:rPr>
          <w:rFonts w:ascii="宋体" w:hAnsi="宋体" w:cs="宋体"/>
          <w:sz w:val="24"/>
          <w:szCs w:val="24"/>
          <w:highlight w:val="none"/>
        </w:rPr>
      </w:pPr>
      <w:r>
        <w:rPr>
          <w:rFonts w:hint="eastAsia" w:ascii="宋体" w:hAnsi="宋体" w:cs="宋体"/>
          <w:sz w:val="24"/>
          <w:szCs w:val="24"/>
          <w:highlight w:val="none"/>
        </w:rPr>
        <w:t>2.采购代理机构信息</w:t>
      </w:r>
    </w:p>
    <w:p>
      <w:pPr>
        <w:pageBreakBefore w:val="0"/>
        <w:kinsoku/>
        <w:wordWrap/>
        <w:overflowPunct/>
        <w:topLinePunct w:val="0"/>
        <w:autoSpaceDE/>
        <w:autoSpaceDN/>
        <w:bidi w:val="0"/>
        <w:adjustRightInd/>
        <w:snapToGrid w:val="0"/>
        <w:spacing w:line="360" w:lineRule="auto"/>
        <w:jc w:val="left"/>
        <w:textAlignment w:val="auto"/>
        <w:rPr>
          <w:rFonts w:ascii="宋体" w:hAnsi="宋体" w:cs="宋体"/>
          <w:sz w:val="24"/>
          <w:szCs w:val="24"/>
          <w:highlight w:val="none"/>
          <w:u w:val="single"/>
        </w:rPr>
      </w:pPr>
      <w:r>
        <w:rPr>
          <w:rFonts w:hint="eastAsia" w:ascii="宋体" w:hAnsi="宋体" w:cs="宋体"/>
          <w:sz w:val="24"/>
          <w:szCs w:val="24"/>
          <w:highlight w:val="none"/>
        </w:rPr>
        <w:t>名    称：</w:t>
      </w:r>
      <w:r>
        <w:rPr>
          <w:rFonts w:hint="eastAsia" w:ascii="宋体" w:hAnsi="宋体" w:cs="宋体"/>
          <w:sz w:val="24"/>
          <w:szCs w:val="24"/>
          <w:highlight w:val="none"/>
          <w:u w:val="single"/>
        </w:rPr>
        <w:t>新疆懿源工程咨询管理有限公司</w:t>
      </w:r>
    </w:p>
    <w:p>
      <w:pPr>
        <w:pageBreakBefore w:val="0"/>
        <w:kinsoku/>
        <w:wordWrap/>
        <w:overflowPunct/>
        <w:topLinePunct w:val="0"/>
        <w:autoSpaceDE/>
        <w:autoSpaceDN/>
        <w:bidi w:val="0"/>
        <w:adjustRightInd/>
        <w:snapToGrid w:val="0"/>
        <w:spacing w:line="360" w:lineRule="auto"/>
        <w:jc w:val="left"/>
        <w:textAlignment w:val="auto"/>
        <w:rPr>
          <w:rFonts w:hint="eastAsia" w:ascii="宋体" w:hAnsi="宋体" w:cs="宋体"/>
          <w:spacing w:val="10"/>
          <w:sz w:val="24"/>
          <w:szCs w:val="24"/>
          <w:highlight w:val="none"/>
          <w:u w:val="single"/>
        </w:rPr>
      </w:pPr>
      <w:r>
        <w:rPr>
          <w:rFonts w:hint="eastAsia" w:ascii="宋体" w:hAnsi="宋体" w:cs="宋体"/>
          <w:sz w:val="24"/>
          <w:szCs w:val="24"/>
          <w:highlight w:val="none"/>
        </w:rPr>
        <w:t>地　　址：</w:t>
      </w:r>
      <w:r>
        <w:rPr>
          <w:rFonts w:hint="eastAsia" w:ascii="宋体" w:hAnsi="宋体" w:cs="宋体"/>
          <w:spacing w:val="10"/>
          <w:sz w:val="24"/>
          <w:szCs w:val="24"/>
          <w:highlight w:val="none"/>
          <w:u w:val="single"/>
        </w:rPr>
        <w:t>新疆乌鲁木齐市头屯河区卫星路513号秦郡二期（秦基大厦D座）商业办公楼703室</w:t>
      </w:r>
    </w:p>
    <w:p>
      <w:pPr>
        <w:pageBreakBefore w:val="0"/>
        <w:kinsoku/>
        <w:wordWrap/>
        <w:overflowPunct/>
        <w:topLinePunct w:val="0"/>
        <w:autoSpaceDE/>
        <w:autoSpaceDN/>
        <w:bidi w:val="0"/>
        <w:adjustRightInd/>
        <w:snapToGrid w:val="0"/>
        <w:spacing w:line="360" w:lineRule="auto"/>
        <w:ind w:left="480" w:leftChars="0" w:hanging="480" w:hangingChars="200"/>
        <w:jc w:val="left"/>
        <w:textAlignment w:val="auto"/>
        <w:rPr>
          <w:rFonts w:hint="default" w:ascii="宋体" w:hAnsi="宋体" w:eastAsia="宋体" w:cs="宋体"/>
          <w:spacing w:val="-6"/>
          <w:sz w:val="24"/>
          <w:szCs w:val="24"/>
          <w:highlight w:val="none"/>
          <w:u w:val="single"/>
          <w:lang w:val="en-US" w:eastAsia="zh-CN"/>
        </w:rPr>
      </w:pPr>
      <w:r>
        <w:rPr>
          <w:rFonts w:hint="eastAsia" w:ascii="宋体" w:hAnsi="宋体" w:cs="宋体"/>
          <w:sz w:val="24"/>
          <w:szCs w:val="24"/>
          <w:highlight w:val="none"/>
          <w:lang w:val="zh-CN"/>
        </w:rPr>
        <w:t>联系人：</w:t>
      </w:r>
      <w:r>
        <w:rPr>
          <w:rFonts w:hint="eastAsia" w:ascii="宋体" w:hAnsi="宋体" w:cs="宋体"/>
          <w:sz w:val="24"/>
          <w:szCs w:val="24"/>
          <w:highlight w:val="none"/>
          <w:u w:val="single"/>
          <w:lang w:val="zh-CN" w:eastAsia="zh-CN"/>
        </w:rPr>
        <w:t>朱玉斌、苏莉</w:t>
      </w:r>
    </w:p>
    <w:p>
      <w:pPr>
        <w:pageBreakBefore w:val="0"/>
        <w:kinsoku/>
        <w:wordWrap/>
        <w:overflowPunct/>
        <w:topLinePunct w:val="0"/>
        <w:autoSpaceDE/>
        <w:autoSpaceDN/>
        <w:bidi w:val="0"/>
        <w:adjustRightInd/>
        <w:snapToGrid w:val="0"/>
        <w:spacing w:line="360" w:lineRule="auto"/>
        <w:ind w:left="480" w:leftChars="0" w:hanging="480" w:hangingChars="200"/>
        <w:jc w:val="left"/>
        <w:textAlignment w:val="auto"/>
        <w:rPr>
          <w:rFonts w:hint="eastAsia" w:ascii="宋体" w:hAnsi="宋体" w:cs="宋体"/>
          <w:sz w:val="24"/>
          <w:szCs w:val="24"/>
          <w:highlight w:val="none"/>
          <w:u w:val="single"/>
          <w:lang w:val="en-US" w:eastAsia="zh-CN"/>
        </w:rPr>
      </w:pPr>
      <w:r>
        <w:rPr>
          <w:rFonts w:hint="eastAsia" w:ascii="宋体" w:hAnsi="宋体" w:cs="宋体"/>
          <w:sz w:val="24"/>
          <w:szCs w:val="24"/>
          <w:highlight w:val="none"/>
        </w:rPr>
        <w:t>联系方式：</w:t>
      </w:r>
      <w:r>
        <w:rPr>
          <w:rFonts w:hint="eastAsia" w:ascii="宋体" w:hAnsi="宋体" w:cs="宋体"/>
          <w:sz w:val="24"/>
          <w:szCs w:val="24"/>
          <w:highlight w:val="none"/>
          <w:u w:val="single"/>
          <w:lang w:val="en-US" w:eastAsia="zh-CN"/>
        </w:rPr>
        <w:t>13009617191、18599017770</w:t>
      </w:r>
    </w:p>
    <w:p>
      <w:pPr>
        <w:pStyle w:val="13"/>
        <w:pageBreakBefore w:val="0"/>
        <w:kinsoku/>
        <w:wordWrap/>
        <w:overflowPunct/>
        <w:topLinePunct w:val="0"/>
        <w:autoSpaceDE/>
        <w:autoSpaceDN/>
        <w:bidi w:val="0"/>
        <w:adjustRightInd/>
        <w:snapToGrid w:val="0"/>
        <w:spacing w:before="0" w:beforeAutospacing="0" w:after="0" w:afterAutospacing="0" w:line="360" w:lineRule="auto"/>
        <w:ind w:left="0" w:leftChars="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3.项目联系方式</w:t>
      </w:r>
    </w:p>
    <w:p>
      <w:pPr>
        <w:pStyle w:val="13"/>
        <w:pageBreakBefore w:val="0"/>
        <w:kinsoku/>
        <w:wordWrap/>
        <w:overflowPunct/>
        <w:topLinePunct w:val="0"/>
        <w:autoSpaceDE/>
        <w:autoSpaceDN/>
        <w:bidi w:val="0"/>
        <w:adjustRightInd/>
        <w:snapToGrid w:val="0"/>
        <w:spacing w:before="0" w:beforeAutospacing="0" w:after="0" w:afterAutospacing="0" w:line="360" w:lineRule="auto"/>
        <w:textAlignment w:val="auto"/>
        <w:rPr>
          <w:rStyle w:val="20"/>
          <w:rFonts w:hint="eastAsia" w:ascii="宋体" w:hAnsi="宋体" w:eastAsia="宋体" w:cs="宋体"/>
          <w:color w:val="000000"/>
          <w:highlight w:val="none"/>
          <w:lang w:eastAsia="zh-CN"/>
        </w:rPr>
      </w:pPr>
      <w:r>
        <w:rPr>
          <w:rFonts w:hint="eastAsia" w:ascii="宋体" w:hAnsi="宋体" w:eastAsia="宋体" w:cs="宋体"/>
          <w:color w:val="000000"/>
          <w:highlight w:val="none"/>
        </w:rPr>
        <w:t>项目联系人：</w:t>
      </w:r>
      <w:r>
        <w:rPr>
          <w:rStyle w:val="20"/>
          <w:rFonts w:hint="eastAsia" w:cs="宋体"/>
          <w:color w:val="000000"/>
          <w:highlight w:val="none"/>
          <w:u w:val="single"/>
          <w:lang w:eastAsia="zh-CN"/>
        </w:rPr>
        <w:t>朱玉斌、苏莉</w:t>
      </w:r>
    </w:p>
    <w:p>
      <w:pPr>
        <w:pStyle w:val="13"/>
        <w:pageBreakBefore w:val="0"/>
        <w:kinsoku/>
        <w:wordWrap/>
        <w:overflowPunct/>
        <w:topLinePunct w:val="0"/>
        <w:autoSpaceDE/>
        <w:autoSpaceDN/>
        <w:bidi w:val="0"/>
        <w:adjustRightInd/>
        <w:snapToGrid w:val="0"/>
        <w:spacing w:before="0" w:beforeAutospacing="0" w:after="0" w:afterAutospacing="0" w:line="360" w:lineRule="auto"/>
        <w:textAlignment w:val="auto"/>
        <w:rPr>
          <w:rFonts w:hint="eastAsia" w:ascii="宋体" w:hAnsi="宋体" w:eastAsia="宋体" w:cs="宋体"/>
          <w:color w:val="000000"/>
          <w:highlight w:val="none"/>
        </w:rPr>
      </w:pPr>
      <w:r>
        <w:rPr>
          <w:rFonts w:hint="eastAsia" w:ascii="宋体" w:hAnsi="宋体" w:eastAsia="宋体" w:cs="宋体"/>
          <w:color w:val="000000"/>
          <w:highlight w:val="none"/>
        </w:rPr>
        <w:t>电 话：</w:t>
      </w:r>
      <w:r>
        <w:rPr>
          <w:rFonts w:hint="eastAsia" w:ascii="宋体" w:hAnsi="宋体" w:eastAsia="宋体" w:cs="宋体"/>
          <w:color w:val="000000"/>
          <w:highlight w:val="none"/>
          <w:u w:val="single"/>
          <w:lang w:eastAsia="zh-CN"/>
        </w:rPr>
        <w:t>13009617191、18599017770</w:t>
      </w:r>
    </w:p>
    <w:p>
      <w:pPr>
        <w:pStyle w:val="12"/>
        <w:keepNext w:val="0"/>
        <w:keepLines w:val="0"/>
        <w:pageBreakBefore w:val="0"/>
        <w:widowControl w:val="0"/>
        <w:kinsoku/>
        <w:wordWrap/>
        <w:overflowPunct/>
        <w:topLinePunct w:val="0"/>
        <w:autoSpaceDE/>
        <w:autoSpaceDN/>
        <w:bidi w:val="0"/>
        <w:adjustRightInd/>
        <w:snapToGrid/>
        <w:textAlignment w:val="auto"/>
        <w:rPr>
          <w:rFonts w:hint="default" w:ascii="宋体" w:hAnsi="宋体" w:cs="宋体"/>
          <w:sz w:val="24"/>
          <w:szCs w:val="24"/>
          <w:highlight w:val="none"/>
          <w:u w:val="single"/>
          <w:lang w:val="en-US" w:eastAsia="zh-CN"/>
        </w:rPr>
      </w:pPr>
    </w:p>
    <w:p>
      <w:pPr>
        <w:pStyle w:val="12"/>
        <w:keepNext w:val="0"/>
        <w:keepLines w:val="0"/>
        <w:pageBreakBefore w:val="0"/>
        <w:widowControl w:val="0"/>
        <w:kinsoku/>
        <w:wordWrap/>
        <w:overflowPunct/>
        <w:topLinePunct w:val="0"/>
        <w:autoSpaceDE/>
        <w:autoSpaceDN/>
        <w:bidi w:val="0"/>
        <w:adjustRightInd/>
        <w:snapToGrid/>
        <w:textAlignment w:val="auto"/>
        <w:rPr>
          <w:highlight w:val="none"/>
        </w:rPr>
      </w:pPr>
    </w:p>
    <w:p>
      <w:pPr>
        <w:pStyle w:val="12"/>
        <w:keepNext w:val="0"/>
        <w:keepLines w:val="0"/>
        <w:pageBreakBefore w:val="0"/>
        <w:widowControl w:val="0"/>
        <w:kinsoku/>
        <w:wordWrap/>
        <w:overflowPunct/>
        <w:topLinePunct w:val="0"/>
        <w:autoSpaceDE/>
        <w:autoSpaceDN/>
        <w:bidi w:val="0"/>
        <w:adjustRightInd/>
        <w:snapToGrid/>
        <w:textAlignment w:val="auto"/>
        <w:rPr>
          <w:highlight w:val="none"/>
        </w:rPr>
      </w:pPr>
    </w:p>
    <w:p>
      <w:pPr>
        <w:pStyle w:val="12"/>
        <w:keepNext w:val="0"/>
        <w:keepLines w:val="0"/>
        <w:pageBreakBefore w:val="0"/>
        <w:widowControl w:val="0"/>
        <w:kinsoku/>
        <w:wordWrap/>
        <w:overflowPunct/>
        <w:topLinePunct w:val="0"/>
        <w:autoSpaceDE/>
        <w:autoSpaceDN/>
        <w:bidi w:val="0"/>
        <w:adjustRightInd/>
        <w:snapToGrid/>
        <w:textAlignment w:val="auto"/>
        <w:rPr>
          <w:highlight w:val="none"/>
        </w:rPr>
      </w:pPr>
    </w:p>
    <w:p>
      <w:pPr>
        <w:pStyle w:val="12"/>
        <w:keepNext w:val="0"/>
        <w:keepLines w:val="0"/>
        <w:pageBreakBefore w:val="0"/>
        <w:widowControl w:val="0"/>
        <w:kinsoku/>
        <w:wordWrap/>
        <w:overflowPunct/>
        <w:topLinePunct w:val="0"/>
        <w:autoSpaceDE/>
        <w:autoSpaceDN/>
        <w:bidi w:val="0"/>
        <w:adjustRightInd/>
        <w:snapToGrid/>
        <w:textAlignment w:val="auto"/>
        <w:rPr>
          <w:highlight w:val="none"/>
        </w:rPr>
      </w:pPr>
    </w:p>
    <w:p>
      <w:pPr>
        <w:pStyle w:val="12"/>
        <w:keepNext w:val="0"/>
        <w:keepLines w:val="0"/>
        <w:pageBreakBefore w:val="0"/>
        <w:widowControl w:val="0"/>
        <w:kinsoku/>
        <w:wordWrap/>
        <w:overflowPunct/>
        <w:topLinePunct w:val="0"/>
        <w:autoSpaceDE/>
        <w:autoSpaceDN/>
        <w:bidi w:val="0"/>
        <w:adjustRightInd/>
        <w:snapToGrid/>
        <w:textAlignment w:val="auto"/>
        <w:rPr>
          <w:highlight w:val="none"/>
        </w:rPr>
      </w:pPr>
    </w:p>
    <w:p>
      <w:pPr>
        <w:pStyle w:val="12"/>
        <w:keepNext w:val="0"/>
        <w:keepLines w:val="0"/>
        <w:pageBreakBefore w:val="0"/>
        <w:widowControl w:val="0"/>
        <w:kinsoku/>
        <w:wordWrap/>
        <w:overflowPunct/>
        <w:topLinePunct w:val="0"/>
        <w:autoSpaceDE/>
        <w:autoSpaceDN/>
        <w:bidi w:val="0"/>
        <w:adjustRightInd/>
        <w:snapToGrid/>
        <w:textAlignment w:val="auto"/>
        <w:rPr>
          <w:highlight w:val="none"/>
        </w:rPr>
      </w:pPr>
    </w:p>
    <w:p>
      <w:pPr>
        <w:pStyle w:val="12"/>
        <w:keepNext w:val="0"/>
        <w:keepLines w:val="0"/>
        <w:pageBreakBefore w:val="0"/>
        <w:widowControl w:val="0"/>
        <w:kinsoku/>
        <w:wordWrap/>
        <w:overflowPunct/>
        <w:topLinePunct w:val="0"/>
        <w:autoSpaceDE/>
        <w:autoSpaceDN/>
        <w:bidi w:val="0"/>
        <w:adjustRightInd/>
        <w:snapToGrid/>
        <w:textAlignment w:val="auto"/>
        <w:rPr>
          <w:highlight w:val="none"/>
        </w:rPr>
      </w:pPr>
    </w:p>
    <w:p>
      <w:pPr>
        <w:pStyle w:val="12"/>
        <w:keepNext w:val="0"/>
        <w:keepLines w:val="0"/>
        <w:pageBreakBefore w:val="0"/>
        <w:widowControl w:val="0"/>
        <w:kinsoku/>
        <w:wordWrap/>
        <w:overflowPunct/>
        <w:topLinePunct w:val="0"/>
        <w:autoSpaceDE/>
        <w:autoSpaceDN/>
        <w:bidi w:val="0"/>
        <w:adjustRightInd/>
        <w:snapToGrid/>
        <w:textAlignment w:val="auto"/>
        <w:rPr>
          <w:highlight w:val="none"/>
        </w:rPr>
      </w:pPr>
    </w:p>
    <w:p>
      <w:pPr>
        <w:pStyle w:val="12"/>
        <w:keepNext w:val="0"/>
        <w:keepLines w:val="0"/>
        <w:pageBreakBefore w:val="0"/>
        <w:widowControl w:val="0"/>
        <w:kinsoku/>
        <w:wordWrap/>
        <w:overflowPunct/>
        <w:topLinePunct w:val="0"/>
        <w:autoSpaceDE/>
        <w:autoSpaceDN/>
        <w:bidi w:val="0"/>
        <w:adjustRightInd/>
        <w:snapToGrid/>
        <w:textAlignment w:val="auto"/>
        <w:rPr>
          <w:highlight w:val="none"/>
        </w:rPr>
      </w:pPr>
    </w:p>
    <w:p>
      <w:pPr>
        <w:pStyle w:val="12"/>
        <w:keepNext w:val="0"/>
        <w:keepLines w:val="0"/>
        <w:pageBreakBefore w:val="0"/>
        <w:widowControl w:val="0"/>
        <w:kinsoku/>
        <w:wordWrap/>
        <w:overflowPunct/>
        <w:topLinePunct w:val="0"/>
        <w:autoSpaceDE/>
        <w:autoSpaceDN/>
        <w:bidi w:val="0"/>
        <w:adjustRightInd/>
        <w:snapToGrid/>
        <w:textAlignment w:val="auto"/>
        <w:rPr>
          <w:highlight w:val="none"/>
        </w:rPr>
      </w:pPr>
    </w:p>
    <w:p>
      <w:pPr>
        <w:pStyle w:val="12"/>
        <w:keepNext w:val="0"/>
        <w:keepLines w:val="0"/>
        <w:pageBreakBefore w:val="0"/>
        <w:widowControl w:val="0"/>
        <w:kinsoku/>
        <w:wordWrap/>
        <w:overflowPunct/>
        <w:topLinePunct w:val="0"/>
        <w:autoSpaceDE/>
        <w:autoSpaceDN/>
        <w:bidi w:val="0"/>
        <w:adjustRightInd/>
        <w:snapToGrid/>
        <w:textAlignment w:val="auto"/>
        <w:rPr>
          <w:highlight w:val="none"/>
        </w:rPr>
      </w:pPr>
    </w:p>
    <w:p>
      <w:pPr>
        <w:pStyle w:val="12"/>
        <w:keepNext w:val="0"/>
        <w:keepLines w:val="0"/>
        <w:pageBreakBefore w:val="0"/>
        <w:widowControl w:val="0"/>
        <w:kinsoku/>
        <w:wordWrap/>
        <w:overflowPunct/>
        <w:topLinePunct w:val="0"/>
        <w:autoSpaceDE/>
        <w:autoSpaceDN/>
        <w:bidi w:val="0"/>
        <w:adjustRightInd/>
        <w:snapToGrid/>
        <w:textAlignment w:val="auto"/>
        <w:rPr>
          <w:highlight w:val="none"/>
        </w:rPr>
      </w:pPr>
    </w:p>
    <w:p>
      <w:pPr>
        <w:pStyle w:val="12"/>
        <w:keepNext w:val="0"/>
        <w:keepLines w:val="0"/>
        <w:pageBreakBefore w:val="0"/>
        <w:widowControl w:val="0"/>
        <w:kinsoku/>
        <w:wordWrap/>
        <w:overflowPunct/>
        <w:topLinePunct w:val="0"/>
        <w:autoSpaceDE/>
        <w:autoSpaceDN/>
        <w:bidi w:val="0"/>
        <w:adjustRightInd/>
        <w:snapToGrid/>
        <w:textAlignment w:val="auto"/>
        <w:rPr>
          <w:highlight w:val="none"/>
        </w:rPr>
      </w:pPr>
    </w:p>
    <w:p>
      <w:pPr>
        <w:bidi w:val="0"/>
        <w:rPr>
          <w:rFonts w:hint="eastAsia"/>
          <w:highlight w:val="none"/>
        </w:rPr>
      </w:pPr>
      <w:bookmarkStart w:id="2" w:name="_Toc16938518"/>
      <w:bookmarkStart w:id="3" w:name="_Toc13939"/>
      <w:bookmarkStart w:id="4" w:name="_Toc120614213"/>
      <w:bookmarkStart w:id="5" w:name="_Toc9359"/>
      <w:bookmarkStart w:id="6" w:name="_Toc513029202"/>
      <w:bookmarkStart w:id="7" w:name="_Toc20823274"/>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pStyle w:val="2"/>
        <w:keepNext/>
        <w:keepLines w:val="0"/>
        <w:pageBreakBefore/>
        <w:widowControl w:val="0"/>
        <w:kinsoku/>
        <w:wordWrap/>
        <w:overflowPunct/>
        <w:topLinePunct w:val="0"/>
        <w:autoSpaceDE/>
        <w:autoSpaceDN/>
        <w:bidi w:val="0"/>
        <w:adjustRightInd/>
        <w:snapToGrid/>
        <w:textAlignment w:val="auto"/>
        <w:rPr>
          <w:highlight w:val="none"/>
        </w:rPr>
      </w:pPr>
      <w:bookmarkStart w:id="8" w:name="_Toc20905"/>
      <w:r>
        <w:rPr>
          <w:rFonts w:hint="eastAsia"/>
          <w:highlight w:val="none"/>
        </w:rPr>
        <w:t xml:space="preserve">第二章 </w:t>
      </w:r>
      <w:r>
        <w:rPr>
          <w:rFonts w:hint="eastAsia"/>
          <w:highlight w:val="none"/>
          <w:lang w:eastAsia="zh-CN"/>
        </w:rPr>
        <w:t>供应商</w:t>
      </w:r>
      <w:r>
        <w:rPr>
          <w:rFonts w:hint="eastAsia"/>
          <w:highlight w:val="none"/>
        </w:rPr>
        <w:t>须知</w:t>
      </w:r>
      <w:bookmarkEnd w:id="2"/>
      <w:bookmarkEnd w:id="3"/>
      <w:bookmarkEnd w:id="4"/>
      <w:bookmarkEnd w:id="5"/>
      <w:bookmarkEnd w:id="6"/>
      <w:bookmarkEnd w:id="7"/>
      <w:bookmarkEnd w:id="8"/>
    </w:p>
    <w:p>
      <w:pPr>
        <w:pStyle w:val="4"/>
        <w:rPr>
          <w:highlight w:val="none"/>
        </w:rPr>
      </w:pPr>
      <w:bookmarkStart w:id="9" w:name="_Toc19352"/>
      <w:bookmarkStart w:id="10" w:name="_Toc21065"/>
      <w:r>
        <w:rPr>
          <w:rFonts w:hint="eastAsia"/>
          <w:highlight w:val="none"/>
        </w:rPr>
        <w:t xml:space="preserve">一、总  </w:t>
      </w:r>
      <w:bookmarkStart w:id="11" w:name="_Toc9510635"/>
      <w:r>
        <w:rPr>
          <w:rFonts w:hint="eastAsia"/>
          <w:highlight w:val="none"/>
        </w:rPr>
        <w:t>则</w:t>
      </w:r>
      <w:bookmarkEnd w:id="9"/>
      <w:bookmarkEnd w:id="10"/>
    </w:p>
    <w:p>
      <w:pPr>
        <w:pStyle w:val="5"/>
        <w:rPr>
          <w:highlight w:val="none"/>
        </w:rPr>
      </w:pPr>
      <w:bookmarkStart w:id="12" w:name="_Toc26214"/>
      <w:r>
        <w:rPr>
          <w:rFonts w:hint="eastAsia"/>
          <w:highlight w:val="none"/>
        </w:rPr>
        <w:t>1、适用</w:t>
      </w:r>
      <w:bookmarkEnd w:id="11"/>
      <w:r>
        <w:rPr>
          <w:rFonts w:hint="eastAsia"/>
          <w:highlight w:val="none"/>
        </w:rPr>
        <w:t>范围</w:t>
      </w:r>
      <w:bookmarkEnd w:id="12"/>
    </w:p>
    <w:p>
      <w:pPr>
        <w:adjustRightInd w:val="0"/>
        <w:snapToGrid w:val="0"/>
        <w:spacing w:line="500" w:lineRule="exact"/>
        <w:ind w:firstLine="480" w:firstLineChars="200"/>
        <w:jc w:val="lef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本招标文件适用于</w:t>
      </w:r>
      <w:r>
        <w:rPr>
          <w:rFonts w:hint="eastAsia" w:asciiTheme="majorEastAsia" w:hAnsiTheme="majorEastAsia" w:eastAsiaTheme="majorEastAsia" w:cstheme="majorEastAsia"/>
          <w:bCs/>
          <w:sz w:val="24"/>
          <w:szCs w:val="24"/>
          <w:highlight w:val="none"/>
        </w:rPr>
        <w:t>本次采购项目</w:t>
      </w:r>
      <w:r>
        <w:rPr>
          <w:rFonts w:hint="eastAsia" w:asciiTheme="majorEastAsia" w:hAnsiTheme="majorEastAsia" w:eastAsiaTheme="majorEastAsia" w:cstheme="majorEastAsia"/>
          <w:sz w:val="24"/>
          <w:szCs w:val="24"/>
          <w:highlight w:val="none"/>
        </w:rPr>
        <w:t>的招标、投标、评标、定标、验收、合同履约、付款等行为（法律、法规另有规定的，从其规定）。</w:t>
      </w:r>
    </w:p>
    <w:p>
      <w:pPr>
        <w:pStyle w:val="5"/>
        <w:rPr>
          <w:highlight w:val="none"/>
        </w:rPr>
      </w:pPr>
      <w:bookmarkStart w:id="13" w:name="_Toc24800"/>
      <w:r>
        <w:rPr>
          <w:rFonts w:hint="eastAsia"/>
          <w:highlight w:val="none"/>
        </w:rPr>
        <w:t>2、定义</w:t>
      </w:r>
      <w:bookmarkEnd w:id="13"/>
    </w:p>
    <w:p>
      <w:pPr>
        <w:adjustRightInd w:val="0"/>
        <w:snapToGrid w:val="0"/>
        <w:spacing w:line="500" w:lineRule="exact"/>
        <w:ind w:firstLine="480" w:firstLineChars="200"/>
        <w:jc w:val="lef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2.1 招标采购单位（采购人）系指采购单位。</w:t>
      </w:r>
    </w:p>
    <w:p>
      <w:pPr>
        <w:adjustRightInd w:val="0"/>
        <w:snapToGrid w:val="0"/>
        <w:spacing w:line="500" w:lineRule="exact"/>
        <w:ind w:firstLine="480" w:firstLineChars="200"/>
        <w:jc w:val="lef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2.2 “</w:t>
      </w:r>
      <w:r>
        <w:rPr>
          <w:rFonts w:hint="eastAsia" w:asciiTheme="majorEastAsia" w:hAnsiTheme="majorEastAsia" w:eastAsiaTheme="majorEastAsia" w:cstheme="majorEastAsia"/>
          <w:sz w:val="24"/>
          <w:szCs w:val="24"/>
          <w:highlight w:val="none"/>
          <w:lang w:eastAsia="zh-CN"/>
        </w:rPr>
        <w:t>供应商</w:t>
      </w:r>
      <w:r>
        <w:rPr>
          <w:rFonts w:hint="eastAsia" w:asciiTheme="majorEastAsia" w:hAnsiTheme="majorEastAsia" w:eastAsiaTheme="majorEastAsia" w:cstheme="majorEastAsia"/>
          <w:sz w:val="24"/>
          <w:szCs w:val="24"/>
          <w:highlight w:val="none"/>
        </w:rPr>
        <w:t>”系指向采购方提交投标文件的法人、其他组织或者自然人。</w:t>
      </w:r>
    </w:p>
    <w:p>
      <w:pPr>
        <w:adjustRightInd w:val="0"/>
        <w:snapToGrid w:val="0"/>
        <w:spacing w:line="500" w:lineRule="exact"/>
        <w:ind w:firstLine="480" w:firstLineChars="200"/>
        <w:jc w:val="lef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2.3 “产品”系指供方按招标文件规定，须向采购人提供的一切设备、保险、税金、备品备件、工具、手册及其它有关技术资料和材料。</w:t>
      </w:r>
    </w:p>
    <w:p>
      <w:pPr>
        <w:adjustRightInd w:val="0"/>
        <w:snapToGrid w:val="0"/>
        <w:spacing w:line="500" w:lineRule="exact"/>
        <w:ind w:firstLine="480" w:firstLineChars="200"/>
        <w:jc w:val="lef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2.4 “服务”系指招标文件规定</w:t>
      </w:r>
      <w:r>
        <w:rPr>
          <w:rFonts w:hint="eastAsia" w:asciiTheme="majorEastAsia" w:hAnsiTheme="majorEastAsia" w:eastAsiaTheme="majorEastAsia" w:cstheme="majorEastAsia"/>
          <w:sz w:val="24"/>
          <w:szCs w:val="24"/>
          <w:highlight w:val="none"/>
          <w:lang w:eastAsia="zh-CN"/>
        </w:rPr>
        <w:t>供应商</w:t>
      </w:r>
      <w:r>
        <w:rPr>
          <w:rFonts w:hint="eastAsia" w:asciiTheme="majorEastAsia" w:hAnsiTheme="majorEastAsia" w:eastAsiaTheme="majorEastAsia" w:cstheme="majorEastAsia"/>
          <w:sz w:val="24"/>
          <w:szCs w:val="24"/>
          <w:highlight w:val="none"/>
        </w:rPr>
        <w:t>须承担的安装、调试、技术协助、校准、培训、技术指导以及其他类似的义务。</w:t>
      </w:r>
    </w:p>
    <w:p>
      <w:pPr>
        <w:adjustRightInd w:val="0"/>
        <w:snapToGrid w:val="0"/>
        <w:spacing w:line="500" w:lineRule="exact"/>
        <w:ind w:firstLine="480" w:firstLineChars="200"/>
        <w:jc w:val="lef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2.5 “项目”系指</w:t>
      </w:r>
      <w:r>
        <w:rPr>
          <w:rFonts w:hint="eastAsia" w:asciiTheme="majorEastAsia" w:hAnsiTheme="majorEastAsia" w:eastAsiaTheme="majorEastAsia" w:cstheme="majorEastAsia"/>
          <w:sz w:val="24"/>
          <w:szCs w:val="24"/>
          <w:highlight w:val="none"/>
          <w:lang w:eastAsia="zh-CN"/>
        </w:rPr>
        <w:t>供应商</w:t>
      </w:r>
      <w:r>
        <w:rPr>
          <w:rFonts w:hint="eastAsia" w:asciiTheme="majorEastAsia" w:hAnsiTheme="majorEastAsia" w:eastAsiaTheme="majorEastAsia" w:cstheme="majorEastAsia"/>
          <w:sz w:val="24"/>
          <w:szCs w:val="24"/>
          <w:highlight w:val="none"/>
        </w:rPr>
        <w:t>按招标文件规定向采购人提供的产品和服务。</w:t>
      </w:r>
    </w:p>
    <w:p>
      <w:pPr>
        <w:adjustRightInd w:val="0"/>
        <w:snapToGrid w:val="0"/>
        <w:spacing w:line="500" w:lineRule="exact"/>
        <w:ind w:firstLine="480" w:firstLineChars="200"/>
        <w:jc w:val="lef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2.6 “书面形式”包括信函、传真、电子邮件等。</w:t>
      </w:r>
    </w:p>
    <w:p>
      <w:pPr>
        <w:adjustRightInd w:val="0"/>
        <w:snapToGrid w:val="0"/>
        <w:spacing w:line="500" w:lineRule="exact"/>
        <w:ind w:firstLine="480" w:firstLineChars="200"/>
        <w:jc w:val="lef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2.7实质性响应:系指投标文件符合招标文件规定的实质性内容、条件和规定。</w:t>
      </w:r>
    </w:p>
    <w:p>
      <w:pPr>
        <w:adjustRightInd w:val="0"/>
        <w:snapToGrid w:val="0"/>
        <w:spacing w:line="500" w:lineRule="exact"/>
        <w:ind w:firstLine="480" w:firstLineChars="200"/>
        <w:jc w:val="lef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2.8重大偏离或保留：系指将会影响到招标文件规定的服务范围、质量标准，或会给合同中规定的</w:t>
      </w:r>
      <w:r>
        <w:rPr>
          <w:rFonts w:hint="eastAsia" w:asciiTheme="majorEastAsia" w:hAnsiTheme="majorEastAsia" w:eastAsiaTheme="majorEastAsia" w:cstheme="majorEastAsia"/>
          <w:sz w:val="24"/>
          <w:szCs w:val="24"/>
          <w:highlight w:val="none"/>
          <w:lang w:eastAsia="zh-CN"/>
        </w:rPr>
        <w:t>采购人</w:t>
      </w:r>
      <w:r>
        <w:rPr>
          <w:rFonts w:hint="eastAsia" w:asciiTheme="majorEastAsia" w:hAnsiTheme="majorEastAsia" w:eastAsiaTheme="majorEastAsia" w:cstheme="majorEastAsia"/>
          <w:sz w:val="24"/>
          <w:szCs w:val="24"/>
          <w:highlight w:val="none"/>
        </w:rPr>
        <w:t>的权利和</w:t>
      </w:r>
      <w:r>
        <w:rPr>
          <w:rFonts w:hint="eastAsia" w:asciiTheme="majorEastAsia" w:hAnsiTheme="majorEastAsia" w:eastAsiaTheme="majorEastAsia" w:cstheme="majorEastAsia"/>
          <w:sz w:val="24"/>
          <w:szCs w:val="24"/>
          <w:highlight w:val="none"/>
          <w:lang w:eastAsia="zh-CN"/>
        </w:rPr>
        <w:t>供应商</w:t>
      </w:r>
      <w:r>
        <w:rPr>
          <w:rFonts w:hint="eastAsia" w:asciiTheme="majorEastAsia" w:hAnsiTheme="majorEastAsia" w:eastAsiaTheme="majorEastAsia" w:cstheme="majorEastAsia"/>
          <w:sz w:val="24"/>
          <w:szCs w:val="24"/>
          <w:highlight w:val="none"/>
        </w:rPr>
        <w:t>的责任造成实质性限制，而纠正这些偏离或保留将对其他提交了实质性响应的投标文件的</w:t>
      </w:r>
      <w:r>
        <w:rPr>
          <w:rFonts w:hint="eastAsia" w:asciiTheme="majorEastAsia" w:hAnsiTheme="majorEastAsia" w:eastAsiaTheme="majorEastAsia" w:cstheme="majorEastAsia"/>
          <w:sz w:val="24"/>
          <w:szCs w:val="24"/>
          <w:highlight w:val="none"/>
          <w:lang w:eastAsia="zh-CN"/>
        </w:rPr>
        <w:t>供应商</w:t>
      </w:r>
      <w:r>
        <w:rPr>
          <w:rFonts w:hint="eastAsia" w:asciiTheme="majorEastAsia" w:hAnsiTheme="majorEastAsia" w:eastAsiaTheme="majorEastAsia" w:cstheme="majorEastAsia"/>
          <w:sz w:val="24"/>
          <w:szCs w:val="24"/>
          <w:highlight w:val="none"/>
        </w:rPr>
        <w:t>产生不公平影响的。</w:t>
      </w:r>
    </w:p>
    <w:p>
      <w:pPr>
        <w:adjustRightInd w:val="0"/>
        <w:snapToGrid w:val="0"/>
        <w:spacing w:line="500" w:lineRule="exact"/>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2.9 细微偏离：系指投标文件对招标文件的非实质性内容存在不完全响应或不响应。</w:t>
      </w:r>
    </w:p>
    <w:p>
      <w:pPr>
        <w:pStyle w:val="5"/>
        <w:rPr>
          <w:highlight w:val="none"/>
        </w:rPr>
      </w:pPr>
      <w:bookmarkStart w:id="14" w:name="_Toc17392"/>
      <w:r>
        <w:rPr>
          <w:rFonts w:hint="eastAsia"/>
          <w:highlight w:val="none"/>
        </w:rPr>
        <w:t>3、招标方式</w:t>
      </w:r>
      <w:bookmarkEnd w:id="14"/>
    </w:p>
    <w:p>
      <w:pPr>
        <w:adjustRightInd w:val="0"/>
        <w:snapToGrid w:val="0"/>
        <w:spacing w:line="400" w:lineRule="exact"/>
        <w:ind w:firstLine="480" w:firstLineChars="200"/>
        <w:jc w:val="lef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本项目采用公开招标方式进行。</w:t>
      </w:r>
    </w:p>
    <w:p>
      <w:pPr>
        <w:pStyle w:val="5"/>
        <w:rPr>
          <w:color w:val="auto"/>
          <w:highlight w:val="none"/>
        </w:rPr>
      </w:pPr>
      <w:bookmarkStart w:id="15" w:name="_Toc32376"/>
      <w:bookmarkStart w:id="16" w:name="_Toc21031"/>
      <w:r>
        <w:rPr>
          <w:rFonts w:hint="eastAsia"/>
          <w:color w:val="auto"/>
          <w:highlight w:val="none"/>
        </w:rPr>
        <w:t>4、投标委托</w:t>
      </w:r>
      <w:bookmarkEnd w:id="15"/>
    </w:p>
    <w:p>
      <w:pPr>
        <w:adjustRightInd w:val="0"/>
        <w:snapToGrid w:val="0"/>
        <w:spacing w:line="500" w:lineRule="exact"/>
        <w:ind w:firstLine="464" w:firstLineChars="200"/>
        <w:jc w:val="left"/>
        <w:rPr>
          <w:rFonts w:asciiTheme="majorEastAsia" w:hAnsiTheme="majorEastAsia" w:eastAsiaTheme="majorEastAsia" w:cstheme="majorEastAsia"/>
          <w:color w:val="auto"/>
          <w:spacing w:val="-4"/>
          <w:sz w:val="24"/>
          <w:szCs w:val="24"/>
          <w:highlight w:val="none"/>
        </w:rPr>
      </w:pPr>
      <w:r>
        <w:rPr>
          <w:rFonts w:hint="eastAsia" w:asciiTheme="majorEastAsia" w:hAnsiTheme="majorEastAsia" w:eastAsiaTheme="majorEastAsia" w:cstheme="majorEastAsia"/>
          <w:color w:val="auto"/>
          <w:spacing w:val="-4"/>
          <w:sz w:val="24"/>
          <w:szCs w:val="24"/>
          <w:highlight w:val="none"/>
        </w:rPr>
        <w:t>本项目采用远程不见面交易的模式。开标当日，</w:t>
      </w:r>
      <w:r>
        <w:rPr>
          <w:rFonts w:hint="eastAsia" w:asciiTheme="majorEastAsia" w:hAnsiTheme="majorEastAsia" w:eastAsiaTheme="majorEastAsia" w:cstheme="majorEastAsia"/>
          <w:color w:val="auto"/>
          <w:spacing w:val="-4"/>
          <w:sz w:val="24"/>
          <w:szCs w:val="24"/>
          <w:highlight w:val="none"/>
          <w:lang w:eastAsia="zh-CN"/>
        </w:rPr>
        <w:t>供应商</w:t>
      </w:r>
      <w:r>
        <w:rPr>
          <w:rFonts w:hint="eastAsia" w:asciiTheme="majorEastAsia" w:hAnsiTheme="majorEastAsia" w:eastAsiaTheme="majorEastAsia" w:cstheme="majorEastAsia"/>
          <w:color w:val="auto"/>
          <w:spacing w:val="-4"/>
          <w:sz w:val="24"/>
          <w:szCs w:val="24"/>
          <w:highlight w:val="none"/>
        </w:rPr>
        <w:t>无需到达开标现场，仅需登录“政采云”平台 (https://www.zcygov.cn/)开标大厅完成远程解密、提疑澄清、开标唱标、结果公布等交互环节。</w:t>
      </w:r>
    </w:p>
    <w:p>
      <w:pPr>
        <w:pStyle w:val="5"/>
        <w:rPr>
          <w:highlight w:val="none"/>
        </w:rPr>
      </w:pPr>
      <w:r>
        <w:rPr>
          <w:rFonts w:hint="eastAsia"/>
          <w:highlight w:val="none"/>
        </w:rPr>
        <w:t>5、投标费用</w:t>
      </w:r>
      <w:bookmarkEnd w:id="16"/>
    </w:p>
    <w:p>
      <w:pPr>
        <w:adjustRightInd w:val="0"/>
        <w:snapToGrid w:val="0"/>
        <w:spacing w:line="400" w:lineRule="exact"/>
        <w:ind w:firstLine="480" w:firstLineChars="200"/>
        <w:jc w:val="lef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不论投标结果如何，</w:t>
      </w:r>
      <w:r>
        <w:rPr>
          <w:rFonts w:hint="eastAsia" w:asciiTheme="majorEastAsia" w:hAnsiTheme="majorEastAsia" w:eastAsiaTheme="majorEastAsia" w:cstheme="majorEastAsia"/>
          <w:sz w:val="24"/>
          <w:szCs w:val="24"/>
          <w:highlight w:val="none"/>
          <w:lang w:eastAsia="zh-CN"/>
        </w:rPr>
        <w:t>供应商</w:t>
      </w:r>
      <w:r>
        <w:rPr>
          <w:rFonts w:hint="eastAsia" w:asciiTheme="majorEastAsia" w:hAnsiTheme="majorEastAsia" w:eastAsiaTheme="majorEastAsia" w:cstheme="majorEastAsia"/>
          <w:sz w:val="24"/>
          <w:szCs w:val="24"/>
          <w:highlight w:val="none"/>
        </w:rPr>
        <w:t>均应自行承担所有与投标有关的全部费用。</w:t>
      </w:r>
    </w:p>
    <w:p>
      <w:pPr>
        <w:pStyle w:val="5"/>
        <w:rPr>
          <w:highlight w:val="none"/>
        </w:rPr>
      </w:pPr>
      <w:bookmarkStart w:id="17" w:name="_Toc505"/>
      <w:r>
        <w:rPr>
          <w:rFonts w:hint="eastAsia"/>
          <w:highlight w:val="none"/>
        </w:rPr>
        <w:t>6、分包转包</w:t>
      </w:r>
      <w:bookmarkEnd w:id="17"/>
    </w:p>
    <w:p>
      <w:pPr>
        <w:adjustRightInd w:val="0"/>
        <w:snapToGrid w:val="0"/>
        <w:spacing w:line="400" w:lineRule="exact"/>
        <w:ind w:firstLine="480" w:firstLineChars="200"/>
        <w:jc w:val="lef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本项目不允许分包和转包。</w:t>
      </w:r>
    </w:p>
    <w:p>
      <w:pPr>
        <w:pStyle w:val="5"/>
        <w:rPr>
          <w:highlight w:val="none"/>
        </w:rPr>
      </w:pPr>
      <w:bookmarkStart w:id="18" w:name="_Toc5076"/>
      <w:r>
        <w:rPr>
          <w:rFonts w:hint="eastAsia"/>
          <w:highlight w:val="none"/>
        </w:rPr>
        <w:t>7、提供相同品牌产品处理</w:t>
      </w:r>
      <w:bookmarkEnd w:id="18"/>
    </w:p>
    <w:p>
      <w:pPr>
        <w:adjustRightInd w:val="0"/>
        <w:snapToGrid w:val="0"/>
        <w:spacing w:line="500" w:lineRule="exact"/>
        <w:ind w:firstLine="470" w:firstLineChars="196"/>
        <w:jc w:val="lef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提供相同品牌产品且通过资格审查、符合性审查的不同</w:t>
      </w:r>
      <w:r>
        <w:rPr>
          <w:rFonts w:hint="eastAsia" w:asciiTheme="majorEastAsia" w:hAnsiTheme="majorEastAsia" w:eastAsiaTheme="majorEastAsia" w:cstheme="majorEastAsia"/>
          <w:sz w:val="24"/>
          <w:szCs w:val="24"/>
          <w:highlight w:val="none"/>
          <w:lang w:eastAsia="zh-CN"/>
        </w:rPr>
        <w:t>供应商</w:t>
      </w:r>
      <w:r>
        <w:rPr>
          <w:rFonts w:hint="eastAsia" w:asciiTheme="majorEastAsia" w:hAnsiTheme="majorEastAsia" w:eastAsiaTheme="majorEastAsia" w:cstheme="majorEastAsia"/>
          <w:sz w:val="24"/>
          <w:szCs w:val="24"/>
          <w:highlight w:val="none"/>
        </w:rPr>
        <w:t>参加同一合同项下投标的，按一家</w:t>
      </w:r>
      <w:r>
        <w:rPr>
          <w:rFonts w:hint="eastAsia" w:asciiTheme="majorEastAsia" w:hAnsiTheme="majorEastAsia" w:eastAsiaTheme="majorEastAsia" w:cstheme="majorEastAsia"/>
          <w:sz w:val="24"/>
          <w:szCs w:val="24"/>
          <w:highlight w:val="none"/>
          <w:lang w:eastAsia="zh-CN"/>
        </w:rPr>
        <w:t>供应商</w:t>
      </w:r>
      <w:r>
        <w:rPr>
          <w:rFonts w:hint="eastAsia" w:asciiTheme="majorEastAsia" w:hAnsiTheme="majorEastAsia" w:eastAsiaTheme="majorEastAsia" w:cstheme="majorEastAsia"/>
          <w:sz w:val="24"/>
          <w:szCs w:val="24"/>
          <w:highlight w:val="none"/>
        </w:rPr>
        <w:t>计算，评审后得分最高的同品牌</w:t>
      </w:r>
      <w:r>
        <w:rPr>
          <w:rFonts w:hint="eastAsia" w:asciiTheme="majorEastAsia" w:hAnsiTheme="majorEastAsia" w:eastAsiaTheme="majorEastAsia" w:cstheme="majorEastAsia"/>
          <w:sz w:val="24"/>
          <w:szCs w:val="24"/>
          <w:highlight w:val="none"/>
          <w:lang w:eastAsia="zh-CN"/>
        </w:rPr>
        <w:t>供应商</w:t>
      </w:r>
      <w:r>
        <w:rPr>
          <w:rFonts w:hint="eastAsia" w:asciiTheme="majorEastAsia" w:hAnsiTheme="majorEastAsia" w:eastAsiaTheme="majorEastAsia" w:cstheme="majorEastAsia"/>
          <w:sz w:val="24"/>
          <w:szCs w:val="24"/>
          <w:highlight w:val="none"/>
        </w:rPr>
        <w:t>获得中标人推荐资格；评审得分相同的，商务部分得分最高的获得中标人推荐资格，商务部分得分相同的采取随机抽取方式确定，其他同品牌</w:t>
      </w:r>
      <w:r>
        <w:rPr>
          <w:rFonts w:hint="eastAsia" w:asciiTheme="majorEastAsia" w:hAnsiTheme="majorEastAsia" w:eastAsiaTheme="majorEastAsia" w:cstheme="majorEastAsia"/>
          <w:sz w:val="24"/>
          <w:szCs w:val="24"/>
          <w:highlight w:val="none"/>
          <w:lang w:eastAsia="zh-CN"/>
        </w:rPr>
        <w:t>供应商</w:t>
      </w:r>
      <w:r>
        <w:rPr>
          <w:rFonts w:hint="eastAsia" w:asciiTheme="majorEastAsia" w:hAnsiTheme="majorEastAsia" w:eastAsiaTheme="majorEastAsia" w:cstheme="majorEastAsia"/>
          <w:sz w:val="24"/>
          <w:szCs w:val="24"/>
          <w:highlight w:val="none"/>
        </w:rPr>
        <w:t xml:space="preserve">不作为中标候选人。 </w:t>
      </w:r>
    </w:p>
    <w:p>
      <w:pPr>
        <w:adjustRightInd w:val="0"/>
        <w:snapToGrid w:val="0"/>
        <w:spacing w:line="500" w:lineRule="exact"/>
        <w:ind w:firstLine="470" w:firstLineChars="196"/>
        <w:jc w:val="lef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非单一产品采购项目，采购人应当根据采购项目技术构成、产品价格比重等合理确定核心产品，并在招标文件中载明。多家</w:t>
      </w:r>
      <w:r>
        <w:rPr>
          <w:rFonts w:hint="eastAsia" w:asciiTheme="majorEastAsia" w:hAnsiTheme="majorEastAsia" w:eastAsiaTheme="majorEastAsia" w:cstheme="majorEastAsia"/>
          <w:sz w:val="24"/>
          <w:szCs w:val="24"/>
          <w:highlight w:val="none"/>
          <w:lang w:eastAsia="zh-CN"/>
        </w:rPr>
        <w:t>供应商</w:t>
      </w:r>
      <w:r>
        <w:rPr>
          <w:rFonts w:hint="eastAsia" w:asciiTheme="majorEastAsia" w:hAnsiTheme="majorEastAsia" w:eastAsiaTheme="majorEastAsia" w:cstheme="majorEastAsia"/>
          <w:sz w:val="24"/>
          <w:szCs w:val="24"/>
          <w:highlight w:val="none"/>
        </w:rPr>
        <w:t>提供的任一核心产品品牌相同的，按前款规定处理。</w:t>
      </w:r>
    </w:p>
    <w:p>
      <w:pPr>
        <w:pStyle w:val="5"/>
        <w:rPr>
          <w:highlight w:val="none"/>
        </w:rPr>
      </w:pPr>
      <w:bookmarkStart w:id="19" w:name="_Toc21631"/>
      <w:r>
        <w:rPr>
          <w:rFonts w:hint="eastAsia"/>
          <w:highlight w:val="none"/>
        </w:rPr>
        <w:t>8、特别说明：</w:t>
      </w:r>
      <w:bookmarkEnd w:id="19"/>
    </w:p>
    <w:p>
      <w:pPr>
        <w:adjustRightInd w:val="0"/>
        <w:snapToGrid w:val="0"/>
        <w:spacing w:line="500" w:lineRule="exact"/>
        <w:ind w:firstLine="470" w:firstLineChars="196"/>
        <w:jc w:val="left"/>
        <w:rPr>
          <w:rFonts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sz w:val="24"/>
          <w:szCs w:val="24"/>
          <w:highlight w:val="none"/>
        </w:rPr>
        <w:t xml:space="preserve">8.1 </w:t>
      </w:r>
      <w:r>
        <w:rPr>
          <w:rFonts w:hint="eastAsia" w:asciiTheme="majorEastAsia" w:hAnsiTheme="majorEastAsia" w:eastAsiaTheme="majorEastAsia" w:cstheme="majorEastAsia"/>
          <w:sz w:val="24"/>
          <w:szCs w:val="24"/>
          <w:highlight w:val="none"/>
          <w:lang w:eastAsia="zh-CN"/>
        </w:rPr>
        <w:t>供应商</w:t>
      </w:r>
      <w:r>
        <w:rPr>
          <w:rFonts w:hint="eastAsia" w:asciiTheme="majorEastAsia" w:hAnsiTheme="majorEastAsia" w:eastAsiaTheme="majorEastAsia" w:cstheme="majorEastAsia"/>
          <w:sz w:val="24"/>
          <w:szCs w:val="24"/>
          <w:highlight w:val="none"/>
        </w:rPr>
        <w:t>投标所使用的资格、信誉、荣誉、业绩与认证证书必须为本法人（其他组织、个人）所拥有。</w:t>
      </w:r>
    </w:p>
    <w:p>
      <w:pPr>
        <w:adjustRightInd w:val="0"/>
        <w:snapToGrid w:val="0"/>
        <w:spacing w:line="500" w:lineRule="exact"/>
        <w:ind w:left="2" w:leftChars="1"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8.2 </w:t>
      </w:r>
      <w:r>
        <w:rPr>
          <w:rFonts w:hint="eastAsia" w:asciiTheme="majorEastAsia" w:hAnsiTheme="majorEastAsia" w:eastAsiaTheme="majorEastAsia" w:cstheme="majorEastAsia"/>
          <w:sz w:val="24"/>
          <w:szCs w:val="24"/>
          <w:highlight w:val="none"/>
          <w:lang w:eastAsia="zh-CN"/>
        </w:rPr>
        <w:t>供应商</w:t>
      </w:r>
      <w:r>
        <w:rPr>
          <w:rFonts w:hint="eastAsia" w:asciiTheme="majorEastAsia" w:hAnsiTheme="majorEastAsia" w:eastAsiaTheme="majorEastAsia" w:cstheme="majorEastAsia"/>
          <w:sz w:val="24"/>
          <w:szCs w:val="24"/>
          <w:highlight w:val="none"/>
        </w:rPr>
        <w:t>应仔细阅读招标文件的所有内容，按照招标文件的要求提交投标文件，并对所提供的全部资料的真实性承担法律责任。</w:t>
      </w:r>
    </w:p>
    <w:p>
      <w:pPr>
        <w:adjustRightInd w:val="0"/>
        <w:snapToGrid w:val="0"/>
        <w:spacing w:line="500" w:lineRule="exact"/>
        <w:ind w:left="2" w:leftChars="1"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8.3 </w:t>
      </w:r>
      <w:r>
        <w:rPr>
          <w:rFonts w:hint="eastAsia" w:asciiTheme="majorEastAsia" w:hAnsiTheme="majorEastAsia" w:eastAsiaTheme="majorEastAsia" w:cstheme="majorEastAsia"/>
          <w:color w:val="auto"/>
          <w:sz w:val="24"/>
          <w:szCs w:val="24"/>
          <w:highlight w:val="none"/>
          <w:lang w:eastAsia="zh-CN"/>
        </w:rPr>
        <w:t>供应商在投标活动中提供任何虚假材料,其投标无效，并报监管部门查处；中标后发现的,中标人须依照《中华人民共和国消费者权益保护法》第五十五条之规定赔偿采购人，且民事赔偿并不免除违法供应商的行政与刑事责任。</w:t>
      </w:r>
    </w:p>
    <w:p>
      <w:pPr>
        <w:pStyle w:val="5"/>
        <w:rPr>
          <w:highlight w:val="none"/>
        </w:rPr>
      </w:pPr>
      <w:bookmarkStart w:id="20" w:name="_Toc24888"/>
      <w:r>
        <w:rPr>
          <w:rFonts w:hint="eastAsia"/>
          <w:highlight w:val="none"/>
        </w:rPr>
        <w:t>9、质疑</w:t>
      </w:r>
      <w:bookmarkEnd w:id="20"/>
    </w:p>
    <w:p>
      <w:pPr>
        <w:adjustRightInd w:val="0"/>
        <w:snapToGrid w:val="0"/>
        <w:spacing w:line="500" w:lineRule="exact"/>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9.1供应商认为招标文件、采购过程和中标、成交结果使自己的权益受到损害的，可以在知道或者应知其权益受到损害之日起七个工作日内，以书面形式向采购人提出质疑。</w:t>
      </w:r>
      <w:r>
        <w:rPr>
          <w:rFonts w:hint="eastAsia" w:asciiTheme="majorEastAsia" w:hAnsiTheme="majorEastAsia" w:eastAsiaTheme="majorEastAsia" w:cstheme="majorEastAsia"/>
          <w:bCs/>
          <w:color w:val="auto"/>
          <w:sz w:val="24"/>
          <w:szCs w:val="24"/>
          <w:highlight w:val="none"/>
          <w:lang w:val="en-US" w:eastAsia="zh-CN"/>
        </w:rPr>
        <w:t>供应商应在法定质疑期内一次性提出针对同一采购程序环节的质疑。</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质疑供应商对采购人、采购代理机构的答复不满意或者采购人、采购代理机构未在规定的时间内作出答复的，可以在答复期满后十五个工作日内向同级政府采购监督管理部门投诉。</w:t>
      </w:r>
    </w:p>
    <w:p>
      <w:pPr>
        <w:adjustRightInd w:val="0"/>
        <w:snapToGrid w:val="0"/>
        <w:spacing w:line="500" w:lineRule="exact"/>
        <w:ind w:firstLine="480" w:firstLineChars="200"/>
        <w:rPr>
          <w:rFonts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9.2 质疑、投诉应当采用书面形式，质疑书、投诉书均应明确阐述招标文件、招标过程或中标结果中使自己合法权益受到损害的实质性内容，提供相关事实、依据和证据及其来源或线索，便于有关单位调查、答复和处理。</w:t>
      </w:r>
    </w:p>
    <w:p>
      <w:pPr>
        <w:adjustRightInd w:val="0"/>
        <w:snapToGrid w:val="0"/>
        <w:spacing w:line="500" w:lineRule="exact"/>
        <w:ind w:firstLine="480" w:firstLineChars="200"/>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9.3质疑（投诉）书应载明质疑（投诉）人全称、地址、邮编、传真、联系人、联系电话，电子邮箱。</w:t>
      </w:r>
      <w:r>
        <w:rPr>
          <w:rFonts w:hint="eastAsia" w:asciiTheme="majorEastAsia" w:hAnsiTheme="majorEastAsia" w:eastAsiaTheme="majorEastAsia" w:cstheme="majorEastAsia"/>
          <w:bCs/>
          <w:sz w:val="24"/>
          <w:szCs w:val="24"/>
          <w:highlight w:val="none"/>
          <w:lang w:eastAsia="zh-CN"/>
        </w:rPr>
        <w:t>供应商</w:t>
      </w:r>
      <w:r>
        <w:rPr>
          <w:rFonts w:hint="eastAsia" w:asciiTheme="majorEastAsia" w:hAnsiTheme="majorEastAsia" w:eastAsiaTheme="majorEastAsia" w:cstheme="majorEastAsia"/>
          <w:bCs/>
          <w:sz w:val="24"/>
          <w:szCs w:val="24"/>
          <w:highlight w:val="none"/>
        </w:rPr>
        <w:t>可以委托代理人进行质疑和投诉，其授权委托书应当载明代理人的姓名或者名称、代理事项、具体权限、期限和相关事项。</w:t>
      </w:r>
      <w:r>
        <w:rPr>
          <w:rFonts w:hint="eastAsia" w:asciiTheme="majorEastAsia" w:hAnsiTheme="majorEastAsia" w:eastAsiaTheme="majorEastAsia" w:cstheme="majorEastAsia"/>
          <w:bCs/>
          <w:sz w:val="24"/>
          <w:szCs w:val="24"/>
          <w:highlight w:val="none"/>
          <w:lang w:eastAsia="zh-CN"/>
        </w:rPr>
        <w:t>供应商</w:t>
      </w:r>
      <w:r>
        <w:rPr>
          <w:rFonts w:hint="eastAsia" w:asciiTheme="majorEastAsia" w:hAnsiTheme="majorEastAsia" w:eastAsiaTheme="majorEastAsia" w:cstheme="majorEastAsia"/>
          <w:bCs/>
          <w:sz w:val="24"/>
          <w:szCs w:val="24"/>
          <w:highlight w:val="none"/>
        </w:rPr>
        <w:t>为自然人的，应当由本人签字；</w:t>
      </w:r>
      <w:r>
        <w:rPr>
          <w:rFonts w:hint="eastAsia" w:asciiTheme="majorEastAsia" w:hAnsiTheme="majorEastAsia" w:eastAsiaTheme="majorEastAsia" w:cstheme="majorEastAsia"/>
          <w:bCs/>
          <w:sz w:val="24"/>
          <w:szCs w:val="24"/>
          <w:highlight w:val="none"/>
          <w:lang w:eastAsia="zh-CN"/>
        </w:rPr>
        <w:t>供应商</w:t>
      </w:r>
      <w:r>
        <w:rPr>
          <w:rFonts w:hint="eastAsia" w:asciiTheme="majorEastAsia" w:hAnsiTheme="majorEastAsia" w:eastAsiaTheme="majorEastAsia" w:cstheme="majorEastAsia"/>
          <w:bCs/>
          <w:sz w:val="24"/>
          <w:szCs w:val="24"/>
          <w:highlight w:val="none"/>
        </w:rPr>
        <w:t>为法人或者其他组织的，应当由法定代表人、主要负责人签字或者盖章，并加盖公章。</w:t>
      </w:r>
      <w:r>
        <w:rPr>
          <w:rFonts w:hint="eastAsia" w:asciiTheme="majorEastAsia" w:hAnsiTheme="majorEastAsia" w:eastAsiaTheme="majorEastAsia" w:cstheme="majorEastAsia"/>
          <w:bCs/>
          <w:sz w:val="24"/>
          <w:szCs w:val="24"/>
          <w:highlight w:val="none"/>
          <w:lang w:eastAsia="zh-CN"/>
        </w:rPr>
        <w:t>供应商</w:t>
      </w:r>
      <w:r>
        <w:rPr>
          <w:rFonts w:hint="eastAsia" w:asciiTheme="majorEastAsia" w:hAnsiTheme="majorEastAsia" w:eastAsiaTheme="majorEastAsia" w:cstheme="majorEastAsia"/>
          <w:bCs/>
          <w:sz w:val="24"/>
          <w:szCs w:val="24"/>
          <w:highlight w:val="none"/>
        </w:rPr>
        <w:t>委托代理人提出质疑（投诉），应当提交</w:t>
      </w:r>
      <w:r>
        <w:rPr>
          <w:rFonts w:hint="eastAsia" w:asciiTheme="majorEastAsia" w:hAnsiTheme="majorEastAsia" w:eastAsiaTheme="majorEastAsia" w:cstheme="majorEastAsia"/>
          <w:bCs/>
          <w:sz w:val="24"/>
          <w:szCs w:val="24"/>
          <w:highlight w:val="none"/>
          <w:lang w:eastAsia="zh-CN"/>
        </w:rPr>
        <w:t>供应商</w:t>
      </w:r>
      <w:r>
        <w:rPr>
          <w:rFonts w:hint="eastAsia" w:asciiTheme="majorEastAsia" w:hAnsiTheme="majorEastAsia" w:eastAsiaTheme="majorEastAsia" w:cstheme="majorEastAsia"/>
          <w:bCs/>
          <w:sz w:val="24"/>
          <w:szCs w:val="24"/>
          <w:highlight w:val="none"/>
        </w:rPr>
        <w:t>签署的授权委托书。质疑（投诉）书必须有联系人署名。（质疑函格式见本文件质疑函范本）</w:t>
      </w:r>
    </w:p>
    <w:p>
      <w:pPr>
        <w:adjustRightInd w:val="0"/>
        <w:snapToGrid w:val="0"/>
        <w:spacing w:line="500" w:lineRule="exact"/>
        <w:ind w:firstLine="480" w:firstLineChars="200"/>
        <w:rPr>
          <w:rFonts w:hint="default" w:asciiTheme="majorEastAsia" w:hAnsiTheme="majorEastAsia" w:eastAsiaTheme="majorEastAsia" w:cstheme="majorEastAsia"/>
          <w:bCs/>
          <w:sz w:val="24"/>
          <w:szCs w:val="24"/>
          <w:highlight w:val="none"/>
          <w:lang w:val="en-US" w:eastAsia="zh-CN"/>
        </w:rPr>
      </w:pPr>
      <w:r>
        <w:rPr>
          <w:rFonts w:hint="eastAsia" w:asciiTheme="majorEastAsia" w:hAnsiTheme="majorEastAsia" w:eastAsiaTheme="majorEastAsia" w:cstheme="majorEastAsia"/>
          <w:bCs/>
          <w:sz w:val="24"/>
          <w:szCs w:val="24"/>
          <w:highlight w:val="none"/>
          <w:lang w:val="en-US" w:eastAsia="zh-CN"/>
        </w:rPr>
        <w:t>9.4载明接收质疑函的方式：书面形式。</w:t>
      </w:r>
    </w:p>
    <w:p>
      <w:pPr>
        <w:adjustRightInd w:val="0"/>
        <w:snapToGrid w:val="0"/>
        <w:spacing w:line="500" w:lineRule="exact"/>
        <w:ind w:firstLine="480" w:firstLineChars="200"/>
        <w:rPr>
          <w:rFonts w:hint="default" w:asciiTheme="majorEastAsia" w:hAnsiTheme="majorEastAsia" w:eastAsiaTheme="majorEastAsia" w:cstheme="majorEastAsia"/>
          <w:bCs/>
          <w:sz w:val="24"/>
          <w:szCs w:val="24"/>
          <w:highlight w:val="none"/>
          <w:lang w:val="en-US" w:eastAsia="zh-CN"/>
        </w:rPr>
      </w:pPr>
      <w:r>
        <w:rPr>
          <w:rFonts w:hint="eastAsia" w:asciiTheme="majorEastAsia" w:hAnsiTheme="majorEastAsia" w:eastAsiaTheme="majorEastAsia" w:cstheme="majorEastAsia"/>
          <w:bCs/>
          <w:sz w:val="24"/>
          <w:szCs w:val="24"/>
          <w:highlight w:val="none"/>
          <w:lang w:val="en-US" w:eastAsia="zh-CN"/>
        </w:rPr>
        <w:t>联系部门：新疆懿源工程咨询管理有限公司</w:t>
      </w:r>
    </w:p>
    <w:p>
      <w:pPr>
        <w:adjustRightInd w:val="0"/>
        <w:snapToGrid w:val="0"/>
        <w:spacing w:line="500" w:lineRule="exact"/>
        <w:ind w:firstLine="480" w:firstLineChars="200"/>
        <w:rPr>
          <w:rFonts w:hint="default" w:asciiTheme="majorEastAsia" w:hAnsiTheme="majorEastAsia" w:eastAsiaTheme="majorEastAsia" w:cstheme="majorEastAsia"/>
          <w:bCs/>
          <w:sz w:val="24"/>
          <w:szCs w:val="24"/>
          <w:highlight w:val="none"/>
          <w:lang w:val="en-US" w:eastAsia="zh-CN"/>
        </w:rPr>
      </w:pPr>
      <w:r>
        <w:rPr>
          <w:rFonts w:hint="eastAsia" w:asciiTheme="majorEastAsia" w:hAnsiTheme="majorEastAsia" w:eastAsiaTheme="majorEastAsia" w:cstheme="majorEastAsia"/>
          <w:bCs/>
          <w:sz w:val="24"/>
          <w:szCs w:val="24"/>
          <w:highlight w:val="none"/>
          <w:lang w:val="en-US" w:eastAsia="zh-CN"/>
        </w:rPr>
        <w:t>联系人：朱玉斌</w:t>
      </w:r>
    </w:p>
    <w:p>
      <w:pPr>
        <w:adjustRightInd w:val="0"/>
        <w:snapToGrid w:val="0"/>
        <w:spacing w:line="500" w:lineRule="exact"/>
        <w:ind w:firstLine="480" w:firstLineChars="200"/>
        <w:rPr>
          <w:rFonts w:hint="default" w:asciiTheme="majorEastAsia" w:hAnsiTheme="majorEastAsia" w:eastAsiaTheme="majorEastAsia" w:cstheme="majorEastAsia"/>
          <w:bCs/>
          <w:sz w:val="24"/>
          <w:szCs w:val="24"/>
          <w:highlight w:val="none"/>
          <w:lang w:val="en-US" w:eastAsia="zh-CN"/>
        </w:rPr>
      </w:pPr>
      <w:r>
        <w:rPr>
          <w:rFonts w:hint="eastAsia" w:asciiTheme="majorEastAsia" w:hAnsiTheme="majorEastAsia" w:eastAsiaTheme="majorEastAsia" w:cstheme="majorEastAsia"/>
          <w:bCs/>
          <w:sz w:val="24"/>
          <w:szCs w:val="24"/>
          <w:highlight w:val="none"/>
          <w:lang w:val="en-US" w:eastAsia="zh-CN"/>
        </w:rPr>
        <w:t>联系电话：13009617191</w:t>
      </w:r>
    </w:p>
    <w:p>
      <w:pPr>
        <w:adjustRightInd w:val="0"/>
        <w:snapToGrid w:val="0"/>
        <w:spacing w:line="500" w:lineRule="exact"/>
        <w:ind w:firstLine="480" w:firstLineChars="200"/>
        <w:rPr>
          <w:rFonts w:hint="default" w:asciiTheme="majorEastAsia" w:hAnsiTheme="majorEastAsia" w:eastAsiaTheme="majorEastAsia" w:cstheme="majorEastAsia"/>
          <w:bCs/>
          <w:sz w:val="24"/>
          <w:szCs w:val="24"/>
          <w:highlight w:val="none"/>
          <w:lang w:val="en-US" w:eastAsia="zh-CN"/>
        </w:rPr>
      </w:pPr>
      <w:r>
        <w:rPr>
          <w:rFonts w:hint="eastAsia" w:asciiTheme="majorEastAsia" w:hAnsiTheme="majorEastAsia" w:eastAsiaTheme="majorEastAsia" w:cstheme="majorEastAsia"/>
          <w:bCs/>
          <w:sz w:val="24"/>
          <w:szCs w:val="24"/>
          <w:highlight w:val="none"/>
          <w:lang w:val="en-US" w:eastAsia="zh-CN"/>
        </w:rPr>
        <w:t>通讯地址：新疆乌鲁木齐市经济开发区（头屯河区）卫星路513号秦郡二期2-1号商业办公楼7层办公3室</w:t>
      </w:r>
    </w:p>
    <w:p>
      <w:pPr>
        <w:pStyle w:val="12"/>
        <w:rPr>
          <w:highlight w:val="none"/>
        </w:rPr>
      </w:pPr>
    </w:p>
    <w:p>
      <w:pPr>
        <w:pStyle w:val="4"/>
        <w:rPr>
          <w:highlight w:val="none"/>
        </w:rPr>
      </w:pPr>
      <w:bookmarkStart w:id="21" w:name="_Toc12925"/>
      <w:bookmarkStart w:id="22" w:name="_Toc31383"/>
      <w:r>
        <w:rPr>
          <w:rFonts w:hint="eastAsia"/>
          <w:highlight w:val="none"/>
        </w:rPr>
        <w:t>二、</w:t>
      </w:r>
      <w:bookmarkEnd w:id="21"/>
      <w:bookmarkEnd w:id="22"/>
      <w:bookmarkStart w:id="23" w:name="_Toc9510636"/>
      <w:r>
        <w:rPr>
          <w:rFonts w:hint="eastAsia"/>
          <w:highlight w:val="none"/>
        </w:rPr>
        <w:t>招标文件</w:t>
      </w:r>
    </w:p>
    <w:p>
      <w:pPr>
        <w:pStyle w:val="5"/>
        <w:rPr>
          <w:highlight w:val="none"/>
        </w:rPr>
      </w:pPr>
      <w:bookmarkStart w:id="24" w:name="_Toc11465"/>
      <w:r>
        <w:rPr>
          <w:rFonts w:hint="eastAsia"/>
          <w:highlight w:val="none"/>
        </w:rPr>
        <w:t>10、</w:t>
      </w:r>
      <w:bookmarkEnd w:id="23"/>
      <w:r>
        <w:rPr>
          <w:rFonts w:hint="eastAsia"/>
          <w:highlight w:val="none"/>
        </w:rPr>
        <w:t>招标文件的构成</w:t>
      </w:r>
      <w:bookmarkEnd w:id="24"/>
      <w:r>
        <w:rPr>
          <w:rFonts w:hint="eastAsia" w:asciiTheme="majorEastAsia" w:hAnsiTheme="majorEastAsia" w:eastAsiaTheme="majorEastAsia" w:cstheme="majorEastAsia"/>
          <w:b w:val="0"/>
          <w:bCs w:val="0"/>
          <w:sz w:val="24"/>
          <w:szCs w:val="24"/>
          <w:highlight w:val="none"/>
        </w:rPr>
        <w:t>（详见本招标文件目录明细）</w:t>
      </w:r>
    </w:p>
    <w:p>
      <w:pPr>
        <w:pStyle w:val="5"/>
        <w:rPr>
          <w:highlight w:val="none"/>
        </w:rPr>
      </w:pPr>
      <w:bookmarkStart w:id="25" w:name="_Toc9329"/>
      <w:r>
        <w:rPr>
          <w:rFonts w:hint="eastAsia"/>
          <w:highlight w:val="none"/>
        </w:rPr>
        <w:t>11、</w:t>
      </w:r>
      <w:r>
        <w:rPr>
          <w:rFonts w:hint="eastAsia"/>
          <w:highlight w:val="none"/>
          <w:lang w:eastAsia="zh-CN"/>
        </w:rPr>
        <w:t>供应商</w:t>
      </w:r>
      <w:r>
        <w:rPr>
          <w:rFonts w:hint="eastAsia"/>
          <w:highlight w:val="none"/>
        </w:rPr>
        <w:t>的风险</w:t>
      </w:r>
      <w:bookmarkEnd w:id="25"/>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bookmarkStart w:id="26" w:name="_Toc14128"/>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没有按照招标文件要求提供全部资料，或者</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没有对招标文件在各方面作出实质性响应是</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的风险，并可能导致其投标被拒绝。</w:t>
      </w:r>
    </w:p>
    <w:p>
      <w:pPr>
        <w:pStyle w:val="5"/>
        <w:rPr>
          <w:highlight w:val="none"/>
        </w:rPr>
      </w:pPr>
      <w:r>
        <w:rPr>
          <w:rFonts w:hint="eastAsia"/>
          <w:highlight w:val="none"/>
        </w:rPr>
        <w:t>1</w:t>
      </w:r>
      <w:bookmarkStart w:id="27" w:name="_Toc9510637"/>
      <w:r>
        <w:rPr>
          <w:rFonts w:hint="eastAsia"/>
          <w:highlight w:val="none"/>
        </w:rPr>
        <w:t>2、招标文件的澄清与修改</w:t>
      </w:r>
      <w:bookmarkEnd w:id="26"/>
    </w:p>
    <w:p>
      <w:pPr>
        <w:spacing w:line="500" w:lineRule="exact"/>
        <w:ind w:firstLine="480" w:firstLineChars="200"/>
        <w:rPr>
          <w:color w:val="auto"/>
          <w:sz w:val="24"/>
          <w:szCs w:val="24"/>
          <w:highlight w:val="none"/>
        </w:rPr>
      </w:pPr>
      <w:bookmarkStart w:id="28" w:name="_Toc25731"/>
      <w:bookmarkStart w:id="29" w:name="_Toc3009"/>
      <w:r>
        <w:rPr>
          <w:rFonts w:hint="eastAsia"/>
          <w:color w:val="auto"/>
          <w:sz w:val="24"/>
          <w:szCs w:val="24"/>
          <w:highlight w:val="none"/>
        </w:rPr>
        <w:t>12.1采购人或采购代理机构对已发出的招标文件进行必要澄清或者修改的，应当在</w:t>
      </w:r>
      <w:r>
        <w:rPr>
          <w:rFonts w:hint="eastAsia"/>
          <w:color w:val="auto"/>
          <w:sz w:val="24"/>
          <w:szCs w:val="24"/>
          <w:highlight w:val="none"/>
          <w:lang w:eastAsia="zh-CN"/>
        </w:rPr>
        <w:t>供应商</w:t>
      </w:r>
      <w:r>
        <w:rPr>
          <w:rFonts w:hint="eastAsia"/>
          <w:color w:val="auto"/>
          <w:sz w:val="24"/>
          <w:szCs w:val="24"/>
          <w:highlight w:val="none"/>
        </w:rPr>
        <w:t>须知前附表规定的提交投标文件截止时间15日前，在原刊登招标公告的媒体上发布更正公告，因</w:t>
      </w:r>
      <w:r>
        <w:rPr>
          <w:rFonts w:hint="eastAsia"/>
          <w:color w:val="auto"/>
          <w:sz w:val="24"/>
          <w:szCs w:val="24"/>
          <w:highlight w:val="none"/>
          <w:lang w:eastAsia="zh-CN"/>
        </w:rPr>
        <w:t>供应商</w:t>
      </w:r>
      <w:r>
        <w:rPr>
          <w:rFonts w:hint="eastAsia"/>
          <w:color w:val="auto"/>
          <w:sz w:val="24"/>
          <w:szCs w:val="24"/>
          <w:highlight w:val="none"/>
        </w:rPr>
        <w:t>未及时登陆媒体（网站）查看导致通知未及时收到的，采购人或采购代理机构不承担责任。</w:t>
      </w:r>
    </w:p>
    <w:p>
      <w:pPr>
        <w:spacing w:line="500" w:lineRule="exact"/>
        <w:ind w:firstLine="480" w:firstLineChars="200"/>
        <w:rPr>
          <w:color w:val="auto"/>
          <w:sz w:val="24"/>
          <w:szCs w:val="24"/>
          <w:highlight w:val="none"/>
        </w:rPr>
      </w:pPr>
      <w:r>
        <w:rPr>
          <w:rFonts w:hint="eastAsia"/>
          <w:color w:val="auto"/>
          <w:sz w:val="24"/>
          <w:szCs w:val="24"/>
          <w:highlight w:val="none"/>
        </w:rPr>
        <w:t>12.2澄清或者修改的内容可能影响投标文件编制的，采购人或者采购代理机构应当在投标截止时间至少15日前，在原刊登招标公告的媒体上发布更正公告，因</w:t>
      </w:r>
      <w:r>
        <w:rPr>
          <w:rFonts w:hint="eastAsia"/>
          <w:color w:val="auto"/>
          <w:sz w:val="24"/>
          <w:szCs w:val="24"/>
          <w:highlight w:val="none"/>
          <w:lang w:eastAsia="zh-CN"/>
        </w:rPr>
        <w:t>供应商</w:t>
      </w:r>
      <w:r>
        <w:rPr>
          <w:rFonts w:hint="eastAsia"/>
          <w:color w:val="auto"/>
          <w:sz w:val="24"/>
          <w:szCs w:val="24"/>
          <w:highlight w:val="none"/>
        </w:rPr>
        <w:t>未及时登陆媒体（网站）查看导致通知未及时收到的，采购人或采购代理机构不承担责任。不足15日的，采购人或者采购代理机构应当顺延提交投标文件的截止时间。</w:t>
      </w:r>
    </w:p>
    <w:p>
      <w:pPr>
        <w:spacing w:line="500" w:lineRule="exact"/>
        <w:ind w:firstLine="480" w:firstLineChars="200"/>
        <w:rPr>
          <w:color w:val="auto"/>
          <w:sz w:val="24"/>
          <w:szCs w:val="24"/>
          <w:highlight w:val="none"/>
        </w:rPr>
      </w:pPr>
      <w:r>
        <w:rPr>
          <w:rFonts w:hint="eastAsia"/>
          <w:color w:val="auto"/>
          <w:sz w:val="24"/>
          <w:szCs w:val="24"/>
          <w:highlight w:val="none"/>
        </w:rPr>
        <w:t>12.3澄清或者修改内容为招标文件的组成部分，对所有领取了招标文件的潜在</w:t>
      </w:r>
      <w:r>
        <w:rPr>
          <w:rFonts w:hint="eastAsia"/>
          <w:color w:val="auto"/>
          <w:sz w:val="24"/>
          <w:szCs w:val="24"/>
          <w:highlight w:val="none"/>
          <w:lang w:eastAsia="zh-CN"/>
        </w:rPr>
        <w:t>供应商</w:t>
      </w:r>
      <w:r>
        <w:rPr>
          <w:rFonts w:hint="eastAsia"/>
          <w:color w:val="auto"/>
          <w:sz w:val="24"/>
          <w:szCs w:val="24"/>
          <w:highlight w:val="none"/>
        </w:rPr>
        <w:t>均具有约束力。</w:t>
      </w:r>
    </w:p>
    <w:p>
      <w:pPr>
        <w:pStyle w:val="4"/>
        <w:rPr>
          <w:highlight w:val="none"/>
        </w:rPr>
      </w:pPr>
      <w:r>
        <w:rPr>
          <w:rFonts w:hint="eastAsia"/>
          <w:highlight w:val="none"/>
        </w:rPr>
        <w:t>三、投标文件的编制</w:t>
      </w:r>
      <w:bookmarkEnd w:id="28"/>
      <w:bookmarkEnd w:id="29"/>
    </w:p>
    <w:bookmarkEnd w:id="27"/>
    <w:p>
      <w:pPr>
        <w:adjustRightInd w:val="0"/>
        <w:snapToGrid w:val="0"/>
        <w:spacing w:line="500" w:lineRule="exact"/>
        <w:ind w:firstLine="472" w:firstLineChars="196"/>
        <w:jc w:val="left"/>
        <w:rPr>
          <w:rFonts w:asciiTheme="majorEastAsia" w:hAnsiTheme="majorEastAsia" w:eastAsiaTheme="majorEastAsia" w:cstheme="majorEastAsia"/>
          <w:b/>
          <w:color w:val="auto"/>
          <w:sz w:val="24"/>
          <w:szCs w:val="24"/>
          <w:highlight w:val="none"/>
        </w:rPr>
      </w:pPr>
      <w:bookmarkStart w:id="30" w:name="_Toc29638"/>
      <w:r>
        <w:rPr>
          <w:rFonts w:hint="eastAsia" w:asciiTheme="majorEastAsia" w:hAnsiTheme="majorEastAsia" w:eastAsiaTheme="majorEastAsia" w:cstheme="majorEastAsia"/>
          <w:b/>
          <w:color w:val="auto"/>
          <w:sz w:val="24"/>
          <w:szCs w:val="24"/>
          <w:highlight w:val="none"/>
          <w:lang w:eastAsia="zh-CN"/>
        </w:rPr>
        <w:t>供应商</w:t>
      </w:r>
      <w:r>
        <w:rPr>
          <w:rFonts w:hint="eastAsia" w:asciiTheme="majorEastAsia" w:hAnsiTheme="majorEastAsia" w:eastAsiaTheme="majorEastAsia" w:cstheme="majorEastAsia"/>
          <w:b/>
          <w:color w:val="auto"/>
          <w:sz w:val="24"/>
          <w:szCs w:val="24"/>
          <w:highlight w:val="none"/>
        </w:rPr>
        <w:t>应认真阅读招标文件中所有的事项、格式、条款和技术要求等内容。如果</w:t>
      </w:r>
      <w:r>
        <w:rPr>
          <w:rFonts w:hint="eastAsia" w:asciiTheme="majorEastAsia" w:hAnsiTheme="majorEastAsia" w:eastAsiaTheme="majorEastAsia" w:cstheme="majorEastAsia"/>
          <w:b/>
          <w:color w:val="auto"/>
          <w:sz w:val="24"/>
          <w:szCs w:val="24"/>
          <w:highlight w:val="none"/>
          <w:lang w:eastAsia="zh-CN"/>
        </w:rPr>
        <w:t>供应商</w:t>
      </w:r>
      <w:r>
        <w:rPr>
          <w:rFonts w:hint="eastAsia" w:asciiTheme="majorEastAsia" w:hAnsiTheme="majorEastAsia" w:eastAsiaTheme="majorEastAsia" w:cstheme="majorEastAsia"/>
          <w:b/>
          <w:color w:val="auto"/>
          <w:sz w:val="24"/>
          <w:szCs w:val="24"/>
          <w:highlight w:val="none"/>
        </w:rPr>
        <w:t>没有按照招标文件的要求和规定编制投标文件及提交全部资料，或者投标文件没有对招标文件中的各方面作出实质性响应，其风险应由</w:t>
      </w:r>
      <w:r>
        <w:rPr>
          <w:rFonts w:hint="eastAsia" w:asciiTheme="majorEastAsia" w:hAnsiTheme="majorEastAsia" w:eastAsiaTheme="majorEastAsia" w:cstheme="majorEastAsia"/>
          <w:b/>
          <w:color w:val="auto"/>
          <w:sz w:val="24"/>
          <w:szCs w:val="24"/>
          <w:highlight w:val="none"/>
          <w:lang w:eastAsia="zh-CN"/>
        </w:rPr>
        <w:t>供应商</w:t>
      </w:r>
      <w:r>
        <w:rPr>
          <w:rFonts w:hint="eastAsia" w:asciiTheme="majorEastAsia" w:hAnsiTheme="majorEastAsia" w:eastAsiaTheme="majorEastAsia" w:cstheme="majorEastAsia"/>
          <w:b/>
          <w:color w:val="auto"/>
          <w:sz w:val="24"/>
          <w:szCs w:val="24"/>
          <w:highlight w:val="none"/>
        </w:rPr>
        <w:t>承担。</w:t>
      </w:r>
    </w:p>
    <w:p>
      <w:pPr>
        <w:pStyle w:val="5"/>
        <w:rPr>
          <w:highlight w:val="none"/>
        </w:rPr>
      </w:pPr>
      <w:r>
        <w:rPr>
          <w:rFonts w:hint="eastAsia"/>
          <w:highlight w:val="none"/>
        </w:rPr>
        <w:t>13、投标文件的组成</w:t>
      </w:r>
      <w:bookmarkEnd w:id="30"/>
    </w:p>
    <w:p>
      <w:pPr>
        <w:adjustRightInd w:val="0"/>
        <w:snapToGrid w:val="0"/>
        <w:spacing w:line="500" w:lineRule="exact"/>
        <w:ind w:firstLine="472" w:firstLineChars="196"/>
        <w:jc w:val="left"/>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color w:val="auto"/>
          <w:sz w:val="24"/>
          <w:szCs w:val="24"/>
          <w:highlight w:val="none"/>
        </w:rPr>
        <w:t>投标文件由报价文件、商务技术文件组成</w:t>
      </w:r>
      <w:r>
        <w:rPr>
          <w:rFonts w:hint="eastAsia" w:asciiTheme="majorEastAsia" w:hAnsiTheme="majorEastAsia" w:eastAsiaTheme="majorEastAsia" w:cstheme="majorEastAsia"/>
          <w:b/>
          <w:color w:val="auto"/>
          <w:sz w:val="24"/>
          <w:szCs w:val="24"/>
          <w:highlight w:val="none"/>
          <w:lang w:eastAsia="zh-CN"/>
        </w:rPr>
        <w:t>。</w:t>
      </w:r>
    </w:p>
    <w:p>
      <w:pPr>
        <w:adjustRightInd w:val="0"/>
        <w:snapToGrid w:val="0"/>
        <w:spacing w:line="500" w:lineRule="exact"/>
        <w:ind w:firstLine="472" w:firstLineChars="196"/>
        <w:jc w:val="left"/>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13.1 报价文件</w:t>
      </w:r>
    </w:p>
    <w:p>
      <w:pPr>
        <w:tabs>
          <w:tab w:val="left" w:pos="3870"/>
          <w:tab w:val="left" w:pos="4085"/>
        </w:tabs>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（1）投标函（格式见附件）；</w:t>
      </w:r>
    </w:p>
    <w:p>
      <w:pPr>
        <w:tabs>
          <w:tab w:val="left" w:pos="3870"/>
          <w:tab w:val="left" w:pos="4085"/>
        </w:tabs>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（2）开标一览表（格式见附件）；</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（3）投标报价明细表（格式见附件）；</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（4）投标保证金缴纳凭证复印件；</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针对报价需要说明的其他文件和资料（如有）。</w:t>
      </w:r>
    </w:p>
    <w:p>
      <w:pPr>
        <w:adjustRightInd w:val="0"/>
        <w:snapToGrid w:val="0"/>
        <w:spacing w:line="500" w:lineRule="exact"/>
        <w:ind w:firstLine="472" w:firstLineChars="196"/>
        <w:jc w:val="left"/>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color w:val="auto"/>
          <w:sz w:val="24"/>
          <w:szCs w:val="24"/>
          <w:highlight w:val="none"/>
        </w:rPr>
        <w:t>13.2商务</w:t>
      </w:r>
      <w:r>
        <w:rPr>
          <w:rFonts w:hint="eastAsia" w:asciiTheme="majorEastAsia" w:hAnsiTheme="majorEastAsia" w:eastAsiaTheme="majorEastAsia" w:cstheme="majorEastAsia"/>
          <w:b/>
          <w:color w:val="auto"/>
          <w:sz w:val="24"/>
          <w:szCs w:val="24"/>
          <w:highlight w:val="none"/>
          <w:lang w:eastAsia="zh-CN"/>
        </w:rPr>
        <w:t>部分</w:t>
      </w:r>
    </w:p>
    <w:p>
      <w:pPr>
        <w:adjustRightInd w:val="0"/>
        <w:snapToGrid w:val="0"/>
        <w:spacing w:line="500" w:lineRule="exact"/>
        <w:ind w:firstLine="470" w:firstLineChars="196"/>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（1）投标声明书(格式见附件)；</w:t>
      </w:r>
    </w:p>
    <w:p>
      <w:pPr>
        <w:adjustRightInd w:val="0"/>
        <w:snapToGrid w:val="0"/>
        <w:spacing w:line="500" w:lineRule="exact"/>
        <w:ind w:firstLine="470" w:firstLineChars="196"/>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（2）授权委托书(格式见附件)；</w:t>
      </w:r>
    </w:p>
    <w:p>
      <w:pPr>
        <w:adjustRightInd w:val="0"/>
        <w:snapToGrid w:val="0"/>
        <w:spacing w:line="500" w:lineRule="exact"/>
        <w:ind w:firstLine="470" w:firstLineChars="196"/>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（3）有效的营业执照（事业单位法人证书、民办非企业单位登记证书、社会团体法人登记证书、基金会法人登记证书、自然人身份证）副本复印件；</w:t>
      </w:r>
    </w:p>
    <w:p>
      <w:pPr>
        <w:adjustRightInd w:val="0"/>
        <w:snapToGrid w:val="0"/>
        <w:spacing w:line="500" w:lineRule="exact"/>
        <w:ind w:firstLine="470" w:firstLineChars="196"/>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情况介绍（格式见附件）；</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2022或2023</w:t>
      </w:r>
      <w:r>
        <w:rPr>
          <w:rFonts w:hint="eastAsia" w:asciiTheme="majorEastAsia" w:hAnsiTheme="majorEastAsia" w:eastAsiaTheme="majorEastAsia" w:cstheme="majorEastAsia"/>
          <w:color w:val="auto"/>
          <w:sz w:val="24"/>
          <w:szCs w:val="24"/>
          <w:highlight w:val="none"/>
        </w:rPr>
        <w:t>年度经审计的财务</w:t>
      </w:r>
      <w:r>
        <w:rPr>
          <w:rFonts w:hint="eastAsia" w:asciiTheme="majorEastAsia" w:hAnsiTheme="majorEastAsia" w:eastAsiaTheme="majorEastAsia" w:cstheme="majorEastAsia"/>
          <w:color w:val="auto"/>
          <w:sz w:val="24"/>
          <w:szCs w:val="24"/>
          <w:highlight w:val="none"/>
          <w:lang w:eastAsia="zh-CN"/>
        </w:rPr>
        <w:t>报告；</w:t>
      </w:r>
      <w:r>
        <w:rPr>
          <w:rFonts w:hint="eastAsia" w:asciiTheme="majorEastAsia" w:hAnsiTheme="majorEastAsia" w:eastAsiaTheme="majorEastAsia" w:cstheme="majorEastAsia"/>
          <w:color w:val="auto"/>
          <w:sz w:val="24"/>
          <w:szCs w:val="24"/>
          <w:highlight w:val="none"/>
          <w:lang w:val="en-US" w:eastAsia="zh-CN"/>
        </w:rPr>
        <w:t xml:space="preserve">如供应商注册不满1年则提供具有良好的商业信誉和健全的财务会计制度承诺函； </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6</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须具有履行合同所必需的设备和专业技术能力，须附相关证明材料或声明；</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（7）依法缴纳税收和社会保障资金的良好记录；</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8</w:t>
      </w:r>
      <w:r>
        <w:rPr>
          <w:rFonts w:hint="eastAsia" w:asciiTheme="majorEastAsia" w:hAnsiTheme="majorEastAsia" w:eastAsiaTheme="majorEastAsia" w:cstheme="majorEastAsia"/>
          <w:color w:val="auto"/>
          <w:sz w:val="24"/>
          <w:szCs w:val="24"/>
          <w:highlight w:val="none"/>
        </w:rPr>
        <w:t>）前三年内在经营活动中没有重大违法记录的书面声明（格式见附件）；</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9</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未被列入失信被执行人、</w:t>
      </w:r>
      <w:r>
        <w:rPr>
          <w:rFonts w:hint="eastAsia" w:asciiTheme="majorEastAsia" w:hAnsiTheme="majorEastAsia" w:eastAsiaTheme="majorEastAsia" w:cstheme="majorEastAsia"/>
          <w:color w:val="auto"/>
          <w:sz w:val="24"/>
          <w:szCs w:val="24"/>
          <w:highlight w:val="none"/>
          <w:lang w:eastAsia="zh-CN"/>
        </w:rPr>
        <w:t>重大税收违法失信主体</w:t>
      </w:r>
      <w:r>
        <w:rPr>
          <w:rFonts w:hint="eastAsia" w:asciiTheme="majorEastAsia" w:hAnsiTheme="majorEastAsia" w:eastAsiaTheme="majorEastAsia" w:cstheme="majorEastAsia"/>
          <w:color w:val="auto"/>
          <w:sz w:val="24"/>
          <w:szCs w:val="24"/>
          <w:highlight w:val="none"/>
        </w:rPr>
        <w:t>、政府采购严重违法失信行为记录名单</w:t>
      </w:r>
      <w:r>
        <w:rPr>
          <w:rFonts w:hint="eastAsia" w:asciiTheme="majorEastAsia" w:hAnsiTheme="majorEastAsia" w:eastAsiaTheme="majorEastAsia" w:cstheme="majorEastAsia"/>
          <w:color w:val="auto"/>
          <w:sz w:val="24"/>
          <w:szCs w:val="24"/>
          <w:highlight w:val="none"/>
          <w:lang w:eastAsia="zh-CN"/>
        </w:rPr>
        <w:t>；</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10</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已取得的各种有效认证证书、政府部门（企业）或第三方权威鉴定机构出具的信用等级证书或证明复印件；</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11</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lang w:val="en-US" w:eastAsia="zh-CN"/>
        </w:rPr>
        <w:t>2021</w:t>
      </w:r>
      <w:r>
        <w:rPr>
          <w:rFonts w:hint="eastAsia" w:asciiTheme="majorEastAsia" w:hAnsiTheme="majorEastAsia" w:eastAsiaTheme="majorEastAsia" w:cstheme="majorEastAsia"/>
          <w:color w:val="auto"/>
          <w:sz w:val="24"/>
          <w:szCs w:val="24"/>
          <w:highlight w:val="none"/>
          <w:lang w:eastAsia="zh-CN"/>
        </w:rPr>
        <w:t>年</w:t>
      </w:r>
      <w:r>
        <w:rPr>
          <w:rFonts w:hint="eastAsia" w:asciiTheme="majorEastAsia" w:hAnsiTheme="majorEastAsia" w:eastAsiaTheme="majorEastAsia" w:cstheme="majorEastAsia"/>
          <w:color w:val="auto"/>
          <w:sz w:val="24"/>
          <w:szCs w:val="24"/>
          <w:highlight w:val="none"/>
          <w:lang w:val="en-US" w:eastAsia="zh-CN"/>
        </w:rPr>
        <w:t>01</w:t>
      </w:r>
      <w:r>
        <w:rPr>
          <w:rFonts w:hint="eastAsia" w:asciiTheme="majorEastAsia" w:hAnsiTheme="majorEastAsia" w:eastAsiaTheme="majorEastAsia" w:cstheme="majorEastAsia"/>
          <w:color w:val="auto"/>
          <w:sz w:val="24"/>
          <w:szCs w:val="24"/>
          <w:highlight w:val="none"/>
          <w:lang w:eastAsia="zh-CN"/>
        </w:rPr>
        <w:t>月</w:t>
      </w:r>
      <w:r>
        <w:rPr>
          <w:rFonts w:hint="eastAsia" w:asciiTheme="majorEastAsia" w:hAnsiTheme="majorEastAsia" w:eastAsiaTheme="majorEastAsia" w:cstheme="majorEastAsia"/>
          <w:color w:val="auto"/>
          <w:sz w:val="24"/>
          <w:szCs w:val="24"/>
          <w:highlight w:val="none"/>
          <w:lang w:val="en-US" w:eastAsia="zh-CN"/>
        </w:rPr>
        <w:t>01</w:t>
      </w:r>
      <w:r>
        <w:rPr>
          <w:rFonts w:hint="eastAsia" w:asciiTheme="majorEastAsia" w:hAnsiTheme="majorEastAsia" w:eastAsiaTheme="majorEastAsia" w:cstheme="majorEastAsia"/>
          <w:color w:val="auto"/>
          <w:sz w:val="24"/>
          <w:szCs w:val="24"/>
          <w:highlight w:val="none"/>
          <w:lang w:eastAsia="zh-CN"/>
        </w:rPr>
        <w:t>至今做过与本项目类似的业绩</w:t>
      </w:r>
      <w:r>
        <w:rPr>
          <w:rFonts w:hint="eastAsia" w:asciiTheme="majorEastAsia" w:hAnsiTheme="majorEastAsia" w:eastAsiaTheme="majorEastAsia" w:cstheme="majorEastAsia"/>
          <w:color w:val="auto"/>
          <w:sz w:val="24"/>
          <w:szCs w:val="24"/>
          <w:highlight w:val="none"/>
        </w:rPr>
        <w:t>；</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12</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政府采购政策扶持证明材料；</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w:t>
      </w: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eastAsia="zh-CN"/>
        </w:rPr>
        <w:t>其他证明文件或供应商认为应提交的商务文件（如有）</w:t>
      </w:r>
      <w:r>
        <w:rPr>
          <w:rFonts w:hint="eastAsia" w:asciiTheme="majorEastAsia" w:hAnsiTheme="majorEastAsia" w:eastAsiaTheme="majorEastAsia" w:cstheme="majorEastAsia"/>
          <w:color w:val="auto"/>
          <w:sz w:val="24"/>
          <w:szCs w:val="24"/>
          <w:highlight w:val="none"/>
        </w:rPr>
        <w:t>。</w:t>
      </w:r>
    </w:p>
    <w:p>
      <w:pPr>
        <w:adjustRightInd w:val="0"/>
        <w:snapToGrid w:val="0"/>
        <w:spacing w:line="500" w:lineRule="exact"/>
        <w:ind w:firstLine="472" w:firstLineChars="196"/>
        <w:jc w:val="left"/>
        <w:rPr>
          <w:rFonts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13.</w:t>
      </w:r>
      <w:r>
        <w:rPr>
          <w:rFonts w:hint="eastAsia" w:asciiTheme="majorEastAsia" w:hAnsiTheme="majorEastAsia" w:eastAsiaTheme="majorEastAsia" w:cstheme="majorEastAsia"/>
          <w:b/>
          <w:sz w:val="24"/>
          <w:szCs w:val="24"/>
          <w:highlight w:val="none"/>
          <w:lang w:val="en-US" w:eastAsia="zh-CN"/>
        </w:rPr>
        <w:t>3</w:t>
      </w:r>
      <w:r>
        <w:rPr>
          <w:rFonts w:hint="eastAsia" w:asciiTheme="majorEastAsia" w:hAnsiTheme="majorEastAsia" w:eastAsiaTheme="majorEastAsia" w:cstheme="majorEastAsia"/>
          <w:b/>
          <w:sz w:val="24"/>
          <w:szCs w:val="24"/>
          <w:highlight w:val="none"/>
        </w:rPr>
        <w:t>技术部分</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lang w:val="en-US" w:eastAsia="zh-CN"/>
        </w:rPr>
      </w:pPr>
      <w:bookmarkStart w:id="31" w:name="_Toc26745"/>
      <w:r>
        <w:rPr>
          <w:rFonts w:hint="eastAsia" w:asciiTheme="majorEastAsia" w:hAnsiTheme="majorEastAsia" w:eastAsiaTheme="majorEastAsia" w:cstheme="majorEastAsia"/>
          <w:color w:val="auto"/>
          <w:sz w:val="24"/>
          <w:szCs w:val="24"/>
          <w:highlight w:val="none"/>
          <w:lang w:val="en-US" w:eastAsia="zh-CN"/>
        </w:rPr>
        <w:t>（14）技术响应偏离表（格式见附件）；</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（15）产品详细技术规格书（包括产品详细配置、技术性能指标等）（格式自拟）；</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（16）与产品相关的由国家认可的检测机构出具的检测报告（如有）；</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（17）针对项目的详细组织实施方案：</w:t>
      </w:r>
      <w:r>
        <w:rPr>
          <w:rFonts w:hint="eastAsia" w:asciiTheme="majorEastAsia" w:hAnsiTheme="majorEastAsia" w:eastAsiaTheme="majorEastAsia" w:cstheme="majorEastAsia"/>
          <w:sz w:val="24"/>
          <w:szCs w:val="24"/>
          <w:highlight w:val="none"/>
        </w:rPr>
        <w:t>包括（但不限于）项目人员安排、项目供货方案、质量管控方案、测试（调试）方案等内容（格式自拟）</w:t>
      </w:r>
      <w:r>
        <w:rPr>
          <w:rFonts w:hint="eastAsia" w:asciiTheme="majorEastAsia" w:hAnsiTheme="majorEastAsia" w:eastAsiaTheme="majorEastAsia" w:cstheme="majorEastAsia"/>
          <w:color w:val="auto"/>
          <w:sz w:val="24"/>
          <w:szCs w:val="24"/>
          <w:highlight w:val="none"/>
          <w:lang w:val="en-US" w:eastAsia="zh-CN"/>
        </w:rPr>
        <w:t>；</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（18）针对本项目的详细技术培训方案：包括（但不限于）</w:t>
      </w:r>
      <w:r>
        <w:rPr>
          <w:rFonts w:hint="default" w:asciiTheme="majorEastAsia" w:hAnsiTheme="majorEastAsia" w:eastAsiaTheme="majorEastAsia" w:cstheme="majorEastAsia"/>
          <w:color w:val="auto"/>
          <w:sz w:val="24"/>
          <w:szCs w:val="24"/>
          <w:highlight w:val="none"/>
          <w:lang w:val="en-US" w:eastAsia="zh-CN"/>
        </w:rPr>
        <w:t>培训内容</w:t>
      </w:r>
      <w:r>
        <w:rPr>
          <w:rFonts w:hint="eastAsia" w:asciiTheme="majorEastAsia" w:hAnsiTheme="majorEastAsia" w:eastAsiaTheme="majorEastAsia" w:cstheme="majorEastAsia"/>
          <w:color w:val="auto"/>
          <w:sz w:val="24"/>
          <w:szCs w:val="24"/>
          <w:highlight w:val="none"/>
          <w:lang w:val="en-US" w:eastAsia="zh-CN"/>
        </w:rPr>
        <w:t>、</w:t>
      </w:r>
      <w:r>
        <w:rPr>
          <w:rFonts w:hint="default" w:asciiTheme="majorEastAsia" w:hAnsiTheme="majorEastAsia" w:eastAsiaTheme="majorEastAsia" w:cstheme="majorEastAsia"/>
          <w:color w:val="auto"/>
          <w:sz w:val="24"/>
          <w:szCs w:val="24"/>
          <w:highlight w:val="none"/>
          <w:lang w:val="en-US" w:eastAsia="zh-CN"/>
        </w:rPr>
        <w:t>培训方式</w:t>
      </w:r>
      <w:r>
        <w:rPr>
          <w:rFonts w:hint="eastAsia" w:asciiTheme="majorEastAsia" w:hAnsiTheme="majorEastAsia" w:eastAsiaTheme="majorEastAsia" w:cstheme="majorEastAsia"/>
          <w:color w:val="auto"/>
          <w:sz w:val="24"/>
          <w:szCs w:val="24"/>
          <w:highlight w:val="none"/>
          <w:lang w:val="en-US" w:eastAsia="zh-CN"/>
        </w:rPr>
        <w:t>、</w:t>
      </w:r>
      <w:r>
        <w:rPr>
          <w:rFonts w:hint="default" w:asciiTheme="majorEastAsia" w:hAnsiTheme="majorEastAsia" w:eastAsiaTheme="majorEastAsia" w:cstheme="majorEastAsia"/>
          <w:color w:val="auto"/>
          <w:sz w:val="24"/>
          <w:szCs w:val="24"/>
          <w:highlight w:val="none"/>
          <w:lang w:val="en-US" w:eastAsia="zh-CN"/>
        </w:rPr>
        <w:t>培训计划</w:t>
      </w:r>
      <w:r>
        <w:rPr>
          <w:rFonts w:hint="eastAsia" w:asciiTheme="majorEastAsia" w:hAnsiTheme="majorEastAsia" w:eastAsiaTheme="majorEastAsia" w:cstheme="majorEastAsia"/>
          <w:color w:val="auto"/>
          <w:sz w:val="24"/>
          <w:szCs w:val="24"/>
          <w:highlight w:val="none"/>
          <w:lang w:val="en-US" w:eastAsia="zh-CN"/>
        </w:rPr>
        <w:t>、</w:t>
      </w:r>
      <w:r>
        <w:rPr>
          <w:rFonts w:hint="default" w:asciiTheme="majorEastAsia" w:hAnsiTheme="majorEastAsia" w:eastAsiaTheme="majorEastAsia" w:cstheme="majorEastAsia"/>
          <w:color w:val="auto"/>
          <w:sz w:val="24"/>
          <w:szCs w:val="24"/>
          <w:highlight w:val="none"/>
          <w:lang w:val="en-US" w:eastAsia="zh-CN"/>
        </w:rPr>
        <w:t>培训团队人员配置等</w:t>
      </w:r>
      <w:r>
        <w:rPr>
          <w:rFonts w:hint="eastAsia" w:asciiTheme="majorEastAsia" w:hAnsiTheme="majorEastAsia" w:eastAsiaTheme="majorEastAsia" w:cstheme="majorEastAsia"/>
          <w:color w:val="auto"/>
          <w:sz w:val="24"/>
          <w:szCs w:val="24"/>
          <w:highlight w:val="none"/>
          <w:lang w:val="en-US" w:eastAsia="zh-CN"/>
        </w:rPr>
        <w:t>内容（格式自拟）；</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（19）针对本项目的售后服务方案：包括（但不限于）售后</w:t>
      </w:r>
      <w:r>
        <w:rPr>
          <w:rFonts w:hint="default" w:asciiTheme="majorEastAsia" w:hAnsiTheme="majorEastAsia" w:eastAsiaTheme="majorEastAsia" w:cstheme="majorEastAsia"/>
          <w:color w:val="auto"/>
          <w:sz w:val="24"/>
          <w:szCs w:val="24"/>
          <w:highlight w:val="none"/>
          <w:lang w:val="en-US" w:eastAsia="zh-CN"/>
        </w:rPr>
        <w:t>服务承诺</w:t>
      </w:r>
      <w:r>
        <w:rPr>
          <w:rFonts w:hint="eastAsia" w:asciiTheme="majorEastAsia" w:hAnsiTheme="majorEastAsia" w:eastAsiaTheme="majorEastAsia" w:cstheme="majorEastAsia"/>
          <w:color w:val="auto"/>
          <w:sz w:val="24"/>
          <w:szCs w:val="24"/>
          <w:highlight w:val="none"/>
          <w:lang w:val="en-US" w:eastAsia="zh-CN"/>
        </w:rPr>
        <w:t>、</w:t>
      </w:r>
      <w:r>
        <w:rPr>
          <w:rFonts w:hint="default" w:asciiTheme="majorEastAsia" w:hAnsiTheme="majorEastAsia" w:eastAsiaTheme="majorEastAsia" w:cstheme="majorEastAsia"/>
          <w:color w:val="auto"/>
          <w:sz w:val="24"/>
          <w:szCs w:val="24"/>
          <w:highlight w:val="none"/>
          <w:lang w:val="en-US" w:eastAsia="zh-CN"/>
        </w:rPr>
        <w:t>服务响应方案</w:t>
      </w:r>
      <w:r>
        <w:rPr>
          <w:rFonts w:hint="eastAsia" w:asciiTheme="majorEastAsia" w:hAnsiTheme="majorEastAsia" w:eastAsiaTheme="majorEastAsia" w:cstheme="majorEastAsia"/>
          <w:color w:val="auto"/>
          <w:sz w:val="24"/>
          <w:szCs w:val="24"/>
          <w:highlight w:val="none"/>
          <w:lang w:val="en-US" w:eastAsia="zh-CN"/>
        </w:rPr>
        <w:t>、</w:t>
      </w:r>
      <w:r>
        <w:rPr>
          <w:rFonts w:hint="default" w:asciiTheme="majorEastAsia" w:hAnsiTheme="majorEastAsia" w:eastAsiaTheme="majorEastAsia" w:cstheme="majorEastAsia"/>
          <w:color w:val="auto"/>
          <w:sz w:val="24"/>
          <w:szCs w:val="24"/>
          <w:highlight w:val="none"/>
          <w:lang w:val="en-US" w:eastAsia="zh-CN"/>
        </w:rPr>
        <w:t>备件（易耗品）供应方案</w:t>
      </w:r>
      <w:r>
        <w:rPr>
          <w:rFonts w:hint="eastAsia" w:asciiTheme="majorEastAsia" w:hAnsiTheme="majorEastAsia" w:eastAsiaTheme="majorEastAsia" w:cstheme="majorEastAsia"/>
          <w:color w:val="auto"/>
          <w:sz w:val="24"/>
          <w:szCs w:val="24"/>
          <w:highlight w:val="none"/>
          <w:lang w:val="en-US" w:eastAsia="zh-CN"/>
        </w:rPr>
        <w:t>（含备件价格）、</w:t>
      </w:r>
      <w:r>
        <w:rPr>
          <w:rFonts w:hint="default" w:asciiTheme="majorEastAsia" w:hAnsiTheme="majorEastAsia" w:eastAsiaTheme="majorEastAsia" w:cstheme="majorEastAsia"/>
          <w:color w:val="auto"/>
          <w:sz w:val="24"/>
          <w:szCs w:val="24"/>
          <w:highlight w:val="none"/>
          <w:lang w:val="en-US" w:eastAsia="zh-CN"/>
        </w:rPr>
        <w:t>服务人员配备</w:t>
      </w:r>
      <w:r>
        <w:rPr>
          <w:rFonts w:hint="eastAsia" w:asciiTheme="majorEastAsia" w:hAnsiTheme="majorEastAsia" w:eastAsiaTheme="majorEastAsia" w:cstheme="majorEastAsia"/>
          <w:color w:val="auto"/>
          <w:sz w:val="24"/>
          <w:szCs w:val="24"/>
          <w:highlight w:val="none"/>
          <w:lang w:val="en-US" w:eastAsia="zh-CN"/>
        </w:rPr>
        <w:t>、</w:t>
      </w:r>
      <w:r>
        <w:rPr>
          <w:rFonts w:hint="default" w:asciiTheme="majorEastAsia" w:hAnsiTheme="majorEastAsia" w:eastAsiaTheme="majorEastAsia" w:cstheme="majorEastAsia"/>
          <w:color w:val="auto"/>
          <w:sz w:val="24"/>
          <w:szCs w:val="24"/>
          <w:highlight w:val="none"/>
          <w:lang w:val="en-US" w:eastAsia="zh-CN"/>
        </w:rPr>
        <w:t>故障响应</w:t>
      </w:r>
      <w:r>
        <w:rPr>
          <w:rFonts w:hint="eastAsia" w:asciiTheme="majorEastAsia" w:hAnsiTheme="majorEastAsia" w:eastAsiaTheme="majorEastAsia" w:cstheme="majorEastAsia"/>
          <w:color w:val="auto"/>
          <w:sz w:val="24"/>
          <w:szCs w:val="24"/>
          <w:highlight w:val="none"/>
          <w:lang w:val="en-US" w:eastAsia="zh-CN"/>
        </w:rPr>
        <w:t>措施、</w:t>
      </w:r>
      <w:r>
        <w:rPr>
          <w:rFonts w:hint="default" w:asciiTheme="majorEastAsia" w:hAnsiTheme="majorEastAsia" w:eastAsiaTheme="majorEastAsia" w:cstheme="majorEastAsia"/>
          <w:color w:val="auto"/>
          <w:sz w:val="24"/>
          <w:szCs w:val="24"/>
          <w:highlight w:val="none"/>
          <w:lang w:val="en-US" w:eastAsia="zh-CN"/>
        </w:rPr>
        <w:t>质保外服务措施等</w:t>
      </w:r>
      <w:r>
        <w:rPr>
          <w:rFonts w:hint="eastAsia" w:asciiTheme="majorEastAsia" w:hAnsiTheme="majorEastAsia" w:eastAsiaTheme="majorEastAsia" w:cstheme="majorEastAsia"/>
          <w:color w:val="auto"/>
          <w:sz w:val="24"/>
          <w:szCs w:val="24"/>
          <w:highlight w:val="none"/>
          <w:lang w:val="en-US" w:eastAsia="zh-CN"/>
        </w:rPr>
        <w:t>内容（格式自拟）；</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（20）其他优惠条件（如有）：供应商承诺给予采购人的各种优惠条件，包括备品备件、专用耗材等；</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（21）供应商需要提供的其他文件或资料（如有）。</w:t>
      </w:r>
    </w:p>
    <w:p>
      <w:pPr>
        <w:adjustRightInd w:val="0"/>
        <w:snapToGrid w:val="0"/>
        <w:spacing w:line="500" w:lineRule="exact"/>
        <w:ind w:left="479" w:leftChars="228" w:firstLine="0" w:firstLineChars="0"/>
        <w:jc w:val="left"/>
        <w:rPr>
          <w:rFonts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注：a</w:t>
      </w:r>
      <w:r>
        <w:rPr>
          <w:rFonts w:hint="eastAsia" w:asciiTheme="majorEastAsia" w:hAnsiTheme="majorEastAsia" w:eastAsiaTheme="majorEastAsia" w:cstheme="majorEastAsia"/>
          <w:b/>
          <w:bCs/>
          <w:color w:val="auto"/>
          <w:sz w:val="24"/>
          <w:szCs w:val="24"/>
          <w:highlight w:val="none"/>
          <w:lang w:val="en-US" w:eastAsia="zh-CN"/>
        </w:rPr>
        <w:t>.</w:t>
      </w:r>
      <w:r>
        <w:rPr>
          <w:rFonts w:hint="eastAsia" w:asciiTheme="majorEastAsia" w:hAnsiTheme="majorEastAsia" w:eastAsiaTheme="majorEastAsia" w:cstheme="majorEastAsia"/>
          <w:b/>
          <w:bCs/>
          <w:color w:val="auto"/>
          <w:sz w:val="24"/>
          <w:szCs w:val="24"/>
          <w:highlight w:val="none"/>
        </w:rPr>
        <w:t>授权委托书、投标声明书、投标函、开标一览表必须由法定代表人（负责人、自然人）或其授权代表签名（按格式要求）并加盖单位公章。</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jc w:val="left"/>
        <w:textAlignment w:val="auto"/>
        <w:rPr>
          <w:rFonts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val="en-US" w:eastAsia="zh-CN"/>
        </w:rPr>
        <w:t>b.</w:t>
      </w:r>
      <w:r>
        <w:rPr>
          <w:rFonts w:hint="eastAsia" w:asciiTheme="majorEastAsia" w:hAnsiTheme="majorEastAsia" w:eastAsiaTheme="majorEastAsia" w:cstheme="majorEastAsia"/>
          <w:b/>
          <w:bCs/>
          <w:color w:val="auto"/>
          <w:sz w:val="24"/>
          <w:szCs w:val="24"/>
          <w:highlight w:val="none"/>
        </w:rPr>
        <w:t>以上提供的各种证书、证件、证明资料如是复印件，须在复印件上加盖有效公章，如发现有造假嫌疑的，将根据有关规定以“提供虚假材料谋取中标”予以处罚。</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jc w:val="left"/>
        <w:textAlignment w:val="auto"/>
        <w:rPr>
          <w:rFonts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val="en-US" w:eastAsia="zh-CN"/>
        </w:rPr>
        <w:t>c.</w:t>
      </w:r>
      <w:r>
        <w:rPr>
          <w:rFonts w:hint="eastAsia" w:asciiTheme="majorEastAsia" w:hAnsiTheme="majorEastAsia" w:eastAsiaTheme="majorEastAsia" w:cstheme="majorEastAsia"/>
          <w:b/>
          <w:bCs/>
          <w:color w:val="auto"/>
          <w:sz w:val="24"/>
          <w:szCs w:val="24"/>
          <w:highlight w:val="none"/>
        </w:rPr>
        <w:t>投标文件中除《报价文件》外，其他部分不得有任何涉及本次投标报价的信息。</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jc w:val="left"/>
        <w:textAlignment w:val="auto"/>
        <w:rPr>
          <w:rFonts w:hint="eastAsia" w:eastAsiaTheme="majorEastAsia"/>
          <w:color w:val="auto"/>
          <w:highlight w:val="none"/>
          <w:lang w:eastAsia="zh-CN"/>
        </w:rPr>
      </w:pPr>
      <w:r>
        <w:rPr>
          <w:rFonts w:hint="eastAsia" w:asciiTheme="majorEastAsia" w:hAnsiTheme="majorEastAsia" w:eastAsiaTheme="majorEastAsia" w:cstheme="majorEastAsia"/>
          <w:b/>
          <w:bCs/>
          <w:color w:val="auto"/>
          <w:sz w:val="24"/>
          <w:szCs w:val="24"/>
          <w:highlight w:val="none"/>
          <w:lang w:val="en-US" w:eastAsia="zh-CN"/>
        </w:rPr>
        <w:t>d.</w:t>
      </w:r>
      <w:r>
        <w:rPr>
          <w:rFonts w:hint="eastAsia" w:asciiTheme="majorEastAsia" w:hAnsiTheme="majorEastAsia" w:eastAsiaTheme="majorEastAsia" w:cstheme="majorEastAsia"/>
          <w:b/>
          <w:bCs/>
          <w:color w:val="auto"/>
          <w:sz w:val="24"/>
          <w:szCs w:val="24"/>
          <w:highlight w:val="none"/>
        </w:rPr>
        <w:t>以上材料须加盖单位公章，请</w:t>
      </w:r>
      <w:r>
        <w:rPr>
          <w:rFonts w:hint="eastAsia" w:asciiTheme="majorEastAsia" w:hAnsiTheme="majorEastAsia" w:eastAsiaTheme="majorEastAsia" w:cstheme="majorEastAsia"/>
          <w:b/>
          <w:bCs/>
          <w:color w:val="auto"/>
          <w:sz w:val="24"/>
          <w:szCs w:val="24"/>
          <w:highlight w:val="none"/>
          <w:lang w:eastAsia="zh-CN"/>
        </w:rPr>
        <w:t>供应商</w:t>
      </w:r>
      <w:r>
        <w:rPr>
          <w:rFonts w:hint="eastAsia" w:asciiTheme="majorEastAsia" w:hAnsiTheme="majorEastAsia" w:eastAsiaTheme="majorEastAsia" w:cstheme="majorEastAsia"/>
          <w:b/>
          <w:bCs/>
          <w:color w:val="auto"/>
          <w:sz w:val="24"/>
          <w:szCs w:val="24"/>
          <w:highlight w:val="none"/>
        </w:rPr>
        <w:t>编制投标文件的目录及页码。</w:t>
      </w:r>
    </w:p>
    <w:p>
      <w:pPr>
        <w:pStyle w:val="5"/>
        <w:rPr>
          <w:highlight w:val="none"/>
        </w:rPr>
      </w:pPr>
      <w:r>
        <w:rPr>
          <w:rFonts w:hint="eastAsia"/>
          <w:highlight w:val="none"/>
        </w:rPr>
        <w:t>14、投标文件的语言及计量</w:t>
      </w:r>
      <w:bookmarkEnd w:id="31"/>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14.1 投标文件以及投标方与招标方就有关投标事宜的所有来往函电，均应以中文汉语书写。除签名、盖章、专用名称等特殊情形外，以中文汉语以外的文字表述的投标文件视同未提供。</w:t>
      </w:r>
    </w:p>
    <w:p>
      <w:pPr>
        <w:pStyle w:val="5"/>
        <w:ind w:firstLine="480" w:firstLineChars="200"/>
        <w:rPr>
          <w:rFonts w:hint="eastAsia" w:asciiTheme="majorEastAsia" w:hAnsiTheme="majorEastAsia" w:eastAsiaTheme="majorEastAsia" w:cstheme="majorEastAsia"/>
          <w:b w:val="0"/>
          <w:bCs w:val="0"/>
          <w:color w:val="auto"/>
          <w:kern w:val="2"/>
          <w:sz w:val="24"/>
          <w:szCs w:val="24"/>
          <w:highlight w:val="none"/>
          <w:lang w:val="en-US" w:eastAsia="zh-CN" w:bidi="ar-SA"/>
        </w:rPr>
      </w:pPr>
      <w:bookmarkStart w:id="32" w:name="_Toc10847"/>
      <w:r>
        <w:rPr>
          <w:rFonts w:hint="eastAsia" w:asciiTheme="majorEastAsia" w:hAnsiTheme="majorEastAsia" w:eastAsiaTheme="majorEastAsia" w:cstheme="majorEastAsia"/>
          <w:b w:val="0"/>
          <w:bCs w:val="0"/>
          <w:color w:val="auto"/>
          <w:kern w:val="2"/>
          <w:sz w:val="24"/>
          <w:szCs w:val="24"/>
          <w:highlight w:val="none"/>
          <w:lang w:val="en-US" w:eastAsia="zh-CN" w:bidi="ar-SA"/>
        </w:rPr>
        <w:t>14.2 投标计量单位，招标文件已有明确规定的，使用招标文件规定的计量单位；招标文件没有规定的，应采用中华人民共和国法定计量单位（货币单位：人民币元），否则视同未响应。</w:t>
      </w:r>
    </w:p>
    <w:p>
      <w:pPr>
        <w:pStyle w:val="5"/>
        <w:rPr>
          <w:highlight w:val="none"/>
        </w:rPr>
      </w:pPr>
      <w:r>
        <w:rPr>
          <w:rFonts w:hint="eastAsia"/>
          <w:highlight w:val="none"/>
        </w:rPr>
        <w:t>15、投标报价</w:t>
      </w:r>
      <w:bookmarkEnd w:id="32"/>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bookmarkStart w:id="33" w:name="_Toc2098"/>
      <w:r>
        <w:rPr>
          <w:rFonts w:hint="eastAsia" w:asciiTheme="majorEastAsia" w:hAnsiTheme="majorEastAsia" w:eastAsiaTheme="majorEastAsia" w:cstheme="majorEastAsia"/>
          <w:color w:val="auto"/>
          <w:sz w:val="24"/>
          <w:szCs w:val="24"/>
          <w:highlight w:val="none"/>
        </w:rPr>
        <w:t>15.1 投标报价按招标文件中相关附表格式填写，应为所投标包的产品的单价报价，每个产品只允许一个报价。</w:t>
      </w:r>
      <w:r>
        <w:rPr>
          <w:rFonts w:hint="eastAsia" w:asciiTheme="majorEastAsia" w:hAnsiTheme="majorEastAsia" w:eastAsiaTheme="majorEastAsia" w:cstheme="majorEastAsia"/>
          <w:bCs/>
          <w:color w:val="auto"/>
          <w:sz w:val="24"/>
          <w:szCs w:val="24"/>
          <w:highlight w:val="none"/>
        </w:rPr>
        <w:t>同型号产品参与不同标包投标的，则其报价必须相同，否则视为有选择性报价，按</w:t>
      </w:r>
      <w:r>
        <w:rPr>
          <w:rFonts w:hint="eastAsia" w:asciiTheme="majorEastAsia" w:hAnsiTheme="majorEastAsia" w:eastAsiaTheme="majorEastAsia" w:cstheme="majorEastAsia"/>
          <w:b/>
          <w:bCs w:val="0"/>
          <w:color w:val="auto"/>
          <w:sz w:val="24"/>
          <w:szCs w:val="24"/>
          <w:highlight w:val="none"/>
        </w:rPr>
        <w:t>无效标</w:t>
      </w:r>
      <w:r>
        <w:rPr>
          <w:rFonts w:hint="eastAsia" w:asciiTheme="majorEastAsia" w:hAnsiTheme="majorEastAsia" w:eastAsiaTheme="majorEastAsia" w:cstheme="majorEastAsia"/>
          <w:bCs/>
          <w:color w:val="auto"/>
          <w:sz w:val="24"/>
          <w:szCs w:val="24"/>
          <w:highlight w:val="none"/>
        </w:rPr>
        <w:t>处理</w:t>
      </w:r>
      <w:r>
        <w:rPr>
          <w:rFonts w:hint="eastAsia" w:asciiTheme="majorEastAsia" w:hAnsiTheme="majorEastAsia" w:eastAsiaTheme="majorEastAsia" w:cstheme="majorEastAsia"/>
          <w:color w:val="auto"/>
          <w:sz w:val="24"/>
          <w:szCs w:val="24"/>
          <w:highlight w:val="none"/>
        </w:rPr>
        <w:t>。</w:t>
      </w:r>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15.2 投标报价应包括货款、标准附件、备品备件、专用工具、包装、运输、装卸、保险、税金、货到就位以及安装、调试、培训、保修等一切税金和费用。</w:t>
      </w:r>
    </w:p>
    <w:p>
      <w:pPr>
        <w:tabs>
          <w:tab w:val="left" w:pos="525"/>
        </w:tabs>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15.3 每种货物只允许有一个报价，有选择的或有条件的报价将不予接受。</w:t>
      </w:r>
    </w:p>
    <w:p>
      <w:pPr>
        <w:pStyle w:val="5"/>
        <w:rPr>
          <w:color w:val="auto"/>
          <w:highlight w:val="none"/>
        </w:rPr>
      </w:pPr>
      <w:bookmarkStart w:id="34" w:name="_Toc11872"/>
      <w:r>
        <w:rPr>
          <w:rFonts w:hint="eastAsia"/>
          <w:color w:val="auto"/>
          <w:highlight w:val="none"/>
        </w:rPr>
        <w:t>16、投标文件的有效期</w:t>
      </w:r>
      <w:bookmarkEnd w:id="34"/>
    </w:p>
    <w:p>
      <w:pPr>
        <w:tabs>
          <w:tab w:val="left" w:pos="454"/>
          <w:tab w:val="left" w:pos="720"/>
        </w:tabs>
        <w:adjustRightInd w:val="0"/>
        <w:snapToGrid w:val="0"/>
        <w:spacing w:line="500" w:lineRule="exact"/>
        <w:ind w:firstLine="480" w:firstLineChars="200"/>
        <w:jc w:val="left"/>
        <w:rPr>
          <w:rFonts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16.1 自投标截止日起</w:t>
      </w:r>
      <w:r>
        <w:rPr>
          <w:rFonts w:hint="eastAsia" w:asciiTheme="majorEastAsia" w:hAnsiTheme="majorEastAsia" w:eastAsiaTheme="majorEastAsia" w:cstheme="majorEastAsia"/>
          <w:color w:val="auto"/>
          <w:kern w:val="0"/>
          <w:sz w:val="24"/>
          <w:szCs w:val="24"/>
          <w:highlight w:val="none"/>
          <w:u w:val="single"/>
        </w:rPr>
        <w:t>90</w:t>
      </w:r>
      <w:r>
        <w:rPr>
          <w:rFonts w:hint="eastAsia" w:asciiTheme="majorEastAsia" w:hAnsiTheme="majorEastAsia" w:eastAsiaTheme="majorEastAsia" w:cstheme="majorEastAsia"/>
          <w:color w:val="auto"/>
          <w:kern w:val="0"/>
          <w:sz w:val="24"/>
          <w:szCs w:val="24"/>
          <w:highlight w:val="none"/>
        </w:rPr>
        <w:t>天投标文件应保持有效。</w:t>
      </w:r>
    </w:p>
    <w:p>
      <w:pPr>
        <w:tabs>
          <w:tab w:val="left" w:pos="454"/>
          <w:tab w:val="left" w:pos="720"/>
        </w:tabs>
        <w:adjustRightInd w:val="0"/>
        <w:snapToGrid w:val="0"/>
        <w:spacing w:line="500" w:lineRule="exact"/>
        <w:ind w:firstLine="480" w:firstLineChars="200"/>
        <w:jc w:val="left"/>
        <w:rPr>
          <w:rFonts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16.2 在特殊情况下，采购人可与</w:t>
      </w:r>
      <w:r>
        <w:rPr>
          <w:rFonts w:hint="eastAsia" w:asciiTheme="majorEastAsia" w:hAnsiTheme="majorEastAsia" w:eastAsiaTheme="majorEastAsia" w:cstheme="majorEastAsia"/>
          <w:color w:val="auto"/>
          <w:kern w:val="0"/>
          <w:sz w:val="24"/>
          <w:szCs w:val="24"/>
          <w:highlight w:val="none"/>
          <w:lang w:eastAsia="zh-CN"/>
        </w:rPr>
        <w:t>供应商</w:t>
      </w:r>
      <w:r>
        <w:rPr>
          <w:rFonts w:hint="eastAsia" w:asciiTheme="majorEastAsia" w:hAnsiTheme="majorEastAsia" w:eastAsiaTheme="majorEastAsia" w:cstheme="majorEastAsia"/>
          <w:color w:val="auto"/>
          <w:kern w:val="0"/>
          <w:sz w:val="24"/>
          <w:szCs w:val="24"/>
          <w:highlight w:val="none"/>
        </w:rPr>
        <w:t>协商延长投标书的有效期，这种要求和答复均以书面形式进行。</w:t>
      </w:r>
    </w:p>
    <w:p>
      <w:pPr>
        <w:adjustRightInd w:val="0"/>
        <w:snapToGrid w:val="0"/>
        <w:spacing w:line="500" w:lineRule="exact"/>
        <w:ind w:firstLine="480" w:firstLineChars="200"/>
        <w:jc w:val="left"/>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16.3 </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可拒绝接受延期要求而不会导致投标保证金被没收。同意延长有效期的</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需要相应延长投标保证金的有效期，但不能修改投标文件。</w:t>
      </w:r>
    </w:p>
    <w:p>
      <w:pPr>
        <w:adjustRightInd w:val="0"/>
        <w:snapToGrid w:val="0"/>
        <w:spacing w:line="500" w:lineRule="exact"/>
        <w:ind w:firstLine="480" w:firstLineChars="200"/>
        <w:jc w:val="left"/>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color w:val="auto"/>
          <w:sz w:val="24"/>
          <w:szCs w:val="24"/>
          <w:highlight w:val="none"/>
        </w:rPr>
        <w:t>16.4 中标人的投标文件自开标之日起至合同履行完毕止均应保持有效。</w:t>
      </w:r>
    </w:p>
    <w:p>
      <w:pPr>
        <w:pStyle w:val="5"/>
        <w:rPr>
          <w:highlight w:val="none"/>
        </w:rPr>
      </w:pPr>
      <w:r>
        <w:rPr>
          <w:rFonts w:hint="eastAsia"/>
          <w:highlight w:val="none"/>
        </w:rPr>
        <w:t>17、投标保证金</w:t>
      </w:r>
      <w:bookmarkEnd w:id="33"/>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bookmarkStart w:id="35" w:name="_Toc16494"/>
      <w:r>
        <w:rPr>
          <w:rFonts w:hint="eastAsia" w:asciiTheme="majorEastAsia" w:hAnsiTheme="majorEastAsia" w:eastAsiaTheme="majorEastAsia" w:cstheme="majorEastAsia"/>
          <w:color w:val="auto"/>
          <w:sz w:val="24"/>
          <w:szCs w:val="24"/>
          <w:highlight w:val="none"/>
        </w:rPr>
        <w:t xml:space="preserve">17.1 </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须按规定提交投标保证金。否则，其投标将被拒绝。</w:t>
      </w:r>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17.2 保证金形式：投标保证金应当以支票、汇票、本票或者金融机构、担保机构出具的保函等非现金形式提交。</w:t>
      </w:r>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17.3 退还保证金时，</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提供单位账户信息。</w:t>
      </w:r>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17.4 采购代理机构应当自中标通知书发出之日起5个工作日内退还未中标单位的投标保证金，自政府采购合同签订之日起5个工作日内退还中标单位的投标保证金。但因</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自身原因导致无法及时退还的除外。</w:t>
      </w:r>
    </w:p>
    <w:p>
      <w:pPr>
        <w:adjustRightInd w:val="0"/>
        <w:snapToGrid w:val="0"/>
        <w:spacing w:line="500" w:lineRule="exact"/>
        <w:ind w:firstLine="472" w:firstLineChars="196"/>
        <w:jc w:val="left"/>
        <w:rPr>
          <w:rFonts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 xml:space="preserve">17.5 </w:t>
      </w:r>
      <w:r>
        <w:rPr>
          <w:rFonts w:hint="eastAsia" w:asciiTheme="majorEastAsia" w:hAnsiTheme="majorEastAsia" w:eastAsiaTheme="majorEastAsia" w:cstheme="majorEastAsia"/>
          <w:b/>
          <w:bCs/>
          <w:color w:val="auto"/>
          <w:sz w:val="24"/>
          <w:szCs w:val="24"/>
          <w:highlight w:val="none"/>
          <w:lang w:eastAsia="zh-CN"/>
        </w:rPr>
        <w:t>供应商</w:t>
      </w:r>
      <w:r>
        <w:rPr>
          <w:rFonts w:hint="eastAsia" w:asciiTheme="majorEastAsia" w:hAnsiTheme="majorEastAsia" w:eastAsiaTheme="majorEastAsia" w:cstheme="majorEastAsia"/>
          <w:b/>
          <w:bCs/>
          <w:color w:val="auto"/>
          <w:sz w:val="24"/>
          <w:szCs w:val="24"/>
          <w:highlight w:val="none"/>
        </w:rPr>
        <w:t>有下列情形之一的，投标保证金将不予退还：</w:t>
      </w:r>
    </w:p>
    <w:p>
      <w:pPr>
        <w:adjustRightInd w:val="0"/>
        <w:snapToGrid w:val="0"/>
        <w:spacing w:line="500" w:lineRule="exact"/>
        <w:ind w:firstLine="472" w:firstLineChars="196"/>
        <w:jc w:val="left"/>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（1）</w:t>
      </w:r>
      <w:r>
        <w:rPr>
          <w:rFonts w:hint="eastAsia" w:asciiTheme="majorEastAsia" w:hAnsiTheme="majorEastAsia" w:eastAsiaTheme="majorEastAsia" w:cstheme="majorEastAsia"/>
          <w:b/>
          <w:color w:val="auto"/>
          <w:sz w:val="24"/>
          <w:szCs w:val="24"/>
          <w:highlight w:val="none"/>
          <w:lang w:eastAsia="zh-CN"/>
        </w:rPr>
        <w:t>供应商</w:t>
      </w:r>
      <w:r>
        <w:rPr>
          <w:rFonts w:hint="eastAsia" w:asciiTheme="majorEastAsia" w:hAnsiTheme="majorEastAsia" w:eastAsiaTheme="majorEastAsia" w:cstheme="majorEastAsia"/>
          <w:b/>
          <w:color w:val="auto"/>
          <w:sz w:val="24"/>
          <w:szCs w:val="24"/>
          <w:highlight w:val="none"/>
        </w:rPr>
        <w:t>在投标有效期内撤回投标文件的；</w:t>
      </w:r>
    </w:p>
    <w:p>
      <w:pPr>
        <w:adjustRightInd w:val="0"/>
        <w:snapToGrid w:val="0"/>
        <w:spacing w:line="500" w:lineRule="exact"/>
        <w:ind w:firstLine="472" w:firstLineChars="196"/>
        <w:jc w:val="left"/>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（2）</w:t>
      </w:r>
      <w:r>
        <w:rPr>
          <w:rFonts w:hint="eastAsia" w:asciiTheme="majorEastAsia" w:hAnsiTheme="majorEastAsia" w:eastAsiaTheme="majorEastAsia" w:cstheme="majorEastAsia"/>
          <w:b/>
          <w:color w:val="auto"/>
          <w:sz w:val="24"/>
          <w:szCs w:val="24"/>
          <w:highlight w:val="none"/>
          <w:lang w:eastAsia="zh-CN"/>
        </w:rPr>
        <w:t>供应商</w:t>
      </w:r>
      <w:r>
        <w:rPr>
          <w:rFonts w:hint="eastAsia" w:asciiTheme="majorEastAsia" w:hAnsiTheme="majorEastAsia" w:eastAsiaTheme="majorEastAsia" w:cstheme="majorEastAsia"/>
          <w:b/>
          <w:color w:val="auto"/>
          <w:sz w:val="24"/>
          <w:szCs w:val="24"/>
          <w:highlight w:val="none"/>
        </w:rPr>
        <w:t>在投标过程中弄虚作假，提供虚假材料的；</w:t>
      </w:r>
    </w:p>
    <w:p>
      <w:pPr>
        <w:adjustRightInd w:val="0"/>
        <w:snapToGrid w:val="0"/>
        <w:spacing w:line="500" w:lineRule="exact"/>
        <w:ind w:firstLine="472" w:firstLineChars="196"/>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（3）中标人无正当理由不与采购人签订合同的；</w:t>
      </w:r>
    </w:p>
    <w:p>
      <w:pPr>
        <w:adjustRightInd w:val="0"/>
        <w:snapToGrid w:val="0"/>
        <w:spacing w:line="500" w:lineRule="exact"/>
        <w:ind w:firstLine="472" w:firstLineChars="196"/>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（4）</w:t>
      </w:r>
      <w:r>
        <w:rPr>
          <w:rFonts w:hint="eastAsia" w:asciiTheme="majorEastAsia" w:hAnsiTheme="majorEastAsia" w:eastAsiaTheme="majorEastAsia" w:cstheme="majorEastAsia"/>
          <w:b/>
          <w:bCs/>
          <w:color w:val="auto"/>
          <w:sz w:val="24"/>
          <w:szCs w:val="24"/>
          <w:highlight w:val="none"/>
        </w:rPr>
        <w:t>将中标项目转让给他人或者在投标文件中未说明且未经招标采购单位同意，将项目分包给他人的；</w:t>
      </w:r>
    </w:p>
    <w:p>
      <w:pPr>
        <w:adjustRightInd w:val="0"/>
        <w:snapToGrid w:val="0"/>
        <w:spacing w:line="500" w:lineRule="exact"/>
        <w:ind w:firstLine="482" w:firstLineChars="200"/>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（5）拒绝履行合同义务的；</w:t>
      </w:r>
    </w:p>
    <w:p>
      <w:pPr>
        <w:adjustRightInd w:val="0"/>
        <w:snapToGrid w:val="0"/>
        <w:spacing w:line="500" w:lineRule="exact"/>
        <w:ind w:firstLine="482" w:firstLineChars="200"/>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（6）其他严重扰乱招投标程序的。</w:t>
      </w:r>
    </w:p>
    <w:bookmarkEnd w:id="35"/>
    <w:p>
      <w:pPr>
        <w:pStyle w:val="5"/>
        <w:rPr>
          <w:rFonts w:asciiTheme="majorEastAsia" w:hAnsiTheme="majorEastAsia" w:eastAsiaTheme="majorEastAsia" w:cstheme="majorEastAsia"/>
          <w:color w:val="auto"/>
          <w:sz w:val="24"/>
          <w:szCs w:val="24"/>
          <w:highlight w:val="none"/>
        </w:rPr>
      </w:pPr>
      <w:bookmarkStart w:id="36" w:name="_Toc8464"/>
      <w:r>
        <w:rPr>
          <w:rFonts w:hint="eastAsia" w:asciiTheme="majorEastAsia" w:hAnsiTheme="majorEastAsia" w:eastAsiaTheme="majorEastAsia" w:cstheme="majorEastAsia"/>
          <w:color w:val="auto"/>
          <w:sz w:val="24"/>
          <w:szCs w:val="24"/>
          <w:highlight w:val="none"/>
        </w:rPr>
        <w:t>18、投标文件</w:t>
      </w:r>
      <w:r>
        <w:rPr>
          <w:rStyle w:val="28"/>
          <w:rFonts w:hint="eastAsia"/>
          <w:b/>
          <w:bCs/>
          <w:color w:val="auto"/>
          <w:highlight w:val="none"/>
        </w:rPr>
        <w:t>的</w:t>
      </w:r>
      <w:r>
        <w:rPr>
          <w:rFonts w:hint="eastAsia" w:asciiTheme="majorEastAsia" w:hAnsiTheme="majorEastAsia" w:eastAsiaTheme="majorEastAsia" w:cstheme="majorEastAsia"/>
          <w:color w:val="auto"/>
          <w:sz w:val="24"/>
          <w:szCs w:val="24"/>
          <w:highlight w:val="none"/>
        </w:rPr>
        <w:t>签署和份数</w:t>
      </w:r>
    </w:p>
    <w:bookmarkEnd w:id="36"/>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bookmarkStart w:id="37" w:name="_Toc11084"/>
      <w:r>
        <w:rPr>
          <w:rFonts w:hint="eastAsia" w:asciiTheme="majorEastAsia" w:hAnsiTheme="majorEastAsia" w:eastAsiaTheme="majorEastAsia" w:cstheme="majorEastAsia"/>
          <w:color w:val="auto"/>
          <w:sz w:val="24"/>
          <w:szCs w:val="24"/>
          <w:highlight w:val="none"/>
        </w:rPr>
        <w:t xml:space="preserve">18.1 </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应按本招标文件规定的格式和顺序编制投标文件并标注页码，投标文件内容不完整、编排混乱导致投标文件被误读、漏读或者查找不到相关内容的，是</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的责任。</w:t>
      </w:r>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18.2投标文件须由</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在规定位置盖章并由法定代表人（负责人、自然人）或法定代表人（负责人、自然人）的授权代表签署，</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应写全称。</w:t>
      </w:r>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18.3 投标文件不得涂改，若有修改错漏处，须加盖单位公章或者法定代表人（负责人、自然人）或授权代表签字。投标文件因字迹潦草或表达不清所引起的后果由</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负责。</w:t>
      </w:r>
    </w:p>
    <w:p>
      <w:pPr>
        <w:adjustRightInd w:val="0"/>
        <w:snapToGrid w:val="0"/>
        <w:spacing w:line="500" w:lineRule="exact"/>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18.4 </w:t>
      </w:r>
      <w:r>
        <w:rPr>
          <w:rFonts w:hint="eastAsia" w:asciiTheme="majorEastAsia" w:hAnsiTheme="majorEastAsia" w:eastAsiaTheme="majorEastAsia" w:cstheme="majorEastAsia"/>
          <w:b/>
          <w:color w:val="auto"/>
          <w:sz w:val="24"/>
          <w:szCs w:val="24"/>
          <w:highlight w:val="none"/>
          <w:lang w:eastAsia="zh-CN"/>
        </w:rPr>
        <w:t>供应商</w:t>
      </w:r>
      <w:r>
        <w:rPr>
          <w:rFonts w:hint="eastAsia" w:asciiTheme="majorEastAsia" w:hAnsiTheme="majorEastAsia" w:eastAsiaTheme="majorEastAsia" w:cstheme="majorEastAsia"/>
          <w:b/>
          <w:color w:val="auto"/>
          <w:sz w:val="24"/>
          <w:szCs w:val="24"/>
          <w:highlight w:val="none"/>
        </w:rPr>
        <w:t>如投多个标包的，应当按照标包编号单独提供每一套投标文件</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b/>
          <w:color w:val="auto"/>
          <w:sz w:val="24"/>
          <w:szCs w:val="24"/>
          <w:highlight w:val="none"/>
        </w:rPr>
        <w:t>否则按照无效</w:t>
      </w:r>
      <w:r>
        <w:rPr>
          <w:rFonts w:hint="eastAsia" w:asciiTheme="majorEastAsia" w:hAnsiTheme="majorEastAsia" w:eastAsiaTheme="majorEastAsia" w:cstheme="majorEastAsia"/>
          <w:b/>
          <w:color w:val="auto"/>
          <w:sz w:val="24"/>
          <w:szCs w:val="24"/>
          <w:highlight w:val="none"/>
          <w:lang w:eastAsia="zh-CN"/>
        </w:rPr>
        <w:t>响应</w:t>
      </w:r>
      <w:r>
        <w:rPr>
          <w:rFonts w:hint="eastAsia" w:asciiTheme="majorEastAsia" w:hAnsiTheme="majorEastAsia" w:eastAsiaTheme="majorEastAsia" w:cstheme="majorEastAsia"/>
          <w:b/>
          <w:color w:val="auto"/>
          <w:sz w:val="24"/>
          <w:szCs w:val="24"/>
          <w:highlight w:val="none"/>
        </w:rPr>
        <w:t>以处理。</w:t>
      </w:r>
    </w:p>
    <w:p>
      <w:pPr>
        <w:pStyle w:val="5"/>
        <w:rPr>
          <w:color w:val="auto"/>
          <w:highlight w:val="none"/>
        </w:rPr>
      </w:pPr>
      <w:r>
        <w:rPr>
          <w:rFonts w:hint="eastAsia"/>
          <w:color w:val="auto"/>
          <w:highlight w:val="none"/>
        </w:rPr>
        <w:t>19、投标文件的递交、修改和撤回</w:t>
      </w:r>
    </w:p>
    <w:p>
      <w:pPr>
        <w:pStyle w:val="24"/>
        <w:snapToGrid w:val="0"/>
        <w:spacing w:before="0" w:line="500" w:lineRule="exact"/>
        <w:ind w:left="0" w:firstLine="480" w:firstLineChars="200"/>
        <w:rPr>
          <w:rFonts w:hint="eastAsia" w:asciiTheme="majorEastAsia" w:hAnsiTheme="majorEastAsia" w:eastAsiaTheme="majorEastAsia" w:cstheme="majorEastAsia"/>
          <w:color w:val="auto"/>
          <w:kern w:val="2"/>
          <w:sz w:val="24"/>
          <w:szCs w:val="24"/>
          <w:highlight w:val="none"/>
        </w:rPr>
      </w:pPr>
      <w:r>
        <w:rPr>
          <w:rFonts w:hint="eastAsia" w:asciiTheme="majorEastAsia" w:hAnsiTheme="majorEastAsia" w:eastAsiaTheme="majorEastAsia" w:cstheme="majorEastAsia"/>
          <w:color w:val="auto"/>
          <w:kern w:val="2"/>
          <w:sz w:val="24"/>
          <w:szCs w:val="24"/>
          <w:highlight w:val="none"/>
        </w:rPr>
        <w:t>19.1供应商应当在投标截止时间前【即202</w:t>
      </w:r>
      <w:r>
        <w:rPr>
          <w:rFonts w:hint="eastAsia" w:asciiTheme="majorEastAsia" w:hAnsiTheme="majorEastAsia" w:eastAsiaTheme="majorEastAsia" w:cstheme="majorEastAsia"/>
          <w:color w:val="auto"/>
          <w:kern w:val="2"/>
          <w:sz w:val="24"/>
          <w:szCs w:val="24"/>
          <w:highlight w:val="none"/>
          <w:lang w:val="en-US" w:eastAsia="zh-CN"/>
        </w:rPr>
        <w:t>4</w:t>
      </w:r>
      <w:r>
        <w:rPr>
          <w:rFonts w:hint="eastAsia" w:asciiTheme="majorEastAsia" w:hAnsiTheme="majorEastAsia" w:eastAsiaTheme="majorEastAsia" w:cstheme="majorEastAsia"/>
          <w:color w:val="auto"/>
          <w:kern w:val="2"/>
          <w:sz w:val="24"/>
          <w:szCs w:val="24"/>
          <w:highlight w:val="none"/>
        </w:rPr>
        <w:t>年</w:t>
      </w:r>
      <w:r>
        <w:rPr>
          <w:rFonts w:hint="eastAsia" w:asciiTheme="majorEastAsia" w:hAnsiTheme="majorEastAsia" w:eastAsiaTheme="majorEastAsia" w:cstheme="majorEastAsia"/>
          <w:color w:val="auto"/>
          <w:kern w:val="2"/>
          <w:sz w:val="24"/>
          <w:szCs w:val="24"/>
          <w:highlight w:val="none"/>
          <w:lang w:val="en-US" w:eastAsia="zh-CN"/>
        </w:rPr>
        <w:t>04</w:t>
      </w:r>
      <w:r>
        <w:rPr>
          <w:rFonts w:hint="eastAsia" w:asciiTheme="majorEastAsia" w:hAnsiTheme="majorEastAsia" w:eastAsiaTheme="majorEastAsia" w:cstheme="majorEastAsia"/>
          <w:color w:val="auto"/>
          <w:kern w:val="2"/>
          <w:sz w:val="24"/>
          <w:szCs w:val="24"/>
          <w:highlight w:val="none"/>
        </w:rPr>
        <w:t>月</w:t>
      </w:r>
      <w:r>
        <w:rPr>
          <w:rFonts w:hint="eastAsia" w:asciiTheme="majorEastAsia" w:hAnsiTheme="majorEastAsia" w:eastAsiaTheme="majorEastAsia" w:cstheme="majorEastAsia"/>
          <w:color w:val="auto"/>
          <w:kern w:val="2"/>
          <w:sz w:val="24"/>
          <w:szCs w:val="24"/>
          <w:highlight w:val="none"/>
          <w:lang w:val="en-US" w:eastAsia="zh-CN"/>
        </w:rPr>
        <w:t>29</w:t>
      </w:r>
      <w:r>
        <w:rPr>
          <w:rFonts w:hint="eastAsia" w:asciiTheme="majorEastAsia" w:hAnsiTheme="majorEastAsia" w:eastAsiaTheme="majorEastAsia" w:cstheme="majorEastAsia"/>
          <w:color w:val="auto"/>
          <w:kern w:val="2"/>
          <w:sz w:val="24"/>
          <w:szCs w:val="24"/>
          <w:highlight w:val="none"/>
        </w:rPr>
        <w:t>日</w:t>
      </w:r>
      <w:r>
        <w:rPr>
          <w:rFonts w:hint="eastAsia" w:asciiTheme="majorEastAsia" w:hAnsiTheme="majorEastAsia" w:eastAsiaTheme="majorEastAsia" w:cstheme="majorEastAsia"/>
          <w:color w:val="auto"/>
          <w:kern w:val="2"/>
          <w:sz w:val="24"/>
          <w:szCs w:val="24"/>
          <w:highlight w:val="none"/>
          <w:lang w:val="en-US" w:eastAsia="zh-CN"/>
        </w:rPr>
        <w:t>11</w:t>
      </w:r>
      <w:r>
        <w:rPr>
          <w:rFonts w:hint="eastAsia" w:asciiTheme="majorEastAsia" w:hAnsiTheme="majorEastAsia" w:eastAsiaTheme="majorEastAsia" w:cstheme="majorEastAsia"/>
          <w:color w:val="auto"/>
          <w:kern w:val="2"/>
          <w:sz w:val="24"/>
          <w:szCs w:val="24"/>
          <w:highlight w:val="none"/>
        </w:rPr>
        <w:t>时</w:t>
      </w:r>
      <w:r>
        <w:rPr>
          <w:rFonts w:hint="eastAsia" w:asciiTheme="majorEastAsia" w:hAnsiTheme="majorEastAsia" w:eastAsiaTheme="majorEastAsia" w:cstheme="majorEastAsia"/>
          <w:color w:val="auto"/>
          <w:kern w:val="2"/>
          <w:sz w:val="24"/>
          <w:szCs w:val="24"/>
          <w:highlight w:val="none"/>
          <w:lang w:val="en-US" w:eastAsia="zh-CN"/>
        </w:rPr>
        <w:t>0</w:t>
      </w:r>
      <w:r>
        <w:rPr>
          <w:rFonts w:hint="eastAsia" w:asciiTheme="majorEastAsia" w:hAnsiTheme="majorEastAsia" w:eastAsiaTheme="majorEastAsia" w:cstheme="majorEastAsia"/>
          <w:color w:val="auto"/>
          <w:kern w:val="2"/>
          <w:sz w:val="24"/>
          <w:szCs w:val="24"/>
          <w:highlight w:val="none"/>
        </w:rPr>
        <w:t>0分之前】</w:t>
      </w:r>
      <w:r>
        <w:rPr>
          <w:rFonts w:hint="eastAsia" w:asciiTheme="majorEastAsia" w:hAnsiTheme="majorEastAsia" w:eastAsiaTheme="majorEastAsia" w:cstheme="majorEastAsia"/>
          <w:color w:val="auto"/>
          <w:kern w:val="2"/>
          <w:sz w:val="24"/>
          <w:szCs w:val="24"/>
          <w:highlight w:val="none"/>
          <w:lang w:eastAsia="zh-CN"/>
        </w:rPr>
        <w:t>，</w:t>
      </w:r>
      <w:r>
        <w:rPr>
          <w:rFonts w:hint="eastAsia" w:asciiTheme="majorEastAsia" w:hAnsiTheme="majorEastAsia" w:eastAsiaTheme="majorEastAsia" w:cstheme="majorEastAsia"/>
          <w:color w:val="auto"/>
          <w:kern w:val="2"/>
          <w:sz w:val="24"/>
          <w:szCs w:val="24"/>
          <w:highlight w:val="none"/>
        </w:rPr>
        <w:t>将生成的“电子加密投标文件”上传递交至“政府采购云平台”,投标截止时间以后上传递交的投标文件将被“政府采购云平台”拒收</w:t>
      </w:r>
      <w:r>
        <w:rPr>
          <w:rFonts w:hint="eastAsia" w:asciiTheme="majorEastAsia" w:hAnsiTheme="majorEastAsia" w:eastAsiaTheme="majorEastAsia" w:cstheme="majorEastAsia"/>
          <w:color w:val="auto"/>
          <w:kern w:val="2"/>
          <w:sz w:val="24"/>
          <w:szCs w:val="24"/>
          <w:highlight w:val="none"/>
          <w:lang w:eastAsia="zh-CN"/>
        </w:rPr>
        <w:t>。</w:t>
      </w:r>
    </w:p>
    <w:p>
      <w:pPr>
        <w:pStyle w:val="24"/>
        <w:snapToGrid w:val="0"/>
        <w:spacing w:before="0" w:line="500" w:lineRule="exact"/>
        <w:ind w:left="0" w:firstLine="480" w:firstLineChars="200"/>
        <w:rPr>
          <w:rFonts w:asciiTheme="majorEastAsia" w:hAnsiTheme="majorEastAsia" w:eastAsiaTheme="majorEastAsia" w:cstheme="majorEastAsia"/>
          <w:color w:val="auto"/>
          <w:kern w:val="2"/>
          <w:sz w:val="24"/>
          <w:szCs w:val="24"/>
          <w:highlight w:val="none"/>
        </w:rPr>
      </w:pPr>
      <w:r>
        <w:rPr>
          <w:rFonts w:hint="eastAsia" w:asciiTheme="majorEastAsia" w:hAnsiTheme="majorEastAsia" w:eastAsiaTheme="majorEastAsia" w:cstheme="majorEastAsia"/>
          <w:color w:val="auto"/>
          <w:kern w:val="2"/>
          <w:sz w:val="24"/>
          <w:szCs w:val="24"/>
          <w:highlight w:val="none"/>
        </w:rPr>
        <w:t>19.2</w:t>
      </w:r>
      <w:r>
        <w:rPr>
          <w:rFonts w:hint="eastAsia" w:asciiTheme="majorEastAsia" w:hAnsiTheme="majorEastAsia" w:eastAsiaTheme="majorEastAsia" w:cstheme="majorEastAsia"/>
          <w:color w:val="auto"/>
          <w:kern w:val="2"/>
          <w:sz w:val="24"/>
          <w:szCs w:val="24"/>
          <w:highlight w:val="none"/>
          <w:lang w:eastAsia="zh-CN"/>
        </w:rPr>
        <w:t>供应商</w:t>
      </w:r>
      <w:r>
        <w:rPr>
          <w:rFonts w:hint="eastAsia" w:asciiTheme="majorEastAsia" w:hAnsiTheme="majorEastAsia" w:eastAsiaTheme="majorEastAsia" w:cstheme="majorEastAsia"/>
          <w:color w:val="auto"/>
          <w:kern w:val="2"/>
          <w:sz w:val="24"/>
          <w:szCs w:val="24"/>
          <w:highlight w:val="none"/>
        </w:rPr>
        <w:t>在投标截止时间之前，可以对已提交的投标文件进行修改或撤回，并书面通知采购代理机构；投标截止时间后，</w:t>
      </w:r>
      <w:r>
        <w:rPr>
          <w:rFonts w:hint="eastAsia" w:asciiTheme="majorEastAsia" w:hAnsiTheme="majorEastAsia" w:eastAsiaTheme="majorEastAsia" w:cstheme="majorEastAsia"/>
          <w:color w:val="auto"/>
          <w:kern w:val="2"/>
          <w:sz w:val="24"/>
          <w:szCs w:val="24"/>
          <w:highlight w:val="none"/>
          <w:lang w:eastAsia="zh-CN"/>
        </w:rPr>
        <w:t>供应商</w:t>
      </w:r>
      <w:r>
        <w:rPr>
          <w:rFonts w:hint="eastAsia" w:asciiTheme="majorEastAsia" w:hAnsiTheme="majorEastAsia" w:eastAsiaTheme="majorEastAsia" w:cstheme="majorEastAsia"/>
          <w:color w:val="auto"/>
          <w:kern w:val="2"/>
          <w:sz w:val="24"/>
          <w:szCs w:val="24"/>
          <w:highlight w:val="none"/>
        </w:rPr>
        <w:t>不得撤回、修改投标文件。修改后重新递交的投标文件应当按本招标文件的要求签署、盖章。</w:t>
      </w:r>
    </w:p>
    <w:p>
      <w:pPr>
        <w:pStyle w:val="25"/>
        <w:adjustRightInd w:val="0"/>
        <w:snapToGrid w:val="0"/>
        <w:spacing w:before="0" w:line="500" w:lineRule="exact"/>
        <w:ind w:firstLine="482"/>
        <w:rPr>
          <w:rFonts w:asciiTheme="majorEastAsia" w:hAnsiTheme="majorEastAsia" w:eastAsiaTheme="majorEastAsia" w:cstheme="majorEastAsia"/>
          <w:b/>
          <w:color w:val="auto"/>
          <w:szCs w:val="24"/>
          <w:highlight w:val="none"/>
        </w:rPr>
      </w:pPr>
      <w:r>
        <w:rPr>
          <w:rFonts w:hint="eastAsia" w:asciiTheme="majorEastAsia" w:hAnsiTheme="majorEastAsia" w:eastAsiaTheme="majorEastAsia" w:cstheme="majorEastAsia"/>
          <w:b/>
          <w:color w:val="auto"/>
          <w:szCs w:val="24"/>
          <w:highlight w:val="none"/>
        </w:rPr>
        <w:t>19.</w:t>
      </w:r>
      <w:r>
        <w:rPr>
          <w:rFonts w:hint="eastAsia" w:asciiTheme="majorEastAsia" w:hAnsiTheme="majorEastAsia" w:eastAsiaTheme="majorEastAsia" w:cstheme="majorEastAsia"/>
          <w:b/>
          <w:color w:val="auto"/>
          <w:szCs w:val="24"/>
          <w:highlight w:val="none"/>
          <w:lang w:val="en-US" w:eastAsia="zh-CN"/>
        </w:rPr>
        <w:t>3</w:t>
      </w:r>
      <w:r>
        <w:rPr>
          <w:rFonts w:hint="eastAsia" w:asciiTheme="majorEastAsia" w:hAnsiTheme="majorEastAsia" w:eastAsiaTheme="majorEastAsia" w:cstheme="majorEastAsia"/>
          <w:b/>
          <w:color w:val="auto"/>
          <w:szCs w:val="24"/>
          <w:highlight w:val="none"/>
        </w:rPr>
        <w:t>投标文件有下列情况之一的将不予接受：</w:t>
      </w:r>
    </w:p>
    <w:p>
      <w:pPr>
        <w:pStyle w:val="24"/>
        <w:snapToGrid w:val="0"/>
        <w:spacing w:before="0" w:line="500" w:lineRule="exact"/>
        <w:ind w:left="0" w:firstLine="480" w:firstLineChars="200"/>
        <w:rPr>
          <w:rFonts w:asciiTheme="majorEastAsia" w:hAnsiTheme="majorEastAsia" w:eastAsiaTheme="majorEastAsia" w:cstheme="majorEastAsia"/>
          <w:color w:val="auto"/>
          <w:kern w:val="2"/>
          <w:sz w:val="24"/>
          <w:szCs w:val="24"/>
          <w:highlight w:val="none"/>
        </w:rPr>
      </w:pPr>
      <w:r>
        <w:rPr>
          <w:rFonts w:hint="eastAsia" w:asciiTheme="majorEastAsia" w:hAnsiTheme="majorEastAsia" w:eastAsiaTheme="majorEastAsia" w:cstheme="majorEastAsia"/>
          <w:color w:val="auto"/>
          <w:kern w:val="2"/>
          <w:sz w:val="24"/>
          <w:szCs w:val="24"/>
          <w:highlight w:val="none"/>
        </w:rPr>
        <w:t>19.</w:t>
      </w:r>
      <w:r>
        <w:rPr>
          <w:rFonts w:hint="eastAsia" w:asciiTheme="majorEastAsia" w:hAnsiTheme="majorEastAsia" w:eastAsiaTheme="majorEastAsia" w:cstheme="majorEastAsia"/>
          <w:color w:val="auto"/>
          <w:kern w:val="2"/>
          <w:sz w:val="24"/>
          <w:szCs w:val="24"/>
          <w:highlight w:val="none"/>
          <w:lang w:val="en-US" w:eastAsia="zh-CN"/>
        </w:rPr>
        <w:t>3</w:t>
      </w:r>
      <w:r>
        <w:rPr>
          <w:rFonts w:hint="eastAsia" w:asciiTheme="majorEastAsia" w:hAnsiTheme="majorEastAsia" w:eastAsiaTheme="majorEastAsia" w:cstheme="majorEastAsia"/>
          <w:color w:val="auto"/>
          <w:kern w:val="2"/>
          <w:sz w:val="24"/>
          <w:szCs w:val="24"/>
          <w:highlight w:val="none"/>
        </w:rPr>
        <w:t>.1在投标文件递交截止时间以后递交的投标文件；</w:t>
      </w:r>
    </w:p>
    <w:p>
      <w:pPr>
        <w:pStyle w:val="5"/>
        <w:rPr>
          <w:color w:val="auto"/>
          <w:highlight w:val="none"/>
        </w:rPr>
      </w:pPr>
      <w:bookmarkStart w:id="38" w:name="_Toc5085"/>
      <w:r>
        <w:rPr>
          <w:rFonts w:hint="eastAsia"/>
          <w:color w:val="auto"/>
          <w:highlight w:val="none"/>
        </w:rPr>
        <w:t>20、投标截止期</w:t>
      </w:r>
      <w:bookmarkEnd w:id="38"/>
    </w:p>
    <w:p>
      <w:pPr>
        <w:adjustRightInd w:val="0"/>
        <w:snapToGrid w:val="0"/>
        <w:spacing w:line="500" w:lineRule="exact"/>
        <w:ind w:firstLine="42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20.1 </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应按照前附表规定的日期、时间和地点递交投标文件。</w:t>
      </w:r>
    </w:p>
    <w:p>
      <w:pPr>
        <w:adjustRightInd w:val="0"/>
        <w:snapToGrid w:val="0"/>
        <w:spacing w:line="500" w:lineRule="exact"/>
        <w:ind w:firstLine="42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20.2 采购人可以按本须知第12条的规定，通过修改招标文件适当延长投标截止时间。如投标截止时间有延长的，采购人和</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受投标截止期制约的所有权利和义务均应延长至新的截止期。</w:t>
      </w:r>
    </w:p>
    <w:bookmarkEnd w:id="37"/>
    <w:p>
      <w:pPr>
        <w:pStyle w:val="5"/>
        <w:rPr>
          <w:color w:val="auto"/>
          <w:highlight w:val="none"/>
        </w:rPr>
      </w:pPr>
      <w:r>
        <w:rPr>
          <w:rFonts w:hint="eastAsia"/>
          <w:color w:val="auto"/>
          <w:highlight w:val="none"/>
        </w:rPr>
        <w:t>21、投标无效的情形</w:t>
      </w:r>
    </w:p>
    <w:p>
      <w:pPr>
        <w:adjustRightInd w:val="0"/>
        <w:snapToGrid w:val="0"/>
        <w:spacing w:line="500" w:lineRule="exact"/>
        <w:ind w:firstLine="480" w:firstLineChars="200"/>
        <w:rPr>
          <w:rFonts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实质上没有响应招标文件要求的投标将被视为无效投标。</w:t>
      </w:r>
      <w:r>
        <w:rPr>
          <w:rFonts w:hint="eastAsia" w:asciiTheme="majorEastAsia" w:hAnsiTheme="majorEastAsia" w:eastAsiaTheme="majorEastAsia" w:cstheme="majorEastAsia"/>
          <w:bCs/>
          <w:color w:val="auto"/>
          <w:sz w:val="24"/>
          <w:szCs w:val="24"/>
          <w:highlight w:val="none"/>
          <w:lang w:eastAsia="zh-CN"/>
        </w:rPr>
        <w:t>供应商</w:t>
      </w:r>
      <w:r>
        <w:rPr>
          <w:rFonts w:hint="eastAsia" w:asciiTheme="majorEastAsia" w:hAnsiTheme="majorEastAsia" w:eastAsiaTheme="majorEastAsia" w:cstheme="majorEastAsia"/>
          <w:bCs/>
          <w:color w:val="auto"/>
          <w:sz w:val="24"/>
          <w:szCs w:val="24"/>
          <w:highlight w:val="none"/>
        </w:rPr>
        <w:t>不得通过修正或撤销不合要求的偏离或保留从而使其投标成为实质上响应的投标。</w:t>
      </w:r>
      <w:r>
        <w:rPr>
          <w:rFonts w:hint="eastAsia" w:asciiTheme="majorEastAsia" w:hAnsiTheme="majorEastAsia" w:eastAsiaTheme="majorEastAsia" w:cstheme="majorEastAsia"/>
          <w:bCs/>
          <w:color w:val="auto"/>
          <w:sz w:val="24"/>
          <w:szCs w:val="24"/>
          <w:highlight w:val="none"/>
          <w:lang w:eastAsia="zh-CN"/>
        </w:rPr>
        <w:t>供应商</w:t>
      </w:r>
      <w:r>
        <w:rPr>
          <w:rFonts w:hint="eastAsia" w:asciiTheme="majorEastAsia" w:hAnsiTheme="majorEastAsia" w:eastAsiaTheme="majorEastAsia" w:cstheme="majorEastAsia"/>
          <w:bCs/>
          <w:color w:val="auto"/>
          <w:sz w:val="24"/>
          <w:szCs w:val="24"/>
          <w:highlight w:val="none"/>
        </w:rPr>
        <w:t>修改、补正投标文件后，不影响评标委员会对其投标文件所作的评价和评分结果。</w:t>
      </w:r>
    </w:p>
    <w:p>
      <w:pPr>
        <w:adjustRightInd w:val="0"/>
        <w:snapToGrid w:val="0"/>
        <w:spacing w:line="500" w:lineRule="exact"/>
        <w:ind w:firstLine="472" w:firstLineChars="196"/>
        <w:rPr>
          <w:rFonts w:asciiTheme="majorEastAsia" w:hAnsiTheme="majorEastAsia" w:eastAsiaTheme="majorEastAsia" w:cstheme="majorEastAsia"/>
          <w:b/>
          <w:color w:val="auto"/>
          <w:sz w:val="24"/>
          <w:szCs w:val="24"/>
          <w:highlight w:val="none"/>
        </w:rPr>
      </w:pPr>
      <w:bookmarkStart w:id="39" w:name="_Toc19368"/>
      <w:bookmarkStart w:id="40" w:name="_Toc12370"/>
      <w:r>
        <w:rPr>
          <w:rFonts w:hint="eastAsia" w:asciiTheme="majorEastAsia" w:hAnsiTheme="majorEastAsia" w:eastAsiaTheme="majorEastAsia" w:cstheme="majorEastAsia"/>
          <w:b/>
          <w:color w:val="auto"/>
          <w:sz w:val="24"/>
          <w:szCs w:val="24"/>
          <w:highlight w:val="none"/>
        </w:rPr>
        <w:t>在评审时，如发现下列情形之一的，由评标委员会按少数服从多数原则进行认定，投标文件将被视为无效：</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21.1 投标方未能提供合格的投标文件；</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21.2未采用人民币报价或未按招标文件标明的币种或计量单位报价的；</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21.3投标文件有采购人不能接受的附加条件的；</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21.4有重大偏离的投标文件；</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21.5未提供或未如实提供投标货物产品的技术参数；投标文件标明的商务、技术响应或偏离与事实不符或虚假投标的；</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21.6</w:t>
      </w:r>
      <w:r>
        <w:rPr>
          <w:rFonts w:hint="eastAsia" w:asciiTheme="majorEastAsia" w:hAnsiTheme="majorEastAsia" w:eastAsiaTheme="majorEastAsia" w:cstheme="majorEastAsia"/>
          <w:color w:val="auto"/>
          <w:sz w:val="24"/>
          <w:szCs w:val="24"/>
          <w:highlight w:val="none"/>
          <w:lang w:val="en-US" w:eastAsia="zh-CN"/>
        </w:rPr>
        <w:t>供应商的报价明显低于其他通过符合性审查供应商的报价，有可能影响产品质量或者不能诚信履约的</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又不能在规定时间内作出合理说明或提供相关证明材料；</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21.7 标包以赠送方式投标的、对一个标包提供两个投标方案或两个报价的；</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21.8投标文件应盖公章而未盖公章或盖非公司公章、未按照本招标文件要求</w:t>
      </w:r>
      <w:r>
        <w:rPr>
          <w:rFonts w:hint="eastAsia" w:asciiTheme="majorEastAsia" w:hAnsiTheme="majorEastAsia" w:eastAsiaTheme="majorEastAsia" w:cstheme="majorEastAsia"/>
          <w:color w:val="auto"/>
          <w:sz w:val="24"/>
          <w:szCs w:val="24"/>
          <w:highlight w:val="none"/>
          <w:lang w:val="en-US" w:eastAsia="zh-CN"/>
        </w:rPr>
        <w:t>编制</w:t>
      </w:r>
      <w:r>
        <w:rPr>
          <w:rFonts w:hint="eastAsia" w:asciiTheme="majorEastAsia" w:hAnsiTheme="majorEastAsia" w:eastAsiaTheme="majorEastAsia" w:cstheme="majorEastAsia"/>
          <w:color w:val="auto"/>
          <w:sz w:val="24"/>
          <w:szCs w:val="24"/>
          <w:highlight w:val="none"/>
        </w:rPr>
        <w:t>的、内容字迹严重模糊辨认不清的、未有效授权。</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21.9 投标报价超出最高限价</w:t>
      </w:r>
      <w:r>
        <w:rPr>
          <w:rFonts w:hint="eastAsia" w:asciiTheme="majorEastAsia" w:hAnsiTheme="majorEastAsia" w:eastAsiaTheme="majorEastAsia" w:cstheme="majorEastAsia"/>
          <w:color w:val="auto"/>
          <w:sz w:val="24"/>
          <w:szCs w:val="24"/>
          <w:highlight w:val="none"/>
          <w:lang w:val="en-US" w:eastAsia="zh-CN"/>
        </w:rPr>
        <w:t>或单价报价</w:t>
      </w:r>
      <w:r>
        <w:rPr>
          <w:rFonts w:hint="eastAsia" w:asciiTheme="majorEastAsia" w:hAnsiTheme="majorEastAsia" w:eastAsiaTheme="majorEastAsia" w:cstheme="majorEastAsia"/>
          <w:color w:val="auto"/>
          <w:sz w:val="24"/>
          <w:szCs w:val="24"/>
          <w:highlight w:val="none"/>
        </w:rPr>
        <w:t>超出</w:t>
      </w:r>
      <w:r>
        <w:rPr>
          <w:rFonts w:hint="eastAsia" w:asciiTheme="majorEastAsia" w:hAnsiTheme="majorEastAsia" w:eastAsiaTheme="majorEastAsia" w:cstheme="majorEastAsia"/>
          <w:color w:val="auto"/>
          <w:sz w:val="24"/>
          <w:szCs w:val="24"/>
          <w:highlight w:val="none"/>
          <w:lang w:val="en-US" w:eastAsia="zh-CN"/>
        </w:rPr>
        <w:t>单价最高限价</w:t>
      </w:r>
      <w:r>
        <w:rPr>
          <w:rFonts w:hint="eastAsia" w:asciiTheme="majorEastAsia" w:hAnsiTheme="majorEastAsia" w:eastAsiaTheme="majorEastAsia" w:cstheme="majorEastAsia"/>
          <w:color w:val="auto"/>
          <w:sz w:val="24"/>
          <w:szCs w:val="24"/>
          <w:highlight w:val="none"/>
        </w:rPr>
        <w:t>的；</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21.1</w:t>
      </w:r>
      <w:r>
        <w:rPr>
          <w:rFonts w:hint="eastAsia" w:asciiTheme="majorEastAsia" w:hAnsiTheme="majorEastAsia" w:eastAsiaTheme="majorEastAsia" w:cstheme="majorEastAsia"/>
          <w:color w:val="auto"/>
          <w:sz w:val="24"/>
          <w:szCs w:val="24"/>
          <w:highlight w:val="none"/>
          <w:lang w:val="en-US" w:eastAsia="zh-CN"/>
        </w:rPr>
        <w:t>0</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不能在规定时间内提供原件核实或提供相关证明材料；</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21.1</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rPr>
        <w:t>不符合法律、法规和本招标文件明确规定的其他实质性要求的。</w:t>
      </w:r>
    </w:p>
    <w:bookmarkEnd w:id="39"/>
    <w:bookmarkEnd w:id="40"/>
    <w:p>
      <w:pPr>
        <w:pStyle w:val="4"/>
        <w:rPr>
          <w:color w:val="auto"/>
          <w:highlight w:val="none"/>
        </w:rPr>
      </w:pPr>
      <w:r>
        <w:rPr>
          <w:rFonts w:hint="eastAsia"/>
          <w:color w:val="auto"/>
          <w:highlight w:val="none"/>
        </w:rPr>
        <w:t>四、开标</w:t>
      </w:r>
    </w:p>
    <w:p>
      <w:pPr>
        <w:pStyle w:val="5"/>
        <w:rPr>
          <w:color w:val="auto"/>
          <w:highlight w:val="none"/>
        </w:rPr>
      </w:pPr>
      <w:bookmarkStart w:id="41" w:name="_Toc9510638"/>
      <w:bookmarkStart w:id="42" w:name="_Toc21515"/>
      <w:r>
        <w:rPr>
          <w:rFonts w:hint="eastAsia"/>
          <w:color w:val="auto"/>
          <w:highlight w:val="none"/>
        </w:rPr>
        <w:t>22、开</w:t>
      </w:r>
      <w:bookmarkEnd w:id="41"/>
      <w:r>
        <w:rPr>
          <w:rFonts w:hint="eastAsia"/>
          <w:color w:val="auto"/>
          <w:highlight w:val="none"/>
        </w:rPr>
        <w:t>标准备</w:t>
      </w:r>
      <w:bookmarkEnd w:id="42"/>
    </w:p>
    <w:p>
      <w:pPr>
        <w:adjustRightInd w:val="0"/>
        <w:snapToGrid w:val="0"/>
        <w:spacing w:line="500" w:lineRule="exact"/>
        <w:ind w:firstLine="480" w:firstLineChars="200"/>
        <w:rPr>
          <w:rFonts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lang w:eastAsia="zh-CN"/>
        </w:rPr>
        <w:t>采购代理机构</w:t>
      </w:r>
      <w:r>
        <w:rPr>
          <w:rFonts w:hint="eastAsia" w:asciiTheme="majorEastAsia" w:hAnsiTheme="majorEastAsia" w:eastAsiaTheme="majorEastAsia" w:cstheme="majorEastAsia"/>
          <w:bCs/>
          <w:color w:val="auto"/>
          <w:sz w:val="24"/>
          <w:szCs w:val="24"/>
          <w:highlight w:val="none"/>
        </w:rPr>
        <w:t>将于20</w:t>
      </w:r>
      <w:r>
        <w:rPr>
          <w:rFonts w:hint="eastAsia" w:asciiTheme="majorEastAsia" w:hAnsiTheme="majorEastAsia" w:eastAsiaTheme="majorEastAsia" w:cstheme="majorEastAsia"/>
          <w:bCs/>
          <w:color w:val="auto"/>
          <w:sz w:val="24"/>
          <w:szCs w:val="24"/>
          <w:highlight w:val="none"/>
          <w:lang w:val="en-US" w:eastAsia="zh-CN"/>
        </w:rPr>
        <w:t>24</w:t>
      </w:r>
      <w:r>
        <w:rPr>
          <w:rFonts w:hint="eastAsia" w:asciiTheme="majorEastAsia" w:hAnsiTheme="majorEastAsia" w:eastAsiaTheme="majorEastAsia" w:cstheme="majorEastAsia"/>
          <w:bCs/>
          <w:color w:val="auto"/>
          <w:sz w:val="24"/>
          <w:szCs w:val="24"/>
          <w:highlight w:val="none"/>
        </w:rPr>
        <w:t>年</w:t>
      </w:r>
      <w:r>
        <w:rPr>
          <w:rFonts w:hint="eastAsia" w:asciiTheme="majorEastAsia" w:hAnsiTheme="majorEastAsia" w:eastAsiaTheme="majorEastAsia" w:cstheme="majorEastAsia"/>
          <w:bCs/>
          <w:color w:val="auto"/>
          <w:sz w:val="24"/>
          <w:szCs w:val="24"/>
          <w:highlight w:val="none"/>
          <w:lang w:val="en-US" w:eastAsia="zh-CN"/>
        </w:rPr>
        <w:t>4</w:t>
      </w:r>
      <w:r>
        <w:rPr>
          <w:rFonts w:hint="eastAsia" w:asciiTheme="majorEastAsia" w:hAnsiTheme="majorEastAsia" w:eastAsiaTheme="majorEastAsia" w:cstheme="majorEastAsia"/>
          <w:bCs/>
          <w:color w:val="auto"/>
          <w:sz w:val="24"/>
          <w:szCs w:val="24"/>
          <w:highlight w:val="none"/>
        </w:rPr>
        <w:t>月</w:t>
      </w:r>
      <w:r>
        <w:rPr>
          <w:rFonts w:hint="eastAsia" w:asciiTheme="majorEastAsia" w:hAnsiTheme="majorEastAsia" w:eastAsiaTheme="majorEastAsia" w:cstheme="majorEastAsia"/>
          <w:bCs/>
          <w:color w:val="auto"/>
          <w:sz w:val="24"/>
          <w:szCs w:val="24"/>
          <w:highlight w:val="none"/>
          <w:lang w:val="en-US" w:eastAsia="zh-CN"/>
        </w:rPr>
        <w:t>29</w:t>
      </w:r>
      <w:r>
        <w:rPr>
          <w:rFonts w:hint="eastAsia" w:asciiTheme="majorEastAsia" w:hAnsiTheme="majorEastAsia" w:eastAsiaTheme="majorEastAsia" w:cstheme="majorEastAsia"/>
          <w:bCs/>
          <w:color w:val="auto"/>
          <w:sz w:val="24"/>
          <w:szCs w:val="24"/>
          <w:highlight w:val="none"/>
        </w:rPr>
        <w:t>日</w:t>
      </w:r>
      <w:r>
        <w:rPr>
          <w:rFonts w:hint="eastAsia" w:asciiTheme="majorEastAsia" w:hAnsiTheme="majorEastAsia" w:eastAsiaTheme="majorEastAsia" w:cstheme="majorEastAsia"/>
          <w:bCs/>
          <w:color w:val="auto"/>
          <w:sz w:val="24"/>
          <w:szCs w:val="24"/>
          <w:highlight w:val="none"/>
          <w:lang w:val="en-US" w:eastAsia="zh-CN"/>
        </w:rPr>
        <w:t>11</w:t>
      </w:r>
      <w:r>
        <w:rPr>
          <w:rFonts w:hint="eastAsia" w:asciiTheme="majorEastAsia" w:hAnsiTheme="majorEastAsia" w:eastAsiaTheme="majorEastAsia" w:cstheme="majorEastAsia"/>
          <w:bCs/>
          <w:color w:val="auto"/>
          <w:sz w:val="24"/>
          <w:szCs w:val="24"/>
          <w:highlight w:val="none"/>
        </w:rPr>
        <w:t>时</w:t>
      </w:r>
      <w:r>
        <w:rPr>
          <w:rFonts w:hint="eastAsia" w:asciiTheme="majorEastAsia" w:hAnsiTheme="majorEastAsia" w:eastAsiaTheme="majorEastAsia" w:cstheme="majorEastAsia"/>
          <w:bCs/>
          <w:color w:val="auto"/>
          <w:sz w:val="24"/>
          <w:szCs w:val="24"/>
          <w:highlight w:val="none"/>
          <w:lang w:val="en-US" w:eastAsia="zh-CN"/>
        </w:rPr>
        <w:t>0</w:t>
      </w:r>
      <w:r>
        <w:rPr>
          <w:rFonts w:hint="eastAsia" w:asciiTheme="majorEastAsia" w:hAnsiTheme="majorEastAsia" w:eastAsiaTheme="majorEastAsia" w:cstheme="majorEastAsia"/>
          <w:bCs/>
          <w:color w:val="auto"/>
          <w:sz w:val="24"/>
          <w:szCs w:val="24"/>
          <w:highlight w:val="none"/>
        </w:rPr>
        <w:t>0分(北京时间）举行此次开标会议，开标地点政采云平台https：//www.zcygov.cn/政采云不见面开标大厅。</w:t>
      </w:r>
    </w:p>
    <w:p>
      <w:pPr>
        <w:pStyle w:val="5"/>
        <w:rPr>
          <w:color w:val="auto"/>
          <w:highlight w:val="none"/>
        </w:rPr>
      </w:pPr>
      <w:bookmarkStart w:id="43" w:name="_Toc26159"/>
      <w:r>
        <w:rPr>
          <w:rFonts w:hint="eastAsia"/>
          <w:color w:val="auto"/>
          <w:highlight w:val="none"/>
        </w:rPr>
        <w:t>23、开标程序：</w:t>
      </w:r>
      <w:bookmarkEnd w:id="43"/>
    </w:p>
    <w:p>
      <w:pPr>
        <w:adjustRightInd w:val="0"/>
        <w:snapToGrid w:val="0"/>
        <w:spacing w:line="500" w:lineRule="exact"/>
        <w:ind w:firstLine="523" w:firstLineChars="218"/>
        <w:rPr>
          <w:rFonts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23.1开标会议在有关监督部门的监督下，由</w:t>
      </w:r>
      <w:r>
        <w:rPr>
          <w:rFonts w:hint="eastAsia" w:asciiTheme="majorEastAsia" w:hAnsiTheme="majorEastAsia" w:eastAsiaTheme="majorEastAsia" w:cstheme="majorEastAsia"/>
          <w:bCs/>
          <w:color w:val="auto"/>
          <w:sz w:val="24"/>
          <w:szCs w:val="24"/>
          <w:highlight w:val="none"/>
          <w:lang w:eastAsia="zh-CN"/>
        </w:rPr>
        <w:t>采购代理</w:t>
      </w:r>
      <w:r>
        <w:rPr>
          <w:rFonts w:hint="eastAsia" w:asciiTheme="majorEastAsia" w:hAnsiTheme="majorEastAsia" w:eastAsiaTheme="majorEastAsia" w:cstheme="majorEastAsia"/>
          <w:bCs/>
          <w:color w:val="auto"/>
          <w:sz w:val="24"/>
          <w:szCs w:val="24"/>
          <w:highlight w:val="none"/>
        </w:rPr>
        <w:t>机构组织并主持。</w:t>
      </w:r>
    </w:p>
    <w:p>
      <w:pPr>
        <w:adjustRightInd w:val="0"/>
        <w:snapToGrid w:val="0"/>
        <w:spacing w:line="500" w:lineRule="exact"/>
        <w:ind w:firstLine="523" w:firstLineChars="218"/>
        <w:rPr>
          <w:rFonts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23.2开标后，将由</w:t>
      </w:r>
      <w:r>
        <w:rPr>
          <w:rFonts w:hint="eastAsia" w:asciiTheme="majorEastAsia" w:hAnsiTheme="majorEastAsia" w:eastAsiaTheme="majorEastAsia" w:cstheme="majorEastAsia"/>
          <w:bCs/>
          <w:color w:val="auto"/>
          <w:sz w:val="24"/>
          <w:szCs w:val="24"/>
          <w:highlight w:val="none"/>
          <w:lang w:eastAsia="zh-CN"/>
        </w:rPr>
        <w:t>采购代理</w:t>
      </w:r>
      <w:r>
        <w:rPr>
          <w:rFonts w:hint="eastAsia" w:asciiTheme="majorEastAsia" w:hAnsiTheme="majorEastAsia" w:eastAsiaTheme="majorEastAsia" w:cstheme="majorEastAsia"/>
          <w:bCs/>
          <w:color w:val="auto"/>
          <w:sz w:val="24"/>
          <w:szCs w:val="24"/>
          <w:highlight w:val="none"/>
        </w:rPr>
        <w:t>机构公开有效</w:t>
      </w:r>
      <w:r>
        <w:rPr>
          <w:rFonts w:hint="eastAsia" w:asciiTheme="majorEastAsia" w:hAnsiTheme="majorEastAsia" w:eastAsiaTheme="majorEastAsia" w:cstheme="majorEastAsia"/>
          <w:bCs/>
          <w:color w:val="auto"/>
          <w:sz w:val="24"/>
          <w:szCs w:val="24"/>
          <w:highlight w:val="none"/>
          <w:lang w:eastAsia="zh-CN"/>
        </w:rPr>
        <w:t>供应商</w:t>
      </w:r>
      <w:r>
        <w:rPr>
          <w:rFonts w:hint="eastAsia" w:asciiTheme="majorEastAsia" w:hAnsiTheme="majorEastAsia" w:eastAsiaTheme="majorEastAsia" w:cstheme="majorEastAsia"/>
          <w:bCs/>
          <w:color w:val="auto"/>
          <w:sz w:val="24"/>
          <w:szCs w:val="24"/>
          <w:highlight w:val="none"/>
        </w:rPr>
        <w:t>的投标报价，以及</w:t>
      </w:r>
      <w:r>
        <w:rPr>
          <w:rFonts w:hint="eastAsia" w:asciiTheme="majorEastAsia" w:hAnsiTheme="majorEastAsia" w:eastAsiaTheme="majorEastAsia" w:cstheme="majorEastAsia"/>
          <w:bCs/>
          <w:color w:val="auto"/>
          <w:sz w:val="24"/>
          <w:szCs w:val="24"/>
          <w:highlight w:val="none"/>
          <w:lang w:eastAsia="zh-CN"/>
        </w:rPr>
        <w:t>采购代理</w:t>
      </w:r>
      <w:r>
        <w:rPr>
          <w:rFonts w:hint="eastAsia" w:asciiTheme="majorEastAsia" w:hAnsiTheme="majorEastAsia" w:eastAsiaTheme="majorEastAsia" w:cstheme="majorEastAsia"/>
          <w:bCs/>
          <w:color w:val="auto"/>
          <w:sz w:val="24"/>
          <w:szCs w:val="24"/>
          <w:highlight w:val="none"/>
        </w:rPr>
        <w:t>机构认为必要的其它内容。</w:t>
      </w:r>
    </w:p>
    <w:p>
      <w:pPr>
        <w:adjustRightInd w:val="0"/>
        <w:snapToGrid w:val="0"/>
        <w:spacing w:line="500" w:lineRule="exact"/>
        <w:ind w:firstLine="523" w:firstLineChars="218"/>
        <w:rPr>
          <w:rFonts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23.3采购人有权就投标文件中含混之处向</w:t>
      </w:r>
      <w:r>
        <w:rPr>
          <w:rFonts w:hint="eastAsia" w:asciiTheme="majorEastAsia" w:hAnsiTheme="majorEastAsia" w:eastAsiaTheme="majorEastAsia" w:cstheme="majorEastAsia"/>
          <w:bCs/>
          <w:color w:val="auto"/>
          <w:sz w:val="24"/>
          <w:szCs w:val="24"/>
          <w:highlight w:val="none"/>
          <w:lang w:eastAsia="zh-CN"/>
        </w:rPr>
        <w:t>供应商</w:t>
      </w:r>
      <w:r>
        <w:rPr>
          <w:rFonts w:hint="eastAsia" w:asciiTheme="majorEastAsia" w:hAnsiTheme="majorEastAsia" w:eastAsiaTheme="majorEastAsia" w:cstheme="majorEastAsia"/>
          <w:bCs/>
          <w:color w:val="auto"/>
          <w:sz w:val="24"/>
          <w:szCs w:val="24"/>
          <w:highlight w:val="none"/>
        </w:rPr>
        <w:t>提出询问或澄清要求。</w:t>
      </w:r>
    </w:p>
    <w:p>
      <w:pPr>
        <w:adjustRightInd w:val="0"/>
        <w:snapToGrid w:val="0"/>
        <w:spacing w:line="500" w:lineRule="exact"/>
        <w:ind w:firstLine="523" w:firstLineChars="218"/>
        <w:rPr>
          <w:rFonts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23.4公开开标后，直到向中标的</w:t>
      </w:r>
      <w:r>
        <w:rPr>
          <w:rFonts w:hint="eastAsia" w:asciiTheme="majorEastAsia" w:hAnsiTheme="majorEastAsia" w:eastAsiaTheme="majorEastAsia" w:cstheme="majorEastAsia"/>
          <w:bCs/>
          <w:color w:val="auto"/>
          <w:sz w:val="24"/>
          <w:szCs w:val="24"/>
          <w:highlight w:val="none"/>
          <w:lang w:eastAsia="zh-CN"/>
        </w:rPr>
        <w:t>供应商</w:t>
      </w:r>
      <w:r>
        <w:rPr>
          <w:rFonts w:hint="eastAsia" w:asciiTheme="majorEastAsia" w:hAnsiTheme="majorEastAsia" w:eastAsiaTheme="majorEastAsia" w:cstheme="majorEastAsia"/>
          <w:bCs/>
          <w:color w:val="auto"/>
          <w:sz w:val="24"/>
          <w:szCs w:val="24"/>
          <w:highlight w:val="none"/>
        </w:rPr>
        <w:t>授予合同时止，凡与审查、澄清、评价和比较投标的有关资料以及授标意见等均不得向</w:t>
      </w:r>
      <w:r>
        <w:rPr>
          <w:rFonts w:hint="eastAsia" w:asciiTheme="majorEastAsia" w:hAnsiTheme="majorEastAsia" w:eastAsiaTheme="majorEastAsia" w:cstheme="majorEastAsia"/>
          <w:bCs/>
          <w:color w:val="auto"/>
          <w:sz w:val="24"/>
          <w:szCs w:val="24"/>
          <w:highlight w:val="none"/>
          <w:lang w:eastAsia="zh-CN"/>
        </w:rPr>
        <w:t>供应商</w:t>
      </w:r>
      <w:r>
        <w:rPr>
          <w:rFonts w:hint="eastAsia" w:asciiTheme="majorEastAsia" w:hAnsiTheme="majorEastAsia" w:eastAsiaTheme="majorEastAsia" w:cstheme="majorEastAsia"/>
          <w:bCs/>
          <w:color w:val="auto"/>
          <w:sz w:val="24"/>
          <w:szCs w:val="24"/>
          <w:highlight w:val="none"/>
        </w:rPr>
        <w:t>及与投标无关的其他人透露。</w:t>
      </w:r>
    </w:p>
    <w:p>
      <w:pPr>
        <w:pStyle w:val="5"/>
        <w:rPr>
          <w:color w:val="auto"/>
          <w:highlight w:val="none"/>
        </w:rPr>
      </w:pPr>
      <w:r>
        <w:rPr>
          <w:rFonts w:hint="eastAsia"/>
          <w:color w:val="auto"/>
          <w:highlight w:val="none"/>
        </w:rPr>
        <w:t>24、资格审查</w:t>
      </w:r>
    </w:p>
    <w:p>
      <w:pPr>
        <w:adjustRightInd w:val="0"/>
        <w:snapToGrid w:val="0"/>
        <w:spacing w:line="500" w:lineRule="exact"/>
        <w:ind w:firstLine="523" w:firstLineChars="21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公开招标采购项目开标结束后，采购人或者采购代理机构应当依法对</w:t>
      </w:r>
      <w:r>
        <w:rPr>
          <w:rFonts w:hint="eastAsia" w:asciiTheme="majorEastAsia" w:hAnsiTheme="majorEastAsia" w:eastAsiaTheme="majorEastAsia" w:cstheme="majorEastAsia"/>
          <w:bCs/>
          <w:color w:val="auto"/>
          <w:sz w:val="24"/>
          <w:szCs w:val="24"/>
          <w:highlight w:val="none"/>
          <w:lang w:eastAsia="zh-CN"/>
        </w:rPr>
        <w:t>供应商</w:t>
      </w:r>
      <w:r>
        <w:rPr>
          <w:rFonts w:hint="eastAsia" w:asciiTheme="majorEastAsia" w:hAnsiTheme="majorEastAsia" w:eastAsiaTheme="majorEastAsia" w:cstheme="majorEastAsia"/>
          <w:bCs/>
          <w:color w:val="auto"/>
          <w:sz w:val="24"/>
          <w:szCs w:val="24"/>
          <w:highlight w:val="none"/>
        </w:rPr>
        <w:t>的资格进行审查。</w:t>
      </w:r>
    </w:p>
    <w:p>
      <w:pPr>
        <w:jc w:val="center"/>
        <w:rPr>
          <w:rFonts w:hint="eastAsia" w:asciiTheme="majorEastAsia" w:hAnsiTheme="majorEastAsia" w:eastAsiaTheme="majorEastAsia" w:cstheme="majorEastAsia"/>
          <w:b/>
          <w:sz w:val="24"/>
          <w:szCs w:val="24"/>
          <w:highlight w:val="none"/>
        </w:rPr>
      </w:pPr>
    </w:p>
    <w:p>
      <w:pPr>
        <w:jc w:val="center"/>
        <w:rPr>
          <w:rFonts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资格性审查表</w:t>
      </w:r>
    </w:p>
    <w:tbl>
      <w:tblPr>
        <w:tblStyle w:val="15"/>
        <w:tblpPr w:leftFromText="180" w:rightFromText="180" w:vertAnchor="text" w:horzAnchor="page" w:tblpX="1698" w:tblpY="208"/>
        <w:tblOverlap w:val="never"/>
        <w:tblW w:w="8696"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889"/>
        <w:gridCol w:w="780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88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snapToGrid w:val="0"/>
              <w:spacing w:line="320" w:lineRule="exact"/>
              <w:jc w:val="center"/>
              <w:textAlignment w:val="auto"/>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序号</w:t>
            </w:r>
          </w:p>
        </w:tc>
        <w:tc>
          <w:tcPr>
            <w:tcW w:w="7807"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snapToGrid w:val="0"/>
              <w:spacing w:line="320" w:lineRule="exact"/>
              <w:jc w:val="center"/>
              <w:textAlignment w:val="auto"/>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审查</w:t>
            </w:r>
            <w:r>
              <w:rPr>
                <w:rFonts w:hint="eastAsia" w:asciiTheme="majorEastAsia" w:hAnsiTheme="majorEastAsia" w:eastAsiaTheme="majorEastAsia" w:cstheme="majorEastAsia"/>
                <w:bCs/>
                <w:sz w:val="24"/>
                <w:szCs w:val="24"/>
                <w:highlight w:val="none"/>
              </w:rPr>
              <w:t>内容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trPr>
        <w:tc>
          <w:tcPr>
            <w:tcW w:w="88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snapToGrid w:val="0"/>
              <w:spacing w:line="320" w:lineRule="exact"/>
              <w:jc w:val="center"/>
              <w:textAlignment w:val="auto"/>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color w:val="auto"/>
                <w:sz w:val="24"/>
                <w:szCs w:val="24"/>
                <w:highlight w:val="none"/>
              </w:rPr>
              <w:t>1</w:t>
            </w:r>
          </w:p>
        </w:tc>
        <w:tc>
          <w:tcPr>
            <w:tcW w:w="780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sz w:val="24"/>
                <w:szCs w:val="24"/>
                <w:highlight w:val="none"/>
              </w:rPr>
            </w:pPr>
            <w:r>
              <w:rPr>
                <w:rFonts w:hint="eastAsia" w:asciiTheme="majorEastAsia" w:hAnsiTheme="majorEastAsia" w:eastAsiaTheme="majorEastAsia" w:cstheme="majorEastAsia"/>
                <w:color w:val="auto"/>
                <w:sz w:val="24"/>
                <w:szCs w:val="24"/>
                <w:highlight w:val="none"/>
              </w:rPr>
              <w:t>在中华人民共和国境内注册或登记，具有有效的营业执照（事业单位法人证书、民办非企业单位登记证书、社会团体法人登记证书、基金会法人登记证书、自然人身份证）；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24" w:hRule="atLeast"/>
        </w:trPr>
        <w:tc>
          <w:tcPr>
            <w:tcW w:w="88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snapToGrid w:val="0"/>
              <w:spacing w:line="320" w:lineRule="exact"/>
              <w:jc w:val="center"/>
              <w:textAlignment w:val="auto"/>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color w:val="auto"/>
                <w:sz w:val="24"/>
                <w:szCs w:val="24"/>
                <w:highlight w:val="none"/>
              </w:rPr>
              <w:t>2</w:t>
            </w:r>
          </w:p>
        </w:tc>
        <w:tc>
          <w:tcPr>
            <w:tcW w:w="780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符合《中华人民共和国政府采购法》第二十二条的相关规定。</w:t>
            </w:r>
          </w:p>
          <w:p>
            <w:pPr>
              <w:keepNext w:val="0"/>
              <w:keepLines w:val="0"/>
              <w:pageBreakBefore w:val="0"/>
              <w:widowControl w:val="0"/>
              <w:kinsoku/>
              <w:wordWrap/>
              <w:overflowPunct/>
              <w:topLinePunct w:val="0"/>
              <w:autoSpaceDE/>
              <w:autoSpaceDN/>
              <w:bidi w:val="0"/>
              <w:adjustRightInd/>
              <w:snapToGrid w:val="0"/>
              <w:spacing w:line="288" w:lineRule="auto"/>
              <w:jc w:val="both"/>
              <w:textAlignment w:val="auto"/>
              <w:rPr>
                <w:rFonts w:hint="eastAsia" w:asciiTheme="majorEastAsia" w:hAnsiTheme="majorEastAsia" w:eastAsiaTheme="majorEastAsia" w:cstheme="majorEastAsia"/>
                <w:color w:val="auto"/>
                <w:sz w:val="24"/>
                <w:szCs w:val="24"/>
                <w:highlight w:val="none"/>
                <w:lang w:val="zh-CN" w:eastAsia="zh-CN"/>
              </w:rPr>
            </w:pPr>
            <w:r>
              <w:rPr>
                <w:rFonts w:hint="eastAsia" w:asciiTheme="majorEastAsia" w:hAnsiTheme="majorEastAsia" w:eastAsiaTheme="majorEastAsia" w:cstheme="majorEastAsia"/>
                <w:color w:val="auto"/>
                <w:sz w:val="24"/>
                <w:szCs w:val="24"/>
                <w:highlight w:val="none"/>
                <w:lang w:val="zh-CN" w:eastAsia="zh-CN"/>
              </w:rPr>
              <w:t>1.1 具有独立承担民事责任的能力；</w:t>
            </w:r>
          </w:p>
          <w:p>
            <w:pPr>
              <w:keepNext w:val="0"/>
              <w:keepLines w:val="0"/>
              <w:pageBreakBefore w:val="0"/>
              <w:widowControl w:val="0"/>
              <w:kinsoku/>
              <w:wordWrap/>
              <w:overflowPunct/>
              <w:topLinePunct w:val="0"/>
              <w:autoSpaceDE/>
              <w:autoSpaceDN/>
              <w:bidi w:val="0"/>
              <w:adjustRightInd/>
              <w:snapToGrid w:val="0"/>
              <w:spacing w:line="288" w:lineRule="auto"/>
              <w:jc w:val="both"/>
              <w:textAlignment w:val="auto"/>
              <w:rPr>
                <w:rFonts w:hint="eastAsia" w:asciiTheme="majorEastAsia" w:hAnsiTheme="majorEastAsia" w:eastAsiaTheme="majorEastAsia" w:cstheme="majorEastAsia"/>
                <w:color w:val="auto"/>
                <w:sz w:val="24"/>
                <w:szCs w:val="24"/>
                <w:highlight w:val="none"/>
                <w:lang w:val="zh-CN" w:eastAsia="zh-CN"/>
              </w:rPr>
            </w:pPr>
            <w:r>
              <w:rPr>
                <w:rFonts w:hint="eastAsia" w:asciiTheme="majorEastAsia" w:hAnsiTheme="majorEastAsia" w:eastAsiaTheme="majorEastAsia" w:cstheme="majorEastAsia"/>
                <w:color w:val="auto"/>
                <w:sz w:val="24"/>
                <w:szCs w:val="24"/>
                <w:highlight w:val="none"/>
                <w:lang w:val="zh-CN" w:eastAsia="zh-CN"/>
              </w:rPr>
              <w:t>1.2 具有良好的商业信誉和健全的财务会计制度：</w:t>
            </w:r>
            <w:r>
              <w:rPr>
                <w:rFonts w:hint="eastAsia" w:asciiTheme="majorEastAsia" w:hAnsiTheme="majorEastAsia" w:eastAsiaTheme="majorEastAsia" w:cstheme="majorEastAsia"/>
                <w:sz w:val="24"/>
                <w:szCs w:val="24"/>
                <w:highlight w:val="none"/>
                <w:lang w:val="en-US" w:eastAsia="zh-CN"/>
              </w:rPr>
              <w:t xml:space="preserve">应提供本单位2022年度或2023年度经会计师事务所出具的审计报告复印件（报告中须包括资产负债表、利润表、现金流量表及财务报表附注）。如供应商注册不满1年则提供具有良好的商业信誉和健全的财务会计制度承诺函； </w:t>
            </w:r>
          </w:p>
          <w:p>
            <w:pPr>
              <w:keepNext w:val="0"/>
              <w:keepLines w:val="0"/>
              <w:pageBreakBefore w:val="0"/>
              <w:widowControl w:val="0"/>
              <w:kinsoku/>
              <w:wordWrap/>
              <w:overflowPunct/>
              <w:topLinePunct w:val="0"/>
              <w:autoSpaceDE/>
              <w:autoSpaceDN/>
              <w:bidi w:val="0"/>
              <w:adjustRightInd/>
              <w:snapToGrid w:val="0"/>
              <w:spacing w:line="288" w:lineRule="auto"/>
              <w:jc w:val="both"/>
              <w:textAlignment w:val="auto"/>
              <w:rPr>
                <w:rFonts w:hint="eastAsia" w:asciiTheme="majorEastAsia" w:hAnsiTheme="majorEastAsia" w:eastAsiaTheme="majorEastAsia" w:cstheme="majorEastAsia"/>
                <w:color w:val="auto"/>
                <w:sz w:val="24"/>
                <w:szCs w:val="24"/>
                <w:highlight w:val="none"/>
                <w:lang w:val="zh-CN" w:eastAsia="zh-CN"/>
              </w:rPr>
            </w:pPr>
            <w:r>
              <w:rPr>
                <w:rFonts w:hint="eastAsia" w:asciiTheme="majorEastAsia" w:hAnsiTheme="majorEastAsia" w:eastAsiaTheme="majorEastAsia" w:cstheme="majorEastAsia"/>
                <w:color w:val="auto"/>
                <w:sz w:val="24"/>
                <w:szCs w:val="24"/>
                <w:highlight w:val="none"/>
                <w:lang w:val="zh-CN" w:eastAsia="zh-CN"/>
              </w:rPr>
              <w:t>1.3 具有履行合同所必需的设备和专业技术能力：须附相关证明材料或声明</w:t>
            </w:r>
            <w:r>
              <w:rPr>
                <w:rFonts w:hint="eastAsia" w:asciiTheme="majorEastAsia" w:hAnsiTheme="majorEastAsia" w:eastAsiaTheme="majorEastAsia" w:cstheme="majorEastAsia"/>
                <w:color w:val="auto"/>
                <w:sz w:val="24"/>
                <w:szCs w:val="24"/>
                <w:highlight w:val="none"/>
                <w:lang w:val="en-US" w:eastAsia="zh-CN"/>
              </w:rPr>
              <w:t>函</w:t>
            </w:r>
            <w:r>
              <w:rPr>
                <w:rFonts w:hint="eastAsia" w:asciiTheme="majorEastAsia" w:hAnsiTheme="majorEastAsia" w:eastAsiaTheme="majorEastAsia" w:cstheme="majorEastAsia"/>
                <w:color w:val="auto"/>
                <w:sz w:val="24"/>
                <w:szCs w:val="24"/>
                <w:highlight w:val="none"/>
                <w:lang w:val="zh-CN" w:eastAsia="zh-CN"/>
              </w:rPr>
              <w:t>；</w:t>
            </w:r>
          </w:p>
          <w:p>
            <w:pPr>
              <w:keepNext w:val="0"/>
              <w:keepLines w:val="0"/>
              <w:pageBreakBefore w:val="0"/>
              <w:widowControl w:val="0"/>
              <w:kinsoku/>
              <w:wordWrap/>
              <w:overflowPunct/>
              <w:topLinePunct w:val="0"/>
              <w:autoSpaceDE/>
              <w:autoSpaceDN/>
              <w:bidi w:val="0"/>
              <w:adjustRightInd/>
              <w:snapToGrid w:val="0"/>
              <w:spacing w:line="288" w:lineRule="auto"/>
              <w:jc w:val="both"/>
              <w:textAlignment w:val="auto"/>
              <w:rPr>
                <w:rFonts w:hint="eastAsia" w:asciiTheme="majorEastAsia" w:hAnsiTheme="majorEastAsia" w:eastAsiaTheme="majorEastAsia" w:cstheme="majorEastAsia"/>
                <w:color w:val="auto"/>
                <w:sz w:val="24"/>
                <w:szCs w:val="24"/>
                <w:highlight w:val="none"/>
                <w:lang w:val="zh-CN" w:eastAsia="zh-CN"/>
              </w:rPr>
            </w:pPr>
            <w:r>
              <w:rPr>
                <w:rFonts w:hint="eastAsia" w:asciiTheme="majorEastAsia" w:hAnsiTheme="majorEastAsia" w:eastAsiaTheme="majorEastAsia" w:cstheme="majorEastAsia"/>
                <w:color w:val="auto"/>
                <w:sz w:val="24"/>
                <w:szCs w:val="24"/>
                <w:highlight w:val="none"/>
                <w:lang w:val="zh-CN" w:eastAsia="zh-CN"/>
              </w:rPr>
              <w:t xml:space="preserve">1.4 有依法缴纳税收和社会保障资金的良好记录：缴纳税收的证明材料，指供应商缴纳增值税和企业所得税两种缴纳凭据；本项目开标前6个月内（至少提供1个月）缴纳税收的凭据（完税证、缴款书、印花税票、银行代扣（代缴）转账凭证等均可）；供应商依法缴纳社会保障资金的证明材料：本项目开标前 6个月内（至少提供1个月）缴纳社会保险的凭据（专用收据或社会保险交纳清单）； 供应商为其他组织或自然人的，也需要按此项规定提供缴纳税收的凭据和交纳社会保险的凭据。如供应商的社会保险为委托第三方代缴，还需同时提供供应商与第三方服务机构签署的服务合同（合同中应明确写明第三方为供应商代缴其社会保险）； </w:t>
            </w:r>
          </w:p>
          <w:p>
            <w:pPr>
              <w:keepNext w:val="0"/>
              <w:keepLines w:val="0"/>
              <w:pageBreakBefore w:val="0"/>
              <w:widowControl w:val="0"/>
              <w:kinsoku/>
              <w:wordWrap/>
              <w:overflowPunct/>
              <w:topLinePunct w:val="0"/>
              <w:autoSpaceDE/>
              <w:autoSpaceDN/>
              <w:bidi w:val="0"/>
              <w:adjustRightInd/>
              <w:snapToGrid w:val="0"/>
              <w:spacing w:line="288" w:lineRule="auto"/>
              <w:jc w:val="both"/>
              <w:textAlignment w:val="auto"/>
              <w:rPr>
                <w:rFonts w:hint="eastAsia" w:asciiTheme="majorEastAsia" w:hAnsiTheme="majorEastAsia" w:eastAsiaTheme="majorEastAsia" w:cstheme="majorEastAsia"/>
                <w:color w:val="auto"/>
                <w:sz w:val="24"/>
                <w:szCs w:val="24"/>
                <w:highlight w:val="none"/>
                <w:lang w:val="zh-CN" w:eastAsia="zh-CN"/>
              </w:rPr>
            </w:pPr>
            <w:r>
              <w:rPr>
                <w:rFonts w:hint="eastAsia" w:asciiTheme="majorEastAsia" w:hAnsiTheme="majorEastAsia" w:eastAsiaTheme="majorEastAsia" w:cstheme="majorEastAsia"/>
                <w:color w:val="auto"/>
                <w:sz w:val="24"/>
                <w:szCs w:val="24"/>
                <w:highlight w:val="none"/>
                <w:lang w:val="zh-CN" w:eastAsia="zh-CN"/>
              </w:rPr>
              <w:t xml:space="preserve">1.5 参加政府采购活动前三年内，在经营活动中没有重大违法记录：提供前三年内在经营活动中没有重大违法记录的书面声明； </w:t>
            </w:r>
          </w:p>
          <w:p>
            <w:pPr>
              <w:keepNext w:val="0"/>
              <w:keepLines w:val="0"/>
              <w:pageBreakBefore w:val="0"/>
              <w:widowControl w:val="0"/>
              <w:kinsoku/>
              <w:wordWrap/>
              <w:overflowPunct/>
              <w:topLinePunct w:val="0"/>
              <w:autoSpaceDE/>
              <w:autoSpaceDN/>
              <w:bidi w:val="0"/>
              <w:adjustRightInd/>
              <w:snapToGrid w:val="0"/>
              <w:spacing w:line="288" w:lineRule="auto"/>
              <w:jc w:val="both"/>
              <w:textAlignment w:val="auto"/>
              <w:rPr>
                <w:rFonts w:hint="eastAsia" w:ascii="宋体" w:hAnsi="宋体" w:eastAsia="宋体" w:cs="宋体"/>
                <w:sz w:val="24"/>
                <w:szCs w:val="24"/>
                <w:highlight w:val="none"/>
                <w:lang w:eastAsia="zh-CN"/>
              </w:rPr>
            </w:pPr>
            <w:r>
              <w:rPr>
                <w:rFonts w:hint="eastAsia" w:asciiTheme="majorEastAsia" w:hAnsiTheme="majorEastAsia" w:eastAsiaTheme="majorEastAsia" w:cstheme="majorEastAsia"/>
                <w:color w:val="auto"/>
                <w:sz w:val="24"/>
                <w:szCs w:val="24"/>
                <w:highlight w:val="none"/>
                <w:lang w:val="zh-CN" w:eastAsia="zh-CN"/>
              </w:rPr>
              <w:t>1.6 法律、行政法规规定的其他条件。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43" w:hRule="atLeast"/>
        </w:trPr>
        <w:tc>
          <w:tcPr>
            <w:tcW w:w="88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snapToGrid w:val="0"/>
              <w:spacing w:line="320" w:lineRule="exact"/>
              <w:jc w:val="center"/>
              <w:textAlignment w:val="auto"/>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3</w:t>
            </w:r>
          </w:p>
        </w:tc>
        <w:tc>
          <w:tcPr>
            <w:tcW w:w="780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cs="宋体" w:eastAsia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与采购人存在利害关系可能影响招标公正性的法人、其他组织或者个人，不得参加同一标段投标或者未划分标段的同一招标不得参加投标；</w:t>
            </w:r>
            <w:r>
              <w:rPr>
                <w:rFonts w:hint="eastAsia" w:asciiTheme="majorEastAsia" w:hAnsiTheme="majorEastAsia" w:eastAsiaTheme="majorEastAsia" w:cstheme="majorEastAsia"/>
                <w:color w:val="auto"/>
                <w:sz w:val="24"/>
                <w:szCs w:val="24"/>
                <w:highlight w:val="none"/>
                <w:lang w:val="en-US" w:eastAsia="zh-CN"/>
              </w:rPr>
              <w:t>提供声明函。</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3" w:hRule="atLeast"/>
        </w:trPr>
        <w:tc>
          <w:tcPr>
            <w:tcW w:w="88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snapToGrid w:val="0"/>
              <w:spacing w:line="320" w:lineRule="exact"/>
              <w:jc w:val="center"/>
              <w:textAlignment w:val="auto"/>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4</w:t>
            </w:r>
          </w:p>
        </w:tc>
        <w:tc>
          <w:tcPr>
            <w:tcW w:w="780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投标单位负责人为同一人或者存在直接控股、管理关系的不同</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不得参加同一合同项下的采购活动</w:t>
            </w:r>
            <w:r>
              <w:rPr>
                <w:rFonts w:hint="eastAsia" w:ascii="宋体" w:hAnsi="宋体" w:cs="宋体"/>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提供声明函。</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88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snapToGrid w:val="0"/>
              <w:spacing w:line="320" w:lineRule="exact"/>
              <w:jc w:val="center"/>
              <w:textAlignment w:val="auto"/>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5</w:t>
            </w:r>
          </w:p>
        </w:tc>
        <w:tc>
          <w:tcPr>
            <w:tcW w:w="780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投标单位未被列入失信被执行人、</w:t>
            </w:r>
            <w:r>
              <w:rPr>
                <w:rFonts w:hint="eastAsia" w:asciiTheme="majorEastAsia" w:hAnsiTheme="majorEastAsia" w:eastAsiaTheme="majorEastAsia" w:cstheme="majorEastAsia"/>
                <w:color w:val="auto"/>
                <w:sz w:val="24"/>
                <w:szCs w:val="24"/>
                <w:highlight w:val="none"/>
                <w:lang w:eastAsia="zh-CN"/>
              </w:rPr>
              <w:t>重大税收违法失信主体</w:t>
            </w:r>
            <w:r>
              <w:rPr>
                <w:rFonts w:hint="eastAsia" w:asciiTheme="majorEastAsia" w:hAnsiTheme="majorEastAsia" w:eastAsiaTheme="majorEastAsia" w:cstheme="majorEastAsia"/>
                <w:color w:val="auto"/>
                <w:sz w:val="24"/>
                <w:szCs w:val="24"/>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 w:val="24"/>
                <w:szCs w:val="24"/>
                <w:highlight w:val="none"/>
              </w:rPr>
            </w:pPr>
            <w:r>
              <w:rPr>
                <w:rFonts w:hint="eastAsia" w:asciiTheme="majorEastAsia" w:hAnsiTheme="majorEastAsia" w:eastAsiaTheme="majorEastAsia" w:cstheme="majorEastAsia"/>
                <w:color w:val="auto"/>
                <w:sz w:val="24"/>
                <w:szCs w:val="24"/>
                <w:highlight w:val="none"/>
              </w:rPr>
              <w:t>注：开标当天采购代理机构将通过“信用中国”网站（</w:t>
            </w:r>
            <w:r>
              <w:rPr>
                <w:rFonts w:hint="eastAsia" w:asciiTheme="majorEastAsia" w:hAnsiTheme="majorEastAsia" w:eastAsiaTheme="majorEastAsia" w:cstheme="majorEastAsia"/>
                <w:color w:val="auto"/>
                <w:spacing w:val="-34"/>
                <w:sz w:val="24"/>
                <w:szCs w:val="24"/>
                <w:highlight w:val="none"/>
              </w:rPr>
              <w:t>www.creditchina.gov.cn</w:t>
            </w:r>
            <w:r>
              <w:rPr>
                <w:rFonts w:hint="eastAsia" w:asciiTheme="majorEastAsia" w:hAnsiTheme="majorEastAsia" w:eastAsiaTheme="majorEastAsia" w:cstheme="majorEastAsia"/>
                <w:color w:val="auto"/>
                <w:sz w:val="24"/>
                <w:szCs w:val="24"/>
                <w:highlight w:val="none"/>
              </w:rPr>
              <w:t>）和中国政府采购网（</w:t>
            </w:r>
            <w:r>
              <w:rPr>
                <w:rFonts w:hint="eastAsia" w:asciiTheme="majorEastAsia" w:hAnsiTheme="majorEastAsia" w:eastAsiaTheme="majorEastAsia" w:cstheme="majorEastAsia"/>
                <w:color w:val="auto"/>
                <w:spacing w:val="-34"/>
                <w:sz w:val="24"/>
                <w:szCs w:val="24"/>
                <w:highlight w:val="none"/>
              </w:rPr>
              <w:t>www.ccgp.gov.cn</w:t>
            </w:r>
            <w:r>
              <w:rPr>
                <w:rFonts w:hint="eastAsia" w:asciiTheme="majorEastAsia" w:hAnsiTheme="majorEastAsia" w:eastAsiaTheme="majorEastAsia" w:cstheme="majorEastAsia"/>
                <w:color w:val="auto"/>
                <w:sz w:val="24"/>
                <w:szCs w:val="24"/>
                <w:highlight w:val="none"/>
              </w:rPr>
              <w:t>）对</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的信用信息进行查询，查询截止时间点即投标截止时间。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88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snapToGrid w:val="0"/>
              <w:spacing w:line="320" w:lineRule="exact"/>
              <w:jc w:val="center"/>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6</w:t>
            </w:r>
          </w:p>
        </w:tc>
        <w:tc>
          <w:tcPr>
            <w:tcW w:w="780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Theme="majorEastAsia" w:hAnsiTheme="majorEastAsia" w:eastAsiaTheme="majorEastAsia" w:cstheme="majorEastAsia"/>
                <w:color w:val="auto"/>
                <w:sz w:val="24"/>
                <w:szCs w:val="24"/>
                <w:highlight w:val="none"/>
              </w:rPr>
            </w:pPr>
            <w:r>
              <w:rPr>
                <w:rFonts w:hint="eastAsia" w:ascii="宋体" w:hAnsi="宋体" w:cs="宋体"/>
                <w:color w:val="auto"/>
                <w:sz w:val="24"/>
                <w:szCs w:val="24"/>
                <w:highlight w:val="none"/>
              </w:rPr>
              <w:t>按招标文件要求缴纳了投标保证金；</w:t>
            </w:r>
            <w:r>
              <w:rPr>
                <w:rFonts w:hint="eastAsia" w:ascii="宋体" w:hAnsi="宋体" w:cs="宋体"/>
                <w:color w:val="auto"/>
                <w:sz w:val="24"/>
                <w:szCs w:val="24"/>
                <w:highlight w:val="none"/>
                <w:lang w:val="en-US" w:eastAsia="zh-CN"/>
              </w:rPr>
              <w:t>提供缴纳凭证。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9" w:hRule="atLeast"/>
        </w:trPr>
        <w:tc>
          <w:tcPr>
            <w:tcW w:w="88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snapToGrid w:val="0"/>
              <w:spacing w:line="320" w:lineRule="exact"/>
              <w:jc w:val="center"/>
              <w:textAlignment w:val="auto"/>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7</w:t>
            </w:r>
          </w:p>
        </w:tc>
        <w:tc>
          <w:tcPr>
            <w:tcW w:w="780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宋体" w:hAnsi="宋体" w:cs="宋体"/>
                <w:color w:val="auto"/>
                <w:sz w:val="24"/>
                <w:szCs w:val="24"/>
                <w:highlight w:val="none"/>
                <w:lang w:val="zh-CN"/>
              </w:rPr>
              <w:t>本项目</w:t>
            </w:r>
            <w:r>
              <w:rPr>
                <w:rFonts w:hint="eastAsia" w:ascii="宋体" w:hAnsi="宋体" w:cs="宋体"/>
                <w:color w:val="auto"/>
                <w:sz w:val="24"/>
                <w:szCs w:val="24"/>
                <w:highlight w:val="none"/>
                <w:lang w:val="en-US" w:eastAsia="zh-CN"/>
              </w:rPr>
              <w:t>第一包、第二包、第四包为</w:t>
            </w:r>
            <w:r>
              <w:rPr>
                <w:rFonts w:hint="eastAsia" w:ascii="宋体" w:hAnsi="宋体" w:cs="宋体"/>
                <w:color w:val="auto"/>
                <w:sz w:val="24"/>
                <w:szCs w:val="24"/>
                <w:highlight w:val="none"/>
                <w:lang w:val="zh-CN"/>
              </w:rPr>
              <w:t>专门面向</w:t>
            </w:r>
            <w:r>
              <w:rPr>
                <w:rFonts w:hint="eastAsia" w:ascii="宋体" w:hAnsi="宋体" w:cs="宋体"/>
                <w:color w:val="auto"/>
                <w:sz w:val="24"/>
                <w:szCs w:val="24"/>
                <w:highlight w:val="none"/>
                <w:lang w:val="en-US" w:eastAsia="zh-CN"/>
              </w:rPr>
              <w:t>小微</w:t>
            </w:r>
            <w:r>
              <w:rPr>
                <w:rFonts w:hint="eastAsia" w:ascii="宋体" w:hAnsi="宋体" w:cs="宋体"/>
                <w:color w:val="auto"/>
                <w:sz w:val="24"/>
                <w:szCs w:val="24"/>
                <w:highlight w:val="none"/>
                <w:lang w:val="zh-CN"/>
              </w:rPr>
              <w:t>企业采购，</w:t>
            </w:r>
            <w:r>
              <w:rPr>
                <w:rFonts w:hint="eastAsia" w:ascii="宋体" w:hAnsi="宋体" w:cs="宋体"/>
                <w:color w:val="auto"/>
                <w:sz w:val="24"/>
                <w:szCs w:val="24"/>
                <w:highlight w:val="none"/>
                <w:lang w:val="en-US" w:eastAsia="zh-CN"/>
              </w:rPr>
              <w:t>第三包为</w:t>
            </w:r>
            <w:r>
              <w:rPr>
                <w:rFonts w:hint="eastAsia" w:ascii="宋体" w:hAnsi="宋体" w:cs="宋体"/>
                <w:color w:val="auto"/>
                <w:sz w:val="24"/>
                <w:szCs w:val="24"/>
                <w:highlight w:val="none"/>
                <w:lang w:val="zh-CN"/>
              </w:rPr>
              <w:t>专门面向</w:t>
            </w:r>
            <w:r>
              <w:rPr>
                <w:rFonts w:hint="eastAsia" w:ascii="宋体" w:hAnsi="宋体" w:cs="宋体"/>
                <w:color w:val="auto"/>
                <w:sz w:val="24"/>
                <w:szCs w:val="24"/>
                <w:highlight w:val="none"/>
                <w:lang w:val="en-US" w:eastAsia="zh-CN"/>
              </w:rPr>
              <w:t>中小</w:t>
            </w:r>
            <w:r>
              <w:rPr>
                <w:rFonts w:hint="eastAsia" w:ascii="宋体" w:hAnsi="宋体" w:cs="宋体"/>
                <w:color w:val="auto"/>
                <w:sz w:val="24"/>
                <w:szCs w:val="24"/>
                <w:highlight w:val="none"/>
                <w:lang w:val="zh-CN"/>
              </w:rPr>
              <w:t>企业采购；</w:t>
            </w:r>
            <w:r>
              <w:rPr>
                <w:rFonts w:hint="eastAsia" w:ascii="宋体" w:hAnsi="宋体" w:cs="宋体"/>
                <w:color w:val="auto"/>
                <w:sz w:val="24"/>
                <w:szCs w:val="24"/>
                <w:highlight w:val="none"/>
              </w:rPr>
              <w:t>投标单位</w:t>
            </w:r>
            <w:r>
              <w:rPr>
                <w:rFonts w:hint="eastAsia" w:ascii="宋体" w:hAnsi="宋体" w:cs="宋体"/>
                <w:color w:val="auto"/>
                <w:sz w:val="24"/>
                <w:szCs w:val="24"/>
                <w:highlight w:val="none"/>
                <w:lang w:val="en-US" w:eastAsia="zh-CN"/>
              </w:rPr>
              <w:t>需提供</w:t>
            </w:r>
            <w:r>
              <w:rPr>
                <w:rFonts w:hint="eastAsia" w:ascii="宋体" w:hAnsi="宋体" w:cs="宋体"/>
                <w:color w:val="auto"/>
                <w:sz w:val="24"/>
                <w:szCs w:val="24"/>
                <w:highlight w:val="none"/>
              </w:rPr>
              <w:t>《中小企业声明函》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监狱企业提供</w:t>
            </w:r>
            <w:r>
              <w:rPr>
                <w:rFonts w:hint="eastAsia" w:ascii="宋体" w:hAnsi="宋体" w:cs="宋体"/>
                <w:color w:val="auto"/>
                <w:sz w:val="24"/>
                <w:szCs w:val="24"/>
                <w:highlight w:val="none"/>
                <w:lang w:eastAsia="zh-CN"/>
              </w:rPr>
              <w:t>监狱企业的证明文件，</w:t>
            </w:r>
            <w:r>
              <w:rPr>
                <w:rFonts w:hint="eastAsia" w:ascii="宋体" w:hAnsi="宋体" w:cs="宋体"/>
                <w:color w:val="auto"/>
                <w:sz w:val="24"/>
                <w:szCs w:val="24"/>
                <w:highlight w:val="none"/>
              </w:rPr>
              <w:t>残疾人福利性单位提供《残疾人福利性单位声明函》</w:t>
            </w:r>
            <w:r>
              <w:rPr>
                <w:rFonts w:hint="eastAsia" w:ascii="宋体" w:hAnsi="宋体" w:cs="宋体"/>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5" w:hRule="atLeast"/>
        </w:trPr>
        <w:tc>
          <w:tcPr>
            <w:tcW w:w="8696" w:type="dxa"/>
            <w:gridSpan w:val="2"/>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宋体" w:hAnsi="宋体" w:cs="宋体"/>
                <w:sz w:val="24"/>
                <w:szCs w:val="24"/>
                <w:highlight w:val="none"/>
              </w:rPr>
            </w:pPr>
            <w:r>
              <w:rPr>
                <w:rFonts w:hint="eastAsia" w:ascii="宋体" w:hAnsi="宋体" w:cs="宋体"/>
                <w:sz w:val="24"/>
                <w:szCs w:val="24"/>
                <w:highlight w:val="none"/>
              </w:rPr>
              <w:t>备注：1.如果资格评审中有一项不满足审查标准的，将认定该</w:t>
            </w:r>
            <w:r>
              <w:rPr>
                <w:rFonts w:hint="eastAsia" w:ascii="宋体" w:hAnsi="宋体" w:cs="宋体"/>
                <w:sz w:val="24"/>
                <w:szCs w:val="24"/>
                <w:highlight w:val="none"/>
                <w:lang w:eastAsia="zh-CN"/>
              </w:rPr>
              <w:t>供应商</w:t>
            </w:r>
            <w:r>
              <w:rPr>
                <w:rFonts w:hint="eastAsia" w:ascii="宋体" w:hAnsi="宋体" w:cs="宋体"/>
                <w:sz w:val="24"/>
                <w:szCs w:val="24"/>
                <w:highlight w:val="none"/>
              </w:rPr>
              <w:t>不通过资格审查，不得进入下一阶段评审，并且不允许</w:t>
            </w:r>
            <w:r>
              <w:rPr>
                <w:rFonts w:hint="eastAsia" w:ascii="宋体" w:hAnsi="宋体" w:cs="宋体"/>
                <w:sz w:val="24"/>
                <w:szCs w:val="24"/>
                <w:highlight w:val="none"/>
                <w:lang w:eastAsia="zh-CN"/>
              </w:rPr>
              <w:t>供应商</w:t>
            </w:r>
            <w:r>
              <w:rPr>
                <w:rFonts w:hint="eastAsia" w:ascii="宋体" w:hAnsi="宋体" w:cs="宋体"/>
                <w:sz w:val="24"/>
                <w:szCs w:val="24"/>
                <w:highlight w:val="none"/>
              </w:rPr>
              <w:t>通过修改或撤销其不符合要求的差异或保留，使其成为实质性响应。</w:t>
            </w:r>
          </w:p>
          <w:p>
            <w:pPr>
              <w:keepNext w:val="0"/>
              <w:keepLines w:val="0"/>
              <w:pageBreakBefore w:val="0"/>
              <w:widowControl w:val="0"/>
              <w:kinsoku/>
              <w:wordWrap/>
              <w:overflowPunct/>
              <w:topLinePunct w:val="0"/>
              <w:autoSpaceDE/>
              <w:autoSpaceDN/>
              <w:bidi w:val="0"/>
              <w:adjustRightInd w:val="0"/>
              <w:snapToGrid w:val="0"/>
              <w:spacing w:line="320" w:lineRule="exact"/>
              <w:ind w:firstLine="751" w:firstLineChars="313"/>
              <w:textAlignment w:val="auto"/>
              <w:rPr>
                <w:highlight w:val="none"/>
              </w:rPr>
            </w:pPr>
            <w:r>
              <w:rPr>
                <w:rFonts w:hint="eastAsia" w:ascii="宋体" w:hAnsi="宋体" w:cs="宋体"/>
                <w:sz w:val="24"/>
                <w:szCs w:val="24"/>
                <w:highlight w:val="none"/>
              </w:rPr>
              <w:t>2.合格</w:t>
            </w:r>
            <w:r>
              <w:rPr>
                <w:rFonts w:hint="eastAsia" w:ascii="宋体" w:hAnsi="宋体" w:cs="宋体"/>
                <w:sz w:val="24"/>
                <w:szCs w:val="24"/>
                <w:highlight w:val="none"/>
                <w:lang w:eastAsia="zh-CN"/>
              </w:rPr>
              <w:t>供应商</w:t>
            </w:r>
            <w:r>
              <w:rPr>
                <w:rFonts w:hint="eastAsia" w:ascii="宋体" w:hAnsi="宋体" w:cs="宋体"/>
                <w:sz w:val="24"/>
                <w:szCs w:val="24"/>
                <w:highlight w:val="none"/>
              </w:rPr>
              <w:t>不足3家的，不得评标。</w:t>
            </w:r>
          </w:p>
        </w:tc>
      </w:tr>
    </w:tbl>
    <w:p>
      <w:pPr>
        <w:pStyle w:val="4"/>
        <w:keepNext/>
        <w:keepLines/>
        <w:pageBreakBefore/>
        <w:widowControl w:val="0"/>
        <w:kinsoku/>
        <w:wordWrap/>
        <w:overflowPunct/>
        <w:topLinePunct w:val="0"/>
        <w:autoSpaceDE/>
        <w:autoSpaceDN/>
        <w:bidi w:val="0"/>
        <w:adjustRightInd/>
        <w:snapToGrid/>
        <w:textAlignment w:val="auto"/>
        <w:rPr>
          <w:highlight w:val="none"/>
        </w:rPr>
      </w:pPr>
      <w:r>
        <w:rPr>
          <w:rFonts w:hint="eastAsia"/>
          <w:highlight w:val="none"/>
        </w:rPr>
        <w:t>五、评标</w:t>
      </w:r>
    </w:p>
    <w:p>
      <w:pPr>
        <w:pStyle w:val="5"/>
        <w:rPr>
          <w:highlight w:val="none"/>
        </w:rPr>
      </w:pPr>
      <w:bookmarkStart w:id="44" w:name="_Toc9510639"/>
      <w:bookmarkStart w:id="45" w:name="_Toc6750"/>
      <w:r>
        <w:rPr>
          <w:rFonts w:hint="eastAsia"/>
          <w:highlight w:val="none"/>
        </w:rPr>
        <w:t>25、组</w:t>
      </w:r>
      <w:bookmarkEnd w:id="44"/>
      <w:r>
        <w:rPr>
          <w:rFonts w:hint="eastAsia"/>
          <w:highlight w:val="none"/>
        </w:rPr>
        <w:t>建评标委员会</w:t>
      </w:r>
      <w:bookmarkEnd w:id="45"/>
    </w:p>
    <w:p>
      <w:pPr>
        <w:adjustRightInd w:val="0"/>
        <w:snapToGrid w:val="0"/>
        <w:spacing w:line="360" w:lineRule="auto"/>
        <w:ind w:firstLine="480" w:firstLineChars="200"/>
        <w:rPr>
          <w:rFonts w:ascii="宋体" w:hAnsi="宋体" w:cs="宋体"/>
          <w:color w:val="auto"/>
          <w:sz w:val="24"/>
          <w:szCs w:val="24"/>
          <w:highlight w:val="none"/>
        </w:rPr>
      </w:pPr>
      <w:bookmarkStart w:id="46" w:name="_Toc14527"/>
      <w:r>
        <w:rPr>
          <w:rFonts w:hint="eastAsia" w:asciiTheme="majorEastAsia" w:hAnsiTheme="majorEastAsia" w:eastAsiaTheme="majorEastAsia" w:cstheme="majorEastAsia"/>
          <w:color w:val="auto"/>
          <w:sz w:val="24"/>
          <w:szCs w:val="24"/>
          <w:highlight w:val="none"/>
          <w:lang w:val="en-US" w:eastAsia="zh-CN"/>
        </w:rPr>
        <w:t>按《中华人民共和国政府采购法》相关要求，本项目评标委员会由政采云评标专家库随机抽取的5名评审专家和2名采购人代表组成。</w:t>
      </w:r>
    </w:p>
    <w:p>
      <w:pPr>
        <w:pStyle w:val="5"/>
        <w:rPr>
          <w:highlight w:val="none"/>
        </w:rPr>
      </w:pPr>
      <w:r>
        <w:rPr>
          <w:rFonts w:hint="eastAsia"/>
          <w:highlight w:val="none"/>
        </w:rPr>
        <w:t>26、评标程序</w:t>
      </w:r>
      <w:bookmarkEnd w:id="46"/>
    </w:p>
    <w:p>
      <w:pPr>
        <w:adjustRightInd w:val="0"/>
        <w:snapToGrid w:val="0"/>
        <w:spacing w:line="400" w:lineRule="exact"/>
        <w:ind w:firstLine="472" w:firstLineChars="196"/>
        <w:jc w:val="left"/>
        <w:rPr>
          <w:rFonts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rPr>
        <w:t>26.1符合性审查</w:t>
      </w:r>
    </w:p>
    <w:p>
      <w:pPr>
        <w:adjustRightInd w:val="0"/>
        <w:snapToGrid w:val="0"/>
        <w:spacing w:line="500" w:lineRule="exact"/>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评标委员会对投标文件的完整性、合法性等进行审查。下列有一项未通过审查</w:t>
      </w:r>
      <w:r>
        <w:rPr>
          <w:rFonts w:hint="eastAsia" w:asciiTheme="majorEastAsia" w:hAnsiTheme="majorEastAsia" w:eastAsiaTheme="majorEastAsia" w:cstheme="majorEastAsia"/>
          <w:bCs/>
          <w:sz w:val="24"/>
          <w:szCs w:val="24"/>
          <w:highlight w:val="none"/>
        </w:rPr>
        <w:t>内容</w:t>
      </w:r>
      <w:r>
        <w:rPr>
          <w:rFonts w:hint="eastAsia" w:asciiTheme="majorEastAsia" w:hAnsiTheme="majorEastAsia" w:eastAsiaTheme="majorEastAsia" w:cstheme="majorEastAsia"/>
          <w:sz w:val="24"/>
          <w:szCs w:val="24"/>
          <w:highlight w:val="none"/>
        </w:rPr>
        <w:t>的，应在符合性审查时按照无效投标处理：</w:t>
      </w:r>
    </w:p>
    <w:tbl>
      <w:tblPr>
        <w:tblStyle w:val="15"/>
        <w:tblW w:w="8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pPr>
              <w:adjustRightInd w:val="0"/>
              <w:snapToGrid w:val="0"/>
              <w:spacing w:line="400" w:lineRule="exact"/>
              <w:jc w:val="center"/>
              <w:rPr>
                <w:rFonts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序号</w:t>
            </w:r>
          </w:p>
        </w:tc>
        <w:tc>
          <w:tcPr>
            <w:tcW w:w="7832" w:type="dxa"/>
            <w:vAlign w:val="center"/>
          </w:tcPr>
          <w:p>
            <w:pPr>
              <w:adjustRightInd w:val="0"/>
              <w:snapToGrid w:val="0"/>
              <w:spacing w:line="400" w:lineRule="exact"/>
              <w:jc w:val="center"/>
              <w:rPr>
                <w:rFonts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sz w:val="24"/>
                <w:szCs w:val="24"/>
                <w:highlight w:val="none"/>
              </w:rPr>
              <w:t>审查</w:t>
            </w:r>
            <w:r>
              <w:rPr>
                <w:rFonts w:hint="eastAsia" w:asciiTheme="majorEastAsia" w:hAnsiTheme="majorEastAsia" w:eastAsiaTheme="majorEastAsia" w:cstheme="majorEastAsia"/>
                <w:bCs/>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pPr>
              <w:adjustRightInd w:val="0"/>
              <w:snapToGrid w:val="0"/>
              <w:spacing w:line="400" w:lineRule="exact"/>
              <w:jc w:val="center"/>
              <w:rPr>
                <w:rFonts w:hint="eastAsia" w:asciiTheme="majorEastAsia" w:hAnsiTheme="majorEastAsia" w:eastAsiaTheme="majorEastAsia" w:cstheme="majorEastAsia"/>
                <w:bCs/>
                <w:kern w:val="2"/>
                <w:sz w:val="24"/>
                <w:szCs w:val="24"/>
                <w:highlight w:val="none"/>
                <w:lang w:val="en-US" w:eastAsia="zh-CN" w:bidi="ar-SA"/>
              </w:rPr>
            </w:pPr>
            <w:r>
              <w:rPr>
                <w:rFonts w:hint="eastAsia" w:asciiTheme="majorEastAsia" w:hAnsiTheme="majorEastAsia" w:eastAsiaTheme="majorEastAsia" w:cstheme="majorEastAsia"/>
                <w:bCs/>
                <w:color w:val="auto"/>
                <w:sz w:val="24"/>
                <w:szCs w:val="24"/>
                <w:highlight w:val="none"/>
                <w:lang w:val="en-US" w:eastAsia="zh-CN"/>
              </w:rPr>
              <w:t>1</w:t>
            </w:r>
          </w:p>
        </w:tc>
        <w:tc>
          <w:tcPr>
            <w:tcW w:w="7832" w:type="dxa"/>
            <w:vAlign w:val="center"/>
          </w:tcPr>
          <w:p>
            <w:pPr>
              <w:adjustRightInd w:val="0"/>
              <w:snapToGrid w:val="0"/>
              <w:spacing w:line="400" w:lineRule="exact"/>
              <w:ind w:firstLine="33" w:firstLineChars="14"/>
              <w:rPr>
                <w:rFonts w:hint="eastAsia" w:ascii="宋体" w:hAnsi="宋体" w:cs="宋体"/>
                <w:color w:val="auto"/>
                <w:sz w:val="24"/>
                <w:szCs w:val="24"/>
                <w:highlight w:val="none"/>
              </w:rPr>
            </w:pPr>
            <w:r>
              <w:rPr>
                <w:rFonts w:hint="eastAsia" w:asciiTheme="majorEastAsia" w:hAnsiTheme="majorEastAsia" w:eastAsiaTheme="majorEastAsia" w:cstheme="majorEastAsia"/>
                <w:sz w:val="24"/>
                <w:szCs w:val="24"/>
                <w:highlight w:val="none"/>
                <w:lang w:val="en-US" w:eastAsia="zh-CN"/>
              </w:rPr>
              <w:t>合同履约期限是否</w:t>
            </w:r>
            <w:r>
              <w:rPr>
                <w:rFonts w:hint="eastAsia" w:asciiTheme="majorEastAsia" w:hAnsiTheme="majorEastAsia" w:eastAsiaTheme="majorEastAsia" w:cstheme="majorEastAsia"/>
                <w:sz w:val="24"/>
                <w:szCs w:val="24"/>
                <w:highlight w:val="none"/>
              </w:rPr>
              <w:t>满足招标文件规定。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pPr>
              <w:adjustRightInd w:val="0"/>
              <w:snapToGrid w:val="0"/>
              <w:spacing w:line="400" w:lineRule="exact"/>
              <w:jc w:val="center"/>
              <w:rPr>
                <w:rFonts w:asciiTheme="majorEastAsia" w:hAnsiTheme="majorEastAsia" w:eastAsiaTheme="majorEastAsia" w:cstheme="majorEastAsia"/>
                <w:bCs/>
                <w:kern w:val="2"/>
                <w:sz w:val="24"/>
                <w:szCs w:val="24"/>
                <w:highlight w:val="none"/>
                <w:lang w:val="en-US" w:eastAsia="zh-CN" w:bidi="ar-SA"/>
              </w:rPr>
            </w:pPr>
            <w:r>
              <w:rPr>
                <w:rFonts w:hint="eastAsia" w:asciiTheme="majorEastAsia" w:hAnsiTheme="majorEastAsia" w:eastAsiaTheme="majorEastAsia" w:cstheme="majorEastAsia"/>
                <w:bCs/>
                <w:color w:val="auto"/>
                <w:sz w:val="24"/>
                <w:szCs w:val="24"/>
                <w:highlight w:val="none"/>
                <w:lang w:val="en-US" w:eastAsia="zh-CN"/>
              </w:rPr>
              <w:t>2</w:t>
            </w:r>
          </w:p>
        </w:tc>
        <w:tc>
          <w:tcPr>
            <w:tcW w:w="7832" w:type="dxa"/>
            <w:vAlign w:val="center"/>
          </w:tcPr>
          <w:p>
            <w:pPr>
              <w:adjustRightInd w:val="0"/>
              <w:snapToGrid w:val="0"/>
              <w:spacing w:line="400" w:lineRule="exact"/>
              <w:ind w:firstLine="33" w:firstLineChars="14"/>
              <w:rPr>
                <w:rFonts w:ascii="宋体" w:hAnsi="宋体" w:cs="宋体"/>
                <w:sz w:val="24"/>
                <w:szCs w:val="24"/>
                <w:highlight w:val="none"/>
              </w:rPr>
            </w:pPr>
            <w:r>
              <w:rPr>
                <w:rFonts w:hint="eastAsia" w:ascii="宋体" w:hAnsi="宋体" w:cs="宋体"/>
                <w:color w:val="auto"/>
                <w:sz w:val="24"/>
                <w:szCs w:val="24"/>
                <w:highlight w:val="none"/>
              </w:rPr>
              <w:t>只允许有一个报价，不接受可变动性报价、赠送及“零”报价。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pPr>
              <w:adjustRightInd w:val="0"/>
              <w:snapToGrid w:val="0"/>
              <w:spacing w:line="400" w:lineRule="exact"/>
              <w:jc w:val="center"/>
              <w:rPr>
                <w:rFonts w:asciiTheme="majorEastAsia" w:hAnsiTheme="majorEastAsia" w:eastAsiaTheme="majorEastAsia" w:cstheme="majorEastAsia"/>
                <w:bCs/>
                <w:kern w:val="2"/>
                <w:sz w:val="24"/>
                <w:szCs w:val="24"/>
                <w:highlight w:val="none"/>
                <w:lang w:val="en-US" w:eastAsia="zh-CN" w:bidi="ar-SA"/>
              </w:rPr>
            </w:pPr>
            <w:r>
              <w:rPr>
                <w:rFonts w:hint="eastAsia" w:asciiTheme="majorEastAsia" w:hAnsiTheme="majorEastAsia" w:eastAsiaTheme="majorEastAsia" w:cstheme="majorEastAsia"/>
                <w:bCs/>
                <w:color w:val="auto"/>
                <w:sz w:val="24"/>
                <w:szCs w:val="24"/>
                <w:highlight w:val="none"/>
                <w:lang w:val="en-US" w:eastAsia="zh-CN"/>
              </w:rPr>
              <w:t>3</w:t>
            </w:r>
          </w:p>
        </w:tc>
        <w:tc>
          <w:tcPr>
            <w:tcW w:w="7832" w:type="dxa"/>
            <w:vAlign w:val="center"/>
          </w:tcPr>
          <w:p>
            <w:pPr>
              <w:adjustRightInd w:val="0"/>
              <w:snapToGrid w:val="0"/>
              <w:spacing w:line="400" w:lineRule="exact"/>
              <w:ind w:firstLine="33" w:firstLineChars="14"/>
              <w:rPr>
                <w:rFonts w:ascii="宋体" w:hAnsi="宋体" w:cs="宋体"/>
                <w:sz w:val="24"/>
                <w:szCs w:val="24"/>
                <w:highlight w:val="none"/>
              </w:rPr>
            </w:pPr>
            <w:r>
              <w:rPr>
                <w:rFonts w:hint="eastAsia" w:ascii="宋体" w:hAnsi="宋体" w:cs="宋体"/>
                <w:color w:val="auto"/>
                <w:sz w:val="24"/>
                <w:szCs w:val="24"/>
                <w:highlight w:val="none"/>
              </w:rPr>
              <w:t>必须采用人民币报价。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850" w:type="dxa"/>
            <w:vAlign w:val="center"/>
          </w:tcPr>
          <w:p>
            <w:pPr>
              <w:adjustRightInd w:val="0"/>
              <w:snapToGrid w:val="0"/>
              <w:spacing w:line="400" w:lineRule="exact"/>
              <w:jc w:val="center"/>
              <w:rPr>
                <w:rFonts w:asciiTheme="majorEastAsia" w:hAnsiTheme="majorEastAsia" w:eastAsiaTheme="majorEastAsia" w:cstheme="majorEastAsia"/>
                <w:bCs/>
                <w:kern w:val="2"/>
                <w:sz w:val="24"/>
                <w:szCs w:val="24"/>
                <w:highlight w:val="none"/>
                <w:lang w:val="en-US" w:eastAsia="zh-CN" w:bidi="ar-SA"/>
              </w:rPr>
            </w:pPr>
            <w:r>
              <w:rPr>
                <w:rFonts w:hint="eastAsia" w:asciiTheme="majorEastAsia" w:hAnsiTheme="majorEastAsia" w:eastAsiaTheme="majorEastAsia" w:cstheme="majorEastAsia"/>
                <w:bCs/>
                <w:color w:val="auto"/>
                <w:sz w:val="24"/>
                <w:szCs w:val="24"/>
                <w:highlight w:val="none"/>
                <w:lang w:val="en-US" w:eastAsia="zh-CN"/>
              </w:rPr>
              <w:t>4</w:t>
            </w:r>
          </w:p>
        </w:tc>
        <w:tc>
          <w:tcPr>
            <w:tcW w:w="7832" w:type="dxa"/>
            <w:vAlign w:val="center"/>
          </w:tcPr>
          <w:p>
            <w:pPr>
              <w:adjustRightInd w:val="0"/>
              <w:snapToGrid w:val="0"/>
              <w:spacing w:line="400" w:lineRule="exact"/>
              <w:ind w:firstLine="33" w:firstLineChars="14"/>
              <w:rPr>
                <w:rFonts w:hint="eastAsia" w:ascii="宋体" w:hAnsi="宋体" w:cs="宋体" w:eastAsiaTheme="majorEastAsia"/>
                <w:sz w:val="24"/>
                <w:szCs w:val="24"/>
                <w:highlight w:val="none"/>
                <w:lang w:eastAsia="zh-CN"/>
              </w:rPr>
            </w:pPr>
            <w:r>
              <w:rPr>
                <w:rFonts w:hint="eastAsia" w:ascii="宋体" w:hAnsi="宋体" w:cs="宋体"/>
                <w:color w:val="auto"/>
                <w:sz w:val="24"/>
                <w:szCs w:val="24"/>
                <w:highlight w:val="none"/>
                <w:lang w:val="en-US" w:eastAsia="zh-CN"/>
              </w:rPr>
              <w:t>供应商的报价明显低于其他通过符合性审查供应商的报价，有可能影响产品质量或者不能诚信履约的</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若有时，</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能在规定时间内作出合理说明或提供相关证明材料。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50" w:type="dxa"/>
            <w:vAlign w:val="center"/>
          </w:tcPr>
          <w:p>
            <w:pPr>
              <w:adjustRightInd w:val="0"/>
              <w:snapToGrid w:val="0"/>
              <w:spacing w:line="400" w:lineRule="exact"/>
              <w:jc w:val="center"/>
              <w:rPr>
                <w:rFonts w:asciiTheme="majorEastAsia" w:hAnsiTheme="majorEastAsia" w:eastAsiaTheme="majorEastAsia" w:cstheme="majorEastAsia"/>
                <w:bCs/>
                <w:kern w:val="2"/>
                <w:sz w:val="24"/>
                <w:szCs w:val="24"/>
                <w:highlight w:val="none"/>
                <w:lang w:val="en-US" w:eastAsia="zh-CN" w:bidi="ar-SA"/>
              </w:rPr>
            </w:pPr>
            <w:r>
              <w:rPr>
                <w:rFonts w:hint="eastAsia" w:asciiTheme="majorEastAsia" w:hAnsiTheme="majorEastAsia" w:eastAsiaTheme="majorEastAsia" w:cstheme="majorEastAsia"/>
                <w:bCs/>
                <w:color w:val="auto"/>
                <w:sz w:val="24"/>
                <w:szCs w:val="24"/>
                <w:highlight w:val="none"/>
                <w:lang w:val="en-US" w:eastAsia="zh-CN"/>
              </w:rPr>
              <w:t>5</w:t>
            </w:r>
          </w:p>
        </w:tc>
        <w:tc>
          <w:tcPr>
            <w:tcW w:w="7832" w:type="dxa"/>
            <w:vAlign w:val="center"/>
          </w:tcPr>
          <w:p>
            <w:pPr>
              <w:adjustRightInd w:val="0"/>
              <w:snapToGrid w:val="0"/>
              <w:spacing w:line="400" w:lineRule="exact"/>
              <w:ind w:firstLine="33" w:firstLineChars="14"/>
              <w:rPr>
                <w:rFonts w:ascii="宋体" w:hAnsi="宋体" w:cs="宋体"/>
                <w:sz w:val="24"/>
                <w:szCs w:val="24"/>
                <w:highlight w:val="none"/>
              </w:rPr>
            </w:pPr>
            <w:r>
              <w:rPr>
                <w:rFonts w:hint="eastAsia" w:ascii="宋体" w:hAnsi="宋体" w:cs="宋体"/>
                <w:color w:val="auto"/>
                <w:sz w:val="24"/>
                <w:szCs w:val="24"/>
                <w:highlight w:val="none"/>
              </w:rPr>
              <w:t>投标文件必须按招标文件规定格式完整提供，并要盖</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章、法定代表人或被授权人签字或盖章。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850" w:type="dxa"/>
            <w:vAlign w:val="center"/>
          </w:tcPr>
          <w:p>
            <w:pPr>
              <w:adjustRightInd w:val="0"/>
              <w:snapToGrid w:val="0"/>
              <w:spacing w:line="400" w:lineRule="exact"/>
              <w:jc w:val="center"/>
              <w:rPr>
                <w:rFonts w:asciiTheme="majorEastAsia" w:hAnsiTheme="majorEastAsia" w:eastAsiaTheme="majorEastAsia" w:cstheme="majorEastAsia"/>
                <w:bCs/>
                <w:kern w:val="2"/>
                <w:sz w:val="24"/>
                <w:szCs w:val="24"/>
                <w:highlight w:val="none"/>
                <w:lang w:val="en-US" w:eastAsia="zh-CN" w:bidi="ar-SA"/>
              </w:rPr>
            </w:pPr>
            <w:r>
              <w:rPr>
                <w:rFonts w:hint="eastAsia" w:asciiTheme="majorEastAsia" w:hAnsiTheme="majorEastAsia" w:eastAsiaTheme="majorEastAsia" w:cstheme="majorEastAsia"/>
                <w:bCs/>
                <w:color w:val="auto"/>
                <w:sz w:val="24"/>
                <w:szCs w:val="24"/>
                <w:highlight w:val="none"/>
                <w:lang w:val="en-US" w:eastAsia="zh-CN"/>
              </w:rPr>
              <w:t>6</w:t>
            </w:r>
          </w:p>
        </w:tc>
        <w:tc>
          <w:tcPr>
            <w:tcW w:w="7832" w:type="dxa"/>
            <w:vAlign w:val="center"/>
          </w:tcPr>
          <w:p>
            <w:pPr>
              <w:adjustRightInd w:val="0"/>
              <w:snapToGrid w:val="0"/>
              <w:spacing w:line="400" w:lineRule="exact"/>
              <w:ind w:firstLine="33" w:firstLineChars="14"/>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color w:val="auto"/>
                <w:sz w:val="24"/>
                <w:szCs w:val="24"/>
                <w:highlight w:val="none"/>
              </w:rPr>
              <w:t>法定代表人（负责人、自然人）授权委托书必须按招标文件规定格式完整提供，并要盖</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章、法定代表人（负责人、自然人）签字或盖章，被授权人签字或盖章。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pPr>
              <w:adjustRightInd w:val="0"/>
              <w:snapToGrid w:val="0"/>
              <w:spacing w:line="400" w:lineRule="exact"/>
              <w:jc w:val="center"/>
              <w:rPr>
                <w:rFonts w:asciiTheme="majorEastAsia" w:hAnsiTheme="majorEastAsia" w:eastAsiaTheme="majorEastAsia" w:cstheme="majorEastAsia"/>
                <w:bCs/>
                <w:kern w:val="2"/>
                <w:sz w:val="24"/>
                <w:szCs w:val="24"/>
                <w:highlight w:val="none"/>
                <w:lang w:val="en-US" w:eastAsia="zh-CN" w:bidi="ar-SA"/>
              </w:rPr>
            </w:pPr>
            <w:r>
              <w:rPr>
                <w:rFonts w:hint="eastAsia" w:asciiTheme="majorEastAsia" w:hAnsiTheme="majorEastAsia" w:eastAsiaTheme="majorEastAsia" w:cstheme="majorEastAsia"/>
                <w:bCs/>
                <w:color w:val="auto"/>
                <w:sz w:val="24"/>
                <w:szCs w:val="24"/>
                <w:highlight w:val="none"/>
                <w:lang w:val="en-US" w:eastAsia="zh-CN"/>
              </w:rPr>
              <w:t>7</w:t>
            </w:r>
          </w:p>
        </w:tc>
        <w:tc>
          <w:tcPr>
            <w:tcW w:w="7832" w:type="dxa"/>
            <w:vAlign w:val="center"/>
          </w:tcPr>
          <w:p>
            <w:pPr>
              <w:adjustRightInd w:val="0"/>
              <w:snapToGrid w:val="0"/>
              <w:spacing w:line="400" w:lineRule="exact"/>
              <w:ind w:firstLine="33" w:firstLineChars="14"/>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color w:val="auto"/>
                <w:sz w:val="24"/>
                <w:szCs w:val="24"/>
                <w:highlight w:val="none"/>
              </w:rPr>
              <w:t>投标报价没有超过最高限价</w:t>
            </w:r>
            <w:r>
              <w:rPr>
                <w:rFonts w:hint="eastAsia" w:asciiTheme="majorEastAsia" w:hAnsiTheme="majorEastAsia" w:eastAsiaTheme="majorEastAsia" w:cstheme="majorEastAsia"/>
                <w:color w:val="auto"/>
                <w:sz w:val="24"/>
                <w:szCs w:val="24"/>
                <w:highlight w:val="none"/>
                <w:lang w:val="en-US" w:eastAsia="zh-CN"/>
              </w:rPr>
              <w:t>且单价报价没有超过</w:t>
            </w:r>
            <w:r>
              <w:rPr>
                <w:rFonts w:hint="eastAsia" w:asciiTheme="majorEastAsia" w:hAnsiTheme="majorEastAsia" w:eastAsiaTheme="majorEastAsia" w:cstheme="majorEastAsia"/>
                <w:color w:val="auto"/>
                <w:sz w:val="24"/>
                <w:szCs w:val="24"/>
                <w:highlight w:val="none"/>
              </w:rPr>
              <w:t>单价最高限价</w:t>
            </w:r>
            <w:r>
              <w:rPr>
                <w:rFonts w:hint="eastAsia" w:asciiTheme="majorEastAsia" w:hAnsiTheme="majorEastAsia" w:eastAsiaTheme="majorEastAsia" w:cstheme="maj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pPr>
              <w:adjustRightInd w:val="0"/>
              <w:snapToGrid w:val="0"/>
              <w:spacing w:line="400" w:lineRule="exact"/>
              <w:jc w:val="center"/>
              <w:rPr>
                <w:rFonts w:asciiTheme="majorEastAsia" w:hAnsiTheme="majorEastAsia" w:eastAsiaTheme="majorEastAsia" w:cstheme="majorEastAsia"/>
                <w:bCs/>
                <w:kern w:val="2"/>
                <w:sz w:val="24"/>
                <w:szCs w:val="24"/>
                <w:highlight w:val="none"/>
                <w:lang w:val="en-US" w:eastAsia="zh-CN" w:bidi="ar-SA"/>
              </w:rPr>
            </w:pPr>
            <w:r>
              <w:rPr>
                <w:rFonts w:hint="eastAsia" w:asciiTheme="majorEastAsia" w:hAnsiTheme="majorEastAsia" w:eastAsiaTheme="majorEastAsia" w:cstheme="majorEastAsia"/>
                <w:bCs/>
                <w:color w:val="auto"/>
                <w:sz w:val="24"/>
                <w:szCs w:val="24"/>
                <w:highlight w:val="none"/>
                <w:lang w:val="en-US" w:eastAsia="zh-CN"/>
              </w:rPr>
              <w:t>8</w:t>
            </w:r>
          </w:p>
        </w:tc>
        <w:tc>
          <w:tcPr>
            <w:tcW w:w="7832" w:type="dxa"/>
            <w:vAlign w:val="center"/>
          </w:tcPr>
          <w:p>
            <w:pPr>
              <w:adjustRightInd w:val="0"/>
              <w:snapToGrid w:val="0"/>
              <w:spacing w:line="400" w:lineRule="exact"/>
              <w:ind w:firstLine="33" w:firstLineChars="14"/>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color w:val="auto"/>
                <w:sz w:val="24"/>
                <w:szCs w:val="24"/>
                <w:highlight w:val="none"/>
              </w:rPr>
              <w:t>投标文件未含有采购人不能接受的附加条件。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pPr>
              <w:adjustRightInd w:val="0"/>
              <w:snapToGrid w:val="0"/>
              <w:spacing w:line="400" w:lineRule="exact"/>
              <w:jc w:val="center"/>
              <w:rPr>
                <w:rFonts w:asciiTheme="majorEastAsia" w:hAnsiTheme="majorEastAsia" w:eastAsiaTheme="majorEastAsia" w:cstheme="majorEastAsia"/>
                <w:bCs/>
                <w:kern w:val="2"/>
                <w:sz w:val="24"/>
                <w:szCs w:val="24"/>
                <w:highlight w:val="none"/>
                <w:lang w:val="en-US" w:eastAsia="zh-CN" w:bidi="ar-SA"/>
              </w:rPr>
            </w:pPr>
            <w:r>
              <w:rPr>
                <w:rFonts w:hint="eastAsia" w:asciiTheme="majorEastAsia" w:hAnsiTheme="majorEastAsia" w:eastAsiaTheme="majorEastAsia" w:cstheme="majorEastAsia"/>
                <w:bCs/>
                <w:color w:val="auto"/>
                <w:sz w:val="24"/>
                <w:szCs w:val="24"/>
                <w:highlight w:val="none"/>
                <w:lang w:val="en-US" w:eastAsia="zh-CN"/>
              </w:rPr>
              <w:t>9</w:t>
            </w:r>
          </w:p>
        </w:tc>
        <w:tc>
          <w:tcPr>
            <w:tcW w:w="7832" w:type="dxa"/>
            <w:vAlign w:val="center"/>
          </w:tcPr>
          <w:p>
            <w:pPr>
              <w:adjustRightInd w:val="0"/>
              <w:snapToGrid w:val="0"/>
              <w:spacing w:line="400" w:lineRule="exact"/>
              <w:ind w:firstLine="33" w:firstLineChars="14"/>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color w:val="auto"/>
                <w:sz w:val="24"/>
                <w:szCs w:val="24"/>
                <w:highlight w:val="none"/>
              </w:rPr>
              <w:t>投标文件与招标文件没有重大偏离的。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pPr>
              <w:adjustRightInd w:val="0"/>
              <w:snapToGrid w:val="0"/>
              <w:spacing w:line="400" w:lineRule="exact"/>
              <w:jc w:val="center"/>
              <w:rPr>
                <w:rFonts w:hint="default" w:asciiTheme="majorEastAsia" w:hAnsiTheme="majorEastAsia" w:eastAsiaTheme="majorEastAsia" w:cstheme="majorEastAsia"/>
                <w:bCs/>
                <w:sz w:val="24"/>
                <w:szCs w:val="24"/>
                <w:highlight w:val="none"/>
                <w:lang w:val="en-US" w:eastAsia="zh-CN"/>
              </w:rPr>
            </w:pPr>
            <w:r>
              <w:rPr>
                <w:rFonts w:hint="eastAsia" w:asciiTheme="majorEastAsia" w:hAnsiTheme="majorEastAsia" w:eastAsiaTheme="majorEastAsia" w:cstheme="majorEastAsia"/>
                <w:bCs/>
                <w:sz w:val="24"/>
                <w:szCs w:val="24"/>
                <w:highlight w:val="none"/>
                <w:lang w:val="en-US" w:eastAsia="zh-CN"/>
              </w:rPr>
              <w:t>10</w:t>
            </w:r>
          </w:p>
        </w:tc>
        <w:tc>
          <w:tcPr>
            <w:tcW w:w="7832" w:type="dxa"/>
            <w:vAlign w:val="center"/>
          </w:tcPr>
          <w:p>
            <w:pPr>
              <w:adjustRightInd w:val="0"/>
              <w:snapToGrid w:val="0"/>
              <w:spacing w:line="400" w:lineRule="exact"/>
              <w:ind w:firstLine="33" w:firstLineChars="14"/>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color w:val="auto"/>
                <w:sz w:val="24"/>
                <w:szCs w:val="24"/>
                <w:highlight w:val="none"/>
              </w:rPr>
              <w:t>不存在其他无效情形的，如不符合法律、法规和招标文件规定的。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82" w:type="dxa"/>
            <w:gridSpan w:val="2"/>
            <w:vAlign w:val="center"/>
          </w:tcPr>
          <w:p>
            <w:pPr>
              <w:adjustRightInd w:val="0"/>
              <w:snapToGrid w:val="0"/>
              <w:spacing w:line="400" w:lineRule="exact"/>
              <w:ind w:firstLine="33" w:firstLineChars="14"/>
              <w:rPr>
                <w:rFonts w:asciiTheme="majorEastAsia" w:hAnsiTheme="majorEastAsia" w:eastAsiaTheme="majorEastAsia" w:cstheme="majorEastAsia"/>
                <w:sz w:val="24"/>
                <w:szCs w:val="24"/>
                <w:highlight w:val="none"/>
              </w:rPr>
            </w:pPr>
            <w:r>
              <w:rPr>
                <w:rFonts w:hint="eastAsia" w:ascii="宋体" w:hAnsi="宋体" w:cs="宋体"/>
                <w:color w:val="auto"/>
                <w:sz w:val="24"/>
                <w:szCs w:val="24"/>
                <w:highlight w:val="none"/>
                <w:lang w:eastAsia="zh-CN"/>
              </w:rPr>
              <w:t>备注：如果符合性审查中有一项不满足审查标准的，将认定该供应商不通过符合性审查，不得进入下一阶段评审，并且不允许供应商通过修改或撤销其不符合要求的差异或保留，使其成为实质性响应。</w:t>
            </w:r>
          </w:p>
        </w:tc>
      </w:tr>
    </w:tbl>
    <w:p>
      <w:pPr>
        <w:adjustRightInd w:val="0"/>
        <w:snapToGrid w:val="0"/>
        <w:spacing w:line="500" w:lineRule="exact"/>
        <w:ind w:firstLine="472" w:firstLineChars="196"/>
        <w:rPr>
          <w:rFonts w:asciiTheme="majorEastAsia" w:hAnsiTheme="majorEastAsia" w:eastAsiaTheme="majorEastAsia" w:cstheme="majorEastAsia"/>
          <w:b/>
          <w:bCs/>
          <w:color w:val="auto"/>
          <w:sz w:val="24"/>
          <w:szCs w:val="24"/>
          <w:highlight w:val="none"/>
        </w:rPr>
      </w:pPr>
      <w:bookmarkStart w:id="47" w:name="_Toc26304"/>
      <w:r>
        <w:rPr>
          <w:rFonts w:hint="eastAsia" w:asciiTheme="majorEastAsia" w:hAnsiTheme="majorEastAsia" w:eastAsiaTheme="majorEastAsia" w:cstheme="majorEastAsia"/>
          <w:b/>
          <w:bCs/>
          <w:color w:val="auto"/>
          <w:sz w:val="24"/>
          <w:szCs w:val="24"/>
          <w:highlight w:val="none"/>
        </w:rPr>
        <w:t>26.</w:t>
      </w:r>
      <w:r>
        <w:rPr>
          <w:rFonts w:hint="eastAsia" w:asciiTheme="majorEastAsia" w:hAnsiTheme="majorEastAsia" w:eastAsiaTheme="majorEastAsia" w:cstheme="majorEastAsia"/>
          <w:b/>
          <w:bCs/>
          <w:color w:val="auto"/>
          <w:sz w:val="24"/>
          <w:szCs w:val="24"/>
          <w:highlight w:val="none"/>
          <w:lang w:val="en-US" w:eastAsia="zh-CN"/>
        </w:rPr>
        <w:t>2</w:t>
      </w:r>
      <w:r>
        <w:rPr>
          <w:rFonts w:hint="eastAsia" w:asciiTheme="majorEastAsia" w:hAnsiTheme="majorEastAsia" w:eastAsiaTheme="majorEastAsia" w:cstheme="majorEastAsia"/>
          <w:b/>
          <w:bCs/>
          <w:color w:val="auto"/>
          <w:sz w:val="24"/>
          <w:szCs w:val="24"/>
          <w:highlight w:val="none"/>
        </w:rPr>
        <w:t xml:space="preserve"> 实质审查与比较</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26.</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.1评标委员会审查投标文件的实质性内容是否符合招标文件的实质性要求。</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26.</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.2评标委员会将根据</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的投标文件进行审查、核对,如有疑问,将对</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进行询标,</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要向评标委员会澄清有关问题,并最终以书面形式进行答复。</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26.</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.3各</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的技术得分为所有评委的有效评分的算术平均数。</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26.</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.4采购代理机构工作人员协助评标委员会根据本项目的评分标准计算各</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的商务报价得分。</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26.</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.5评标委员会完成评标后,评委对各部分得分汇总,计算出本项目最终得分。评标委员会按评标原则推荐中标候选人，同时</w:t>
      </w:r>
      <w:r>
        <w:rPr>
          <w:rFonts w:hint="eastAsia" w:asciiTheme="majorEastAsia" w:hAnsiTheme="majorEastAsia" w:eastAsiaTheme="majorEastAsia" w:cstheme="majorEastAsia"/>
          <w:color w:val="auto"/>
          <w:sz w:val="24"/>
          <w:szCs w:val="24"/>
          <w:highlight w:val="none"/>
          <w:lang w:val="en-US" w:eastAsia="zh-CN"/>
        </w:rPr>
        <w:t>提交评审结果</w:t>
      </w:r>
      <w:r>
        <w:rPr>
          <w:rFonts w:hint="eastAsia" w:asciiTheme="majorEastAsia" w:hAnsiTheme="majorEastAsia" w:eastAsiaTheme="majorEastAsia" w:cstheme="majorEastAsia"/>
          <w:color w:val="auto"/>
          <w:sz w:val="24"/>
          <w:szCs w:val="24"/>
          <w:highlight w:val="none"/>
        </w:rPr>
        <w:t>。</w:t>
      </w:r>
    </w:p>
    <w:p>
      <w:pPr>
        <w:pStyle w:val="5"/>
        <w:rPr>
          <w:highlight w:val="none"/>
        </w:rPr>
      </w:pPr>
      <w:r>
        <w:rPr>
          <w:rFonts w:hint="eastAsia"/>
          <w:highlight w:val="none"/>
        </w:rPr>
        <w:t>27、澄清问题的形式</w:t>
      </w:r>
      <w:bookmarkEnd w:id="47"/>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bookmarkStart w:id="48" w:name="_Toc1409"/>
      <w:r>
        <w:rPr>
          <w:rFonts w:hint="eastAsia" w:asciiTheme="majorEastAsia" w:hAnsiTheme="majorEastAsia" w:eastAsiaTheme="majorEastAsia" w:cstheme="majorEastAsia"/>
          <w:color w:val="auto"/>
          <w:sz w:val="24"/>
          <w:szCs w:val="24"/>
          <w:highlight w:val="none"/>
        </w:rPr>
        <w:t>对投标文件中含义不明确、同类问题表述不一致或者有明显文字和计算错误的内容，评标委员会可要求</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作出必要的澄清、说明或者纠正。</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的澄清、说明或者补正应当采用书面形式，由其授权代表签字或盖章确认，并不得超出投标文件的范围或者改变投标文件的实质性内容。</w:t>
      </w:r>
    </w:p>
    <w:p>
      <w:pPr>
        <w:pStyle w:val="5"/>
        <w:rPr>
          <w:highlight w:val="none"/>
        </w:rPr>
      </w:pPr>
      <w:r>
        <w:rPr>
          <w:rFonts w:hint="eastAsia"/>
          <w:highlight w:val="none"/>
        </w:rPr>
        <w:t>28、错误修正</w:t>
      </w:r>
      <w:bookmarkEnd w:id="48"/>
    </w:p>
    <w:p>
      <w:pPr>
        <w:adjustRightInd w:val="0"/>
        <w:snapToGrid w:val="0"/>
        <w:spacing w:line="500" w:lineRule="exact"/>
        <w:ind w:left="719" w:leftChars="228" w:hanging="240" w:hangingChars="100"/>
        <w:rPr>
          <w:rFonts w:asciiTheme="majorEastAsia" w:hAnsiTheme="majorEastAsia" w:eastAsiaTheme="majorEastAsia" w:cstheme="majorEastAsia"/>
          <w:color w:val="auto"/>
          <w:sz w:val="24"/>
          <w:szCs w:val="24"/>
          <w:highlight w:val="none"/>
        </w:rPr>
      </w:pPr>
      <w:bookmarkStart w:id="49" w:name="_Toc8797"/>
      <w:r>
        <w:rPr>
          <w:rFonts w:hint="eastAsia" w:asciiTheme="majorEastAsia" w:hAnsiTheme="majorEastAsia" w:eastAsiaTheme="majorEastAsia" w:cstheme="majorEastAsia"/>
          <w:color w:val="auto"/>
          <w:sz w:val="24"/>
          <w:szCs w:val="24"/>
          <w:highlight w:val="none"/>
        </w:rPr>
        <w:t>投标文件如果出现计算或表达上的错误，修正错误的原则如下：</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28.1 开标一览表总价与投标报价明细表汇总数不一致的，</w:t>
      </w:r>
      <w:r>
        <w:rPr>
          <w:rFonts w:hint="eastAsia" w:asciiTheme="majorEastAsia" w:hAnsiTheme="majorEastAsia" w:eastAsiaTheme="majorEastAsia" w:cstheme="majorEastAsia"/>
          <w:color w:val="auto"/>
          <w:kern w:val="0"/>
          <w:sz w:val="24"/>
          <w:szCs w:val="24"/>
          <w:highlight w:val="none"/>
        </w:rPr>
        <w:t>以开标一览表为准；</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28.2 投标文件的大写金额和小写金额不一致的，以大写金额为准；</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28.3 总价金额与按单价汇总金额不一致的，以单价金额计算结果为准；</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28.4 对不同文字文本投标文件的解释发生异议的，以中文文本为准。</w:t>
      </w:r>
    </w:p>
    <w:p>
      <w:pPr>
        <w:adjustRightInd w:val="0"/>
        <w:snapToGrid w:val="0"/>
        <w:spacing w:line="500" w:lineRule="exact"/>
        <w:ind w:firstLine="482" w:firstLineChars="200"/>
        <w:rPr>
          <w:rFonts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按上述修正错误的原则及方法调整或修正投标文件的投标报价，</w:t>
      </w:r>
      <w:r>
        <w:rPr>
          <w:rFonts w:hint="eastAsia" w:asciiTheme="majorEastAsia" w:hAnsiTheme="majorEastAsia" w:eastAsiaTheme="majorEastAsia" w:cstheme="majorEastAsia"/>
          <w:b/>
          <w:bCs/>
          <w:color w:val="auto"/>
          <w:sz w:val="24"/>
          <w:szCs w:val="24"/>
          <w:highlight w:val="none"/>
          <w:lang w:eastAsia="zh-CN"/>
        </w:rPr>
        <w:t>供应商</w:t>
      </w:r>
      <w:r>
        <w:rPr>
          <w:rFonts w:hint="eastAsia" w:asciiTheme="majorEastAsia" w:hAnsiTheme="majorEastAsia" w:eastAsiaTheme="majorEastAsia" w:cstheme="majorEastAsia"/>
          <w:b/>
          <w:bCs/>
          <w:color w:val="auto"/>
          <w:sz w:val="24"/>
          <w:szCs w:val="24"/>
          <w:highlight w:val="none"/>
        </w:rPr>
        <w:t>同意并签字确认后，调整后的投标报价对</w:t>
      </w:r>
      <w:r>
        <w:rPr>
          <w:rFonts w:hint="eastAsia" w:asciiTheme="majorEastAsia" w:hAnsiTheme="majorEastAsia" w:eastAsiaTheme="majorEastAsia" w:cstheme="majorEastAsia"/>
          <w:b/>
          <w:bCs/>
          <w:color w:val="auto"/>
          <w:sz w:val="24"/>
          <w:szCs w:val="24"/>
          <w:highlight w:val="none"/>
          <w:lang w:eastAsia="zh-CN"/>
        </w:rPr>
        <w:t>供应商</w:t>
      </w:r>
      <w:r>
        <w:rPr>
          <w:rFonts w:hint="eastAsia" w:asciiTheme="majorEastAsia" w:hAnsiTheme="majorEastAsia" w:eastAsiaTheme="majorEastAsia" w:cstheme="majorEastAsia"/>
          <w:b/>
          <w:bCs/>
          <w:color w:val="auto"/>
          <w:sz w:val="24"/>
          <w:szCs w:val="24"/>
          <w:highlight w:val="none"/>
        </w:rPr>
        <w:t>具有约束作用。如果</w:t>
      </w:r>
      <w:r>
        <w:rPr>
          <w:rFonts w:hint="eastAsia" w:asciiTheme="majorEastAsia" w:hAnsiTheme="majorEastAsia" w:eastAsiaTheme="majorEastAsia" w:cstheme="majorEastAsia"/>
          <w:b/>
          <w:bCs/>
          <w:color w:val="auto"/>
          <w:sz w:val="24"/>
          <w:szCs w:val="24"/>
          <w:highlight w:val="none"/>
          <w:lang w:eastAsia="zh-CN"/>
        </w:rPr>
        <w:t>供应商</w:t>
      </w:r>
      <w:r>
        <w:rPr>
          <w:rFonts w:hint="eastAsia" w:asciiTheme="majorEastAsia" w:hAnsiTheme="majorEastAsia" w:eastAsiaTheme="majorEastAsia" w:cstheme="majorEastAsia"/>
          <w:b/>
          <w:bCs/>
          <w:color w:val="auto"/>
          <w:sz w:val="24"/>
          <w:szCs w:val="24"/>
          <w:highlight w:val="none"/>
        </w:rPr>
        <w:t>不接受修正后的报价，则其投标将作为无效投标处理。</w:t>
      </w:r>
    </w:p>
    <w:p>
      <w:pPr>
        <w:pStyle w:val="5"/>
        <w:rPr>
          <w:highlight w:val="none"/>
        </w:rPr>
      </w:pPr>
      <w:r>
        <w:rPr>
          <w:rFonts w:hint="eastAsia"/>
          <w:highlight w:val="none"/>
        </w:rPr>
        <w:t>29、评标原则和评标办法</w:t>
      </w:r>
      <w:bookmarkEnd w:id="49"/>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bookmarkStart w:id="50" w:name="_Toc4164"/>
      <w:r>
        <w:rPr>
          <w:rFonts w:hint="eastAsia" w:asciiTheme="majorEastAsia" w:hAnsiTheme="majorEastAsia" w:eastAsiaTheme="majorEastAsia" w:cstheme="majorEastAsia"/>
          <w:color w:val="auto"/>
          <w:sz w:val="24"/>
          <w:szCs w:val="24"/>
          <w:highlight w:val="none"/>
        </w:rPr>
        <w:t>29.1 评标原则。评标委员会必须公平、公正、客观，不带任何倾向性和启发性；不得向外界透露任何与评标有关的内容；任何单位和个人不得干扰、影响评标的正常进行；评标委员会及有关工作人员不得私下与</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接触。</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29.2 评标办法。本项目评标办法是</w:t>
      </w:r>
      <w:r>
        <w:rPr>
          <w:rFonts w:hint="eastAsia" w:asciiTheme="majorEastAsia" w:hAnsiTheme="majorEastAsia" w:eastAsiaTheme="majorEastAsia" w:cstheme="majorEastAsia"/>
          <w:b/>
          <w:color w:val="auto"/>
          <w:sz w:val="24"/>
          <w:szCs w:val="24"/>
          <w:highlight w:val="none"/>
          <w:u w:val="single"/>
        </w:rPr>
        <w:t xml:space="preserve"> 综合评分法 </w:t>
      </w:r>
      <w:r>
        <w:rPr>
          <w:rFonts w:hint="eastAsia" w:asciiTheme="majorEastAsia" w:hAnsiTheme="majorEastAsia" w:eastAsiaTheme="majorEastAsia" w:cstheme="majorEastAsia"/>
          <w:color w:val="auto"/>
          <w:sz w:val="24"/>
          <w:szCs w:val="24"/>
          <w:highlight w:val="none"/>
        </w:rPr>
        <w:t>，具体评标内容及评分标准等详见《第三章 评分办法及评分标准》。</w:t>
      </w:r>
    </w:p>
    <w:p>
      <w:pPr>
        <w:pStyle w:val="6"/>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29.3废标</w:t>
      </w:r>
    </w:p>
    <w:p>
      <w:pPr>
        <w:pStyle w:val="6"/>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在采购中，出现下列情形之一的，本项目或标包应予废标：</w:t>
      </w:r>
    </w:p>
    <w:p>
      <w:pPr>
        <w:pStyle w:val="6"/>
        <w:adjustRightInd w:val="0"/>
        <w:snapToGrid w:val="0"/>
        <w:spacing w:line="500" w:lineRule="exact"/>
        <w:ind w:firstLine="420" w:firstLineChars="175"/>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(1）出现影响采购公正的违法、违规行为的；</w:t>
      </w:r>
    </w:p>
    <w:p>
      <w:pPr>
        <w:pStyle w:val="6"/>
        <w:adjustRightInd w:val="0"/>
        <w:snapToGrid w:val="0"/>
        <w:spacing w:line="500" w:lineRule="exact"/>
        <w:ind w:firstLine="420" w:firstLineChars="175"/>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(2）有效投标单位不足三家的；</w:t>
      </w:r>
    </w:p>
    <w:p>
      <w:pPr>
        <w:pStyle w:val="6"/>
        <w:adjustRightInd w:val="0"/>
        <w:snapToGrid w:val="0"/>
        <w:spacing w:line="500" w:lineRule="exact"/>
        <w:ind w:firstLine="420" w:firstLineChars="175"/>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(3）因重大变故，采购任务取消的。</w:t>
      </w:r>
    </w:p>
    <w:p>
      <w:pPr>
        <w:pStyle w:val="4"/>
        <w:rPr>
          <w:color w:val="auto"/>
          <w:highlight w:val="none"/>
        </w:rPr>
      </w:pPr>
      <w:r>
        <w:rPr>
          <w:rFonts w:hint="eastAsia"/>
          <w:color w:val="auto"/>
          <w:highlight w:val="none"/>
        </w:rPr>
        <w:t>六、定标及</w:t>
      </w:r>
      <w:bookmarkStart w:id="51" w:name="_Toc9510640"/>
      <w:r>
        <w:rPr>
          <w:rFonts w:hint="eastAsia"/>
          <w:color w:val="auto"/>
          <w:highlight w:val="none"/>
        </w:rPr>
        <w:t>合同授予</w:t>
      </w:r>
    </w:p>
    <w:p>
      <w:pPr>
        <w:pStyle w:val="5"/>
        <w:rPr>
          <w:color w:val="auto"/>
          <w:highlight w:val="none"/>
        </w:rPr>
      </w:pPr>
      <w:bookmarkStart w:id="52" w:name="_Toc31428"/>
      <w:r>
        <w:rPr>
          <w:rFonts w:hint="eastAsia"/>
          <w:color w:val="auto"/>
          <w:highlight w:val="none"/>
        </w:rPr>
        <w:t>30、确</w:t>
      </w:r>
      <w:bookmarkEnd w:id="51"/>
      <w:r>
        <w:rPr>
          <w:rFonts w:hint="eastAsia"/>
          <w:color w:val="auto"/>
          <w:highlight w:val="none"/>
        </w:rPr>
        <w:t>定中标人</w:t>
      </w:r>
      <w:bookmarkEnd w:id="52"/>
    </w:p>
    <w:p>
      <w:pPr>
        <w:adjustRightInd w:val="0"/>
        <w:snapToGrid w:val="0"/>
        <w:spacing w:line="500" w:lineRule="exact"/>
        <w:ind w:firstLine="472" w:firstLineChars="196"/>
        <w:rPr>
          <w:rFonts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本项目由采购人确定中标人。</w:t>
      </w:r>
    </w:p>
    <w:p>
      <w:pPr>
        <w:adjustRightInd w:val="0"/>
        <w:snapToGrid w:val="0"/>
        <w:spacing w:line="500" w:lineRule="exact"/>
        <w:ind w:firstLine="480" w:firstLineChars="200"/>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30.1本项目由评标委员会推荐每个标包的</w:t>
      </w:r>
      <w:r>
        <w:rPr>
          <w:rFonts w:hint="eastAsia" w:asciiTheme="majorEastAsia" w:hAnsiTheme="majorEastAsia" w:eastAsiaTheme="majorEastAsia" w:cstheme="majorEastAsia"/>
          <w:color w:val="auto"/>
          <w:sz w:val="24"/>
          <w:szCs w:val="24"/>
          <w:highlight w:val="none"/>
          <w:lang w:val="en-US" w:eastAsia="zh-CN"/>
        </w:rPr>
        <w:t>三个</w:t>
      </w:r>
      <w:r>
        <w:rPr>
          <w:rFonts w:hint="eastAsia" w:asciiTheme="majorEastAsia" w:hAnsiTheme="majorEastAsia" w:eastAsiaTheme="majorEastAsia" w:cstheme="majorEastAsia"/>
          <w:color w:val="auto"/>
          <w:sz w:val="24"/>
          <w:szCs w:val="24"/>
          <w:highlight w:val="none"/>
        </w:rPr>
        <w:t>中标候选人，</w:t>
      </w:r>
      <w:r>
        <w:rPr>
          <w:rFonts w:hint="eastAsia" w:cs="宋体" w:asciiTheme="minorEastAsia" w:hAnsiTheme="minorEastAsia"/>
          <w:color w:val="auto"/>
          <w:kern w:val="0"/>
          <w:sz w:val="24"/>
          <w:szCs w:val="24"/>
          <w:highlight w:val="none"/>
        </w:rPr>
        <w:t>采购代理机构应当自评审结束之日起2个工作日内将评审报告送交采购人。采购人应当自收到评审报告之日起5个工作日内在评审报告推荐的中标或者成交候选人中按顺序确定中标或者成交供应商。</w:t>
      </w:r>
    </w:p>
    <w:p>
      <w:pPr>
        <w:adjustRightInd w:val="0"/>
        <w:snapToGrid w:val="0"/>
        <w:spacing w:line="500" w:lineRule="exact"/>
        <w:ind w:firstLine="470" w:firstLineChars="196"/>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30.2</w:t>
      </w:r>
      <w:r>
        <w:rPr>
          <w:rFonts w:hint="eastAsia" w:cs="宋体" w:asciiTheme="minorEastAsia" w:hAnsiTheme="minorEastAsia"/>
          <w:color w:val="auto"/>
          <w:kern w:val="0"/>
          <w:sz w:val="24"/>
          <w:szCs w:val="24"/>
          <w:highlight w:val="none"/>
        </w:rPr>
        <w:t>采购人或者采购代理机构应当自中标、成交供应商确定之日起2个工作日内，发出中标、成交通知书，并在省级以上人民政府财政部门指定的媒体上公告中标、成交结果</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如对评审结果有质疑的，按照《中华人民共和国政府采购法》《中华人民共和国政府采购法实施条例》等有关程序办理。</w:t>
      </w:r>
    </w:p>
    <w:p>
      <w:pPr>
        <w:pStyle w:val="5"/>
        <w:rPr>
          <w:highlight w:val="none"/>
        </w:rPr>
      </w:pPr>
      <w:r>
        <w:rPr>
          <w:rFonts w:hint="eastAsia"/>
          <w:highlight w:val="none"/>
        </w:rPr>
        <w:t>31、签订合同</w:t>
      </w:r>
      <w:bookmarkEnd w:id="50"/>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bookmarkStart w:id="53" w:name="_Toc15336"/>
      <w:r>
        <w:rPr>
          <w:rFonts w:hint="eastAsia" w:asciiTheme="majorEastAsia" w:hAnsiTheme="majorEastAsia" w:eastAsiaTheme="majorEastAsia" w:cstheme="majorEastAsia"/>
          <w:color w:val="auto"/>
          <w:sz w:val="24"/>
          <w:szCs w:val="24"/>
          <w:highlight w:val="none"/>
        </w:rPr>
        <w:t>31.1招标文件和中标</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的投标文件均为签订采购合同的依据。</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31.2中标</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应当在中标通知书发出之日起30日内，与采购人签订采购合同。</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31.3采购人不得与中标</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订立背离招标文件确定的合同文本以及采购标的、规格型号、采购金额、采购数量、技术和服务要求等实质性内容的协议。</w:t>
      </w:r>
    </w:p>
    <w:p>
      <w:pPr>
        <w:adjustRightInd w:val="0"/>
        <w:snapToGrid w:val="0"/>
        <w:spacing w:line="50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31.4自政府采购合同签订之日起2个工作日内，本项目政府采购合同在</w:t>
      </w:r>
      <w:r>
        <w:rPr>
          <w:rFonts w:hint="eastAsia" w:asciiTheme="majorEastAsia" w:hAnsiTheme="majorEastAsia" w:eastAsiaTheme="majorEastAsia" w:cstheme="majorEastAsia"/>
          <w:color w:val="auto"/>
          <w:sz w:val="24"/>
          <w:szCs w:val="24"/>
          <w:highlight w:val="none"/>
          <w:lang w:val="en-US" w:eastAsia="zh-CN"/>
        </w:rPr>
        <w:t>中国政府采购网（www.ccgp.gov.cn）、新疆政府采购网（</w:t>
      </w:r>
      <w:r>
        <w:rPr>
          <w:rFonts w:hint="eastAsia" w:asciiTheme="majorEastAsia" w:hAnsiTheme="majorEastAsia" w:eastAsiaTheme="majorEastAsia" w:cstheme="majorEastAsia"/>
          <w:color w:val="auto"/>
          <w:sz w:val="24"/>
          <w:szCs w:val="24"/>
          <w:highlight w:val="none"/>
          <w:lang w:val="en-US" w:eastAsia="zh-CN"/>
        </w:rPr>
        <w:fldChar w:fldCharType="begin"/>
      </w:r>
      <w:r>
        <w:rPr>
          <w:rFonts w:hint="eastAsia" w:asciiTheme="majorEastAsia" w:hAnsiTheme="majorEastAsia" w:eastAsiaTheme="majorEastAsia" w:cstheme="majorEastAsia"/>
          <w:color w:val="auto"/>
          <w:sz w:val="24"/>
          <w:szCs w:val="24"/>
          <w:highlight w:val="none"/>
          <w:lang w:val="en-US" w:eastAsia="zh-CN"/>
        </w:rPr>
        <w:instrText xml:space="preserve"> HYPERLINK "https://www.ccgp.gov.cn/" </w:instrText>
      </w:r>
      <w:r>
        <w:rPr>
          <w:rFonts w:hint="eastAsia" w:asciiTheme="majorEastAsia" w:hAnsiTheme="majorEastAsia" w:eastAsiaTheme="majorEastAsia" w:cstheme="majorEastAsia"/>
          <w:color w:val="auto"/>
          <w:sz w:val="24"/>
          <w:szCs w:val="24"/>
          <w:highlight w:val="none"/>
          <w:lang w:val="en-US" w:eastAsia="zh-CN"/>
        </w:rPr>
        <w:fldChar w:fldCharType="separate"/>
      </w:r>
      <w:r>
        <w:rPr>
          <w:rFonts w:hint="eastAsia" w:asciiTheme="majorEastAsia" w:hAnsiTheme="majorEastAsia" w:eastAsiaTheme="majorEastAsia" w:cstheme="majorEastAsia"/>
          <w:color w:val="auto"/>
          <w:sz w:val="24"/>
          <w:szCs w:val="24"/>
          <w:highlight w:val="none"/>
          <w:lang w:val="en-US" w:eastAsia="zh-CN"/>
        </w:rPr>
        <w:fldChar w:fldCharType="begin"/>
      </w:r>
      <w:r>
        <w:rPr>
          <w:rFonts w:hint="eastAsia" w:asciiTheme="majorEastAsia" w:hAnsiTheme="majorEastAsia" w:eastAsiaTheme="majorEastAsia" w:cstheme="majorEastAsia"/>
          <w:color w:val="auto"/>
          <w:sz w:val="24"/>
          <w:szCs w:val="24"/>
          <w:highlight w:val="none"/>
          <w:lang w:val="en-US" w:eastAsia="zh-CN"/>
        </w:rPr>
        <w:instrText xml:space="preserve"> HYPERLINK "http://www.ccgp-xinjiang.gov.cn/" </w:instrText>
      </w:r>
      <w:r>
        <w:rPr>
          <w:rFonts w:hint="eastAsia" w:asciiTheme="majorEastAsia" w:hAnsiTheme="majorEastAsia" w:eastAsiaTheme="majorEastAsia" w:cstheme="majorEastAsia"/>
          <w:color w:val="auto"/>
          <w:sz w:val="24"/>
          <w:szCs w:val="24"/>
          <w:highlight w:val="none"/>
          <w:lang w:val="en-US" w:eastAsia="zh-CN"/>
        </w:rPr>
        <w:fldChar w:fldCharType="separate"/>
      </w:r>
      <w:r>
        <w:rPr>
          <w:rFonts w:hint="eastAsia" w:asciiTheme="majorEastAsia" w:hAnsiTheme="majorEastAsia" w:eastAsiaTheme="majorEastAsia" w:cstheme="majorEastAsia"/>
          <w:color w:val="auto"/>
          <w:sz w:val="24"/>
          <w:szCs w:val="24"/>
          <w:highlight w:val="none"/>
          <w:lang w:val="en-US" w:eastAsia="zh-CN"/>
        </w:rPr>
        <w:t>www.ccgp-xinjiang.gov.cn</w:t>
      </w:r>
      <w:r>
        <w:rPr>
          <w:rFonts w:hint="eastAsia" w:asciiTheme="majorEastAsia" w:hAnsiTheme="majorEastAsia" w:eastAsiaTheme="majorEastAsia" w:cstheme="majorEastAsia"/>
          <w:color w:val="auto"/>
          <w:sz w:val="24"/>
          <w:szCs w:val="24"/>
          <w:highlight w:val="none"/>
          <w:lang w:val="en-US" w:eastAsia="zh-CN"/>
        </w:rPr>
        <w:fldChar w:fldCharType="end"/>
      </w:r>
      <w:r>
        <w:rPr>
          <w:rFonts w:hint="eastAsia" w:asciiTheme="majorEastAsia" w:hAnsiTheme="majorEastAsia" w:eastAsiaTheme="majorEastAsia" w:cstheme="majorEastAsia"/>
          <w:color w:val="auto"/>
          <w:sz w:val="24"/>
          <w:szCs w:val="24"/>
          <w:highlight w:val="none"/>
          <w:lang w:val="en-US" w:eastAsia="zh-CN"/>
        </w:rPr>
        <w:t>)</w:t>
      </w:r>
      <w:r>
        <w:rPr>
          <w:rFonts w:hint="eastAsia" w:asciiTheme="majorEastAsia" w:hAnsiTheme="majorEastAsia" w:eastAsiaTheme="majorEastAsia" w:cstheme="majorEastAsia"/>
          <w:color w:val="auto"/>
          <w:sz w:val="24"/>
          <w:szCs w:val="24"/>
          <w:highlight w:val="none"/>
          <w:lang w:val="en-US" w:eastAsia="zh-CN"/>
        </w:rPr>
        <w:fldChar w:fldCharType="end"/>
      </w:r>
      <w:r>
        <w:rPr>
          <w:rFonts w:hint="eastAsia" w:asciiTheme="majorEastAsia" w:hAnsiTheme="majorEastAsia" w:eastAsiaTheme="majorEastAsia" w:cstheme="majorEastAsia"/>
          <w:color w:val="auto"/>
          <w:sz w:val="24"/>
          <w:szCs w:val="24"/>
          <w:highlight w:val="none"/>
        </w:rPr>
        <w:t>上公告，但政府采购合同中涉及国家秘密、商业秘密的内容除外。</w:t>
      </w:r>
    </w:p>
    <w:p>
      <w:pPr>
        <w:pStyle w:val="5"/>
        <w:rPr>
          <w:highlight w:val="none"/>
        </w:rPr>
      </w:pPr>
      <w:r>
        <w:rPr>
          <w:rFonts w:hint="eastAsia"/>
          <w:highlight w:val="none"/>
        </w:rPr>
        <w:t>32、其他说明</w:t>
      </w:r>
      <w:bookmarkEnd w:id="53"/>
    </w:p>
    <w:p>
      <w:pPr>
        <w:adjustRightInd w:val="0"/>
        <w:snapToGrid w:val="0"/>
        <w:spacing w:line="500" w:lineRule="exact"/>
        <w:ind w:firstLine="480" w:firstLineChars="200"/>
        <w:rPr>
          <w:rFonts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保密要求：在合同期内或合同终止后，未征得有关方同意，不得泄露与本项目、本合同业务有关的保密资料。</w:t>
      </w:r>
    </w:p>
    <w:p>
      <w:pPr>
        <w:adjustRightInd w:val="0"/>
        <w:snapToGrid w:val="0"/>
        <w:spacing w:line="500" w:lineRule="exact"/>
        <w:ind w:firstLine="480" w:firstLineChars="200"/>
        <w:rPr>
          <w:rFonts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本招标文件未尽事宜按现行招标投标的有关法律法规和规定执行。</w:t>
      </w:r>
    </w:p>
    <w:p>
      <w:pPr>
        <w:rPr>
          <w:rFonts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br w:type="page"/>
      </w:r>
    </w:p>
    <w:p>
      <w:pPr>
        <w:pStyle w:val="2"/>
        <w:rPr>
          <w:highlight w:val="none"/>
        </w:rPr>
      </w:pPr>
      <w:bookmarkStart w:id="54" w:name="_Toc8515"/>
      <w:bookmarkStart w:id="55" w:name="_Toc23127"/>
      <w:bookmarkStart w:id="56" w:name="_Toc31573"/>
      <w:r>
        <w:rPr>
          <w:rFonts w:hint="eastAsia"/>
          <w:highlight w:val="none"/>
        </w:rPr>
        <w:t>第三章 评分</w:t>
      </w:r>
      <w:bookmarkEnd w:id="54"/>
      <w:bookmarkEnd w:id="55"/>
      <w:r>
        <w:rPr>
          <w:rFonts w:hint="eastAsia"/>
          <w:highlight w:val="none"/>
        </w:rPr>
        <w:t>办法及评分标准</w:t>
      </w:r>
      <w:bookmarkEnd w:id="56"/>
    </w:p>
    <w:p>
      <w:pPr>
        <w:spacing w:line="500" w:lineRule="exact"/>
        <w:ind w:firstLine="480" w:firstLineChars="200"/>
        <w:rPr>
          <w:rFonts w:asciiTheme="minorEastAsia" w:hAnsiTheme="minorEastAsia" w:eastAsiaTheme="minorEastAsia" w:cstheme="minorEastAsia"/>
          <w:color w:val="auto"/>
          <w:sz w:val="24"/>
          <w:szCs w:val="24"/>
          <w:highlight w:val="none"/>
        </w:rPr>
      </w:pPr>
      <w:bookmarkStart w:id="57" w:name="_Toc6124"/>
      <w:bookmarkStart w:id="58" w:name="_Toc10772"/>
      <w:r>
        <w:rPr>
          <w:rFonts w:hint="eastAsia" w:asciiTheme="minorEastAsia" w:hAnsiTheme="minorEastAsia" w:eastAsiaTheme="minorEastAsia" w:cstheme="minorEastAsia"/>
          <w:color w:val="auto"/>
          <w:sz w:val="24"/>
          <w:szCs w:val="24"/>
          <w:highlight w:val="none"/>
        </w:rPr>
        <w:t>为公正、公平、科学地选择中标人，根据有关法律法规的规定，并结合本项目的实际情况，制定本办法。</w:t>
      </w:r>
    </w:p>
    <w:p>
      <w:pPr>
        <w:pStyle w:val="4"/>
        <w:rPr>
          <w:color w:val="auto"/>
          <w:highlight w:val="none"/>
        </w:rPr>
      </w:pPr>
      <w:bookmarkStart w:id="59" w:name="_Toc32479"/>
      <w:bookmarkStart w:id="60" w:name="_Toc29264"/>
      <w:r>
        <w:rPr>
          <w:rFonts w:hint="eastAsia"/>
          <w:color w:val="auto"/>
          <w:highlight w:val="none"/>
        </w:rPr>
        <w:t>一、评标组织</w:t>
      </w:r>
      <w:bookmarkEnd w:id="59"/>
      <w:bookmarkEnd w:id="60"/>
    </w:p>
    <w:p>
      <w:pPr>
        <w:spacing w:line="500" w:lineRule="exact"/>
        <w:ind w:firstLine="480" w:firstLineChars="200"/>
        <w:rPr>
          <w:rFonts w:asciiTheme="minorEastAsia" w:hAnsiTheme="minorEastAsia" w:eastAsiaTheme="minorEastAsia" w:cstheme="minorEastAsia"/>
          <w:color w:val="auto"/>
          <w:sz w:val="24"/>
          <w:szCs w:val="24"/>
          <w:highlight w:val="none"/>
        </w:rPr>
      </w:pPr>
      <w:bookmarkStart w:id="61" w:name="_Toc249760792"/>
      <w:bookmarkStart w:id="62" w:name="_Toc405213814"/>
      <w:bookmarkStart w:id="63" w:name="_Toc251566663"/>
      <w:r>
        <w:rPr>
          <w:rFonts w:hint="eastAsia" w:asciiTheme="minorEastAsia" w:hAnsiTheme="minorEastAsia" w:eastAsiaTheme="minorEastAsia" w:cstheme="minorEastAsia"/>
          <w:color w:val="auto"/>
          <w:sz w:val="24"/>
          <w:szCs w:val="24"/>
          <w:highlight w:val="none"/>
        </w:rPr>
        <w:t>评标工作</w:t>
      </w:r>
      <w:bookmarkEnd w:id="61"/>
      <w:bookmarkEnd w:id="62"/>
      <w:bookmarkEnd w:id="63"/>
      <w:r>
        <w:rPr>
          <w:rFonts w:hint="eastAsia" w:asciiTheme="minorEastAsia" w:hAnsiTheme="minorEastAsia" w:eastAsiaTheme="minorEastAsia" w:cstheme="minorEastAsia"/>
          <w:color w:val="auto"/>
          <w:sz w:val="24"/>
          <w:szCs w:val="24"/>
          <w:highlight w:val="none"/>
        </w:rPr>
        <w:t>由</w:t>
      </w:r>
      <w:bookmarkStart w:id="64" w:name="_Toc249760793"/>
      <w:bookmarkStart w:id="65" w:name="_Toc405213815"/>
      <w:bookmarkStart w:id="66" w:name="_Toc251566664"/>
      <w:r>
        <w:rPr>
          <w:rFonts w:hint="eastAsia" w:asciiTheme="minorEastAsia" w:hAnsiTheme="minorEastAsia" w:eastAsiaTheme="minorEastAsia" w:cstheme="minorEastAsia"/>
          <w:color w:val="auto"/>
          <w:sz w:val="24"/>
          <w:szCs w:val="24"/>
          <w:highlight w:val="none"/>
        </w:rPr>
        <w:t>采购代理机构负责组织，具体评标事务由依法组建的评标委员会负责。</w:t>
      </w:r>
    </w:p>
    <w:p>
      <w:pPr>
        <w:pStyle w:val="4"/>
        <w:rPr>
          <w:color w:val="auto"/>
          <w:highlight w:val="none"/>
        </w:rPr>
      </w:pPr>
      <w:bookmarkStart w:id="67" w:name="_Toc24221"/>
      <w:bookmarkStart w:id="68" w:name="_Toc3581"/>
      <w:r>
        <w:rPr>
          <w:rFonts w:hint="eastAsia"/>
          <w:color w:val="auto"/>
          <w:highlight w:val="none"/>
        </w:rPr>
        <w:t>二、评标纪律</w:t>
      </w:r>
      <w:bookmarkEnd w:id="67"/>
      <w:bookmarkEnd w:id="68"/>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1．评标</w:t>
      </w:r>
      <w:bookmarkEnd w:id="64"/>
      <w:bookmarkEnd w:id="65"/>
      <w:bookmarkEnd w:id="66"/>
      <w:r>
        <w:rPr>
          <w:rFonts w:hint="eastAsia" w:asciiTheme="minorEastAsia" w:hAnsiTheme="minorEastAsia" w:eastAsiaTheme="minorEastAsia" w:cstheme="minorEastAsia"/>
          <w:color w:val="auto"/>
          <w:sz w:val="24"/>
          <w:szCs w:val="24"/>
          <w:highlight w:val="none"/>
        </w:rPr>
        <w:t>是招标工作的重要环节，评标工作在评标委员会内独立进行。评标委员会将按照评标原则的要求，公正、平等地对待所有</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w:t>
      </w:r>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2．所有评标人员应忠于职守、廉洁自律、秉公办事、不徇私情。</w:t>
      </w:r>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3．评标人员不得接受或参加</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或与投标有关的单位、组织或个人的有碍公务的宴请、娱乐活动等，不得以任何形式弄虚作假。</w:t>
      </w:r>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4．评标期间，评标人员不得随意出入评标地点、与外界通讯、会客等。</w:t>
      </w:r>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5．在投标文件的审查、澄清、评价和比较以及授予合同的过程中，</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对采购人、采购代理机构人员及评标委员会成员施加影响的任何行为，都将导致被取消投标资格。</w:t>
      </w:r>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6．为保证评标的公正性，在评标过程中，评标委员会成员不得与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或与中标结果有利害关系的人进行私下接触。在评标工作结束后，凡与评标情况有接触的任何人，不得将评标情况扩散出评标委员会以外。</w:t>
      </w:r>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7．评标过程中，评标专家对</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的优劣情况，以及认为差异较大的情况，应以书面意见作出真实、专业、诚恳负责的表述，不得违背客观、公正的原则。</w:t>
      </w:r>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8．评标结束后，各评标人员应将全部资料整理上交采购代理机构，严禁将评标过程中的任何资料带出评标现场向</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或其他单位提供。</w:t>
      </w:r>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9．在中标结果公布前应对评标委员会成员名单予以</w:t>
      </w:r>
      <w:r>
        <w:rPr>
          <w:rFonts w:hint="eastAsia" w:asciiTheme="majorEastAsia" w:hAnsiTheme="majorEastAsia" w:eastAsiaTheme="majorEastAsia" w:cstheme="majorEastAsia"/>
          <w:bCs/>
          <w:color w:val="auto"/>
          <w:sz w:val="24"/>
          <w:szCs w:val="24"/>
          <w:highlight w:val="none"/>
        </w:rPr>
        <w:t>保密</w:t>
      </w:r>
      <w:r>
        <w:rPr>
          <w:rFonts w:hint="eastAsia" w:asciiTheme="minorEastAsia" w:hAnsiTheme="minorEastAsia" w:eastAsiaTheme="minorEastAsia" w:cstheme="minorEastAsia"/>
          <w:color w:val="auto"/>
          <w:sz w:val="24"/>
          <w:szCs w:val="24"/>
          <w:highlight w:val="none"/>
        </w:rPr>
        <w:t>。</w:t>
      </w:r>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10．评标委员会对各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的商业秘密予以</w:t>
      </w:r>
      <w:r>
        <w:rPr>
          <w:rFonts w:hint="eastAsia" w:asciiTheme="majorEastAsia" w:hAnsiTheme="majorEastAsia" w:eastAsiaTheme="majorEastAsia" w:cstheme="majorEastAsia"/>
          <w:bCs/>
          <w:color w:val="auto"/>
          <w:sz w:val="24"/>
          <w:szCs w:val="24"/>
          <w:highlight w:val="none"/>
        </w:rPr>
        <w:t>保密</w:t>
      </w:r>
      <w:r>
        <w:rPr>
          <w:rFonts w:hint="eastAsia" w:asciiTheme="minorEastAsia" w:hAnsiTheme="minorEastAsia" w:eastAsiaTheme="minorEastAsia" w:cstheme="minorEastAsia"/>
          <w:color w:val="auto"/>
          <w:sz w:val="24"/>
          <w:szCs w:val="24"/>
          <w:highlight w:val="none"/>
        </w:rPr>
        <w:t>。</w:t>
      </w:r>
    </w:p>
    <w:bookmarkEnd w:id="57"/>
    <w:bookmarkEnd w:id="58"/>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11．评标委员会成员应当客观、公正地履行职责，遵守职业道德，对所提出的评审意见承担个人责任。</w:t>
      </w:r>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12．在整个评标过程中，</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企图影响招标结果的任何活动，可能导致其投标失败。如有违法行为，将依法追究其法律责任。</w:t>
      </w:r>
    </w:p>
    <w:p>
      <w:pPr>
        <w:pStyle w:val="4"/>
        <w:rPr>
          <w:color w:val="auto"/>
          <w:highlight w:val="none"/>
        </w:rPr>
      </w:pPr>
      <w:r>
        <w:rPr>
          <w:rFonts w:hint="eastAsia"/>
          <w:color w:val="auto"/>
          <w:highlight w:val="none"/>
        </w:rPr>
        <w:t>三、评分标准和细则</w:t>
      </w:r>
    </w:p>
    <w:p>
      <w:pPr>
        <w:spacing w:line="500" w:lineRule="exact"/>
        <w:ind w:firstLine="482" w:firstLineChars="20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（一）评分标准：</w:t>
      </w:r>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1.评标委员会</w:t>
      </w:r>
      <w:r>
        <w:rPr>
          <w:rFonts w:hint="eastAsia" w:asciiTheme="minorEastAsia" w:hAnsiTheme="minorEastAsia" w:eastAsiaTheme="minorEastAsia" w:cstheme="minorEastAsia"/>
          <w:color w:val="auto"/>
          <w:sz w:val="24"/>
          <w:szCs w:val="24"/>
          <w:highlight w:val="none"/>
          <w:lang w:val="en-US" w:eastAsia="zh-CN"/>
        </w:rPr>
        <w:t>各成员独立</w:t>
      </w:r>
      <w:r>
        <w:rPr>
          <w:rFonts w:hint="eastAsia" w:asciiTheme="minorEastAsia" w:hAnsiTheme="minorEastAsia" w:eastAsiaTheme="minorEastAsia" w:cstheme="minorEastAsia"/>
          <w:color w:val="auto"/>
          <w:sz w:val="24"/>
          <w:szCs w:val="24"/>
          <w:highlight w:val="none"/>
        </w:rPr>
        <w:t>根据招标文件对各投标文件技术内容充分审核、评议后，评标委员会</w:t>
      </w:r>
      <w:r>
        <w:rPr>
          <w:rFonts w:hint="eastAsia" w:asciiTheme="minorEastAsia" w:hAnsiTheme="minorEastAsia" w:eastAsiaTheme="minorEastAsia" w:cstheme="minorEastAsia"/>
          <w:color w:val="auto"/>
          <w:sz w:val="24"/>
          <w:szCs w:val="24"/>
          <w:highlight w:val="none"/>
          <w:lang w:val="en-US" w:eastAsia="zh-CN"/>
        </w:rPr>
        <w:t>成员独立</w:t>
      </w:r>
      <w:r>
        <w:rPr>
          <w:rFonts w:hint="eastAsia" w:asciiTheme="minorEastAsia" w:hAnsiTheme="minorEastAsia" w:eastAsiaTheme="minorEastAsia" w:cstheme="minorEastAsia"/>
          <w:color w:val="auto"/>
          <w:sz w:val="24"/>
          <w:szCs w:val="24"/>
          <w:highlight w:val="none"/>
        </w:rPr>
        <w:t>按评分细则，进行评</w:t>
      </w:r>
      <w:r>
        <w:rPr>
          <w:rFonts w:hint="eastAsia" w:asciiTheme="minorEastAsia" w:hAnsiTheme="minorEastAsia" w:eastAsiaTheme="minorEastAsia" w:cstheme="minorEastAsia"/>
          <w:color w:val="auto"/>
          <w:sz w:val="24"/>
          <w:szCs w:val="24"/>
          <w:highlight w:val="none"/>
          <w:lang w:val="en-US" w:eastAsia="zh-CN"/>
        </w:rPr>
        <w:t>审</w:t>
      </w:r>
      <w:r>
        <w:rPr>
          <w:rFonts w:hint="eastAsia" w:asciiTheme="minorEastAsia" w:hAnsiTheme="minorEastAsia" w:eastAsiaTheme="minorEastAsia" w:cstheme="minorEastAsia"/>
          <w:color w:val="auto"/>
          <w:sz w:val="24"/>
          <w:szCs w:val="24"/>
          <w:highlight w:val="none"/>
        </w:rPr>
        <w:t>；各供应商技术的最终评分值为评标委员会成员的有效评分的算术平均值。</w:t>
      </w:r>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2.评标委员会成员</w:t>
      </w:r>
      <w:r>
        <w:rPr>
          <w:rFonts w:hint="eastAsia" w:asciiTheme="minorEastAsia" w:hAnsiTheme="minorEastAsia" w:eastAsiaTheme="minorEastAsia" w:cstheme="minorEastAsia"/>
          <w:color w:val="auto"/>
          <w:sz w:val="24"/>
          <w:szCs w:val="24"/>
          <w:highlight w:val="none"/>
          <w:lang w:val="en-US" w:eastAsia="zh-CN"/>
        </w:rPr>
        <w:t>独立</w:t>
      </w:r>
      <w:r>
        <w:rPr>
          <w:rFonts w:hint="eastAsia" w:asciiTheme="minorEastAsia" w:hAnsiTheme="minorEastAsia" w:eastAsiaTheme="minorEastAsia" w:cstheme="minorEastAsia"/>
          <w:color w:val="auto"/>
          <w:sz w:val="24"/>
          <w:szCs w:val="24"/>
          <w:highlight w:val="none"/>
        </w:rPr>
        <w:t>按评分细则对各供应商的最终报价进行统一计算评分，集体统一判定评分。</w:t>
      </w:r>
    </w:p>
    <w:p>
      <w:pPr>
        <w:spacing w:line="5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供应商的综合评分为技术、商务和投标报价三部分的总计，由指定专人进行计算和复核。中标候选资格按评标得分由高到低顺序排列，得分相同的，按投标报价由低到高顺序排列；得分且投标报价相同的，按技术得分由高到低顺序排列。</w:t>
      </w:r>
    </w:p>
    <w:p>
      <w:pPr>
        <w:spacing w:line="400" w:lineRule="exact"/>
        <w:ind w:firstLine="482" w:firstLineChars="200"/>
        <w:rPr>
          <w:rFonts w:hint="eastAsia" w:ascii="宋体" w:hAnsi="宋体" w:cs="宋体"/>
          <w:b/>
          <w:bCs/>
          <w:sz w:val="24"/>
          <w:szCs w:val="24"/>
          <w:highlight w:val="none"/>
        </w:rPr>
      </w:pPr>
    </w:p>
    <w:p>
      <w:pPr>
        <w:spacing w:line="400" w:lineRule="exact"/>
        <w:ind w:firstLine="482" w:firstLineChars="200"/>
        <w:rPr>
          <w:rFonts w:hint="eastAsia" w:ascii="宋体" w:hAnsi="宋体" w:cs="宋体"/>
          <w:b/>
          <w:bCs/>
          <w:sz w:val="24"/>
          <w:szCs w:val="24"/>
          <w:highlight w:val="none"/>
        </w:rPr>
      </w:pPr>
    </w:p>
    <w:p>
      <w:pPr>
        <w:spacing w:line="400" w:lineRule="exact"/>
        <w:ind w:firstLine="482" w:firstLineChars="200"/>
        <w:rPr>
          <w:rFonts w:hint="eastAsia" w:ascii="宋体" w:hAnsi="宋体" w:cs="宋体"/>
          <w:b/>
          <w:bCs/>
          <w:sz w:val="24"/>
          <w:szCs w:val="24"/>
          <w:highlight w:val="none"/>
        </w:rPr>
      </w:pPr>
    </w:p>
    <w:p>
      <w:pPr>
        <w:spacing w:line="400" w:lineRule="exact"/>
        <w:ind w:firstLine="482" w:firstLineChars="200"/>
        <w:rPr>
          <w:rFonts w:hint="eastAsia" w:ascii="宋体" w:hAnsi="宋体" w:cs="宋体"/>
          <w:b/>
          <w:bCs/>
          <w:sz w:val="24"/>
          <w:szCs w:val="24"/>
          <w:highlight w:val="none"/>
        </w:rPr>
      </w:pPr>
    </w:p>
    <w:p>
      <w:pPr>
        <w:spacing w:line="400" w:lineRule="exact"/>
        <w:ind w:firstLine="482" w:firstLineChars="200"/>
        <w:rPr>
          <w:rFonts w:hint="eastAsia" w:ascii="宋体" w:hAnsi="宋体" w:cs="宋体"/>
          <w:b/>
          <w:bCs/>
          <w:sz w:val="24"/>
          <w:szCs w:val="24"/>
          <w:highlight w:val="none"/>
        </w:rPr>
      </w:pPr>
    </w:p>
    <w:p>
      <w:pPr>
        <w:spacing w:line="400" w:lineRule="exact"/>
        <w:ind w:firstLine="482" w:firstLineChars="200"/>
        <w:rPr>
          <w:rFonts w:hint="eastAsia" w:ascii="宋体" w:hAnsi="宋体" w:cs="宋体"/>
          <w:b/>
          <w:bCs/>
          <w:sz w:val="24"/>
          <w:szCs w:val="24"/>
          <w:highlight w:val="none"/>
        </w:rPr>
      </w:pPr>
    </w:p>
    <w:p>
      <w:pPr>
        <w:spacing w:line="400" w:lineRule="exact"/>
        <w:ind w:firstLine="482" w:firstLineChars="200"/>
        <w:rPr>
          <w:rFonts w:hint="eastAsia" w:ascii="宋体" w:hAnsi="宋体" w:cs="宋体"/>
          <w:b/>
          <w:bCs/>
          <w:sz w:val="24"/>
          <w:szCs w:val="24"/>
          <w:highlight w:val="none"/>
        </w:rPr>
      </w:pPr>
    </w:p>
    <w:p>
      <w:pPr>
        <w:spacing w:line="400" w:lineRule="exact"/>
        <w:ind w:firstLine="482" w:firstLineChars="200"/>
        <w:rPr>
          <w:rFonts w:hint="eastAsia" w:ascii="宋体" w:hAnsi="宋体" w:cs="宋体"/>
          <w:b/>
          <w:bCs/>
          <w:sz w:val="24"/>
          <w:szCs w:val="24"/>
          <w:highlight w:val="none"/>
        </w:rPr>
      </w:pPr>
    </w:p>
    <w:p>
      <w:pPr>
        <w:spacing w:line="400" w:lineRule="exact"/>
        <w:ind w:firstLine="482" w:firstLineChars="200"/>
        <w:rPr>
          <w:rFonts w:hint="eastAsia" w:ascii="宋体" w:hAnsi="宋体" w:cs="宋体"/>
          <w:b/>
          <w:bCs/>
          <w:sz w:val="24"/>
          <w:szCs w:val="24"/>
          <w:highlight w:val="none"/>
        </w:rPr>
      </w:pPr>
    </w:p>
    <w:p>
      <w:pPr>
        <w:spacing w:line="400" w:lineRule="exact"/>
        <w:ind w:firstLine="482" w:firstLineChars="200"/>
        <w:rPr>
          <w:rFonts w:hint="eastAsia" w:ascii="宋体" w:hAnsi="宋体" w:cs="宋体"/>
          <w:b/>
          <w:bCs/>
          <w:sz w:val="24"/>
          <w:szCs w:val="24"/>
          <w:highlight w:val="none"/>
        </w:rPr>
      </w:pPr>
    </w:p>
    <w:p>
      <w:pPr>
        <w:spacing w:line="400" w:lineRule="exact"/>
        <w:ind w:firstLine="482" w:firstLineChars="200"/>
        <w:rPr>
          <w:rFonts w:hint="eastAsia" w:ascii="宋体" w:hAnsi="宋体" w:cs="宋体"/>
          <w:b/>
          <w:bCs/>
          <w:sz w:val="24"/>
          <w:szCs w:val="24"/>
          <w:highlight w:val="none"/>
        </w:rPr>
      </w:pPr>
    </w:p>
    <w:p>
      <w:pPr>
        <w:spacing w:line="400" w:lineRule="exact"/>
        <w:ind w:firstLine="482" w:firstLineChars="200"/>
        <w:rPr>
          <w:rFonts w:hint="eastAsia" w:ascii="宋体" w:hAnsi="宋体" w:cs="宋体"/>
          <w:b/>
          <w:bCs/>
          <w:sz w:val="24"/>
          <w:szCs w:val="24"/>
          <w:highlight w:val="none"/>
        </w:rPr>
      </w:pPr>
    </w:p>
    <w:p>
      <w:pPr>
        <w:spacing w:line="400" w:lineRule="exact"/>
        <w:ind w:firstLine="482" w:firstLineChars="200"/>
        <w:rPr>
          <w:rFonts w:hint="eastAsia" w:ascii="宋体" w:hAnsi="宋体" w:cs="宋体"/>
          <w:b/>
          <w:bCs/>
          <w:sz w:val="24"/>
          <w:szCs w:val="24"/>
          <w:highlight w:val="none"/>
        </w:rPr>
      </w:pPr>
    </w:p>
    <w:p>
      <w:pP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br w:type="page"/>
      </w:r>
    </w:p>
    <w:p>
      <w:pPr>
        <w:spacing w:line="400" w:lineRule="exact"/>
        <w:rPr>
          <w:rFonts w:asciiTheme="minorEastAsia" w:hAnsiTheme="minorEastAsia" w:eastAsiaTheme="minorEastAsia" w:cstheme="minorEastAsia"/>
          <w:b/>
          <w:sz w:val="24"/>
          <w:szCs w:val="24"/>
          <w:highlight w:val="none"/>
        </w:rPr>
      </w:pPr>
      <w:r>
        <w:rPr>
          <w:rFonts w:hint="eastAsia" w:ascii="宋体" w:hAnsi="宋体" w:cs="宋体"/>
          <w:b/>
          <w:bCs/>
          <w:sz w:val="24"/>
          <w:szCs w:val="24"/>
          <w:highlight w:val="none"/>
        </w:rPr>
        <w:t>（二）评分细则：</w:t>
      </w:r>
    </w:p>
    <w:p>
      <w:pPr>
        <w:rPr>
          <w:rFonts w:hint="eastAsia" w:asciiTheme="minorEastAsia" w:hAnsiTheme="minorEastAsia" w:eastAsiaTheme="minorEastAsia" w:cstheme="minorEastAsia"/>
          <w:b/>
          <w:sz w:val="24"/>
          <w:szCs w:val="24"/>
          <w:highlight w:val="none"/>
        </w:rPr>
      </w:pPr>
    </w:p>
    <w:p>
      <w:pPr>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（1）评分标准：第</w:t>
      </w:r>
      <w:r>
        <w:rPr>
          <w:rFonts w:hint="eastAsia" w:asciiTheme="minorEastAsia" w:hAnsiTheme="minorEastAsia" w:eastAsiaTheme="minorEastAsia" w:cstheme="minorEastAsia"/>
          <w:b/>
          <w:sz w:val="24"/>
          <w:szCs w:val="24"/>
          <w:highlight w:val="none"/>
          <w:lang w:val="en-US" w:eastAsia="zh-CN"/>
        </w:rPr>
        <w:t>一</w:t>
      </w:r>
      <w:r>
        <w:rPr>
          <w:rFonts w:hint="eastAsia" w:asciiTheme="minorEastAsia" w:hAnsiTheme="minorEastAsia" w:eastAsiaTheme="minorEastAsia" w:cstheme="minorEastAsia"/>
          <w:b/>
          <w:sz w:val="24"/>
          <w:szCs w:val="24"/>
          <w:highlight w:val="none"/>
        </w:rPr>
        <w:t>包</w:t>
      </w:r>
    </w:p>
    <w:tbl>
      <w:tblPr>
        <w:tblStyle w:val="15"/>
        <w:tblW w:w="88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7"/>
        <w:gridCol w:w="805"/>
        <w:gridCol w:w="6196"/>
        <w:gridCol w:w="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87" w:type="dxa"/>
            <w:tcMar>
              <w:top w:w="15" w:type="dxa"/>
              <w:left w:w="15" w:type="dxa"/>
              <w:right w:w="15" w:type="dxa"/>
            </w:tcMar>
            <w:vAlign w:val="center"/>
          </w:tcPr>
          <w:p>
            <w:pPr>
              <w:pStyle w:val="7"/>
              <w:spacing w:line="440" w:lineRule="exact"/>
              <w:jc w:val="center"/>
              <w:rPr>
                <w:rFonts w:hAnsi="宋体" w:cs="宋体"/>
                <w:b/>
                <w:bCs/>
                <w:sz w:val="24"/>
                <w:szCs w:val="24"/>
                <w:highlight w:val="none"/>
              </w:rPr>
            </w:pPr>
            <w:r>
              <w:rPr>
                <w:rFonts w:hint="eastAsia" w:hAnsi="宋体" w:cs="宋体"/>
                <w:b/>
                <w:bCs/>
                <w:sz w:val="24"/>
                <w:szCs w:val="24"/>
                <w:highlight w:val="none"/>
              </w:rPr>
              <w:t>评分因素及权重</w:t>
            </w:r>
          </w:p>
        </w:tc>
        <w:tc>
          <w:tcPr>
            <w:tcW w:w="805" w:type="dxa"/>
            <w:tcMar>
              <w:top w:w="15" w:type="dxa"/>
              <w:left w:w="15" w:type="dxa"/>
              <w:right w:w="15" w:type="dxa"/>
            </w:tcMar>
            <w:vAlign w:val="center"/>
          </w:tcPr>
          <w:p>
            <w:pPr>
              <w:pStyle w:val="7"/>
              <w:spacing w:line="440" w:lineRule="exact"/>
              <w:jc w:val="center"/>
              <w:rPr>
                <w:rFonts w:hAnsi="宋体" w:cs="宋体"/>
                <w:b/>
                <w:bCs/>
                <w:sz w:val="24"/>
                <w:szCs w:val="24"/>
                <w:highlight w:val="none"/>
              </w:rPr>
            </w:pPr>
            <w:r>
              <w:rPr>
                <w:rFonts w:hint="eastAsia" w:hAnsi="宋体" w:cs="宋体"/>
                <w:b/>
                <w:bCs/>
                <w:sz w:val="24"/>
                <w:szCs w:val="24"/>
                <w:highlight w:val="none"/>
              </w:rPr>
              <w:t>评标因素</w:t>
            </w:r>
          </w:p>
        </w:tc>
        <w:tc>
          <w:tcPr>
            <w:tcW w:w="6196" w:type="dxa"/>
            <w:tcMar>
              <w:top w:w="15" w:type="dxa"/>
              <w:left w:w="15" w:type="dxa"/>
              <w:right w:w="15" w:type="dxa"/>
            </w:tcMar>
            <w:vAlign w:val="center"/>
          </w:tcPr>
          <w:p>
            <w:pPr>
              <w:pStyle w:val="7"/>
              <w:spacing w:line="440" w:lineRule="exact"/>
              <w:jc w:val="center"/>
              <w:rPr>
                <w:rFonts w:hAnsi="宋体" w:cs="宋体"/>
                <w:b/>
                <w:bCs/>
                <w:sz w:val="24"/>
                <w:szCs w:val="24"/>
                <w:highlight w:val="none"/>
              </w:rPr>
            </w:pPr>
            <w:r>
              <w:rPr>
                <w:rFonts w:hint="eastAsia" w:hAnsi="宋体" w:cs="宋体"/>
                <w:b/>
                <w:bCs/>
                <w:sz w:val="24"/>
                <w:szCs w:val="24"/>
                <w:highlight w:val="none"/>
              </w:rPr>
              <w:t>评分标准</w:t>
            </w:r>
          </w:p>
        </w:tc>
        <w:tc>
          <w:tcPr>
            <w:tcW w:w="800" w:type="dxa"/>
            <w:tcMar>
              <w:top w:w="15" w:type="dxa"/>
              <w:left w:w="15" w:type="dxa"/>
              <w:right w:w="15" w:type="dxa"/>
            </w:tcMar>
            <w:vAlign w:val="center"/>
          </w:tcPr>
          <w:p>
            <w:pPr>
              <w:pStyle w:val="7"/>
              <w:spacing w:line="440" w:lineRule="exact"/>
              <w:jc w:val="center"/>
              <w:rPr>
                <w:rFonts w:hAnsi="宋体" w:cs="宋体"/>
                <w:b/>
                <w:bCs/>
                <w:sz w:val="24"/>
                <w:szCs w:val="24"/>
                <w:highlight w:val="none"/>
              </w:rPr>
            </w:pPr>
            <w:r>
              <w:rPr>
                <w:rFonts w:hint="eastAsia" w:hAnsi="宋体" w:cs="宋体"/>
                <w:b/>
                <w:bCs/>
                <w:sz w:val="24"/>
                <w:szCs w:val="24"/>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87" w:type="dxa"/>
            <w:tcMar>
              <w:top w:w="15" w:type="dxa"/>
              <w:left w:w="15" w:type="dxa"/>
              <w:right w:w="15" w:type="dxa"/>
            </w:tcMar>
            <w:vAlign w:val="center"/>
          </w:tcPr>
          <w:p>
            <w:pPr>
              <w:widowControl/>
              <w:spacing w:line="400" w:lineRule="exact"/>
              <w:jc w:val="center"/>
              <w:textAlignment w:val="center"/>
              <w:rPr>
                <w:rFonts w:hAnsi="宋体" w:cs="宋体"/>
                <w:b/>
                <w:bCs/>
                <w:sz w:val="24"/>
                <w:szCs w:val="24"/>
                <w:highlight w:val="none"/>
              </w:rPr>
            </w:pPr>
            <w:r>
              <w:rPr>
                <w:rFonts w:hint="eastAsia" w:asciiTheme="minorEastAsia" w:hAnsiTheme="minorEastAsia" w:eastAsiaTheme="minorEastAsia" w:cstheme="minorEastAsia"/>
                <w:kern w:val="0"/>
                <w:sz w:val="24"/>
                <w:szCs w:val="24"/>
                <w:highlight w:val="none"/>
              </w:rPr>
              <w:t>价格部分（30分）</w:t>
            </w:r>
          </w:p>
        </w:tc>
        <w:tc>
          <w:tcPr>
            <w:tcW w:w="805"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投标</w:t>
            </w:r>
          </w:p>
          <w:p>
            <w:pPr>
              <w:widowControl/>
              <w:spacing w:line="400" w:lineRule="exact"/>
              <w:jc w:val="center"/>
              <w:textAlignment w:val="center"/>
              <w:rPr>
                <w:rFonts w:hAnsi="宋体" w:cs="宋体"/>
                <w:b/>
                <w:bCs/>
                <w:sz w:val="24"/>
                <w:szCs w:val="24"/>
                <w:highlight w:val="none"/>
              </w:rPr>
            </w:pPr>
            <w:r>
              <w:rPr>
                <w:rFonts w:hint="eastAsia" w:asciiTheme="minorEastAsia" w:hAnsiTheme="minorEastAsia" w:eastAsiaTheme="minorEastAsia" w:cstheme="minorEastAsia"/>
                <w:kern w:val="0"/>
                <w:sz w:val="24"/>
                <w:szCs w:val="24"/>
                <w:highlight w:val="none"/>
              </w:rPr>
              <w:t>报价</w:t>
            </w:r>
          </w:p>
        </w:tc>
        <w:tc>
          <w:tcPr>
            <w:tcW w:w="6196" w:type="dxa"/>
            <w:tcMar>
              <w:top w:w="15" w:type="dxa"/>
              <w:left w:w="15" w:type="dxa"/>
              <w:right w:w="15" w:type="dxa"/>
            </w:tcMar>
            <w:vAlign w:val="center"/>
          </w:tcPr>
          <w:p>
            <w:pPr>
              <w:widowControl/>
              <w:spacing w:line="400" w:lineRule="exact"/>
              <w:ind w:firstLine="480" w:firstLineChars="200"/>
              <w:textAlignment w:val="center"/>
              <w:rPr>
                <w:highlight w:val="none"/>
              </w:rPr>
            </w:pPr>
            <w:r>
              <w:rPr>
                <w:rFonts w:hint="eastAsia" w:asciiTheme="minorEastAsia" w:hAnsiTheme="minorEastAsia" w:eastAsiaTheme="minorEastAsia" w:cstheme="minorEastAsia"/>
                <w:kern w:val="0"/>
                <w:sz w:val="24"/>
                <w:szCs w:val="24"/>
                <w:highlight w:val="none"/>
              </w:rPr>
              <w:t>综合评分法中的价格分统一采用低价优先法计算，即满足招标文件要求且投标价格最低的投标报价为评标基准价，其价格分为满分30分，其它投标报价得分=评标基准价/</w:t>
            </w:r>
            <w:r>
              <w:rPr>
                <w:rFonts w:hint="eastAsia" w:asciiTheme="minorEastAsia" w:hAnsiTheme="minorEastAsia" w:eastAsiaTheme="minorEastAsia" w:cstheme="minorEastAsia"/>
                <w:kern w:val="0"/>
                <w:sz w:val="24"/>
                <w:szCs w:val="24"/>
                <w:highlight w:val="none"/>
                <w:lang w:eastAsia="zh-CN"/>
              </w:rPr>
              <w:t>有效投标报价</w:t>
            </w:r>
            <w:r>
              <w:rPr>
                <w:rFonts w:hint="eastAsia" w:asciiTheme="minorEastAsia" w:hAnsiTheme="minorEastAsia" w:eastAsiaTheme="minorEastAsia" w:cstheme="minorEastAsia"/>
                <w:kern w:val="0"/>
                <w:sz w:val="24"/>
                <w:szCs w:val="24"/>
                <w:highlight w:val="none"/>
              </w:rPr>
              <w:t>*30</w:t>
            </w:r>
          </w:p>
        </w:tc>
        <w:tc>
          <w:tcPr>
            <w:tcW w:w="800" w:type="dxa"/>
            <w:tcMar>
              <w:top w:w="15" w:type="dxa"/>
              <w:left w:w="15" w:type="dxa"/>
              <w:right w:w="15" w:type="dxa"/>
            </w:tcMar>
            <w:vAlign w:val="center"/>
          </w:tcPr>
          <w:p>
            <w:pPr>
              <w:widowControl/>
              <w:spacing w:line="400" w:lineRule="exact"/>
              <w:jc w:val="center"/>
              <w:textAlignment w:val="center"/>
              <w:rPr>
                <w:rFonts w:hAnsi="宋体" w:cs="宋体"/>
                <w:b/>
                <w:bCs/>
                <w:sz w:val="24"/>
                <w:szCs w:val="24"/>
                <w:highlight w:val="none"/>
              </w:rPr>
            </w:pPr>
            <w:r>
              <w:rPr>
                <w:rFonts w:hint="eastAsia" w:asciiTheme="minorEastAsia" w:hAnsiTheme="minorEastAsia" w:eastAsiaTheme="minorEastAsia" w:cstheme="minorEastAsia"/>
                <w:kern w:val="0"/>
                <w:sz w:val="24"/>
                <w:szCs w:val="24"/>
                <w:highlight w:val="none"/>
              </w:rPr>
              <w:t>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087" w:type="dxa"/>
            <w:vMerge w:val="restart"/>
            <w:tcMar>
              <w:top w:w="15" w:type="dxa"/>
              <w:left w:w="15" w:type="dxa"/>
              <w:right w:w="15" w:type="dxa"/>
            </w:tcMar>
            <w:vAlign w:val="center"/>
          </w:tcPr>
          <w:p>
            <w:pPr>
              <w:pStyle w:val="7"/>
              <w:spacing w:line="440" w:lineRule="exact"/>
              <w:jc w:val="center"/>
              <w:rPr>
                <w:rFonts w:hAnsi="宋体" w:cs="宋体"/>
                <w:sz w:val="24"/>
                <w:szCs w:val="24"/>
                <w:highlight w:val="none"/>
              </w:rPr>
            </w:pPr>
            <w:r>
              <w:rPr>
                <w:rFonts w:hint="eastAsia" w:hAnsi="宋体" w:cs="宋体"/>
                <w:sz w:val="24"/>
                <w:szCs w:val="24"/>
                <w:highlight w:val="none"/>
              </w:rPr>
              <w:t>技术和商务部分</w:t>
            </w:r>
          </w:p>
          <w:p>
            <w:pPr>
              <w:pStyle w:val="7"/>
              <w:spacing w:line="440" w:lineRule="exact"/>
              <w:jc w:val="center"/>
              <w:rPr>
                <w:rFonts w:hAnsi="宋体" w:cs="宋体"/>
                <w:sz w:val="24"/>
                <w:szCs w:val="24"/>
                <w:highlight w:val="none"/>
              </w:rPr>
            </w:pPr>
            <w:r>
              <w:rPr>
                <w:rFonts w:hint="eastAsia" w:hAnsi="宋体" w:cs="宋体"/>
                <w:sz w:val="24"/>
                <w:szCs w:val="24"/>
                <w:highlight w:val="none"/>
              </w:rPr>
              <w:t>（70分）</w:t>
            </w:r>
          </w:p>
        </w:tc>
        <w:tc>
          <w:tcPr>
            <w:tcW w:w="805" w:type="dxa"/>
            <w:tcMar>
              <w:top w:w="15" w:type="dxa"/>
              <w:left w:w="15" w:type="dxa"/>
              <w:right w:w="15" w:type="dxa"/>
            </w:tcMar>
            <w:vAlign w:val="center"/>
          </w:tcPr>
          <w:p>
            <w:pPr>
              <w:pStyle w:val="7"/>
              <w:spacing w:line="440" w:lineRule="exact"/>
              <w:jc w:val="center"/>
              <w:rPr>
                <w:rFonts w:hAnsi="宋体" w:cs="宋体"/>
                <w:sz w:val="24"/>
                <w:szCs w:val="24"/>
                <w:highlight w:val="none"/>
              </w:rPr>
            </w:pPr>
            <w:r>
              <w:rPr>
                <w:rFonts w:hint="eastAsia" w:hAnsi="宋体" w:cs="宋体"/>
                <w:sz w:val="24"/>
                <w:szCs w:val="24"/>
                <w:highlight w:val="none"/>
              </w:rPr>
              <w:t>技术参数响应评价</w:t>
            </w:r>
          </w:p>
        </w:tc>
        <w:tc>
          <w:tcPr>
            <w:tcW w:w="6196" w:type="dxa"/>
            <w:tcMar>
              <w:top w:w="15" w:type="dxa"/>
              <w:left w:w="15" w:type="dxa"/>
              <w:right w:w="15" w:type="dxa"/>
            </w:tcMar>
            <w:vAlign w:val="center"/>
          </w:tcPr>
          <w:p>
            <w:pPr>
              <w:pStyle w:val="7"/>
              <w:spacing w:line="440" w:lineRule="exact"/>
              <w:ind w:firstLine="480"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对照第六章“项目需求”</w:t>
            </w:r>
            <w:r>
              <w:rPr>
                <w:rFonts w:hint="eastAsia" w:asciiTheme="minorEastAsia" w:hAnsiTheme="minorEastAsia" w:eastAsiaTheme="minorEastAsia" w:cstheme="minorEastAsia"/>
                <w:color w:val="auto"/>
                <w:kern w:val="0"/>
                <w:sz w:val="24"/>
                <w:szCs w:val="24"/>
                <w:highlight w:val="none"/>
                <w:lang w:eastAsia="zh-CN"/>
              </w:rPr>
              <w:t>第</w:t>
            </w:r>
            <w:r>
              <w:rPr>
                <w:rFonts w:hint="eastAsia" w:asciiTheme="minorEastAsia" w:hAnsiTheme="minorEastAsia" w:eastAsiaTheme="minorEastAsia" w:cstheme="minorEastAsia"/>
                <w:color w:val="auto"/>
                <w:kern w:val="0"/>
                <w:sz w:val="24"/>
                <w:szCs w:val="24"/>
                <w:highlight w:val="none"/>
                <w:lang w:val="en-US" w:eastAsia="zh-CN"/>
              </w:rPr>
              <w:t>一</w:t>
            </w:r>
            <w:r>
              <w:rPr>
                <w:rFonts w:hint="eastAsia" w:asciiTheme="minorEastAsia" w:hAnsiTheme="minorEastAsia" w:eastAsiaTheme="minorEastAsia" w:cstheme="minorEastAsia"/>
                <w:color w:val="auto"/>
                <w:kern w:val="0"/>
                <w:sz w:val="24"/>
                <w:szCs w:val="24"/>
                <w:highlight w:val="none"/>
                <w:lang w:eastAsia="zh-CN"/>
              </w:rPr>
              <w:t>包</w:t>
            </w:r>
            <w:r>
              <w:rPr>
                <w:rFonts w:hint="eastAsia" w:asciiTheme="minorEastAsia" w:hAnsiTheme="minorEastAsia" w:eastAsiaTheme="minorEastAsia" w:cstheme="minorEastAsia"/>
                <w:color w:val="auto"/>
                <w:kern w:val="0"/>
                <w:sz w:val="24"/>
                <w:szCs w:val="24"/>
                <w:highlight w:val="none"/>
              </w:rPr>
              <w:t>的技术参数（每条技术参数前标注“★”的为核心技术参数</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标注“▲”的为主要技术参数，</w:t>
            </w:r>
            <w:r>
              <w:rPr>
                <w:rFonts w:hint="eastAsia" w:asciiTheme="minorEastAsia" w:hAnsiTheme="minorEastAsia" w:eastAsiaTheme="minorEastAsia" w:cstheme="minorEastAsia"/>
                <w:color w:val="auto"/>
                <w:kern w:val="0"/>
                <w:sz w:val="24"/>
                <w:szCs w:val="24"/>
                <w:highlight w:val="none"/>
              </w:rPr>
              <w:t>未标注的为一般技术参数），根据</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提供的产品配置及技术性能指标的响应情况进行评审。</w:t>
            </w:r>
          </w:p>
          <w:p>
            <w:pPr>
              <w:pStyle w:val="7"/>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1.本标包</w:t>
            </w:r>
            <w:r>
              <w:rPr>
                <w:rFonts w:hint="eastAsia" w:asciiTheme="minorEastAsia" w:hAnsiTheme="minorEastAsia" w:eastAsiaTheme="minorEastAsia" w:cstheme="minorEastAsia"/>
                <w:color w:val="auto"/>
                <w:kern w:val="0"/>
                <w:sz w:val="24"/>
                <w:szCs w:val="24"/>
                <w:highlight w:val="none"/>
                <w:lang w:val="en-US" w:eastAsia="zh-CN"/>
              </w:rPr>
              <w:t>9</w:t>
            </w:r>
            <w:r>
              <w:rPr>
                <w:rFonts w:hint="eastAsia" w:asciiTheme="minorEastAsia" w:hAnsiTheme="minorEastAsia" w:eastAsiaTheme="minorEastAsia" w:cstheme="minorEastAsia"/>
                <w:color w:val="auto"/>
                <w:kern w:val="0"/>
                <w:sz w:val="24"/>
                <w:szCs w:val="24"/>
                <w:highlight w:val="none"/>
              </w:rPr>
              <w:t>种产品，</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每有一种所投产品技术参数完全响应招标文件要求的，得</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分，最多得</w:t>
            </w:r>
            <w:r>
              <w:rPr>
                <w:rFonts w:hint="eastAsia" w:asciiTheme="minorEastAsia" w:hAnsiTheme="minorEastAsia" w:eastAsiaTheme="minorEastAsia" w:cstheme="minorEastAsia"/>
                <w:color w:val="auto"/>
                <w:kern w:val="0"/>
                <w:sz w:val="24"/>
                <w:szCs w:val="24"/>
                <w:highlight w:val="none"/>
                <w:lang w:val="en-US" w:eastAsia="zh-CN"/>
              </w:rPr>
              <w:t>36</w:t>
            </w:r>
            <w:r>
              <w:rPr>
                <w:rFonts w:hint="eastAsia" w:asciiTheme="minorEastAsia" w:hAnsiTheme="minorEastAsia" w:eastAsiaTheme="minorEastAsia" w:cstheme="minorEastAsia"/>
                <w:color w:val="auto"/>
                <w:kern w:val="0"/>
                <w:sz w:val="24"/>
                <w:szCs w:val="24"/>
                <w:highlight w:val="none"/>
              </w:rPr>
              <w:t>分；</w:t>
            </w:r>
          </w:p>
          <w:p>
            <w:pPr>
              <w:pStyle w:val="12"/>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default" w:asciiTheme="minorEastAsia" w:hAnsiTheme="minorEastAsia" w:eastAsiaTheme="minorEastAsia" w:cstheme="minorEastAsia"/>
                <w:color w:val="auto"/>
                <w:kern w:val="0"/>
                <w:sz w:val="24"/>
                <w:szCs w:val="24"/>
                <w:highlight w:val="none"/>
                <w:lang w:val="en-US"/>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eastAsia="zh-CN"/>
              </w:rPr>
              <w:t>每种</w:t>
            </w:r>
            <w:r>
              <w:rPr>
                <w:rFonts w:hint="eastAsia" w:asciiTheme="minorEastAsia" w:hAnsiTheme="minorEastAsia" w:eastAsiaTheme="minorEastAsia" w:cstheme="minorEastAsia"/>
                <w:color w:val="auto"/>
                <w:kern w:val="0"/>
                <w:sz w:val="24"/>
                <w:szCs w:val="24"/>
                <w:highlight w:val="none"/>
              </w:rPr>
              <w:t>产品核心技术参数</w:t>
            </w:r>
            <w:r>
              <w:rPr>
                <w:rFonts w:hint="eastAsia" w:asciiTheme="minorEastAsia" w:hAnsiTheme="minorEastAsia" w:eastAsiaTheme="minorEastAsia" w:cstheme="minorEastAsia"/>
                <w:color w:val="auto"/>
                <w:kern w:val="0"/>
                <w:sz w:val="24"/>
                <w:szCs w:val="24"/>
                <w:highlight w:val="none"/>
                <w:lang w:val="en-US" w:eastAsia="zh-CN"/>
              </w:rPr>
              <w:t>存在负偏离的,该产品技术参数分为0分；</w:t>
            </w:r>
          </w:p>
          <w:p>
            <w:pPr>
              <w:pStyle w:val="12"/>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lang w:eastAsia="zh-CN"/>
              </w:rPr>
              <w:t>每种产品主要技术参数存在负偏离的</w:t>
            </w:r>
            <w:r>
              <w:rPr>
                <w:rFonts w:hint="eastAsia" w:asciiTheme="minorEastAsia" w:hAnsiTheme="minorEastAsia" w:eastAsiaTheme="minorEastAsia" w:cstheme="minorEastAsia"/>
                <w:color w:val="auto"/>
                <w:kern w:val="0"/>
                <w:sz w:val="24"/>
                <w:szCs w:val="24"/>
                <w:highlight w:val="none"/>
              </w:rPr>
              <w:t>，该产品技术参数分为0分</w:t>
            </w:r>
            <w:r>
              <w:rPr>
                <w:color w:val="auto"/>
                <w:sz w:val="24"/>
                <w:szCs w:val="24"/>
                <w:highlight w:val="none"/>
              </w:rPr>
              <w:t>；</w:t>
            </w:r>
          </w:p>
          <w:p>
            <w:pPr>
              <w:pStyle w:val="7"/>
              <w:keepNext w:val="0"/>
              <w:keepLines w:val="0"/>
              <w:pageBreakBefore w:val="0"/>
              <w:kinsoku/>
              <w:wordWrap/>
              <w:overflowPunct/>
              <w:topLinePunct w:val="0"/>
              <w:autoSpaceDE/>
              <w:autoSpaceDN/>
              <w:bidi w:val="0"/>
              <w:adjustRightInd/>
              <w:spacing w:line="44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4.每种产品一般技术参数存在负偏离的，每有一条扣1分，每种产品技术参数得分最多扣4分</w:t>
            </w:r>
            <w:r>
              <w:rPr>
                <w:rFonts w:hint="eastAsia" w:asciiTheme="minorEastAsia" w:hAnsiTheme="minorEastAsia" w:eastAsiaTheme="minorEastAsia" w:cstheme="minorEastAsia"/>
                <w:color w:val="auto"/>
                <w:kern w:val="0"/>
                <w:sz w:val="24"/>
                <w:szCs w:val="24"/>
                <w:highlight w:val="none"/>
              </w:rPr>
              <w:t>。</w:t>
            </w:r>
          </w:p>
          <w:p>
            <w:pPr>
              <w:pStyle w:val="7"/>
              <w:spacing w:line="440" w:lineRule="exact"/>
              <w:ind w:firstLine="482" w:firstLineChars="200"/>
              <w:rPr>
                <w:rFonts w:hint="eastAsia" w:hAnsi="宋体" w:eastAsia="宋体" w:cs="宋体"/>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rPr>
              <w:t>注：1.负偏离评审依据：①所提供产品技术参数要求低于招标文件要求的，视为负偏离；②技术参数响应条款（以投标文件内技术偏离表为准）与招标文件对比有缺项、漏项的，视为负偏离；③投标文件内技术偏离表完全复制招标文件技术参数的（不涉及具体参数指标的描述性技术要求除外），视为负偏离；④</w:t>
            </w:r>
            <w:r>
              <w:rPr>
                <w:rFonts w:hint="eastAsia" w:asciiTheme="minorEastAsia" w:hAnsiTheme="minorEastAsia" w:eastAsiaTheme="minorEastAsia" w:cstheme="minorEastAsia"/>
                <w:b/>
                <w:bCs/>
                <w:color w:val="auto"/>
                <w:kern w:val="0"/>
                <w:sz w:val="24"/>
                <w:szCs w:val="24"/>
                <w:highlight w:val="none"/>
                <w:lang w:eastAsia="zh-CN"/>
              </w:rPr>
              <w:t>供应商</w:t>
            </w:r>
            <w:r>
              <w:rPr>
                <w:rFonts w:hint="eastAsia" w:asciiTheme="minorEastAsia" w:hAnsiTheme="minorEastAsia" w:eastAsiaTheme="minorEastAsia" w:cstheme="minorEastAsia"/>
                <w:b/>
                <w:bCs/>
                <w:color w:val="auto"/>
                <w:kern w:val="0"/>
                <w:sz w:val="24"/>
                <w:szCs w:val="24"/>
                <w:highlight w:val="none"/>
              </w:rPr>
              <w:t>提供的投标文件中产品技术偏离表、产品技术规格书和产品检测报告内描述的同一产品技术参数响应值不一致的，视为负偏离；</w:t>
            </w:r>
          </w:p>
        </w:tc>
        <w:tc>
          <w:tcPr>
            <w:tcW w:w="800" w:type="dxa"/>
            <w:tcMar>
              <w:top w:w="15" w:type="dxa"/>
              <w:left w:w="15" w:type="dxa"/>
              <w:right w:w="15" w:type="dxa"/>
            </w:tcMar>
            <w:vAlign w:val="center"/>
          </w:tcPr>
          <w:p>
            <w:pPr>
              <w:pStyle w:val="7"/>
              <w:spacing w:line="440" w:lineRule="exact"/>
              <w:jc w:val="center"/>
              <w:rPr>
                <w:rFonts w:hAnsi="宋体" w:cs="宋体"/>
                <w:sz w:val="24"/>
                <w:szCs w:val="24"/>
                <w:highlight w:val="none"/>
              </w:rPr>
            </w:pPr>
            <w:r>
              <w:rPr>
                <w:rFonts w:hint="eastAsia" w:asciiTheme="minorEastAsia" w:hAnsiTheme="minorEastAsia" w:eastAsiaTheme="minorEastAsia" w:cstheme="minorEastAsia"/>
                <w:kern w:val="0"/>
                <w:sz w:val="24"/>
                <w:szCs w:val="24"/>
                <w:highlight w:val="none"/>
                <w:lang w:val="en-US" w:eastAsia="zh-CN"/>
              </w:rPr>
              <w:t>36</w:t>
            </w:r>
            <w:r>
              <w:rPr>
                <w:rFonts w:hint="eastAsia" w:asciiTheme="minorEastAsia" w:hAnsiTheme="minorEastAsia" w:eastAsiaTheme="minorEastAsia" w:cstheme="minorEastAsia"/>
                <w:kern w:val="0"/>
                <w:sz w:val="24"/>
                <w:szCs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1087" w:type="dxa"/>
            <w:vMerge w:val="continue"/>
            <w:tcMar>
              <w:top w:w="15" w:type="dxa"/>
              <w:left w:w="15" w:type="dxa"/>
              <w:right w:w="15" w:type="dxa"/>
            </w:tcMar>
            <w:vAlign w:val="center"/>
          </w:tcPr>
          <w:p>
            <w:pPr>
              <w:pStyle w:val="7"/>
              <w:spacing w:line="440" w:lineRule="exact"/>
              <w:jc w:val="center"/>
              <w:rPr>
                <w:rFonts w:hAnsi="宋体" w:cs="宋体"/>
                <w:sz w:val="24"/>
                <w:szCs w:val="24"/>
                <w:highlight w:val="none"/>
              </w:rPr>
            </w:pPr>
          </w:p>
        </w:tc>
        <w:tc>
          <w:tcPr>
            <w:tcW w:w="805" w:type="dxa"/>
            <w:tcMar>
              <w:top w:w="15" w:type="dxa"/>
              <w:left w:w="15" w:type="dxa"/>
              <w:right w:w="15" w:type="dxa"/>
            </w:tcMar>
            <w:vAlign w:val="center"/>
          </w:tcPr>
          <w:p>
            <w:pPr>
              <w:widowControl/>
              <w:spacing w:line="400" w:lineRule="exact"/>
              <w:jc w:val="center"/>
              <w:textAlignment w:val="center"/>
              <w:rPr>
                <w:rFonts w:hAnsi="宋体" w:cs="宋体"/>
                <w:sz w:val="24"/>
                <w:szCs w:val="24"/>
                <w:highlight w:val="none"/>
              </w:rPr>
            </w:pPr>
            <w:r>
              <w:rPr>
                <w:sz w:val="24"/>
                <w:szCs w:val="24"/>
                <w:highlight w:val="none"/>
              </w:rPr>
              <w:t>业绩证明</w:t>
            </w:r>
          </w:p>
        </w:tc>
        <w:tc>
          <w:tcPr>
            <w:tcW w:w="6196" w:type="dxa"/>
            <w:tcMar>
              <w:top w:w="15" w:type="dxa"/>
              <w:left w:w="15" w:type="dxa"/>
              <w:right w:w="15" w:type="dxa"/>
            </w:tcMar>
            <w:vAlign w:val="center"/>
          </w:tcPr>
          <w:p>
            <w:pPr>
              <w:widowControl/>
              <w:spacing w:line="400" w:lineRule="exact"/>
              <w:ind w:firstLine="480" w:firstLineChars="200"/>
              <w:rPr>
                <w:color w:val="auto"/>
                <w:sz w:val="24"/>
                <w:szCs w:val="24"/>
                <w:highlight w:val="none"/>
              </w:rPr>
            </w:pPr>
            <w:r>
              <w:rPr>
                <w:rFonts w:hint="eastAsia"/>
                <w:color w:val="auto"/>
                <w:sz w:val="24"/>
                <w:szCs w:val="24"/>
                <w:highlight w:val="none"/>
                <w:lang w:eastAsia="zh-CN"/>
              </w:rPr>
              <w:t>供应商</w:t>
            </w:r>
            <w:r>
              <w:rPr>
                <w:rFonts w:hint="eastAsia"/>
                <w:color w:val="auto"/>
                <w:sz w:val="24"/>
                <w:szCs w:val="24"/>
                <w:highlight w:val="none"/>
              </w:rPr>
              <w:t>近三年内（202</w:t>
            </w:r>
            <w:r>
              <w:rPr>
                <w:rFonts w:hint="eastAsia"/>
                <w:color w:val="auto"/>
                <w:sz w:val="24"/>
                <w:szCs w:val="24"/>
                <w:highlight w:val="none"/>
                <w:lang w:val="en-US" w:eastAsia="zh-CN"/>
              </w:rPr>
              <w:t>1</w:t>
            </w:r>
            <w:r>
              <w:rPr>
                <w:rFonts w:hint="eastAsia"/>
                <w:color w:val="auto"/>
                <w:sz w:val="24"/>
                <w:szCs w:val="24"/>
                <w:highlight w:val="none"/>
              </w:rPr>
              <w:t>年</w:t>
            </w:r>
            <w:r>
              <w:rPr>
                <w:rFonts w:hint="eastAsia"/>
                <w:color w:val="auto"/>
                <w:sz w:val="24"/>
                <w:szCs w:val="24"/>
                <w:highlight w:val="none"/>
                <w:lang w:eastAsia="zh-CN"/>
              </w:rPr>
              <w:t>01月</w:t>
            </w:r>
            <w:r>
              <w:rPr>
                <w:rFonts w:hint="eastAsia"/>
                <w:color w:val="auto"/>
                <w:sz w:val="24"/>
                <w:szCs w:val="24"/>
                <w:highlight w:val="none"/>
              </w:rPr>
              <w:t>1日起至今，以合同签订日期为准）完成类似项目的业绩，每个项目业绩得</w:t>
            </w:r>
            <w:r>
              <w:rPr>
                <w:rFonts w:hint="eastAsia"/>
                <w:color w:val="auto"/>
                <w:sz w:val="24"/>
                <w:szCs w:val="24"/>
                <w:highlight w:val="none"/>
                <w:lang w:val="en-US" w:eastAsia="zh-CN"/>
              </w:rPr>
              <w:t>3</w:t>
            </w:r>
            <w:r>
              <w:rPr>
                <w:rFonts w:hint="eastAsia"/>
                <w:color w:val="auto"/>
                <w:sz w:val="24"/>
                <w:szCs w:val="24"/>
                <w:highlight w:val="none"/>
              </w:rPr>
              <w:t>分，最多得</w:t>
            </w:r>
            <w:r>
              <w:rPr>
                <w:rFonts w:hint="eastAsia"/>
                <w:color w:val="auto"/>
                <w:sz w:val="24"/>
                <w:szCs w:val="24"/>
                <w:highlight w:val="none"/>
                <w:lang w:val="en-US" w:eastAsia="zh-CN"/>
              </w:rPr>
              <w:t>6</w:t>
            </w:r>
            <w:r>
              <w:rPr>
                <w:rFonts w:hint="eastAsia"/>
                <w:color w:val="auto"/>
                <w:sz w:val="24"/>
                <w:szCs w:val="24"/>
                <w:highlight w:val="none"/>
              </w:rPr>
              <w:t>分。</w:t>
            </w:r>
          </w:p>
          <w:p>
            <w:pPr>
              <w:widowControl/>
              <w:spacing w:line="400" w:lineRule="exact"/>
              <w:ind w:firstLine="480" w:firstLineChars="200"/>
              <w:rPr>
                <w:rFonts w:asciiTheme="minorEastAsia" w:hAnsiTheme="minorEastAsia" w:eastAsiaTheme="minorEastAsia" w:cstheme="minorEastAsia"/>
                <w:kern w:val="0"/>
                <w:sz w:val="24"/>
                <w:szCs w:val="24"/>
                <w:highlight w:val="none"/>
              </w:rPr>
            </w:pPr>
            <w:r>
              <w:rPr>
                <w:rFonts w:hint="eastAsia"/>
                <w:color w:val="auto"/>
                <w:sz w:val="24"/>
                <w:szCs w:val="24"/>
                <w:highlight w:val="none"/>
              </w:rPr>
              <w:t>注：①提供中标（成交）通知书、合同和验收（单）报告复印件，未按要求提供的不得分；②同一单位近三年的同类合同不重复计算业绩，仅算一个业绩。</w:t>
            </w:r>
          </w:p>
        </w:tc>
        <w:tc>
          <w:tcPr>
            <w:tcW w:w="800" w:type="dxa"/>
            <w:tcMar>
              <w:top w:w="15" w:type="dxa"/>
              <w:left w:w="15" w:type="dxa"/>
              <w:right w:w="15" w:type="dxa"/>
            </w:tcMar>
            <w:vAlign w:val="center"/>
          </w:tcPr>
          <w:p>
            <w:pPr>
              <w:pStyle w:val="7"/>
              <w:spacing w:line="440" w:lineRule="exact"/>
              <w:jc w:val="center"/>
              <w:rPr>
                <w:rFonts w:hAnsi="宋体" w:cs="宋体"/>
                <w:sz w:val="24"/>
                <w:szCs w:val="24"/>
                <w:highlight w:val="none"/>
              </w:rPr>
            </w:pPr>
            <w:r>
              <w:rPr>
                <w:rFonts w:hint="eastAsia" w:hAnsi="宋体" w:cs="宋体" w:eastAsiaTheme="minorEastAsia"/>
                <w:sz w:val="24"/>
                <w:szCs w:val="24"/>
                <w:highlight w:val="none"/>
                <w:lang w:val="en-US" w:eastAsia="zh-CN"/>
              </w:rPr>
              <w:t>6</w:t>
            </w:r>
            <w:r>
              <w:rPr>
                <w:rFonts w:hint="eastAsia" w:asciiTheme="minorEastAsia" w:hAnsiTheme="minorEastAsia" w:eastAsiaTheme="minorEastAsia" w:cstheme="minorEastAsia"/>
                <w:kern w:val="0"/>
                <w:sz w:val="24"/>
                <w:szCs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087" w:type="dxa"/>
            <w:vMerge w:val="continue"/>
            <w:tcMar>
              <w:top w:w="15" w:type="dxa"/>
              <w:left w:w="15" w:type="dxa"/>
              <w:right w:w="15" w:type="dxa"/>
            </w:tcMar>
            <w:vAlign w:val="center"/>
          </w:tcPr>
          <w:p>
            <w:pPr>
              <w:pStyle w:val="7"/>
              <w:spacing w:line="440" w:lineRule="exact"/>
              <w:jc w:val="center"/>
              <w:rPr>
                <w:rFonts w:hAnsi="宋体" w:cs="宋体"/>
                <w:sz w:val="24"/>
                <w:szCs w:val="24"/>
                <w:highlight w:val="none"/>
              </w:rPr>
            </w:pPr>
          </w:p>
        </w:tc>
        <w:tc>
          <w:tcPr>
            <w:tcW w:w="805" w:type="dxa"/>
            <w:tcMar>
              <w:top w:w="15" w:type="dxa"/>
              <w:left w:w="15" w:type="dxa"/>
              <w:right w:w="15" w:type="dxa"/>
            </w:tcMar>
            <w:vAlign w:val="center"/>
          </w:tcPr>
          <w:p>
            <w:pPr>
              <w:snapToGrid w:val="0"/>
              <w:spacing w:line="400" w:lineRule="exact"/>
              <w:jc w:val="center"/>
              <w:rPr>
                <w:rFonts w:hint="eastAsia" w:eastAsia="宋体"/>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项目组织方案评价</w:t>
            </w:r>
          </w:p>
        </w:tc>
        <w:tc>
          <w:tcPr>
            <w:tcW w:w="6196" w:type="dxa"/>
            <w:tcMar>
              <w:top w:w="15" w:type="dxa"/>
              <w:left w:w="15" w:type="dxa"/>
              <w:right w:w="15" w:type="dxa"/>
            </w:tcMar>
            <w:vAlign w:val="center"/>
          </w:tcPr>
          <w:p>
            <w:pPr>
              <w:widowControl/>
              <w:spacing w:line="400" w:lineRule="exact"/>
              <w:rPr>
                <w:color w:val="auto"/>
                <w:sz w:val="24"/>
                <w:szCs w:val="24"/>
                <w:highlight w:val="none"/>
              </w:rPr>
            </w:pPr>
            <w:r>
              <w:rPr>
                <w:rFonts w:hint="eastAsia"/>
                <w:color w:val="auto"/>
                <w:sz w:val="24"/>
                <w:szCs w:val="24"/>
                <w:highlight w:val="none"/>
              </w:rPr>
              <w:t>根据</w:t>
            </w:r>
            <w:r>
              <w:rPr>
                <w:rFonts w:hint="eastAsia"/>
                <w:color w:val="auto"/>
                <w:sz w:val="24"/>
                <w:szCs w:val="24"/>
                <w:highlight w:val="none"/>
                <w:lang w:eastAsia="zh-CN"/>
              </w:rPr>
              <w:t>供应商</w:t>
            </w:r>
            <w:r>
              <w:rPr>
                <w:rFonts w:hint="eastAsia"/>
                <w:color w:val="auto"/>
                <w:sz w:val="24"/>
                <w:szCs w:val="24"/>
                <w:highlight w:val="none"/>
              </w:rPr>
              <w:t>提供的项目</w:t>
            </w:r>
            <w:r>
              <w:rPr>
                <w:rFonts w:hint="eastAsia" w:asciiTheme="minorEastAsia" w:hAnsiTheme="minorEastAsia" w:eastAsiaTheme="minorEastAsia" w:cstheme="minorEastAsia"/>
                <w:color w:val="auto"/>
                <w:sz w:val="24"/>
                <w:szCs w:val="24"/>
                <w:highlight w:val="none"/>
                <w:lang w:eastAsia="zh-CN"/>
              </w:rPr>
              <w:t>组织</w:t>
            </w:r>
            <w:r>
              <w:rPr>
                <w:rFonts w:hint="eastAsia"/>
                <w:color w:val="auto"/>
                <w:sz w:val="24"/>
                <w:szCs w:val="24"/>
                <w:highlight w:val="none"/>
              </w:rPr>
              <w:t>方案进行评分：</w:t>
            </w:r>
          </w:p>
          <w:p>
            <w:pPr>
              <w:widowControl/>
              <w:spacing w:line="400" w:lineRule="exact"/>
              <w:ind w:firstLine="480" w:firstLineChars="200"/>
              <w:rPr>
                <w:color w:val="auto"/>
                <w:sz w:val="24"/>
                <w:szCs w:val="24"/>
                <w:highlight w:val="none"/>
              </w:rPr>
            </w:pPr>
            <w:r>
              <w:rPr>
                <w:rFonts w:hint="eastAsia"/>
                <w:color w:val="auto"/>
                <w:sz w:val="24"/>
                <w:szCs w:val="24"/>
                <w:highlight w:val="none"/>
              </w:rPr>
              <w:t>项目</w:t>
            </w:r>
            <w:r>
              <w:rPr>
                <w:rFonts w:hint="eastAsia" w:asciiTheme="minorEastAsia" w:hAnsiTheme="minorEastAsia" w:eastAsiaTheme="minorEastAsia" w:cstheme="minorEastAsia"/>
                <w:color w:val="auto"/>
                <w:sz w:val="24"/>
                <w:szCs w:val="24"/>
                <w:highlight w:val="none"/>
                <w:lang w:eastAsia="zh-CN"/>
              </w:rPr>
              <w:t>组织</w:t>
            </w:r>
            <w:r>
              <w:rPr>
                <w:rFonts w:hint="eastAsia"/>
                <w:color w:val="auto"/>
                <w:sz w:val="24"/>
                <w:szCs w:val="24"/>
                <w:highlight w:val="none"/>
              </w:rPr>
              <w:t>方案包括但不限于：</w:t>
            </w:r>
            <w:r>
              <w:rPr>
                <w:rFonts w:hint="eastAsia"/>
                <w:color w:val="auto"/>
                <w:sz w:val="24"/>
                <w:szCs w:val="24"/>
                <w:highlight w:val="none"/>
                <w:lang w:eastAsia="zh-CN"/>
              </w:rPr>
              <w:t>①</w:t>
            </w:r>
            <w:r>
              <w:rPr>
                <w:rFonts w:hint="eastAsia" w:asciiTheme="majorEastAsia" w:hAnsiTheme="majorEastAsia" w:eastAsiaTheme="majorEastAsia" w:cstheme="majorEastAsia"/>
                <w:color w:val="auto"/>
                <w:sz w:val="24"/>
                <w:szCs w:val="24"/>
                <w:highlight w:val="none"/>
              </w:rPr>
              <w:t>项目人员安排（包含但不限于主要人员名单及基本情况介绍、在本项目中承担的职责等）、</w:t>
            </w:r>
            <w:r>
              <w:rPr>
                <w:rFonts w:hint="eastAsia" w:asciiTheme="majorEastAsia" w:hAnsiTheme="majorEastAsia" w:eastAsiaTheme="majorEastAsia" w:cstheme="majorEastAsia"/>
                <w:color w:val="auto"/>
                <w:sz w:val="24"/>
                <w:szCs w:val="24"/>
                <w:highlight w:val="none"/>
                <w:lang w:eastAsia="zh-CN"/>
              </w:rPr>
              <w:t>②</w:t>
            </w:r>
            <w:r>
              <w:rPr>
                <w:rFonts w:hint="eastAsia" w:asciiTheme="majorEastAsia" w:hAnsiTheme="majorEastAsia" w:eastAsiaTheme="majorEastAsia" w:cstheme="majorEastAsia"/>
                <w:color w:val="auto"/>
                <w:sz w:val="24"/>
                <w:szCs w:val="24"/>
                <w:highlight w:val="none"/>
              </w:rPr>
              <w:t>供货方案（包含但不限于产品来源、供货计划、供货时间等）、</w:t>
            </w:r>
            <w:r>
              <w:rPr>
                <w:rFonts w:hint="eastAsia" w:asciiTheme="majorEastAsia" w:hAnsiTheme="majorEastAsia" w:eastAsiaTheme="majorEastAsia" w:cstheme="majorEastAsia"/>
                <w:color w:val="auto"/>
                <w:sz w:val="24"/>
                <w:szCs w:val="24"/>
                <w:highlight w:val="none"/>
                <w:lang w:eastAsia="zh-CN"/>
              </w:rPr>
              <w:t>③</w:t>
            </w:r>
            <w:r>
              <w:rPr>
                <w:rFonts w:hint="eastAsia" w:asciiTheme="majorEastAsia" w:hAnsiTheme="majorEastAsia" w:eastAsiaTheme="majorEastAsia" w:cstheme="majorEastAsia"/>
                <w:color w:val="auto"/>
                <w:sz w:val="24"/>
                <w:szCs w:val="24"/>
                <w:highlight w:val="none"/>
              </w:rPr>
              <w:t>质量管控方案（包括但不限于质量管控的标准、方法和程序等）、</w:t>
            </w:r>
            <w:r>
              <w:rPr>
                <w:rFonts w:hint="eastAsia" w:asciiTheme="majorEastAsia" w:hAnsiTheme="majorEastAsia" w:eastAsiaTheme="majorEastAsia" w:cstheme="majorEastAsia"/>
                <w:color w:val="auto"/>
                <w:sz w:val="24"/>
                <w:szCs w:val="24"/>
                <w:highlight w:val="none"/>
                <w:lang w:eastAsia="zh-CN"/>
              </w:rPr>
              <w:t>④</w:t>
            </w:r>
            <w:r>
              <w:rPr>
                <w:rFonts w:hint="eastAsia" w:asciiTheme="majorEastAsia" w:hAnsiTheme="majorEastAsia" w:eastAsiaTheme="majorEastAsia" w:cstheme="majorEastAsia"/>
                <w:color w:val="auto"/>
                <w:sz w:val="24"/>
                <w:szCs w:val="24"/>
                <w:highlight w:val="none"/>
              </w:rPr>
              <w:t>测试（调试）方案（包含但不限于人员安排、测试步骤、测试标准等）</w:t>
            </w:r>
            <w:r>
              <w:rPr>
                <w:color w:val="auto"/>
                <w:sz w:val="24"/>
                <w:szCs w:val="24"/>
                <w:highlight w:val="none"/>
              </w:rPr>
              <w:t>等</w:t>
            </w:r>
            <w:r>
              <w:rPr>
                <w:rFonts w:hint="eastAsia"/>
                <w:color w:val="auto"/>
                <w:sz w:val="24"/>
                <w:szCs w:val="24"/>
                <w:highlight w:val="none"/>
              </w:rPr>
              <w:t>4项内容，方案内容完整齐全，符合项目实际（</w:t>
            </w:r>
            <w:r>
              <w:rPr>
                <w:rFonts w:hint="eastAsia" w:asciiTheme="majorEastAsia" w:hAnsiTheme="majorEastAsia" w:eastAsiaTheme="majorEastAsia" w:cstheme="majorEastAsia"/>
                <w:color w:val="auto"/>
                <w:sz w:val="24"/>
                <w:szCs w:val="24"/>
                <w:highlight w:val="none"/>
              </w:rPr>
              <w:t>第六章“项目需求”</w:t>
            </w:r>
            <w:r>
              <w:rPr>
                <w:rFonts w:hint="eastAsia"/>
                <w:color w:val="auto"/>
                <w:sz w:val="24"/>
                <w:szCs w:val="24"/>
                <w:highlight w:val="none"/>
              </w:rPr>
              <w:t>）的，得</w:t>
            </w:r>
            <w:r>
              <w:rPr>
                <w:rFonts w:hint="eastAsia"/>
                <w:color w:val="auto"/>
                <w:sz w:val="24"/>
                <w:szCs w:val="24"/>
                <w:highlight w:val="none"/>
                <w:lang w:val="en-US" w:eastAsia="zh-CN"/>
              </w:rPr>
              <w:t>12</w:t>
            </w:r>
            <w:r>
              <w:rPr>
                <w:rFonts w:hint="eastAsia"/>
                <w:color w:val="auto"/>
                <w:sz w:val="24"/>
                <w:szCs w:val="24"/>
                <w:highlight w:val="none"/>
              </w:rPr>
              <w:t>分；每缺少一项方案内容，或一项内容存在缺陷的，每一项扣</w:t>
            </w:r>
            <w:r>
              <w:rPr>
                <w:rFonts w:hint="eastAsia"/>
                <w:color w:val="auto"/>
                <w:sz w:val="24"/>
                <w:szCs w:val="24"/>
                <w:highlight w:val="none"/>
                <w:lang w:val="en-US" w:eastAsia="zh-CN"/>
              </w:rPr>
              <w:t>3</w:t>
            </w:r>
            <w:r>
              <w:rPr>
                <w:rFonts w:hint="eastAsia"/>
                <w:color w:val="auto"/>
                <w:sz w:val="24"/>
                <w:szCs w:val="24"/>
                <w:highlight w:val="none"/>
              </w:rPr>
              <w:t>分，扣完为止；未</w:t>
            </w:r>
            <w:r>
              <w:rPr>
                <w:rFonts w:hint="eastAsia" w:asciiTheme="minorEastAsia" w:hAnsiTheme="minorEastAsia" w:eastAsiaTheme="minorEastAsia" w:cstheme="minorEastAsia"/>
                <w:color w:val="auto"/>
                <w:sz w:val="24"/>
                <w:szCs w:val="24"/>
                <w:highlight w:val="none"/>
                <w:lang w:eastAsia="zh-CN"/>
              </w:rPr>
              <w:t>项目组织方案</w:t>
            </w:r>
            <w:r>
              <w:rPr>
                <w:rFonts w:hint="eastAsia"/>
                <w:color w:val="auto"/>
                <w:sz w:val="24"/>
                <w:szCs w:val="24"/>
                <w:highlight w:val="none"/>
              </w:rPr>
              <w:t>的，此项不得分。</w:t>
            </w:r>
          </w:p>
          <w:p>
            <w:pPr>
              <w:widowControl/>
              <w:spacing w:line="400" w:lineRule="exact"/>
              <w:ind w:firstLine="482" w:firstLineChars="200"/>
              <w:rPr>
                <w:b/>
                <w:bCs/>
                <w:color w:val="auto"/>
                <w:sz w:val="24"/>
                <w:szCs w:val="24"/>
                <w:highlight w:val="none"/>
              </w:rPr>
            </w:pPr>
            <w:r>
              <w:rPr>
                <w:rFonts w:hint="eastAsia"/>
                <w:b/>
                <w:bCs/>
                <w:color w:val="auto"/>
                <w:sz w:val="24"/>
                <w:szCs w:val="24"/>
                <w:highlight w:val="none"/>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00" w:type="dxa"/>
            <w:tcMar>
              <w:top w:w="15" w:type="dxa"/>
              <w:left w:w="15" w:type="dxa"/>
              <w:right w:w="15" w:type="dxa"/>
            </w:tcMar>
            <w:vAlign w:val="center"/>
          </w:tcPr>
          <w:p>
            <w:pPr>
              <w:pStyle w:val="7"/>
              <w:spacing w:line="440" w:lineRule="exact"/>
              <w:jc w:val="center"/>
              <w:rPr>
                <w:rFonts w:hAnsi="宋体" w:cs="宋体"/>
                <w:sz w:val="24"/>
                <w:szCs w:val="24"/>
                <w:highlight w:val="none"/>
              </w:rPr>
            </w:pPr>
            <w:r>
              <w:rPr>
                <w:rFonts w:hint="eastAsia" w:asciiTheme="minorEastAsia" w:hAnsiTheme="minorEastAsia" w:eastAsiaTheme="minorEastAsia" w:cstheme="minorEastAsia"/>
                <w:kern w:val="0"/>
                <w:sz w:val="24"/>
                <w:szCs w:val="24"/>
                <w:highlight w:val="none"/>
                <w:lang w:val="en-US" w:eastAsia="zh-CN"/>
              </w:rPr>
              <w:t>12</w:t>
            </w:r>
            <w:r>
              <w:rPr>
                <w:rFonts w:hint="eastAsia" w:asciiTheme="minorEastAsia" w:hAnsiTheme="minorEastAsia" w:eastAsiaTheme="minorEastAsia" w:cstheme="minorEastAsia"/>
                <w:kern w:val="0"/>
                <w:sz w:val="24"/>
                <w:szCs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87" w:type="dxa"/>
            <w:vMerge w:val="continue"/>
            <w:tcMar>
              <w:top w:w="15" w:type="dxa"/>
              <w:left w:w="15" w:type="dxa"/>
              <w:right w:w="15" w:type="dxa"/>
            </w:tcMar>
            <w:vAlign w:val="center"/>
          </w:tcPr>
          <w:p>
            <w:pPr>
              <w:pStyle w:val="7"/>
              <w:spacing w:line="440" w:lineRule="exact"/>
              <w:jc w:val="center"/>
              <w:rPr>
                <w:rFonts w:hAnsi="宋体" w:cs="宋体"/>
                <w:sz w:val="24"/>
                <w:szCs w:val="24"/>
                <w:highlight w:val="none"/>
              </w:rPr>
            </w:pPr>
          </w:p>
        </w:tc>
        <w:tc>
          <w:tcPr>
            <w:tcW w:w="805" w:type="dxa"/>
            <w:tcMar>
              <w:top w:w="15" w:type="dxa"/>
              <w:left w:w="15" w:type="dxa"/>
              <w:right w:w="15" w:type="dxa"/>
            </w:tcMar>
            <w:vAlign w:val="center"/>
          </w:tcPr>
          <w:p>
            <w:pPr>
              <w:widowControl/>
              <w:spacing w:line="400" w:lineRule="exact"/>
              <w:jc w:val="center"/>
              <w:textAlignment w:val="center"/>
              <w:rPr>
                <w:rFonts w:hAnsi="宋体" w:cs="宋体"/>
                <w:sz w:val="24"/>
                <w:szCs w:val="24"/>
                <w:highlight w:val="none"/>
              </w:rPr>
            </w:pPr>
            <w:r>
              <w:rPr>
                <w:rFonts w:hint="eastAsia" w:asciiTheme="minorEastAsia" w:hAnsiTheme="minorEastAsia" w:eastAsiaTheme="minorEastAsia" w:cstheme="minorEastAsia"/>
                <w:kern w:val="0"/>
                <w:sz w:val="24"/>
                <w:szCs w:val="24"/>
                <w:highlight w:val="none"/>
              </w:rPr>
              <w:t>技术培训方案评价</w:t>
            </w:r>
          </w:p>
        </w:tc>
        <w:tc>
          <w:tcPr>
            <w:tcW w:w="6196" w:type="dxa"/>
            <w:tcMar>
              <w:top w:w="15" w:type="dxa"/>
              <w:left w:w="15" w:type="dxa"/>
              <w:right w:w="15" w:type="dxa"/>
            </w:tcMar>
            <w:vAlign w:val="center"/>
          </w:tcPr>
          <w:p>
            <w:pPr>
              <w:widowControl/>
              <w:spacing w:line="400" w:lineRule="exact"/>
              <w:rPr>
                <w:sz w:val="24"/>
                <w:szCs w:val="24"/>
                <w:highlight w:val="none"/>
              </w:rPr>
            </w:pPr>
            <w:r>
              <w:rPr>
                <w:rFonts w:hint="eastAsia"/>
                <w:sz w:val="24"/>
                <w:szCs w:val="24"/>
                <w:highlight w:val="none"/>
              </w:rPr>
              <w:t>根据</w:t>
            </w:r>
            <w:r>
              <w:rPr>
                <w:rFonts w:hint="eastAsia"/>
                <w:sz w:val="24"/>
                <w:szCs w:val="24"/>
                <w:highlight w:val="none"/>
                <w:lang w:eastAsia="zh-CN"/>
              </w:rPr>
              <w:t>供应商</w:t>
            </w:r>
            <w:r>
              <w:rPr>
                <w:rFonts w:hint="eastAsia"/>
                <w:sz w:val="24"/>
                <w:szCs w:val="24"/>
                <w:highlight w:val="none"/>
              </w:rPr>
              <w:t>提供的技术培训方案进行评分：</w:t>
            </w:r>
          </w:p>
          <w:p>
            <w:pPr>
              <w:widowControl/>
              <w:spacing w:line="400" w:lineRule="exact"/>
              <w:ind w:firstLine="480" w:firstLineChars="200"/>
              <w:rPr>
                <w:sz w:val="24"/>
                <w:szCs w:val="24"/>
                <w:highlight w:val="none"/>
              </w:rPr>
            </w:pPr>
            <w:r>
              <w:rPr>
                <w:rFonts w:hint="eastAsia"/>
                <w:sz w:val="24"/>
                <w:szCs w:val="24"/>
                <w:highlight w:val="none"/>
                <w:lang w:val="en-US" w:eastAsia="zh-CN"/>
              </w:rPr>
              <w:t>技术</w:t>
            </w:r>
            <w:r>
              <w:rPr>
                <w:rFonts w:hint="eastAsia"/>
                <w:sz w:val="24"/>
                <w:szCs w:val="24"/>
                <w:highlight w:val="none"/>
              </w:rPr>
              <w:t>培训方案包括但不限于</w:t>
            </w:r>
            <w:r>
              <w:rPr>
                <w:rFonts w:asciiTheme="majorEastAsia" w:hAnsiTheme="majorEastAsia" w:eastAsiaTheme="majorEastAsia" w:cstheme="majorEastAsia"/>
                <w:sz w:val="24"/>
                <w:szCs w:val="24"/>
                <w:highlight w:val="none"/>
              </w:rPr>
              <w:t>培训内容</w:t>
            </w:r>
            <w:r>
              <w:rPr>
                <w:rFonts w:hint="eastAsia" w:asciiTheme="majorEastAsia" w:hAnsiTheme="majorEastAsia" w:eastAsiaTheme="majorEastAsia" w:cstheme="majorEastAsia"/>
                <w:sz w:val="24"/>
                <w:szCs w:val="24"/>
                <w:highlight w:val="none"/>
              </w:rPr>
              <w:t>、</w:t>
            </w:r>
            <w:r>
              <w:rPr>
                <w:rFonts w:asciiTheme="majorEastAsia" w:hAnsiTheme="majorEastAsia" w:eastAsiaTheme="majorEastAsia" w:cstheme="majorEastAsia"/>
                <w:sz w:val="24"/>
                <w:szCs w:val="24"/>
                <w:highlight w:val="none"/>
              </w:rPr>
              <w:t>培训方式</w:t>
            </w:r>
            <w:r>
              <w:rPr>
                <w:rFonts w:hint="eastAsia" w:asciiTheme="majorEastAsia" w:hAnsiTheme="majorEastAsia" w:eastAsiaTheme="majorEastAsia" w:cstheme="majorEastAsia"/>
                <w:sz w:val="24"/>
                <w:szCs w:val="24"/>
                <w:highlight w:val="none"/>
              </w:rPr>
              <w:t>、</w:t>
            </w:r>
            <w:r>
              <w:rPr>
                <w:rFonts w:asciiTheme="majorEastAsia" w:hAnsiTheme="majorEastAsia" w:eastAsiaTheme="majorEastAsia" w:cstheme="majorEastAsia"/>
                <w:sz w:val="24"/>
                <w:szCs w:val="24"/>
                <w:highlight w:val="none"/>
              </w:rPr>
              <w:t>培训计划</w:t>
            </w:r>
            <w:r>
              <w:rPr>
                <w:rFonts w:hint="eastAsia" w:asciiTheme="majorEastAsia" w:hAnsiTheme="majorEastAsia" w:eastAsiaTheme="majorEastAsia" w:cstheme="majorEastAsia"/>
                <w:sz w:val="24"/>
                <w:szCs w:val="24"/>
                <w:highlight w:val="none"/>
              </w:rPr>
              <w:t>、</w:t>
            </w:r>
            <w:r>
              <w:rPr>
                <w:rFonts w:asciiTheme="majorEastAsia" w:hAnsiTheme="majorEastAsia" w:eastAsiaTheme="majorEastAsia" w:cstheme="majorEastAsia"/>
                <w:sz w:val="24"/>
                <w:szCs w:val="24"/>
                <w:highlight w:val="none"/>
              </w:rPr>
              <w:t>培训团</w:t>
            </w:r>
            <w:r>
              <w:rPr>
                <w:rFonts w:asciiTheme="majorEastAsia" w:hAnsiTheme="majorEastAsia" w:eastAsiaTheme="majorEastAsia" w:cstheme="majorEastAsia"/>
                <w:color w:val="auto"/>
                <w:sz w:val="24"/>
                <w:szCs w:val="24"/>
                <w:highlight w:val="none"/>
              </w:rPr>
              <w:t>队人员配置</w:t>
            </w:r>
            <w:r>
              <w:rPr>
                <w:color w:val="auto"/>
                <w:sz w:val="24"/>
                <w:szCs w:val="24"/>
                <w:highlight w:val="none"/>
              </w:rPr>
              <w:t>等</w:t>
            </w:r>
            <w:r>
              <w:rPr>
                <w:rFonts w:hint="eastAsia"/>
                <w:color w:val="auto"/>
                <w:sz w:val="24"/>
                <w:szCs w:val="24"/>
                <w:highlight w:val="none"/>
              </w:rPr>
              <w:t>4项内容，方案内容完整齐全，符合项目实际（</w:t>
            </w:r>
            <w:r>
              <w:rPr>
                <w:rFonts w:hint="eastAsia" w:asciiTheme="majorEastAsia" w:hAnsiTheme="majorEastAsia" w:eastAsiaTheme="majorEastAsia" w:cstheme="majorEastAsia"/>
                <w:color w:val="auto"/>
                <w:sz w:val="24"/>
                <w:szCs w:val="24"/>
                <w:highlight w:val="none"/>
              </w:rPr>
              <w:t>第六章“项目需求”</w:t>
            </w:r>
            <w:r>
              <w:rPr>
                <w:rFonts w:hint="eastAsia"/>
                <w:color w:val="auto"/>
                <w:sz w:val="24"/>
                <w:szCs w:val="24"/>
                <w:highlight w:val="none"/>
              </w:rPr>
              <w:t>）的，得</w:t>
            </w:r>
            <w:r>
              <w:rPr>
                <w:rFonts w:hint="eastAsia"/>
                <w:color w:val="auto"/>
                <w:sz w:val="24"/>
                <w:szCs w:val="24"/>
                <w:highlight w:val="none"/>
                <w:lang w:val="en-US" w:eastAsia="zh-CN"/>
              </w:rPr>
              <w:t>10</w:t>
            </w:r>
            <w:r>
              <w:rPr>
                <w:rFonts w:hint="eastAsia"/>
                <w:color w:val="auto"/>
                <w:sz w:val="24"/>
                <w:szCs w:val="24"/>
                <w:highlight w:val="none"/>
              </w:rPr>
              <w:t>分；每缺少一项方案内容，或一项内容存在缺陷的，每一项扣</w:t>
            </w:r>
            <w:r>
              <w:rPr>
                <w:rFonts w:hint="eastAsia"/>
                <w:color w:val="auto"/>
                <w:sz w:val="24"/>
                <w:szCs w:val="24"/>
                <w:highlight w:val="none"/>
                <w:lang w:val="en-US" w:eastAsia="zh-CN"/>
              </w:rPr>
              <w:t>2.5</w:t>
            </w:r>
            <w:r>
              <w:rPr>
                <w:rFonts w:hint="eastAsia"/>
                <w:color w:val="auto"/>
                <w:sz w:val="24"/>
                <w:szCs w:val="24"/>
                <w:highlight w:val="none"/>
              </w:rPr>
              <w:t>分，扣完为止；未</w:t>
            </w:r>
            <w:r>
              <w:rPr>
                <w:rFonts w:hint="eastAsia"/>
                <w:color w:val="auto"/>
                <w:sz w:val="24"/>
                <w:szCs w:val="24"/>
                <w:highlight w:val="none"/>
                <w:lang w:val="en-US" w:eastAsia="zh-CN"/>
              </w:rPr>
              <w:t>提供</w:t>
            </w:r>
            <w:r>
              <w:rPr>
                <w:rFonts w:hint="eastAsia" w:asciiTheme="minorEastAsia" w:hAnsiTheme="minorEastAsia" w:eastAsiaTheme="minorEastAsia" w:cstheme="minorEastAsia"/>
                <w:kern w:val="0"/>
                <w:sz w:val="24"/>
                <w:szCs w:val="24"/>
                <w:highlight w:val="none"/>
              </w:rPr>
              <w:t>技术培训方案</w:t>
            </w:r>
            <w:r>
              <w:rPr>
                <w:rFonts w:hint="eastAsia"/>
                <w:color w:val="auto"/>
                <w:sz w:val="24"/>
                <w:szCs w:val="24"/>
                <w:highlight w:val="none"/>
              </w:rPr>
              <w:t>的，此项</w:t>
            </w:r>
            <w:r>
              <w:rPr>
                <w:rFonts w:hint="eastAsia"/>
                <w:sz w:val="24"/>
                <w:szCs w:val="24"/>
                <w:highlight w:val="none"/>
              </w:rPr>
              <w:t>不得分。</w:t>
            </w:r>
          </w:p>
          <w:p>
            <w:pPr>
              <w:snapToGrid w:val="0"/>
              <w:spacing w:line="400" w:lineRule="exact"/>
              <w:ind w:firstLine="482" w:firstLineChars="200"/>
              <w:rPr>
                <w:rFonts w:asciiTheme="minorEastAsia" w:hAnsiTheme="minorEastAsia" w:eastAsiaTheme="minorEastAsia" w:cstheme="minorEastAsia"/>
                <w:kern w:val="0"/>
                <w:sz w:val="24"/>
                <w:szCs w:val="24"/>
                <w:highlight w:val="none"/>
              </w:rPr>
            </w:pPr>
            <w:r>
              <w:rPr>
                <w:rFonts w:hint="eastAsia"/>
                <w:b/>
                <w:bCs/>
                <w:sz w:val="24"/>
                <w:szCs w:val="24"/>
                <w:highlight w:val="none"/>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00" w:type="dxa"/>
            <w:tcMar>
              <w:top w:w="15" w:type="dxa"/>
              <w:left w:w="15" w:type="dxa"/>
              <w:right w:w="15" w:type="dxa"/>
            </w:tcMar>
            <w:vAlign w:val="center"/>
          </w:tcPr>
          <w:p>
            <w:pPr>
              <w:pStyle w:val="7"/>
              <w:spacing w:line="440" w:lineRule="exact"/>
              <w:jc w:val="center"/>
              <w:rPr>
                <w:rFonts w:hAnsi="宋体" w:cs="宋体"/>
                <w:sz w:val="24"/>
                <w:szCs w:val="24"/>
                <w:highlight w:val="none"/>
              </w:rPr>
            </w:pPr>
            <w:r>
              <w:rPr>
                <w:rFonts w:hint="eastAsia" w:asciiTheme="minorEastAsia" w:hAnsiTheme="minorEastAsia" w:eastAsiaTheme="minorEastAsia" w:cstheme="minorEastAsia"/>
                <w:kern w:val="0"/>
                <w:sz w:val="24"/>
                <w:szCs w:val="24"/>
                <w:highlight w:val="none"/>
                <w:lang w:val="en-US" w:eastAsia="zh-CN"/>
              </w:rPr>
              <w:t>10</w:t>
            </w:r>
            <w:r>
              <w:rPr>
                <w:rFonts w:hint="eastAsia" w:asciiTheme="minorEastAsia" w:hAnsiTheme="minorEastAsia" w:eastAsiaTheme="minorEastAsia" w:cstheme="minorEastAsia"/>
                <w:kern w:val="0"/>
                <w:sz w:val="24"/>
                <w:szCs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87" w:type="dxa"/>
            <w:vMerge w:val="continue"/>
            <w:tcMar>
              <w:top w:w="15" w:type="dxa"/>
              <w:left w:w="15" w:type="dxa"/>
              <w:right w:w="15" w:type="dxa"/>
            </w:tcMar>
            <w:vAlign w:val="center"/>
          </w:tcPr>
          <w:p>
            <w:pPr>
              <w:pStyle w:val="7"/>
              <w:spacing w:line="440" w:lineRule="exact"/>
              <w:rPr>
                <w:rFonts w:hAnsi="宋体" w:cs="宋体"/>
                <w:sz w:val="24"/>
                <w:szCs w:val="24"/>
                <w:highlight w:val="none"/>
              </w:rPr>
            </w:pPr>
          </w:p>
        </w:tc>
        <w:tc>
          <w:tcPr>
            <w:tcW w:w="805" w:type="dxa"/>
            <w:tcBorders>
              <w:top w:val="single" w:color="auto" w:sz="4" w:space="0"/>
            </w:tcBorders>
            <w:tcMar>
              <w:top w:w="15" w:type="dxa"/>
              <w:left w:w="15" w:type="dxa"/>
              <w:right w:w="15" w:type="dxa"/>
            </w:tcMar>
            <w:vAlign w:val="center"/>
          </w:tcPr>
          <w:p>
            <w:pPr>
              <w:widowControl/>
              <w:spacing w:line="400" w:lineRule="exact"/>
              <w:jc w:val="center"/>
              <w:textAlignment w:val="center"/>
              <w:rPr>
                <w:rFonts w:hAnsi="宋体" w:cs="宋体"/>
                <w:sz w:val="24"/>
                <w:szCs w:val="24"/>
                <w:highlight w:val="none"/>
              </w:rPr>
            </w:pPr>
            <w:r>
              <w:rPr>
                <w:rFonts w:hint="eastAsia" w:asciiTheme="minorEastAsia" w:hAnsiTheme="minorEastAsia" w:eastAsiaTheme="minorEastAsia" w:cstheme="minorEastAsia"/>
                <w:kern w:val="0"/>
                <w:sz w:val="24"/>
                <w:szCs w:val="24"/>
                <w:highlight w:val="none"/>
              </w:rPr>
              <w:t>售后服务方案评价</w:t>
            </w:r>
          </w:p>
        </w:tc>
        <w:tc>
          <w:tcPr>
            <w:tcW w:w="6196" w:type="dxa"/>
            <w:tcMar>
              <w:top w:w="15" w:type="dxa"/>
              <w:left w:w="15" w:type="dxa"/>
              <w:right w:w="15" w:type="dxa"/>
            </w:tcMar>
            <w:vAlign w:val="center"/>
          </w:tcPr>
          <w:p>
            <w:pPr>
              <w:widowControl/>
              <w:spacing w:line="400" w:lineRule="exact"/>
              <w:rPr>
                <w:sz w:val="24"/>
                <w:szCs w:val="24"/>
                <w:highlight w:val="none"/>
              </w:rPr>
            </w:pPr>
            <w:r>
              <w:rPr>
                <w:rFonts w:hint="eastAsia"/>
                <w:sz w:val="24"/>
                <w:szCs w:val="24"/>
                <w:highlight w:val="none"/>
              </w:rPr>
              <w:t>根据</w:t>
            </w:r>
            <w:r>
              <w:rPr>
                <w:rFonts w:hint="eastAsia"/>
                <w:sz w:val="24"/>
                <w:szCs w:val="24"/>
                <w:highlight w:val="none"/>
                <w:lang w:eastAsia="zh-CN"/>
              </w:rPr>
              <w:t>供应商</w:t>
            </w:r>
            <w:r>
              <w:rPr>
                <w:rFonts w:hint="eastAsia"/>
                <w:sz w:val="24"/>
                <w:szCs w:val="24"/>
                <w:highlight w:val="none"/>
              </w:rPr>
              <w:t>提供的售后服务方案进行评分：</w:t>
            </w:r>
          </w:p>
          <w:p>
            <w:pPr>
              <w:widowControl/>
              <w:spacing w:line="400" w:lineRule="exact"/>
              <w:ind w:firstLine="480" w:firstLineChars="200"/>
              <w:rPr>
                <w:sz w:val="24"/>
                <w:szCs w:val="24"/>
                <w:highlight w:val="none"/>
              </w:rPr>
            </w:pPr>
            <w:r>
              <w:rPr>
                <w:rFonts w:hint="eastAsia"/>
                <w:sz w:val="24"/>
                <w:szCs w:val="24"/>
                <w:highlight w:val="none"/>
              </w:rPr>
              <w:t>售后服务方案包括但不限于：售后</w:t>
            </w:r>
            <w:r>
              <w:rPr>
                <w:sz w:val="24"/>
                <w:szCs w:val="24"/>
                <w:highlight w:val="none"/>
              </w:rPr>
              <w:t>服务承诺</w:t>
            </w:r>
            <w:r>
              <w:rPr>
                <w:rFonts w:hint="eastAsia"/>
                <w:sz w:val="24"/>
                <w:szCs w:val="24"/>
                <w:highlight w:val="none"/>
              </w:rPr>
              <w:t>、售后</w:t>
            </w:r>
            <w:r>
              <w:rPr>
                <w:sz w:val="24"/>
                <w:szCs w:val="24"/>
                <w:highlight w:val="none"/>
              </w:rPr>
              <w:t>服务响应方案</w:t>
            </w:r>
            <w:r>
              <w:rPr>
                <w:rFonts w:hint="eastAsia"/>
                <w:sz w:val="24"/>
                <w:szCs w:val="24"/>
                <w:highlight w:val="none"/>
              </w:rPr>
              <w:t>、售后</w:t>
            </w:r>
            <w:r>
              <w:rPr>
                <w:sz w:val="24"/>
                <w:szCs w:val="24"/>
                <w:highlight w:val="none"/>
              </w:rPr>
              <w:t>服务人员配备</w:t>
            </w:r>
            <w:r>
              <w:rPr>
                <w:rFonts w:hint="eastAsia"/>
                <w:sz w:val="24"/>
                <w:szCs w:val="24"/>
                <w:highlight w:val="none"/>
              </w:rPr>
              <w:t>、</w:t>
            </w:r>
            <w:r>
              <w:rPr>
                <w:sz w:val="24"/>
                <w:szCs w:val="24"/>
                <w:highlight w:val="none"/>
              </w:rPr>
              <w:t>故障响应</w:t>
            </w:r>
            <w:r>
              <w:rPr>
                <w:rFonts w:hint="eastAsia"/>
                <w:sz w:val="24"/>
                <w:szCs w:val="24"/>
                <w:highlight w:val="none"/>
              </w:rPr>
              <w:t>措施、</w:t>
            </w:r>
            <w:r>
              <w:rPr>
                <w:sz w:val="24"/>
                <w:szCs w:val="24"/>
                <w:highlight w:val="none"/>
              </w:rPr>
              <w:t>质保外服务措施</w:t>
            </w:r>
            <w:r>
              <w:rPr>
                <w:rFonts w:hint="eastAsia"/>
                <w:sz w:val="24"/>
                <w:szCs w:val="24"/>
                <w:highlight w:val="none"/>
              </w:rPr>
              <w:t>、备品备件供</w:t>
            </w:r>
            <w:r>
              <w:rPr>
                <w:rFonts w:hint="eastAsia"/>
                <w:color w:val="auto"/>
                <w:sz w:val="24"/>
                <w:szCs w:val="24"/>
                <w:highlight w:val="none"/>
              </w:rPr>
              <w:t>应方案</w:t>
            </w:r>
            <w:r>
              <w:rPr>
                <w:color w:val="auto"/>
                <w:sz w:val="24"/>
                <w:szCs w:val="24"/>
                <w:highlight w:val="none"/>
              </w:rPr>
              <w:t>等</w:t>
            </w:r>
            <w:r>
              <w:rPr>
                <w:rFonts w:hint="eastAsia"/>
                <w:color w:val="auto"/>
                <w:sz w:val="24"/>
                <w:szCs w:val="24"/>
                <w:highlight w:val="none"/>
              </w:rPr>
              <w:t>6项内容，方案内容完整齐全，符合项目实际（</w:t>
            </w:r>
            <w:r>
              <w:rPr>
                <w:rFonts w:hint="eastAsia" w:asciiTheme="majorEastAsia" w:hAnsiTheme="majorEastAsia" w:eastAsiaTheme="majorEastAsia" w:cstheme="majorEastAsia"/>
                <w:color w:val="auto"/>
                <w:sz w:val="24"/>
                <w:szCs w:val="24"/>
                <w:highlight w:val="none"/>
              </w:rPr>
              <w:t>第六章“项目需求”</w:t>
            </w:r>
            <w:r>
              <w:rPr>
                <w:rFonts w:hint="eastAsia"/>
                <w:color w:val="auto"/>
                <w:sz w:val="24"/>
                <w:szCs w:val="24"/>
                <w:highlight w:val="none"/>
              </w:rPr>
              <w:t>）的，得</w:t>
            </w:r>
            <w:r>
              <w:rPr>
                <w:rFonts w:hint="eastAsia"/>
                <w:color w:val="auto"/>
                <w:sz w:val="24"/>
                <w:szCs w:val="24"/>
                <w:highlight w:val="none"/>
                <w:lang w:val="en-US" w:eastAsia="zh-CN"/>
              </w:rPr>
              <w:t>6</w:t>
            </w:r>
            <w:r>
              <w:rPr>
                <w:rFonts w:hint="eastAsia"/>
                <w:color w:val="auto"/>
                <w:sz w:val="24"/>
                <w:szCs w:val="24"/>
                <w:highlight w:val="none"/>
              </w:rPr>
              <w:t>分；每缺少一项方案内容，或一项内容存在缺陷的，每一项扣</w:t>
            </w:r>
            <w:r>
              <w:rPr>
                <w:rFonts w:hint="eastAsia"/>
                <w:color w:val="auto"/>
                <w:sz w:val="24"/>
                <w:szCs w:val="24"/>
                <w:highlight w:val="none"/>
                <w:lang w:val="en-US" w:eastAsia="zh-CN"/>
              </w:rPr>
              <w:t>1</w:t>
            </w:r>
            <w:r>
              <w:rPr>
                <w:rFonts w:hint="eastAsia"/>
                <w:color w:val="auto"/>
                <w:sz w:val="24"/>
                <w:szCs w:val="24"/>
                <w:highlight w:val="none"/>
              </w:rPr>
              <w:t>分，扣完为止；未提供</w:t>
            </w:r>
            <w:r>
              <w:rPr>
                <w:rFonts w:hint="eastAsia" w:asciiTheme="minorEastAsia" w:hAnsiTheme="minorEastAsia" w:eastAsiaTheme="minorEastAsia" w:cstheme="minorEastAsia"/>
                <w:kern w:val="0"/>
                <w:sz w:val="24"/>
                <w:szCs w:val="24"/>
                <w:highlight w:val="none"/>
              </w:rPr>
              <w:t>售后服务方案</w:t>
            </w:r>
            <w:r>
              <w:rPr>
                <w:rFonts w:hint="eastAsia"/>
                <w:color w:val="auto"/>
                <w:sz w:val="24"/>
                <w:szCs w:val="24"/>
                <w:highlight w:val="none"/>
              </w:rPr>
              <w:t>的，此项不</w:t>
            </w:r>
            <w:r>
              <w:rPr>
                <w:rFonts w:hint="eastAsia"/>
                <w:sz w:val="24"/>
                <w:szCs w:val="24"/>
                <w:highlight w:val="none"/>
              </w:rPr>
              <w:t>得分。</w:t>
            </w:r>
          </w:p>
          <w:p>
            <w:pPr>
              <w:snapToGrid w:val="0"/>
              <w:spacing w:line="400" w:lineRule="exact"/>
              <w:ind w:firstLine="482" w:firstLineChars="200"/>
              <w:rPr>
                <w:rFonts w:hAnsi="宋体" w:cs="宋体"/>
                <w:sz w:val="24"/>
                <w:szCs w:val="24"/>
                <w:highlight w:val="none"/>
              </w:rPr>
            </w:pPr>
            <w:r>
              <w:rPr>
                <w:rFonts w:hint="eastAsia"/>
                <w:b/>
                <w:bCs/>
                <w:sz w:val="24"/>
                <w:szCs w:val="24"/>
                <w:highlight w:val="none"/>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00" w:type="dxa"/>
            <w:tcMar>
              <w:top w:w="15" w:type="dxa"/>
              <w:left w:w="15" w:type="dxa"/>
              <w:right w:w="15" w:type="dxa"/>
            </w:tcMar>
            <w:vAlign w:val="center"/>
          </w:tcPr>
          <w:p>
            <w:pPr>
              <w:pStyle w:val="7"/>
              <w:spacing w:line="440" w:lineRule="exact"/>
              <w:jc w:val="center"/>
              <w:rPr>
                <w:rFonts w:hAnsi="宋体" w:cs="宋体"/>
                <w:sz w:val="24"/>
                <w:szCs w:val="24"/>
                <w:highlight w:val="none"/>
              </w:rPr>
            </w:pPr>
            <w:r>
              <w:rPr>
                <w:rFonts w:hint="eastAsia" w:hAnsi="宋体" w:cs="宋体" w:eastAsiaTheme="minorEastAsia"/>
                <w:sz w:val="24"/>
                <w:szCs w:val="24"/>
                <w:highlight w:val="none"/>
                <w:lang w:val="en-US" w:eastAsia="zh-CN"/>
              </w:rPr>
              <w:t>6</w:t>
            </w:r>
            <w:r>
              <w:rPr>
                <w:rFonts w:hint="eastAsia" w:asciiTheme="minorEastAsia" w:hAnsiTheme="minorEastAsia" w:eastAsiaTheme="minorEastAsia" w:cstheme="minorEastAsia"/>
                <w:kern w:val="0"/>
                <w:sz w:val="24"/>
                <w:szCs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8888" w:type="dxa"/>
            <w:gridSpan w:val="4"/>
            <w:tcMar>
              <w:top w:w="15" w:type="dxa"/>
              <w:left w:w="15" w:type="dxa"/>
              <w:right w:w="15" w:type="dxa"/>
            </w:tcMar>
            <w:vAlign w:val="center"/>
          </w:tcPr>
          <w:p>
            <w:pPr>
              <w:pStyle w:val="7"/>
              <w:spacing w:line="440" w:lineRule="exact"/>
              <w:jc w:val="center"/>
              <w:rPr>
                <w:rFonts w:hAnsi="宋体" w:cs="宋体"/>
                <w:sz w:val="24"/>
                <w:szCs w:val="24"/>
                <w:highlight w:val="none"/>
              </w:rPr>
            </w:pPr>
            <w:r>
              <w:rPr>
                <w:rFonts w:hint="eastAsia" w:hAnsi="宋体" w:cs="宋体"/>
                <w:sz w:val="24"/>
                <w:szCs w:val="24"/>
                <w:highlight w:val="none"/>
              </w:rPr>
              <w:t>合计：100分</w:t>
            </w:r>
          </w:p>
        </w:tc>
      </w:tr>
    </w:tbl>
    <w:p>
      <w:pPr>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br w:type="page"/>
      </w:r>
    </w:p>
    <w:p>
      <w:pPr>
        <w:pStyle w:val="3"/>
        <w:ind w:firstLine="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（2）第</w:t>
      </w:r>
      <w:r>
        <w:rPr>
          <w:rFonts w:hint="eastAsia" w:asciiTheme="minorEastAsia" w:hAnsiTheme="minorEastAsia" w:eastAsiaTheme="minorEastAsia" w:cstheme="minorEastAsia"/>
          <w:b/>
          <w:sz w:val="24"/>
          <w:szCs w:val="24"/>
          <w:highlight w:val="none"/>
          <w:lang w:val="en-US" w:eastAsia="zh-CN"/>
        </w:rPr>
        <w:t>二</w:t>
      </w:r>
      <w:r>
        <w:rPr>
          <w:rFonts w:hint="eastAsia" w:asciiTheme="minorEastAsia" w:hAnsiTheme="minorEastAsia" w:eastAsiaTheme="minorEastAsia" w:cstheme="minorEastAsia"/>
          <w:b/>
          <w:sz w:val="24"/>
          <w:szCs w:val="24"/>
          <w:highlight w:val="none"/>
        </w:rPr>
        <w:t>包评分标准</w:t>
      </w:r>
    </w:p>
    <w:tbl>
      <w:tblPr>
        <w:tblStyle w:val="15"/>
        <w:tblW w:w="88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7"/>
        <w:gridCol w:w="805"/>
        <w:gridCol w:w="6196"/>
        <w:gridCol w:w="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87" w:type="dxa"/>
            <w:tcMar>
              <w:top w:w="15" w:type="dxa"/>
              <w:left w:w="15" w:type="dxa"/>
              <w:right w:w="15" w:type="dxa"/>
            </w:tcMar>
            <w:vAlign w:val="center"/>
          </w:tcPr>
          <w:p>
            <w:pPr>
              <w:pStyle w:val="7"/>
              <w:spacing w:line="440" w:lineRule="exact"/>
              <w:jc w:val="center"/>
              <w:rPr>
                <w:rFonts w:hAnsi="宋体" w:cs="宋体"/>
                <w:b/>
                <w:bCs/>
                <w:sz w:val="24"/>
                <w:szCs w:val="24"/>
                <w:highlight w:val="none"/>
              </w:rPr>
            </w:pPr>
            <w:r>
              <w:rPr>
                <w:rFonts w:hint="eastAsia" w:hAnsi="宋体" w:cs="宋体"/>
                <w:b/>
                <w:bCs/>
                <w:sz w:val="24"/>
                <w:szCs w:val="24"/>
                <w:highlight w:val="none"/>
              </w:rPr>
              <w:t>评分因素及权重</w:t>
            </w:r>
          </w:p>
        </w:tc>
        <w:tc>
          <w:tcPr>
            <w:tcW w:w="805" w:type="dxa"/>
            <w:tcMar>
              <w:top w:w="15" w:type="dxa"/>
              <w:left w:w="15" w:type="dxa"/>
              <w:right w:w="15" w:type="dxa"/>
            </w:tcMar>
            <w:vAlign w:val="center"/>
          </w:tcPr>
          <w:p>
            <w:pPr>
              <w:pStyle w:val="7"/>
              <w:spacing w:line="440" w:lineRule="exact"/>
              <w:jc w:val="center"/>
              <w:rPr>
                <w:rFonts w:hAnsi="宋体" w:cs="宋体"/>
                <w:b/>
                <w:bCs/>
                <w:sz w:val="24"/>
                <w:szCs w:val="24"/>
                <w:highlight w:val="none"/>
              </w:rPr>
            </w:pPr>
            <w:r>
              <w:rPr>
                <w:rFonts w:hint="eastAsia" w:hAnsi="宋体" w:cs="宋体"/>
                <w:b/>
                <w:bCs/>
                <w:sz w:val="24"/>
                <w:szCs w:val="24"/>
                <w:highlight w:val="none"/>
              </w:rPr>
              <w:t>评标因素</w:t>
            </w:r>
          </w:p>
        </w:tc>
        <w:tc>
          <w:tcPr>
            <w:tcW w:w="6196" w:type="dxa"/>
            <w:tcMar>
              <w:top w:w="15" w:type="dxa"/>
              <w:left w:w="15" w:type="dxa"/>
              <w:right w:w="15" w:type="dxa"/>
            </w:tcMar>
            <w:vAlign w:val="center"/>
          </w:tcPr>
          <w:p>
            <w:pPr>
              <w:pStyle w:val="7"/>
              <w:spacing w:line="440" w:lineRule="exact"/>
              <w:jc w:val="center"/>
              <w:rPr>
                <w:rFonts w:hAnsi="宋体" w:cs="宋体"/>
                <w:b/>
                <w:bCs/>
                <w:sz w:val="24"/>
                <w:szCs w:val="24"/>
                <w:highlight w:val="none"/>
              </w:rPr>
            </w:pPr>
            <w:r>
              <w:rPr>
                <w:rFonts w:hint="eastAsia" w:hAnsi="宋体" w:cs="宋体"/>
                <w:b/>
                <w:bCs/>
                <w:sz w:val="24"/>
                <w:szCs w:val="24"/>
                <w:highlight w:val="none"/>
              </w:rPr>
              <w:t>评分标准</w:t>
            </w:r>
          </w:p>
        </w:tc>
        <w:tc>
          <w:tcPr>
            <w:tcW w:w="800" w:type="dxa"/>
            <w:tcMar>
              <w:top w:w="15" w:type="dxa"/>
              <w:left w:w="15" w:type="dxa"/>
              <w:right w:w="15" w:type="dxa"/>
            </w:tcMar>
            <w:vAlign w:val="center"/>
          </w:tcPr>
          <w:p>
            <w:pPr>
              <w:pStyle w:val="7"/>
              <w:spacing w:line="440" w:lineRule="exact"/>
              <w:jc w:val="center"/>
              <w:rPr>
                <w:rFonts w:hAnsi="宋体" w:cs="宋体"/>
                <w:b/>
                <w:bCs/>
                <w:sz w:val="24"/>
                <w:szCs w:val="24"/>
                <w:highlight w:val="none"/>
              </w:rPr>
            </w:pPr>
            <w:r>
              <w:rPr>
                <w:rFonts w:hint="eastAsia" w:hAnsi="宋体" w:cs="宋体"/>
                <w:b/>
                <w:bCs/>
                <w:sz w:val="24"/>
                <w:szCs w:val="24"/>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jc w:val="center"/>
        </w:trPr>
        <w:tc>
          <w:tcPr>
            <w:tcW w:w="1087" w:type="dxa"/>
            <w:tcMar>
              <w:top w:w="15" w:type="dxa"/>
              <w:left w:w="15" w:type="dxa"/>
              <w:right w:w="15" w:type="dxa"/>
            </w:tcMar>
            <w:vAlign w:val="center"/>
          </w:tcPr>
          <w:p>
            <w:pPr>
              <w:widowControl/>
              <w:spacing w:line="400" w:lineRule="exact"/>
              <w:jc w:val="center"/>
              <w:textAlignment w:val="center"/>
              <w:rPr>
                <w:rFonts w:hAnsi="宋体" w:cs="宋体"/>
                <w:b/>
                <w:bCs/>
                <w:sz w:val="24"/>
                <w:szCs w:val="24"/>
                <w:highlight w:val="none"/>
              </w:rPr>
            </w:pPr>
            <w:r>
              <w:rPr>
                <w:rFonts w:hint="eastAsia" w:asciiTheme="minorEastAsia" w:hAnsiTheme="minorEastAsia" w:eastAsiaTheme="minorEastAsia" w:cstheme="minorEastAsia"/>
                <w:kern w:val="0"/>
                <w:sz w:val="24"/>
                <w:szCs w:val="24"/>
                <w:highlight w:val="none"/>
              </w:rPr>
              <w:t>价格部分（30分）</w:t>
            </w:r>
          </w:p>
        </w:tc>
        <w:tc>
          <w:tcPr>
            <w:tcW w:w="805"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投标</w:t>
            </w:r>
          </w:p>
          <w:p>
            <w:pPr>
              <w:widowControl/>
              <w:spacing w:line="400" w:lineRule="exact"/>
              <w:jc w:val="center"/>
              <w:textAlignment w:val="center"/>
              <w:rPr>
                <w:rFonts w:hAnsi="宋体" w:cs="宋体"/>
                <w:b/>
                <w:bCs/>
                <w:sz w:val="24"/>
                <w:szCs w:val="24"/>
                <w:highlight w:val="none"/>
              </w:rPr>
            </w:pPr>
            <w:r>
              <w:rPr>
                <w:rFonts w:hint="eastAsia" w:asciiTheme="minorEastAsia" w:hAnsiTheme="minorEastAsia" w:eastAsiaTheme="minorEastAsia" w:cstheme="minorEastAsia"/>
                <w:kern w:val="0"/>
                <w:sz w:val="24"/>
                <w:szCs w:val="24"/>
                <w:highlight w:val="none"/>
              </w:rPr>
              <w:t>报价</w:t>
            </w:r>
          </w:p>
        </w:tc>
        <w:tc>
          <w:tcPr>
            <w:tcW w:w="6196" w:type="dxa"/>
            <w:tcMar>
              <w:top w:w="15" w:type="dxa"/>
              <w:left w:w="15" w:type="dxa"/>
              <w:right w:w="15" w:type="dxa"/>
            </w:tcMar>
            <w:vAlign w:val="center"/>
          </w:tcPr>
          <w:p>
            <w:pPr>
              <w:widowControl/>
              <w:spacing w:line="400" w:lineRule="exact"/>
              <w:ind w:firstLine="480" w:firstLineChars="200"/>
              <w:textAlignment w:val="center"/>
              <w:rPr>
                <w:highlight w:val="none"/>
              </w:rPr>
            </w:pPr>
            <w:r>
              <w:rPr>
                <w:rFonts w:hint="eastAsia" w:asciiTheme="minorEastAsia" w:hAnsiTheme="minorEastAsia" w:eastAsiaTheme="minorEastAsia" w:cstheme="minorEastAsia"/>
                <w:kern w:val="0"/>
                <w:sz w:val="24"/>
                <w:szCs w:val="24"/>
                <w:highlight w:val="none"/>
              </w:rPr>
              <w:t>综合评分法中的价格分统一采用低价优先法计算，即满足招标文件要求且投标价格最低的投标报价为评标基准价，其价格分为满分30分，其它投标报价得分=评标基准价/</w:t>
            </w:r>
            <w:r>
              <w:rPr>
                <w:rFonts w:hint="eastAsia" w:asciiTheme="minorEastAsia" w:hAnsiTheme="minorEastAsia" w:eastAsiaTheme="minorEastAsia" w:cstheme="minorEastAsia"/>
                <w:kern w:val="0"/>
                <w:sz w:val="24"/>
                <w:szCs w:val="24"/>
                <w:highlight w:val="none"/>
                <w:lang w:eastAsia="zh-CN"/>
              </w:rPr>
              <w:t>有效投标报价</w:t>
            </w:r>
            <w:r>
              <w:rPr>
                <w:rFonts w:hint="eastAsia" w:asciiTheme="minorEastAsia" w:hAnsiTheme="minorEastAsia" w:eastAsiaTheme="minorEastAsia" w:cstheme="minorEastAsia"/>
                <w:kern w:val="0"/>
                <w:sz w:val="24"/>
                <w:szCs w:val="24"/>
                <w:highlight w:val="none"/>
              </w:rPr>
              <w:t>*30</w:t>
            </w:r>
          </w:p>
        </w:tc>
        <w:tc>
          <w:tcPr>
            <w:tcW w:w="800" w:type="dxa"/>
            <w:tcMar>
              <w:top w:w="15" w:type="dxa"/>
              <w:left w:w="15" w:type="dxa"/>
              <w:right w:w="15" w:type="dxa"/>
            </w:tcMar>
            <w:vAlign w:val="center"/>
          </w:tcPr>
          <w:p>
            <w:pPr>
              <w:widowControl/>
              <w:spacing w:line="400" w:lineRule="exact"/>
              <w:jc w:val="center"/>
              <w:textAlignment w:val="center"/>
              <w:rPr>
                <w:rFonts w:hAnsi="宋体" w:cs="宋体"/>
                <w:b/>
                <w:bCs/>
                <w:sz w:val="24"/>
                <w:szCs w:val="24"/>
                <w:highlight w:val="none"/>
              </w:rPr>
            </w:pPr>
            <w:r>
              <w:rPr>
                <w:rFonts w:hint="eastAsia" w:asciiTheme="minorEastAsia" w:hAnsiTheme="minorEastAsia" w:eastAsiaTheme="minorEastAsia" w:cstheme="minorEastAsia"/>
                <w:kern w:val="0"/>
                <w:sz w:val="24"/>
                <w:szCs w:val="24"/>
                <w:highlight w:val="none"/>
              </w:rPr>
              <w:t>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087" w:type="dxa"/>
            <w:vMerge w:val="restart"/>
            <w:tcMar>
              <w:top w:w="15" w:type="dxa"/>
              <w:left w:w="15" w:type="dxa"/>
              <w:right w:w="15" w:type="dxa"/>
            </w:tcMar>
            <w:vAlign w:val="center"/>
          </w:tcPr>
          <w:p>
            <w:pPr>
              <w:pStyle w:val="7"/>
              <w:spacing w:line="440" w:lineRule="exact"/>
              <w:jc w:val="center"/>
              <w:rPr>
                <w:rFonts w:hAnsi="宋体" w:cs="宋体"/>
                <w:sz w:val="24"/>
                <w:szCs w:val="24"/>
                <w:highlight w:val="none"/>
              </w:rPr>
            </w:pPr>
            <w:r>
              <w:rPr>
                <w:rFonts w:hint="eastAsia" w:hAnsi="宋体" w:cs="宋体"/>
                <w:sz w:val="24"/>
                <w:szCs w:val="24"/>
                <w:highlight w:val="none"/>
              </w:rPr>
              <w:t>技术和商务部分</w:t>
            </w:r>
          </w:p>
          <w:p>
            <w:pPr>
              <w:pStyle w:val="7"/>
              <w:spacing w:line="440" w:lineRule="exact"/>
              <w:jc w:val="center"/>
              <w:rPr>
                <w:rFonts w:hAnsi="宋体" w:cs="宋体"/>
                <w:sz w:val="24"/>
                <w:szCs w:val="24"/>
                <w:highlight w:val="none"/>
              </w:rPr>
            </w:pPr>
            <w:r>
              <w:rPr>
                <w:rFonts w:hint="eastAsia" w:hAnsi="宋体" w:cs="宋体"/>
                <w:sz w:val="24"/>
                <w:szCs w:val="24"/>
                <w:highlight w:val="none"/>
              </w:rPr>
              <w:t>（70分）</w:t>
            </w:r>
          </w:p>
        </w:tc>
        <w:tc>
          <w:tcPr>
            <w:tcW w:w="805" w:type="dxa"/>
            <w:tcMar>
              <w:top w:w="15" w:type="dxa"/>
              <w:left w:w="15" w:type="dxa"/>
              <w:right w:w="15" w:type="dxa"/>
            </w:tcMar>
            <w:vAlign w:val="center"/>
          </w:tcPr>
          <w:p>
            <w:pPr>
              <w:pStyle w:val="7"/>
              <w:spacing w:line="440" w:lineRule="exact"/>
              <w:jc w:val="center"/>
              <w:rPr>
                <w:rFonts w:hAnsi="宋体" w:cs="宋体"/>
                <w:sz w:val="24"/>
                <w:szCs w:val="24"/>
                <w:highlight w:val="none"/>
              </w:rPr>
            </w:pPr>
            <w:r>
              <w:rPr>
                <w:rFonts w:hint="eastAsia" w:hAnsi="宋体" w:cs="宋体"/>
                <w:sz w:val="24"/>
                <w:szCs w:val="24"/>
                <w:highlight w:val="none"/>
              </w:rPr>
              <w:t>技术参数响应评价</w:t>
            </w:r>
          </w:p>
        </w:tc>
        <w:tc>
          <w:tcPr>
            <w:tcW w:w="6196" w:type="dxa"/>
            <w:tcMar>
              <w:top w:w="15" w:type="dxa"/>
              <w:left w:w="15" w:type="dxa"/>
              <w:right w:w="15" w:type="dxa"/>
            </w:tcMar>
            <w:vAlign w:val="center"/>
          </w:tcPr>
          <w:p>
            <w:pPr>
              <w:pStyle w:val="7"/>
              <w:spacing w:line="440" w:lineRule="exact"/>
              <w:ind w:firstLine="480"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对照第六章“项目需求”第</w:t>
            </w:r>
            <w:r>
              <w:rPr>
                <w:rFonts w:hint="eastAsia" w:asciiTheme="minorEastAsia" w:hAnsiTheme="minorEastAsia" w:eastAsiaTheme="minorEastAsia" w:cstheme="minorEastAsia"/>
                <w:color w:val="auto"/>
                <w:kern w:val="0"/>
                <w:sz w:val="24"/>
                <w:szCs w:val="24"/>
                <w:highlight w:val="none"/>
                <w:lang w:val="en-US" w:eastAsia="zh-CN"/>
              </w:rPr>
              <w:t>二</w:t>
            </w:r>
            <w:r>
              <w:rPr>
                <w:rFonts w:hint="eastAsia" w:asciiTheme="minorEastAsia" w:hAnsiTheme="minorEastAsia" w:eastAsiaTheme="minorEastAsia" w:cstheme="minorEastAsia"/>
                <w:color w:val="auto"/>
                <w:kern w:val="0"/>
                <w:sz w:val="24"/>
                <w:szCs w:val="24"/>
                <w:highlight w:val="none"/>
              </w:rPr>
              <w:t>包的技术参数（每条技术参数前标注“★”的为核心技术参数</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标注“▲”的为主要技术参数，</w:t>
            </w:r>
            <w:r>
              <w:rPr>
                <w:rFonts w:hint="eastAsia" w:asciiTheme="minorEastAsia" w:hAnsiTheme="minorEastAsia" w:eastAsiaTheme="minorEastAsia" w:cstheme="minorEastAsia"/>
                <w:color w:val="auto"/>
                <w:kern w:val="0"/>
                <w:sz w:val="24"/>
                <w:szCs w:val="24"/>
                <w:highlight w:val="none"/>
              </w:rPr>
              <w:t>未标注的为一般技术参数），根据</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提供的产品配置及技术性能指标的响应情况进行评审。</w:t>
            </w:r>
          </w:p>
          <w:p>
            <w:pPr>
              <w:pStyle w:val="7"/>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1.本标包</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种产品，</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每有一种所投产品技术参数完全响应招标文件要求的，得</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分，最多得</w:t>
            </w:r>
            <w:r>
              <w:rPr>
                <w:rFonts w:hint="eastAsia" w:asciiTheme="minorEastAsia" w:hAnsiTheme="minorEastAsia" w:eastAsiaTheme="minorEastAsia" w:cstheme="minorEastAsia"/>
                <w:color w:val="auto"/>
                <w:kern w:val="0"/>
                <w:sz w:val="24"/>
                <w:szCs w:val="24"/>
                <w:highlight w:val="none"/>
                <w:lang w:val="en-US" w:eastAsia="zh-CN"/>
              </w:rPr>
              <w:t>36</w:t>
            </w:r>
            <w:r>
              <w:rPr>
                <w:rFonts w:hint="eastAsia" w:asciiTheme="minorEastAsia" w:hAnsiTheme="minorEastAsia" w:eastAsiaTheme="minorEastAsia" w:cstheme="minorEastAsia"/>
                <w:color w:val="auto"/>
                <w:kern w:val="0"/>
                <w:sz w:val="24"/>
                <w:szCs w:val="24"/>
                <w:highlight w:val="none"/>
              </w:rPr>
              <w:t>分；</w:t>
            </w:r>
          </w:p>
          <w:p>
            <w:pPr>
              <w:pStyle w:val="12"/>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default" w:asciiTheme="minorEastAsia" w:hAnsiTheme="minorEastAsia" w:eastAsiaTheme="minorEastAsia" w:cstheme="minorEastAsia"/>
                <w:color w:val="auto"/>
                <w:kern w:val="0"/>
                <w:sz w:val="24"/>
                <w:szCs w:val="24"/>
                <w:highlight w:val="none"/>
                <w:lang w:val="en-US"/>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eastAsia="zh-CN"/>
              </w:rPr>
              <w:t>每种</w:t>
            </w:r>
            <w:r>
              <w:rPr>
                <w:rFonts w:hint="eastAsia" w:asciiTheme="minorEastAsia" w:hAnsiTheme="minorEastAsia" w:eastAsiaTheme="minorEastAsia" w:cstheme="minorEastAsia"/>
                <w:color w:val="auto"/>
                <w:kern w:val="0"/>
                <w:sz w:val="24"/>
                <w:szCs w:val="24"/>
                <w:highlight w:val="none"/>
              </w:rPr>
              <w:t>核心技术参数</w:t>
            </w:r>
            <w:r>
              <w:rPr>
                <w:rFonts w:hint="eastAsia" w:asciiTheme="minorEastAsia" w:hAnsiTheme="minorEastAsia" w:eastAsiaTheme="minorEastAsia" w:cstheme="minorEastAsia"/>
                <w:color w:val="auto"/>
                <w:kern w:val="0"/>
                <w:sz w:val="24"/>
                <w:szCs w:val="24"/>
                <w:highlight w:val="none"/>
                <w:lang w:val="en-US" w:eastAsia="zh-CN"/>
              </w:rPr>
              <w:t>存在负偏离的,该产品技术参数分为0分；</w:t>
            </w:r>
          </w:p>
          <w:p>
            <w:pPr>
              <w:pStyle w:val="12"/>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lang w:eastAsia="zh-CN"/>
              </w:rPr>
              <w:t>每种产品主要技术参数（存在负偏离的</w:t>
            </w:r>
            <w:r>
              <w:rPr>
                <w:rFonts w:hint="eastAsia" w:asciiTheme="minorEastAsia" w:hAnsiTheme="minorEastAsia" w:eastAsiaTheme="minorEastAsia" w:cstheme="minorEastAsia"/>
                <w:color w:val="auto"/>
                <w:kern w:val="0"/>
                <w:sz w:val="24"/>
                <w:szCs w:val="24"/>
                <w:highlight w:val="none"/>
              </w:rPr>
              <w:t>，该产品技术参数分为0分</w:t>
            </w:r>
            <w:r>
              <w:rPr>
                <w:color w:val="auto"/>
                <w:sz w:val="24"/>
                <w:szCs w:val="24"/>
                <w:highlight w:val="none"/>
              </w:rPr>
              <w:t>；</w:t>
            </w:r>
          </w:p>
          <w:p>
            <w:pPr>
              <w:pStyle w:val="7"/>
              <w:keepNext w:val="0"/>
              <w:keepLines w:val="0"/>
              <w:pageBreakBefore w:val="0"/>
              <w:kinsoku/>
              <w:wordWrap/>
              <w:overflowPunct/>
              <w:topLinePunct w:val="0"/>
              <w:autoSpaceDE/>
              <w:autoSpaceDN/>
              <w:bidi w:val="0"/>
              <w:adjustRightInd/>
              <w:spacing w:line="44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4.每种产品一般技术参数存在负偏离的，每有一条扣0.5分，每种产品技术参数得分最多扣6分</w:t>
            </w:r>
            <w:r>
              <w:rPr>
                <w:rFonts w:hint="eastAsia" w:asciiTheme="minorEastAsia" w:hAnsiTheme="minorEastAsia" w:eastAsiaTheme="minorEastAsia" w:cstheme="minorEastAsia"/>
                <w:color w:val="auto"/>
                <w:kern w:val="0"/>
                <w:sz w:val="24"/>
                <w:szCs w:val="24"/>
                <w:highlight w:val="none"/>
              </w:rPr>
              <w:t>。</w:t>
            </w:r>
          </w:p>
          <w:p>
            <w:pPr>
              <w:pStyle w:val="7"/>
              <w:spacing w:line="440" w:lineRule="exact"/>
              <w:ind w:firstLine="482" w:firstLineChars="200"/>
              <w:rPr>
                <w:rFonts w:hint="eastAsia" w:hAnsi="宋体" w:cs="宋体" w:eastAsiaTheme="minorEastAsia"/>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rPr>
              <w:t>注：1.负偏离评审依据：①所提供产品技术参数要求低于招标文件要求的，视为负偏离；②技术参数响应条款（以投标文件内技术偏离表为准）与招标文件对比有缺项、漏项的，视为负偏离；③投标文件内技术偏离表完全复制招标文件技术参数的（不涉及具体参数指标的描述性技术要求除外），视为负偏离；④</w:t>
            </w:r>
            <w:r>
              <w:rPr>
                <w:rFonts w:hint="eastAsia" w:asciiTheme="minorEastAsia" w:hAnsiTheme="minorEastAsia" w:eastAsiaTheme="minorEastAsia" w:cstheme="minorEastAsia"/>
                <w:b/>
                <w:bCs/>
                <w:color w:val="auto"/>
                <w:kern w:val="0"/>
                <w:sz w:val="24"/>
                <w:szCs w:val="24"/>
                <w:highlight w:val="none"/>
                <w:lang w:eastAsia="zh-CN"/>
              </w:rPr>
              <w:t>供应商</w:t>
            </w:r>
            <w:r>
              <w:rPr>
                <w:rFonts w:hint="eastAsia" w:asciiTheme="minorEastAsia" w:hAnsiTheme="minorEastAsia" w:eastAsiaTheme="minorEastAsia" w:cstheme="minorEastAsia"/>
                <w:b/>
                <w:bCs/>
                <w:color w:val="auto"/>
                <w:kern w:val="0"/>
                <w:sz w:val="24"/>
                <w:szCs w:val="24"/>
                <w:highlight w:val="none"/>
              </w:rPr>
              <w:t>提供的投标文件中产品技术偏离表、产品技术规格书和产品检测报告内描述的同一产品技术参数响应值不一致的，视为负偏离；</w:t>
            </w:r>
          </w:p>
        </w:tc>
        <w:tc>
          <w:tcPr>
            <w:tcW w:w="800" w:type="dxa"/>
            <w:tcMar>
              <w:top w:w="15" w:type="dxa"/>
              <w:left w:w="15" w:type="dxa"/>
              <w:right w:w="15" w:type="dxa"/>
            </w:tcMar>
            <w:vAlign w:val="center"/>
          </w:tcPr>
          <w:p>
            <w:pPr>
              <w:pStyle w:val="7"/>
              <w:spacing w:line="440" w:lineRule="exact"/>
              <w:jc w:val="center"/>
              <w:rPr>
                <w:rFonts w:hAnsi="宋体" w:cs="宋体"/>
                <w:sz w:val="24"/>
                <w:szCs w:val="24"/>
                <w:highlight w:val="none"/>
              </w:rPr>
            </w:pPr>
            <w:r>
              <w:rPr>
                <w:rFonts w:hint="eastAsia" w:asciiTheme="minorEastAsia" w:hAnsiTheme="minorEastAsia" w:eastAsiaTheme="minorEastAsia" w:cstheme="minorEastAsia"/>
                <w:kern w:val="0"/>
                <w:sz w:val="24"/>
                <w:szCs w:val="24"/>
                <w:highlight w:val="none"/>
                <w:lang w:val="en-US" w:eastAsia="zh-CN"/>
              </w:rPr>
              <w:t>36</w:t>
            </w:r>
            <w:r>
              <w:rPr>
                <w:rFonts w:hint="eastAsia" w:asciiTheme="minorEastAsia" w:hAnsiTheme="minorEastAsia" w:eastAsiaTheme="minorEastAsia" w:cstheme="minorEastAsia"/>
                <w:kern w:val="0"/>
                <w:sz w:val="24"/>
                <w:szCs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1087" w:type="dxa"/>
            <w:vMerge w:val="continue"/>
            <w:tcMar>
              <w:top w:w="15" w:type="dxa"/>
              <w:left w:w="15" w:type="dxa"/>
              <w:right w:w="15" w:type="dxa"/>
            </w:tcMar>
            <w:vAlign w:val="center"/>
          </w:tcPr>
          <w:p>
            <w:pPr>
              <w:pStyle w:val="7"/>
              <w:spacing w:line="440" w:lineRule="exact"/>
              <w:jc w:val="center"/>
              <w:rPr>
                <w:rFonts w:hAnsi="宋体" w:cs="宋体"/>
                <w:sz w:val="24"/>
                <w:szCs w:val="24"/>
                <w:highlight w:val="none"/>
              </w:rPr>
            </w:pPr>
          </w:p>
        </w:tc>
        <w:tc>
          <w:tcPr>
            <w:tcW w:w="805" w:type="dxa"/>
            <w:tcMar>
              <w:top w:w="15" w:type="dxa"/>
              <w:left w:w="15" w:type="dxa"/>
              <w:right w:w="15" w:type="dxa"/>
            </w:tcMar>
            <w:vAlign w:val="center"/>
          </w:tcPr>
          <w:p>
            <w:pPr>
              <w:widowControl/>
              <w:spacing w:line="400" w:lineRule="exact"/>
              <w:jc w:val="center"/>
              <w:textAlignment w:val="center"/>
              <w:rPr>
                <w:rFonts w:hAnsi="宋体" w:cs="宋体"/>
                <w:sz w:val="24"/>
                <w:szCs w:val="24"/>
                <w:highlight w:val="none"/>
              </w:rPr>
            </w:pPr>
            <w:r>
              <w:rPr>
                <w:sz w:val="24"/>
                <w:szCs w:val="24"/>
                <w:highlight w:val="none"/>
              </w:rPr>
              <w:t>业绩证明</w:t>
            </w:r>
          </w:p>
        </w:tc>
        <w:tc>
          <w:tcPr>
            <w:tcW w:w="6196" w:type="dxa"/>
            <w:tcMar>
              <w:top w:w="15" w:type="dxa"/>
              <w:left w:w="15" w:type="dxa"/>
              <w:right w:w="15" w:type="dxa"/>
            </w:tcMar>
            <w:vAlign w:val="center"/>
          </w:tcPr>
          <w:p>
            <w:pPr>
              <w:widowControl/>
              <w:spacing w:line="400" w:lineRule="exact"/>
              <w:ind w:firstLine="480" w:firstLineChars="200"/>
              <w:rPr>
                <w:color w:val="auto"/>
                <w:sz w:val="24"/>
                <w:szCs w:val="24"/>
                <w:highlight w:val="none"/>
              </w:rPr>
            </w:pPr>
            <w:r>
              <w:rPr>
                <w:rFonts w:hint="eastAsia"/>
                <w:color w:val="auto"/>
                <w:sz w:val="24"/>
                <w:szCs w:val="24"/>
                <w:highlight w:val="none"/>
                <w:lang w:eastAsia="zh-CN"/>
              </w:rPr>
              <w:t>供应商</w:t>
            </w:r>
            <w:r>
              <w:rPr>
                <w:rFonts w:hint="eastAsia"/>
                <w:color w:val="auto"/>
                <w:sz w:val="24"/>
                <w:szCs w:val="24"/>
                <w:highlight w:val="none"/>
              </w:rPr>
              <w:t>近三年内（202</w:t>
            </w:r>
            <w:r>
              <w:rPr>
                <w:rFonts w:hint="eastAsia"/>
                <w:color w:val="auto"/>
                <w:sz w:val="24"/>
                <w:szCs w:val="24"/>
                <w:highlight w:val="none"/>
                <w:lang w:val="en-US" w:eastAsia="zh-CN"/>
              </w:rPr>
              <w:t>1</w:t>
            </w:r>
            <w:r>
              <w:rPr>
                <w:rFonts w:hint="eastAsia"/>
                <w:color w:val="auto"/>
                <w:sz w:val="24"/>
                <w:szCs w:val="24"/>
                <w:highlight w:val="none"/>
              </w:rPr>
              <w:t>年1月1日起至今，以合同签订日期为准）完成类似项目的业绩，每个项目业绩得</w:t>
            </w:r>
            <w:r>
              <w:rPr>
                <w:rFonts w:hint="eastAsia"/>
                <w:color w:val="auto"/>
                <w:sz w:val="24"/>
                <w:szCs w:val="24"/>
                <w:highlight w:val="none"/>
                <w:lang w:val="en-US" w:eastAsia="zh-CN"/>
              </w:rPr>
              <w:t>3</w:t>
            </w:r>
            <w:r>
              <w:rPr>
                <w:rFonts w:hint="eastAsia"/>
                <w:color w:val="auto"/>
                <w:sz w:val="24"/>
                <w:szCs w:val="24"/>
                <w:highlight w:val="none"/>
              </w:rPr>
              <w:t>分，最多得</w:t>
            </w:r>
            <w:r>
              <w:rPr>
                <w:rFonts w:hint="eastAsia"/>
                <w:color w:val="auto"/>
                <w:sz w:val="24"/>
                <w:szCs w:val="24"/>
                <w:highlight w:val="none"/>
                <w:lang w:val="en-US" w:eastAsia="zh-CN"/>
              </w:rPr>
              <w:t>6</w:t>
            </w:r>
            <w:r>
              <w:rPr>
                <w:rFonts w:hint="eastAsia"/>
                <w:color w:val="auto"/>
                <w:sz w:val="24"/>
                <w:szCs w:val="24"/>
                <w:highlight w:val="none"/>
              </w:rPr>
              <w:t>分。</w:t>
            </w:r>
          </w:p>
          <w:p>
            <w:pPr>
              <w:widowControl/>
              <w:spacing w:line="400" w:lineRule="exact"/>
              <w:ind w:firstLine="480" w:firstLineChars="200"/>
              <w:rPr>
                <w:rFonts w:asciiTheme="minorEastAsia" w:hAnsiTheme="minorEastAsia" w:eastAsiaTheme="minorEastAsia" w:cstheme="minorEastAsia"/>
                <w:kern w:val="0"/>
                <w:sz w:val="24"/>
                <w:szCs w:val="24"/>
                <w:highlight w:val="none"/>
              </w:rPr>
            </w:pPr>
            <w:r>
              <w:rPr>
                <w:rFonts w:hint="eastAsia"/>
                <w:color w:val="auto"/>
                <w:sz w:val="24"/>
                <w:szCs w:val="24"/>
                <w:highlight w:val="none"/>
              </w:rPr>
              <w:t>注：①提供中标（成交）通知书、合同和验收（单）报告复印件，未按要求提供的不得分；②同一单位近三年的同类合同不重复计算业绩，仅算一个业绩。</w:t>
            </w:r>
          </w:p>
        </w:tc>
        <w:tc>
          <w:tcPr>
            <w:tcW w:w="800" w:type="dxa"/>
            <w:tcMar>
              <w:top w:w="15" w:type="dxa"/>
              <w:left w:w="15" w:type="dxa"/>
              <w:right w:w="15" w:type="dxa"/>
            </w:tcMar>
            <w:vAlign w:val="center"/>
          </w:tcPr>
          <w:p>
            <w:pPr>
              <w:pStyle w:val="7"/>
              <w:spacing w:line="440" w:lineRule="exact"/>
              <w:jc w:val="center"/>
              <w:rPr>
                <w:rFonts w:hAnsi="宋体" w:cs="宋体"/>
                <w:sz w:val="24"/>
                <w:szCs w:val="24"/>
                <w:highlight w:val="none"/>
              </w:rPr>
            </w:pPr>
            <w:r>
              <w:rPr>
                <w:rFonts w:hint="eastAsia" w:hAnsi="宋体" w:cs="宋体" w:eastAsiaTheme="minorEastAsia"/>
                <w:sz w:val="24"/>
                <w:szCs w:val="24"/>
                <w:highlight w:val="none"/>
                <w:lang w:val="en-US" w:eastAsia="zh-CN"/>
              </w:rPr>
              <w:t>6</w:t>
            </w:r>
            <w:r>
              <w:rPr>
                <w:rFonts w:hint="eastAsia" w:asciiTheme="minorEastAsia" w:hAnsiTheme="minorEastAsia" w:eastAsiaTheme="minorEastAsia" w:cstheme="minorEastAsia"/>
                <w:kern w:val="0"/>
                <w:sz w:val="24"/>
                <w:szCs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087" w:type="dxa"/>
            <w:vMerge w:val="continue"/>
            <w:tcMar>
              <w:top w:w="15" w:type="dxa"/>
              <w:left w:w="15" w:type="dxa"/>
              <w:right w:w="15" w:type="dxa"/>
            </w:tcMar>
            <w:vAlign w:val="center"/>
          </w:tcPr>
          <w:p>
            <w:pPr>
              <w:pStyle w:val="7"/>
              <w:spacing w:line="440" w:lineRule="exact"/>
              <w:jc w:val="center"/>
              <w:rPr>
                <w:rFonts w:hAnsi="宋体" w:cs="宋体"/>
                <w:sz w:val="24"/>
                <w:szCs w:val="24"/>
                <w:highlight w:val="none"/>
              </w:rPr>
            </w:pPr>
          </w:p>
        </w:tc>
        <w:tc>
          <w:tcPr>
            <w:tcW w:w="805" w:type="dxa"/>
            <w:tcMar>
              <w:top w:w="15" w:type="dxa"/>
              <w:left w:w="15" w:type="dxa"/>
              <w:right w:w="15" w:type="dxa"/>
            </w:tcMar>
            <w:vAlign w:val="center"/>
          </w:tcPr>
          <w:p>
            <w:pPr>
              <w:snapToGrid w:val="0"/>
              <w:spacing w:line="400" w:lineRule="exact"/>
              <w:jc w:val="center"/>
              <w:rPr>
                <w:rFonts w:hint="eastAsia" w:eastAsia="宋体"/>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项目组织方案评价</w:t>
            </w:r>
          </w:p>
        </w:tc>
        <w:tc>
          <w:tcPr>
            <w:tcW w:w="6196" w:type="dxa"/>
            <w:tcMar>
              <w:top w:w="15" w:type="dxa"/>
              <w:left w:w="15" w:type="dxa"/>
              <w:right w:w="15" w:type="dxa"/>
            </w:tcMar>
            <w:vAlign w:val="center"/>
          </w:tcPr>
          <w:p>
            <w:pPr>
              <w:widowControl/>
              <w:spacing w:line="400" w:lineRule="exact"/>
              <w:rPr>
                <w:color w:val="auto"/>
                <w:sz w:val="24"/>
                <w:szCs w:val="24"/>
                <w:highlight w:val="none"/>
              </w:rPr>
            </w:pPr>
            <w:r>
              <w:rPr>
                <w:rFonts w:hint="eastAsia"/>
                <w:color w:val="auto"/>
                <w:sz w:val="24"/>
                <w:szCs w:val="24"/>
                <w:highlight w:val="none"/>
              </w:rPr>
              <w:t>根据</w:t>
            </w:r>
            <w:r>
              <w:rPr>
                <w:rFonts w:hint="eastAsia"/>
                <w:color w:val="auto"/>
                <w:sz w:val="24"/>
                <w:szCs w:val="24"/>
                <w:highlight w:val="none"/>
                <w:lang w:eastAsia="zh-CN"/>
              </w:rPr>
              <w:t>供应商</w:t>
            </w:r>
            <w:r>
              <w:rPr>
                <w:rFonts w:hint="eastAsia"/>
                <w:color w:val="auto"/>
                <w:sz w:val="24"/>
                <w:szCs w:val="24"/>
                <w:highlight w:val="none"/>
              </w:rPr>
              <w:t>提供的</w:t>
            </w:r>
            <w:r>
              <w:rPr>
                <w:rFonts w:hint="eastAsia"/>
                <w:color w:val="auto"/>
                <w:sz w:val="24"/>
                <w:szCs w:val="24"/>
                <w:highlight w:val="none"/>
                <w:lang w:eastAsia="zh-CN"/>
              </w:rPr>
              <w:t>项目组织方案</w:t>
            </w:r>
            <w:r>
              <w:rPr>
                <w:rFonts w:hint="eastAsia"/>
                <w:color w:val="auto"/>
                <w:sz w:val="24"/>
                <w:szCs w:val="24"/>
                <w:highlight w:val="none"/>
              </w:rPr>
              <w:t>进行评分：</w:t>
            </w:r>
          </w:p>
          <w:p>
            <w:pPr>
              <w:widowControl/>
              <w:spacing w:line="400" w:lineRule="exact"/>
              <w:ind w:firstLine="480" w:firstLineChars="200"/>
              <w:rPr>
                <w:color w:val="auto"/>
                <w:sz w:val="24"/>
                <w:szCs w:val="24"/>
                <w:highlight w:val="none"/>
              </w:rPr>
            </w:pPr>
            <w:r>
              <w:rPr>
                <w:rFonts w:hint="eastAsia"/>
                <w:color w:val="auto"/>
                <w:sz w:val="24"/>
                <w:szCs w:val="24"/>
                <w:highlight w:val="none"/>
                <w:lang w:eastAsia="zh-CN"/>
              </w:rPr>
              <w:t>项目组织方案</w:t>
            </w:r>
            <w:r>
              <w:rPr>
                <w:rFonts w:hint="eastAsia"/>
                <w:color w:val="auto"/>
                <w:sz w:val="24"/>
                <w:szCs w:val="24"/>
                <w:highlight w:val="none"/>
              </w:rPr>
              <w:t>包括但不限于：</w:t>
            </w:r>
            <w:r>
              <w:rPr>
                <w:rFonts w:hint="eastAsia"/>
                <w:color w:val="auto"/>
                <w:sz w:val="24"/>
                <w:szCs w:val="24"/>
                <w:highlight w:val="none"/>
                <w:lang w:eastAsia="zh-CN"/>
              </w:rPr>
              <w:t>①</w:t>
            </w:r>
            <w:r>
              <w:rPr>
                <w:rFonts w:hint="eastAsia" w:asciiTheme="majorEastAsia" w:hAnsiTheme="majorEastAsia" w:eastAsiaTheme="majorEastAsia" w:cstheme="majorEastAsia"/>
                <w:color w:val="auto"/>
                <w:sz w:val="24"/>
                <w:szCs w:val="24"/>
                <w:highlight w:val="none"/>
              </w:rPr>
              <w:t>项目人员安排（包含但不限于主要人员名单及基本情况介绍、在本项目中承担的职责等）、</w:t>
            </w:r>
            <w:r>
              <w:rPr>
                <w:rFonts w:hint="eastAsia" w:asciiTheme="majorEastAsia" w:hAnsiTheme="majorEastAsia" w:eastAsiaTheme="majorEastAsia" w:cstheme="majorEastAsia"/>
                <w:color w:val="auto"/>
                <w:sz w:val="24"/>
                <w:szCs w:val="24"/>
                <w:highlight w:val="none"/>
                <w:lang w:eastAsia="zh-CN"/>
              </w:rPr>
              <w:t>②</w:t>
            </w:r>
            <w:r>
              <w:rPr>
                <w:rFonts w:hint="eastAsia" w:asciiTheme="majorEastAsia" w:hAnsiTheme="majorEastAsia" w:eastAsiaTheme="majorEastAsia" w:cstheme="majorEastAsia"/>
                <w:color w:val="auto"/>
                <w:sz w:val="24"/>
                <w:szCs w:val="24"/>
                <w:highlight w:val="none"/>
              </w:rPr>
              <w:t>供货方案（包含但不限于产品来源、供货计划、供货时间等）、</w:t>
            </w:r>
            <w:r>
              <w:rPr>
                <w:rFonts w:hint="eastAsia" w:asciiTheme="majorEastAsia" w:hAnsiTheme="majorEastAsia" w:eastAsiaTheme="majorEastAsia" w:cstheme="majorEastAsia"/>
                <w:color w:val="auto"/>
                <w:sz w:val="24"/>
                <w:szCs w:val="24"/>
                <w:highlight w:val="none"/>
                <w:lang w:eastAsia="zh-CN"/>
              </w:rPr>
              <w:t>③</w:t>
            </w:r>
            <w:r>
              <w:rPr>
                <w:rFonts w:hint="eastAsia" w:asciiTheme="majorEastAsia" w:hAnsiTheme="majorEastAsia" w:eastAsiaTheme="majorEastAsia" w:cstheme="majorEastAsia"/>
                <w:color w:val="auto"/>
                <w:sz w:val="24"/>
                <w:szCs w:val="24"/>
                <w:highlight w:val="none"/>
              </w:rPr>
              <w:t>质量管控方案（包括但不限于质量管控的标准、方法和程序等）、</w:t>
            </w:r>
            <w:r>
              <w:rPr>
                <w:rFonts w:hint="eastAsia" w:asciiTheme="majorEastAsia" w:hAnsiTheme="majorEastAsia" w:eastAsiaTheme="majorEastAsia" w:cstheme="majorEastAsia"/>
                <w:color w:val="auto"/>
                <w:sz w:val="24"/>
                <w:szCs w:val="24"/>
                <w:highlight w:val="none"/>
                <w:lang w:eastAsia="zh-CN"/>
              </w:rPr>
              <w:t>④</w:t>
            </w:r>
            <w:r>
              <w:rPr>
                <w:rFonts w:hint="eastAsia" w:asciiTheme="majorEastAsia" w:hAnsiTheme="majorEastAsia" w:eastAsiaTheme="majorEastAsia" w:cstheme="majorEastAsia"/>
                <w:color w:val="auto"/>
                <w:sz w:val="24"/>
                <w:szCs w:val="24"/>
                <w:highlight w:val="none"/>
              </w:rPr>
              <w:t>测试（调试）方案（包含但不限于人员安排、测试步骤、测试标准等）</w:t>
            </w:r>
            <w:r>
              <w:rPr>
                <w:color w:val="auto"/>
                <w:sz w:val="24"/>
                <w:szCs w:val="24"/>
                <w:highlight w:val="none"/>
              </w:rPr>
              <w:t>等</w:t>
            </w:r>
            <w:r>
              <w:rPr>
                <w:rFonts w:hint="eastAsia"/>
                <w:color w:val="auto"/>
                <w:sz w:val="24"/>
                <w:szCs w:val="24"/>
                <w:highlight w:val="none"/>
              </w:rPr>
              <w:t>4项内容，方案内容完整齐全，符合项目实际（</w:t>
            </w:r>
            <w:r>
              <w:rPr>
                <w:rFonts w:hint="eastAsia" w:asciiTheme="majorEastAsia" w:hAnsiTheme="majorEastAsia" w:eastAsiaTheme="majorEastAsia" w:cstheme="majorEastAsia"/>
                <w:color w:val="auto"/>
                <w:sz w:val="24"/>
                <w:szCs w:val="24"/>
                <w:highlight w:val="none"/>
              </w:rPr>
              <w:t>第六章“项目需求”</w:t>
            </w:r>
            <w:r>
              <w:rPr>
                <w:rFonts w:hint="eastAsia"/>
                <w:color w:val="auto"/>
                <w:sz w:val="24"/>
                <w:szCs w:val="24"/>
                <w:highlight w:val="none"/>
              </w:rPr>
              <w:t>）的，得</w:t>
            </w:r>
            <w:r>
              <w:rPr>
                <w:rFonts w:hint="eastAsia"/>
                <w:color w:val="auto"/>
                <w:sz w:val="24"/>
                <w:szCs w:val="24"/>
                <w:highlight w:val="none"/>
                <w:lang w:val="en-US" w:eastAsia="zh-CN"/>
              </w:rPr>
              <w:t>12</w:t>
            </w:r>
            <w:r>
              <w:rPr>
                <w:rFonts w:hint="eastAsia"/>
                <w:color w:val="auto"/>
                <w:sz w:val="24"/>
                <w:szCs w:val="24"/>
                <w:highlight w:val="none"/>
              </w:rPr>
              <w:t>分；每缺少一项方案内容，或一项内容存在缺陷的，每一项扣</w:t>
            </w:r>
            <w:r>
              <w:rPr>
                <w:rFonts w:hint="eastAsia"/>
                <w:color w:val="auto"/>
                <w:sz w:val="24"/>
                <w:szCs w:val="24"/>
                <w:highlight w:val="none"/>
                <w:lang w:val="en-US" w:eastAsia="zh-CN"/>
              </w:rPr>
              <w:t>3</w:t>
            </w:r>
            <w:r>
              <w:rPr>
                <w:rFonts w:hint="eastAsia"/>
                <w:color w:val="auto"/>
                <w:sz w:val="24"/>
                <w:szCs w:val="24"/>
                <w:highlight w:val="none"/>
              </w:rPr>
              <w:t>分，扣完为止；未提供</w:t>
            </w:r>
            <w:r>
              <w:rPr>
                <w:rFonts w:hint="eastAsia"/>
                <w:color w:val="auto"/>
                <w:sz w:val="24"/>
                <w:szCs w:val="24"/>
                <w:highlight w:val="none"/>
                <w:lang w:eastAsia="zh-CN"/>
              </w:rPr>
              <w:t>项目组织方案</w:t>
            </w:r>
            <w:r>
              <w:rPr>
                <w:rFonts w:hint="eastAsia"/>
                <w:color w:val="auto"/>
                <w:sz w:val="24"/>
                <w:szCs w:val="24"/>
                <w:highlight w:val="none"/>
              </w:rPr>
              <w:t>的，此项不得分。</w:t>
            </w:r>
          </w:p>
          <w:p>
            <w:pPr>
              <w:widowControl/>
              <w:spacing w:line="400" w:lineRule="exact"/>
              <w:ind w:firstLine="482" w:firstLineChars="200"/>
              <w:rPr>
                <w:b/>
                <w:bCs/>
                <w:color w:val="auto"/>
                <w:sz w:val="24"/>
                <w:szCs w:val="24"/>
                <w:highlight w:val="none"/>
              </w:rPr>
            </w:pPr>
            <w:r>
              <w:rPr>
                <w:rFonts w:hint="eastAsia"/>
                <w:b/>
                <w:bCs/>
                <w:color w:val="auto"/>
                <w:sz w:val="24"/>
                <w:szCs w:val="24"/>
                <w:highlight w:val="none"/>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00" w:type="dxa"/>
            <w:tcMar>
              <w:top w:w="15" w:type="dxa"/>
              <w:left w:w="15" w:type="dxa"/>
              <w:right w:w="15" w:type="dxa"/>
            </w:tcMar>
            <w:vAlign w:val="center"/>
          </w:tcPr>
          <w:p>
            <w:pPr>
              <w:pStyle w:val="7"/>
              <w:spacing w:line="440" w:lineRule="exact"/>
              <w:jc w:val="center"/>
              <w:rPr>
                <w:rFonts w:hAnsi="宋体" w:cs="宋体"/>
                <w:sz w:val="24"/>
                <w:szCs w:val="24"/>
                <w:highlight w:val="none"/>
              </w:rPr>
            </w:pPr>
            <w:r>
              <w:rPr>
                <w:rFonts w:hint="eastAsia" w:asciiTheme="minorEastAsia" w:hAnsiTheme="minorEastAsia" w:eastAsiaTheme="minorEastAsia" w:cstheme="minorEastAsia"/>
                <w:kern w:val="0"/>
                <w:sz w:val="24"/>
                <w:szCs w:val="24"/>
                <w:highlight w:val="none"/>
                <w:lang w:val="en-US" w:eastAsia="zh-CN"/>
              </w:rPr>
              <w:t>12</w:t>
            </w:r>
            <w:r>
              <w:rPr>
                <w:rFonts w:hint="eastAsia" w:asciiTheme="minorEastAsia" w:hAnsiTheme="minorEastAsia" w:eastAsiaTheme="minorEastAsia" w:cstheme="minorEastAsia"/>
                <w:kern w:val="0"/>
                <w:sz w:val="24"/>
                <w:szCs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87" w:type="dxa"/>
            <w:vMerge w:val="continue"/>
            <w:tcMar>
              <w:top w:w="15" w:type="dxa"/>
              <w:left w:w="15" w:type="dxa"/>
              <w:right w:w="15" w:type="dxa"/>
            </w:tcMar>
            <w:vAlign w:val="center"/>
          </w:tcPr>
          <w:p>
            <w:pPr>
              <w:pStyle w:val="7"/>
              <w:spacing w:line="440" w:lineRule="exact"/>
              <w:jc w:val="center"/>
              <w:rPr>
                <w:rFonts w:hAnsi="宋体" w:cs="宋体"/>
                <w:sz w:val="24"/>
                <w:szCs w:val="24"/>
                <w:highlight w:val="none"/>
              </w:rPr>
            </w:pPr>
          </w:p>
        </w:tc>
        <w:tc>
          <w:tcPr>
            <w:tcW w:w="805" w:type="dxa"/>
            <w:tcMar>
              <w:top w:w="15" w:type="dxa"/>
              <w:left w:w="15" w:type="dxa"/>
              <w:right w:w="15" w:type="dxa"/>
            </w:tcMar>
            <w:vAlign w:val="center"/>
          </w:tcPr>
          <w:p>
            <w:pPr>
              <w:widowControl/>
              <w:spacing w:line="400" w:lineRule="exact"/>
              <w:jc w:val="center"/>
              <w:textAlignment w:val="center"/>
              <w:rPr>
                <w:rFonts w:hAnsi="宋体" w:cs="宋体"/>
                <w:sz w:val="24"/>
                <w:szCs w:val="24"/>
                <w:highlight w:val="none"/>
              </w:rPr>
            </w:pPr>
            <w:r>
              <w:rPr>
                <w:rFonts w:hint="eastAsia" w:asciiTheme="minorEastAsia" w:hAnsiTheme="minorEastAsia" w:eastAsiaTheme="minorEastAsia" w:cstheme="minorEastAsia"/>
                <w:kern w:val="0"/>
                <w:sz w:val="24"/>
                <w:szCs w:val="24"/>
                <w:highlight w:val="none"/>
              </w:rPr>
              <w:t>技术培训方案评价</w:t>
            </w:r>
          </w:p>
        </w:tc>
        <w:tc>
          <w:tcPr>
            <w:tcW w:w="6196" w:type="dxa"/>
            <w:tcMar>
              <w:top w:w="15" w:type="dxa"/>
              <w:left w:w="15" w:type="dxa"/>
              <w:right w:w="15" w:type="dxa"/>
            </w:tcMar>
            <w:vAlign w:val="center"/>
          </w:tcPr>
          <w:p>
            <w:pPr>
              <w:widowControl/>
              <w:spacing w:line="400" w:lineRule="exact"/>
              <w:rPr>
                <w:sz w:val="24"/>
                <w:szCs w:val="24"/>
                <w:highlight w:val="none"/>
              </w:rPr>
            </w:pPr>
            <w:r>
              <w:rPr>
                <w:rFonts w:hint="eastAsia"/>
                <w:sz w:val="24"/>
                <w:szCs w:val="24"/>
                <w:highlight w:val="none"/>
              </w:rPr>
              <w:t>根据</w:t>
            </w:r>
            <w:r>
              <w:rPr>
                <w:rFonts w:hint="eastAsia"/>
                <w:sz w:val="24"/>
                <w:szCs w:val="24"/>
                <w:highlight w:val="none"/>
                <w:lang w:eastAsia="zh-CN"/>
              </w:rPr>
              <w:t>供应商</w:t>
            </w:r>
            <w:r>
              <w:rPr>
                <w:rFonts w:hint="eastAsia"/>
                <w:sz w:val="24"/>
                <w:szCs w:val="24"/>
                <w:highlight w:val="none"/>
              </w:rPr>
              <w:t>提供的技术培训方案进行评分：</w:t>
            </w:r>
          </w:p>
          <w:p>
            <w:pPr>
              <w:widowControl/>
              <w:spacing w:line="400" w:lineRule="exact"/>
              <w:ind w:firstLine="480" w:firstLineChars="200"/>
              <w:rPr>
                <w:sz w:val="24"/>
                <w:szCs w:val="24"/>
                <w:highlight w:val="none"/>
              </w:rPr>
            </w:pPr>
            <w:r>
              <w:rPr>
                <w:rFonts w:hint="eastAsia"/>
                <w:sz w:val="24"/>
                <w:szCs w:val="24"/>
                <w:highlight w:val="none"/>
                <w:lang w:val="en-US" w:eastAsia="zh-CN"/>
              </w:rPr>
              <w:t>技术</w:t>
            </w:r>
            <w:r>
              <w:rPr>
                <w:rFonts w:hint="eastAsia"/>
                <w:sz w:val="24"/>
                <w:szCs w:val="24"/>
                <w:highlight w:val="none"/>
              </w:rPr>
              <w:t>培训方案包括但不限于</w:t>
            </w:r>
            <w:r>
              <w:rPr>
                <w:rFonts w:asciiTheme="majorEastAsia" w:hAnsiTheme="majorEastAsia" w:eastAsiaTheme="majorEastAsia" w:cstheme="majorEastAsia"/>
                <w:sz w:val="24"/>
                <w:szCs w:val="24"/>
                <w:highlight w:val="none"/>
              </w:rPr>
              <w:t>培训内容</w:t>
            </w:r>
            <w:r>
              <w:rPr>
                <w:rFonts w:hint="eastAsia" w:asciiTheme="majorEastAsia" w:hAnsiTheme="majorEastAsia" w:eastAsiaTheme="majorEastAsia" w:cstheme="majorEastAsia"/>
                <w:sz w:val="24"/>
                <w:szCs w:val="24"/>
                <w:highlight w:val="none"/>
              </w:rPr>
              <w:t>、</w:t>
            </w:r>
            <w:r>
              <w:rPr>
                <w:rFonts w:asciiTheme="majorEastAsia" w:hAnsiTheme="majorEastAsia" w:eastAsiaTheme="majorEastAsia" w:cstheme="majorEastAsia"/>
                <w:sz w:val="24"/>
                <w:szCs w:val="24"/>
                <w:highlight w:val="none"/>
              </w:rPr>
              <w:t>培训方式</w:t>
            </w:r>
            <w:r>
              <w:rPr>
                <w:rFonts w:hint="eastAsia" w:asciiTheme="majorEastAsia" w:hAnsiTheme="majorEastAsia" w:eastAsiaTheme="majorEastAsia" w:cstheme="majorEastAsia"/>
                <w:sz w:val="24"/>
                <w:szCs w:val="24"/>
                <w:highlight w:val="none"/>
              </w:rPr>
              <w:t>、</w:t>
            </w:r>
            <w:r>
              <w:rPr>
                <w:rFonts w:asciiTheme="majorEastAsia" w:hAnsiTheme="majorEastAsia" w:eastAsiaTheme="majorEastAsia" w:cstheme="majorEastAsia"/>
                <w:sz w:val="24"/>
                <w:szCs w:val="24"/>
                <w:highlight w:val="none"/>
              </w:rPr>
              <w:t>培训计划</w:t>
            </w:r>
            <w:r>
              <w:rPr>
                <w:rFonts w:hint="eastAsia" w:asciiTheme="majorEastAsia" w:hAnsiTheme="majorEastAsia" w:eastAsiaTheme="majorEastAsia" w:cstheme="majorEastAsia"/>
                <w:sz w:val="24"/>
                <w:szCs w:val="24"/>
                <w:highlight w:val="none"/>
              </w:rPr>
              <w:t>、</w:t>
            </w:r>
            <w:r>
              <w:rPr>
                <w:rFonts w:asciiTheme="majorEastAsia" w:hAnsiTheme="majorEastAsia" w:eastAsiaTheme="majorEastAsia" w:cstheme="majorEastAsia"/>
                <w:sz w:val="24"/>
                <w:szCs w:val="24"/>
                <w:highlight w:val="none"/>
              </w:rPr>
              <w:t>培训团</w:t>
            </w:r>
            <w:r>
              <w:rPr>
                <w:rFonts w:asciiTheme="majorEastAsia" w:hAnsiTheme="majorEastAsia" w:eastAsiaTheme="majorEastAsia" w:cstheme="majorEastAsia"/>
                <w:color w:val="auto"/>
                <w:sz w:val="24"/>
                <w:szCs w:val="24"/>
                <w:highlight w:val="none"/>
              </w:rPr>
              <w:t>队人员配置</w:t>
            </w:r>
            <w:r>
              <w:rPr>
                <w:color w:val="auto"/>
                <w:sz w:val="24"/>
                <w:szCs w:val="24"/>
                <w:highlight w:val="none"/>
              </w:rPr>
              <w:t>等</w:t>
            </w:r>
            <w:r>
              <w:rPr>
                <w:rFonts w:hint="eastAsia"/>
                <w:color w:val="auto"/>
                <w:sz w:val="24"/>
                <w:szCs w:val="24"/>
                <w:highlight w:val="none"/>
              </w:rPr>
              <w:t>4项内容，方案内容完整齐全，符合项目实际（</w:t>
            </w:r>
            <w:r>
              <w:rPr>
                <w:rFonts w:hint="eastAsia" w:asciiTheme="majorEastAsia" w:hAnsiTheme="majorEastAsia" w:eastAsiaTheme="majorEastAsia" w:cstheme="majorEastAsia"/>
                <w:color w:val="auto"/>
                <w:sz w:val="24"/>
                <w:szCs w:val="24"/>
                <w:highlight w:val="none"/>
              </w:rPr>
              <w:t>第六章“项目需求”</w:t>
            </w:r>
            <w:r>
              <w:rPr>
                <w:rFonts w:hint="eastAsia"/>
                <w:color w:val="auto"/>
                <w:sz w:val="24"/>
                <w:szCs w:val="24"/>
                <w:highlight w:val="none"/>
              </w:rPr>
              <w:t>）的，得</w:t>
            </w:r>
            <w:r>
              <w:rPr>
                <w:rFonts w:hint="eastAsia"/>
                <w:color w:val="auto"/>
                <w:sz w:val="24"/>
                <w:szCs w:val="24"/>
                <w:highlight w:val="none"/>
                <w:lang w:val="en-US" w:eastAsia="zh-CN"/>
              </w:rPr>
              <w:t>10</w:t>
            </w:r>
            <w:r>
              <w:rPr>
                <w:rFonts w:hint="eastAsia"/>
                <w:color w:val="auto"/>
                <w:sz w:val="24"/>
                <w:szCs w:val="24"/>
                <w:highlight w:val="none"/>
              </w:rPr>
              <w:t>分；每缺少一项方案内容，或一项内容存在缺陷的，每一项扣</w:t>
            </w:r>
            <w:r>
              <w:rPr>
                <w:rFonts w:hint="eastAsia"/>
                <w:color w:val="auto"/>
                <w:sz w:val="24"/>
                <w:szCs w:val="24"/>
                <w:highlight w:val="none"/>
                <w:lang w:val="en-US" w:eastAsia="zh-CN"/>
              </w:rPr>
              <w:t>2.5</w:t>
            </w:r>
            <w:r>
              <w:rPr>
                <w:rFonts w:hint="eastAsia"/>
                <w:color w:val="auto"/>
                <w:sz w:val="24"/>
                <w:szCs w:val="24"/>
                <w:highlight w:val="none"/>
              </w:rPr>
              <w:t>分，扣完为止；未提供</w:t>
            </w:r>
            <w:r>
              <w:rPr>
                <w:rFonts w:hint="eastAsia" w:asciiTheme="minorEastAsia" w:hAnsiTheme="minorEastAsia" w:eastAsiaTheme="minorEastAsia" w:cstheme="minorEastAsia"/>
                <w:kern w:val="0"/>
                <w:sz w:val="24"/>
                <w:szCs w:val="24"/>
                <w:highlight w:val="none"/>
              </w:rPr>
              <w:t>技术培训方案</w:t>
            </w:r>
            <w:r>
              <w:rPr>
                <w:rFonts w:hint="eastAsia"/>
                <w:color w:val="auto"/>
                <w:sz w:val="24"/>
                <w:szCs w:val="24"/>
                <w:highlight w:val="none"/>
              </w:rPr>
              <w:t>的，此项</w:t>
            </w:r>
            <w:r>
              <w:rPr>
                <w:rFonts w:hint="eastAsia"/>
                <w:sz w:val="24"/>
                <w:szCs w:val="24"/>
                <w:highlight w:val="none"/>
              </w:rPr>
              <w:t>不得分。</w:t>
            </w:r>
          </w:p>
          <w:p>
            <w:pPr>
              <w:snapToGrid w:val="0"/>
              <w:spacing w:line="400" w:lineRule="exact"/>
              <w:ind w:firstLine="482" w:firstLineChars="200"/>
              <w:rPr>
                <w:rFonts w:asciiTheme="minorEastAsia" w:hAnsiTheme="minorEastAsia" w:eastAsiaTheme="minorEastAsia" w:cstheme="minorEastAsia"/>
                <w:kern w:val="0"/>
                <w:sz w:val="24"/>
                <w:szCs w:val="24"/>
                <w:highlight w:val="none"/>
              </w:rPr>
            </w:pPr>
            <w:r>
              <w:rPr>
                <w:rFonts w:hint="eastAsia"/>
                <w:b/>
                <w:bCs/>
                <w:sz w:val="24"/>
                <w:szCs w:val="24"/>
                <w:highlight w:val="none"/>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00" w:type="dxa"/>
            <w:tcMar>
              <w:top w:w="15" w:type="dxa"/>
              <w:left w:w="15" w:type="dxa"/>
              <w:right w:w="15" w:type="dxa"/>
            </w:tcMar>
            <w:vAlign w:val="center"/>
          </w:tcPr>
          <w:p>
            <w:pPr>
              <w:pStyle w:val="7"/>
              <w:spacing w:line="440" w:lineRule="exact"/>
              <w:jc w:val="center"/>
              <w:rPr>
                <w:rFonts w:hAnsi="宋体" w:cs="宋体"/>
                <w:sz w:val="24"/>
                <w:szCs w:val="24"/>
                <w:highlight w:val="none"/>
              </w:rPr>
            </w:pPr>
            <w:r>
              <w:rPr>
                <w:rFonts w:hint="eastAsia" w:asciiTheme="minorEastAsia" w:hAnsiTheme="minorEastAsia" w:eastAsiaTheme="minorEastAsia" w:cstheme="minorEastAsia"/>
                <w:kern w:val="0"/>
                <w:sz w:val="24"/>
                <w:szCs w:val="24"/>
                <w:highlight w:val="none"/>
                <w:lang w:val="en-US" w:eastAsia="zh-CN"/>
              </w:rPr>
              <w:t>10</w:t>
            </w:r>
            <w:r>
              <w:rPr>
                <w:rFonts w:hint="eastAsia" w:asciiTheme="minorEastAsia" w:hAnsiTheme="minorEastAsia" w:eastAsiaTheme="minorEastAsia" w:cstheme="minorEastAsia"/>
                <w:kern w:val="0"/>
                <w:sz w:val="24"/>
                <w:szCs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87" w:type="dxa"/>
            <w:vMerge w:val="continue"/>
            <w:tcMar>
              <w:top w:w="15" w:type="dxa"/>
              <w:left w:w="15" w:type="dxa"/>
              <w:right w:w="15" w:type="dxa"/>
            </w:tcMar>
            <w:vAlign w:val="center"/>
          </w:tcPr>
          <w:p>
            <w:pPr>
              <w:pStyle w:val="7"/>
              <w:spacing w:line="440" w:lineRule="exact"/>
              <w:rPr>
                <w:rFonts w:hAnsi="宋体" w:cs="宋体"/>
                <w:sz w:val="24"/>
                <w:szCs w:val="24"/>
                <w:highlight w:val="none"/>
              </w:rPr>
            </w:pPr>
          </w:p>
        </w:tc>
        <w:tc>
          <w:tcPr>
            <w:tcW w:w="805" w:type="dxa"/>
            <w:tcBorders>
              <w:top w:val="single" w:color="auto" w:sz="4" w:space="0"/>
            </w:tcBorders>
            <w:tcMar>
              <w:top w:w="15" w:type="dxa"/>
              <w:left w:w="15" w:type="dxa"/>
              <w:right w:w="15" w:type="dxa"/>
            </w:tcMar>
            <w:vAlign w:val="center"/>
          </w:tcPr>
          <w:p>
            <w:pPr>
              <w:widowControl/>
              <w:spacing w:line="400" w:lineRule="exact"/>
              <w:jc w:val="center"/>
              <w:textAlignment w:val="center"/>
              <w:rPr>
                <w:rFonts w:hAnsi="宋体" w:cs="宋体"/>
                <w:sz w:val="24"/>
                <w:szCs w:val="24"/>
                <w:highlight w:val="none"/>
              </w:rPr>
            </w:pPr>
            <w:r>
              <w:rPr>
                <w:rFonts w:hint="eastAsia" w:asciiTheme="minorEastAsia" w:hAnsiTheme="minorEastAsia" w:eastAsiaTheme="minorEastAsia" w:cstheme="minorEastAsia"/>
                <w:kern w:val="0"/>
                <w:sz w:val="24"/>
                <w:szCs w:val="24"/>
                <w:highlight w:val="none"/>
              </w:rPr>
              <w:t>售后服务方案评价</w:t>
            </w:r>
          </w:p>
        </w:tc>
        <w:tc>
          <w:tcPr>
            <w:tcW w:w="6196" w:type="dxa"/>
            <w:tcMar>
              <w:top w:w="15" w:type="dxa"/>
              <w:left w:w="15" w:type="dxa"/>
              <w:right w:w="15" w:type="dxa"/>
            </w:tcMar>
            <w:vAlign w:val="center"/>
          </w:tcPr>
          <w:p>
            <w:pPr>
              <w:widowControl/>
              <w:spacing w:line="400" w:lineRule="exact"/>
              <w:rPr>
                <w:sz w:val="24"/>
                <w:szCs w:val="24"/>
                <w:highlight w:val="none"/>
              </w:rPr>
            </w:pPr>
            <w:r>
              <w:rPr>
                <w:rFonts w:hint="eastAsia"/>
                <w:sz w:val="24"/>
                <w:szCs w:val="24"/>
                <w:highlight w:val="none"/>
              </w:rPr>
              <w:t>根据</w:t>
            </w:r>
            <w:r>
              <w:rPr>
                <w:rFonts w:hint="eastAsia"/>
                <w:sz w:val="24"/>
                <w:szCs w:val="24"/>
                <w:highlight w:val="none"/>
                <w:lang w:eastAsia="zh-CN"/>
              </w:rPr>
              <w:t>供应商</w:t>
            </w:r>
            <w:r>
              <w:rPr>
                <w:rFonts w:hint="eastAsia"/>
                <w:sz w:val="24"/>
                <w:szCs w:val="24"/>
                <w:highlight w:val="none"/>
              </w:rPr>
              <w:t>提供的售后服务方案进行评分：</w:t>
            </w:r>
          </w:p>
          <w:p>
            <w:pPr>
              <w:widowControl/>
              <w:spacing w:line="400" w:lineRule="exact"/>
              <w:ind w:firstLine="480" w:firstLineChars="200"/>
              <w:rPr>
                <w:sz w:val="24"/>
                <w:szCs w:val="24"/>
                <w:highlight w:val="none"/>
              </w:rPr>
            </w:pPr>
            <w:r>
              <w:rPr>
                <w:rFonts w:hint="eastAsia"/>
                <w:sz w:val="24"/>
                <w:szCs w:val="24"/>
                <w:highlight w:val="none"/>
              </w:rPr>
              <w:t>售后服务方案包括但不限于：售后</w:t>
            </w:r>
            <w:r>
              <w:rPr>
                <w:sz w:val="24"/>
                <w:szCs w:val="24"/>
                <w:highlight w:val="none"/>
              </w:rPr>
              <w:t>服务承诺</w:t>
            </w:r>
            <w:r>
              <w:rPr>
                <w:rFonts w:hint="eastAsia"/>
                <w:sz w:val="24"/>
                <w:szCs w:val="24"/>
                <w:highlight w:val="none"/>
              </w:rPr>
              <w:t>、售后</w:t>
            </w:r>
            <w:r>
              <w:rPr>
                <w:sz w:val="24"/>
                <w:szCs w:val="24"/>
                <w:highlight w:val="none"/>
              </w:rPr>
              <w:t>服务响应方案</w:t>
            </w:r>
            <w:r>
              <w:rPr>
                <w:rFonts w:hint="eastAsia"/>
                <w:sz w:val="24"/>
                <w:szCs w:val="24"/>
                <w:highlight w:val="none"/>
              </w:rPr>
              <w:t>、售后</w:t>
            </w:r>
            <w:r>
              <w:rPr>
                <w:sz w:val="24"/>
                <w:szCs w:val="24"/>
                <w:highlight w:val="none"/>
              </w:rPr>
              <w:t>服务人员配备</w:t>
            </w:r>
            <w:r>
              <w:rPr>
                <w:rFonts w:hint="eastAsia"/>
                <w:sz w:val="24"/>
                <w:szCs w:val="24"/>
                <w:highlight w:val="none"/>
              </w:rPr>
              <w:t>、</w:t>
            </w:r>
            <w:r>
              <w:rPr>
                <w:sz w:val="24"/>
                <w:szCs w:val="24"/>
                <w:highlight w:val="none"/>
              </w:rPr>
              <w:t>故障响应</w:t>
            </w:r>
            <w:r>
              <w:rPr>
                <w:rFonts w:hint="eastAsia"/>
                <w:sz w:val="24"/>
                <w:szCs w:val="24"/>
                <w:highlight w:val="none"/>
              </w:rPr>
              <w:t>措施、</w:t>
            </w:r>
            <w:r>
              <w:rPr>
                <w:sz w:val="24"/>
                <w:szCs w:val="24"/>
                <w:highlight w:val="none"/>
              </w:rPr>
              <w:t>质保外服务措施</w:t>
            </w:r>
            <w:r>
              <w:rPr>
                <w:rFonts w:hint="eastAsia"/>
                <w:sz w:val="24"/>
                <w:szCs w:val="24"/>
                <w:highlight w:val="none"/>
              </w:rPr>
              <w:t>、备品备件供</w:t>
            </w:r>
            <w:r>
              <w:rPr>
                <w:rFonts w:hint="eastAsia"/>
                <w:color w:val="auto"/>
                <w:sz w:val="24"/>
                <w:szCs w:val="24"/>
                <w:highlight w:val="none"/>
              </w:rPr>
              <w:t>应方案</w:t>
            </w:r>
            <w:r>
              <w:rPr>
                <w:color w:val="auto"/>
                <w:sz w:val="24"/>
                <w:szCs w:val="24"/>
                <w:highlight w:val="none"/>
              </w:rPr>
              <w:t>等</w:t>
            </w:r>
            <w:r>
              <w:rPr>
                <w:rFonts w:hint="eastAsia"/>
                <w:color w:val="auto"/>
                <w:sz w:val="24"/>
                <w:szCs w:val="24"/>
                <w:highlight w:val="none"/>
              </w:rPr>
              <w:t>6项内容，方案内容完整齐全，符合项目实际（</w:t>
            </w:r>
            <w:r>
              <w:rPr>
                <w:rFonts w:hint="eastAsia" w:asciiTheme="majorEastAsia" w:hAnsiTheme="majorEastAsia" w:eastAsiaTheme="majorEastAsia" w:cstheme="majorEastAsia"/>
                <w:color w:val="auto"/>
                <w:sz w:val="24"/>
                <w:szCs w:val="24"/>
                <w:highlight w:val="none"/>
              </w:rPr>
              <w:t>第六章“项目需求”</w:t>
            </w:r>
            <w:r>
              <w:rPr>
                <w:rFonts w:hint="eastAsia"/>
                <w:color w:val="auto"/>
                <w:sz w:val="24"/>
                <w:szCs w:val="24"/>
                <w:highlight w:val="none"/>
              </w:rPr>
              <w:t>）的，得</w:t>
            </w:r>
            <w:r>
              <w:rPr>
                <w:rFonts w:hint="eastAsia"/>
                <w:color w:val="auto"/>
                <w:sz w:val="24"/>
                <w:szCs w:val="24"/>
                <w:highlight w:val="none"/>
                <w:lang w:val="en-US" w:eastAsia="zh-CN"/>
              </w:rPr>
              <w:t>6</w:t>
            </w:r>
            <w:r>
              <w:rPr>
                <w:rFonts w:hint="eastAsia"/>
                <w:color w:val="auto"/>
                <w:sz w:val="24"/>
                <w:szCs w:val="24"/>
                <w:highlight w:val="none"/>
              </w:rPr>
              <w:t>分；每缺少一项方案内容，或一项内容存在缺陷的，每一项扣</w:t>
            </w:r>
            <w:r>
              <w:rPr>
                <w:rFonts w:hint="eastAsia"/>
                <w:color w:val="auto"/>
                <w:sz w:val="24"/>
                <w:szCs w:val="24"/>
                <w:highlight w:val="none"/>
                <w:lang w:val="en-US" w:eastAsia="zh-CN"/>
              </w:rPr>
              <w:t>1</w:t>
            </w:r>
            <w:r>
              <w:rPr>
                <w:rFonts w:hint="eastAsia"/>
                <w:color w:val="auto"/>
                <w:sz w:val="24"/>
                <w:szCs w:val="24"/>
                <w:highlight w:val="none"/>
              </w:rPr>
              <w:t>分，扣完为止；未提供</w:t>
            </w:r>
            <w:r>
              <w:rPr>
                <w:rFonts w:hint="eastAsia" w:asciiTheme="minorEastAsia" w:hAnsiTheme="minorEastAsia" w:eastAsiaTheme="minorEastAsia" w:cstheme="minorEastAsia"/>
                <w:kern w:val="0"/>
                <w:sz w:val="24"/>
                <w:szCs w:val="24"/>
                <w:highlight w:val="none"/>
              </w:rPr>
              <w:t>售后服务方案</w:t>
            </w:r>
            <w:r>
              <w:rPr>
                <w:rFonts w:hint="eastAsia"/>
                <w:color w:val="auto"/>
                <w:sz w:val="24"/>
                <w:szCs w:val="24"/>
                <w:highlight w:val="none"/>
              </w:rPr>
              <w:t>的，此项不</w:t>
            </w:r>
            <w:r>
              <w:rPr>
                <w:rFonts w:hint="eastAsia"/>
                <w:sz w:val="24"/>
                <w:szCs w:val="24"/>
                <w:highlight w:val="none"/>
              </w:rPr>
              <w:t>得分。</w:t>
            </w:r>
          </w:p>
          <w:p>
            <w:pPr>
              <w:snapToGrid w:val="0"/>
              <w:spacing w:line="400" w:lineRule="exact"/>
              <w:ind w:firstLine="482" w:firstLineChars="200"/>
              <w:rPr>
                <w:rFonts w:hAnsi="宋体" w:cs="宋体"/>
                <w:sz w:val="24"/>
                <w:szCs w:val="24"/>
                <w:highlight w:val="none"/>
              </w:rPr>
            </w:pPr>
            <w:r>
              <w:rPr>
                <w:rFonts w:hint="eastAsia"/>
                <w:b/>
                <w:bCs/>
                <w:sz w:val="24"/>
                <w:szCs w:val="24"/>
                <w:highlight w:val="none"/>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00" w:type="dxa"/>
            <w:tcMar>
              <w:top w:w="15" w:type="dxa"/>
              <w:left w:w="15" w:type="dxa"/>
              <w:right w:w="15" w:type="dxa"/>
            </w:tcMar>
            <w:vAlign w:val="center"/>
          </w:tcPr>
          <w:p>
            <w:pPr>
              <w:pStyle w:val="7"/>
              <w:spacing w:line="440" w:lineRule="exact"/>
              <w:jc w:val="center"/>
              <w:rPr>
                <w:rFonts w:hAnsi="宋体" w:cs="宋体"/>
                <w:sz w:val="24"/>
                <w:szCs w:val="24"/>
                <w:highlight w:val="none"/>
              </w:rPr>
            </w:pPr>
            <w:r>
              <w:rPr>
                <w:rFonts w:hint="eastAsia" w:hAnsi="宋体" w:cs="宋体" w:eastAsiaTheme="minorEastAsia"/>
                <w:sz w:val="24"/>
                <w:szCs w:val="24"/>
                <w:highlight w:val="none"/>
                <w:lang w:val="en-US" w:eastAsia="zh-CN"/>
              </w:rPr>
              <w:t>6</w:t>
            </w:r>
            <w:r>
              <w:rPr>
                <w:rFonts w:hint="eastAsia" w:asciiTheme="minorEastAsia" w:hAnsiTheme="minorEastAsia" w:eastAsiaTheme="minorEastAsia" w:cstheme="minorEastAsia"/>
                <w:kern w:val="0"/>
                <w:sz w:val="24"/>
                <w:szCs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8888" w:type="dxa"/>
            <w:gridSpan w:val="4"/>
            <w:tcMar>
              <w:top w:w="15" w:type="dxa"/>
              <w:left w:w="15" w:type="dxa"/>
              <w:right w:w="15" w:type="dxa"/>
            </w:tcMar>
            <w:vAlign w:val="center"/>
          </w:tcPr>
          <w:p>
            <w:pPr>
              <w:pStyle w:val="7"/>
              <w:spacing w:line="440" w:lineRule="exact"/>
              <w:jc w:val="center"/>
              <w:rPr>
                <w:rFonts w:hAnsi="宋体" w:cs="宋体"/>
                <w:sz w:val="24"/>
                <w:szCs w:val="24"/>
                <w:highlight w:val="none"/>
              </w:rPr>
            </w:pPr>
            <w:r>
              <w:rPr>
                <w:rFonts w:hint="eastAsia" w:hAnsi="宋体" w:cs="宋体"/>
                <w:sz w:val="24"/>
                <w:szCs w:val="24"/>
                <w:highlight w:val="none"/>
              </w:rPr>
              <w:t>合计：100分</w:t>
            </w:r>
          </w:p>
        </w:tc>
      </w:tr>
    </w:tbl>
    <w:p>
      <w:pPr>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br w:type="page"/>
      </w:r>
    </w:p>
    <w:p>
      <w:pPr>
        <w:pStyle w:val="3"/>
        <w:ind w:firstLine="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（3）第</w:t>
      </w:r>
      <w:r>
        <w:rPr>
          <w:rFonts w:hint="eastAsia" w:asciiTheme="minorEastAsia" w:hAnsiTheme="minorEastAsia" w:eastAsiaTheme="minorEastAsia" w:cstheme="minorEastAsia"/>
          <w:b/>
          <w:sz w:val="24"/>
          <w:szCs w:val="24"/>
          <w:highlight w:val="none"/>
          <w:lang w:val="en-US" w:eastAsia="zh-CN"/>
        </w:rPr>
        <w:t>三</w:t>
      </w:r>
      <w:r>
        <w:rPr>
          <w:rFonts w:hint="eastAsia" w:asciiTheme="minorEastAsia" w:hAnsiTheme="minorEastAsia" w:eastAsiaTheme="minorEastAsia" w:cstheme="minorEastAsia"/>
          <w:b/>
          <w:sz w:val="24"/>
          <w:szCs w:val="24"/>
          <w:highlight w:val="none"/>
        </w:rPr>
        <w:t>包评分标准</w:t>
      </w:r>
    </w:p>
    <w:tbl>
      <w:tblPr>
        <w:tblStyle w:val="15"/>
        <w:tblW w:w="88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7"/>
        <w:gridCol w:w="805"/>
        <w:gridCol w:w="6196"/>
        <w:gridCol w:w="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87" w:type="dxa"/>
            <w:tcMar>
              <w:top w:w="15" w:type="dxa"/>
              <w:left w:w="15" w:type="dxa"/>
              <w:right w:w="15" w:type="dxa"/>
            </w:tcMar>
            <w:vAlign w:val="center"/>
          </w:tcPr>
          <w:p>
            <w:pPr>
              <w:pStyle w:val="7"/>
              <w:spacing w:line="440" w:lineRule="exact"/>
              <w:jc w:val="center"/>
              <w:rPr>
                <w:rFonts w:hAnsi="宋体" w:cs="宋体"/>
                <w:b/>
                <w:bCs/>
                <w:sz w:val="24"/>
                <w:szCs w:val="24"/>
                <w:highlight w:val="none"/>
              </w:rPr>
            </w:pPr>
            <w:r>
              <w:rPr>
                <w:rFonts w:hint="eastAsia" w:hAnsi="宋体" w:cs="宋体"/>
                <w:b/>
                <w:bCs/>
                <w:sz w:val="24"/>
                <w:szCs w:val="24"/>
                <w:highlight w:val="none"/>
              </w:rPr>
              <w:t>评分因素及权重</w:t>
            </w:r>
          </w:p>
        </w:tc>
        <w:tc>
          <w:tcPr>
            <w:tcW w:w="805" w:type="dxa"/>
            <w:tcMar>
              <w:top w:w="15" w:type="dxa"/>
              <w:left w:w="15" w:type="dxa"/>
              <w:right w:w="15" w:type="dxa"/>
            </w:tcMar>
            <w:vAlign w:val="center"/>
          </w:tcPr>
          <w:p>
            <w:pPr>
              <w:pStyle w:val="7"/>
              <w:spacing w:line="440" w:lineRule="exact"/>
              <w:jc w:val="center"/>
              <w:rPr>
                <w:rFonts w:hAnsi="宋体" w:cs="宋体"/>
                <w:b/>
                <w:bCs/>
                <w:sz w:val="24"/>
                <w:szCs w:val="24"/>
                <w:highlight w:val="none"/>
              </w:rPr>
            </w:pPr>
            <w:r>
              <w:rPr>
                <w:rFonts w:hint="eastAsia" w:hAnsi="宋体" w:cs="宋体"/>
                <w:b/>
                <w:bCs/>
                <w:sz w:val="24"/>
                <w:szCs w:val="24"/>
                <w:highlight w:val="none"/>
              </w:rPr>
              <w:t>评标因素</w:t>
            </w:r>
          </w:p>
        </w:tc>
        <w:tc>
          <w:tcPr>
            <w:tcW w:w="6196" w:type="dxa"/>
            <w:tcMar>
              <w:top w:w="15" w:type="dxa"/>
              <w:left w:w="15" w:type="dxa"/>
              <w:right w:w="15" w:type="dxa"/>
            </w:tcMar>
            <w:vAlign w:val="center"/>
          </w:tcPr>
          <w:p>
            <w:pPr>
              <w:pStyle w:val="7"/>
              <w:spacing w:line="440" w:lineRule="exact"/>
              <w:jc w:val="center"/>
              <w:rPr>
                <w:rFonts w:hAnsi="宋体" w:cs="宋体"/>
                <w:b/>
                <w:bCs/>
                <w:sz w:val="24"/>
                <w:szCs w:val="24"/>
                <w:highlight w:val="none"/>
              </w:rPr>
            </w:pPr>
            <w:r>
              <w:rPr>
                <w:rFonts w:hint="eastAsia" w:hAnsi="宋体" w:cs="宋体"/>
                <w:b/>
                <w:bCs/>
                <w:sz w:val="24"/>
                <w:szCs w:val="24"/>
                <w:highlight w:val="none"/>
              </w:rPr>
              <w:t>评分标准</w:t>
            </w:r>
          </w:p>
        </w:tc>
        <w:tc>
          <w:tcPr>
            <w:tcW w:w="800" w:type="dxa"/>
            <w:tcMar>
              <w:top w:w="15" w:type="dxa"/>
              <w:left w:w="15" w:type="dxa"/>
              <w:right w:w="15" w:type="dxa"/>
            </w:tcMar>
            <w:vAlign w:val="center"/>
          </w:tcPr>
          <w:p>
            <w:pPr>
              <w:pStyle w:val="7"/>
              <w:spacing w:line="440" w:lineRule="exact"/>
              <w:jc w:val="center"/>
              <w:rPr>
                <w:rFonts w:hAnsi="宋体" w:cs="宋体"/>
                <w:b/>
                <w:bCs/>
                <w:sz w:val="24"/>
                <w:szCs w:val="24"/>
                <w:highlight w:val="none"/>
              </w:rPr>
            </w:pPr>
            <w:r>
              <w:rPr>
                <w:rFonts w:hint="eastAsia" w:hAnsi="宋体" w:cs="宋体"/>
                <w:b/>
                <w:bCs/>
                <w:sz w:val="24"/>
                <w:szCs w:val="24"/>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87" w:type="dxa"/>
            <w:tcMar>
              <w:top w:w="15" w:type="dxa"/>
              <w:left w:w="15" w:type="dxa"/>
              <w:right w:w="15" w:type="dxa"/>
            </w:tcMar>
            <w:vAlign w:val="center"/>
          </w:tcPr>
          <w:p>
            <w:pPr>
              <w:widowControl/>
              <w:spacing w:line="400" w:lineRule="exact"/>
              <w:jc w:val="center"/>
              <w:textAlignment w:val="center"/>
              <w:rPr>
                <w:rFonts w:hAnsi="宋体" w:cs="宋体"/>
                <w:b/>
                <w:bCs/>
                <w:sz w:val="24"/>
                <w:szCs w:val="24"/>
                <w:highlight w:val="none"/>
              </w:rPr>
            </w:pPr>
            <w:r>
              <w:rPr>
                <w:rFonts w:hint="eastAsia" w:asciiTheme="minorEastAsia" w:hAnsiTheme="minorEastAsia" w:eastAsiaTheme="minorEastAsia" w:cstheme="minorEastAsia"/>
                <w:kern w:val="0"/>
                <w:sz w:val="24"/>
                <w:szCs w:val="24"/>
                <w:highlight w:val="none"/>
              </w:rPr>
              <w:t>价格部分（30分）</w:t>
            </w:r>
          </w:p>
        </w:tc>
        <w:tc>
          <w:tcPr>
            <w:tcW w:w="805"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投标</w:t>
            </w:r>
          </w:p>
          <w:p>
            <w:pPr>
              <w:widowControl/>
              <w:spacing w:line="400" w:lineRule="exact"/>
              <w:jc w:val="center"/>
              <w:textAlignment w:val="center"/>
              <w:rPr>
                <w:rFonts w:hAnsi="宋体" w:cs="宋体"/>
                <w:b/>
                <w:bCs/>
                <w:sz w:val="24"/>
                <w:szCs w:val="24"/>
                <w:highlight w:val="none"/>
              </w:rPr>
            </w:pPr>
            <w:r>
              <w:rPr>
                <w:rFonts w:hint="eastAsia" w:asciiTheme="minorEastAsia" w:hAnsiTheme="minorEastAsia" w:eastAsiaTheme="minorEastAsia" w:cstheme="minorEastAsia"/>
                <w:kern w:val="0"/>
                <w:sz w:val="24"/>
                <w:szCs w:val="24"/>
                <w:highlight w:val="none"/>
              </w:rPr>
              <w:t>报价</w:t>
            </w:r>
          </w:p>
        </w:tc>
        <w:tc>
          <w:tcPr>
            <w:tcW w:w="6196" w:type="dxa"/>
            <w:tcMar>
              <w:top w:w="15" w:type="dxa"/>
              <w:left w:w="15" w:type="dxa"/>
              <w:right w:w="15" w:type="dxa"/>
            </w:tcMar>
            <w:vAlign w:val="center"/>
          </w:tcPr>
          <w:p>
            <w:pPr>
              <w:widowControl/>
              <w:spacing w:line="400" w:lineRule="exact"/>
              <w:ind w:firstLine="480" w:firstLineChars="200"/>
              <w:textAlignment w:val="center"/>
              <w:rPr>
                <w:highlight w:val="none"/>
              </w:rPr>
            </w:pPr>
            <w:r>
              <w:rPr>
                <w:rFonts w:hint="eastAsia" w:asciiTheme="minorEastAsia" w:hAnsiTheme="minorEastAsia" w:eastAsiaTheme="minorEastAsia" w:cstheme="minorEastAsia"/>
                <w:kern w:val="0"/>
                <w:sz w:val="24"/>
                <w:szCs w:val="24"/>
                <w:highlight w:val="none"/>
              </w:rPr>
              <w:t>综合评分法中的价格分统一采用低价优先法计算，即满足招标文件要求且投标价格最低的投标报价为评标基准价，其价格分为满分30分，其它投标报价得分=评标基准价/</w:t>
            </w:r>
            <w:r>
              <w:rPr>
                <w:rFonts w:hint="eastAsia" w:asciiTheme="minorEastAsia" w:hAnsiTheme="minorEastAsia" w:eastAsiaTheme="minorEastAsia" w:cstheme="minorEastAsia"/>
                <w:kern w:val="0"/>
                <w:sz w:val="24"/>
                <w:szCs w:val="24"/>
                <w:highlight w:val="none"/>
                <w:lang w:eastAsia="zh-CN"/>
              </w:rPr>
              <w:t>有效投标报价</w:t>
            </w:r>
            <w:r>
              <w:rPr>
                <w:rFonts w:hint="eastAsia" w:asciiTheme="minorEastAsia" w:hAnsiTheme="minorEastAsia" w:eastAsiaTheme="minorEastAsia" w:cstheme="minorEastAsia"/>
                <w:kern w:val="0"/>
                <w:sz w:val="24"/>
                <w:szCs w:val="24"/>
                <w:highlight w:val="none"/>
              </w:rPr>
              <w:t>*30</w:t>
            </w:r>
          </w:p>
        </w:tc>
        <w:tc>
          <w:tcPr>
            <w:tcW w:w="800" w:type="dxa"/>
            <w:tcMar>
              <w:top w:w="15" w:type="dxa"/>
              <w:left w:w="15" w:type="dxa"/>
              <w:right w:w="15" w:type="dxa"/>
            </w:tcMar>
            <w:vAlign w:val="center"/>
          </w:tcPr>
          <w:p>
            <w:pPr>
              <w:widowControl/>
              <w:spacing w:line="400" w:lineRule="exact"/>
              <w:jc w:val="center"/>
              <w:textAlignment w:val="center"/>
              <w:rPr>
                <w:rFonts w:hAnsi="宋体" w:cs="宋体"/>
                <w:b/>
                <w:bCs/>
                <w:sz w:val="24"/>
                <w:szCs w:val="24"/>
                <w:highlight w:val="none"/>
              </w:rPr>
            </w:pPr>
            <w:r>
              <w:rPr>
                <w:rFonts w:hint="eastAsia" w:asciiTheme="minorEastAsia" w:hAnsiTheme="minorEastAsia" w:eastAsiaTheme="minorEastAsia" w:cstheme="minorEastAsia"/>
                <w:kern w:val="0"/>
                <w:sz w:val="24"/>
                <w:szCs w:val="24"/>
                <w:highlight w:val="none"/>
              </w:rPr>
              <w:t>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087" w:type="dxa"/>
            <w:vMerge w:val="restart"/>
            <w:tcMar>
              <w:top w:w="15" w:type="dxa"/>
              <w:left w:w="15" w:type="dxa"/>
              <w:right w:w="15" w:type="dxa"/>
            </w:tcMar>
            <w:vAlign w:val="center"/>
          </w:tcPr>
          <w:p>
            <w:pPr>
              <w:pStyle w:val="7"/>
              <w:spacing w:line="440" w:lineRule="exact"/>
              <w:jc w:val="center"/>
              <w:rPr>
                <w:rFonts w:hAnsi="宋体" w:cs="宋体"/>
                <w:sz w:val="24"/>
                <w:szCs w:val="24"/>
                <w:highlight w:val="none"/>
              </w:rPr>
            </w:pPr>
            <w:r>
              <w:rPr>
                <w:rFonts w:hint="eastAsia" w:hAnsi="宋体" w:cs="宋体"/>
                <w:sz w:val="24"/>
                <w:szCs w:val="24"/>
                <w:highlight w:val="none"/>
              </w:rPr>
              <w:t>技术和商务部分</w:t>
            </w:r>
          </w:p>
          <w:p>
            <w:pPr>
              <w:pStyle w:val="7"/>
              <w:spacing w:line="440" w:lineRule="exact"/>
              <w:jc w:val="center"/>
              <w:rPr>
                <w:rFonts w:hAnsi="宋体" w:cs="宋体"/>
                <w:sz w:val="24"/>
                <w:szCs w:val="24"/>
                <w:highlight w:val="none"/>
              </w:rPr>
            </w:pPr>
            <w:r>
              <w:rPr>
                <w:rFonts w:hint="eastAsia" w:hAnsi="宋体" w:cs="宋体"/>
                <w:sz w:val="24"/>
                <w:szCs w:val="24"/>
                <w:highlight w:val="none"/>
              </w:rPr>
              <w:t>（70分）</w:t>
            </w:r>
          </w:p>
        </w:tc>
        <w:tc>
          <w:tcPr>
            <w:tcW w:w="805" w:type="dxa"/>
            <w:tcMar>
              <w:top w:w="15" w:type="dxa"/>
              <w:left w:w="15" w:type="dxa"/>
              <w:right w:w="15" w:type="dxa"/>
            </w:tcMar>
            <w:vAlign w:val="center"/>
          </w:tcPr>
          <w:p>
            <w:pPr>
              <w:pStyle w:val="7"/>
              <w:spacing w:line="440" w:lineRule="exact"/>
              <w:jc w:val="center"/>
              <w:rPr>
                <w:rFonts w:hAnsi="宋体" w:cs="宋体"/>
                <w:sz w:val="24"/>
                <w:szCs w:val="24"/>
                <w:highlight w:val="none"/>
              </w:rPr>
            </w:pPr>
            <w:r>
              <w:rPr>
                <w:rFonts w:hint="eastAsia" w:hAnsi="宋体" w:cs="宋体"/>
                <w:sz w:val="24"/>
                <w:szCs w:val="24"/>
                <w:highlight w:val="none"/>
              </w:rPr>
              <w:t>技术参数响应评价</w:t>
            </w:r>
          </w:p>
        </w:tc>
        <w:tc>
          <w:tcPr>
            <w:tcW w:w="6196" w:type="dxa"/>
            <w:tcMar>
              <w:top w:w="15" w:type="dxa"/>
              <w:left w:w="15" w:type="dxa"/>
              <w:right w:w="15" w:type="dxa"/>
            </w:tcMar>
            <w:vAlign w:val="center"/>
          </w:tcPr>
          <w:p>
            <w:pPr>
              <w:pStyle w:val="7"/>
              <w:spacing w:line="440" w:lineRule="exact"/>
              <w:ind w:firstLine="480" w:firstLineChars="200"/>
              <w:rPr>
                <w:rFonts w:asciiTheme="minorEastAsia" w:hAnsiTheme="minorEastAsia" w:eastAsiaTheme="minorEastAsia" w:cstheme="minorEastAsia"/>
                <w:color w:val="auto"/>
                <w:kern w:val="21"/>
                <w:sz w:val="24"/>
                <w:szCs w:val="24"/>
                <w:highlight w:val="none"/>
              </w:rPr>
            </w:pPr>
            <w:r>
              <w:rPr>
                <w:rFonts w:hint="eastAsia" w:asciiTheme="minorEastAsia" w:hAnsiTheme="minorEastAsia" w:eastAsiaTheme="minorEastAsia" w:cstheme="minorEastAsia"/>
                <w:color w:val="auto"/>
                <w:kern w:val="21"/>
                <w:sz w:val="24"/>
                <w:szCs w:val="24"/>
                <w:highlight w:val="none"/>
              </w:rPr>
              <w:t>对照第六章“项目需求”第</w:t>
            </w:r>
            <w:r>
              <w:rPr>
                <w:rFonts w:hint="eastAsia" w:asciiTheme="minorEastAsia" w:hAnsiTheme="minorEastAsia" w:eastAsiaTheme="minorEastAsia" w:cstheme="minorEastAsia"/>
                <w:color w:val="auto"/>
                <w:kern w:val="21"/>
                <w:sz w:val="24"/>
                <w:szCs w:val="24"/>
                <w:highlight w:val="none"/>
                <w:lang w:val="en-US" w:eastAsia="zh-CN"/>
              </w:rPr>
              <w:t>三</w:t>
            </w:r>
            <w:r>
              <w:rPr>
                <w:rFonts w:hint="eastAsia" w:asciiTheme="minorEastAsia" w:hAnsiTheme="minorEastAsia" w:eastAsiaTheme="minorEastAsia" w:cstheme="minorEastAsia"/>
                <w:color w:val="auto"/>
                <w:kern w:val="21"/>
                <w:sz w:val="24"/>
                <w:szCs w:val="24"/>
                <w:highlight w:val="none"/>
              </w:rPr>
              <w:t>包的技术参数（每条技术参数前标注“★”的为核心技术参数</w:t>
            </w:r>
            <w:r>
              <w:rPr>
                <w:rFonts w:hint="eastAsia" w:asciiTheme="minorEastAsia" w:hAnsiTheme="minorEastAsia" w:eastAsiaTheme="minorEastAsia" w:cstheme="minorEastAsia"/>
                <w:color w:val="auto"/>
                <w:kern w:val="21"/>
                <w:sz w:val="24"/>
                <w:szCs w:val="24"/>
                <w:highlight w:val="none"/>
                <w:lang w:eastAsia="zh-CN"/>
              </w:rPr>
              <w:t>，</w:t>
            </w:r>
            <w:r>
              <w:rPr>
                <w:rFonts w:hint="eastAsia" w:asciiTheme="minorEastAsia" w:hAnsiTheme="minorEastAsia" w:eastAsiaTheme="minorEastAsia" w:cstheme="minorEastAsia"/>
                <w:color w:val="auto"/>
                <w:kern w:val="21"/>
                <w:sz w:val="24"/>
                <w:szCs w:val="24"/>
                <w:highlight w:val="none"/>
                <w:lang w:val="en-US" w:eastAsia="zh-CN"/>
              </w:rPr>
              <w:t>标注“▲”的为主要技术参数，</w:t>
            </w:r>
            <w:r>
              <w:rPr>
                <w:rFonts w:hint="eastAsia" w:asciiTheme="minorEastAsia" w:hAnsiTheme="minorEastAsia" w:eastAsiaTheme="minorEastAsia" w:cstheme="minorEastAsia"/>
                <w:color w:val="auto"/>
                <w:kern w:val="21"/>
                <w:sz w:val="24"/>
                <w:szCs w:val="24"/>
                <w:highlight w:val="none"/>
              </w:rPr>
              <w:t>未标注的为一般技术参数），根据</w:t>
            </w:r>
            <w:r>
              <w:rPr>
                <w:rFonts w:hint="eastAsia" w:asciiTheme="minorEastAsia" w:hAnsiTheme="minorEastAsia" w:eastAsiaTheme="minorEastAsia" w:cstheme="minorEastAsia"/>
                <w:color w:val="auto"/>
                <w:kern w:val="21"/>
                <w:sz w:val="24"/>
                <w:szCs w:val="24"/>
                <w:highlight w:val="none"/>
                <w:lang w:eastAsia="zh-CN"/>
              </w:rPr>
              <w:t>供应商</w:t>
            </w:r>
            <w:r>
              <w:rPr>
                <w:rFonts w:hint="eastAsia" w:asciiTheme="minorEastAsia" w:hAnsiTheme="minorEastAsia" w:eastAsiaTheme="minorEastAsia" w:cstheme="minorEastAsia"/>
                <w:color w:val="auto"/>
                <w:kern w:val="21"/>
                <w:sz w:val="24"/>
                <w:szCs w:val="24"/>
                <w:highlight w:val="none"/>
              </w:rPr>
              <w:t>提供的产品配置及技术性能指标的响应情况进行评审。</w:t>
            </w:r>
          </w:p>
          <w:p>
            <w:pPr>
              <w:pStyle w:val="7"/>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Theme="minorEastAsia" w:hAnsiTheme="minorEastAsia" w:eastAsiaTheme="minorEastAsia" w:cstheme="minorEastAsia"/>
                <w:color w:val="auto"/>
                <w:kern w:val="21"/>
                <w:sz w:val="24"/>
                <w:szCs w:val="24"/>
                <w:highlight w:val="none"/>
              </w:rPr>
            </w:pPr>
            <w:r>
              <w:rPr>
                <w:rFonts w:hint="eastAsia" w:asciiTheme="minorEastAsia" w:hAnsiTheme="minorEastAsia" w:eastAsiaTheme="minorEastAsia" w:cstheme="minorEastAsia"/>
                <w:color w:val="auto"/>
                <w:kern w:val="21"/>
                <w:sz w:val="24"/>
                <w:szCs w:val="24"/>
                <w:highlight w:val="none"/>
              </w:rPr>
              <w:t>1.本标包</w:t>
            </w:r>
            <w:r>
              <w:rPr>
                <w:rFonts w:hint="eastAsia" w:asciiTheme="minorEastAsia" w:hAnsiTheme="minorEastAsia" w:eastAsiaTheme="minorEastAsia" w:cstheme="minorEastAsia"/>
                <w:color w:val="auto"/>
                <w:kern w:val="21"/>
                <w:sz w:val="24"/>
                <w:szCs w:val="24"/>
                <w:highlight w:val="none"/>
                <w:lang w:val="en-US" w:eastAsia="zh-CN"/>
              </w:rPr>
              <w:t>1</w:t>
            </w:r>
            <w:r>
              <w:rPr>
                <w:rFonts w:hint="eastAsia" w:asciiTheme="minorEastAsia" w:hAnsiTheme="minorEastAsia" w:eastAsiaTheme="minorEastAsia" w:cstheme="minorEastAsia"/>
                <w:color w:val="auto"/>
                <w:kern w:val="21"/>
                <w:sz w:val="24"/>
                <w:szCs w:val="24"/>
                <w:highlight w:val="none"/>
              </w:rPr>
              <w:t>种产品，</w:t>
            </w:r>
            <w:r>
              <w:rPr>
                <w:rFonts w:hint="eastAsia" w:asciiTheme="minorEastAsia" w:hAnsiTheme="minorEastAsia" w:eastAsiaTheme="minorEastAsia" w:cstheme="minorEastAsia"/>
                <w:color w:val="auto"/>
                <w:kern w:val="21"/>
                <w:sz w:val="24"/>
                <w:szCs w:val="24"/>
                <w:highlight w:val="none"/>
                <w:lang w:eastAsia="zh-CN"/>
              </w:rPr>
              <w:t>供应商</w:t>
            </w:r>
            <w:r>
              <w:rPr>
                <w:rFonts w:hint="eastAsia" w:asciiTheme="minorEastAsia" w:hAnsiTheme="minorEastAsia" w:eastAsiaTheme="minorEastAsia" w:cstheme="minorEastAsia"/>
                <w:color w:val="auto"/>
                <w:kern w:val="21"/>
                <w:sz w:val="24"/>
                <w:szCs w:val="24"/>
                <w:highlight w:val="none"/>
              </w:rPr>
              <w:t>每有一种所投产品技术参数完全响应招标文件要求的，得</w:t>
            </w:r>
            <w:r>
              <w:rPr>
                <w:rFonts w:hint="eastAsia" w:asciiTheme="minorEastAsia" w:hAnsiTheme="minorEastAsia" w:eastAsiaTheme="minorEastAsia" w:cstheme="minorEastAsia"/>
                <w:color w:val="auto"/>
                <w:kern w:val="21"/>
                <w:sz w:val="24"/>
                <w:szCs w:val="24"/>
                <w:highlight w:val="none"/>
                <w:lang w:val="en-US" w:eastAsia="zh-CN"/>
              </w:rPr>
              <w:t>28</w:t>
            </w:r>
            <w:r>
              <w:rPr>
                <w:rFonts w:hint="eastAsia" w:asciiTheme="minorEastAsia" w:hAnsiTheme="minorEastAsia" w:eastAsiaTheme="minorEastAsia" w:cstheme="minorEastAsia"/>
                <w:color w:val="auto"/>
                <w:kern w:val="21"/>
                <w:sz w:val="24"/>
                <w:szCs w:val="24"/>
                <w:highlight w:val="none"/>
              </w:rPr>
              <w:t>分，最多得</w:t>
            </w:r>
            <w:r>
              <w:rPr>
                <w:rFonts w:hint="eastAsia" w:asciiTheme="minorEastAsia" w:hAnsiTheme="minorEastAsia" w:eastAsiaTheme="minorEastAsia" w:cstheme="minorEastAsia"/>
                <w:color w:val="auto"/>
                <w:kern w:val="21"/>
                <w:sz w:val="24"/>
                <w:szCs w:val="24"/>
                <w:highlight w:val="none"/>
                <w:lang w:val="en-US" w:eastAsia="zh-CN"/>
              </w:rPr>
              <w:t>28</w:t>
            </w:r>
            <w:r>
              <w:rPr>
                <w:rFonts w:hint="eastAsia" w:asciiTheme="minorEastAsia" w:hAnsiTheme="minorEastAsia" w:eastAsiaTheme="minorEastAsia" w:cstheme="minorEastAsia"/>
                <w:color w:val="auto"/>
                <w:kern w:val="21"/>
                <w:sz w:val="24"/>
                <w:szCs w:val="24"/>
                <w:highlight w:val="none"/>
              </w:rPr>
              <w:t>分；</w:t>
            </w:r>
          </w:p>
          <w:p>
            <w:pPr>
              <w:pStyle w:val="12"/>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default" w:asciiTheme="minorEastAsia" w:hAnsiTheme="minorEastAsia" w:eastAsiaTheme="minorEastAsia" w:cstheme="minorEastAsia"/>
                <w:color w:val="auto"/>
                <w:kern w:val="21"/>
                <w:sz w:val="24"/>
                <w:szCs w:val="24"/>
                <w:highlight w:val="none"/>
                <w:lang w:val="en-US"/>
              </w:rPr>
            </w:pPr>
            <w:r>
              <w:rPr>
                <w:rFonts w:hint="eastAsia" w:asciiTheme="minorEastAsia" w:hAnsiTheme="minorEastAsia" w:eastAsiaTheme="minorEastAsia" w:cstheme="minorEastAsia"/>
                <w:color w:val="auto"/>
                <w:kern w:val="21"/>
                <w:sz w:val="24"/>
                <w:szCs w:val="24"/>
                <w:highlight w:val="none"/>
              </w:rPr>
              <w:t>2.</w:t>
            </w:r>
            <w:r>
              <w:rPr>
                <w:rFonts w:hint="eastAsia" w:asciiTheme="minorEastAsia" w:hAnsiTheme="minorEastAsia" w:eastAsiaTheme="minorEastAsia" w:cstheme="minorEastAsia"/>
                <w:color w:val="auto"/>
                <w:kern w:val="21"/>
                <w:sz w:val="24"/>
                <w:szCs w:val="24"/>
                <w:highlight w:val="none"/>
                <w:lang w:eastAsia="zh-CN"/>
              </w:rPr>
              <w:t>每种</w:t>
            </w:r>
            <w:r>
              <w:rPr>
                <w:rFonts w:hint="eastAsia" w:asciiTheme="minorEastAsia" w:hAnsiTheme="minorEastAsia" w:eastAsiaTheme="minorEastAsia" w:cstheme="minorEastAsia"/>
                <w:color w:val="auto"/>
                <w:kern w:val="21"/>
                <w:sz w:val="24"/>
                <w:szCs w:val="24"/>
                <w:highlight w:val="none"/>
              </w:rPr>
              <w:t>核心技术参数</w:t>
            </w:r>
            <w:r>
              <w:rPr>
                <w:rFonts w:hint="eastAsia" w:asciiTheme="minorEastAsia" w:hAnsiTheme="minorEastAsia" w:eastAsiaTheme="minorEastAsia" w:cstheme="minorEastAsia"/>
                <w:color w:val="auto"/>
                <w:kern w:val="21"/>
                <w:sz w:val="24"/>
                <w:szCs w:val="24"/>
                <w:highlight w:val="none"/>
                <w:lang w:val="en-US" w:eastAsia="zh-CN"/>
              </w:rPr>
              <w:t>存在负偏离的,该产品技术参数分为0分；</w:t>
            </w:r>
          </w:p>
          <w:p>
            <w:pPr>
              <w:pStyle w:val="12"/>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color w:val="auto"/>
                <w:kern w:val="21"/>
                <w:sz w:val="24"/>
                <w:szCs w:val="24"/>
                <w:highlight w:val="none"/>
              </w:rPr>
            </w:pPr>
            <w:r>
              <w:rPr>
                <w:rFonts w:hint="eastAsia" w:asciiTheme="minorEastAsia" w:hAnsiTheme="minorEastAsia" w:eastAsiaTheme="minorEastAsia" w:cstheme="minorEastAsia"/>
                <w:color w:val="auto"/>
                <w:kern w:val="21"/>
                <w:sz w:val="24"/>
                <w:szCs w:val="24"/>
                <w:highlight w:val="none"/>
                <w:lang w:val="en-US" w:eastAsia="zh-CN"/>
              </w:rPr>
              <w:t>3.</w:t>
            </w:r>
            <w:r>
              <w:rPr>
                <w:rFonts w:hint="eastAsia" w:asciiTheme="minorEastAsia" w:hAnsiTheme="minorEastAsia" w:eastAsiaTheme="minorEastAsia" w:cstheme="minorEastAsia"/>
                <w:color w:val="auto"/>
                <w:kern w:val="21"/>
                <w:sz w:val="24"/>
                <w:szCs w:val="24"/>
                <w:highlight w:val="none"/>
                <w:lang w:eastAsia="zh-CN"/>
              </w:rPr>
              <w:t>每种产品主要技术参数存在负偏离的</w:t>
            </w:r>
            <w:r>
              <w:rPr>
                <w:rFonts w:hint="eastAsia" w:asciiTheme="minorEastAsia" w:hAnsiTheme="minorEastAsia" w:eastAsiaTheme="minorEastAsia" w:cstheme="minorEastAsia"/>
                <w:color w:val="auto"/>
                <w:kern w:val="21"/>
                <w:sz w:val="24"/>
                <w:szCs w:val="24"/>
                <w:highlight w:val="none"/>
              </w:rPr>
              <w:t>，该产品技术参数分为0分</w:t>
            </w:r>
            <w:r>
              <w:rPr>
                <w:color w:val="auto"/>
                <w:kern w:val="21"/>
                <w:sz w:val="24"/>
                <w:szCs w:val="24"/>
                <w:highlight w:val="none"/>
              </w:rPr>
              <w:t>；</w:t>
            </w:r>
          </w:p>
          <w:p>
            <w:pPr>
              <w:pStyle w:val="7"/>
              <w:keepNext w:val="0"/>
              <w:keepLines w:val="0"/>
              <w:pageBreakBefore w:val="0"/>
              <w:kinsoku/>
              <w:wordWrap/>
              <w:overflowPunct/>
              <w:topLinePunct w:val="0"/>
              <w:autoSpaceDE/>
              <w:autoSpaceDN/>
              <w:bidi w:val="0"/>
              <w:adjustRightInd/>
              <w:spacing w:line="440" w:lineRule="exact"/>
              <w:ind w:firstLine="480" w:firstLineChars="200"/>
              <w:rPr>
                <w:rFonts w:hint="eastAsia" w:asciiTheme="minorEastAsia" w:hAnsiTheme="minorEastAsia" w:eastAsiaTheme="minorEastAsia" w:cstheme="minorEastAsia"/>
                <w:color w:val="auto"/>
                <w:kern w:val="21"/>
                <w:sz w:val="24"/>
                <w:szCs w:val="24"/>
                <w:highlight w:val="none"/>
              </w:rPr>
            </w:pPr>
            <w:r>
              <w:rPr>
                <w:rFonts w:hint="eastAsia" w:asciiTheme="minorEastAsia" w:hAnsiTheme="minorEastAsia" w:eastAsiaTheme="minorEastAsia" w:cstheme="minorEastAsia"/>
                <w:color w:val="auto"/>
                <w:kern w:val="21"/>
                <w:sz w:val="24"/>
                <w:szCs w:val="24"/>
                <w:highlight w:val="none"/>
                <w:lang w:val="en-US" w:eastAsia="zh-CN"/>
              </w:rPr>
              <w:t>4.每种产品一般技术参数存在负偏离的，每有一条扣2分，每种产品技术参数得分最多扣28分</w:t>
            </w:r>
            <w:r>
              <w:rPr>
                <w:rFonts w:hint="eastAsia" w:asciiTheme="minorEastAsia" w:hAnsiTheme="minorEastAsia" w:eastAsiaTheme="minorEastAsia" w:cstheme="minorEastAsia"/>
                <w:color w:val="auto"/>
                <w:kern w:val="21"/>
                <w:sz w:val="24"/>
                <w:szCs w:val="24"/>
                <w:highlight w:val="none"/>
              </w:rPr>
              <w:t>。</w:t>
            </w:r>
          </w:p>
          <w:p>
            <w:pPr>
              <w:pStyle w:val="7"/>
              <w:spacing w:line="440" w:lineRule="exact"/>
              <w:ind w:firstLine="482" w:firstLineChars="200"/>
              <w:rPr>
                <w:rFonts w:hint="eastAsia" w:hAnsi="宋体" w:cs="宋体" w:eastAsiaTheme="minorEastAsia"/>
                <w:kern w:val="21"/>
                <w:sz w:val="24"/>
                <w:szCs w:val="24"/>
                <w:highlight w:val="none"/>
                <w:lang w:eastAsia="zh-CN"/>
              </w:rPr>
            </w:pPr>
            <w:r>
              <w:rPr>
                <w:rFonts w:hint="eastAsia" w:asciiTheme="minorEastAsia" w:hAnsiTheme="minorEastAsia" w:eastAsiaTheme="minorEastAsia" w:cstheme="minorEastAsia"/>
                <w:b/>
                <w:bCs/>
                <w:color w:val="auto"/>
                <w:kern w:val="21"/>
                <w:sz w:val="24"/>
                <w:szCs w:val="24"/>
                <w:highlight w:val="none"/>
              </w:rPr>
              <w:t>注：1.负偏离评审依据：①所提供产品技术参数要求低于招标文件要求的，视为负偏离；②技术参数响应条款（以投标文件内技术偏离表为准）与招标文件对比有缺项、漏项的，视为负偏离；③投标文件内技术偏离表完全复制招标文件技术参数的（不涉及具体参数指标的描述性技术要求除外），视为负偏离；④</w:t>
            </w:r>
            <w:r>
              <w:rPr>
                <w:rFonts w:hint="eastAsia" w:asciiTheme="minorEastAsia" w:hAnsiTheme="minorEastAsia" w:eastAsiaTheme="minorEastAsia" w:cstheme="minorEastAsia"/>
                <w:b/>
                <w:bCs/>
                <w:color w:val="auto"/>
                <w:kern w:val="21"/>
                <w:sz w:val="24"/>
                <w:szCs w:val="24"/>
                <w:highlight w:val="none"/>
                <w:lang w:eastAsia="zh-CN"/>
              </w:rPr>
              <w:t>供应商</w:t>
            </w:r>
            <w:r>
              <w:rPr>
                <w:rFonts w:hint="eastAsia" w:asciiTheme="minorEastAsia" w:hAnsiTheme="minorEastAsia" w:eastAsiaTheme="minorEastAsia" w:cstheme="minorEastAsia"/>
                <w:b/>
                <w:bCs/>
                <w:color w:val="auto"/>
                <w:kern w:val="21"/>
                <w:sz w:val="24"/>
                <w:szCs w:val="24"/>
                <w:highlight w:val="none"/>
              </w:rPr>
              <w:t>提供的投标文件中产品技术偏离表、产品技术规格书和产品检测报告内描述的同一产品技术参数响应值不一致的，视为负偏离；</w:t>
            </w:r>
          </w:p>
        </w:tc>
        <w:tc>
          <w:tcPr>
            <w:tcW w:w="800" w:type="dxa"/>
            <w:tcMar>
              <w:top w:w="15" w:type="dxa"/>
              <w:left w:w="15" w:type="dxa"/>
              <w:right w:w="15" w:type="dxa"/>
            </w:tcMar>
            <w:vAlign w:val="center"/>
          </w:tcPr>
          <w:p>
            <w:pPr>
              <w:pStyle w:val="7"/>
              <w:spacing w:line="440" w:lineRule="exact"/>
              <w:jc w:val="center"/>
              <w:rPr>
                <w:rFonts w:hAnsi="宋体" w:cs="宋体"/>
                <w:kern w:val="21"/>
                <w:sz w:val="24"/>
                <w:szCs w:val="24"/>
                <w:highlight w:val="none"/>
              </w:rPr>
            </w:pPr>
            <w:r>
              <w:rPr>
                <w:rFonts w:hint="eastAsia" w:asciiTheme="minorEastAsia" w:hAnsiTheme="minorEastAsia" w:eastAsiaTheme="minorEastAsia" w:cstheme="minorEastAsia"/>
                <w:kern w:val="21"/>
                <w:sz w:val="24"/>
                <w:szCs w:val="24"/>
                <w:highlight w:val="none"/>
                <w:lang w:val="en-US" w:eastAsia="zh-CN"/>
              </w:rPr>
              <w:t>28</w:t>
            </w:r>
            <w:r>
              <w:rPr>
                <w:rFonts w:hint="eastAsia" w:asciiTheme="minorEastAsia" w:hAnsiTheme="minorEastAsia" w:eastAsiaTheme="minorEastAsia" w:cstheme="minorEastAsia"/>
                <w:kern w:val="21"/>
                <w:sz w:val="24"/>
                <w:szCs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1087" w:type="dxa"/>
            <w:vMerge w:val="continue"/>
            <w:tcMar>
              <w:top w:w="15" w:type="dxa"/>
              <w:left w:w="15" w:type="dxa"/>
              <w:right w:w="15" w:type="dxa"/>
            </w:tcMar>
            <w:vAlign w:val="center"/>
          </w:tcPr>
          <w:p>
            <w:pPr>
              <w:pStyle w:val="7"/>
              <w:spacing w:line="440" w:lineRule="exact"/>
              <w:jc w:val="center"/>
              <w:rPr>
                <w:rFonts w:hAnsi="宋体" w:cs="宋体"/>
                <w:sz w:val="24"/>
                <w:szCs w:val="24"/>
                <w:highlight w:val="none"/>
              </w:rPr>
            </w:pPr>
          </w:p>
        </w:tc>
        <w:tc>
          <w:tcPr>
            <w:tcW w:w="805" w:type="dxa"/>
            <w:tcMar>
              <w:top w:w="15" w:type="dxa"/>
              <w:left w:w="15" w:type="dxa"/>
              <w:right w:w="15" w:type="dxa"/>
            </w:tcMar>
            <w:vAlign w:val="center"/>
          </w:tcPr>
          <w:p>
            <w:pPr>
              <w:widowControl/>
              <w:spacing w:line="400" w:lineRule="exact"/>
              <w:jc w:val="center"/>
              <w:textAlignment w:val="center"/>
              <w:rPr>
                <w:rFonts w:hAnsi="宋体" w:cs="宋体"/>
                <w:sz w:val="24"/>
                <w:szCs w:val="24"/>
                <w:highlight w:val="none"/>
              </w:rPr>
            </w:pPr>
            <w:r>
              <w:rPr>
                <w:sz w:val="24"/>
                <w:szCs w:val="24"/>
                <w:highlight w:val="none"/>
              </w:rPr>
              <w:t>业绩证明</w:t>
            </w:r>
          </w:p>
        </w:tc>
        <w:tc>
          <w:tcPr>
            <w:tcW w:w="6196" w:type="dxa"/>
            <w:tcMar>
              <w:top w:w="15" w:type="dxa"/>
              <w:left w:w="15" w:type="dxa"/>
              <w:right w:w="15" w:type="dxa"/>
            </w:tcMar>
            <w:vAlign w:val="center"/>
          </w:tcPr>
          <w:p>
            <w:pPr>
              <w:widowControl/>
              <w:spacing w:line="400" w:lineRule="exact"/>
              <w:ind w:firstLine="480" w:firstLineChars="200"/>
              <w:rPr>
                <w:color w:val="auto"/>
                <w:sz w:val="24"/>
                <w:szCs w:val="24"/>
                <w:highlight w:val="none"/>
              </w:rPr>
            </w:pPr>
            <w:r>
              <w:rPr>
                <w:rFonts w:hint="eastAsia"/>
                <w:color w:val="auto"/>
                <w:sz w:val="24"/>
                <w:szCs w:val="24"/>
                <w:highlight w:val="none"/>
                <w:lang w:eastAsia="zh-CN"/>
              </w:rPr>
              <w:t>供应商</w:t>
            </w:r>
            <w:r>
              <w:rPr>
                <w:rFonts w:hint="eastAsia"/>
                <w:color w:val="auto"/>
                <w:sz w:val="24"/>
                <w:szCs w:val="24"/>
                <w:highlight w:val="none"/>
              </w:rPr>
              <w:t>近三年内（202</w:t>
            </w:r>
            <w:r>
              <w:rPr>
                <w:rFonts w:hint="eastAsia"/>
                <w:color w:val="auto"/>
                <w:sz w:val="24"/>
                <w:szCs w:val="24"/>
                <w:highlight w:val="none"/>
                <w:lang w:val="en-US" w:eastAsia="zh-CN"/>
              </w:rPr>
              <w:t>1</w:t>
            </w:r>
            <w:r>
              <w:rPr>
                <w:rFonts w:hint="eastAsia"/>
                <w:color w:val="auto"/>
                <w:sz w:val="24"/>
                <w:szCs w:val="24"/>
                <w:highlight w:val="none"/>
              </w:rPr>
              <w:t>年1月1日起至今，以合同签订日期为准）完成类似项目的业绩，每个项目业绩得</w:t>
            </w:r>
            <w:r>
              <w:rPr>
                <w:rFonts w:hint="eastAsia"/>
                <w:color w:val="auto"/>
                <w:sz w:val="24"/>
                <w:szCs w:val="24"/>
                <w:highlight w:val="none"/>
                <w:lang w:val="en-US" w:eastAsia="zh-CN"/>
              </w:rPr>
              <w:t>2</w:t>
            </w:r>
            <w:r>
              <w:rPr>
                <w:rFonts w:hint="eastAsia"/>
                <w:color w:val="auto"/>
                <w:sz w:val="24"/>
                <w:szCs w:val="24"/>
                <w:highlight w:val="none"/>
              </w:rPr>
              <w:t>分，最多得</w:t>
            </w:r>
            <w:r>
              <w:rPr>
                <w:rFonts w:hint="eastAsia"/>
                <w:color w:val="auto"/>
                <w:sz w:val="24"/>
                <w:szCs w:val="24"/>
                <w:highlight w:val="none"/>
                <w:lang w:val="en-US" w:eastAsia="zh-CN"/>
              </w:rPr>
              <w:t>8</w:t>
            </w:r>
            <w:r>
              <w:rPr>
                <w:rFonts w:hint="eastAsia"/>
                <w:color w:val="auto"/>
                <w:sz w:val="24"/>
                <w:szCs w:val="24"/>
                <w:highlight w:val="none"/>
              </w:rPr>
              <w:t>分。</w:t>
            </w:r>
          </w:p>
          <w:p>
            <w:pPr>
              <w:widowControl/>
              <w:spacing w:line="400" w:lineRule="exact"/>
              <w:ind w:firstLine="480" w:firstLineChars="200"/>
              <w:rPr>
                <w:rFonts w:asciiTheme="minorEastAsia" w:hAnsiTheme="minorEastAsia" w:eastAsiaTheme="minorEastAsia" w:cstheme="minorEastAsia"/>
                <w:kern w:val="0"/>
                <w:sz w:val="24"/>
                <w:szCs w:val="24"/>
                <w:highlight w:val="none"/>
              </w:rPr>
            </w:pPr>
            <w:r>
              <w:rPr>
                <w:rFonts w:hint="eastAsia"/>
                <w:color w:val="auto"/>
                <w:sz w:val="24"/>
                <w:szCs w:val="24"/>
                <w:highlight w:val="none"/>
              </w:rPr>
              <w:t>注：①提供中标（成交）通知书、合同和验收（单）报告复印件，未按要求提供的不得分；②同一单位近三年的同类合同不重复计算业绩，仅算一个业绩。</w:t>
            </w:r>
          </w:p>
        </w:tc>
        <w:tc>
          <w:tcPr>
            <w:tcW w:w="800" w:type="dxa"/>
            <w:tcMar>
              <w:top w:w="15" w:type="dxa"/>
              <w:left w:w="15" w:type="dxa"/>
              <w:right w:w="15" w:type="dxa"/>
            </w:tcMar>
            <w:vAlign w:val="center"/>
          </w:tcPr>
          <w:p>
            <w:pPr>
              <w:pStyle w:val="7"/>
              <w:spacing w:line="440" w:lineRule="exact"/>
              <w:jc w:val="center"/>
              <w:rPr>
                <w:rFonts w:hAnsi="宋体" w:cs="宋体"/>
                <w:sz w:val="24"/>
                <w:szCs w:val="24"/>
                <w:highlight w:val="none"/>
              </w:rPr>
            </w:pPr>
            <w:r>
              <w:rPr>
                <w:rFonts w:hint="eastAsia" w:hAnsi="宋体" w:cs="宋体" w:eastAsiaTheme="minorEastAsia"/>
                <w:sz w:val="24"/>
                <w:szCs w:val="24"/>
                <w:highlight w:val="none"/>
                <w:lang w:val="en-US" w:eastAsia="zh-CN"/>
              </w:rPr>
              <w:t>8</w:t>
            </w:r>
            <w:r>
              <w:rPr>
                <w:rFonts w:hint="eastAsia" w:asciiTheme="minorEastAsia" w:hAnsiTheme="minorEastAsia" w:eastAsiaTheme="minorEastAsia" w:cstheme="minorEastAsia"/>
                <w:kern w:val="0"/>
                <w:sz w:val="24"/>
                <w:szCs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087" w:type="dxa"/>
            <w:vMerge w:val="continue"/>
            <w:tcMar>
              <w:top w:w="15" w:type="dxa"/>
              <w:left w:w="15" w:type="dxa"/>
              <w:right w:w="15" w:type="dxa"/>
            </w:tcMar>
            <w:vAlign w:val="center"/>
          </w:tcPr>
          <w:p>
            <w:pPr>
              <w:pStyle w:val="7"/>
              <w:spacing w:line="440" w:lineRule="exact"/>
              <w:jc w:val="center"/>
              <w:rPr>
                <w:rFonts w:hAnsi="宋体" w:cs="宋体"/>
                <w:sz w:val="24"/>
                <w:szCs w:val="24"/>
                <w:highlight w:val="none"/>
              </w:rPr>
            </w:pPr>
          </w:p>
        </w:tc>
        <w:tc>
          <w:tcPr>
            <w:tcW w:w="805" w:type="dxa"/>
            <w:tcMar>
              <w:top w:w="15" w:type="dxa"/>
              <w:left w:w="15" w:type="dxa"/>
              <w:right w:w="15" w:type="dxa"/>
            </w:tcMar>
            <w:vAlign w:val="center"/>
          </w:tcPr>
          <w:p>
            <w:pPr>
              <w:snapToGrid w:val="0"/>
              <w:spacing w:line="400" w:lineRule="exact"/>
              <w:jc w:val="center"/>
              <w:rPr>
                <w:rFonts w:hint="eastAsia" w:eastAsia="宋体"/>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项目组织方案评价</w:t>
            </w:r>
          </w:p>
        </w:tc>
        <w:tc>
          <w:tcPr>
            <w:tcW w:w="6196" w:type="dxa"/>
            <w:tcMar>
              <w:top w:w="15" w:type="dxa"/>
              <w:left w:w="15" w:type="dxa"/>
              <w:right w:w="15" w:type="dxa"/>
            </w:tcMar>
            <w:vAlign w:val="center"/>
          </w:tcPr>
          <w:p>
            <w:pPr>
              <w:widowControl/>
              <w:spacing w:line="400" w:lineRule="exact"/>
              <w:rPr>
                <w:color w:val="auto"/>
                <w:sz w:val="24"/>
                <w:szCs w:val="24"/>
                <w:highlight w:val="none"/>
              </w:rPr>
            </w:pPr>
            <w:r>
              <w:rPr>
                <w:rFonts w:hint="eastAsia"/>
                <w:color w:val="auto"/>
                <w:sz w:val="24"/>
                <w:szCs w:val="24"/>
                <w:highlight w:val="none"/>
              </w:rPr>
              <w:t>根据</w:t>
            </w:r>
            <w:r>
              <w:rPr>
                <w:rFonts w:hint="eastAsia"/>
                <w:color w:val="auto"/>
                <w:sz w:val="24"/>
                <w:szCs w:val="24"/>
                <w:highlight w:val="none"/>
                <w:lang w:eastAsia="zh-CN"/>
              </w:rPr>
              <w:t>供应商</w:t>
            </w:r>
            <w:r>
              <w:rPr>
                <w:rFonts w:hint="eastAsia"/>
                <w:color w:val="auto"/>
                <w:sz w:val="24"/>
                <w:szCs w:val="24"/>
                <w:highlight w:val="none"/>
              </w:rPr>
              <w:t>提供的</w:t>
            </w:r>
            <w:r>
              <w:rPr>
                <w:rFonts w:hint="eastAsia"/>
                <w:color w:val="auto"/>
                <w:sz w:val="24"/>
                <w:szCs w:val="24"/>
                <w:highlight w:val="none"/>
                <w:lang w:eastAsia="zh-CN"/>
              </w:rPr>
              <w:t>项目组织方案</w:t>
            </w:r>
            <w:r>
              <w:rPr>
                <w:rFonts w:hint="eastAsia"/>
                <w:color w:val="auto"/>
                <w:sz w:val="24"/>
                <w:szCs w:val="24"/>
                <w:highlight w:val="none"/>
              </w:rPr>
              <w:t>进行评分：</w:t>
            </w:r>
          </w:p>
          <w:p>
            <w:pPr>
              <w:widowControl/>
              <w:spacing w:line="400" w:lineRule="exact"/>
              <w:ind w:firstLine="480" w:firstLineChars="200"/>
              <w:rPr>
                <w:color w:val="auto"/>
                <w:sz w:val="24"/>
                <w:szCs w:val="24"/>
                <w:highlight w:val="none"/>
              </w:rPr>
            </w:pPr>
            <w:r>
              <w:rPr>
                <w:rFonts w:hint="eastAsia"/>
                <w:color w:val="auto"/>
                <w:sz w:val="24"/>
                <w:szCs w:val="24"/>
                <w:highlight w:val="none"/>
                <w:lang w:eastAsia="zh-CN"/>
              </w:rPr>
              <w:t>项目组织方案</w:t>
            </w:r>
            <w:r>
              <w:rPr>
                <w:rFonts w:hint="eastAsia"/>
                <w:color w:val="auto"/>
                <w:sz w:val="24"/>
                <w:szCs w:val="24"/>
                <w:highlight w:val="none"/>
              </w:rPr>
              <w:t>包括但不限于：</w:t>
            </w:r>
            <w:r>
              <w:rPr>
                <w:rFonts w:hint="eastAsia"/>
                <w:color w:val="auto"/>
                <w:sz w:val="24"/>
                <w:szCs w:val="24"/>
                <w:highlight w:val="none"/>
                <w:lang w:eastAsia="zh-CN"/>
              </w:rPr>
              <w:t>①</w:t>
            </w:r>
            <w:r>
              <w:rPr>
                <w:rFonts w:hint="eastAsia" w:asciiTheme="majorEastAsia" w:hAnsiTheme="majorEastAsia" w:eastAsiaTheme="majorEastAsia" w:cstheme="majorEastAsia"/>
                <w:color w:val="auto"/>
                <w:sz w:val="24"/>
                <w:szCs w:val="24"/>
                <w:highlight w:val="none"/>
              </w:rPr>
              <w:t>项目人员安排（包含但不限于主要人员名单及基本情况介绍、在本项目中承担的职责等）、</w:t>
            </w:r>
            <w:r>
              <w:rPr>
                <w:rFonts w:hint="eastAsia" w:asciiTheme="majorEastAsia" w:hAnsiTheme="majorEastAsia" w:eastAsiaTheme="majorEastAsia" w:cstheme="majorEastAsia"/>
                <w:color w:val="auto"/>
                <w:sz w:val="24"/>
                <w:szCs w:val="24"/>
                <w:highlight w:val="none"/>
                <w:lang w:eastAsia="zh-CN"/>
              </w:rPr>
              <w:t>②</w:t>
            </w:r>
            <w:r>
              <w:rPr>
                <w:rFonts w:hint="eastAsia" w:asciiTheme="majorEastAsia" w:hAnsiTheme="majorEastAsia" w:eastAsiaTheme="majorEastAsia" w:cstheme="majorEastAsia"/>
                <w:color w:val="auto"/>
                <w:sz w:val="24"/>
                <w:szCs w:val="24"/>
                <w:highlight w:val="none"/>
              </w:rPr>
              <w:t>供货方案（包含但不限于产品来源、供货计划、供货时间等）、</w:t>
            </w:r>
            <w:r>
              <w:rPr>
                <w:rFonts w:hint="eastAsia" w:asciiTheme="majorEastAsia" w:hAnsiTheme="majorEastAsia" w:eastAsiaTheme="majorEastAsia" w:cstheme="majorEastAsia"/>
                <w:color w:val="auto"/>
                <w:sz w:val="24"/>
                <w:szCs w:val="24"/>
                <w:highlight w:val="none"/>
                <w:lang w:eastAsia="zh-CN"/>
              </w:rPr>
              <w:t>③</w:t>
            </w:r>
            <w:r>
              <w:rPr>
                <w:rFonts w:hint="eastAsia" w:asciiTheme="majorEastAsia" w:hAnsiTheme="majorEastAsia" w:eastAsiaTheme="majorEastAsia" w:cstheme="majorEastAsia"/>
                <w:color w:val="auto"/>
                <w:sz w:val="24"/>
                <w:szCs w:val="24"/>
                <w:highlight w:val="none"/>
              </w:rPr>
              <w:t>质量管控方案（包括但不限于质量管控的标准、方法和程序等）、</w:t>
            </w:r>
            <w:r>
              <w:rPr>
                <w:rFonts w:hint="eastAsia" w:asciiTheme="majorEastAsia" w:hAnsiTheme="majorEastAsia" w:eastAsiaTheme="majorEastAsia" w:cstheme="majorEastAsia"/>
                <w:color w:val="auto"/>
                <w:sz w:val="24"/>
                <w:szCs w:val="24"/>
                <w:highlight w:val="none"/>
                <w:lang w:eastAsia="zh-CN"/>
              </w:rPr>
              <w:t>④</w:t>
            </w:r>
            <w:r>
              <w:rPr>
                <w:rFonts w:hint="eastAsia" w:asciiTheme="majorEastAsia" w:hAnsiTheme="majorEastAsia" w:eastAsiaTheme="majorEastAsia" w:cstheme="majorEastAsia"/>
                <w:color w:val="auto"/>
                <w:sz w:val="24"/>
                <w:szCs w:val="24"/>
                <w:highlight w:val="none"/>
              </w:rPr>
              <w:t>测试（调试）方案（包含但不限于人员安排、测试步骤、测试标准等）</w:t>
            </w:r>
            <w:r>
              <w:rPr>
                <w:color w:val="auto"/>
                <w:sz w:val="24"/>
                <w:szCs w:val="24"/>
                <w:highlight w:val="none"/>
              </w:rPr>
              <w:t>等</w:t>
            </w:r>
            <w:r>
              <w:rPr>
                <w:rFonts w:hint="eastAsia"/>
                <w:color w:val="auto"/>
                <w:sz w:val="24"/>
                <w:szCs w:val="24"/>
                <w:highlight w:val="none"/>
              </w:rPr>
              <w:t>4项内容，方案内容完整齐全，符合项目实际（</w:t>
            </w:r>
            <w:r>
              <w:rPr>
                <w:rFonts w:hint="eastAsia" w:asciiTheme="majorEastAsia" w:hAnsiTheme="majorEastAsia" w:eastAsiaTheme="majorEastAsia" w:cstheme="majorEastAsia"/>
                <w:color w:val="auto"/>
                <w:sz w:val="24"/>
                <w:szCs w:val="24"/>
                <w:highlight w:val="none"/>
              </w:rPr>
              <w:t>第六章“项目需求”</w:t>
            </w:r>
            <w:r>
              <w:rPr>
                <w:rFonts w:hint="eastAsia"/>
                <w:color w:val="auto"/>
                <w:sz w:val="24"/>
                <w:szCs w:val="24"/>
                <w:highlight w:val="none"/>
              </w:rPr>
              <w:t>）的，得</w:t>
            </w:r>
            <w:r>
              <w:rPr>
                <w:rFonts w:hint="eastAsia"/>
                <w:color w:val="auto"/>
                <w:sz w:val="24"/>
                <w:szCs w:val="24"/>
                <w:highlight w:val="none"/>
                <w:lang w:val="en-US" w:eastAsia="zh-CN"/>
              </w:rPr>
              <w:t>12</w:t>
            </w:r>
            <w:r>
              <w:rPr>
                <w:rFonts w:hint="eastAsia"/>
                <w:color w:val="auto"/>
                <w:sz w:val="24"/>
                <w:szCs w:val="24"/>
                <w:highlight w:val="none"/>
              </w:rPr>
              <w:t>分；每缺少一项方案内容，或一项内容存在缺陷的，每一项扣</w:t>
            </w:r>
            <w:r>
              <w:rPr>
                <w:rFonts w:hint="eastAsia"/>
                <w:color w:val="auto"/>
                <w:sz w:val="24"/>
                <w:szCs w:val="24"/>
                <w:highlight w:val="none"/>
                <w:lang w:val="en-US" w:eastAsia="zh-CN"/>
              </w:rPr>
              <w:t>3</w:t>
            </w:r>
            <w:r>
              <w:rPr>
                <w:rFonts w:hint="eastAsia"/>
                <w:color w:val="auto"/>
                <w:sz w:val="24"/>
                <w:szCs w:val="24"/>
                <w:highlight w:val="none"/>
              </w:rPr>
              <w:t>分，扣完为止；未提供</w:t>
            </w:r>
            <w:r>
              <w:rPr>
                <w:rFonts w:hint="eastAsia" w:asciiTheme="minorEastAsia" w:hAnsiTheme="minorEastAsia" w:eastAsiaTheme="minorEastAsia" w:cstheme="minorEastAsia"/>
                <w:color w:val="auto"/>
                <w:sz w:val="24"/>
                <w:szCs w:val="24"/>
                <w:highlight w:val="none"/>
                <w:lang w:eastAsia="zh-CN"/>
              </w:rPr>
              <w:t>项目组织方案</w:t>
            </w:r>
            <w:r>
              <w:rPr>
                <w:rFonts w:hint="eastAsia"/>
                <w:color w:val="auto"/>
                <w:sz w:val="24"/>
                <w:szCs w:val="24"/>
                <w:highlight w:val="none"/>
              </w:rPr>
              <w:t>的，此项不得分。</w:t>
            </w:r>
          </w:p>
          <w:p>
            <w:pPr>
              <w:widowControl/>
              <w:spacing w:line="400" w:lineRule="exact"/>
              <w:ind w:firstLine="482" w:firstLineChars="200"/>
              <w:rPr>
                <w:b/>
                <w:bCs/>
                <w:color w:val="auto"/>
                <w:sz w:val="24"/>
                <w:szCs w:val="24"/>
                <w:highlight w:val="none"/>
              </w:rPr>
            </w:pPr>
            <w:r>
              <w:rPr>
                <w:rFonts w:hint="eastAsia"/>
                <w:b/>
                <w:bCs/>
                <w:color w:val="auto"/>
                <w:sz w:val="24"/>
                <w:szCs w:val="24"/>
                <w:highlight w:val="none"/>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00" w:type="dxa"/>
            <w:tcMar>
              <w:top w:w="15" w:type="dxa"/>
              <w:left w:w="15" w:type="dxa"/>
              <w:right w:w="15" w:type="dxa"/>
            </w:tcMar>
            <w:vAlign w:val="center"/>
          </w:tcPr>
          <w:p>
            <w:pPr>
              <w:pStyle w:val="7"/>
              <w:spacing w:line="440" w:lineRule="exact"/>
              <w:jc w:val="center"/>
              <w:rPr>
                <w:rFonts w:hAnsi="宋体" w:cs="宋体"/>
                <w:sz w:val="24"/>
                <w:szCs w:val="24"/>
                <w:highlight w:val="none"/>
              </w:rPr>
            </w:pPr>
            <w:r>
              <w:rPr>
                <w:rFonts w:hint="eastAsia" w:asciiTheme="minorEastAsia" w:hAnsiTheme="minorEastAsia" w:eastAsiaTheme="minorEastAsia" w:cstheme="minorEastAsia"/>
                <w:kern w:val="0"/>
                <w:sz w:val="24"/>
                <w:szCs w:val="24"/>
                <w:highlight w:val="none"/>
                <w:lang w:val="en-US" w:eastAsia="zh-CN"/>
              </w:rPr>
              <w:t>12</w:t>
            </w:r>
            <w:r>
              <w:rPr>
                <w:rFonts w:hint="eastAsia" w:asciiTheme="minorEastAsia" w:hAnsiTheme="minorEastAsia" w:eastAsiaTheme="minorEastAsia" w:cstheme="minorEastAsia"/>
                <w:kern w:val="0"/>
                <w:sz w:val="24"/>
                <w:szCs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87" w:type="dxa"/>
            <w:vMerge w:val="continue"/>
            <w:tcMar>
              <w:top w:w="15" w:type="dxa"/>
              <w:left w:w="15" w:type="dxa"/>
              <w:right w:w="15" w:type="dxa"/>
            </w:tcMar>
            <w:vAlign w:val="center"/>
          </w:tcPr>
          <w:p>
            <w:pPr>
              <w:pStyle w:val="7"/>
              <w:spacing w:line="440" w:lineRule="exact"/>
              <w:jc w:val="center"/>
              <w:rPr>
                <w:rFonts w:hAnsi="宋体" w:cs="宋体"/>
                <w:sz w:val="24"/>
                <w:szCs w:val="24"/>
                <w:highlight w:val="none"/>
              </w:rPr>
            </w:pPr>
          </w:p>
        </w:tc>
        <w:tc>
          <w:tcPr>
            <w:tcW w:w="805" w:type="dxa"/>
            <w:tcMar>
              <w:top w:w="15" w:type="dxa"/>
              <w:left w:w="15" w:type="dxa"/>
              <w:right w:w="15" w:type="dxa"/>
            </w:tcMar>
            <w:vAlign w:val="center"/>
          </w:tcPr>
          <w:p>
            <w:pPr>
              <w:widowControl/>
              <w:spacing w:line="400" w:lineRule="exact"/>
              <w:jc w:val="center"/>
              <w:textAlignment w:val="center"/>
              <w:rPr>
                <w:rFonts w:hAnsi="宋体" w:cs="宋体"/>
                <w:sz w:val="24"/>
                <w:szCs w:val="24"/>
                <w:highlight w:val="none"/>
              </w:rPr>
            </w:pPr>
            <w:r>
              <w:rPr>
                <w:rFonts w:hint="eastAsia" w:asciiTheme="minorEastAsia" w:hAnsiTheme="minorEastAsia" w:eastAsiaTheme="minorEastAsia" w:cstheme="minorEastAsia"/>
                <w:kern w:val="0"/>
                <w:sz w:val="24"/>
                <w:szCs w:val="24"/>
                <w:highlight w:val="none"/>
              </w:rPr>
              <w:t>技术培训方案评价</w:t>
            </w:r>
          </w:p>
        </w:tc>
        <w:tc>
          <w:tcPr>
            <w:tcW w:w="6196" w:type="dxa"/>
            <w:tcMar>
              <w:top w:w="15" w:type="dxa"/>
              <w:left w:w="15" w:type="dxa"/>
              <w:right w:w="15" w:type="dxa"/>
            </w:tcMar>
            <w:vAlign w:val="center"/>
          </w:tcPr>
          <w:p>
            <w:pPr>
              <w:widowControl/>
              <w:spacing w:line="400" w:lineRule="exact"/>
              <w:rPr>
                <w:sz w:val="24"/>
                <w:szCs w:val="24"/>
                <w:highlight w:val="none"/>
              </w:rPr>
            </w:pPr>
            <w:r>
              <w:rPr>
                <w:rFonts w:hint="eastAsia"/>
                <w:sz w:val="24"/>
                <w:szCs w:val="24"/>
                <w:highlight w:val="none"/>
              </w:rPr>
              <w:t>根据</w:t>
            </w:r>
            <w:r>
              <w:rPr>
                <w:rFonts w:hint="eastAsia"/>
                <w:sz w:val="24"/>
                <w:szCs w:val="24"/>
                <w:highlight w:val="none"/>
                <w:lang w:eastAsia="zh-CN"/>
              </w:rPr>
              <w:t>供应商</w:t>
            </w:r>
            <w:r>
              <w:rPr>
                <w:rFonts w:hint="eastAsia"/>
                <w:sz w:val="24"/>
                <w:szCs w:val="24"/>
                <w:highlight w:val="none"/>
              </w:rPr>
              <w:t>提供的技术培训方案进行评分：</w:t>
            </w:r>
          </w:p>
          <w:p>
            <w:pPr>
              <w:widowControl/>
              <w:spacing w:line="400" w:lineRule="exact"/>
              <w:ind w:firstLine="480" w:firstLineChars="200"/>
              <w:rPr>
                <w:sz w:val="24"/>
                <w:szCs w:val="24"/>
                <w:highlight w:val="none"/>
              </w:rPr>
            </w:pPr>
            <w:r>
              <w:rPr>
                <w:rFonts w:hint="eastAsia"/>
                <w:sz w:val="24"/>
                <w:szCs w:val="24"/>
                <w:highlight w:val="none"/>
                <w:lang w:val="en-US" w:eastAsia="zh-CN"/>
              </w:rPr>
              <w:t>技术</w:t>
            </w:r>
            <w:r>
              <w:rPr>
                <w:rFonts w:hint="eastAsia"/>
                <w:sz w:val="24"/>
                <w:szCs w:val="24"/>
                <w:highlight w:val="none"/>
              </w:rPr>
              <w:t>培训方案包括但不限于</w:t>
            </w:r>
            <w:r>
              <w:rPr>
                <w:rFonts w:asciiTheme="majorEastAsia" w:hAnsiTheme="majorEastAsia" w:eastAsiaTheme="majorEastAsia" w:cstheme="majorEastAsia"/>
                <w:sz w:val="24"/>
                <w:szCs w:val="24"/>
                <w:highlight w:val="none"/>
              </w:rPr>
              <w:t>培训内容</w:t>
            </w:r>
            <w:r>
              <w:rPr>
                <w:rFonts w:hint="eastAsia" w:asciiTheme="majorEastAsia" w:hAnsiTheme="majorEastAsia" w:eastAsiaTheme="majorEastAsia" w:cstheme="majorEastAsia"/>
                <w:sz w:val="24"/>
                <w:szCs w:val="24"/>
                <w:highlight w:val="none"/>
              </w:rPr>
              <w:t>、</w:t>
            </w:r>
            <w:r>
              <w:rPr>
                <w:rFonts w:asciiTheme="majorEastAsia" w:hAnsiTheme="majorEastAsia" w:eastAsiaTheme="majorEastAsia" w:cstheme="majorEastAsia"/>
                <w:sz w:val="24"/>
                <w:szCs w:val="24"/>
                <w:highlight w:val="none"/>
              </w:rPr>
              <w:t>培训方式</w:t>
            </w:r>
            <w:r>
              <w:rPr>
                <w:rFonts w:hint="eastAsia" w:asciiTheme="majorEastAsia" w:hAnsiTheme="majorEastAsia" w:eastAsiaTheme="majorEastAsia" w:cstheme="majorEastAsia"/>
                <w:sz w:val="24"/>
                <w:szCs w:val="24"/>
                <w:highlight w:val="none"/>
              </w:rPr>
              <w:t>、</w:t>
            </w:r>
            <w:r>
              <w:rPr>
                <w:rFonts w:asciiTheme="majorEastAsia" w:hAnsiTheme="majorEastAsia" w:eastAsiaTheme="majorEastAsia" w:cstheme="majorEastAsia"/>
                <w:sz w:val="24"/>
                <w:szCs w:val="24"/>
                <w:highlight w:val="none"/>
              </w:rPr>
              <w:t>培训计划</w:t>
            </w:r>
            <w:r>
              <w:rPr>
                <w:rFonts w:hint="eastAsia" w:asciiTheme="majorEastAsia" w:hAnsiTheme="majorEastAsia" w:eastAsiaTheme="majorEastAsia" w:cstheme="majorEastAsia"/>
                <w:sz w:val="24"/>
                <w:szCs w:val="24"/>
                <w:highlight w:val="none"/>
              </w:rPr>
              <w:t>、</w:t>
            </w:r>
            <w:r>
              <w:rPr>
                <w:rFonts w:asciiTheme="majorEastAsia" w:hAnsiTheme="majorEastAsia" w:eastAsiaTheme="majorEastAsia" w:cstheme="majorEastAsia"/>
                <w:sz w:val="24"/>
                <w:szCs w:val="24"/>
                <w:highlight w:val="none"/>
              </w:rPr>
              <w:t>培训团</w:t>
            </w:r>
            <w:r>
              <w:rPr>
                <w:rFonts w:asciiTheme="majorEastAsia" w:hAnsiTheme="majorEastAsia" w:eastAsiaTheme="majorEastAsia" w:cstheme="majorEastAsia"/>
                <w:color w:val="auto"/>
                <w:sz w:val="24"/>
                <w:szCs w:val="24"/>
                <w:highlight w:val="none"/>
              </w:rPr>
              <w:t>队人员配置</w:t>
            </w:r>
            <w:r>
              <w:rPr>
                <w:color w:val="auto"/>
                <w:sz w:val="24"/>
                <w:szCs w:val="24"/>
                <w:highlight w:val="none"/>
              </w:rPr>
              <w:t>等</w:t>
            </w:r>
            <w:r>
              <w:rPr>
                <w:rFonts w:hint="eastAsia"/>
                <w:color w:val="auto"/>
                <w:sz w:val="24"/>
                <w:szCs w:val="24"/>
                <w:highlight w:val="none"/>
              </w:rPr>
              <w:t>4项内容，方案内容完整齐全，符合项目实际（</w:t>
            </w:r>
            <w:r>
              <w:rPr>
                <w:rFonts w:hint="eastAsia" w:asciiTheme="majorEastAsia" w:hAnsiTheme="majorEastAsia" w:eastAsiaTheme="majorEastAsia" w:cstheme="majorEastAsia"/>
                <w:color w:val="auto"/>
                <w:sz w:val="24"/>
                <w:szCs w:val="24"/>
                <w:highlight w:val="none"/>
              </w:rPr>
              <w:t>第六章“项目需求”</w:t>
            </w:r>
            <w:r>
              <w:rPr>
                <w:rFonts w:hint="eastAsia"/>
                <w:color w:val="auto"/>
                <w:sz w:val="24"/>
                <w:szCs w:val="24"/>
                <w:highlight w:val="none"/>
              </w:rPr>
              <w:t>）的，得</w:t>
            </w:r>
            <w:r>
              <w:rPr>
                <w:rFonts w:hint="eastAsia"/>
                <w:color w:val="auto"/>
                <w:sz w:val="24"/>
                <w:szCs w:val="24"/>
                <w:highlight w:val="none"/>
                <w:lang w:val="en-US" w:eastAsia="zh-CN"/>
              </w:rPr>
              <w:t>10</w:t>
            </w:r>
            <w:r>
              <w:rPr>
                <w:rFonts w:hint="eastAsia"/>
                <w:color w:val="auto"/>
                <w:sz w:val="24"/>
                <w:szCs w:val="24"/>
                <w:highlight w:val="none"/>
              </w:rPr>
              <w:t>分；每缺少一项方案内容，或一项内容存在缺陷的，每一项扣</w:t>
            </w:r>
            <w:r>
              <w:rPr>
                <w:rFonts w:hint="eastAsia"/>
                <w:color w:val="auto"/>
                <w:sz w:val="24"/>
                <w:szCs w:val="24"/>
                <w:highlight w:val="none"/>
                <w:lang w:val="en-US" w:eastAsia="zh-CN"/>
              </w:rPr>
              <w:t>2.5</w:t>
            </w:r>
            <w:r>
              <w:rPr>
                <w:rFonts w:hint="eastAsia"/>
                <w:color w:val="auto"/>
                <w:sz w:val="24"/>
                <w:szCs w:val="24"/>
                <w:highlight w:val="none"/>
              </w:rPr>
              <w:t>分，扣完为止；未提供</w:t>
            </w:r>
            <w:r>
              <w:rPr>
                <w:rFonts w:hint="eastAsia" w:asciiTheme="minorEastAsia" w:hAnsiTheme="minorEastAsia" w:eastAsiaTheme="minorEastAsia" w:cstheme="minorEastAsia"/>
                <w:kern w:val="0"/>
                <w:sz w:val="24"/>
                <w:szCs w:val="24"/>
                <w:highlight w:val="none"/>
              </w:rPr>
              <w:t>技术培训方案</w:t>
            </w:r>
            <w:r>
              <w:rPr>
                <w:rFonts w:hint="eastAsia"/>
                <w:color w:val="auto"/>
                <w:sz w:val="24"/>
                <w:szCs w:val="24"/>
                <w:highlight w:val="none"/>
              </w:rPr>
              <w:t>的，此项</w:t>
            </w:r>
            <w:r>
              <w:rPr>
                <w:rFonts w:hint="eastAsia"/>
                <w:sz w:val="24"/>
                <w:szCs w:val="24"/>
                <w:highlight w:val="none"/>
              </w:rPr>
              <w:t>不得分。</w:t>
            </w:r>
          </w:p>
          <w:p>
            <w:pPr>
              <w:snapToGrid w:val="0"/>
              <w:spacing w:line="400" w:lineRule="exact"/>
              <w:ind w:firstLine="482" w:firstLineChars="200"/>
              <w:rPr>
                <w:rFonts w:asciiTheme="minorEastAsia" w:hAnsiTheme="minorEastAsia" w:eastAsiaTheme="minorEastAsia" w:cstheme="minorEastAsia"/>
                <w:kern w:val="0"/>
                <w:sz w:val="24"/>
                <w:szCs w:val="24"/>
                <w:highlight w:val="none"/>
              </w:rPr>
            </w:pPr>
            <w:r>
              <w:rPr>
                <w:rFonts w:hint="eastAsia"/>
                <w:b/>
                <w:bCs/>
                <w:sz w:val="24"/>
                <w:szCs w:val="24"/>
                <w:highlight w:val="none"/>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00" w:type="dxa"/>
            <w:tcMar>
              <w:top w:w="15" w:type="dxa"/>
              <w:left w:w="15" w:type="dxa"/>
              <w:right w:w="15" w:type="dxa"/>
            </w:tcMar>
            <w:vAlign w:val="center"/>
          </w:tcPr>
          <w:p>
            <w:pPr>
              <w:pStyle w:val="7"/>
              <w:spacing w:line="440" w:lineRule="exact"/>
              <w:jc w:val="center"/>
              <w:rPr>
                <w:rFonts w:hAnsi="宋体" w:cs="宋体"/>
                <w:sz w:val="24"/>
                <w:szCs w:val="24"/>
                <w:highlight w:val="none"/>
              </w:rPr>
            </w:pPr>
            <w:r>
              <w:rPr>
                <w:rFonts w:hint="eastAsia" w:asciiTheme="minorEastAsia" w:hAnsiTheme="minorEastAsia" w:eastAsiaTheme="minorEastAsia" w:cstheme="minorEastAsia"/>
                <w:kern w:val="0"/>
                <w:sz w:val="24"/>
                <w:szCs w:val="24"/>
                <w:highlight w:val="none"/>
                <w:lang w:val="en-US" w:eastAsia="zh-CN"/>
              </w:rPr>
              <w:t>10</w:t>
            </w:r>
            <w:r>
              <w:rPr>
                <w:rFonts w:hint="eastAsia" w:asciiTheme="minorEastAsia" w:hAnsiTheme="minorEastAsia" w:eastAsiaTheme="minorEastAsia" w:cstheme="minorEastAsia"/>
                <w:kern w:val="0"/>
                <w:sz w:val="24"/>
                <w:szCs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87" w:type="dxa"/>
            <w:vMerge w:val="continue"/>
            <w:tcMar>
              <w:top w:w="15" w:type="dxa"/>
              <w:left w:w="15" w:type="dxa"/>
              <w:right w:w="15" w:type="dxa"/>
            </w:tcMar>
            <w:vAlign w:val="center"/>
          </w:tcPr>
          <w:p>
            <w:pPr>
              <w:pStyle w:val="7"/>
              <w:spacing w:line="440" w:lineRule="exact"/>
              <w:rPr>
                <w:rFonts w:hAnsi="宋体" w:cs="宋体"/>
                <w:sz w:val="24"/>
                <w:szCs w:val="24"/>
                <w:highlight w:val="none"/>
              </w:rPr>
            </w:pPr>
          </w:p>
        </w:tc>
        <w:tc>
          <w:tcPr>
            <w:tcW w:w="805" w:type="dxa"/>
            <w:tcBorders>
              <w:top w:val="single" w:color="auto" w:sz="4" w:space="0"/>
            </w:tcBorders>
            <w:tcMar>
              <w:top w:w="15" w:type="dxa"/>
              <w:left w:w="15" w:type="dxa"/>
              <w:right w:w="15" w:type="dxa"/>
            </w:tcMar>
            <w:vAlign w:val="center"/>
          </w:tcPr>
          <w:p>
            <w:pPr>
              <w:widowControl/>
              <w:spacing w:line="400" w:lineRule="exact"/>
              <w:jc w:val="center"/>
              <w:textAlignment w:val="center"/>
              <w:rPr>
                <w:rFonts w:hAnsi="宋体" w:cs="宋体"/>
                <w:sz w:val="24"/>
                <w:szCs w:val="24"/>
                <w:highlight w:val="none"/>
              </w:rPr>
            </w:pPr>
            <w:r>
              <w:rPr>
                <w:rFonts w:hint="eastAsia" w:asciiTheme="minorEastAsia" w:hAnsiTheme="minorEastAsia" w:eastAsiaTheme="minorEastAsia" w:cstheme="minorEastAsia"/>
                <w:kern w:val="0"/>
                <w:sz w:val="24"/>
                <w:szCs w:val="24"/>
                <w:highlight w:val="none"/>
              </w:rPr>
              <w:t>售后服务方案评价</w:t>
            </w:r>
          </w:p>
        </w:tc>
        <w:tc>
          <w:tcPr>
            <w:tcW w:w="6196" w:type="dxa"/>
            <w:tcMar>
              <w:top w:w="15" w:type="dxa"/>
              <w:left w:w="15" w:type="dxa"/>
              <w:right w:w="15" w:type="dxa"/>
            </w:tcMar>
            <w:vAlign w:val="center"/>
          </w:tcPr>
          <w:p>
            <w:pPr>
              <w:widowControl/>
              <w:spacing w:line="400" w:lineRule="exact"/>
              <w:rPr>
                <w:sz w:val="24"/>
                <w:szCs w:val="24"/>
                <w:highlight w:val="none"/>
              </w:rPr>
            </w:pPr>
            <w:r>
              <w:rPr>
                <w:rFonts w:hint="eastAsia"/>
                <w:sz w:val="24"/>
                <w:szCs w:val="24"/>
                <w:highlight w:val="none"/>
              </w:rPr>
              <w:t>根据</w:t>
            </w:r>
            <w:r>
              <w:rPr>
                <w:rFonts w:hint="eastAsia"/>
                <w:sz w:val="24"/>
                <w:szCs w:val="24"/>
                <w:highlight w:val="none"/>
                <w:lang w:eastAsia="zh-CN"/>
              </w:rPr>
              <w:t>供应商</w:t>
            </w:r>
            <w:r>
              <w:rPr>
                <w:rFonts w:hint="eastAsia"/>
                <w:sz w:val="24"/>
                <w:szCs w:val="24"/>
                <w:highlight w:val="none"/>
              </w:rPr>
              <w:t>提供的售后服务方案进行评分：</w:t>
            </w:r>
          </w:p>
          <w:p>
            <w:pPr>
              <w:widowControl/>
              <w:spacing w:line="400" w:lineRule="exact"/>
              <w:ind w:firstLine="480" w:firstLineChars="200"/>
              <w:rPr>
                <w:sz w:val="24"/>
                <w:szCs w:val="24"/>
                <w:highlight w:val="none"/>
              </w:rPr>
            </w:pPr>
            <w:r>
              <w:rPr>
                <w:rFonts w:hint="eastAsia"/>
                <w:sz w:val="24"/>
                <w:szCs w:val="24"/>
                <w:highlight w:val="none"/>
              </w:rPr>
              <w:t>售后服务方案包括但不限于：售后</w:t>
            </w:r>
            <w:r>
              <w:rPr>
                <w:sz w:val="24"/>
                <w:szCs w:val="24"/>
                <w:highlight w:val="none"/>
              </w:rPr>
              <w:t>服务承诺</w:t>
            </w:r>
            <w:r>
              <w:rPr>
                <w:rFonts w:hint="eastAsia"/>
                <w:sz w:val="24"/>
                <w:szCs w:val="24"/>
                <w:highlight w:val="none"/>
              </w:rPr>
              <w:t>、售后</w:t>
            </w:r>
            <w:r>
              <w:rPr>
                <w:sz w:val="24"/>
                <w:szCs w:val="24"/>
                <w:highlight w:val="none"/>
              </w:rPr>
              <w:t>服务响应方案</w:t>
            </w:r>
            <w:r>
              <w:rPr>
                <w:rFonts w:hint="eastAsia"/>
                <w:sz w:val="24"/>
                <w:szCs w:val="24"/>
                <w:highlight w:val="none"/>
              </w:rPr>
              <w:t>、售后</w:t>
            </w:r>
            <w:r>
              <w:rPr>
                <w:sz w:val="24"/>
                <w:szCs w:val="24"/>
                <w:highlight w:val="none"/>
              </w:rPr>
              <w:t>服务人员配备</w:t>
            </w:r>
            <w:r>
              <w:rPr>
                <w:rFonts w:hint="eastAsia"/>
                <w:sz w:val="24"/>
                <w:szCs w:val="24"/>
                <w:highlight w:val="none"/>
              </w:rPr>
              <w:t>、</w:t>
            </w:r>
            <w:r>
              <w:rPr>
                <w:sz w:val="24"/>
                <w:szCs w:val="24"/>
                <w:highlight w:val="none"/>
              </w:rPr>
              <w:t>故障响应</w:t>
            </w:r>
            <w:r>
              <w:rPr>
                <w:rFonts w:hint="eastAsia"/>
                <w:sz w:val="24"/>
                <w:szCs w:val="24"/>
                <w:highlight w:val="none"/>
              </w:rPr>
              <w:t>措施、</w:t>
            </w:r>
            <w:r>
              <w:rPr>
                <w:sz w:val="24"/>
                <w:szCs w:val="24"/>
                <w:highlight w:val="none"/>
              </w:rPr>
              <w:t>质保外服务措施</w:t>
            </w:r>
            <w:r>
              <w:rPr>
                <w:rFonts w:hint="eastAsia"/>
                <w:sz w:val="24"/>
                <w:szCs w:val="24"/>
                <w:highlight w:val="none"/>
              </w:rPr>
              <w:t>、备品备件供</w:t>
            </w:r>
            <w:r>
              <w:rPr>
                <w:rFonts w:hint="eastAsia"/>
                <w:color w:val="auto"/>
                <w:sz w:val="24"/>
                <w:szCs w:val="24"/>
                <w:highlight w:val="none"/>
              </w:rPr>
              <w:t>应方案</w:t>
            </w:r>
            <w:r>
              <w:rPr>
                <w:color w:val="auto"/>
                <w:sz w:val="24"/>
                <w:szCs w:val="24"/>
                <w:highlight w:val="none"/>
              </w:rPr>
              <w:t>等</w:t>
            </w:r>
            <w:r>
              <w:rPr>
                <w:rFonts w:hint="eastAsia"/>
                <w:color w:val="auto"/>
                <w:sz w:val="24"/>
                <w:szCs w:val="24"/>
                <w:highlight w:val="none"/>
              </w:rPr>
              <w:t>6项内容，方案内容完整齐全，符合项目实际（</w:t>
            </w:r>
            <w:r>
              <w:rPr>
                <w:rFonts w:hint="eastAsia" w:asciiTheme="majorEastAsia" w:hAnsiTheme="majorEastAsia" w:eastAsiaTheme="majorEastAsia" w:cstheme="majorEastAsia"/>
                <w:color w:val="auto"/>
                <w:sz w:val="24"/>
                <w:szCs w:val="24"/>
                <w:highlight w:val="none"/>
              </w:rPr>
              <w:t>第六章“项目需求”</w:t>
            </w:r>
            <w:r>
              <w:rPr>
                <w:rFonts w:hint="eastAsia"/>
                <w:color w:val="auto"/>
                <w:sz w:val="24"/>
                <w:szCs w:val="24"/>
                <w:highlight w:val="none"/>
              </w:rPr>
              <w:t>）的，得</w:t>
            </w:r>
            <w:r>
              <w:rPr>
                <w:rFonts w:hint="eastAsia"/>
                <w:color w:val="auto"/>
                <w:sz w:val="24"/>
                <w:szCs w:val="24"/>
                <w:highlight w:val="none"/>
                <w:lang w:val="en-US" w:eastAsia="zh-CN"/>
              </w:rPr>
              <w:t>12</w:t>
            </w:r>
            <w:r>
              <w:rPr>
                <w:rFonts w:hint="eastAsia"/>
                <w:color w:val="auto"/>
                <w:sz w:val="24"/>
                <w:szCs w:val="24"/>
                <w:highlight w:val="none"/>
              </w:rPr>
              <w:t>分；每缺少一项方案内容，或一项内容存在缺陷的，每一项扣</w:t>
            </w:r>
            <w:r>
              <w:rPr>
                <w:rFonts w:hint="eastAsia"/>
                <w:color w:val="auto"/>
                <w:sz w:val="24"/>
                <w:szCs w:val="24"/>
                <w:highlight w:val="none"/>
                <w:lang w:val="en-US" w:eastAsia="zh-CN"/>
              </w:rPr>
              <w:t>2</w:t>
            </w:r>
            <w:r>
              <w:rPr>
                <w:rFonts w:hint="eastAsia"/>
                <w:color w:val="auto"/>
                <w:sz w:val="24"/>
                <w:szCs w:val="24"/>
                <w:highlight w:val="none"/>
              </w:rPr>
              <w:t>分，扣完为止；未提供</w:t>
            </w:r>
            <w:r>
              <w:rPr>
                <w:rFonts w:hint="eastAsia" w:asciiTheme="minorEastAsia" w:hAnsiTheme="minorEastAsia" w:eastAsiaTheme="minorEastAsia" w:cstheme="minorEastAsia"/>
                <w:kern w:val="0"/>
                <w:sz w:val="24"/>
                <w:szCs w:val="24"/>
                <w:highlight w:val="none"/>
              </w:rPr>
              <w:t>售后服务方案</w:t>
            </w:r>
            <w:r>
              <w:rPr>
                <w:rFonts w:hint="eastAsia"/>
                <w:color w:val="auto"/>
                <w:sz w:val="24"/>
                <w:szCs w:val="24"/>
                <w:highlight w:val="none"/>
              </w:rPr>
              <w:t>的，此项不</w:t>
            </w:r>
            <w:r>
              <w:rPr>
                <w:rFonts w:hint="eastAsia"/>
                <w:sz w:val="24"/>
                <w:szCs w:val="24"/>
                <w:highlight w:val="none"/>
              </w:rPr>
              <w:t>得分。</w:t>
            </w:r>
          </w:p>
          <w:p>
            <w:pPr>
              <w:snapToGrid w:val="0"/>
              <w:spacing w:line="400" w:lineRule="exact"/>
              <w:ind w:firstLine="482" w:firstLineChars="200"/>
              <w:rPr>
                <w:rFonts w:hAnsi="宋体" w:cs="宋体"/>
                <w:sz w:val="24"/>
                <w:szCs w:val="24"/>
                <w:highlight w:val="none"/>
              </w:rPr>
            </w:pPr>
            <w:r>
              <w:rPr>
                <w:rFonts w:hint="eastAsia"/>
                <w:b/>
                <w:bCs/>
                <w:sz w:val="24"/>
                <w:szCs w:val="24"/>
                <w:highlight w:val="none"/>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00" w:type="dxa"/>
            <w:tcMar>
              <w:top w:w="15" w:type="dxa"/>
              <w:left w:w="15" w:type="dxa"/>
              <w:right w:w="15" w:type="dxa"/>
            </w:tcMar>
            <w:vAlign w:val="center"/>
          </w:tcPr>
          <w:p>
            <w:pPr>
              <w:pStyle w:val="7"/>
              <w:spacing w:line="440" w:lineRule="exact"/>
              <w:jc w:val="center"/>
              <w:rPr>
                <w:rFonts w:hAnsi="宋体" w:cs="宋体"/>
                <w:sz w:val="24"/>
                <w:szCs w:val="24"/>
                <w:highlight w:val="none"/>
              </w:rPr>
            </w:pPr>
            <w:r>
              <w:rPr>
                <w:rFonts w:hint="eastAsia" w:asciiTheme="minorEastAsia" w:hAnsiTheme="minorEastAsia" w:eastAsiaTheme="minorEastAsia" w:cstheme="minorEastAsia"/>
                <w:kern w:val="0"/>
                <w:sz w:val="24"/>
                <w:szCs w:val="24"/>
                <w:highlight w:val="none"/>
                <w:lang w:val="en-US" w:eastAsia="zh-CN"/>
              </w:rPr>
              <w:t>12</w:t>
            </w:r>
            <w:r>
              <w:rPr>
                <w:rFonts w:hint="eastAsia" w:asciiTheme="minorEastAsia" w:hAnsiTheme="minorEastAsia" w:eastAsiaTheme="minorEastAsia" w:cstheme="minorEastAsia"/>
                <w:kern w:val="0"/>
                <w:sz w:val="24"/>
                <w:szCs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8888" w:type="dxa"/>
            <w:gridSpan w:val="4"/>
            <w:tcMar>
              <w:top w:w="15" w:type="dxa"/>
              <w:left w:w="15" w:type="dxa"/>
              <w:right w:w="15" w:type="dxa"/>
            </w:tcMar>
            <w:vAlign w:val="center"/>
          </w:tcPr>
          <w:p>
            <w:pPr>
              <w:pStyle w:val="7"/>
              <w:spacing w:line="440" w:lineRule="exact"/>
              <w:jc w:val="center"/>
              <w:rPr>
                <w:rFonts w:hAnsi="宋体" w:cs="宋体"/>
                <w:sz w:val="24"/>
                <w:szCs w:val="24"/>
                <w:highlight w:val="none"/>
              </w:rPr>
            </w:pPr>
            <w:r>
              <w:rPr>
                <w:rFonts w:hint="eastAsia" w:hAnsi="宋体" w:cs="宋体"/>
                <w:sz w:val="24"/>
                <w:szCs w:val="24"/>
                <w:highlight w:val="none"/>
              </w:rPr>
              <w:t>合计：100分</w:t>
            </w:r>
          </w:p>
        </w:tc>
      </w:tr>
    </w:tbl>
    <w:p>
      <w:pPr>
        <w:pStyle w:val="12"/>
        <w:rPr>
          <w:highlight w:val="none"/>
        </w:rPr>
      </w:pPr>
    </w:p>
    <w:p>
      <w:pPr>
        <w:pStyle w:val="12"/>
        <w:rPr>
          <w:highlight w:val="none"/>
        </w:rPr>
      </w:pPr>
    </w:p>
    <w:p>
      <w:pPr>
        <w:pStyle w:val="12"/>
        <w:rPr>
          <w:highlight w:val="none"/>
        </w:rPr>
      </w:pPr>
    </w:p>
    <w:p>
      <w:pPr>
        <w:pStyle w:val="12"/>
        <w:rPr>
          <w:highlight w:val="none"/>
        </w:rPr>
      </w:pPr>
    </w:p>
    <w:p>
      <w:pPr>
        <w:pStyle w:val="12"/>
        <w:rPr>
          <w:highlight w:val="none"/>
        </w:rPr>
      </w:pPr>
    </w:p>
    <w:p>
      <w:pPr>
        <w:pStyle w:val="12"/>
        <w:rPr>
          <w:highlight w:val="none"/>
        </w:rPr>
      </w:pPr>
    </w:p>
    <w:p>
      <w:pPr>
        <w:pStyle w:val="12"/>
        <w:rPr>
          <w:highlight w:val="none"/>
        </w:rPr>
      </w:pPr>
    </w:p>
    <w:p>
      <w:pPr>
        <w:pStyle w:val="12"/>
        <w:rPr>
          <w:highlight w:val="none"/>
        </w:rPr>
      </w:pPr>
    </w:p>
    <w:p>
      <w:pPr>
        <w:pStyle w:val="12"/>
        <w:rPr>
          <w:highlight w:val="none"/>
        </w:rPr>
      </w:pPr>
    </w:p>
    <w:p>
      <w:pPr>
        <w:pStyle w:val="12"/>
        <w:rPr>
          <w:highlight w:val="none"/>
        </w:rPr>
      </w:pPr>
    </w:p>
    <w:p>
      <w:pPr>
        <w:pStyle w:val="12"/>
        <w:rPr>
          <w:highlight w:val="none"/>
        </w:rPr>
      </w:pPr>
    </w:p>
    <w:p>
      <w:pPr>
        <w:pStyle w:val="12"/>
        <w:rPr>
          <w:highlight w:val="none"/>
        </w:rPr>
      </w:pPr>
    </w:p>
    <w:p>
      <w:pPr>
        <w:pStyle w:val="12"/>
        <w:rPr>
          <w:highlight w:val="none"/>
        </w:rPr>
      </w:pPr>
    </w:p>
    <w:p>
      <w:pPr>
        <w:pStyle w:val="12"/>
        <w:rPr>
          <w:highlight w:val="none"/>
        </w:rPr>
      </w:pPr>
    </w:p>
    <w:p>
      <w:pPr>
        <w:pStyle w:val="12"/>
        <w:rPr>
          <w:highlight w:val="none"/>
        </w:rPr>
      </w:pPr>
    </w:p>
    <w:p>
      <w:pPr>
        <w:pStyle w:val="12"/>
        <w:rPr>
          <w:highlight w:val="none"/>
        </w:rPr>
      </w:pPr>
    </w:p>
    <w:p>
      <w:pPr>
        <w:pStyle w:val="12"/>
        <w:rPr>
          <w:highlight w:val="none"/>
        </w:rPr>
      </w:pPr>
    </w:p>
    <w:p>
      <w:pPr>
        <w:pStyle w:val="12"/>
        <w:rPr>
          <w:highlight w:val="none"/>
        </w:rPr>
      </w:pPr>
    </w:p>
    <w:p>
      <w:pPr>
        <w:pStyle w:val="12"/>
        <w:rPr>
          <w:highlight w:val="none"/>
        </w:rPr>
      </w:pPr>
    </w:p>
    <w:p>
      <w:pPr>
        <w:pStyle w:val="12"/>
        <w:rPr>
          <w:highlight w:val="none"/>
        </w:rPr>
      </w:pPr>
    </w:p>
    <w:p>
      <w:pPr>
        <w:pStyle w:val="12"/>
        <w:rPr>
          <w:highlight w:val="none"/>
        </w:rPr>
      </w:pPr>
    </w:p>
    <w:p>
      <w:pPr>
        <w:pStyle w:val="12"/>
        <w:rPr>
          <w:highlight w:val="none"/>
        </w:rPr>
      </w:pPr>
    </w:p>
    <w:p>
      <w:pPr>
        <w:pStyle w:val="12"/>
        <w:rPr>
          <w:highlight w:val="none"/>
        </w:rPr>
      </w:pPr>
    </w:p>
    <w:p>
      <w:pPr>
        <w:pStyle w:val="12"/>
        <w:rPr>
          <w:highlight w:val="none"/>
        </w:rPr>
      </w:pPr>
    </w:p>
    <w:p>
      <w:pPr>
        <w:pStyle w:val="12"/>
        <w:rPr>
          <w:highlight w:val="none"/>
        </w:rPr>
      </w:pPr>
    </w:p>
    <w:p>
      <w:pPr>
        <w:pStyle w:val="12"/>
        <w:rPr>
          <w:highlight w:val="none"/>
        </w:rPr>
      </w:pPr>
    </w:p>
    <w:p>
      <w:pPr>
        <w:pStyle w:val="12"/>
        <w:rPr>
          <w:highlight w:val="none"/>
        </w:rPr>
      </w:pPr>
    </w:p>
    <w:p>
      <w:pPr>
        <w:pStyle w:val="12"/>
        <w:rPr>
          <w:highlight w:val="none"/>
        </w:rPr>
      </w:pPr>
    </w:p>
    <w:p>
      <w:pPr>
        <w:pStyle w:val="12"/>
        <w:rPr>
          <w:highlight w:val="none"/>
        </w:rPr>
      </w:pPr>
    </w:p>
    <w:p>
      <w:pPr>
        <w:pStyle w:val="12"/>
        <w:rPr>
          <w:highlight w:val="none"/>
        </w:rPr>
      </w:pPr>
    </w:p>
    <w:p>
      <w:pPr>
        <w:pStyle w:val="12"/>
        <w:rPr>
          <w:highlight w:val="none"/>
        </w:rPr>
      </w:pPr>
    </w:p>
    <w:p>
      <w:pPr>
        <w:pStyle w:val="12"/>
        <w:rPr>
          <w:highlight w:val="none"/>
        </w:rPr>
      </w:pPr>
    </w:p>
    <w:p>
      <w:pPr>
        <w:pStyle w:val="12"/>
        <w:rPr>
          <w:highlight w:val="none"/>
        </w:rPr>
      </w:pPr>
    </w:p>
    <w:p>
      <w:pPr>
        <w:pStyle w:val="12"/>
        <w:rPr>
          <w:highlight w:val="none"/>
        </w:rPr>
      </w:pPr>
    </w:p>
    <w:p>
      <w:pPr>
        <w:pStyle w:val="12"/>
        <w:rPr>
          <w:highlight w:val="none"/>
        </w:rPr>
      </w:pPr>
    </w:p>
    <w:p>
      <w:pPr>
        <w:pStyle w:val="12"/>
        <w:rPr>
          <w:highlight w:val="none"/>
        </w:rPr>
      </w:pPr>
    </w:p>
    <w:p>
      <w:pPr>
        <w:pStyle w:val="12"/>
        <w:rPr>
          <w:highlight w:val="none"/>
        </w:rPr>
      </w:pPr>
    </w:p>
    <w:p>
      <w:pPr>
        <w:pStyle w:val="12"/>
        <w:rPr>
          <w:highlight w:val="none"/>
        </w:rPr>
      </w:pPr>
    </w:p>
    <w:p>
      <w:pPr>
        <w:pStyle w:val="12"/>
        <w:rPr>
          <w:highlight w:val="none"/>
        </w:rPr>
      </w:pPr>
    </w:p>
    <w:p>
      <w:pPr>
        <w:pStyle w:val="12"/>
        <w:rPr>
          <w:highlight w:val="none"/>
        </w:rPr>
      </w:pPr>
    </w:p>
    <w:p>
      <w:pPr>
        <w:pStyle w:val="12"/>
        <w:rPr>
          <w:highlight w:val="none"/>
        </w:rPr>
      </w:pPr>
    </w:p>
    <w:p>
      <w:pPr>
        <w:pStyle w:val="12"/>
        <w:rPr>
          <w:highlight w:val="none"/>
        </w:rPr>
      </w:pPr>
    </w:p>
    <w:p>
      <w:pPr>
        <w:pStyle w:val="12"/>
        <w:rPr>
          <w:highlight w:val="none"/>
        </w:rPr>
      </w:pPr>
    </w:p>
    <w:p>
      <w:pPr>
        <w:pStyle w:val="12"/>
        <w:rPr>
          <w:highlight w:val="none"/>
        </w:rPr>
      </w:pPr>
    </w:p>
    <w:p>
      <w:pPr>
        <w:pStyle w:val="12"/>
        <w:rPr>
          <w:highlight w:val="none"/>
        </w:rPr>
      </w:pPr>
    </w:p>
    <w:p>
      <w:pPr>
        <w:pStyle w:val="3"/>
        <w:ind w:firstLine="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w:t>
      </w:r>
      <w:r>
        <w:rPr>
          <w:rFonts w:hint="eastAsia" w:asciiTheme="minorEastAsia" w:hAnsiTheme="minorEastAsia" w:eastAsiaTheme="minorEastAsia" w:cstheme="minorEastAsia"/>
          <w:b/>
          <w:sz w:val="24"/>
          <w:szCs w:val="24"/>
          <w:highlight w:val="none"/>
          <w:lang w:val="en-US" w:eastAsia="zh-CN"/>
        </w:rPr>
        <w:t>4</w:t>
      </w:r>
      <w:r>
        <w:rPr>
          <w:rFonts w:hint="eastAsia" w:asciiTheme="minorEastAsia" w:hAnsiTheme="minorEastAsia" w:eastAsiaTheme="minorEastAsia" w:cstheme="minorEastAsia"/>
          <w:b/>
          <w:sz w:val="24"/>
          <w:szCs w:val="24"/>
          <w:highlight w:val="none"/>
        </w:rPr>
        <w:t>）第</w:t>
      </w:r>
      <w:r>
        <w:rPr>
          <w:rFonts w:hint="eastAsia" w:asciiTheme="minorEastAsia" w:hAnsiTheme="minorEastAsia" w:eastAsiaTheme="minorEastAsia" w:cstheme="minorEastAsia"/>
          <w:b/>
          <w:sz w:val="24"/>
          <w:szCs w:val="24"/>
          <w:highlight w:val="none"/>
          <w:lang w:val="en-US" w:eastAsia="zh-CN"/>
        </w:rPr>
        <w:t>四</w:t>
      </w:r>
      <w:r>
        <w:rPr>
          <w:rFonts w:hint="eastAsia" w:asciiTheme="minorEastAsia" w:hAnsiTheme="minorEastAsia" w:eastAsiaTheme="minorEastAsia" w:cstheme="minorEastAsia"/>
          <w:b/>
          <w:sz w:val="24"/>
          <w:szCs w:val="24"/>
          <w:highlight w:val="none"/>
        </w:rPr>
        <w:t>包评分标准</w:t>
      </w:r>
    </w:p>
    <w:tbl>
      <w:tblPr>
        <w:tblStyle w:val="15"/>
        <w:tblW w:w="88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7"/>
        <w:gridCol w:w="805"/>
        <w:gridCol w:w="6196"/>
        <w:gridCol w:w="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87" w:type="dxa"/>
            <w:tcMar>
              <w:top w:w="15" w:type="dxa"/>
              <w:left w:w="15" w:type="dxa"/>
              <w:right w:w="15" w:type="dxa"/>
            </w:tcMar>
            <w:vAlign w:val="center"/>
          </w:tcPr>
          <w:p>
            <w:pPr>
              <w:pStyle w:val="7"/>
              <w:spacing w:line="440" w:lineRule="exact"/>
              <w:jc w:val="center"/>
              <w:rPr>
                <w:rFonts w:hAnsi="宋体" w:cs="宋体"/>
                <w:b/>
                <w:bCs/>
                <w:sz w:val="24"/>
                <w:szCs w:val="24"/>
                <w:highlight w:val="none"/>
              </w:rPr>
            </w:pPr>
            <w:r>
              <w:rPr>
                <w:rFonts w:hint="eastAsia" w:hAnsi="宋体" w:cs="宋体"/>
                <w:b/>
                <w:bCs/>
                <w:sz w:val="24"/>
                <w:szCs w:val="24"/>
                <w:highlight w:val="none"/>
              </w:rPr>
              <w:t>评分因素及权重</w:t>
            </w:r>
          </w:p>
        </w:tc>
        <w:tc>
          <w:tcPr>
            <w:tcW w:w="805" w:type="dxa"/>
            <w:tcMar>
              <w:top w:w="15" w:type="dxa"/>
              <w:left w:w="15" w:type="dxa"/>
              <w:right w:w="15" w:type="dxa"/>
            </w:tcMar>
            <w:vAlign w:val="center"/>
          </w:tcPr>
          <w:p>
            <w:pPr>
              <w:pStyle w:val="7"/>
              <w:spacing w:line="440" w:lineRule="exact"/>
              <w:jc w:val="center"/>
              <w:rPr>
                <w:rFonts w:hAnsi="宋体" w:cs="宋体"/>
                <w:b/>
                <w:bCs/>
                <w:sz w:val="24"/>
                <w:szCs w:val="24"/>
                <w:highlight w:val="none"/>
              </w:rPr>
            </w:pPr>
            <w:r>
              <w:rPr>
                <w:rFonts w:hint="eastAsia" w:hAnsi="宋体" w:cs="宋体"/>
                <w:b/>
                <w:bCs/>
                <w:sz w:val="24"/>
                <w:szCs w:val="24"/>
                <w:highlight w:val="none"/>
              </w:rPr>
              <w:t>评标因素</w:t>
            </w:r>
          </w:p>
        </w:tc>
        <w:tc>
          <w:tcPr>
            <w:tcW w:w="6196" w:type="dxa"/>
            <w:tcMar>
              <w:top w:w="15" w:type="dxa"/>
              <w:left w:w="15" w:type="dxa"/>
              <w:right w:w="15" w:type="dxa"/>
            </w:tcMar>
            <w:vAlign w:val="center"/>
          </w:tcPr>
          <w:p>
            <w:pPr>
              <w:pStyle w:val="7"/>
              <w:spacing w:line="440" w:lineRule="exact"/>
              <w:jc w:val="center"/>
              <w:rPr>
                <w:rFonts w:hAnsi="宋体" w:cs="宋体"/>
                <w:b/>
                <w:bCs/>
                <w:sz w:val="24"/>
                <w:szCs w:val="24"/>
                <w:highlight w:val="none"/>
              </w:rPr>
            </w:pPr>
            <w:r>
              <w:rPr>
                <w:rFonts w:hint="eastAsia" w:hAnsi="宋体" w:cs="宋体"/>
                <w:b/>
                <w:bCs/>
                <w:sz w:val="24"/>
                <w:szCs w:val="24"/>
                <w:highlight w:val="none"/>
              </w:rPr>
              <w:t>评分标准</w:t>
            </w:r>
          </w:p>
        </w:tc>
        <w:tc>
          <w:tcPr>
            <w:tcW w:w="800" w:type="dxa"/>
            <w:tcMar>
              <w:top w:w="15" w:type="dxa"/>
              <w:left w:w="15" w:type="dxa"/>
              <w:right w:w="15" w:type="dxa"/>
            </w:tcMar>
            <w:vAlign w:val="center"/>
          </w:tcPr>
          <w:p>
            <w:pPr>
              <w:pStyle w:val="7"/>
              <w:spacing w:line="440" w:lineRule="exact"/>
              <w:jc w:val="center"/>
              <w:rPr>
                <w:rFonts w:hAnsi="宋体" w:cs="宋体"/>
                <w:b/>
                <w:bCs/>
                <w:sz w:val="24"/>
                <w:szCs w:val="24"/>
                <w:highlight w:val="none"/>
              </w:rPr>
            </w:pPr>
            <w:r>
              <w:rPr>
                <w:rFonts w:hint="eastAsia" w:hAnsi="宋体" w:cs="宋体"/>
                <w:b/>
                <w:bCs/>
                <w:sz w:val="24"/>
                <w:szCs w:val="24"/>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87" w:type="dxa"/>
            <w:tcMar>
              <w:top w:w="15" w:type="dxa"/>
              <w:left w:w="15" w:type="dxa"/>
              <w:right w:w="15" w:type="dxa"/>
            </w:tcMar>
            <w:vAlign w:val="center"/>
          </w:tcPr>
          <w:p>
            <w:pPr>
              <w:widowControl/>
              <w:spacing w:line="400" w:lineRule="exact"/>
              <w:jc w:val="center"/>
              <w:textAlignment w:val="center"/>
              <w:rPr>
                <w:rFonts w:hAnsi="宋体" w:cs="宋体"/>
                <w:b/>
                <w:bCs/>
                <w:sz w:val="24"/>
                <w:szCs w:val="24"/>
                <w:highlight w:val="none"/>
              </w:rPr>
            </w:pPr>
            <w:r>
              <w:rPr>
                <w:rFonts w:hint="eastAsia" w:asciiTheme="minorEastAsia" w:hAnsiTheme="minorEastAsia" w:eastAsiaTheme="minorEastAsia" w:cstheme="minorEastAsia"/>
                <w:kern w:val="0"/>
                <w:sz w:val="24"/>
                <w:szCs w:val="24"/>
                <w:highlight w:val="none"/>
              </w:rPr>
              <w:t>价格部分（30分）</w:t>
            </w:r>
          </w:p>
        </w:tc>
        <w:tc>
          <w:tcPr>
            <w:tcW w:w="805" w:type="dxa"/>
            <w:tcMar>
              <w:top w:w="15" w:type="dxa"/>
              <w:left w:w="15" w:type="dxa"/>
              <w:right w:w="15" w:type="dxa"/>
            </w:tcMar>
            <w:vAlign w:val="center"/>
          </w:tcPr>
          <w:p>
            <w:pPr>
              <w:widowControl/>
              <w:spacing w:line="400" w:lineRule="exact"/>
              <w:jc w:val="center"/>
              <w:textAlignment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投标</w:t>
            </w:r>
          </w:p>
          <w:p>
            <w:pPr>
              <w:widowControl/>
              <w:spacing w:line="400" w:lineRule="exact"/>
              <w:jc w:val="center"/>
              <w:textAlignment w:val="center"/>
              <w:rPr>
                <w:rFonts w:hAnsi="宋体" w:cs="宋体"/>
                <w:b/>
                <w:bCs/>
                <w:sz w:val="24"/>
                <w:szCs w:val="24"/>
                <w:highlight w:val="none"/>
              </w:rPr>
            </w:pPr>
            <w:r>
              <w:rPr>
                <w:rFonts w:hint="eastAsia" w:asciiTheme="minorEastAsia" w:hAnsiTheme="minorEastAsia" w:eastAsiaTheme="minorEastAsia" w:cstheme="minorEastAsia"/>
                <w:kern w:val="0"/>
                <w:sz w:val="24"/>
                <w:szCs w:val="24"/>
                <w:highlight w:val="none"/>
              </w:rPr>
              <w:t>报价</w:t>
            </w:r>
          </w:p>
        </w:tc>
        <w:tc>
          <w:tcPr>
            <w:tcW w:w="6196" w:type="dxa"/>
            <w:tcMar>
              <w:top w:w="15" w:type="dxa"/>
              <w:left w:w="15" w:type="dxa"/>
              <w:right w:w="15" w:type="dxa"/>
            </w:tcMar>
            <w:vAlign w:val="center"/>
          </w:tcPr>
          <w:p>
            <w:pPr>
              <w:widowControl/>
              <w:spacing w:line="400" w:lineRule="exact"/>
              <w:ind w:firstLine="480" w:firstLineChars="200"/>
              <w:textAlignment w:val="center"/>
              <w:rPr>
                <w:highlight w:val="none"/>
              </w:rPr>
            </w:pPr>
            <w:r>
              <w:rPr>
                <w:rFonts w:hint="eastAsia" w:asciiTheme="minorEastAsia" w:hAnsiTheme="minorEastAsia" w:eastAsiaTheme="minorEastAsia" w:cstheme="minorEastAsia"/>
                <w:kern w:val="0"/>
                <w:sz w:val="24"/>
                <w:szCs w:val="24"/>
                <w:highlight w:val="none"/>
              </w:rPr>
              <w:t>综合评分法中的价格分统一采用低价优先法计算，即满足招标文件要求且投标价格最低的投标报价为评标基准价，其价格分为满分30分，其它投标报价得分=评标基准价/</w:t>
            </w:r>
            <w:r>
              <w:rPr>
                <w:rFonts w:hint="eastAsia" w:asciiTheme="minorEastAsia" w:hAnsiTheme="minorEastAsia" w:eastAsiaTheme="minorEastAsia" w:cstheme="minorEastAsia"/>
                <w:kern w:val="0"/>
                <w:sz w:val="24"/>
                <w:szCs w:val="24"/>
                <w:highlight w:val="none"/>
                <w:lang w:eastAsia="zh-CN"/>
              </w:rPr>
              <w:t>有效投标报价</w:t>
            </w:r>
            <w:r>
              <w:rPr>
                <w:rFonts w:hint="eastAsia" w:asciiTheme="minorEastAsia" w:hAnsiTheme="minorEastAsia" w:eastAsiaTheme="minorEastAsia" w:cstheme="minorEastAsia"/>
                <w:kern w:val="0"/>
                <w:sz w:val="24"/>
                <w:szCs w:val="24"/>
                <w:highlight w:val="none"/>
              </w:rPr>
              <w:t>*30</w:t>
            </w:r>
          </w:p>
        </w:tc>
        <w:tc>
          <w:tcPr>
            <w:tcW w:w="800" w:type="dxa"/>
            <w:tcMar>
              <w:top w:w="15" w:type="dxa"/>
              <w:left w:w="15" w:type="dxa"/>
              <w:right w:w="15" w:type="dxa"/>
            </w:tcMar>
            <w:vAlign w:val="center"/>
          </w:tcPr>
          <w:p>
            <w:pPr>
              <w:widowControl/>
              <w:spacing w:line="400" w:lineRule="exact"/>
              <w:jc w:val="center"/>
              <w:textAlignment w:val="center"/>
              <w:rPr>
                <w:rFonts w:hAnsi="宋体" w:cs="宋体"/>
                <w:b/>
                <w:bCs/>
                <w:sz w:val="24"/>
                <w:szCs w:val="24"/>
                <w:highlight w:val="none"/>
              </w:rPr>
            </w:pPr>
            <w:r>
              <w:rPr>
                <w:rFonts w:hint="eastAsia" w:asciiTheme="minorEastAsia" w:hAnsiTheme="minorEastAsia" w:eastAsiaTheme="minorEastAsia" w:cstheme="minorEastAsia"/>
                <w:kern w:val="0"/>
                <w:sz w:val="24"/>
                <w:szCs w:val="24"/>
                <w:highlight w:val="none"/>
              </w:rPr>
              <w:t>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087" w:type="dxa"/>
            <w:vMerge w:val="restart"/>
            <w:tcMar>
              <w:top w:w="15" w:type="dxa"/>
              <w:left w:w="15" w:type="dxa"/>
              <w:right w:w="15" w:type="dxa"/>
            </w:tcMar>
            <w:vAlign w:val="center"/>
          </w:tcPr>
          <w:p>
            <w:pPr>
              <w:pStyle w:val="7"/>
              <w:spacing w:line="440" w:lineRule="exact"/>
              <w:jc w:val="center"/>
              <w:rPr>
                <w:rFonts w:hAnsi="宋体" w:cs="宋体"/>
                <w:sz w:val="24"/>
                <w:szCs w:val="24"/>
                <w:highlight w:val="none"/>
              </w:rPr>
            </w:pPr>
            <w:r>
              <w:rPr>
                <w:rFonts w:hint="eastAsia" w:hAnsi="宋体" w:cs="宋体"/>
                <w:sz w:val="24"/>
                <w:szCs w:val="24"/>
                <w:highlight w:val="none"/>
              </w:rPr>
              <w:t>技术和商务部分</w:t>
            </w:r>
          </w:p>
          <w:p>
            <w:pPr>
              <w:pStyle w:val="7"/>
              <w:spacing w:line="440" w:lineRule="exact"/>
              <w:jc w:val="center"/>
              <w:rPr>
                <w:rFonts w:hAnsi="宋体" w:cs="宋体"/>
                <w:sz w:val="24"/>
                <w:szCs w:val="24"/>
                <w:highlight w:val="none"/>
              </w:rPr>
            </w:pPr>
            <w:r>
              <w:rPr>
                <w:rFonts w:hint="eastAsia" w:hAnsi="宋体" w:cs="宋体"/>
                <w:sz w:val="24"/>
                <w:szCs w:val="24"/>
                <w:highlight w:val="none"/>
              </w:rPr>
              <w:t>（70分）</w:t>
            </w:r>
          </w:p>
        </w:tc>
        <w:tc>
          <w:tcPr>
            <w:tcW w:w="805" w:type="dxa"/>
            <w:tcMar>
              <w:top w:w="15" w:type="dxa"/>
              <w:left w:w="15" w:type="dxa"/>
              <w:right w:w="15" w:type="dxa"/>
            </w:tcMar>
            <w:vAlign w:val="center"/>
          </w:tcPr>
          <w:p>
            <w:pPr>
              <w:pStyle w:val="7"/>
              <w:spacing w:line="440" w:lineRule="exact"/>
              <w:jc w:val="center"/>
              <w:rPr>
                <w:rFonts w:hAnsi="宋体" w:cs="宋体"/>
                <w:sz w:val="24"/>
                <w:szCs w:val="24"/>
                <w:highlight w:val="none"/>
              </w:rPr>
            </w:pPr>
            <w:r>
              <w:rPr>
                <w:rFonts w:hint="eastAsia" w:hAnsi="宋体" w:cs="宋体"/>
                <w:sz w:val="24"/>
                <w:szCs w:val="24"/>
                <w:highlight w:val="none"/>
              </w:rPr>
              <w:t>技术参数响应评价</w:t>
            </w:r>
          </w:p>
        </w:tc>
        <w:tc>
          <w:tcPr>
            <w:tcW w:w="6196" w:type="dxa"/>
            <w:tcMar>
              <w:top w:w="15" w:type="dxa"/>
              <w:left w:w="15" w:type="dxa"/>
              <w:right w:w="15" w:type="dxa"/>
            </w:tcMar>
            <w:vAlign w:val="center"/>
          </w:tcPr>
          <w:p>
            <w:pPr>
              <w:pStyle w:val="7"/>
              <w:spacing w:line="440" w:lineRule="exact"/>
              <w:ind w:firstLine="480"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对照第六章“项目需求”第</w:t>
            </w:r>
            <w:r>
              <w:rPr>
                <w:rFonts w:hint="eastAsia" w:asciiTheme="minorEastAsia" w:hAnsiTheme="minorEastAsia" w:eastAsiaTheme="minorEastAsia" w:cstheme="minorEastAsia"/>
                <w:color w:val="auto"/>
                <w:kern w:val="0"/>
                <w:sz w:val="24"/>
                <w:szCs w:val="24"/>
                <w:highlight w:val="none"/>
                <w:lang w:val="en-US" w:eastAsia="zh-CN"/>
              </w:rPr>
              <w:t>四</w:t>
            </w:r>
            <w:r>
              <w:rPr>
                <w:rFonts w:hint="eastAsia" w:asciiTheme="minorEastAsia" w:hAnsiTheme="minorEastAsia" w:eastAsiaTheme="minorEastAsia" w:cstheme="minorEastAsia"/>
                <w:color w:val="auto"/>
                <w:kern w:val="0"/>
                <w:sz w:val="24"/>
                <w:szCs w:val="24"/>
                <w:highlight w:val="none"/>
              </w:rPr>
              <w:t>包的技术参数（每条技术参数前标注“★”的为核心技术参数</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标注“▲”的为主要技术参数，</w:t>
            </w:r>
            <w:r>
              <w:rPr>
                <w:rFonts w:hint="eastAsia" w:asciiTheme="minorEastAsia" w:hAnsiTheme="minorEastAsia" w:eastAsiaTheme="minorEastAsia" w:cstheme="minorEastAsia"/>
                <w:color w:val="auto"/>
                <w:kern w:val="0"/>
                <w:sz w:val="24"/>
                <w:szCs w:val="24"/>
                <w:highlight w:val="none"/>
              </w:rPr>
              <w:t>未标注的为一般技术参数），根据</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提供的产品配置及技术性能指标的响应情况进行评审。</w:t>
            </w:r>
          </w:p>
          <w:p>
            <w:pPr>
              <w:pStyle w:val="7"/>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1.本标包</w:t>
            </w:r>
            <w:r>
              <w:rPr>
                <w:rFonts w:hint="eastAsia" w:asciiTheme="minorEastAsia" w:hAnsiTheme="minorEastAsia" w:eastAsiaTheme="minorEastAsia" w:cstheme="minorEastAsia"/>
                <w:color w:val="auto"/>
                <w:kern w:val="0"/>
                <w:sz w:val="24"/>
                <w:szCs w:val="24"/>
                <w:highlight w:val="none"/>
                <w:lang w:val="en-US" w:eastAsia="zh-CN"/>
              </w:rPr>
              <w:t>7</w:t>
            </w:r>
            <w:r>
              <w:rPr>
                <w:rFonts w:hint="eastAsia" w:asciiTheme="minorEastAsia" w:hAnsiTheme="minorEastAsia" w:eastAsiaTheme="minorEastAsia" w:cstheme="minorEastAsia"/>
                <w:color w:val="auto"/>
                <w:kern w:val="0"/>
                <w:sz w:val="24"/>
                <w:szCs w:val="24"/>
                <w:highlight w:val="none"/>
              </w:rPr>
              <w:t>种产品，</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每有一种所投产品技术参数完全响应招标文件要求的，得</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分，最多得</w:t>
            </w:r>
            <w:r>
              <w:rPr>
                <w:rFonts w:hint="eastAsia" w:asciiTheme="minorEastAsia" w:hAnsiTheme="minorEastAsia" w:eastAsiaTheme="minorEastAsia" w:cstheme="minorEastAsia"/>
                <w:color w:val="auto"/>
                <w:kern w:val="0"/>
                <w:sz w:val="24"/>
                <w:szCs w:val="24"/>
                <w:highlight w:val="none"/>
                <w:lang w:val="en-US" w:eastAsia="zh-CN"/>
              </w:rPr>
              <w:t>35</w:t>
            </w:r>
            <w:r>
              <w:rPr>
                <w:rFonts w:hint="eastAsia" w:asciiTheme="minorEastAsia" w:hAnsiTheme="minorEastAsia" w:eastAsiaTheme="minorEastAsia" w:cstheme="minorEastAsia"/>
                <w:color w:val="auto"/>
                <w:kern w:val="0"/>
                <w:sz w:val="24"/>
                <w:szCs w:val="24"/>
                <w:highlight w:val="none"/>
              </w:rPr>
              <w:t>分；</w:t>
            </w:r>
          </w:p>
          <w:p>
            <w:pPr>
              <w:pStyle w:val="12"/>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default" w:asciiTheme="minorEastAsia" w:hAnsiTheme="minorEastAsia" w:eastAsiaTheme="minorEastAsia" w:cstheme="minorEastAsia"/>
                <w:color w:val="auto"/>
                <w:kern w:val="0"/>
                <w:sz w:val="24"/>
                <w:szCs w:val="24"/>
                <w:highlight w:val="none"/>
                <w:lang w:val="en-US"/>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eastAsia="zh-CN"/>
              </w:rPr>
              <w:t>每种</w:t>
            </w:r>
            <w:r>
              <w:rPr>
                <w:rFonts w:hint="eastAsia" w:asciiTheme="minorEastAsia" w:hAnsiTheme="minorEastAsia" w:eastAsiaTheme="minorEastAsia" w:cstheme="minorEastAsia"/>
                <w:color w:val="auto"/>
                <w:kern w:val="0"/>
                <w:sz w:val="24"/>
                <w:szCs w:val="24"/>
                <w:highlight w:val="none"/>
              </w:rPr>
              <w:t>核心技术参数</w:t>
            </w:r>
            <w:r>
              <w:rPr>
                <w:rFonts w:hint="eastAsia" w:asciiTheme="minorEastAsia" w:hAnsiTheme="minorEastAsia" w:eastAsiaTheme="minorEastAsia" w:cstheme="minorEastAsia"/>
                <w:color w:val="auto"/>
                <w:kern w:val="0"/>
                <w:sz w:val="24"/>
                <w:szCs w:val="24"/>
                <w:highlight w:val="none"/>
                <w:lang w:val="en-US" w:eastAsia="zh-CN"/>
              </w:rPr>
              <w:t>存在负偏离的,该产品技术参数分为0分；</w:t>
            </w:r>
          </w:p>
          <w:p>
            <w:pPr>
              <w:pStyle w:val="12"/>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lang w:eastAsia="zh-CN"/>
              </w:rPr>
              <w:t>每种产品主要技术参数存在负偏离的</w:t>
            </w:r>
            <w:r>
              <w:rPr>
                <w:rFonts w:hint="eastAsia" w:asciiTheme="minorEastAsia" w:hAnsiTheme="minorEastAsia" w:eastAsiaTheme="minorEastAsia" w:cstheme="minorEastAsia"/>
                <w:color w:val="auto"/>
                <w:kern w:val="0"/>
                <w:sz w:val="24"/>
                <w:szCs w:val="24"/>
                <w:highlight w:val="none"/>
              </w:rPr>
              <w:t>，该产品技术参数分为0分</w:t>
            </w:r>
            <w:r>
              <w:rPr>
                <w:color w:val="auto"/>
                <w:sz w:val="24"/>
                <w:szCs w:val="24"/>
                <w:highlight w:val="none"/>
              </w:rPr>
              <w:t>；</w:t>
            </w:r>
          </w:p>
          <w:p>
            <w:pPr>
              <w:pStyle w:val="7"/>
              <w:keepNext w:val="0"/>
              <w:keepLines w:val="0"/>
              <w:pageBreakBefore w:val="0"/>
              <w:kinsoku/>
              <w:wordWrap/>
              <w:overflowPunct/>
              <w:topLinePunct w:val="0"/>
              <w:autoSpaceDE/>
              <w:autoSpaceDN/>
              <w:bidi w:val="0"/>
              <w:adjustRightInd/>
              <w:spacing w:line="44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4.每种产品一般技术参数存在负偏离的，每有一条扣1分，每种产品技术参数得分最多扣5分</w:t>
            </w:r>
            <w:r>
              <w:rPr>
                <w:rFonts w:hint="eastAsia" w:asciiTheme="minorEastAsia" w:hAnsiTheme="minorEastAsia" w:eastAsiaTheme="minorEastAsia" w:cstheme="minorEastAsia"/>
                <w:color w:val="auto"/>
                <w:kern w:val="0"/>
                <w:sz w:val="24"/>
                <w:szCs w:val="24"/>
                <w:highlight w:val="none"/>
              </w:rPr>
              <w:t>。</w:t>
            </w:r>
          </w:p>
          <w:p>
            <w:pPr>
              <w:pStyle w:val="7"/>
              <w:spacing w:line="440" w:lineRule="exact"/>
              <w:ind w:firstLine="482" w:firstLineChars="200"/>
              <w:rPr>
                <w:rFonts w:hint="eastAsia" w:hAnsi="宋体" w:cs="宋体" w:eastAsiaTheme="minorEastAsia"/>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rPr>
              <w:t>注：1.负偏离评审依据：①所提供产品技术参数要求低于招标文件要求的，视为负偏离；②技术参数响应条款（以投标文件内技术偏离表为准）与招标文件对比有缺项、漏项的，视为负偏离；③投标文件内技术偏离表完全复制招标文件技术参数的（不涉及具体参数指标的描述性技术要求除外），视为负偏离；④</w:t>
            </w:r>
            <w:r>
              <w:rPr>
                <w:rFonts w:hint="eastAsia" w:asciiTheme="minorEastAsia" w:hAnsiTheme="minorEastAsia" w:eastAsiaTheme="minorEastAsia" w:cstheme="minorEastAsia"/>
                <w:b/>
                <w:bCs/>
                <w:color w:val="auto"/>
                <w:kern w:val="0"/>
                <w:sz w:val="24"/>
                <w:szCs w:val="24"/>
                <w:highlight w:val="none"/>
                <w:lang w:eastAsia="zh-CN"/>
              </w:rPr>
              <w:t>供应商</w:t>
            </w:r>
            <w:r>
              <w:rPr>
                <w:rFonts w:hint="eastAsia" w:asciiTheme="minorEastAsia" w:hAnsiTheme="minorEastAsia" w:eastAsiaTheme="minorEastAsia" w:cstheme="minorEastAsia"/>
                <w:b/>
                <w:bCs/>
                <w:color w:val="auto"/>
                <w:kern w:val="0"/>
                <w:sz w:val="24"/>
                <w:szCs w:val="24"/>
                <w:highlight w:val="none"/>
              </w:rPr>
              <w:t>提供的投标文件中产品技术偏离表、产品技术规格书和产品检测报告内描述的同一产品技术参数响应值不一致的，视为负偏离；</w:t>
            </w:r>
          </w:p>
        </w:tc>
        <w:tc>
          <w:tcPr>
            <w:tcW w:w="800" w:type="dxa"/>
            <w:tcMar>
              <w:top w:w="15" w:type="dxa"/>
              <w:left w:w="15" w:type="dxa"/>
              <w:right w:w="15" w:type="dxa"/>
            </w:tcMar>
            <w:vAlign w:val="center"/>
          </w:tcPr>
          <w:p>
            <w:pPr>
              <w:pStyle w:val="7"/>
              <w:spacing w:line="440" w:lineRule="exact"/>
              <w:jc w:val="center"/>
              <w:rPr>
                <w:rFonts w:hAnsi="宋体" w:cs="宋体"/>
                <w:sz w:val="24"/>
                <w:szCs w:val="24"/>
                <w:highlight w:val="none"/>
              </w:rPr>
            </w:pPr>
            <w:r>
              <w:rPr>
                <w:rFonts w:hint="eastAsia" w:asciiTheme="minorEastAsia" w:hAnsiTheme="minorEastAsia" w:eastAsiaTheme="minorEastAsia" w:cstheme="minorEastAsia"/>
                <w:kern w:val="0"/>
                <w:sz w:val="24"/>
                <w:szCs w:val="24"/>
                <w:highlight w:val="none"/>
                <w:lang w:val="en-US" w:eastAsia="zh-CN"/>
              </w:rPr>
              <w:t>35</w:t>
            </w:r>
            <w:r>
              <w:rPr>
                <w:rFonts w:hint="eastAsia" w:asciiTheme="minorEastAsia" w:hAnsiTheme="minorEastAsia" w:eastAsiaTheme="minorEastAsia" w:cstheme="minorEastAsia"/>
                <w:kern w:val="0"/>
                <w:sz w:val="24"/>
                <w:szCs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1087" w:type="dxa"/>
            <w:vMerge w:val="continue"/>
            <w:tcMar>
              <w:top w:w="15" w:type="dxa"/>
              <w:left w:w="15" w:type="dxa"/>
              <w:right w:w="15" w:type="dxa"/>
            </w:tcMar>
            <w:vAlign w:val="center"/>
          </w:tcPr>
          <w:p>
            <w:pPr>
              <w:pStyle w:val="7"/>
              <w:spacing w:line="440" w:lineRule="exact"/>
              <w:jc w:val="center"/>
              <w:rPr>
                <w:rFonts w:hAnsi="宋体" w:cs="宋体"/>
                <w:sz w:val="24"/>
                <w:szCs w:val="24"/>
                <w:highlight w:val="none"/>
              </w:rPr>
            </w:pPr>
          </w:p>
        </w:tc>
        <w:tc>
          <w:tcPr>
            <w:tcW w:w="805" w:type="dxa"/>
            <w:tcMar>
              <w:top w:w="15" w:type="dxa"/>
              <w:left w:w="15" w:type="dxa"/>
              <w:right w:w="15" w:type="dxa"/>
            </w:tcMar>
            <w:vAlign w:val="center"/>
          </w:tcPr>
          <w:p>
            <w:pPr>
              <w:widowControl/>
              <w:spacing w:line="400" w:lineRule="exact"/>
              <w:jc w:val="center"/>
              <w:textAlignment w:val="center"/>
              <w:rPr>
                <w:rFonts w:hAnsi="宋体" w:cs="宋体"/>
                <w:sz w:val="24"/>
                <w:szCs w:val="24"/>
                <w:highlight w:val="none"/>
              </w:rPr>
            </w:pPr>
            <w:r>
              <w:rPr>
                <w:sz w:val="24"/>
                <w:szCs w:val="24"/>
                <w:highlight w:val="none"/>
              </w:rPr>
              <w:t>业绩证明</w:t>
            </w:r>
          </w:p>
        </w:tc>
        <w:tc>
          <w:tcPr>
            <w:tcW w:w="6196" w:type="dxa"/>
            <w:tcMar>
              <w:top w:w="15" w:type="dxa"/>
              <w:left w:w="15" w:type="dxa"/>
              <w:right w:w="15" w:type="dxa"/>
            </w:tcMar>
            <w:vAlign w:val="center"/>
          </w:tcPr>
          <w:p>
            <w:pPr>
              <w:widowControl/>
              <w:spacing w:line="400" w:lineRule="exact"/>
              <w:ind w:firstLine="480" w:firstLineChars="200"/>
              <w:rPr>
                <w:color w:val="auto"/>
                <w:sz w:val="24"/>
                <w:szCs w:val="24"/>
                <w:highlight w:val="none"/>
              </w:rPr>
            </w:pPr>
            <w:r>
              <w:rPr>
                <w:rFonts w:hint="eastAsia"/>
                <w:color w:val="auto"/>
                <w:sz w:val="24"/>
                <w:szCs w:val="24"/>
                <w:highlight w:val="none"/>
                <w:lang w:eastAsia="zh-CN"/>
              </w:rPr>
              <w:t>供应商</w:t>
            </w:r>
            <w:r>
              <w:rPr>
                <w:rFonts w:hint="eastAsia"/>
                <w:color w:val="auto"/>
                <w:sz w:val="24"/>
                <w:szCs w:val="24"/>
                <w:highlight w:val="none"/>
              </w:rPr>
              <w:t>近三年内（202</w:t>
            </w:r>
            <w:r>
              <w:rPr>
                <w:rFonts w:hint="eastAsia"/>
                <w:color w:val="auto"/>
                <w:sz w:val="24"/>
                <w:szCs w:val="24"/>
                <w:highlight w:val="none"/>
                <w:lang w:val="en-US" w:eastAsia="zh-CN"/>
              </w:rPr>
              <w:t>1</w:t>
            </w:r>
            <w:r>
              <w:rPr>
                <w:rFonts w:hint="eastAsia"/>
                <w:color w:val="auto"/>
                <w:sz w:val="24"/>
                <w:szCs w:val="24"/>
                <w:highlight w:val="none"/>
              </w:rPr>
              <w:t>年1月1日起至今，以合同签订日期为准）完成类似项目的业绩，每个项目业绩得</w:t>
            </w:r>
            <w:r>
              <w:rPr>
                <w:rFonts w:hint="eastAsia"/>
                <w:color w:val="auto"/>
                <w:sz w:val="24"/>
                <w:szCs w:val="24"/>
                <w:highlight w:val="none"/>
                <w:lang w:val="en-US" w:eastAsia="zh-CN"/>
              </w:rPr>
              <w:t>3</w:t>
            </w:r>
            <w:r>
              <w:rPr>
                <w:rFonts w:hint="eastAsia"/>
                <w:color w:val="auto"/>
                <w:sz w:val="24"/>
                <w:szCs w:val="24"/>
                <w:highlight w:val="none"/>
              </w:rPr>
              <w:t>分，最多得</w:t>
            </w:r>
            <w:r>
              <w:rPr>
                <w:rFonts w:hint="eastAsia"/>
                <w:color w:val="auto"/>
                <w:sz w:val="24"/>
                <w:szCs w:val="24"/>
                <w:highlight w:val="none"/>
                <w:lang w:val="en-US" w:eastAsia="zh-CN"/>
              </w:rPr>
              <w:t>5</w:t>
            </w:r>
            <w:r>
              <w:rPr>
                <w:rFonts w:hint="eastAsia"/>
                <w:color w:val="auto"/>
                <w:sz w:val="24"/>
                <w:szCs w:val="24"/>
                <w:highlight w:val="none"/>
              </w:rPr>
              <w:t>分。</w:t>
            </w:r>
          </w:p>
          <w:p>
            <w:pPr>
              <w:widowControl/>
              <w:spacing w:line="400" w:lineRule="exact"/>
              <w:ind w:firstLine="480" w:firstLineChars="200"/>
              <w:rPr>
                <w:rFonts w:asciiTheme="minorEastAsia" w:hAnsiTheme="minorEastAsia" w:eastAsiaTheme="minorEastAsia" w:cstheme="minorEastAsia"/>
                <w:kern w:val="0"/>
                <w:sz w:val="24"/>
                <w:szCs w:val="24"/>
                <w:highlight w:val="none"/>
              </w:rPr>
            </w:pPr>
            <w:r>
              <w:rPr>
                <w:rFonts w:hint="eastAsia"/>
                <w:color w:val="auto"/>
                <w:sz w:val="24"/>
                <w:szCs w:val="24"/>
                <w:highlight w:val="none"/>
              </w:rPr>
              <w:t>注：①提供中标（成交）通知书、合同和验收（单）报告复印件，未按要求提供的不得分；②同一单位近三年的同类合同不重复计算业绩，仅算一个业绩。</w:t>
            </w:r>
          </w:p>
        </w:tc>
        <w:tc>
          <w:tcPr>
            <w:tcW w:w="800" w:type="dxa"/>
            <w:tcMar>
              <w:top w:w="15" w:type="dxa"/>
              <w:left w:w="15" w:type="dxa"/>
              <w:right w:w="15" w:type="dxa"/>
            </w:tcMar>
            <w:vAlign w:val="center"/>
          </w:tcPr>
          <w:p>
            <w:pPr>
              <w:pStyle w:val="7"/>
              <w:spacing w:line="440" w:lineRule="exact"/>
              <w:jc w:val="center"/>
              <w:rPr>
                <w:rFonts w:hAnsi="宋体" w:cs="宋体"/>
                <w:sz w:val="24"/>
                <w:szCs w:val="24"/>
                <w:highlight w:val="none"/>
              </w:rPr>
            </w:pPr>
            <w:r>
              <w:rPr>
                <w:rFonts w:hint="eastAsia" w:asciiTheme="minorEastAsia" w:hAnsiTheme="minorEastAsia" w:eastAsiaTheme="minorEastAsia" w:cstheme="minorEastAsia"/>
                <w:kern w:val="0"/>
                <w:sz w:val="24"/>
                <w:szCs w:val="24"/>
                <w:highlight w:val="none"/>
                <w:lang w:val="en-US" w:eastAsia="zh-CN"/>
              </w:rPr>
              <w:t>6</w:t>
            </w:r>
            <w:r>
              <w:rPr>
                <w:rFonts w:hint="eastAsia" w:asciiTheme="minorEastAsia" w:hAnsiTheme="minorEastAsia" w:eastAsiaTheme="minorEastAsia" w:cstheme="minorEastAsia"/>
                <w:kern w:val="0"/>
                <w:sz w:val="24"/>
                <w:szCs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087" w:type="dxa"/>
            <w:vMerge w:val="continue"/>
            <w:tcMar>
              <w:top w:w="15" w:type="dxa"/>
              <w:left w:w="15" w:type="dxa"/>
              <w:right w:w="15" w:type="dxa"/>
            </w:tcMar>
            <w:vAlign w:val="center"/>
          </w:tcPr>
          <w:p>
            <w:pPr>
              <w:pStyle w:val="7"/>
              <w:spacing w:line="440" w:lineRule="exact"/>
              <w:jc w:val="center"/>
              <w:rPr>
                <w:rFonts w:hAnsi="宋体" w:cs="宋体"/>
                <w:sz w:val="24"/>
                <w:szCs w:val="24"/>
                <w:highlight w:val="none"/>
              </w:rPr>
            </w:pPr>
          </w:p>
        </w:tc>
        <w:tc>
          <w:tcPr>
            <w:tcW w:w="805" w:type="dxa"/>
            <w:tcMar>
              <w:top w:w="15" w:type="dxa"/>
              <w:left w:w="15" w:type="dxa"/>
              <w:right w:w="15" w:type="dxa"/>
            </w:tcMar>
            <w:vAlign w:val="center"/>
          </w:tcPr>
          <w:p>
            <w:pPr>
              <w:snapToGrid w:val="0"/>
              <w:spacing w:line="400" w:lineRule="exact"/>
              <w:jc w:val="center"/>
              <w:rPr>
                <w:rFonts w:hint="eastAsia" w:eastAsia="宋体"/>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项目组织方案评价</w:t>
            </w:r>
          </w:p>
        </w:tc>
        <w:tc>
          <w:tcPr>
            <w:tcW w:w="6196" w:type="dxa"/>
            <w:tcMar>
              <w:top w:w="15" w:type="dxa"/>
              <w:left w:w="15" w:type="dxa"/>
              <w:right w:w="15" w:type="dxa"/>
            </w:tcMar>
            <w:vAlign w:val="center"/>
          </w:tcPr>
          <w:p>
            <w:pPr>
              <w:widowControl/>
              <w:spacing w:line="400" w:lineRule="exact"/>
              <w:rPr>
                <w:color w:val="auto"/>
                <w:sz w:val="24"/>
                <w:szCs w:val="24"/>
                <w:highlight w:val="none"/>
              </w:rPr>
            </w:pPr>
            <w:r>
              <w:rPr>
                <w:rFonts w:hint="eastAsia"/>
                <w:color w:val="auto"/>
                <w:sz w:val="24"/>
                <w:szCs w:val="24"/>
                <w:highlight w:val="none"/>
              </w:rPr>
              <w:t>根据</w:t>
            </w:r>
            <w:r>
              <w:rPr>
                <w:rFonts w:hint="eastAsia"/>
                <w:color w:val="auto"/>
                <w:sz w:val="24"/>
                <w:szCs w:val="24"/>
                <w:highlight w:val="none"/>
                <w:lang w:eastAsia="zh-CN"/>
              </w:rPr>
              <w:t>供应商</w:t>
            </w:r>
            <w:r>
              <w:rPr>
                <w:rFonts w:hint="eastAsia"/>
                <w:color w:val="auto"/>
                <w:sz w:val="24"/>
                <w:szCs w:val="24"/>
                <w:highlight w:val="none"/>
              </w:rPr>
              <w:t>提供的</w:t>
            </w:r>
            <w:r>
              <w:rPr>
                <w:rFonts w:hint="eastAsia"/>
                <w:color w:val="auto"/>
                <w:sz w:val="24"/>
                <w:szCs w:val="24"/>
                <w:highlight w:val="none"/>
                <w:lang w:eastAsia="zh-CN"/>
              </w:rPr>
              <w:t>项目组织方案</w:t>
            </w:r>
            <w:r>
              <w:rPr>
                <w:rFonts w:hint="eastAsia"/>
                <w:color w:val="auto"/>
                <w:sz w:val="24"/>
                <w:szCs w:val="24"/>
                <w:highlight w:val="none"/>
              </w:rPr>
              <w:t>进行评分：</w:t>
            </w:r>
          </w:p>
          <w:p>
            <w:pPr>
              <w:widowControl/>
              <w:spacing w:line="400" w:lineRule="exact"/>
              <w:ind w:firstLine="480" w:firstLineChars="200"/>
              <w:rPr>
                <w:color w:val="auto"/>
                <w:sz w:val="24"/>
                <w:szCs w:val="24"/>
                <w:highlight w:val="none"/>
              </w:rPr>
            </w:pPr>
            <w:r>
              <w:rPr>
                <w:rFonts w:hint="eastAsia"/>
                <w:color w:val="auto"/>
                <w:sz w:val="24"/>
                <w:szCs w:val="24"/>
                <w:highlight w:val="none"/>
                <w:lang w:eastAsia="zh-CN"/>
              </w:rPr>
              <w:t>项目组织方案</w:t>
            </w:r>
            <w:r>
              <w:rPr>
                <w:rFonts w:hint="eastAsia"/>
                <w:color w:val="auto"/>
                <w:sz w:val="24"/>
                <w:szCs w:val="24"/>
                <w:highlight w:val="none"/>
              </w:rPr>
              <w:t>包括但不限于：</w:t>
            </w:r>
            <w:r>
              <w:rPr>
                <w:rFonts w:hint="eastAsia"/>
                <w:color w:val="auto"/>
                <w:sz w:val="24"/>
                <w:szCs w:val="24"/>
                <w:highlight w:val="none"/>
                <w:lang w:eastAsia="zh-CN"/>
              </w:rPr>
              <w:t>①</w:t>
            </w:r>
            <w:r>
              <w:rPr>
                <w:rFonts w:hint="eastAsia" w:asciiTheme="majorEastAsia" w:hAnsiTheme="majorEastAsia" w:eastAsiaTheme="majorEastAsia" w:cstheme="majorEastAsia"/>
                <w:color w:val="auto"/>
                <w:sz w:val="24"/>
                <w:szCs w:val="24"/>
                <w:highlight w:val="none"/>
              </w:rPr>
              <w:t>项目人员安排（包含但不限于主要人员名单及基本情况介绍、在本项目中承担的职责等）、</w:t>
            </w:r>
            <w:r>
              <w:rPr>
                <w:rFonts w:hint="eastAsia" w:asciiTheme="majorEastAsia" w:hAnsiTheme="majorEastAsia" w:eastAsiaTheme="majorEastAsia" w:cstheme="majorEastAsia"/>
                <w:color w:val="auto"/>
                <w:sz w:val="24"/>
                <w:szCs w:val="24"/>
                <w:highlight w:val="none"/>
                <w:lang w:eastAsia="zh-CN"/>
              </w:rPr>
              <w:t>②</w:t>
            </w:r>
            <w:r>
              <w:rPr>
                <w:rFonts w:hint="eastAsia" w:asciiTheme="majorEastAsia" w:hAnsiTheme="majorEastAsia" w:eastAsiaTheme="majorEastAsia" w:cstheme="majorEastAsia"/>
                <w:color w:val="auto"/>
                <w:sz w:val="24"/>
                <w:szCs w:val="24"/>
                <w:highlight w:val="none"/>
              </w:rPr>
              <w:t>供货方案（包含但不限于产品来源、供货计划、供货时间等）、</w:t>
            </w:r>
            <w:r>
              <w:rPr>
                <w:rFonts w:hint="eastAsia" w:asciiTheme="majorEastAsia" w:hAnsiTheme="majorEastAsia" w:eastAsiaTheme="majorEastAsia" w:cstheme="majorEastAsia"/>
                <w:color w:val="auto"/>
                <w:sz w:val="24"/>
                <w:szCs w:val="24"/>
                <w:highlight w:val="none"/>
                <w:lang w:eastAsia="zh-CN"/>
              </w:rPr>
              <w:t>③</w:t>
            </w:r>
            <w:r>
              <w:rPr>
                <w:rFonts w:hint="eastAsia" w:asciiTheme="majorEastAsia" w:hAnsiTheme="majorEastAsia" w:eastAsiaTheme="majorEastAsia" w:cstheme="majorEastAsia"/>
                <w:color w:val="auto"/>
                <w:sz w:val="24"/>
                <w:szCs w:val="24"/>
                <w:highlight w:val="none"/>
              </w:rPr>
              <w:t>质量管控方案（包括但不限于质量管控的标准、方法和程序等）、</w:t>
            </w:r>
            <w:r>
              <w:rPr>
                <w:rFonts w:hint="eastAsia" w:asciiTheme="majorEastAsia" w:hAnsiTheme="majorEastAsia" w:eastAsiaTheme="majorEastAsia" w:cstheme="majorEastAsia"/>
                <w:color w:val="auto"/>
                <w:sz w:val="24"/>
                <w:szCs w:val="24"/>
                <w:highlight w:val="none"/>
                <w:lang w:eastAsia="zh-CN"/>
              </w:rPr>
              <w:t>④</w:t>
            </w:r>
            <w:r>
              <w:rPr>
                <w:rFonts w:hint="eastAsia" w:asciiTheme="majorEastAsia" w:hAnsiTheme="majorEastAsia" w:eastAsiaTheme="majorEastAsia" w:cstheme="majorEastAsia"/>
                <w:color w:val="auto"/>
                <w:sz w:val="24"/>
                <w:szCs w:val="24"/>
                <w:highlight w:val="none"/>
              </w:rPr>
              <w:t>测试（调试）方案（包含但不限于人员安排、测试步骤、测试标准等）</w:t>
            </w:r>
            <w:r>
              <w:rPr>
                <w:color w:val="auto"/>
                <w:sz w:val="24"/>
                <w:szCs w:val="24"/>
                <w:highlight w:val="none"/>
              </w:rPr>
              <w:t>等</w:t>
            </w:r>
            <w:r>
              <w:rPr>
                <w:rFonts w:hint="eastAsia"/>
                <w:color w:val="auto"/>
                <w:sz w:val="24"/>
                <w:szCs w:val="24"/>
                <w:highlight w:val="none"/>
              </w:rPr>
              <w:t>4项内容，方案内容完整齐全，符合项目实际（</w:t>
            </w:r>
            <w:r>
              <w:rPr>
                <w:rFonts w:hint="eastAsia" w:asciiTheme="majorEastAsia" w:hAnsiTheme="majorEastAsia" w:eastAsiaTheme="majorEastAsia" w:cstheme="majorEastAsia"/>
                <w:color w:val="auto"/>
                <w:sz w:val="24"/>
                <w:szCs w:val="24"/>
                <w:highlight w:val="none"/>
              </w:rPr>
              <w:t>第六章“项目需求”</w:t>
            </w:r>
            <w:r>
              <w:rPr>
                <w:rFonts w:hint="eastAsia"/>
                <w:color w:val="auto"/>
                <w:sz w:val="24"/>
                <w:szCs w:val="24"/>
                <w:highlight w:val="none"/>
              </w:rPr>
              <w:t>）的，得</w:t>
            </w:r>
            <w:r>
              <w:rPr>
                <w:rFonts w:hint="eastAsia"/>
                <w:color w:val="auto"/>
                <w:sz w:val="24"/>
                <w:szCs w:val="24"/>
                <w:highlight w:val="none"/>
                <w:lang w:val="en-US" w:eastAsia="zh-CN"/>
              </w:rPr>
              <w:t>12</w:t>
            </w:r>
            <w:r>
              <w:rPr>
                <w:rFonts w:hint="eastAsia"/>
                <w:color w:val="auto"/>
                <w:sz w:val="24"/>
                <w:szCs w:val="24"/>
                <w:highlight w:val="none"/>
              </w:rPr>
              <w:t>分；每缺少一项方案内容，或一项内容存在缺陷的，每一项扣</w:t>
            </w:r>
            <w:r>
              <w:rPr>
                <w:rFonts w:hint="eastAsia"/>
                <w:color w:val="auto"/>
                <w:sz w:val="24"/>
                <w:szCs w:val="24"/>
                <w:highlight w:val="none"/>
                <w:lang w:val="en-US" w:eastAsia="zh-CN"/>
              </w:rPr>
              <w:t>3</w:t>
            </w:r>
            <w:r>
              <w:rPr>
                <w:rFonts w:hint="eastAsia"/>
                <w:color w:val="auto"/>
                <w:sz w:val="24"/>
                <w:szCs w:val="24"/>
                <w:highlight w:val="none"/>
              </w:rPr>
              <w:t>分，扣完为止；未提供</w:t>
            </w:r>
            <w:r>
              <w:rPr>
                <w:rFonts w:hint="eastAsia"/>
                <w:color w:val="auto"/>
                <w:sz w:val="24"/>
                <w:szCs w:val="24"/>
                <w:highlight w:val="none"/>
                <w:lang w:eastAsia="zh-CN"/>
              </w:rPr>
              <w:t>项目组织方案</w:t>
            </w:r>
            <w:r>
              <w:rPr>
                <w:rFonts w:hint="eastAsia"/>
                <w:color w:val="auto"/>
                <w:sz w:val="24"/>
                <w:szCs w:val="24"/>
                <w:highlight w:val="none"/>
              </w:rPr>
              <w:t>的，此项不得分。</w:t>
            </w:r>
          </w:p>
          <w:p>
            <w:pPr>
              <w:widowControl/>
              <w:spacing w:line="400" w:lineRule="exact"/>
              <w:ind w:firstLine="482" w:firstLineChars="200"/>
              <w:rPr>
                <w:b/>
                <w:bCs/>
                <w:color w:val="auto"/>
                <w:sz w:val="24"/>
                <w:szCs w:val="24"/>
                <w:highlight w:val="none"/>
              </w:rPr>
            </w:pPr>
            <w:r>
              <w:rPr>
                <w:rFonts w:hint="eastAsia"/>
                <w:b/>
                <w:bCs/>
                <w:color w:val="auto"/>
                <w:sz w:val="24"/>
                <w:szCs w:val="24"/>
                <w:highlight w:val="none"/>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00" w:type="dxa"/>
            <w:tcMar>
              <w:top w:w="15" w:type="dxa"/>
              <w:left w:w="15" w:type="dxa"/>
              <w:right w:w="15" w:type="dxa"/>
            </w:tcMar>
            <w:vAlign w:val="center"/>
          </w:tcPr>
          <w:p>
            <w:pPr>
              <w:pStyle w:val="7"/>
              <w:spacing w:line="440" w:lineRule="exact"/>
              <w:jc w:val="center"/>
              <w:rPr>
                <w:rFonts w:hAnsi="宋体" w:cs="宋体"/>
                <w:sz w:val="24"/>
                <w:szCs w:val="24"/>
                <w:highlight w:val="none"/>
              </w:rPr>
            </w:pPr>
            <w:r>
              <w:rPr>
                <w:rFonts w:hint="eastAsia" w:asciiTheme="minorEastAsia" w:hAnsiTheme="minorEastAsia" w:eastAsiaTheme="minorEastAsia" w:cstheme="minorEastAsia"/>
                <w:kern w:val="0"/>
                <w:sz w:val="24"/>
                <w:szCs w:val="24"/>
                <w:highlight w:val="none"/>
                <w:lang w:val="en-US" w:eastAsia="zh-CN"/>
              </w:rPr>
              <w:t>12</w:t>
            </w:r>
            <w:r>
              <w:rPr>
                <w:rFonts w:hint="eastAsia" w:asciiTheme="minorEastAsia" w:hAnsiTheme="minorEastAsia" w:eastAsiaTheme="minorEastAsia" w:cstheme="minorEastAsia"/>
                <w:kern w:val="0"/>
                <w:sz w:val="24"/>
                <w:szCs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87" w:type="dxa"/>
            <w:vMerge w:val="continue"/>
            <w:tcMar>
              <w:top w:w="15" w:type="dxa"/>
              <w:left w:w="15" w:type="dxa"/>
              <w:right w:w="15" w:type="dxa"/>
            </w:tcMar>
            <w:vAlign w:val="center"/>
          </w:tcPr>
          <w:p>
            <w:pPr>
              <w:pStyle w:val="7"/>
              <w:spacing w:line="440" w:lineRule="exact"/>
              <w:jc w:val="center"/>
              <w:rPr>
                <w:rFonts w:hAnsi="宋体" w:cs="宋体"/>
                <w:sz w:val="24"/>
                <w:szCs w:val="24"/>
                <w:highlight w:val="none"/>
              </w:rPr>
            </w:pPr>
          </w:p>
        </w:tc>
        <w:tc>
          <w:tcPr>
            <w:tcW w:w="805" w:type="dxa"/>
            <w:tcMar>
              <w:top w:w="15" w:type="dxa"/>
              <w:left w:w="15" w:type="dxa"/>
              <w:right w:w="15" w:type="dxa"/>
            </w:tcMar>
            <w:vAlign w:val="center"/>
          </w:tcPr>
          <w:p>
            <w:pPr>
              <w:widowControl/>
              <w:spacing w:line="400" w:lineRule="exact"/>
              <w:jc w:val="center"/>
              <w:textAlignment w:val="center"/>
              <w:rPr>
                <w:rFonts w:hAnsi="宋体" w:cs="宋体"/>
                <w:sz w:val="24"/>
                <w:szCs w:val="24"/>
                <w:highlight w:val="none"/>
              </w:rPr>
            </w:pPr>
            <w:r>
              <w:rPr>
                <w:rFonts w:hint="eastAsia" w:asciiTheme="minorEastAsia" w:hAnsiTheme="minorEastAsia" w:eastAsiaTheme="minorEastAsia" w:cstheme="minorEastAsia"/>
                <w:kern w:val="0"/>
                <w:sz w:val="24"/>
                <w:szCs w:val="24"/>
                <w:highlight w:val="none"/>
              </w:rPr>
              <w:t>技术培训方案评价</w:t>
            </w:r>
          </w:p>
        </w:tc>
        <w:tc>
          <w:tcPr>
            <w:tcW w:w="6196" w:type="dxa"/>
            <w:tcMar>
              <w:top w:w="15" w:type="dxa"/>
              <w:left w:w="15" w:type="dxa"/>
              <w:right w:w="15" w:type="dxa"/>
            </w:tcMar>
            <w:vAlign w:val="center"/>
          </w:tcPr>
          <w:p>
            <w:pPr>
              <w:widowControl/>
              <w:spacing w:line="400" w:lineRule="exact"/>
              <w:rPr>
                <w:sz w:val="24"/>
                <w:szCs w:val="24"/>
                <w:highlight w:val="none"/>
              </w:rPr>
            </w:pPr>
            <w:r>
              <w:rPr>
                <w:rFonts w:hint="eastAsia"/>
                <w:sz w:val="24"/>
                <w:szCs w:val="24"/>
                <w:highlight w:val="none"/>
              </w:rPr>
              <w:t>根据</w:t>
            </w:r>
            <w:r>
              <w:rPr>
                <w:rFonts w:hint="eastAsia"/>
                <w:sz w:val="24"/>
                <w:szCs w:val="24"/>
                <w:highlight w:val="none"/>
                <w:lang w:eastAsia="zh-CN"/>
              </w:rPr>
              <w:t>供应商</w:t>
            </w:r>
            <w:r>
              <w:rPr>
                <w:rFonts w:hint="eastAsia"/>
                <w:sz w:val="24"/>
                <w:szCs w:val="24"/>
                <w:highlight w:val="none"/>
              </w:rPr>
              <w:t>提供的技术培训方案进行评分：</w:t>
            </w:r>
          </w:p>
          <w:p>
            <w:pPr>
              <w:widowControl/>
              <w:spacing w:line="400" w:lineRule="exact"/>
              <w:ind w:firstLine="480" w:firstLineChars="200"/>
              <w:rPr>
                <w:sz w:val="24"/>
                <w:szCs w:val="24"/>
                <w:highlight w:val="none"/>
              </w:rPr>
            </w:pPr>
            <w:r>
              <w:rPr>
                <w:rFonts w:hint="eastAsia"/>
                <w:sz w:val="24"/>
                <w:szCs w:val="24"/>
                <w:highlight w:val="none"/>
                <w:lang w:val="en-US" w:eastAsia="zh-CN"/>
              </w:rPr>
              <w:t>技术</w:t>
            </w:r>
            <w:r>
              <w:rPr>
                <w:rFonts w:hint="eastAsia"/>
                <w:sz w:val="24"/>
                <w:szCs w:val="24"/>
                <w:highlight w:val="none"/>
              </w:rPr>
              <w:t>培训方案包括但不限于</w:t>
            </w:r>
            <w:r>
              <w:rPr>
                <w:rFonts w:asciiTheme="majorEastAsia" w:hAnsiTheme="majorEastAsia" w:eastAsiaTheme="majorEastAsia" w:cstheme="majorEastAsia"/>
                <w:sz w:val="24"/>
                <w:szCs w:val="24"/>
                <w:highlight w:val="none"/>
              </w:rPr>
              <w:t>培训内容</w:t>
            </w:r>
            <w:r>
              <w:rPr>
                <w:rFonts w:hint="eastAsia" w:asciiTheme="majorEastAsia" w:hAnsiTheme="majorEastAsia" w:eastAsiaTheme="majorEastAsia" w:cstheme="majorEastAsia"/>
                <w:sz w:val="24"/>
                <w:szCs w:val="24"/>
                <w:highlight w:val="none"/>
              </w:rPr>
              <w:t>、</w:t>
            </w:r>
            <w:r>
              <w:rPr>
                <w:rFonts w:asciiTheme="majorEastAsia" w:hAnsiTheme="majorEastAsia" w:eastAsiaTheme="majorEastAsia" w:cstheme="majorEastAsia"/>
                <w:sz w:val="24"/>
                <w:szCs w:val="24"/>
                <w:highlight w:val="none"/>
              </w:rPr>
              <w:t>培训方式</w:t>
            </w:r>
            <w:r>
              <w:rPr>
                <w:rFonts w:hint="eastAsia" w:asciiTheme="majorEastAsia" w:hAnsiTheme="majorEastAsia" w:eastAsiaTheme="majorEastAsia" w:cstheme="majorEastAsia"/>
                <w:sz w:val="24"/>
                <w:szCs w:val="24"/>
                <w:highlight w:val="none"/>
              </w:rPr>
              <w:t>、</w:t>
            </w:r>
            <w:r>
              <w:rPr>
                <w:rFonts w:asciiTheme="majorEastAsia" w:hAnsiTheme="majorEastAsia" w:eastAsiaTheme="majorEastAsia" w:cstheme="majorEastAsia"/>
                <w:sz w:val="24"/>
                <w:szCs w:val="24"/>
                <w:highlight w:val="none"/>
              </w:rPr>
              <w:t>培训计划</w:t>
            </w:r>
            <w:r>
              <w:rPr>
                <w:rFonts w:hint="eastAsia" w:asciiTheme="majorEastAsia" w:hAnsiTheme="majorEastAsia" w:eastAsiaTheme="majorEastAsia" w:cstheme="majorEastAsia"/>
                <w:sz w:val="24"/>
                <w:szCs w:val="24"/>
                <w:highlight w:val="none"/>
              </w:rPr>
              <w:t>、</w:t>
            </w:r>
            <w:r>
              <w:rPr>
                <w:rFonts w:asciiTheme="majorEastAsia" w:hAnsiTheme="majorEastAsia" w:eastAsiaTheme="majorEastAsia" w:cstheme="majorEastAsia"/>
                <w:sz w:val="24"/>
                <w:szCs w:val="24"/>
                <w:highlight w:val="none"/>
              </w:rPr>
              <w:t>培训团</w:t>
            </w:r>
            <w:r>
              <w:rPr>
                <w:rFonts w:asciiTheme="majorEastAsia" w:hAnsiTheme="majorEastAsia" w:eastAsiaTheme="majorEastAsia" w:cstheme="majorEastAsia"/>
                <w:color w:val="auto"/>
                <w:sz w:val="24"/>
                <w:szCs w:val="24"/>
                <w:highlight w:val="none"/>
              </w:rPr>
              <w:t>队人员配置</w:t>
            </w:r>
            <w:r>
              <w:rPr>
                <w:color w:val="auto"/>
                <w:sz w:val="24"/>
                <w:szCs w:val="24"/>
                <w:highlight w:val="none"/>
              </w:rPr>
              <w:t>等</w:t>
            </w:r>
            <w:r>
              <w:rPr>
                <w:rFonts w:hint="eastAsia"/>
                <w:color w:val="auto"/>
                <w:sz w:val="24"/>
                <w:szCs w:val="24"/>
                <w:highlight w:val="none"/>
              </w:rPr>
              <w:t>4项内容，方案内容完整齐全，符合项目实际（</w:t>
            </w:r>
            <w:r>
              <w:rPr>
                <w:rFonts w:hint="eastAsia" w:asciiTheme="majorEastAsia" w:hAnsiTheme="majorEastAsia" w:eastAsiaTheme="majorEastAsia" w:cstheme="majorEastAsia"/>
                <w:color w:val="auto"/>
                <w:sz w:val="24"/>
                <w:szCs w:val="24"/>
                <w:highlight w:val="none"/>
              </w:rPr>
              <w:t>第六章“项目需求”</w:t>
            </w:r>
            <w:r>
              <w:rPr>
                <w:rFonts w:hint="eastAsia"/>
                <w:color w:val="auto"/>
                <w:sz w:val="24"/>
                <w:szCs w:val="24"/>
                <w:highlight w:val="none"/>
              </w:rPr>
              <w:t>）的，得</w:t>
            </w:r>
            <w:r>
              <w:rPr>
                <w:rFonts w:hint="eastAsia"/>
                <w:color w:val="auto"/>
                <w:sz w:val="24"/>
                <w:szCs w:val="24"/>
                <w:highlight w:val="none"/>
                <w:lang w:val="en-US" w:eastAsia="zh-CN"/>
              </w:rPr>
              <w:t>8</w:t>
            </w:r>
            <w:r>
              <w:rPr>
                <w:rFonts w:hint="eastAsia"/>
                <w:color w:val="auto"/>
                <w:sz w:val="24"/>
                <w:szCs w:val="24"/>
                <w:highlight w:val="none"/>
              </w:rPr>
              <w:t>分；每缺少一项方案内容，或一项内容存在缺陷的，每一项扣</w:t>
            </w:r>
            <w:r>
              <w:rPr>
                <w:rFonts w:hint="eastAsia"/>
                <w:color w:val="auto"/>
                <w:sz w:val="24"/>
                <w:szCs w:val="24"/>
                <w:highlight w:val="none"/>
                <w:lang w:val="en-US" w:eastAsia="zh-CN"/>
              </w:rPr>
              <w:t>2</w:t>
            </w:r>
            <w:r>
              <w:rPr>
                <w:rFonts w:hint="eastAsia"/>
                <w:color w:val="auto"/>
                <w:sz w:val="24"/>
                <w:szCs w:val="24"/>
                <w:highlight w:val="none"/>
              </w:rPr>
              <w:t>分，扣完为止；未提供</w:t>
            </w:r>
            <w:r>
              <w:rPr>
                <w:rFonts w:hint="eastAsia" w:asciiTheme="minorEastAsia" w:hAnsiTheme="minorEastAsia" w:eastAsiaTheme="minorEastAsia" w:cstheme="minorEastAsia"/>
                <w:kern w:val="0"/>
                <w:sz w:val="24"/>
                <w:szCs w:val="24"/>
                <w:highlight w:val="none"/>
              </w:rPr>
              <w:t>技术培训方案</w:t>
            </w:r>
            <w:r>
              <w:rPr>
                <w:rFonts w:hint="eastAsia"/>
                <w:color w:val="auto"/>
                <w:sz w:val="24"/>
                <w:szCs w:val="24"/>
                <w:highlight w:val="none"/>
              </w:rPr>
              <w:t>的，此项</w:t>
            </w:r>
            <w:r>
              <w:rPr>
                <w:rFonts w:hint="eastAsia"/>
                <w:sz w:val="24"/>
                <w:szCs w:val="24"/>
                <w:highlight w:val="none"/>
              </w:rPr>
              <w:t>不得分。</w:t>
            </w:r>
          </w:p>
          <w:p>
            <w:pPr>
              <w:snapToGrid w:val="0"/>
              <w:spacing w:line="400" w:lineRule="exact"/>
              <w:ind w:firstLine="482" w:firstLineChars="200"/>
              <w:rPr>
                <w:rFonts w:asciiTheme="minorEastAsia" w:hAnsiTheme="minorEastAsia" w:eastAsiaTheme="minorEastAsia" w:cstheme="minorEastAsia"/>
                <w:kern w:val="0"/>
                <w:sz w:val="24"/>
                <w:szCs w:val="24"/>
                <w:highlight w:val="none"/>
              </w:rPr>
            </w:pPr>
            <w:r>
              <w:rPr>
                <w:rFonts w:hint="eastAsia"/>
                <w:b/>
                <w:bCs/>
                <w:sz w:val="24"/>
                <w:szCs w:val="24"/>
                <w:highlight w:val="none"/>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00" w:type="dxa"/>
            <w:tcMar>
              <w:top w:w="15" w:type="dxa"/>
              <w:left w:w="15" w:type="dxa"/>
              <w:right w:w="15" w:type="dxa"/>
            </w:tcMar>
            <w:vAlign w:val="center"/>
          </w:tcPr>
          <w:p>
            <w:pPr>
              <w:pStyle w:val="7"/>
              <w:spacing w:line="440" w:lineRule="exact"/>
              <w:jc w:val="center"/>
              <w:rPr>
                <w:rFonts w:hAnsi="宋体" w:cs="宋体"/>
                <w:sz w:val="24"/>
                <w:szCs w:val="24"/>
                <w:highlight w:val="none"/>
              </w:rPr>
            </w:pPr>
            <w:r>
              <w:rPr>
                <w:rFonts w:hint="eastAsia" w:asciiTheme="minorEastAsia" w:hAnsiTheme="minorEastAsia" w:eastAsiaTheme="minorEastAsia" w:cstheme="minorEastAsia"/>
                <w:kern w:val="0"/>
                <w:sz w:val="24"/>
                <w:szCs w:val="24"/>
                <w:highlight w:val="none"/>
                <w:lang w:val="en-US" w:eastAsia="zh-CN"/>
              </w:rPr>
              <w:t>8</w:t>
            </w:r>
            <w:r>
              <w:rPr>
                <w:rFonts w:hint="eastAsia" w:asciiTheme="minorEastAsia" w:hAnsiTheme="minorEastAsia" w:eastAsiaTheme="minorEastAsia" w:cstheme="minorEastAsia"/>
                <w:kern w:val="0"/>
                <w:sz w:val="24"/>
                <w:szCs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87" w:type="dxa"/>
            <w:vMerge w:val="continue"/>
            <w:tcMar>
              <w:top w:w="15" w:type="dxa"/>
              <w:left w:w="15" w:type="dxa"/>
              <w:right w:w="15" w:type="dxa"/>
            </w:tcMar>
            <w:vAlign w:val="center"/>
          </w:tcPr>
          <w:p>
            <w:pPr>
              <w:pStyle w:val="7"/>
              <w:spacing w:line="440" w:lineRule="exact"/>
              <w:rPr>
                <w:rFonts w:hAnsi="宋体" w:cs="宋体"/>
                <w:sz w:val="24"/>
                <w:szCs w:val="24"/>
                <w:highlight w:val="none"/>
              </w:rPr>
            </w:pPr>
          </w:p>
        </w:tc>
        <w:tc>
          <w:tcPr>
            <w:tcW w:w="805" w:type="dxa"/>
            <w:tcBorders>
              <w:top w:val="single" w:color="auto" w:sz="4" w:space="0"/>
            </w:tcBorders>
            <w:tcMar>
              <w:top w:w="15" w:type="dxa"/>
              <w:left w:w="15" w:type="dxa"/>
              <w:right w:w="15" w:type="dxa"/>
            </w:tcMar>
            <w:vAlign w:val="center"/>
          </w:tcPr>
          <w:p>
            <w:pPr>
              <w:widowControl/>
              <w:spacing w:line="400" w:lineRule="exact"/>
              <w:jc w:val="center"/>
              <w:textAlignment w:val="center"/>
              <w:rPr>
                <w:rFonts w:hAnsi="宋体" w:cs="宋体"/>
                <w:sz w:val="24"/>
                <w:szCs w:val="24"/>
                <w:highlight w:val="none"/>
              </w:rPr>
            </w:pPr>
            <w:r>
              <w:rPr>
                <w:rFonts w:hint="eastAsia" w:asciiTheme="minorEastAsia" w:hAnsiTheme="minorEastAsia" w:eastAsiaTheme="minorEastAsia" w:cstheme="minorEastAsia"/>
                <w:kern w:val="0"/>
                <w:sz w:val="24"/>
                <w:szCs w:val="24"/>
                <w:highlight w:val="none"/>
              </w:rPr>
              <w:t>售后服务方案评价</w:t>
            </w:r>
          </w:p>
        </w:tc>
        <w:tc>
          <w:tcPr>
            <w:tcW w:w="6196" w:type="dxa"/>
            <w:tcMar>
              <w:top w:w="15" w:type="dxa"/>
              <w:left w:w="15" w:type="dxa"/>
              <w:right w:w="15" w:type="dxa"/>
            </w:tcMar>
            <w:vAlign w:val="center"/>
          </w:tcPr>
          <w:p>
            <w:pPr>
              <w:widowControl/>
              <w:spacing w:line="400" w:lineRule="exact"/>
              <w:rPr>
                <w:sz w:val="24"/>
                <w:szCs w:val="24"/>
                <w:highlight w:val="none"/>
              </w:rPr>
            </w:pPr>
            <w:r>
              <w:rPr>
                <w:rFonts w:hint="eastAsia"/>
                <w:sz w:val="24"/>
                <w:szCs w:val="24"/>
                <w:highlight w:val="none"/>
              </w:rPr>
              <w:t>根据</w:t>
            </w:r>
            <w:r>
              <w:rPr>
                <w:rFonts w:hint="eastAsia"/>
                <w:sz w:val="24"/>
                <w:szCs w:val="24"/>
                <w:highlight w:val="none"/>
                <w:lang w:eastAsia="zh-CN"/>
              </w:rPr>
              <w:t>供应商</w:t>
            </w:r>
            <w:r>
              <w:rPr>
                <w:rFonts w:hint="eastAsia"/>
                <w:sz w:val="24"/>
                <w:szCs w:val="24"/>
                <w:highlight w:val="none"/>
              </w:rPr>
              <w:t>提供的售后服务方案进行评分：</w:t>
            </w:r>
          </w:p>
          <w:p>
            <w:pPr>
              <w:widowControl/>
              <w:spacing w:line="400" w:lineRule="exact"/>
              <w:ind w:firstLine="480" w:firstLineChars="200"/>
              <w:rPr>
                <w:sz w:val="24"/>
                <w:szCs w:val="24"/>
                <w:highlight w:val="none"/>
              </w:rPr>
            </w:pPr>
            <w:r>
              <w:rPr>
                <w:rFonts w:hint="eastAsia"/>
                <w:sz w:val="24"/>
                <w:szCs w:val="24"/>
                <w:highlight w:val="none"/>
              </w:rPr>
              <w:t>售后服务方案包括但不限于：售后</w:t>
            </w:r>
            <w:r>
              <w:rPr>
                <w:sz w:val="24"/>
                <w:szCs w:val="24"/>
                <w:highlight w:val="none"/>
              </w:rPr>
              <w:t>服务承诺</w:t>
            </w:r>
            <w:r>
              <w:rPr>
                <w:rFonts w:hint="eastAsia"/>
                <w:sz w:val="24"/>
                <w:szCs w:val="24"/>
                <w:highlight w:val="none"/>
              </w:rPr>
              <w:t>、售后</w:t>
            </w:r>
            <w:r>
              <w:rPr>
                <w:sz w:val="24"/>
                <w:szCs w:val="24"/>
                <w:highlight w:val="none"/>
              </w:rPr>
              <w:t>服务响应方案</w:t>
            </w:r>
            <w:r>
              <w:rPr>
                <w:rFonts w:hint="eastAsia"/>
                <w:sz w:val="24"/>
                <w:szCs w:val="24"/>
                <w:highlight w:val="none"/>
              </w:rPr>
              <w:t>、售后</w:t>
            </w:r>
            <w:r>
              <w:rPr>
                <w:sz w:val="24"/>
                <w:szCs w:val="24"/>
                <w:highlight w:val="none"/>
              </w:rPr>
              <w:t>服务人员配备</w:t>
            </w:r>
            <w:r>
              <w:rPr>
                <w:rFonts w:hint="eastAsia"/>
                <w:sz w:val="24"/>
                <w:szCs w:val="24"/>
                <w:highlight w:val="none"/>
              </w:rPr>
              <w:t>、</w:t>
            </w:r>
            <w:r>
              <w:rPr>
                <w:sz w:val="24"/>
                <w:szCs w:val="24"/>
                <w:highlight w:val="none"/>
              </w:rPr>
              <w:t>故障响应</w:t>
            </w:r>
            <w:r>
              <w:rPr>
                <w:rFonts w:hint="eastAsia"/>
                <w:sz w:val="24"/>
                <w:szCs w:val="24"/>
                <w:highlight w:val="none"/>
              </w:rPr>
              <w:t>措施、</w:t>
            </w:r>
            <w:r>
              <w:rPr>
                <w:sz w:val="24"/>
                <w:szCs w:val="24"/>
                <w:highlight w:val="none"/>
              </w:rPr>
              <w:t>质保外服务措施</w:t>
            </w:r>
            <w:r>
              <w:rPr>
                <w:rFonts w:hint="eastAsia"/>
                <w:sz w:val="24"/>
                <w:szCs w:val="24"/>
                <w:highlight w:val="none"/>
              </w:rPr>
              <w:t>、备品备件供</w:t>
            </w:r>
            <w:r>
              <w:rPr>
                <w:rFonts w:hint="eastAsia"/>
                <w:color w:val="auto"/>
                <w:sz w:val="24"/>
                <w:szCs w:val="24"/>
                <w:highlight w:val="none"/>
              </w:rPr>
              <w:t>应方案</w:t>
            </w:r>
            <w:r>
              <w:rPr>
                <w:color w:val="auto"/>
                <w:sz w:val="24"/>
                <w:szCs w:val="24"/>
                <w:highlight w:val="none"/>
              </w:rPr>
              <w:t>等</w:t>
            </w:r>
            <w:r>
              <w:rPr>
                <w:rFonts w:hint="eastAsia"/>
                <w:color w:val="auto"/>
                <w:sz w:val="24"/>
                <w:szCs w:val="24"/>
                <w:highlight w:val="none"/>
              </w:rPr>
              <w:t>6项内容，方案内容完整齐全，符合项目实际（</w:t>
            </w:r>
            <w:r>
              <w:rPr>
                <w:rFonts w:hint="eastAsia" w:asciiTheme="majorEastAsia" w:hAnsiTheme="majorEastAsia" w:eastAsiaTheme="majorEastAsia" w:cstheme="majorEastAsia"/>
                <w:color w:val="auto"/>
                <w:sz w:val="24"/>
                <w:szCs w:val="24"/>
                <w:highlight w:val="none"/>
              </w:rPr>
              <w:t>第六章“项目需求”</w:t>
            </w:r>
            <w:r>
              <w:rPr>
                <w:rFonts w:hint="eastAsia"/>
                <w:color w:val="auto"/>
                <w:sz w:val="24"/>
                <w:szCs w:val="24"/>
                <w:highlight w:val="none"/>
              </w:rPr>
              <w:t>）的，得</w:t>
            </w:r>
            <w:r>
              <w:rPr>
                <w:rFonts w:hint="eastAsia"/>
                <w:color w:val="auto"/>
                <w:sz w:val="24"/>
                <w:szCs w:val="24"/>
                <w:highlight w:val="none"/>
                <w:lang w:val="en-US" w:eastAsia="zh-CN"/>
              </w:rPr>
              <w:t>9</w:t>
            </w:r>
            <w:r>
              <w:rPr>
                <w:rFonts w:hint="eastAsia"/>
                <w:color w:val="auto"/>
                <w:sz w:val="24"/>
                <w:szCs w:val="24"/>
                <w:highlight w:val="none"/>
              </w:rPr>
              <w:t>分；每缺少一项方案内容，或一项内容存在缺陷的，每一项扣</w:t>
            </w:r>
            <w:r>
              <w:rPr>
                <w:rFonts w:hint="eastAsia"/>
                <w:color w:val="auto"/>
                <w:sz w:val="24"/>
                <w:szCs w:val="24"/>
                <w:highlight w:val="none"/>
                <w:lang w:val="en-US" w:eastAsia="zh-CN"/>
              </w:rPr>
              <w:t>1.5</w:t>
            </w:r>
            <w:r>
              <w:rPr>
                <w:rFonts w:hint="eastAsia"/>
                <w:color w:val="auto"/>
                <w:sz w:val="24"/>
                <w:szCs w:val="24"/>
                <w:highlight w:val="none"/>
              </w:rPr>
              <w:t>分，扣完为止；未提供</w:t>
            </w:r>
            <w:r>
              <w:rPr>
                <w:rFonts w:hint="eastAsia" w:asciiTheme="minorEastAsia" w:hAnsiTheme="minorEastAsia" w:eastAsiaTheme="minorEastAsia" w:cstheme="minorEastAsia"/>
                <w:kern w:val="0"/>
                <w:sz w:val="24"/>
                <w:szCs w:val="24"/>
                <w:highlight w:val="none"/>
              </w:rPr>
              <w:t>售后服务方案</w:t>
            </w:r>
            <w:r>
              <w:rPr>
                <w:rFonts w:hint="eastAsia"/>
                <w:color w:val="auto"/>
                <w:sz w:val="24"/>
                <w:szCs w:val="24"/>
                <w:highlight w:val="none"/>
              </w:rPr>
              <w:t>的，此项不</w:t>
            </w:r>
            <w:r>
              <w:rPr>
                <w:rFonts w:hint="eastAsia"/>
                <w:sz w:val="24"/>
                <w:szCs w:val="24"/>
                <w:highlight w:val="none"/>
              </w:rPr>
              <w:t>得分。</w:t>
            </w:r>
          </w:p>
          <w:p>
            <w:pPr>
              <w:snapToGrid w:val="0"/>
              <w:spacing w:line="400" w:lineRule="exact"/>
              <w:ind w:firstLine="482" w:firstLineChars="200"/>
              <w:rPr>
                <w:rFonts w:hAnsi="宋体" w:cs="宋体"/>
                <w:sz w:val="24"/>
                <w:szCs w:val="24"/>
                <w:highlight w:val="none"/>
              </w:rPr>
            </w:pPr>
            <w:r>
              <w:rPr>
                <w:rFonts w:hint="eastAsia"/>
                <w:b/>
                <w:bCs/>
                <w:sz w:val="24"/>
                <w:szCs w:val="24"/>
                <w:highlight w:val="none"/>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00" w:type="dxa"/>
            <w:tcMar>
              <w:top w:w="15" w:type="dxa"/>
              <w:left w:w="15" w:type="dxa"/>
              <w:right w:w="15" w:type="dxa"/>
            </w:tcMar>
            <w:vAlign w:val="center"/>
          </w:tcPr>
          <w:p>
            <w:pPr>
              <w:pStyle w:val="7"/>
              <w:spacing w:line="440" w:lineRule="exact"/>
              <w:jc w:val="center"/>
              <w:rPr>
                <w:rFonts w:hAnsi="宋体" w:cs="宋体"/>
                <w:sz w:val="24"/>
                <w:szCs w:val="24"/>
                <w:highlight w:val="none"/>
              </w:rPr>
            </w:pPr>
            <w:r>
              <w:rPr>
                <w:rFonts w:hint="eastAsia" w:hAnsi="宋体" w:cs="宋体" w:eastAsiaTheme="minorEastAsia"/>
                <w:sz w:val="24"/>
                <w:szCs w:val="24"/>
                <w:highlight w:val="none"/>
                <w:lang w:val="en-US" w:eastAsia="zh-CN"/>
              </w:rPr>
              <w:t>9</w:t>
            </w:r>
            <w:r>
              <w:rPr>
                <w:rFonts w:hint="eastAsia" w:asciiTheme="minorEastAsia" w:hAnsiTheme="minorEastAsia" w:eastAsiaTheme="minorEastAsia" w:cstheme="minorEastAsia"/>
                <w:kern w:val="0"/>
                <w:sz w:val="24"/>
                <w:szCs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8888" w:type="dxa"/>
            <w:gridSpan w:val="4"/>
            <w:tcMar>
              <w:top w:w="15" w:type="dxa"/>
              <w:left w:w="15" w:type="dxa"/>
              <w:right w:w="15" w:type="dxa"/>
            </w:tcMar>
            <w:vAlign w:val="center"/>
          </w:tcPr>
          <w:p>
            <w:pPr>
              <w:pStyle w:val="7"/>
              <w:spacing w:line="440" w:lineRule="exact"/>
              <w:jc w:val="center"/>
              <w:rPr>
                <w:rFonts w:hAnsi="宋体" w:cs="宋体"/>
                <w:sz w:val="24"/>
                <w:szCs w:val="24"/>
                <w:highlight w:val="none"/>
              </w:rPr>
            </w:pPr>
            <w:r>
              <w:rPr>
                <w:rFonts w:hint="eastAsia" w:hAnsi="宋体" w:cs="宋体"/>
                <w:sz w:val="24"/>
                <w:szCs w:val="24"/>
                <w:highlight w:val="none"/>
              </w:rPr>
              <w:t>合计：100分</w:t>
            </w:r>
          </w:p>
        </w:tc>
      </w:tr>
    </w:tbl>
    <w:p>
      <w:pPr>
        <w:rPr>
          <w:highlight w:val="none"/>
        </w:rPr>
      </w:pPr>
      <w:r>
        <w:rPr>
          <w:highlight w:val="none"/>
        </w:rPr>
        <w:br w:type="page"/>
      </w:r>
    </w:p>
    <w:p>
      <w:pPr>
        <w:pStyle w:val="3"/>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（三）政府采购政策功能落实</w:t>
      </w:r>
    </w:p>
    <w:p>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中小</w:t>
      </w:r>
      <w:r>
        <w:rPr>
          <w:rFonts w:hint="eastAsia" w:asciiTheme="minorEastAsia" w:hAnsiTheme="minorEastAsia" w:eastAsiaTheme="minorEastAsia" w:cstheme="minorEastAsia"/>
          <w:color w:val="auto"/>
          <w:sz w:val="24"/>
          <w:szCs w:val="24"/>
          <w:highlight w:val="none"/>
        </w:rPr>
        <w:t>企业</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zh-CN" w:eastAsia="zh-CN"/>
        </w:rPr>
        <w:t>本项目</w:t>
      </w:r>
      <w:r>
        <w:rPr>
          <w:rFonts w:hint="eastAsia" w:asciiTheme="minorEastAsia" w:hAnsiTheme="minorEastAsia" w:eastAsiaTheme="minorEastAsia" w:cstheme="minorEastAsia"/>
          <w:color w:val="auto"/>
          <w:sz w:val="24"/>
          <w:szCs w:val="24"/>
          <w:highlight w:val="none"/>
          <w:lang w:val="en-US" w:eastAsia="zh-CN"/>
        </w:rPr>
        <w:t>第一包、第二包、第四包为</w:t>
      </w:r>
      <w:r>
        <w:rPr>
          <w:rFonts w:hint="eastAsia" w:asciiTheme="minorEastAsia" w:hAnsiTheme="minorEastAsia" w:eastAsiaTheme="minorEastAsia" w:cstheme="minorEastAsia"/>
          <w:color w:val="auto"/>
          <w:sz w:val="24"/>
          <w:szCs w:val="24"/>
          <w:highlight w:val="none"/>
          <w:lang w:val="zh-CN" w:eastAsia="zh-CN"/>
        </w:rPr>
        <w:t>专门面向</w:t>
      </w:r>
      <w:r>
        <w:rPr>
          <w:rFonts w:hint="eastAsia" w:asciiTheme="minorEastAsia" w:hAnsiTheme="minorEastAsia" w:eastAsiaTheme="minorEastAsia" w:cstheme="minorEastAsia"/>
          <w:color w:val="auto"/>
          <w:sz w:val="24"/>
          <w:szCs w:val="24"/>
          <w:highlight w:val="none"/>
          <w:lang w:val="en-US" w:eastAsia="zh-CN"/>
        </w:rPr>
        <w:t>小微</w:t>
      </w:r>
      <w:r>
        <w:rPr>
          <w:rFonts w:hint="eastAsia" w:asciiTheme="minorEastAsia" w:hAnsiTheme="minorEastAsia" w:eastAsiaTheme="minorEastAsia" w:cstheme="minorEastAsia"/>
          <w:color w:val="auto"/>
          <w:sz w:val="24"/>
          <w:szCs w:val="24"/>
          <w:highlight w:val="none"/>
          <w:lang w:val="zh-CN" w:eastAsia="zh-CN"/>
        </w:rPr>
        <w:t>企业采购，</w:t>
      </w:r>
      <w:r>
        <w:rPr>
          <w:rFonts w:hint="eastAsia" w:asciiTheme="minorEastAsia" w:hAnsiTheme="minorEastAsia" w:eastAsiaTheme="minorEastAsia" w:cstheme="minorEastAsia"/>
          <w:color w:val="auto"/>
          <w:sz w:val="24"/>
          <w:szCs w:val="24"/>
          <w:highlight w:val="none"/>
          <w:lang w:val="en-US" w:eastAsia="zh-CN"/>
        </w:rPr>
        <w:t>第三包为</w:t>
      </w:r>
      <w:r>
        <w:rPr>
          <w:rFonts w:hint="eastAsia" w:asciiTheme="minorEastAsia" w:hAnsiTheme="minorEastAsia" w:eastAsiaTheme="minorEastAsia" w:cstheme="minorEastAsia"/>
          <w:color w:val="auto"/>
          <w:sz w:val="24"/>
          <w:szCs w:val="24"/>
          <w:highlight w:val="none"/>
          <w:lang w:val="zh-CN" w:eastAsia="zh-CN"/>
        </w:rPr>
        <w:t>专门面向</w:t>
      </w:r>
      <w:r>
        <w:rPr>
          <w:rFonts w:hint="eastAsia" w:asciiTheme="minorEastAsia" w:hAnsiTheme="minorEastAsia" w:eastAsiaTheme="minorEastAsia" w:cstheme="minorEastAsia"/>
          <w:color w:val="auto"/>
          <w:sz w:val="24"/>
          <w:szCs w:val="24"/>
          <w:highlight w:val="none"/>
          <w:lang w:val="en-US" w:eastAsia="zh-CN"/>
        </w:rPr>
        <w:t>中小</w:t>
      </w:r>
      <w:r>
        <w:rPr>
          <w:rFonts w:hint="eastAsia" w:asciiTheme="minorEastAsia" w:hAnsiTheme="minorEastAsia" w:eastAsiaTheme="minorEastAsia" w:cstheme="minorEastAsia"/>
          <w:color w:val="auto"/>
          <w:sz w:val="24"/>
          <w:szCs w:val="24"/>
          <w:highlight w:val="none"/>
          <w:lang w:val="zh-CN" w:eastAsia="zh-CN"/>
        </w:rPr>
        <w:t>企业采购</w:t>
      </w:r>
      <w:r>
        <w:rPr>
          <w:rFonts w:hint="eastAsia" w:asciiTheme="minorEastAsia" w:hAnsiTheme="minorEastAsia" w:eastAsiaTheme="minorEastAsia" w:cstheme="minorEastAsia"/>
          <w:color w:val="auto"/>
          <w:sz w:val="24"/>
          <w:szCs w:val="24"/>
          <w:highlight w:val="none"/>
          <w:lang w:val="zh-CN"/>
        </w:rPr>
        <w:t>，价格不再进行财政政策扣除。</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供应商需按照采购文件的要求提供相应的《中小企业声明函》。</w:t>
      </w:r>
    </w:p>
    <w:p>
      <w:pPr>
        <w:spacing w:line="400" w:lineRule="exact"/>
        <w:ind w:firstLine="480" w:firstLineChars="200"/>
        <w:rPr>
          <w:rFonts w:hint="eastAsia"/>
          <w:highlight w:val="none"/>
        </w:rPr>
      </w:pPr>
      <w:r>
        <w:rPr>
          <w:rFonts w:hint="eastAsia" w:asciiTheme="minorEastAsia" w:hAnsiTheme="minorEastAsia" w:eastAsiaTheme="minorEastAsia" w:cstheme="minorEastAsia"/>
          <w:color w:val="auto"/>
          <w:sz w:val="24"/>
          <w:szCs w:val="24"/>
          <w:highlight w:val="none"/>
        </w:rPr>
        <w:t>（3）企业标准请参照关于印发《政府采购促进中小企业发展管理办法》的通知（财库[2020]46号）文件规定自行填写。</w:t>
      </w:r>
    </w:p>
    <w:p>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2.残疾人福利单位</w:t>
      </w:r>
    </w:p>
    <w:p>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（1）本项目对残疾人福利性单位视同小型、微型企业。</w:t>
      </w:r>
    </w:p>
    <w:p>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（2）残疾人福利单位需按照采购文件的要求提供《残疾人福利性单位声明函》。</w:t>
      </w:r>
    </w:p>
    <w:p>
      <w:pPr>
        <w:spacing w:line="400" w:lineRule="exact"/>
        <w:ind w:firstLine="480" w:firstLineChars="200"/>
        <w:rPr>
          <w:rFonts w:ascii="宋体"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（3）残疾人福利单位标准请参照《</w:t>
      </w:r>
      <w:r>
        <w:rPr>
          <w:rFonts w:hint="eastAsia" w:ascii="宋体" w:hAnsi="宋体" w:cs="宋体"/>
          <w:color w:val="auto"/>
          <w:sz w:val="24"/>
          <w:szCs w:val="24"/>
          <w:highlight w:val="none"/>
        </w:rPr>
        <w:t>关于促进残疾人就业政府采购政策的通知</w:t>
      </w:r>
      <w:r>
        <w:rPr>
          <w:rFonts w:hint="eastAsia" w:asciiTheme="minorEastAsia" w:hAnsiTheme="minorEastAsia" w:eastAsiaTheme="minorEastAsia" w:cstheme="minorEastAsia"/>
          <w:color w:val="auto"/>
          <w:sz w:val="24"/>
          <w:szCs w:val="24"/>
          <w:highlight w:val="none"/>
        </w:rPr>
        <w:t>》（财库[2017]141号）。</w:t>
      </w:r>
    </w:p>
    <w:p>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3.监狱和戒毒企业</w:t>
      </w:r>
    </w:p>
    <w:p>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（1）本项目对监狱和戒毒企业（简称监狱企业）视同小型、微型企业。</w:t>
      </w:r>
    </w:p>
    <w:p>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（2）监狱企业参加政府采购活动时，需提供由省级以上监狱管理局、戒毒管理局(含新疆生产建设兵团)出具的监狱企业证明文件</w:t>
      </w:r>
      <w:r>
        <w:rPr>
          <w:rFonts w:hint="eastAsia" w:asciiTheme="minorEastAsia" w:hAnsiTheme="minorEastAsia" w:eastAsiaTheme="minorEastAsia" w:cstheme="minorEastAsia"/>
          <w:color w:val="auto"/>
          <w:sz w:val="24"/>
          <w:szCs w:val="24"/>
          <w:highlight w:val="none"/>
          <w:lang w:eastAsia="zh-CN"/>
        </w:rPr>
        <w:t>。</w:t>
      </w:r>
    </w:p>
    <w:p>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（3）监狱企业标准请参照《财政部、司法部关于政府采购支持监狱企业发展有关问题的通知》（财库[2014]68号）。</w:t>
      </w:r>
    </w:p>
    <w:p>
      <w:pP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sz w:val="24"/>
          <w:szCs w:val="24"/>
          <w:highlight w:val="none"/>
        </w:rPr>
        <w:br w:type="page"/>
      </w:r>
    </w:p>
    <w:p>
      <w:pPr>
        <w:pStyle w:val="2"/>
        <w:rPr>
          <w:highlight w:val="none"/>
        </w:rPr>
      </w:pPr>
      <w:bookmarkStart w:id="69" w:name="_Toc12223"/>
      <w:bookmarkStart w:id="70" w:name="_Toc26728"/>
      <w:bookmarkStart w:id="71" w:name="_Toc25159"/>
      <w:bookmarkStart w:id="72" w:name="_Toc462564139"/>
      <w:bookmarkStart w:id="73" w:name="_Hlt16619350"/>
      <w:bookmarkStart w:id="74" w:name="_Toc16938590"/>
      <w:bookmarkStart w:id="75" w:name="_Toc479757211"/>
      <w:bookmarkStart w:id="76" w:name="_Toc120614244"/>
      <w:bookmarkStart w:id="77" w:name="_Toc20823346"/>
      <w:r>
        <w:rPr>
          <w:rFonts w:hint="eastAsia"/>
          <w:highlight w:val="none"/>
        </w:rPr>
        <w:t>第四章 拟订立的合同样本</w:t>
      </w:r>
      <w:bookmarkEnd w:id="69"/>
      <w:bookmarkEnd w:id="70"/>
      <w:bookmarkEnd w:id="71"/>
    </w:p>
    <w:p>
      <w:pPr>
        <w:pStyle w:val="3"/>
        <w:ind w:firstLine="0"/>
        <w:rPr>
          <w:highlight w:val="none"/>
        </w:rPr>
      </w:pPr>
    </w:p>
    <w:p>
      <w:pPr>
        <w:rPr>
          <w:highlight w:val="none"/>
        </w:rPr>
      </w:pPr>
    </w:p>
    <w:p>
      <w:pPr>
        <w:rPr>
          <w:highlight w:val="none"/>
        </w:rPr>
      </w:pPr>
    </w:p>
    <w:p>
      <w:pPr>
        <w:adjustRightInd w:val="0"/>
        <w:snapToGrid w:val="0"/>
        <w:spacing w:line="360" w:lineRule="auto"/>
        <w:jc w:val="center"/>
        <w:rPr>
          <w:rFonts w:hAnsi="宋体"/>
          <w:b/>
          <w:bCs/>
          <w:sz w:val="36"/>
          <w:szCs w:val="36"/>
          <w:highlight w:val="none"/>
        </w:rPr>
      </w:pPr>
    </w:p>
    <w:p>
      <w:pPr>
        <w:spacing w:line="360" w:lineRule="atLeast"/>
        <w:jc w:val="center"/>
        <w:rPr>
          <w:rFonts w:hAnsi="宋体"/>
          <w:b/>
          <w:bCs/>
          <w:sz w:val="36"/>
          <w:szCs w:val="36"/>
          <w:highlight w:val="none"/>
        </w:rPr>
      </w:pPr>
      <w:r>
        <w:rPr>
          <w:rFonts w:hint="eastAsia" w:cs="宋体"/>
          <w:b/>
          <w:bCs/>
          <w:kern w:val="0"/>
          <w:sz w:val="36"/>
          <w:szCs w:val="36"/>
          <w:highlight w:val="none"/>
          <w:lang w:val="en-US" w:eastAsia="zh-CN"/>
        </w:rPr>
        <w:t>新疆消防救援总队乌鲁木齐支队“自然灾害应急能力提升工程”装备配备项目</w:t>
      </w:r>
      <w:r>
        <w:rPr>
          <w:rFonts w:hint="eastAsia" w:cs="宋体"/>
          <w:b/>
          <w:bCs/>
          <w:kern w:val="0"/>
          <w:sz w:val="36"/>
          <w:szCs w:val="36"/>
          <w:highlight w:val="none"/>
          <w:lang w:eastAsia="zh-CN"/>
        </w:rPr>
        <w:t>（</w:t>
      </w:r>
      <w:r>
        <w:rPr>
          <w:rFonts w:hint="eastAsia" w:cs="宋体"/>
          <w:b/>
          <w:bCs/>
          <w:kern w:val="0"/>
          <w:sz w:val="36"/>
          <w:szCs w:val="36"/>
          <w:highlight w:val="none"/>
          <w:lang w:val="en-US" w:eastAsia="zh-CN"/>
        </w:rPr>
        <w:t>九</w:t>
      </w:r>
      <w:r>
        <w:rPr>
          <w:rFonts w:hint="eastAsia" w:cs="宋体"/>
          <w:b/>
          <w:bCs/>
          <w:kern w:val="0"/>
          <w:sz w:val="36"/>
          <w:szCs w:val="36"/>
          <w:highlight w:val="none"/>
          <w:lang w:eastAsia="zh-CN"/>
        </w:rPr>
        <w:t>）</w:t>
      </w:r>
      <w:r>
        <w:rPr>
          <w:rFonts w:hint="eastAsia" w:hAnsi="宋体"/>
          <w:b/>
          <w:bCs/>
          <w:sz w:val="36"/>
          <w:szCs w:val="36"/>
          <w:highlight w:val="none"/>
        </w:rPr>
        <w:t>合同</w:t>
      </w:r>
    </w:p>
    <w:p>
      <w:pPr>
        <w:pStyle w:val="7"/>
        <w:snapToGrid w:val="0"/>
        <w:spacing w:line="320" w:lineRule="exact"/>
        <w:rPr>
          <w:rFonts w:ascii="黑体" w:eastAsia="黑体"/>
          <w:bCs/>
          <w:sz w:val="44"/>
          <w:highlight w:val="none"/>
        </w:rPr>
      </w:pPr>
    </w:p>
    <w:p>
      <w:pPr>
        <w:pStyle w:val="7"/>
        <w:snapToGrid w:val="0"/>
        <w:spacing w:line="320" w:lineRule="exact"/>
        <w:rPr>
          <w:rFonts w:ascii="黑体" w:eastAsia="黑体"/>
          <w:bCs/>
          <w:sz w:val="44"/>
          <w:highlight w:val="none"/>
        </w:rPr>
      </w:pPr>
    </w:p>
    <w:p>
      <w:pPr>
        <w:pStyle w:val="3"/>
        <w:ind w:firstLine="0"/>
        <w:jc w:val="center"/>
        <w:rPr>
          <w:rFonts w:ascii="宋体" w:hAnsi="宋体" w:cs="宋体"/>
          <w:sz w:val="24"/>
          <w:szCs w:val="24"/>
          <w:highlight w:val="none"/>
        </w:rPr>
      </w:pPr>
      <w:r>
        <w:rPr>
          <w:rFonts w:hint="eastAsia" w:ascii="宋体" w:hAnsi="宋体" w:cs="宋体"/>
          <w:sz w:val="24"/>
          <w:szCs w:val="24"/>
          <w:highlight w:val="none"/>
        </w:rPr>
        <w:t>本合同仅供参考，最终以与采购人实际签订合同为准</w:t>
      </w:r>
    </w:p>
    <w:p>
      <w:pPr>
        <w:rPr>
          <w:rFonts w:ascii="宋体" w:hAnsi="宋体" w:cs="宋体"/>
          <w:sz w:val="24"/>
          <w:szCs w:val="24"/>
          <w:highlight w:val="none"/>
        </w:rPr>
      </w:pPr>
    </w:p>
    <w:p>
      <w:pPr>
        <w:pStyle w:val="3"/>
        <w:rPr>
          <w:rFonts w:ascii="宋体" w:hAnsi="宋体" w:cs="宋体"/>
          <w:sz w:val="24"/>
          <w:szCs w:val="24"/>
          <w:highlight w:val="none"/>
        </w:rPr>
      </w:pPr>
    </w:p>
    <w:p>
      <w:pPr>
        <w:pStyle w:val="7"/>
        <w:snapToGrid w:val="0"/>
        <w:spacing w:line="320" w:lineRule="exact"/>
        <w:rPr>
          <w:rFonts w:ascii="黑体" w:eastAsia="黑体"/>
          <w:bCs/>
          <w:sz w:val="44"/>
          <w:highlight w:val="none"/>
        </w:rPr>
      </w:pPr>
    </w:p>
    <w:p>
      <w:pPr>
        <w:rPr>
          <w:highlight w:val="none"/>
        </w:rPr>
      </w:pPr>
    </w:p>
    <w:p>
      <w:pPr>
        <w:pStyle w:val="7"/>
        <w:rPr>
          <w:highlight w:val="none"/>
        </w:rPr>
      </w:pPr>
    </w:p>
    <w:p>
      <w:pPr>
        <w:rPr>
          <w:highlight w:val="none"/>
        </w:rPr>
      </w:pPr>
    </w:p>
    <w:p>
      <w:pPr>
        <w:pStyle w:val="7"/>
        <w:rPr>
          <w:highlight w:val="none"/>
        </w:rPr>
      </w:pPr>
    </w:p>
    <w:p>
      <w:pPr>
        <w:pStyle w:val="7"/>
        <w:snapToGrid w:val="0"/>
        <w:spacing w:line="320" w:lineRule="exact"/>
        <w:rPr>
          <w:rFonts w:ascii="黑体" w:eastAsia="黑体"/>
          <w:bCs/>
          <w:sz w:val="44"/>
          <w:highlight w:val="none"/>
        </w:rPr>
      </w:pPr>
    </w:p>
    <w:p>
      <w:pPr>
        <w:snapToGrid w:val="0"/>
        <w:spacing w:line="360" w:lineRule="auto"/>
        <w:rPr>
          <w:rFonts w:ascii="宋体" w:hAnsi="宋体" w:cs="宋体"/>
          <w:sz w:val="24"/>
          <w:highlight w:val="none"/>
          <w:u w:val="single"/>
        </w:rPr>
      </w:pPr>
      <w:r>
        <w:rPr>
          <w:rFonts w:hint="eastAsia" w:ascii="宋体" w:hAnsi="宋体" w:cs="宋体"/>
          <w:sz w:val="24"/>
          <w:highlight w:val="none"/>
        </w:rPr>
        <w:t>买方（甲方）：</w:t>
      </w:r>
    </w:p>
    <w:p>
      <w:pPr>
        <w:snapToGrid w:val="0"/>
        <w:spacing w:line="360" w:lineRule="auto"/>
        <w:rPr>
          <w:rFonts w:ascii="宋体" w:hAnsi="宋体" w:cs="宋体"/>
          <w:sz w:val="24"/>
          <w:highlight w:val="none"/>
        </w:rPr>
      </w:pPr>
      <w:r>
        <w:rPr>
          <w:rFonts w:hint="eastAsia" w:ascii="宋体" w:hAnsi="宋体" w:cs="宋体"/>
          <w:sz w:val="24"/>
          <w:highlight w:val="none"/>
        </w:rPr>
        <w:t>地址：</w:t>
      </w:r>
    </w:p>
    <w:p>
      <w:pPr>
        <w:snapToGrid w:val="0"/>
        <w:spacing w:line="360" w:lineRule="auto"/>
        <w:rPr>
          <w:rFonts w:ascii="宋体" w:hAnsi="宋体" w:cs="宋体"/>
          <w:sz w:val="24"/>
          <w:highlight w:val="none"/>
        </w:rPr>
      </w:pPr>
      <w:r>
        <w:rPr>
          <w:rFonts w:hint="eastAsia" w:ascii="宋体" w:hAnsi="宋体" w:cs="宋体"/>
          <w:sz w:val="24"/>
          <w:highlight w:val="none"/>
        </w:rPr>
        <w:t>指定联系人：              联系电话：                  联系邮箱：</w:t>
      </w:r>
    </w:p>
    <w:p>
      <w:pPr>
        <w:snapToGrid w:val="0"/>
        <w:spacing w:line="360" w:lineRule="auto"/>
        <w:rPr>
          <w:rFonts w:ascii="宋体" w:hAnsi="宋体" w:cs="宋体"/>
          <w:sz w:val="24"/>
          <w:highlight w:val="none"/>
          <w:u w:val="single"/>
        </w:rPr>
      </w:pPr>
      <w:r>
        <w:rPr>
          <w:rFonts w:hint="eastAsia" w:ascii="宋体" w:hAnsi="宋体" w:cs="宋体"/>
          <w:sz w:val="24"/>
          <w:highlight w:val="none"/>
        </w:rPr>
        <w:t>卖方（乙方）：</w:t>
      </w:r>
    </w:p>
    <w:p>
      <w:pPr>
        <w:snapToGrid w:val="0"/>
        <w:spacing w:line="360" w:lineRule="auto"/>
        <w:rPr>
          <w:rFonts w:ascii="宋体" w:hAnsi="宋体" w:cs="宋体"/>
          <w:sz w:val="24"/>
          <w:highlight w:val="none"/>
        </w:rPr>
      </w:pPr>
      <w:r>
        <w:rPr>
          <w:rFonts w:hint="eastAsia" w:ascii="宋体" w:hAnsi="宋体" w:cs="宋体"/>
          <w:sz w:val="24"/>
          <w:highlight w:val="none"/>
        </w:rPr>
        <w:t>法定代表人：</w:t>
      </w:r>
    </w:p>
    <w:p>
      <w:pPr>
        <w:snapToGrid w:val="0"/>
        <w:spacing w:line="360" w:lineRule="auto"/>
        <w:rPr>
          <w:rFonts w:ascii="宋体" w:hAnsi="宋体" w:cs="宋体"/>
          <w:sz w:val="24"/>
          <w:highlight w:val="none"/>
        </w:rPr>
      </w:pPr>
      <w:r>
        <w:rPr>
          <w:rFonts w:hint="eastAsia" w:ascii="宋体" w:hAnsi="宋体" w:cs="宋体"/>
          <w:sz w:val="24"/>
          <w:highlight w:val="none"/>
        </w:rPr>
        <w:t>地址：</w:t>
      </w:r>
    </w:p>
    <w:p>
      <w:pPr>
        <w:snapToGrid w:val="0"/>
        <w:spacing w:line="360" w:lineRule="auto"/>
        <w:rPr>
          <w:rFonts w:ascii="宋体" w:hAnsi="宋体" w:cs="宋体"/>
          <w:sz w:val="24"/>
          <w:highlight w:val="none"/>
        </w:rPr>
      </w:pPr>
      <w:r>
        <w:rPr>
          <w:rFonts w:hint="eastAsia" w:ascii="宋体" w:hAnsi="宋体" w:cs="宋体"/>
          <w:sz w:val="24"/>
          <w:highlight w:val="none"/>
        </w:rPr>
        <w:t>指定联系人：              联系电话：                  联系邮箱：</w:t>
      </w:r>
    </w:p>
    <w:p>
      <w:pPr>
        <w:rPr>
          <w:highlight w:val="none"/>
        </w:rPr>
      </w:pPr>
      <w:r>
        <w:rPr>
          <w:rFonts w:hint="eastAsia"/>
          <w:highlight w:val="none"/>
        </w:rPr>
        <w:br w:type="page"/>
      </w:r>
    </w:p>
    <w:p>
      <w:pPr>
        <w:pStyle w:val="13"/>
        <w:snapToGrid w:val="0"/>
        <w:spacing w:before="0" w:beforeAutospacing="0" w:after="0" w:afterAutospacing="0" w:line="400" w:lineRule="exact"/>
        <w:ind w:firstLine="420"/>
        <w:rPr>
          <w:b/>
          <w:bCs/>
          <w:highlight w:val="none"/>
          <w:u w:val="single"/>
        </w:rPr>
      </w:pPr>
      <w:r>
        <w:rPr>
          <w:rFonts w:hint="eastAsia"/>
          <w:highlight w:val="none"/>
        </w:rPr>
        <w:t>买、卖双方本着公平自愿、平等互利、协商一致的原则，就</w:t>
      </w:r>
      <w:r>
        <w:rPr>
          <w:rFonts w:hint="eastAsia"/>
          <w:b/>
          <w:bCs/>
          <w:highlight w:val="none"/>
          <w:u w:val="single"/>
        </w:rPr>
        <w:t>项目第  包</w:t>
      </w:r>
      <w:r>
        <w:rPr>
          <w:rFonts w:hint="eastAsia"/>
          <w:highlight w:val="none"/>
        </w:rPr>
        <w:t>签订本合同，双方信守执行。</w:t>
      </w:r>
    </w:p>
    <w:p>
      <w:pPr>
        <w:snapToGrid w:val="0"/>
        <w:spacing w:line="400" w:lineRule="exact"/>
        <w:ind w:firstLine="480" w:firstLineChars="200"/>
        <w:rPr>
          <w:rFonts w:ascii="宋体" w:hAnsi="宋体"/>
          <w:sz w:val="24"/>
          <w:szCs w:val="24"/>
          <w:highlight w:val="none"/>
        </w:rPr>
      </w:pPr>
      <w:r>
        <w:rPr>
          <w:rFonts w:hint="eastAsia" w:ascii="宋体" w:hAnsi="宋体"/>
          <w:sz w:val="24"/>
          <w:szCs w:val="24"/>
          <w:highlight w:val="none"/>
        </w:rPr>
        <w:t>合同文本组成及解释顺序：</w:t>
      </w:r>
    </w:p>
    <w:p>
      <w:pPr>
        <w:snapToGrid w:val="0"/>
        <w:spacing w:line="400" w:lineRule="exact"/>
        <w:ind w:firstLine="480" w:firstLineChars="200"/>
        <w:rPr>
          <w:rFonts w:ascii="宋体" w:hAnsi="宋体"/>
          <w:sz w:val="24"/>
          <w:szCs w:val="24"/>
          <w:highlight w:val="none"/>
        </w:rPr>
      </w:pPr>
      <w:r>
        <w:rPr>
          <w:rFonts w:hint="eastAsia" w:ascii="宋体" w:hAnsi="宋体"/>
          <w:sz w:val="24"/>
          <w:szCs w:val="24"/>
          <w:highlight w:val="none"/>
        </w:rPr>
        <w:t>第一章：合同协议书</w:t>
      </w:r>
    </w:p>
    <w:p>
      <w:pPr>
        <w:snapToGrid w:val="0"/>
        <w:spacing w:line="400" w:lineRule="exact"/>
        <w:ind w:firstLine="480" w:firstLineChars="200"/>
        <w:rPr>
          <w:rFonts w:ascii="宋体" w:hAnsi="宋体"/>
          <w:sz w:val="24"/>
          <w:szCs w:val="24"/>
          <w:highlight w:val="none"/>
        </w:rPr>
      </w:pPr>
      <w:r>
        <w:rPr>
          <w:rFonts w:hint="eastAsia" w:ascii="宋体" w:hAnsi="宋体"/>
          <w:sz w:val="24"/>
          <w:szCs w:val="24"/>
          <w:highlight w:val="none"/>
        </w:rPr>
        <w:t>第二章：合同基本条款</w:t>
      </w:r>
    </w:p>
    <w:p>
      <w:pPr>
        <w:snapToGrid w:val="0"/>
        <w:spacing w:line="400" w:lineRule="exact"/>
        <w:ind w:firstLine="480" w:firstLineChars="200"/>
        <w:rPr>
          <w:rFonts w:ascii="宋体" w:hAnsi="宋体"/>
          <w:sz w:val="24"/>
          <w:szCs w:val="24"/>
          <w:highlight w:val="none"/>
        </w:rPr>
      </w:pPr>
    </w:p>
    <w:p>
      <w:pPr>
        <w:widowControl/>
        <w:snapToGrid w:val="0"/>
        <w:spacing w:line="400" w:lineRule="exact"/>
        <w:rPr>
          <w:rFonts w:ascii="宋体" w:hAnsi="宋体"/>
          <w:sz w:val="24"/>
          <w:highlight w:val="none"/>
        </w:rPr>
      </w:pPr>
      <w:r>
        <w:rPr>
          <w:rFonts w:hint="eastAsia" w:ascii="宋体" w:hAnsi="宋体"/>
          <w:b/>
          <w:bCs/>
          <w:sz w:val="36"/>
          <w:szCs w:val="36"/>
          <w:highlight w:val="none"/>
        </w:rPr>
        <w:t>一、  合同协议书</w:t>
      </w:r>
    </w:p>
    <w:p>
      <w:pPr>
        <w:tabs>
          <w:tab w:val="left" w:pos="5940"/>
        </w:tabs>
        <w:snapToGrid w:val="0"/>
        <w:spacing w:line="400" w:lineRule="exact"/>
        <w:ind w:firstLine="480" w:firstLineChars="200"/>
        <w:rPr>
          <w:rFonts w:ascii="宋体" w:hAnsi="宋体"/>
          <w:sz w:val="24"/>
          <w:highlight w:val="none"/>
        </w:rPr>
      </w:pPr>
    </w:p>
    <w:p>
      <w:pPr>
        <w:tabs>
          <w:tab w:val="left" w:pos="5940"/>
        </w:tabs>
        <w:snapToGrid w:val="0"/>
        <w:spacing w:line="400" w:lineRule="exact"/>
        <w:ind w:firstLine="480" w:firstLineChars="200"/>
        <w:rPr>
          <w:rFonts w:ascii="宋体" w:hAnsi="宋体"/>
          <w:sz w:val="24"/>
          <w:highlight w:val="none"/>
        </w:rPr>
      </w:pPr>
      <w:r>
        <w:rPr>
          <w:rFonts w:hint="eastAsia" w:ascii="宋体" w:hAnsi="宋体"/>
          <w:sz w:val="24"/>
          <w:highlight w:val="none"/>
        </w:rPr>
        <w:t>1.  商品名称、规格、型号、单位、数量、单价、金额详见清单。</w:t>
      </w:r>
    </w:p>
    <w:p>
      <w:pPr>
        <w:snapToGrid w:val="0"/>
        <w:spacing w:line="400" w:lineRule="exact"/>
        <w:ind w:firstLine="480" w:firstLineChars="200"/>
        <w:rPr>
          <w:rFonts w:ascii="宋体" w:hAnsi="宋体"/>
          <w:sz w:val="24"/>
          <w:highlight w:val="none"/>
        </w:rPr>
      </w:pPr>
      <w:r>
        <w:rPr>
          <w:rFonts w:hint="eastAsia" w:ascii="宋体" w:hAnsi="宋体"/>
          <w:sz w:val="24"/>
          <w:highlight w:val="none"/>
        </w:rPr>
        <w:t>单位：人民币：元</w:t>
      </w:r>
    </w:p>
    <w:tbl>
      <w:tblPr>
        <w:tblStyle w:val="15"/>
        <w:tblpPr w:leftFromText="180" w:rightFromText="180" w:vertAnchor="text" w:horzAnchor="page" w:tblpXSpec="center" w:tblpY="456"/>
        <w:tblOverlap w:val="never"/>
        <w:tblW w:w="10044" w:type="dxa"/>
        <w:jc w:val="center"/>
        <w:tblLayout w:type="fixed"/>
        <w:tblCellMar>
          <w:top w:w="0" w:type="dxa"/>
          <w:left w:w="108" w:type="dxa"/>
          <w:bottom w:w="0" w:type="dxa"/>
          <w:right w:w="108" w:type="dxa"/>
        </w:tblCellMar>
      </w:tblPr>
      <w:tblGrid>
        <w:gridCol w:w="993"/>
        <w:gridCol w:w="992"/>
        <w:gridCol w:w="709"/>
        <w:gridCol w:w="709"/>
        <w:gridCol w:w="1004"/>
        <w:gridCol w:w="791"/>
        <w:gridCol w:w="660"/>
        <w:gridCol w:w="1230"/>
        <w:gridCol w:w="1230"/>
        <w:gridCol w:w="960"/>
        <w:gridCol w:w="766"/>
      </w:tblGrid>
      <w:tr>
        <w:tblPrEx>
          <w:tblCellMar>
            <w:top w:w="0" w:type="dxa"/>
            <w:left w:w="108" w:type="dxa"/>
            <w:bottom w:w="0" w:type="dxa"/>
            <w:right w:w="108" w:type="dxa"/>
          </w:tblCellMar>
        </w:tblPrEx>
        <w:trPr>
          <w:trHeight w:val="640" w:hRule="atLeast"/>
          <w:jc w:val="center"/>
        </w:trPr>
        <w:tc>
          <w:tcPr>
            <w:tcW w:w="99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400" w:lineRule="exact"/>
              <w:jc w:val="center"/>
              <w:rPr>
                <w:rFonts w:ascii="宋体" w:hAnsi="宋体" w:cs="宋体"/>
                <w:kern w:val="0"/>
                <w:sz w:val="24"/>
                <w:szCs w:val="24"/>
                <w:highlight w:val="none"/>
              </w:rPr>
            </w:pPr>
            <w:r>
              <w:rPr>
                <w:rFonts w:hint="eastAsia" w:ascii="宋体" w:hAnsi="宋体" w:cs="宋体"/>
                <w:kern w:val="0"/>
                <w:sz w:val="24"/>
                <w:szCs w:val="24"/>
                <w:highlight w:val="none"/>
              </w:rPr>
              <w:t>器材名称</w:t>
            </w:r>
          </w:p>
        </w:tc>
        <w:tc>
          <w:tcPr>
            <w:tcW w:w="992" w:type="dxa"/>
            <w:tcBorders>
              <w:top w:val="single" w:color="auto" w:sz="4" w:space="0"/>
              <w:left w:val="nil"/>
              <w:bottom w:val="single" w:color="auto" w:sz="4" w:space="0"/>
              <w:right w:val="single" w:color="auto" w:sz="4" w:space="0"/>
            </w:tcBorders>
            <w:noWrap/>
            <w:vAlign w:val="center"/>
          </w:tcPr>
          <w:p>
            <w:pPr>
              <w:widowControl/>
              <w:snapToGrid w:val="0"/>
              <w:spacing w:line="400" w:lineRule="exact"/>
              <w:jc w:val="center"/>
              <w:rPr>
                <w:rFonts w:ascii="宋体" w:hAnsi="宋体" w:cs="宋体"/>
                <w:kern w:val="0"/>
                <w:sz w:val="24"/>
                <w:szCs w:val="24"/>
                <w:highlight w:val="none"/>
              </w:rPr>
            </w:pPr>
            <w:r>
              <w:rPr>
                <w:rFonts w:hint="eastAsia" w:ascii="宋体" w:hAnsi="宋体" w:cs="宋体"/>
                <w:kern w:val="0"/>
                <w:sz w:val="24"/>
                <w:szCs w:val="24"/>
                <w:highlight w:val="none"/>
              </w:rPr>
              <w:t>品名/型号</w:t>
            </w:r>
          </w:p>
        </w:tc>
        <w:tc>
          <w:tcPr>
            <w:tcW w:w="709" w:type="dxa"/>
            <w:tcBorders>
              <w:top w:val="single" w:color="auto" w:sz="4" w:space="0"/>
              <w:left w:val="nil"/>
              <w:bottom w:val="single" w:color="auto" w:sz="4" w:space="0"/>
              <w:right w:val="single" w:color="auto" w:sz="4" w:space="0"/>
            </w:tcBorders>
            <w:noWrap/>
            <w:vAlign w:val="center"/>
          </w:tcPr>
          <w:p>
            <w:pPr>
              <w:widowControl/>
              <w:snapToGrid w:val="0"/>
              <w:spacing w:line="400" w:lineRule="exact"/>
              <w:jc w:val="center"/>
              <w:rPr>
                <w:rFonts w:ascii="宋体" w:hAnsi="宋体" w:cs="宋体"/>
                <w:kern w:val="0"/>
                <w:sz w:val="24"/>
                <w:szCs w:val="24"/>
                <w:highlight w:val="none"/>
              </w:rPr>
            </w:pPr>
            <w:r>
              <w:rPr>
                <w:rFonts w:hint="eastAsia" w:ascii="宋体" w:hAnsi="宋体" w:cs="宋体"/>
                <w:kern w:val="0"/>
                <w:sz w:val="24"/>
                <w:szCs w:val="24"/>
                <w:highlight w:val="none"/>
              </w:rPr>
              <w:t>产地</w:t>
            </w:r>
          </w:p>
        </w:tc>
        <w:tc>
          <w:tcPr>
            <w:tcW w:w="709" w:type="dxa"/>
            <w:tcBorders>
              <w:top w:val="single" w:color="auto" w:sz="4" w:space="0"/>
              <w:left w:val="nil"/>
              <w:bottom w:val="single" w:color="auto" w:sz="4" w:space="0"/>
              <w:right w:val="single" w:color="auto" w:sz="4" w:space="0"/>
            </w:tcBorders>
            <w:noWrap/>
            <w:vAlign w:val="center"/>
          </w:tcPr>
          <w:p>
            <w:pPr>
              <w:widowControl/>
              <w:snapToGrid w:val="0"/>
              <w:spacing w:line="400" w:lineRule="exact"/>
              <w:jc w:val="center"/>
              <w:rPr>
                <w:rFonts w:ascii="宋体" w:hAnsi="宋体" w:cs="宋体"/>
                <w:kern w:val="0"/>
                <w:sz w:val="24"/>
                <w:szCs w:val="24"/>
                <w:highlight w:val="none"/>
              </w:rPr>
            </w:pPr>
            <w:r>
              <w:rPr>
                <w:rFonts w:hint="eastAsia" w:ascii="宋体" w:hAnsi="宋体" w:cs="宋体"/>
                <w:kern w:val="0"/>
                <w:sz w:val="24"/>
                <w:szCs w:val="24"/>
                <w:highlight w:val="none"/>
              </w:rPr>
              <w:t>生产商</w:t>
            </w:r>
          </w:p>
        </w:tc>
        <w:tc>
          <w:tcPr>
            <w:tcW w:w="1004" w:type="dxa"/>
            <w:tcBorders>
              <w:top w:val="single" w:color="auto" w:sz="4" w:space="0"/>
              <w:left w:val="nil"/>
              <w:bottom w:val="single" w:color="auto" w:sz="4" w:space="0"/>
              <w:right w:val="single" w:color="auto" w:sz="4" w:space="0"/>
            </w:tcBorders>
            <w:noWrap/>
            <w:vAlign w:val="center"/>
          </w:tcPr>
          <w:p>
            <w:pPr>
              <w:widowControl/>
              <w:snapToGrid w:val="0"/>
              <w:spacing w:line="400" w:lineRule="exact"/>
              <w:jc w:val="center"/>
              <w:rPr>
                <w:rFonts w:ascii="宋体" w:hAnsi="宋体" w:cs="宋体"/>
                <w:kern w:val="0"/>
                <w:sz w:val="24"/>
                <w:szCs w:val="24"/>
                <w:highlight w:val="none"/>
              </w:rPr>
            </w:pPr>
            <w:r>
              <w:rPr>
                <w:rFonts w:hint="eastAsia" w:ascii="宋体" w:hAnsi="宋体" w:cs="宋体"/>
                <w:kern w:val="0"/>
                <w:sz w:val="24"/>
                <w:szCs w:val="24"/>
                <w:highlight w:val="none"/>
              </w:rPr>
              <w:t>单价（元/台）</w:t>
            </w:r>
          </w:p>
        </w:tc>
        <w:tc>
          <w:tcPr>
            <w:tcW w:w="791" w:type="dxa"/>
            <w:tcBorders>
              <w:top w:val="single" w:color="auto" w:sz="4" w:space="0"/>
              <w:left w:val="nil"/>
              <w:bottom w:val="single" w:color="auto" w:sz="4" w:space="0"/>
              <w:right w:val="single" w:color="auto" w:sz="4" w:space="0"/>
            </w:tcBorders>
            <w:noWrap/>
            <w:vAlign w:val="center"/>
          </w:tcPr>
          <w:p>
            <w:pPr>
              <w:widowControl/>
              <w:snapToGrid w:val="0"/>
              <w:spacing w:line="400" w:lineRule="exact"/>
              <w:jc w:val="center"/>
              <w:rPr>
                <w:rFonts w:ascii="宋体" w:hAnsi="宋体" w:cs="宋体"/>
                <w:kern w:val="0"/>
                <w:sz w:val="24"/>
                <w:szCs w:val="24"/>
                <w:highlight w:val="none"/>
              </w:rPr>
            </w:pPr>
            <w:r>
              <w:rPr>
                <w:rFonts w:hint="eastAsia" w:ascii="宋体" w:hAnsi="宋体" w:cs="宋体"/>
                <w:kern w:val="0"/>
                <w:sz w:val="24"/>
                <w:szCs w:val="24"/>
                <w:highlight w:val="none"/>
              </w:rPr>
              <w:t>数量（台）</w:t>
            </w:r>
          </w:p>
        </w:tc>
        <w:tc>
          <w:tcPr>
            <w:tcW w:w="660" w:type="dxa"/>
            <w:tcBorders>
              <w:top w:val="single" w:color="auto" w:sz="4" w:space="0"/>
              <w:left w:val="nil"/>
              <w:bottom w:val="single" w:color="auto" w:sz="4" w:space="0"/>
              <w:right w:val="single" w:color="auto" w:sz="4" w:space="0"/>
            </w:tcBorders>
            <w:noWrap/>
            <w:vAlign w:val="center"/>
          </w:tcPr>
          <w:p>
            <w:pPr>
              <w:widowControl/>
              <w:snapToGrid w:val="0"/>
              <w:spacing w:line="400" w:lineRule="exact"/>
              <w:jc w:val="center"/>
              <w:rPr>
                <w:rFonts w:ascii="宋体" w:hAnsi="宋体" w:cs="宋体"/>
                <w:kern w:val="0"/>
                <w:sz w:val="24"/>
                <w:szCs w:val="24"/>
                <w:highlight w:val="none"/>
              </w:rPr>
            </w:pPr>
            <w:r>
              <w:rPr>
                <w:rFonts w:hint="eastAsia" w:ascii="宋体" w:hAnsi="宋体" w:cs="宋体"/>
                <w:kern w:val="0"/>
                <w:sz w:val="24"/>
                <w:szCs w:val="24"/>
                <w:highlight w:val="none"/>
              </w:rPr>
              <w:t>小计</w:t>
            </w:r>
          </w:p>
        </w:tc>
        <w:tc>
          <w:tcPr>
            <w:tcW w:w="1230" w:type="dxa"/>
            <w:tcBorders>
              <w:top w:val="single" w:color="auto" w:sz="4" w:space="0"/>
              <w:left w:val="nil"/>
              <w:bottom w:val="single" w:color="auto" w:sz="4" w:space="0"/>
              <w:right w:val="single" w:color="auto" w:sz="4" w:space="0"/>
            </w:tcBorders>
            <w:noWrap/>
            <w:vAlign w:val="center"/>
          </w:tcPr>
          <w:p>
            <w:pPr>
              <w:widowControl/>
              <w:snapToGrid w:val="0"/>
              <w:spacing w:line="400" w:lineRule="exact"/>
              <w:jc w:val="center"/>
              <w:rPr>
                <w:rFonts w:ascii="宋体" w:hAnsi="宋体" w:cs="宋体"/>
                <w:kern w:val="0"/>
                <w:sz w:val="24"/>
                <w:szCs w:val="24"/>
                <w:highlight w:val="none"/>
              </w:rPr>
            </w:pPr>
            <w:r>
              <w:rPr>
                <w:rFonts w:hint="eastAsia" w:ascii="宋体" w:hAnsi="宋体" w:cs="宋体"/>
                <w:kern w:val="0"/>
                <w:sz w:val="24"/>
                <w:szCs w:val="24"/>
                <w:highlight w:val="none"/>
              </w:rPr>
              <w:t>总报价</w:t>
            </w:r>
          </w:p>
        </w:tc>
        <w:tc>
          <w:tcPr>
            <w:tcW w:w="1230" w:type="dxa"/>
            <w:tcBorders>
              <w:top w:val="single" w:color="auto" w:sz="4" w:space="0"/>
              <w:left w:val="nil"/>
              <w:bottom w:val="single" w:color="auto" w:sz="4" w:space="0"/>
              <w:right w:val="single" w:color="auto" w:sz="4" w:space="0"/>
            </w:tcBorders>
            <w:noWrap/>
            <w:vAlign w:val="center"/>
          </w:tcPr>
          <w:p>
            <w:pPr>
              <w:widowControl/>
              <w:snapToGrid w:val="0"/>
              <w:spacing w:line="400" w:lineRule="exact"/>
              <w:jc w:val="center"/>
              <w:rPr>
                <w:rFonts w:ascii="宋体" w:hAnsi="宋体" w:cs="宋体"/>
                <w:kern w:val="0"/>
                <w:sz w:val="24"/>
                <w:szCs w:val="24"/>
                <w:highlight w:val="none"/>
              </w:rPr>
            </w:pPr>
            <w:r>
              <w:rPr>
                <w:rFonts w:hint="eastAsia" w:ascii="宋体" w:hAnsi="宋体" w:cs="宋体"/>
                <w:kern w:val="0"/>
                <w:sz w:val="24"/>
                <w:szCs w:val="24"/>
                <w:highlight w:val="none"/>
              </w:rPr>
              <w:t>中标总价</w:t>
            </w:r>
          </w:p>
        </w:tc>
        <w:tc>
          <w:tcPr>
            <w:tcW w:w="960" w:type="dxa"/>
            <w:tcBorders>
              <w:top w:val="single" w:color="auto" w:sz="4" w:space="0"/>
              <w:left w:val="nil"/>
              <w:bottom w:val="single" w:color="auto" w:sz="4" w:space="0"/>
              <w:right w:val="single" w:color="auto" w:sz="4" w:space="0"/>
            </w:tcBorders>
            <w:noWrap/>
            <w:vAlign w:val="center"/>
          </w:tcPr>
          <w:p>
            <w:pPr>
              <w:widowControl/>
              <w:snapToGrid w:val="0"/>
              <w:spacing w:line="400" w:lineRule="exact"/>
              <w:jc w:val="center"/>
              <w:rPr>
                <w:rFonts w:ascii="宋体" w:hAnsi="宋体" w:cs="宋体"/>
                <w:kern w:val="0"/>
                <w:sz w:val="24"/>
                <w:szCs w:val="24"/>
                <w:highlight w:val="none"/>
              </w:rPr>
            </w:pPr>
            <w:r>
              <w:rPr>
                <w:rFonts w:hint="eastAsia" w:ascii="宋体" w:hAnsi="宋体" w:cs="宋体"/>
                <w:kern w:val="0"/>
                <w:sz w:val="24"/>
                <w:szCs w:val="24"/>
                <w:highlight w:val="none"/>
              </w:rPr>
              <w:t>履约保证金</w:t>
            </w:r>
          </w:p>
        </w:tc>
        <w:tc>
          <w:tcPr>
            <w:tcW w:w="766" w:type="dxa"/>
            <w:tcBorders>
              <w:top w:val="single" w:color="auto" w:sz="4" w:space="0"/>
              <w:left w:val="nil"/>
              <w:bottom w:val="single" w:color="auto" w:sz="4" w:space="0"/>
              <w:right w:val="single" w:color="auto" w:sz="4" w:space="0"/>
            </w:tcBorders>
            <w:noWrap/>
            <w:vAlign w:val="center"/>
          </w:tcPr>
          <w:p>
            <w:pPr>
              <w:widowControl/>
              <w:snapToGrid w:val="0"/>
              <w:spacing w:line="400" w:lineRule="exact"/>
              <w:jc w:val="center"/>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保修期</w:t>
            </w:r>
          </w:p>
        </w:tc>
      </w:tr>
      <w:tr>
        <w:tblPrEx>
          <w:tblCellMar>
            <w:top w:w="0" w:type="dxa"/>
            <w:left w:w="108" w:type="dxa"/>
            <w:bottom w:w="0" w:type="dxa"/>
            <w:right w:w="108" w:type="dxa"/>
          </w:tblCellMar>
        </w:tblPrEx>
        <w:trPr>
          <w:trHeight w:val="376" w:hRule="atLeast"/>
          <w:jc w:val="center"/>
        </w:trPr>
        <w:tc>
          <w:tcPr>
            <w:tcW w:w="99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400" w:lineRule="exact"/>
              <w:jc w:val="center"/>
              <w:rPr>
                <w:rFonts w:ascii="宋体" w:hAnsi="宋体" w:cs="宋体"/>
                <w:kern w:val="0"/>
                <w:sz w:val="24"/>
                <w:szCs w:val="24"/>
                <w:highlight w:val="none"/>
              </w:rPr>
            </w:pPr>
          </w:p>
        </w:tc>
        <w:tc>
          <w:tcPr>
            <w:tcW w:w="992" w:type="dxa"/>
            <w:tcBorders>
              <w:top w:val="single" w:color="auto" w:sz="4" w:space="0"/>
              <w:left w:val="nil"/>
              <w:bottom w:val="single" w:color="auto" w:sz="4" w:space="0"/>
              <w:right w:val="single" w:color="auto" w:sz="4" w:space="0"/>
            </w:tcBorders>
            <w:noWrap/>
            <w:vAlign w:val="center"/>
          </w:tcPr>
          <w:p>
            <w:pPr>
              <w:widowControl/>
              <w:snapToGrid w:val="0"/>
              <w:spacing w:line="400" w:lineRule="exact"/>
              <w:jc w:val="center"/>
              <w:rPr>
                <w:rFonts w:ascii="宋体" w:hAnsi="宋体" w:cs="宋体"/>
                <w:kern w:val="0"/>
                <w:sz w:val="24"/>
                <w:szCs w:val="24"/>
                <w:highlight w:val="none"/>
              </w:rPr>
            </w:pPr>
          </w:p>
        </w:tc>
        <w:tc>
          <w:tcPr>
            <w:tcW w:w="709" w:type="dxa"/>
            <w:tcBorders>
              <w:top w:val="single" w:color="auto" w:sz="4" w:space="0"/>
              <w:left w:val="nil"/>
              <w:bottom w:val="single" w:color="auto" w:sz="4" w:space="0"/>
              <w:right w:val="single" w:color="auto" w:sz="4" w:space="0"/>
            </w:tcBorders>
            <w:noWrap/>
            <w:vAlign w:val="center"/>
          </w:tcPr>
          <w:p>
            <w:pPr>
              <w:widowControl/>
              <w:snapToGrid w:val="0"/>
              <w:spacing w:line="400" w:lineRule="exact"/>
              <w:jc w:val="center"/>
              <w:rPr>
                <w:rFonts w:ascii="宋体" w:hAnsi="宋体" w:cs="宋体"/>
                <w:kern w:val="0"/>
                <w:sz w:val="24"/>
                <w:szCs w:val="24"/>
                <w:highlight w:val="none"/>
              </w:rPr>
            </w:pPr>
          </w:p>
        </w:tc>
        <w:tc>
          <w:tcPr>
            <w:tcW w:w="709" w:type="dxa"/>
            <w:tcBorders>
              <w:top w:val="single" w:color="auto" w:sz="4" w:space="0"/>
              <w:left w:val="nil"/>
              <w:bottom w:val="single" w:color="auto" w:sz="4" w:space="0"/>
              <w:right w:val="single" w:color="auto" w:sz="4" w:space="0"/>
            </w:tcBorders>
            <w:noWrap/>
            <w:vAlign w:val="center"/>
          </w:tcPr>
          <w:p>
            <w:pPr>
              <w:widowControl/>
              <w:snapToGrid w:val="0"/>
              <w:spacing w:line="400" w:lineRule="exact"/>
              <w:jc w:val="center"/>
              <w:rPr>
                <w:rFonts w:ascii="宋体" w:hAnsi="宋体" w:cs="宋体"/>
                <w:kern w:val="0"/>
                <w:sz w:val="24"/>
                <w:szCs w:val="24"/>
                <w:highlight w:val="none"/>
              </w:rPr>
            </w:pPr>
          </w:p>
        </w:tc>
        <w:tc>
          <w:tcPr>
            <w:tcW w:w="1004" w:type="dxa"/>
            <w:tcBorders>
              <w:top w:val="single" w:color="auto" w:sz="4" w:space="0"/>
              <w:left w:val="nil"/>
              <w:bottom w:val="single" w:color="auto" w:sz="4" w:space="0"/>
              <w:right w:val="single" w:color="auto" w:sz="4" w:space="0"/>
            </w:tcBorders>
            <w:noWrap/>
            <w:vAlign w:val="center"/>
          </w:tcPr>
          <w:p>
            <w:pPr>
              <w:widowControl/>
              <w:snapToGrid w:val="0"/>
              <w:spacing w:line="400" w:lineRule="exact"/>
              <w:jc w:val="center"/>
              <w:rPr>
                <w:rFonts w:ascii="宋体" w:hAnsi="宋体" w:cs="宋体"/>
                <w:kern w:val="0"/>
                <w:sz w:val="24"/>
                <w:szCs w:val="24"/>
                <w:highlight w:val="none"/>
              </w:rPr>
            </w:pPr>
          </w:p>
        </w:tc>
        <w:tc>
          <w:tcPr>
            <w:tcW w:w="791" w:type="dxa"/>
            <w:tcBorders>
              <w:top w:val="single" w:color="auto" w:sz="4" w:space="0"/>
              <w:left w:val="nil"/>
              <w:bottom w:val="single" w:color="auto" w:sz="4" w:space="0"/>
              <w:right w:val="single" w:color="auto" w:sz="4" w:space="0"/>
            </w:tcBorders>
            <w:noWrap/>
            <w:vAlign w:val="center"/>
          </w:tcPr>
          <w:p>
            <w:pPr>
              <w:widowControl/>
              <w:snapToGrid w:val="0"/>
              <w:spacing w:line="400" w:lineRule="exact"/>
              <w:jc w:val="center"/>
              <w:rPr>
                <w:rFonts w:ascii="宋体" w:hAnsi="宋体" w:cs="宋体"/>
                <w:kern w:val="0"/>
                <w:sz w:val="24"/>
                <w:szCs w:val="24"/>
                <w:highlight w:val="none"/>
              </w:rPr>
            </w:pPr>
          </w:p>
        </w:tc>
        <w:tc>
          <w:tcPr>
            <w:tcW w:w="660" w:type="dxa"/>
            <w:tcBorders>
              <w:top w:val="single" w:color="auto" w:sz="4" w:space="0"/>
              <w:left w:val="nil"/>
              <w:bottom w:val="single" w:color="auto" w:sz="4" w:space="0"/>
              <w:right w:val="single" w:color="auto" w:sz="4" w:space="0"/>
            </w:tcBorders>
            <w:noWrap/>
            <w:vAlign w:val="center"/>
          </w:tcPr>
          <w:p>
            <w:pPr>
              <w:widowControl/>
              <w:snapToGrid w:val="0"/>
              <w:spacing w:line="400" w:lineRule="exact"/>
              <w:jc w:val="center"/>
              <w:rPr>
                <w:rFonts w:ascii="宋体" w:hAnsi="宋体" w:cs="宋体"/>
                <w:kern w:val="0"/>
                <w:sz w:val="24"/>
                <w:szCs w:val="24"/>
                <w:highlight w:val="none"/>
              </w:rPr>
            </w:pPr>
          </w:p>
        </w:tc>
        <w:tc>
          <w:tcPr>
            <w:tcW w:w="1230" w:type="dxa"/>
            <w:tcBorders>
              <w:top w:val="single" w:color="auto" w:sz="4" w:space="0"/>
              <w:left w:val="nil"/>
              <w:bottom w:val="single" w:color="auto" w:sz="4" w:space="0"/>
              <w:right w:val="single" w:color="auto" w:sz="4" w:space="0"/>
            </w:tcBorders>
            <w:noWrap/>
            <w:vAlign w:val="center"/>
          </w:tcPr>
          <w:p>
            <w:pPr>
              <w:widowControl/>
              <w:snapToGrid w:val="0"/>
              <w:spacing w:line="400" w:lineRule="exact"/>
              <w:jc w:val="center"/>
              <w:rPr>
                <w:rFonts w:ascii="宋体" w:hAnsi="宋体" w:cs="宋体"/>
                <w:kern w:val="0"/>
                <w:sz w:val="24"/>
                <w:szCs w:val="24"/>
                <w:highlight w:val="none"/>
              </w:rPr>
            </w:pPr>
          </w:p>
        </w:tc>
        <w:tc>
          <w:tcPr>
            <w:tcW w:w="1230" w:type="dxa"/>
            <w:tcBorders>
              <w:top w:val="single" w:color="auto" w:sz="4" w:space="0"/>
              <w:left w:val="nil"/>
              <w:bottom w:val="single" w:color="auto" w:sz="4" w:space="0"/>
              <w:right w:val="single" w:color="auto" w:sz="4" w:space="0"/>
            </w:tcBorders>
            <w:noWrap/>
            <w:vAlign w:val="center"/>
          </w:tcPr>
          <w:p>
            <w:pPr>
              <w:widowControl/>
              <w:snapToGrid w:val="0"/>
              <w:spacing w:line="400" w:lineRule="exact"/>
              <w:jc w:val="center"/>
              <w:rPr>
                <w:rFonts w:ascii="宋体" w:hAnsi="宋体" w:cs="宋体"/>
                <w:kern w:val="0"/>
                <w:sz w:val="24"/>
                <w:szCs w:val="24"/>
                <w:highlight w:val="none"/>
              </w:rPr>
            </w:pPr>
          </w:p>
        </w:tc>
        <w:tc>
          <w:tcPr>
            <w:tcW w:w="960" w:type="dxa"/>
            <w:tcBorders>
              <w:top w:val="single" w:color="auto" w:sz="4" w:space="0"/>
              <w:left w:val="nil"/>
              <w:bottom w:val="single" w:color="auto" w:sz="4" w:space="0"/>
              <w:right w:val="single" w:color="auto" w:sz="4" w:space="0"/>
            </w:tcBorders>
            <w:noWrap/>
            <w:vAlign w:val="center"/>
          </w:tcPr>
          <w:p>
            <w:pPr>
              <w:widowControl/>
              <w:snapToGrid w:val="0"/>
              <w:spacing w:line="400" w:lineRule="exact"/>
              <w:jc w:val="center"/>
              <w:rPr>
                <w:rFonts w:ascii="宋体" w:hAnsi="宋体" w:cs="宋体"/>
                <w:kern w:val="0"/>
                <w:sz w:val="24"/>
                <w:szCs w:val="24"/>
                <w:highlight w:val="none"/>
              </w:rPr>
            </w:pPr>
          </w:p>
        </w:tc>
        <w:tc>
          <w:tcPr>
            <w:tcW w:w="766" w:type="dxa"/>
            <w:tcBorders>
              <w:top w:val="single" w:color="auto" w:sz="4" w:space="0"/>
              <w:left w:val="nil"/>
              <w:bottom w:val="single" w:color="auto" w:sz="4" w:space="0"/>
              <w:right w:val="single" w:color="auto" w:sz="4" w:space="0"/>
            </w:tcBorders>
            <w:noWrap/>
            <w:vAlign w:val="center"/>
          </w:tcPr>
          <w:p>
            <w:pPr>
              <w:widowControl/>
              <w:snapToGrid w:val="0"/>
              <w:spacing w:line="400" w:lineRule="exact"/>
              <w:jc w:val="center"/>
              <w:rPr>
                <w:rFonts w:ascii="宋体" w:hAnsi="宋体" w:cs="宋体"/>
                <w:kern w:val="0"/>
                <w:sz w:val="24"/>
                <w:szCs w:val="24"/>
                <w:highlight w:val="none"/>
              </w:rPr>
            </w:pPr>
          </w:p>
        </w:tc>
      </w:tr>
      <w:tr>
        <w:tblPrEx>
          <w:tblCellMar>
            <w:top w:w="0" w:type="dxa"/>
            <w:left w:w="108" w:type="dxa"/>
            <w:bottom w:w="0" w:type="dxa"/>
            <w:right w:w="108" w:type="dxa"/>
          </w:tblCellMar>
        </w:tblPrEx>
        <w:trPr>
          <w:trHeight w:val="522" w:hRule="atLeast"/>
          <w:jc w:val="center"/>
        </w:trPr>
        <w:tc>
          <w:tcPr>
            <w:tcW w:w="10044" w:type="dxa"/>
            <w:gridSpan w:val="11"/>
            <w:tcBorders>
              <w:top w:val="single" w:color="auto" w:sz="4" w:space="0"/>
              <w:left w:val="single" w:color="auto" w:sz="4" w:space="0"/>
              <w:bottom w:val="single" w:color="auto" w:sz="4" w:space="0"/>
              <w:right w:val="single" w:color="auto" w:sz="4" w:space="0"/>
            </w:tcBorders>
            <w:noWrap/>
            <w:vAlign w:val="center"/>
          </w:tcPr>
          <w:p>
            <w:pPr>
              <w:widowControl/>
              <w:snapToGrid w:val="0"/>
              <w:spacing w:line="40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rPr>
              <w:t>技术参数</w:t>
            </w:r>
          </w:p>
        </w:tc>
      </w:tr>
      <w:tr>
        <w:tblPrEx>
          <w:tblCellMar>
            <w:top w:w="0" w:type="dxa"/>
            <w:left w:w="108" w:type="dxa"/>
            <w:bottom w:w="0" w:type="dxa"/>
            <w:right w:w="108" w:type="dxa"/>
          </w:tblCellMar>
        </w:tblPrEx>
        <w:trPr>
          <w:trHeight w:val="2409" w:hRule="atLeast"/>
          <w:jc w:val="center"/>
        </w:trPr>
        <w:tc>
          <w:tcPr>
            <w:tcW w:w="10044" w:type="dxa"/>
            <w:gridSpan w:val="11"/>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ind w:firstLine="240" w:firstLineChars="100"/>
              <w:rPr>
                <w:rFonts w:ascii="宋体" w:hAnsi="宋体"/>
                <w:bCs/>
                <w:sz w:val="24"/>
                <w:szCs w:val="24"/>
                <w:highlight w:val="none"/>
              </w:rPr>
            </w:pPr>
          </w:p>
        </w:tc>
      </w:tr>
    </w:tbl>
    <w:p>
      <w:pPr>
        <w:snapToGrid w:val="0"/>
        <w:spacing w:line="400" w:lineRule="exact"/>
        <w:ind w:firstLine="480" w:firstLineChars="200"/>
        <w:rPr>
          <w:rFonts w:ascii="宋体" w:hAnsi="宋体"/>
          <w:sz w:val="24"/>
          <w:highlight w:val="none"/>
        </w:rPr>
      </w:pPr>
    </w:p>
    <w:p>
      <w:pPr>
        <w:numPr>
          <w:ilvl w:val="0"/>
          <w:numId w:val="1"/>
        </w:numPr>
        <w:snapToGrid w:val="0"/>
        <w:spacing w:line="400" w:lineRule="exact"/>
        <w:ind w:firstLine="480" w:firstLineChars="200"/>
        <w:rPr>
          <w:rFonts w:ascii="宋体" w:hAnsi="宋体"/>
          <w:bCs/>
          <w:color w:val="auto"/>
          <w:sz w:val="24"/>
          <w:highlight w:val="none"/>
        </w:rPr>
      </w:pPr>
      <w:r>
        <w:rPr>
          <w:rFonts w:hint="eastAsia" w:ascii="宋体" w:hAnsi="宋体"/>
          <w:bCs/>
          <w:color w:val="auto"/>
          <w:sz w:val="24"/>
          <w:highlight w:val="none"/>
        </w:rPr>
        <w:t>合同价款及结算方式（大写）</w:t>
      </w:r>
      <w:r>
        <w:rPr>
          <w:rFonts w:hint="eastAsia" w:ascii="宋体" w:hAnsi="宋体"/>
          <w:color w:val="auto"/>
          <w:sz w:val="24"/>
          <w:highlight w:val="none"/>
          <w:u w:val="single"/>
        </w:rPr>
        <w:t>元整</w:t>
      </w:r>
      <w:r>
        <w:rPr>
          <w:rFonts w:hint="eastAsia" w:ascii="宋体" w:hAnsi="宋体"/>
          <w:color w:val="auto"/>
          <w:sz w:val="24"/>
          <w:highlight w:val="none"/>
        </w:rPr>
        <w:t>（小写）元。以上价格为合同总价，最终结算价格以审定价格为准，包括但不限于</w:t>
      </w:r>
      <w:r>
        <w:rPr>
          <w:rFonts w:hint="eastAsia" w:asciiTheme="majorEastAsia" w:hAnsiTheme="majorEastAsia" w:eastAsiaTheme="majorEastAsia" w:cstheme="majorEastAsia"/>
          <w:color w:val="auto"/>
          <w:sz w:val="24"/>
          <w:szCs w:val="24"/>
          <w:highlight w:val="none"/>
        </w:rPr>
        <w:t>货款、标准附件、备品备件、专用工具、包装、运输、装卸、保险、税金、货到就位以及安装、调试、培训、保修等一切税金和费用</w:t>
      </w:r>
      <w:r>
        <w:rPr>
          <w:rFonts w:hint="eastAsia" w:ascii="宋体" w:hAnsi="宋体"/>
          <w:color w:val="auto"/>
          <w:sz w:val="24"/>
          <w:highlight w:val="none"/>
        </w:rPr>
        <w:t>；也包括买卖双方签订的技术附件中卖方承诺的其它系统配件</w:t>
      </w:r>
      <w:r>
        <w:rPr>
          <w:rFonts w:hint="eastAsia" w:ascii="宋体" w:hAnsi="宋体"/>
          <w:bCs/>
          <w:color w:val="auto"/>
          <w:sz w:val="24"/>
          <w:highlight w:val="none"/>
        </w:rPr>
        <w:t>。</w:t>
      </w:r>
    </w:p>
    <w:p>
      <w:pPr>
        <w:snapToGrid w:val="0"/>
        <w:spacing w:line="400" w:lineRule="exact"/>
        <w:ind w:firstLine="480" w:firstLineChars="200"/>
        <w:rPr>
          <w:rFonts w:ascii="宋体" w:hAnsi="宋体"/>
          <w:bCs/>
          <w:color w:val="auto"/>
          <w:sz w:val="24"/>
          <w:highlight w:val="none"/>
        </w:rPr>
      </w:pPr>
      <w:r>
        <w:rPr>
          <w:rFonts w:hint="eastAsia" w:ascii="宋体" w:hAnsi="宋体"/>
          <w:bCs/>
          <w:color w:val="auto"/>
          <w:sz w:val="24"/>
          <w:highlight w:val="none"/>
        </w:rPr>
        <w:t>2.1 履约保证金缴纳：合同签订前，中标单位按照中标金额的5%缴纳履约保证金，中标单位按合同约定交付全部产品，安装调试完毕，书面验收合格一年后，采购单位无息退还全部履约保证金。</w:t>
      </w:r>
    </w:p>
    <w:p>
      <w:pPr>
        <w:snapToGrid w:val="0"/>
        <w:spacing w:line="400" w:lineRule="exact"/>
        <w:ind w:left="139" w:leftChars="66" w:firstLine="360" w:firstLineChars="150"/>
        <w:rPr>
          <w:rFonts w:ascii="宋体" w:hAnsi="宋体"/>
          <w:bCs/>
          <w:color w:val="auto"/>
          <w:sz w:val="24"/>
          <w:highlight w:val="none"/>
        </w:rPr>
      </w:pPr>
      <w:r>
        <w:rPr>
          <w:rFonts w:hint="eastAsia" w:ascii="宋体" w:hAnsi="宋体"/>
          <w:bCs/>
          <w:color w:val="auto"/>
          <w:sz w:val="24"/>
          <w:highlight w:val="none"/>
        </w:rPr>
        <w:t>2.2 付款方式：</w:t>
      </w:r>
      <w:r>
        <w:rPr>
          <w:rFonts w:hint="eastAsia" w:ascii="宋体" w:hAnsi="宋体"/>
          <w:bCs/>
          <w:color w:val="auto"/>
          <w:sz w:val="24"/>
          <w:highlight w:val="none"/>
          <w:lang w:val="en-US" w:eastAsia="zh-CN"/>
        </w:rPr>
        <w:t>中标单位按合同约定交付全部产品、安装调试完毕，验收合格并经过结算审计后30日内，采购人按验收报告、结算审计、合同相关条款支付货款100%；如结算审计有审减，按照结算审计结果支付货款；如验收不合格、未完成安装调试，</w:t>
      </w:r>
      <w:r>
        <w:rPr>
          <w:rFonts w:hint="eastAsia" w:ascii="宋体" w:hAnsi="宋体" w:cs="宋体"/>
          <w:bCs/>
          <w:color w:val="auto"/>
          <w:sz w:val="24"/>
          <w:szCs w:val="22"/>
          <w:highlight w:val="none"/>
          <w:lang w:val="en-US" w:eastAsia="zh-CN"/>
        </w:rPr>
        <w:t>参照合同样本第二部分合同基本条款第14条违约责任执行</w:t>
      </w:r>
      <w:r>
        <w:rPr>
          <w:rFonts w:hint="eastAsia" w:ascii="宋体" w:hAnsi="宋体"/>
          <w:bCs/>
          <w:color w:val="auto"/>
          <w:sz w:val="24"/>
          <w:highlight w:val="none"/>
          <w:lang w:val="en-US" w:eastAsia="zh-CN"/>
        </w:rPr>
        <w:t>。(如采购人有付款需求，在签订合同后，中标单位向采购人提供同等合同金额的银行保函，收到保函，采购人可支付合同金额的100%，待验收合格、安装调试完毕后，根据结算审计结果解除银行质押，如验收不合格、未完成安装调试，</w:t>
      </w:r>
      <w:r>
        <w:rPr>
          <w:rFonts w:hint="eastAsia" w:ascii="宋体" w:hAnsi="宋体" w:cs="宋体"/>
          <w:bCs/>
          <w:color w:val="auto"/>
          <w:sz w:val="24"/>
          <w:szCs w:val="22"/>
          <w:highlight w:val="none"/>
          <w:lang w:val="en-US" w:eastAsia="zh-CN"/>
        </w:rPr>
        <w:t>参照合同样本第二部分合同基本条款第14条违约责任执行</w:t>
      </w:r>
      <w:r>
        <w:rPr>
          <w:rFonts w:hint="eastAsia" w:ascii="宋体" w:hAnsi="宋体"/>
          <w:bCs/>
          <w:color w:val="auto"/>
          <w:sz w:val="24"/>
          <w:highlight w:val="none"/>
          <w:lang w:val="en-US" w:eastAsia="zh-CN"/>
        </w:rPr>
        <w:t>。）</w:t>
      </w:r>
    </w:p>
    <w:p>
      <w:pPr>
        <w:snapToGrid w:val="0"/>
        <w:spacing w:line="400" w:lineRule="exact"/>
        <w:ind w:left="139" w:leftChars="66" w:firstLine="360" w:firstLineChars="150"/>
        <w:rPr>
          <w:rFonts w:ascii="宋体" w:hAnsi="宋体"/>
          <w:b/>
          <w:color w:val="auto"/>
          <w:sz w:val="24"/>
          <w:highlight w:val="none"/>
          <w:u w:val="single"/>
        </w:rPr>
      </w:pPr>
      <w:r>
        <w:rPr>
          <w:rFonts w:hint="eastAsia" w:ascii="宋体" w:hAnsi="宋体"/>
          <w:bCs/>
          <w:color w:val="auto"/>
          <w:sz w:val="24"/>
          <w:highlight w:val="none"/>
        </w:rPr>
        <w:t>3.运输及保险：</w:t>
      </w:r>
      <w:r>
        <w:rPr>
          <w:rFonts w:hint="eastAsia" w:ascii="宋体" w:hAnsi="宋体"/>
          <w:color w:val="auto"/>
          <w:sz w:val="24"/>
          <w:highlight w:val="none"/>
          <w:u w:val="single"/>
        </w:rPr>
        <w:t xml:space="preserve">货物运输方式不限，运输、保险等运输过程中发生的所有费用均由卖方承担  </w:t>
      </w:r>
      <w:r>
        <w:rPr>
          <w:rFonts w:hint="eastAsia" w:ascii="宋体" w:hAnsi="宋体"/>
          <w:color w:val="auto"/>
          <w:sz w:val="24"/>
          <w:highlight w:val="none"/>
        </w:rPr>
        <w:t>。</w:t>
      </w:r>
    </w:p>
    <w:p>
      <w:pPr>
        <w:snapToGrid w:val="0"/>
        <w:spacing w:line="400" w:lineRule="exact"/>
        <w:rPr>
          <w:rFonts w:ascii="宋体" w:hAnsi="宋体"/>
          <w:color w:val="auto"/>
          <w:sz w:val="24"/>
          <w:highlight w:val="none"/>
        </w:rPr>
      </w:pPr>
      <w:r>
        <w:rPr>
          <w:rFonts w:hint="eastAsia" w:ascii="宋体" w:hAnsi="宋体"/>
          <w:sz w:val="24"/>
          <w:highlight w:val="none"/>
        </w:rPr>
        <w:t xml:space="preserve">   </w:t>
      </w:r>
      <w:r>
        <w:rPr>
          <w:rFonts w:hint="eastAsia" w:ascii="宋体" w:hAnsi="宋体"/>
          <w:color w:val="auto"/>
          <w:sz w:val="24"/>
          <w:highlight w:val="none"/>
        </w:rPr>
        <w:t xml:space="preserve">   4.  包装</w:t>
      </w:r>
    </w:p>
    <w:p>
      <w:pPr>
        <w:snapToGrid w:val="0"/>
        <w:spacing w:line="400" w:lineRule="exact"/>
        <w:ind w:left="244" w:leftChars="116"/>
        <w:rPr>
          <w:rFonts w:ascii="宋体" w:hAnsi="宋体"/>
          <w:b/>
          <w:color w:val="auto"/>
          <w:sz w:val="24"/>
          <w:highlight w:val="none"/>
        </w:rPr>
      </w:pPr>
      <w:r>
        <w:rPr>
          <w:rFonts w:hint="eastAsia" w:ascii="宋体" w:hAnsi="宋体"/>
          <w:color w:val="auto"/>
          <w:sz w:val="24"/>
          <w:highlight w:val="none"/>
        </w:rPr>
        <w:t xml:space="preserve">  4.1  </w:t>
      </w:r>
      <w:r>
        <w:rPr>
          <w:rFonts w:hint="eastAsia" w:ascii="宋体" w:hAnsi="宋体"/>
          <w:b/>
          <w:color w:val="auto"/>
          <w:sz w:val="24"/>
          <w:highlight w:val="none"/>
        </w:rPr>
        <w:t>包装方式：木箱包装，保证货物抵达交货地点时包装完整无损，包装箱的尺寸及重量应考虑货物最终目的地的偏远程度以及货物转运地可能缺乏重型装卸设备的情况，尽量包装牢固。对由于包装不善而引起的货物损坏或损失、耽误交货时限等损失，均由卖方承担责任。</w:t>
      </w:r>
    </w:p>
    <w:p>
      <w:pPr>
        <w:snapToGrid w:val="0"/>
        <w:spacing w:line="400" w:lineRule="exact"/>
        <w:ind w:firstLine="480"/>
        <w:rPr>
          <w:rFonts w:ascii="宋体" w:hAnsi="宋体"/>
          <w:color w:val="auto"/>
          <w:sz w:val="24"/>
          <w:highlight w:val="none"/>
        </w:rPr>
      </w:pPr>
      <w:r>
        <w:rPr>
          <w:rFonts w:hint="eastAsia" w:ascii="宋体" w:hAnsi="宋体"/>
          <w:color w:val="auto"/>
          <w:sz w:val="24"/>
          <w:highlight w:val="none"/>
        </w:rPr>
        <w:t>4.2  包装物处理：不回收。</w:t>
      </w:r>
    </w:p>
    <w:p>
      <w:pPr>
        <w:tabs>
          <w:tab w:val="left" w:pos="540"/>
        </w:tabs>
        <w:snapToGrid w:val="0"/>
        <w:spacing w:line="400" w:lineRule="exact"/>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5.中标产品样品交付：中标供应商须在中标通知书发放之日起10日内提供中标产品的实物样品（每种产品1件/套/台）至采购人指定地点，作为项目验收的标准。</w:t>
      </w:r>
    </w:p>
    <w:p>
      <w:pPr>
        <w:snapToGrid w:val="0"/>
        <w:spacing w:line="400" w:lineRule="exact"/>
        <w:ind w:firstLine="480"/>
        <w:rPr>
          <w:rFonts w:hint="eastAsia"/>
          <w:b/>
          <w:bCs/>
          <w:highlight w:val="none"/>
          <w:lang w:val="en-US" w:eastAsia="zh-CN"/>
        </w:rPr>
      </w:pPr>
      <w:r>
        <w:rPr>
          <w:rFonts w:hint="eastAsia" w:ascii="宋体" w:hAnsi="宋体"/>
          <w:b/>
          <w:bCs/>
          <w:color w:val="auto"/>
          <w:sz w:val="24"/>
          <w:highlight w:val="none"/>
          <w:lang w:val="en-US" w:eastAsia="zh-CN"/>
        </w:rPr>
        <w:t>6.根据《国家消防救援局办公室关于推广应用新版消防装备管理系统的通知》要求，中标供应商在交付装备时须附着由“消防装备物资信息采集系统”统一发行的装备物资二维码和 RFID。必需与目前已实施的新版装备管理系统配备的各类标签、二维码和RFID等硬件设施、型号兼容匹配。</w:t>
      </w:r>
    </w:p>
    <w:p>
      <w:pPr>
        <w:tabs>
          <w:tab w:val="left" w:pos="540"/>
        </w:tabs>
        <w:snapToGrid w:val="0"/>
        <w:spacing w:line="400" w:lineRule="exact"/>
        <w:ind w:firstLine="480" w:firstLineChars="200"/>
        <w:rPr>
          <w:rFonts w:hint="default" w:ascii="宋体" w:hAnsi="宋体" w:eastAsia="宋体"/>
          <w:bCs/>
          <w:color w:val="auto"/>
          <w:sz w:val="24"/>
          <w:highlight w:val="none"/>
          <w:lang w:val="en-US" w:eastAsia="zh-CN"/>
        </w:rPr>
      </w:pPr>
      <w:r>
        <w:rPr>
          <w:rFonts w:hint="eastAsia" w:ascii="宋体" w:hAnsi="宋体"/>
          <w:bCs/>
          <w:color w:val="auto"/>
          <w:sz w:val="24"/>
          <w:highlight w:val="none"/>
          <w:lang w:val="en-US" w:eastAsia="zh-CN"/>
        </w:rPr>
        <w:t>7</w:t>
      </w:r>
      <w:r>
        <w:rPr>
          <w:rFonts w:hint="eastAsia" w:ascii="宋体" w:hAnsi="宋体"/>
          <w:bCs/>
          <w:color w:val="auto"/>
          <w:sz w:val="24"/>
          <w:highlight w:val="none"/>
        </w:rPr>
        <w:t>.交货</w:t>
      </w:r>
    </w:p>
    <w:p>
      <w:pPr>
        <w:snapToGrid w:val="0"/>
        <w:spacing w:line="400" w:lineRule="exact"/>
        <w:ind w:firstLine="480" w:firstLineChars="200"/>
        <w:jc w:val="left"/>
        <w:rPr>
          <w:rFonts w:ascii="宋体" w:hAnsi="宋体"/>
          <w:b/>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.1交货时间:</w:t>
      </w:r>
      <w:r>
        <w:rPr>
          <w:rFonts w:hint="eastAsia" w:ascii="宋体" w:hAnsi="宋体"/>
          <w:color w:val="auto"/>
          <w:sz w:val="24"/>
          <w:szCs w:val="24"/>
          <w:highlight w:val="none"/>
        </w:rPr>
        <w:t>签订合同后45日内交付货物、安装并完成调试，采购人7日内组织初验，通过采购人初验后，试运行1个月，所供货物使用正常，满足采购人需求，采购人7日内出具最终验收意见。</w:t>
      </w:r>
    </w:p>
    <w:p>
      <w:pPr>
        <w:snapToGrid w:val="0"/>
        <w:spacing w:line="400" w:lineRule="exact"/>
        <w:ind w:firstLine="480" w:firstLineChars="200"/>
        <w:rPr>
          <w:rFonts w:ascii="宋体" w:hAnsi="宋体"/>
          <w:b/>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.2交货地点：</w:t>
      </w:r>
      <w:r>
        <w:rPr>
          <w:rFonts w:hint="eastAsia" w:ascii="宋体" w:hAnsi="宋体"/>
          <w:b/>
          <w:bCs/>
          <w:color w:val="auto"/>
          <w:sz w:val="24"/>
          <w:highlight w:val="none"/>
        </w:rPr>
        <w:t>卖方负则送货上门并卸货</w:t>
      </w:r>
    </w:p>
    <w:p>
      <w:pPr>
        <w:snapToGrid w:val="0"/>
        <w:spacing w:line="400" w:lineRule="exact"/>
        <w:ind w:firstLine="2168" w:firstLineChars="900"/>
        <w:rPr>
          <w:rFonts w:ascii="宋体" w:hAnsi="宋体"/>
          <w:b/>
          <w:bCs/>
          <w:color w:val="auto"/>
          <w:sz w:val="24"/>
          <w:highlight w:val="none"/>
        </w:rPr>
      </w:pPr>
      <w:r>
        <w:rPr>
          <w:rFonts w:ascii="宋体" w:hAnsi="宋体"/>
          <w:b/>
          <w:bCs/>
          <w:color w:val="auto"/>
          <w:sz w:val="24"/>
          <w:highlight w:val="none"/>
        </w:rPr>
        <w:t>收货联系人：</w:t>
      </w:r>
    </w:p>
    <w:p>
      <w:pPr>
        <w:snapToGrid w:val="0"/>
        <w:spacing w:line="400" w:lineRule="exact"/>
        <w:ind w:firstLine="480" w:firstLineChars="200"/>
        <w:rPr>
          <w:rFonts w:ascii="宋体" w:hAnsi="宋体"/>
          <w:b/>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.3联系方式：</w:t>
      </w:r>
      <w:r>
        <w:rPr>
          <w:rFonts w:hint="eastAsia" w:ascii="宋体" w:hAnsi="宋体"/>
          <w:b/>
          <w:bCs/>
          <w:color w:val="auto"/>
          <w:sz w:val="24"/>
          <w:highlight w:val="none"/>
        </w:rPr>
        <w:t>XX消防救援支队</w:t>
      </w:r>
    </w:p>
    <w:p>
      <w:pPr>
        <w:snapToGrid w:val="0"/>
        <w:spacing w:line="400" w:lineRule="exact"/>
        <w:ind w:firstLine="2168" w:firstLineChars="900"/>
        <w:jc w:val="left"/>
        <w:rPr>
          <w:rFonts w:ascii="宋体" w:hAnsi="宋体"/>
          <w:b/>
          <w:bCs/>
          <w:color w:val="auto"/>
          <w:sz w:val="24"/>
          <w:highlight w:val="none"/>
        </w:rPr>
      </w:pPr>
      <w:r>
        <w:rPr>
          <w:rFonts w:hint="eastAsia" w:ascii="宋体" w:hAnsi="宋体"/>
          <w:b/>
          <w:bCs/>
          <w:color w:val="auto"/>
          <w:sz w:val="24"/>
          <w:highlight w:val="none"/>
        </w:rPr>
        <w:t>姓  名：</w:t>
      </w:r>
    </w:p>
    <w:p>
      <w:pPr>
        <w:snapToGrid w:val="0"/>
        <w:spacing w:line="400" w:lineRule="exact"/>
        <w:ind w:firstLine="2168" w:firstLineChars="900"/>
        <w:jc w:val="left"/>
        <w:rPr>
          <w:rFonts w:ascii="宋体" w:hAnsi="宋体"/>
          <w:b/>
          <w:bCs/>
          <w:color w:val="auto"/>
          <w:sz w:val="24"/>
          <w:highlight w:val="none"/>
        </w:rPr>
      </w:pPr>
      <w:r>
        <w:rPr>
          <w:rFonts w:hint="eastAsia" w:ascii="宋体" w:hAnsi="宋体"/>
          <w:b/>
          <w:bCs/>
          <w:color w:val="auto"/>
          <w:sz w:val="24"/>
          <w:highlight w:val="none"/>
        </w:rPr>
        <w:t>电  话：</w:t>
      </w:r>
    </w:p>
    <w:p>
      <w:pPr>
        <w:snapToGrid w:val="0"/>
        <w:spacing w:line="400" w:lineRule="exact"/>
        <w:ind w:firstLine="2168" w:firstLineChars="900"/>
        <w:jc w:val="left"/>
        <w:rPr>
          <w:rFonts w:ascii="宋体" w:hAnsi="宋体"/>
          <w:b/>
          <w:bCs/>
          <w:color w:val="auto"/>
          <w:sz w:val="24"/>
          <w:highlight w:val="none"/>
        </w:rPr>
      </w:pPr>
      <w:r>
        <w:rPr>
          <w:rFonts w:hint="eastAsia" w:ascii="宋体" w:hAnsi="宋体"/>
          <w:b/>
          <w:bCs/>
          <w:color w:val="auto"/>
          <w:sz w:val="24"/>
          <w:highlight w:val="none"/>
        </w:rPr>
        <w:t>传  真：</w:t>
      </w:r>
    </w:p>
    <w:p>
      <w:pPr>
        <w:snapToGrid w:val="0"/>
        <w:spacing w:line="400" w:lineRule="exact"/>
        <w:ind w:firstLine="600" w:firstLineChars="250"/>
        <w:rPr>
          <w:rFonts w:ascii="宋体" w:hAnsi="宋体"/>
          <w:bCs/>
          <w:color w:val="auto"/>
          <w:sz w:val="24"/>
          <w:highlight w:val="none"/>
        </w:rPr>
      </w:pPr>
      <w:r>
        <w:rPr>
          <w:rFonts w:hint="eastAsia" w:ascii="宋体" w:hAnsi="宋体"/>
          <w:bCs/>
          <w:color w:val="auto"/>
          <w:sz w:val="24"/>
          <w:highlight w:val="none"/>
          <w:lang w:val="en-US" w:eastAsia="zh-CN"/>
        </w:rPr>
        <w:t>8</w:t>
      </w:r>
      <w:r>
        <w:rPr>
          <w:rFonts w:hint="eastAsia" w:ascii="宋体" w:hAnsi="宋体"/>
          <w:bCs/>
          <w:color w:val="auto"/>
          <w:sz w:val="24"/>
          <w:highlight w:val="none"/>
        </w:rPr>
        <w:t>.验收：售后服务内容及履行情况将作为退还余款的必要条件写入合同。</w:t>
      </w:r>
    </w:p>
    <w:p>
      <w:pPr>
        <w:snapToGrid w:val="0"/>
        <w:spacing w:line="400" w:lineRule="exact"/>
        <w:ind w:firstLine="600" w:firstLineChars="250"/>
        <w:rPr>
          <w:rFonts w:ascii="宋体" w:hAnsi="宋体"/>
          <w:bCs/>
          <w:color w:val="auto"/>
          <w:sz w:val="24"/>
          <w:highlight w:val="none"/>
        </w:rPr>
      </w:pPr>
      <w:r>
        <w:rPr>
          <w:rFonts w:hint="eastAsia" w:ascii="宋体" w:hAnsi="宋体"/>
          <w:bCs/>
          <w:color w:val="auto"/>
          <w:sz w:val="24"/>
          <w:highlight w:val="none"/>
          <w:lang w:val="en-US" w:eastAsia="zh-CN"/>
        </w:rPr>
        <w:t>8</w:t>
      </w:r>
      <w:r>
        <w:rPr>
          <w:rFonts w:hint="eastAsia" w:ascii="宋体" w:hAnsi="宋体"/>
          <w:bCs/>
          <w:color w:val="auto"/>
          <w:sz w:val="24"/>
          <w:highlight w:val="none"/>
        </w:rPr>
        <w:t>.1验收标准：依照样品及本合同约定。</w:t>
      </w:r>
    </w:p>
    <w:p>
      <w:pPr>
        <w:snapToGrid w:val="0"/>
        <w:spacing w:line="400" w:lineRule="exact"/>
        <w:ind w:firstLine="600" w:firstLineChars="250"/>
        <w:rPr>
          <w:rFonts w:ascii="宋体" w:hAnsi="宋体"/>
          <w:bCs/>
          <w:color w:val="auto"/>
          <w:sz w:val="24"/>
          <w:highlight w:val="none"/>
        </w:rPr>
      </w:pPr>
      <w:r>
        <w:rPr>
          <w:rFonts w:hint="eastAsia" w:ascii="宋体" w:hAnsi="宋体"/>
          <w:bCs/>
          <w:color w:val="auto"/>
          <w:sz w:val="24"/>
          <w:highlight w:val="none"/>
          <w:lang w:val="en-US" w:eastAsia="zh-CN"/>
        </w:rPr>
        <w:t>8</w:t>
      </w:r>
      <w:r>
        <w:rPr>
          <w:rFonts w:hint="eastAsia" w:ascii="宋体" w:hAnsi="宋体"/>
          <w:bCs/>
          <w:color w:val="auto"/>
          <w:sz w:val="24"/>
          <w:highlight w:val="none"/>
        </w:rPr>
        <w:t>.2验收时间及组织：全部产品送达分初验、终验两个阶段，初验阶段由支队组织验收，初验通过后，试运行1个月，所有货物使用正常满足甲方需求，出具最终验收意见。</w:t>
      </w:r>
    </w:p>
    <w:p>
      <w:pPr>
        <w:snapToGrid w:val="0"/>
        <w:spacing w:line="400" w:lineRule="exact"/>
        <w:ind w:firstLine="602" w:firstLineChars="250"/>
        <w:rPr>
          <w:rFonts w:ascii="宋体" w:hAnsi="宋体"/>
          <w:b/>
          <w:bCs/>
          <w:color w:val="auto"/>
          <w:sz w:val="24"/>
          <w:highlight w:val="none"/>
        </w:rPr>
      </w:pPr>
      <w:r>
        <w:rPr>
          <w:rFonts w:hint="eastAsia" w:ascii="宋体" w:hAnsi="宋体"/>
          <w:b/>
          <w:bCs/>
          <w:color w:val="auto"/>
          <w:sz w:val="24"/>
          <w:highlight w:val="none"/>
          <w:lang w:val="en-US" w:eastAsia="zh-CN"/>
        </w:rPr>
        <w:t>8</w:t>
      </w:r>
      <w:r>
        <w:rPr>
          <w:rFonts w:hint="eastAsia" w:ascii="宋体" w:hAnsi="宋体"/>
          <w:b/>
          <w:bCs/>
          <w:color w:val="auto"/>
          <w:sz w:val="24"/>
          <w:highlight w:val="none"/>
        </w:rPr>
        <w:t>.3验收前买方不负责货物的保管，由卖方负责。</w:t>
      </w:r>
    </w:p>
    <w:p>
      <w:pPr>
        <w:snapToGrid w:val="0"/>
        <w:spacing w:line="400" w:lineRule="exact"/>
        <w:ind w:firstLine="600" w:firstLineChars="250"/>
        <w:rPr>
          <w:rFonts w:ascii="宋体" w:hAnsi="宋体"/>
          <w:bCs/>
          <w:color w:val="auto"/>
          <w:sz w:val="24"/>
          <w:highlight w:val="none"/>
        </w:rPr>
      </w:pPr>
      <w:r>
        <w:rPr>
          <w:rFonts w:hint="eastAsia" w:ascii="宋体" w:hAnsi="宋体"/>
          <w:bCs/>
          <w:color w:val="auto"/>
          <w:sz w:val="24"/>
          <w:highlight w:val="none"/>
          <w:lang w:val="en-US" w:eastAsia="zh-CN"/>
        </w:rPr>
        <w:t>9</w:t>
      </w:r>
      <w:r>
        <w:rPr>
          <w:rFonts w:hint="eastAsia" w:ascii="宋体" w:hAnsi="宋体"/>
          <w:bCs/>
          <w:color w:val="auto"/>
          <w:sz w:val="24"/>
          <w:highlight w:val="none"/>
        </w:rPr>
        <w:t>.合同效力</w:t>
      </w:r>
    </w:p>
    <w:p>
      <w:pPr>
        <w:snapToGrid w:val="0"/>
        <w:spacing w:line="400" w:lineRule="exact"/>
        <w:ind w:firstLine="600" w:firstLineChars="250"/>
        <w:rPr>
          <w:rFonts w:ascii="宋体" w:hAnsi="宋体"/>
          <w:bCs/>
          <w:color w:val="auto"/>
          <w:sz w:val="24"/>
          <w:highlight w:val="none"/>
        </w:rPr>
      </w:pPr>
      <w:r>
        <w:rPr>
          <w:rFonts w:hint="eastAsia" w:ascii="宋体" w:hAnsi="宋体"/>
          <w:bCs/>
          <w:color w:val="auto"/>
          <w:sz w:val="24"/>
          <w:highlight w:val="none"/>
          <w:lang w:val="en-US" w:eastAsia="zh-CN"/>
        </w:rPr>
        <w:t>9</w:t>
      </w:r>
      <w:r>
        <w:rPr>
          <w:rFonts w:hint="eastAsia" w:ascii="宋体" w:hAnsi="宋体"/>
          <w:bCs/>
          <w:color w:val="auto"/>
          <w:sz w:val="24"/>
          <w:highlight w:val="none"/>
        </w:rPr>
        <w:t>.1  本合同经买卖双方授权代表签署，并经双方盖章后生效。</w:t>
      </w:r>
    </w:p>
    <w:p>
      <w:pPr>
        <w:snapToGrid w:val="0"/>
        <w:spacing w:line="400" w:lineRule="exact"/>
        <w:ind w:firstLine="600" w:firstLineChars="250"/>
        <w:rPr>
          <w:rFonts w:ascii="宋体" w:hAnsi="宋体"/>
          <w:bCs/>
          <w:color w:val="auto"/>
          <w:sz w:val="24"/>
          <w:highlight w:val="none"/>
        </w:rPr>
      </w:pPr>
      <w:r>
        <w:rPr>
          <w:rFonts w:hint="eastAsia" w:ascii="宋体" w:hAnsi="宋体"/>
          <w:bCs/>
          <w:color w:val="auto"/>
          <w:sz w:val="24"/>
          <w:highlight w:val="none"/>
          <w:lang w:val="en-US" w:eastAsia="zh-CN"/>
        </w:rPr>
        <w:t>9</w:t>
      </w:r>
      <w:r>
        <w:rPr>
          <w:rFonts w:hint="eastAsia" w:ascii="宋体" w:hAnsi="宋体"/>
          <w:bCs/>
          <w:color w:val="auto"/>
          <w:sz w:val="24"/>
          <w:highlight w:val="none"/>
        </w:rPr>
        <w:t>.2  本合同一式肆份，买卖双方各持两份，具有相同的法律效力。</w:t>
      </w:r>
    </w:p>
    <w:bookmarkEnd w:id="72"/>
    <w:bookmarkEnd w:id="73"/>
    <w:bookmarkEnd w:id="74"/>
    <w:bookmarkEnd w:id="75"/>
    <w:bookmarkEnd w:id="76"/>
    <w:bookmarkEnd w:id="77"/>
    <w:p>
      <w:pPr>
        <w:numPr>
          <w:ilvl w:val="0"/>
          <w:numId w:val="2"/>
        </w:numPr>
        <w:snapToGrid w:val="0"/>
        <w:spacing w:line="400" w:lineRule="exact"/>
        <w:jc w:val="center"/>
        <w:rPr>
          <w:rFonts w:ascii="宋体" w:hAnsi="宋体"/>
          <w:b/>
          <w:bCs/>
          <w:sz w:val="36"/>
          <w:szCs w:val="36"/>
          <w:highlight w:val="none"/>
        </w:rPr>
      </w:pPr>
      <w:r>
        <w:rPr>
          <w:rFonts w:hint="eastAsia" w:ascii="宋体" w:hAnsi="宋体"/>
          <w:b/>
          <w:bCs/>
          <w:sz w:val="36"/>
          <w:szCs w:val="36"/>
          <w:highlight w:val="none"/>
        </w:rPr>
        <w:t>合同基本条款</w:t>
      </w:r>
    </w:p>
    <w:p>
      <w:pPr>
        <w:snapToGrid w:val="0"/>
        <w:spacing w:line="400" w:lineRule="exact"/>
        <w:rPr>
          <w:rFonts w:ascii="宋体" w:hAnsi="宋体"/>
          <w:b/>
          <w:bCs/>
          <w:sz w:val="36"/>
          <w:szCs w:val="36"/>
          <w:highlight w:val="none"/>
        </w:rPr>
      </w:pP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1.  定义：</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本合同有关术语解释：</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1.1  “合同”是指买卖双方签署的用以约定买卖双方买卖事项而达成的协议，包括所有的附件和构成合同的其它文件。</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1.2  “合同总价”是指根据本合同约定，卖方在正确地完全履行合同义务后买方应支付给卖方的全部价款。</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1.3  “货物”是指根据合同约定卖方向买方提供的一切设备及相应的配套设施（含备件、工具、操作手册及其他有关技术资料和材料）。</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1.4  “服务”是指根据合同约定卖方向买方承担的与供货有关的辅助服务，如运输、保险、安装、调试、技术支持、检验、维修、培训等与购销有关的义务。</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1.5  “现场”是指合同项下货物实际所在地。</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1.6  “验收”是指合同双方依据约定的程序和条件对合同标的物的数量、质量、性能等进行确认交接的行为。</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1.7   交货时间是指卖方将本合同内全部产品提交给买方验收的最后时间。卖方分几次供货时，以最后一次提交买方验收时间为交货时间。</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2. 标准</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2.1  本合同下交付的货物应符合技术规格所述的标准。合同未作特别标注的国产货物，以我国颁布的最新标准为准；如无国家标准的，以行业标准为准；如无行业标准的，按企业标准执行。</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2.2  本合同货物无特别标注的，计量单位均采用中华人民共和国法定计量单位。</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3. 专利权</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卖方保证，买方在使用合同货物或货物的任何一部分时，免受第三方提出的侵犯其专利权、商标权、著作权或其它知识产权的起诉。卖方应承担由此可能产生的一切法律责任和费用（包括但不限于买方支出的赔偿费、诉讼费、评估费、鉴定费、律师费等）。</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4. 包装</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4.1  除合同另有规定外，卖方提供的全部货物，均采用国家或专业标准保护措施（不低于木箱标准）进行包装，使包装适用于海运、空运或陆上的长途运输，并有良好的防潮、防震、防锈和防粗暴装卸等保护措施，确保货物安全无损运抵现场。这类包装还应足以承受但不限于承受转运过程中的装卸，暴露于恶劣气温，大风和降雨环境，以及露天存放。</w:t>
      </w:r>
      <w:r>
        <w:rPr>
          <w:rFonts w:hint="eastAsia" w:ascii="宋体" w:hAnsi="宋体"/>
          <w:bCs/>
          <w:color w:val="auto"/>
          <w:sz w:val="24"/>
          <w:highlight w:val="none"/>
        </w:rPr>
        <w:t>包装箱的尺寸及重量应考虑货物最终目的地的偏远程度以及在所有转运地点缺乏重型装卸设施的情况。</w:t>
      </w:r>
      <w:r>
        <w:rPr>
          <w:rFonts w:hint="eastAsia" w:ascii="宋体" w:hAnsi="宋体"/>
          <w:color w:val="auto"/>
          <w:sz w:val="24"/>
          <w:highlight w:val="none"/>
        </w:rPr>
        <w:t>对由于包装不善而引起的货物锈蚀、损坏或损失卖方应承担责任。</w:t>
      </w:r>
    </w:p>
    <w:p>
      <w:pPr>
        <w:snapToGrid w:val="0"/>
        <w:spacing w:line="400" w:lineRule="exact"/>
        <w:ind w:firstLine="480" w:firstLineChars="200"/>
        <w:rPr>
          <w:rFonts w:ascii="宋体" w:hAnsi="宋体"/>
          <w:b/>
          <w:color w:val="auto"/>
          <w:sz w:val="24"/>
          <w:highlight w:val="none"/>
        </w:rPr>
      </w:pPr>
      <w:r>
        <w:rPr>
          <w:rFonts w:hint="eastAsia" w:ascii="宋体" w:hAnsi="宋体"/>
          <w:color w:val="auto"/>
          <w:sz w:val="24"/>
          <w:highlight w:val="none"/>
        </w:rPr>
        <w:t xml:space="preserve">4.2  </w:t>
      </w:r>
      <w:r>
        <w:rPr>
          <w:rFonts w:hint="eastAsia" w:ascii="宋体" w:hAnsi="宋体"/>
          <w:bCs/>
          <w:color w:val="auto"/>
          <w:sz w:val="24"/>
          <w:highlight w:val="none"/>
        </w:rPr>
        <w:t>卖方必须无偿提供合同内全部货物的中文使用说明书，说明书包括产品的功能、使用方法、技术参数、常见问题解决办法及产品序列号、型号、版本号以及配合使用的主要设备品牌、型号和版本等信息。</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5.  质量</w:t>
      </w:r>
    </w:p>
    <w:p>
      <w:pPr>
        <w:snapToGrid w:val="0"/>
        <w:spacing w:line="400" w:lineRule="exact"/>
        <w:ind w:firstLine="480" w:firstLineChars="200"/>
        <w:rPr>
          <w:rFonts w:ascii="宋体" w:hAnsi="宋体"/>
          <w:bCs/>
          <w:color w:val="auto"/>
          <w:sz w:val="24"/>
          <w:highlight w:val="none"/>
        </w:rPr>
      </w:pPr>
      <w:r>
        <w:rPr>
          <w:rFonts w:hint="eastAsia" w:ascii="宋体" w:hAnsi="宋体"/>
          <w:color w:val="auto"/>
          <w:sz w:val="24"/>
          <w:highlight w:val="none"/>
        </w:rPr>
        <w:t xml:space="preserve">5.1  </w:t>
      </w:r>
      <w:r>
        <w:rPr>
          <w:rFonts w:hint="eastAsia" w:ascii="宋体" w:hAnsi="宋体"/>
          <w:bCs/>
          <w:color w:val="auto"/>
          <w:sz w:val="24"/>
          <w:highlight w:val="none"/>
        </w:rPr>
        <w:t xml:space="preserve">卖方保证所提供的货物是新品。 </w:t>
      </w:r>
    </w:p>
    <w:p>
      <w:pPr>
        <w:snapToGrid w:val="0"/>
        <w:spacing w:line="400" w:lineRule="exact"/>
        <w:ind w:firstLine="480" w:firstLineChars="200"/>
        <w:rPr>
          <w:rFonts w:ascii="宋体" w:hAnsi="宋体"/>
          <w:bCs/>
          <w:color w:val="auto"/>
          <w:sz w:val="24"/>
          <w:highlight w:val="none"/>
        </w:rPr>
      </w:pPr>
      <w:r>
        <w:rPr>
          <w:rFonts w:hint="eastAsia" w:ascii="宋体" w:hAnsi="宋体"/>
          <w:bCs/>
          <w:color w:val="auto"/>
          <w:sz w:val="24"/>
          <w:highlight w:val="none"/>
        </w:rPr>
        <w:t>5.2  在货物质保期内，卖方应当对由于设计、工艺、材料和配件的缺陷所产生的不足或故障负责。</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5.3  验收时，如发现卖方提供的货物或配件等不符合合同约定或有缺陷时，买方应以书面形式通知卖方，提出索赔，卖方应当在约定的时间内予以更换，并按违约的相关约定向买方给予赔偿，更换的新产品质保期相应顺延；质保期内，如货物或配件发生质量问题时，按售后服务的约定执行。</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6．交货</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6.1  交货的时间和地点执行本合同《协议书》。</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6.2  延期交货</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6.2.1  卖方应按合同规定的时间交货和提供服务。</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6.2.2  在履行合同过程中，如果卖方遇到不能按期交货和提供服务情况，应及时以书面形式将不能按时交货的理由、可能延误的时间通知买方。买方在收到通知后，应进行分析，如果同意，以书面形式通知卖方,可酌情延长交货时间。</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6.2.3   如果卖方毫无理由拖延交货，将受到扣除履约保证金的制裁或终止合同。</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7. 技术文件和资料</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7.1  提供技术文件和资料的种类和数量在本采购文件中已规定，买卖双方可根据需要订立具体的资料交付时间和数量。</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7.2  如果买方确认卖方提供的技术文件和资料不完整，或在运输途中丢失，卖方应在收到买方通知后3天内将文件、资料补齐。</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8. 税费</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8.1  器材装备的投标报价为货到采购人指定地点价格。</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8.2  根据国家现行税法征收的与本合同有关的一切税费均由卖方承担。</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8.3  在中国境外发生的与本合同执行有关的一切税费由卖方承担。</w:t>
      </w:r>
    </w:p>
    <w:p>
      <w:pPr>
        <w:snapToGrid w:val="0"/>
        <w:spacing w:line="400" w:lineRule="exact"/>
        <w:ind w:firstLine="480" w:firstLineChars="200"/>
        <w:rPr>
          <w:rFonts w:ascii="宋体" w:hAnsi="宋体"/>
          <w:bCs/>
          <w:sz w:val="24"/>
          <w:highlight w:val="none"/>
        </w:rPr>
      </w:pPr>
      <w:r>
        <w:rPr>
          <w:rFonts w:hint="eastAsia" w:ascii="宋体" w:hAnsi="宋体"/>
          <w:bCs/>
          <w:sz w:val="24"/>
          <w:highlight w:val="none"/>
        </w:rPr>
        <w:t>9.  验收</w:t>
      </w:r>
    </w:p>
    <w:p>
      <w:pPr>
        <w:snapToGrid w:val="0"/>
        <w:spacing w:line="400" w:lineRule="exact"/>
        <w:ind w:firstLine="480" w:firstLineChars="200"/>
        <w:rPr>
          <w:rFonts w:ascii="宋体" w:hAnsi="宋体"/>
          <w:bCs/>
          <w:sz w:val="24"/>
          <w:highlight w:val="none"/>
        </w:rPr>
      </w:pPr>
      <w:r>
        <w:rPr>
          <w:rFonts w:hint="eastAsia" w:ascii="宋体" w:hAnsi="宋体"/>
          <w:bCs/>
          <w:sz w:val="24"/>
          <w:highlight w:val="none"/>
        </w:rPr>
        <w:t>本合同项下货物验收遵照以下流程和条件</w:t>
      </w:r>
    </w:p>
    <w:p>
      <w:pPr>
        <w:snapToGrid w:val="0"/>
        <w:spacing w:line="400" w:lineRule="exact"/>
        <w:ind w:firstLine="480" w:firstLineChars="200"/>
        <w:rPr>
          <w:rFonts w:ascii="宋体" w:hAnsi="宋体"/>
          <w:bCs/>
          <w:color w:val="auto"/>
          <w:sz w:val="24"/>
          <w:highlight w:val="none"/>
        </w:rPr>
      </w:pPr>
      <w:r>
        <w:rPr>
          <w:rFonts w:hint="eastAsia" w:ascii="宋体" w:hAnsi="宋体"/>
          <w:bCs/>
          <w:sz w:val="24"/>
          <w:highlight w:val="none"/>
        </w:rPr>
        <w:t>9.1 卖方应在供货合同规定的时间内将装备发送收货地点并提交书面验收</w:t>
      </w:r>
      <w:r>
        <w:rPr>
          <w:rFonts w:hint="eastAsia" w:ascii="宋体" w:hAnsi="宋体"/>
          <w:bCs/>
          <w:color w:val="auto"/>
          <w:sz w:val="24"/>
          <w:highlight w:val="none"/>
        </w:rPr>
        <w:t>申请。</w:t>
      </w:r>
    </w:p>
    <w:p>
      <w:pPr>
        <w:snapToGrid w:val="0"/>
        <w:spacing w:line="400" w:lineRule="exact"/>
        <w:ind w:firstLine="480" w:firstLineChars="200"/>
        <w:rPr>
          <w:rFonts w:ascii="宋体" w:hAnsi="宋体"/>
          <w:bCs/>
          <w:color w:val="auto"/>
          <w:sz w:val="24"/>
          <w:highlight w:val="none"/>
        </w:rPr>
      </w:pPr>
      <w:r>
        <w:rPr>
          <w:rFonts w:hint="eastAsia" w:ascii="宋体" w:hAnsi="宋体"/>
          <w:bCs/>
          <w:color w:val="auto"/>
          <w:sz w:val="24"/>
          <w:highlight w:val="none"/>
        </w:rPr>
        <w:t>9.2 货物到达目的地后买卖双方要在现场共同开箱验收。买方将按照装箱清单清点货物数量，检查货物破损情况，卖方必须派出代表参加货物验收工作，否则买方不予验收，按照卖方货物未到处理。</w:t>
      </w:r>
    </w:p>
    <w:p>
      <w:pPr>
        <w:snapToGrid w:val="0"/>
        <w:spacing w:line="400" w:lineRule="exact"/>
        <w:ind w:firstLine="480" w:firstLineChars="200"/>
        <w:rPr>
          <w:rFonts w:ascii="宋体" w:hAnsi="宋体"/>
          <w:bCs/>
          <w:color w:val="auto"/>
          <w:sz w:val="24"/>
          <w:highlight w:val="none"/>
        </w:rPr>
      </w:pPr>
      <w:r>
        <w:rPr>
          <w:rFonts w:hint="eastAsia" w:ascii="宋体" w:hAnsi="宋体"/>
          <w:bCs/>
          <w:color w:val="auto"/>
          <w:sz w:val="24"/>
          <w:highlight w:val="none"/>
        </w:rPr>
        <w:t>9.3 买方组成集中采购装备验收小组，对采购的货物进行专门验收，不符合合同规定的，买方将不予验收。</w:t>
      </w:r>
    </w:p>
    <w:p>
      <w:pPr>
        <w:snapToGrid w:val="0"/>
        <w:spacing w:line="400" w:lineRule="exact"/>
        <w:ind w:firstLine="480" w:firstLineChars="200"/>
        <w:rPr>
          <w:rFonts w:ascii="宋体" w:hAnsi="宋体"/>
          <w:bCs/>
          <w:color w:val="auto"/>
          <w:sz w:val="24"/>
          <w:highlight w:val="none"/>
        </w:rPr>
      </w:pPr>
      <w:r>
        <w:rPr>
          <w:rFonts w:hint="eastAsia" w:ascii="宋体" w:hAnsi="宋体"/>
          <w:bCs/>
          <w:color w:val="auto"/>
          <w:sz w:val="24"/>
          <w:highlight w:val="none"/>
        </w:rPr>
        <w:t>9.4产品验收时，卖方必须要有一名以上厂家技术人员在场，验收完毕后，买方和卖方共同签字确认新疆消防救援总队乌鲁木齐支队“自然灾害应急能力提升工程”装备装备验收单。买方根据采购验收单按合同支付货款。</w:t>
      </w:r>
    </w:p>
    <w:p>
      <w:pPr>
        <w:adjustRightInd w:val="0"/>
        <w:snapToGrid w:val="0"/>
        <w:spacing w:line="400" w:lineRule="exact"/>
        <w:ind w:firstLine="480" w:firstLineChars="200"/>
        <w:rPr>
          <w:rFonts w:ascii="宋体" w:hAnsi="宋体"/>
          <w:bCs/>
          <w:color w:val="auto"/>
          <w:sz w:val="24"/>
          <w:highlight w:val="none"/>
        </w:rPr>
      </w:pPr>
      <w:r>
        <w:rPr>
          <w:rFonts w:hint="eastAsia" w:ascii="宋体" w:hAnsi="宋体"/>
          <w:bCs/>
          <w:color w:val="auto"/>
          <w:sz w:val="24"/>
          <w:highlight w:val="none"/>
        </w:rPr>
        <w:t>9.5装备的验收，综合判定为“合格”、“不合格”，综合评判为“合格”的器材，清点入</w:t>
      </w:r>
      <w:r>
        <w:rPr>
          <w:rFonts w:hint="eastAsia" w:ascii="宋体" w:hAnsi="宋体"/>
          <w:bCs/>
          <w:color w:val="auto"/>
          <w:sz w:val="24"/>
          <w:highlight w:val="none"/>
          <w:lang w:val="en-US" w:eastAsia="zh-CN"/>
        </w:rPr>
        <w:t>支队</w:t>
      </w:r>
      <w:r>
        <w:rPr>
          <w:rFonts w:hint="eastAsia" w:ascii="宋体" w:hAnsi="宋体"/>
          <w:bCs/>
          <w:color w:val="auto"/>
          <w:sz w:val="24"/>
          <w:highlight w:val="none"/>
        </w:rPr>
        <w:t>库房。综合评判为“不合格”的器材，限期整改并等比例扣除履约保证金，整改完毕后进行复验；限期内未整改完毕的或“复验”不合格的，按合同规定做退货处理，扣除全额履约保证金，并将供货商列入支队装备集中采购黑名单，3年内不得参加</w:t>
      </w:r>
      <w:r>
        <w:rPr>
          <w:rFonts w:hint="eastAsia" w:ascii="宋体" w:hAnsi="宋体"/>
          <w:bCs/>
          <w:color w:val="auto"/>
          <w:sz w:val="24"/>
          <w:highlight w:val="none"/>
          <w:lang w:val="en-US" w:eastAsia="zh-CN"/>
        </w:rPr>
        <w:t>支</w:t>
      </w:r>
      <w:r>
        <w:rPr>
          <w:rFonts w:hint="eastAsia" w:ascii="宋体" w:hAnsi="宋体"/>
          <w:bCs/>
          <w:color w:val="auto"/>
          <w:sz w:val="24"/>
          <w:highlight w:val="none"/>
        </w:rPr>
        <w:t>队装备采购投标工作。</w:t>
      </w:r>
    </w:p>
    <w:p>
      <w:pPr>
        <w:adjustRightInd w:val="0"/>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10.  付款：执行本合同《协议书》。</w:t>
      </w:r>
    </w:p>
    <w:p>
      <w:pPr>
        <w:adjustRightInd w:val="0"/>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11.  培训</w:t>
      </w:r>
    </w:p>
    <w:p>
      <w:pPr>
        <w:adjustRightInd w:val="0"/>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12.  售后服务</w:t>
      </w:r>
    </w:p>
    <w:p>
      <w:pPr>
        <w:pStyle w:val="13"/>
        <w:adjustRightInd w:val="0"/>
        <w:snapToGrid w:val="0"/>
        <w:spacing w:before="0" w:beforeAutospacing="0" w:after="0" w:afterAutospacing="0" w:line="400" w:lineRule="exact"/>
        <w:ind w:firstLine="480" w:firstLineChars="200"/>
        <w:rPr>
          <w:rFonts w:cs="Times New Roman"/>
          <w:color w:val="auto"/>
          <w:kern w:val="2"/>
          <w:szCs w:val="20"/>
          <w:highlight w:val="none"/>
        </w:rPr>
      </w:pPr>
      <w:r>
        <w:rPr>
          <w:rFonts w:hint="eastAsia" w:cs="Times New Roman"/>
          <w:color w:val="auto"/>
          <w:kern w:val="2"/>
          <w:szCs w:val="20"/>
          <w:highlight w:val="none"/>
        </w:rPr>
        <w:t xml:space="preserve">  （以中标方投标承诺为准） </w:t>
      </w:r>
    </w:p>
    <w:p>
      <w:pPr>
        <w:pStyle w:val="13"/>
        <w:adjustRightInd w:val="0"/>
        <w:snapToGrid w:val="0"/>
        <w:spacing w:before="0" w:beforeAutospacing="0" w:after="0" w:afterAutospacing="0" w:line="400" w:lineRule="exact"/>
        <w:ind w:firstLine="480" w:firstLineChars="200"/>
        <w:rPr>
          <w:rFonts w:cs="Times New Roman"/>
          <w:color w:val="auto"/>
          <w:kern w:val="2"/>
          <w:szCs w:val="20"/>
          <w:highlight w:val="none"/>
        </w:rPr>
      </w:pPr>
      <w:r>
        <w:rPr>
          <w:rFonts w:hint="eastAsia" w:cs="Times New Roman"/>
          <w:color w:val="auto"/>
          <w:kern w:val="2"/>
          <w:szCs w:val="20"/>
          <w:highlight w:val="none"/>
        </w:rPr>
        <w:t>13.  双方责任</w:t>
      </w:r>
    </w:p>
    <w:p>
      <w:pPr>
        <w:pStyle w:val="13"/>
        <w:adjustRightInd w:val="0"/>
        <w:snapToGrid w:val="0"/>
        <w:spacing w:before="0" w:beforeAutospacing="0" w:after="0" w:afterAutospacing="0" w:line="400" w:lineRule="exact"/>
        <w:ind w:firstLine="480" w:firstLineChars="200"/>
        <w:rPr>
          <w:rFonts w:cs="Times New Roman"/>
          <w:color w:val="auto"/>
          <w:kern w:val="2"/>
          <w:szCs w:val="20"/>
          <w:highlight w:val="none"/>
        </w:rPr>
      </w:pPr>
      <w:r>
        <w:rPr>
          <w:color w:val="auto"/>
          <w:highlight w:val="none"/>
        </w:rPr>
        <w:t>1</w:t>
      </w:r>
      <w:r>
        <w:rPr>
          <w:rFonts w:hint="eastAsia"/>
          <w:color w:val="auto"/>
          <w:highlight w:val="none"/>
        </w:rPr>
        <w:t>3</w:t>
      </w:r>
      <w:r>
        <w:rPr>
          <w:color w:val="auto"/>
          <w:highlight w:val="none"/>
        </w:rPr>
        <w:t xml:space="preserve">.1  </w:t>
      </w:r>
      <w:r>
        <w:rPr>
          <w:rFonts w:hint="eastAsia"/>
          <w:color w:val="auto"/>
          <w:highlight w:val="none"/>
        </w:rPr>
        <w:t>买方责任</w:t>
      </w:r>
    </w:p>
    <w:p>
      <w:pPr>
        <w:adjustRightInd w:val="0"/>
        <w:snapToGrid w:val="0"/>
        <w:spacing w:line="40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 xml:space="preserve">.1.1  </w:t>
      </w:r>
      <w:r>
        <w:rPr>
          <w:rFonts w:hint="eastAsia" w:ascii="宋体" w:hAnsi="宋体"/>
          <w:color w:val="auto"/>
          <w:sz w:val="24"/>
          <w:highlight w:val="none"/>
        </w:rPr>
        <w:t>按合同规定向卖方支付货款。</w:t>
      </w:r>
    </w:p>
    <w:p>
      <w:pPr>
        <w:adjustRightInd w:val="0"/>
        <w:snapToGrid w:val="0"/>
        <w:spacing w:line="40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 xml:space="preserve">.1.2  </w:t>
      </w:r>
      <w:r>
        <w:rPr>
          <w:rFonts w:hint="eastAsia" w:ascii="宋体" w:hAnsi="宋体"/>
          <w:color w:val="auto"/>
          <w:sz w:val="24"/>
          <w:highlight w:val="none"/>
        </w:rPr>
        <w:t>组织对货物的验收。</w:t>
      </w:r>
    </w:p>
    <w:p>
      <w:pPr>
        <w:adjustRightInd w:val="0"/>
        <w:snapToGrid w:val="0"/>
        <w:spacing w:line="40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 xml:space="preserve">.2  </w:t>
      </w:r>
      <w:r>
        <w:rPr>
          <w:rFonts w:hint="eastAsia" w:ascii="宋体" w:hAnsi="宋体"/>
          <w:color w:val="auto"/>
          <w:sz w:val="24"/>
          <w:highlight w:val="none"/>
        </w:rPr>
        <w:t>卖方责任</w:t>
      </w:r>
    </w:p>
    <w:p>
      <w:pPr>
        <w:adjustRightInd w:val="0"/>
        <w:snapToGrid w:val="0"/>
        <w:spacing w:line="40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 xml:space="preserve">.2.1  </w:t>
      </w:r>
      <w:r>
        <w:rPr>
          <w:rFonts w:hint="eastAsia" w:ascii="宋体" w:hAnsi="宋体"/>
          <w:color w:val="auto"/>
          <w:sz w:val="24"/>
          <w:highlight w:val="none"/>
        </w:rPr>
        <w:t>按合同要求提供货物和服务。</w:t>
      </w:r>
    </w:p>
    <w:p>
      <w:pPr>
        <w:adjustRightInd w:val="0"/>
        <w:snapToGrid w:val="0"/>
        <w:spacing w:line="40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 xml:space="preserve">.2.2  </w:t>
      </w:r>
      <w:r>
        <w:rPr>
          <w:rFonts w:hint="eastAsia" w:ascii="宋体" w:hAnsi="宋体"/>
          <w:color w:val="auto"/>
          <w:sz w:val="24"/>
          <w:highlight w:val="none"/>
        </w:rPr>
        <w:t>对所提供的货物和服务质量问题无条件负责处理。</w:t>
      </w:r>
    </w:p>
    <w:p>
      <w:pPr>
        <w:adjustRightInd w:val="0"/>
        <w:snapToGrid w:val="0"/>
        <w:spacing w:line="40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.2.3卖方对本合同签订及履行过程中获知的买方信息负有保密义务。</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14.  违约责任</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14.1  交货违约</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14.1.1  卖方违反本合同约定，延迟交货未取得买方书面同意的，每延迟一天按合同总价的1 ‰扣除履约保证金；延迟超过15日，买方有权单方解除合同，扣除全部履约保证金，还应当承担合同总额30%的违约金，造成买方损失的，卖方还应当赔偿。</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14.1.2卖方所发货品规格、型号、质量等不符合合同约定的，买方有权单方解除合同，拒绝收货和付款，扣除履约保证金，并由卖方承担合同总额30%的违约金，由此所发生的一切费用、损失（包括给双方造成的经济损失），均由卖方负责。</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14.1.3合同生效后，卖方中途解除合同（不可抗力原因除外），应按给买方造成的损失向甲方支付赔偿金，买方有权扣除履约保证金，并由卖方向买方支付合同总金额30%的违约金。</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14.1.4卖方违约，还应赔偿买方因此遭受的其他损失，包括为主张权益所支付的律师费、交通费、公证费、鉴定费、评估费、差旅费等全部费用。</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14.1.5卖方违约的，买方有权将相应违约金、赔偿金从履约保证金及应给卖方支付的货款中直接予以扣除。</w:t>
      </w:r>
    </w:p>
    <w:p>
      <w:pPr>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14.2付款违约</w:t>
      </w:r>
    </w:p>
    <w:p>
      <w:pPr>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买方接收经验收合格的货物后而未能按合同约定时间付款的，推迟付款时间超过30天时，以未付款为基数，按周期全国银行间同业拆借中心公布的贷款市场报价</w:t>
      </w:r>
      <w:r>
        <w:rPr>
          <w:rFonts w:hint="eastAsia" w:ascii="宋体" w:hAnsi="宋体"/>
          <w:color w:val="auto"/>
          <w:sz w:val="24"/>
          <w:highlight w:val="none"/>
          <w:lang w:val="en-US" w:eastAsia="zh-CN"/>
        </w:rPr>
        <w:t>利率</w:t>
      </w:r>
      <w:r>
        <w:rPr>
          <w:rFonts w:hint="eastAsia" w:ascii="宋体" w:hAnsi="宋体"/>
          <w:color w:val="auto"/>
          <w:sz w:val="24"/>
          <w:highlight w:val="none"/>
        </w:rPr>
        <w:t>（LPR，一年期），支付逾期付款利息，总额不超过未付款部分的5%。</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14.3任意一方如提出增减合同数量，变动交货的，应提前通知对方，并征得对方同意，否则应承担与之相关的经济责任。</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14.4卖方违反保密义务或违反禁止转让、分包合同义务或违反本合同其他约定的，除本合同另有约定外，应按照本合同总价款的5%向买方支付违约金。</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14.5卖方提供货物不符合约定或违反本协议其他约定，给买方造成损失的，应赔偿买方的全部损失，包括但不限于直接损失、间接损失、买方为处理违约事件支出的律师费、诉讼费、评估费、鉴定费等。</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14.6本合同所称违约金可以累积计算。</w:t>
      </w:r>
    </w:p>
    <w:p>
      <w:pPr>
        <w:snapToGrid w:val="0"/>
        <w:spacing w:line="400" w:lineRule="exact"/>
        <w:ind w:firstLine="480" w:firstLineChars="200"/>
        <w:rPr>
          <w:rFonts w:ascii="宋体" w:hAnsi="宋体"/>
          <w:bCs/>
          <w:color w:val="auto"/>
          <w:sz w:val="24"/>
          <w:highlight w:val="none"/>
        </w:rPr>
      </w:pPr>
      <w:r>
        <w:rPr>
          <w:rFonts w:hint="eastAsia" w:ascii="宋体" w:hAnsi="宋体"/>
          <w:bCs/>
          <w:color w:val="auto"/>
          <w:sz w:val="24"/>
          <w:highlight w:val="none"/>
        </w:rPr>
        <w:t>15.  履约保证金</w:t>
      </w:r>
    </w:p>
    <w:p>
      <w:pPr>
        <w:snapToGrid w:val="0"/>
        <w:spacing w:line="40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合同签订前，中标单位按照中标金额的5%缴纳履约保证金，中标单位按合同约定交付全部产品，安装调试完毕，书面验收合格一年后，采购单位无息退还全部履约保证金。</w:t>
      </w:r>
    </w:p>
    <w:p>
      <w:pPr>
        <w:snapToGrid w:val="0"/>
        <w:spacing w:line="40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帐户名称：</w:t>
      </w:r>
    </w:p>
    <w:p>
      <w:pPr>
        <w:snapToGrid w:val="0"/>
        <w:spacing w:line="40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开 户 行：</w:t>
      </w:r>
    </w:p>
    <w:p>
      <w:pPr>
        <w:snapToGrid w:val="0"/>
        <w:spacing w:line="40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帐    号：</w:t>
      </w:r>
    </w:p>
    <w:p>
      <w:pPr>
        <w:snapToGrid w:val="0"/>
        <w:spacing w:line="400" w:lineRule="exact"/>
        <w:ind w:firstLine="480" w:firstLineChars="200"/>
        <w:rPr>
          <w:rFonts w:ascii="宋体" w:hAnsi="宋体"/>
          <w:bCs/>
          <w:color w:val="auto"/>
          <w:sz w:val="24"/>
          <w:highlight w:val="none"/>
        </w:rPr>
      </w:pPr>
      <w:r>
        <w:rPr>
          <w:rFonts w:hint="eastAsia" w:ascii="宋体" w:hAnsi="宋体"/>
          <w:bCs/>
          <w:color w:val="auto"/>
          <w:sz w:val="24"/>
          <w:highlight w:val="none"/>
        </w:rPr>
        <w:t>16.  合同终止</w:t>
      </w:r>
    </w:p>
    <w:p>
      <w:pPr>
        <w:snapToGrid w:val="0"/>
        <w:spacing w:line="400" w:lineRule="exact"/>
        <w:ind w:firstLine="480" w:firstLineChars="200"/>
        <w:rPr>
          <w:rFonts w:ascii="宋体" w:hAnsi="宋体"/>
          <w:bCs/>
          <w:color w:val="auto"/>
          <w:sz w:val="24"/>
          <w:highlight w:val="none"/>
        </w:rPr>
      </w:pPr>
      <w:r>
        <w:rPr>
          <w:rFonts w:hint="eastAsia" w:ascii="宋体" w:hAnsi="宋体"/>
          <w:bCs/>
          <w:color w:val="auto"/>
          <w:sz w:val="24"/>
          <w:highlight w:val="none"/>
        </w:rPr>
        <w:t>发生下列情况时，买方有权单方终止合同：</w:t>
      </w:r>
    </w:p>
    <w:p>
      <w:pPr>
        <w:snapToGrid w:val="0"/>
        <w:spacing w:line="400" w:lineRule="exact"/>
        <w:ind w:firstLine="480" w:firstLineChars="200"/>
        <w:rPr>
          <w:rFonts w:ascii="宋体" w:hAnsi="宋体"/>
          <w:bCs/>
          <w:color w:val="auto"/>
          <w:sz w:val="24"/>
          <w:highlight w:val="none"/>
        </w:rPr>
      </w:pPr>
      <w:r>
        <w:rPr>
          <w:rFonts w:hint="eastAsia" w:ascii="宋体" w:hAnsi="宋体"/>
          <w:bCs/>
          <w:color w:val="auto"/>
          <w:sz w:val="24"/>
          <w:highlight w:val="none"/>
        </w:rPr>
        <w:t>1）卖方未能在合同规定的期限内或买方同意延长的期限内提供全部或部分货物；</w:t>
      </w:r>
    </w:p>
    <w:p>
      <w:pPr>
        <w:snapToGrid w:val="0"/>
        <w:spacing w:line="400" w:lineRule="exact"/>
        <w:ind w:firstLine="480" w:firstLineChars="200"/>
        <w:rPr>
          <w:rFonts w:ascii="宋体" w:hAnsi="宋体"/>
          <w:bCs/>
          <w:color w:val="auto"/>
          <w:sz w:val="24"/>
          <w:highlight w:val="none"/>
        </w:rPr>
      </w:pPr>
      <w:r>
        <w:rPr>
          <w:rFonts w:hint="eastAsia" w:ascii="宋体" w:hAnsi="宋体"/>
          <w:bCs/>
          <w:color w:val="auto"/>
          <w:sz w:val="24"/>
          <w:highlight w:val="none"/>
        </w:rPr>
        <w:t>2）卖方未能履行合同规定的其他义务，卖方在收到买方发出的违约通知后30天内，或经买方书面认可延长的时间内未能纠正其过失。买方可向卖方发出书面通知，终止部分或全部合同，在这种情况下，并不影响买方向卖方提出的索赔。</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17.  纠纷解决方式</w:t>
      </w:r>
    </w:p>
    <w:p>
      <w:pPr>
        <w:snapToGrid w:val="0"/>
        <w:spacing w:line="400" w:lineRule="exact"/>
        <w:ind w:firstLine="420"/>
        <w:rPr>
          <w:rFonts w:ascii="宋体" w:hAnsi="宋体"/>
          <w:color w:val="auto"/>
          <w:sz w:val="24"/>
          <w:highlight w:val="none"/>
        </w:rPr>
      </w:pPr>
      <w:r>
        <w:rPr>
          <w:rFonts w:hint="eastAsia" w:ascii="宋体" w:hAnsi="宋体"/>
          <w:color w:val="auto"/>
          <w:sz w:val="24"/>
          <w:highlight w:val="none"/>
        </w:rPr>
        <w:t>本合同在执行中发生纠纷时，双方应友好协商予以解决。如协商解决不成时，双方约定采用第</w:t>
      </w:r>
      <w:r>
        <w:rPr>
          <w:rFonts w:hint="eastAsia" w:ascii="宋体" w:hAnsi="宋体"/>
          <w:color w:val="auto"/>
          <w:sz w:val="24"/>
          <w:highlight w:val="none"/>
          <w:u w:val="single"/>
        </w:rPr>
        <w:t>17.1</w:t>
      </w:r>
      <w:r>
        <w:rPr>
          <w:rFonts w:hint="eastAsia" w:ascii="宋体" w:hAnsi="宋体"/>
          <w:color w:val="auto"/>
          <w:sz w:val="24"/>
          <w:highlight w:val="none"/>
        </w:rPr>
        <w:t>种方式解决。</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17.1  向</w:t>
      </w:r>
      <w:r>
        <w:rPr>
          <w:rFonts w:hint="eastAsia" w:ascii="宋体" w:hAnsi="宋体"/>
          <w:color w:val="auto"/>
          <w:sz w:val="24"/>
          <w:highlight w:val="none"/>
          <w:u w:val="single"/>
          <w:lang w:val="en-US" w:eastAsia="zh-CN"/>
        </w:rPr>
        <w:t>甲方所在地</w:t>
      </w:r>
      <w:r>
        <w:rPr>
          <w:rFonts w:hint="eastAsia" w:ascii="宋体" w:hAnsi="宋体"/>
          <w:color w:val="auto"/>
          <w:sz w:val="24"/>
          <w:highlight w:val="none"/>
        </w:rPr>
        <w:t>人民法院提出诉讼；</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17.2  申请</w:t>
      </w:r>
      <w:r>
        <w:rPr>
          <w:rFonts w:hint="eastAsia" w:ascii="宋体" w:hAnsi="宋体"/>
          <w:color w:val="auto"/>
          <w:sz w:val="24"/>
          <w:highlight w:val="none"/>
          <w:u w:val="single"/>
        </w:rPr>
        <w:t>合同签订地</w:t>
      </w:r>
      <w:r>
        <w:rPr>
          <w:rFonts w:hint="eastAsia" w:ascii="宋体" w:hAnsi="宋体"/>
          <w:color w:val="auto"/>
          <w:sz w:val="24"/>
          <w:highlight w:val="none"/>
        </w:rPr>
        <w:t>（仲裁机构）进行仲裁。</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18.  转让和分包</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卖方不得转让或分包其履行合同的义务。</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19.  适用法律</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本合同按照中华人民共和国的法律进行解释。</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20.合同生效及其他</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20.1合同效力执行本合同《协议书》。</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20.2  合同执行期间，如因故不能履行或需要修改时，必须经双方同意，并互相换文或另订合同。其它未尽事宜，双方应友好进行协商。协商结果以“补充件”的形式作为本合同的附件，与本合同有同等的法律效力。</w:t>
      </w:r>
    </w:p>
    <w:p>
      <w:pPr>
        <w:snapToGrid w:val="0"/>
        <w:spacing w:line="400" w:lineRule="exact"/>
        <w:ind w:firstLine="480" w:firstLineChars="200"/>
        <w:rPr>
          <w:rFonts w:ascii="宋体" w:hAnsi="宋体"/>
          <w:color w:val="auto"/>
          <w:sz w:val="24"/>
          <w:highlight w:val="none"/>
          <w:u w:val="single"/>
        </w:rPr>
      </w:pPr>
      <w:r>
        <w:rPr>
          <w:rFonts w:hint="eastAsia" w:ascii="宋体" w:hAnsi="宋体"/>
          <w:color w:val="auto"/>
          <w:sz w:val="24"/>
          <w:highlight w:val="none"/>
        </w:rPr>
        <w:t>20.3 其他约定事项：</w:t>
      </w:r>
      <w:r>
        <w:rPr>
          <w:rFonts w:hint="eastAsia" w:ascii="宋体" w:hAnsi="宋体"/>
          <w:color w:val="auto"/>
          <w:sz w:val="24"/>
          <w:highlight w:val="none"/>
          <w:u w:val="single"/>
        </w:rPr>
        <w:t xml:space="preserve">①合同签订地：       </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20.4 合同有效期：</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日至</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20.5通知和送达买卖双方就本合同中涉及各类通知、协议等文件以及就合同发生纠纷时相关文件和法律文书送达时的送达地址及法律后果作如下约定：</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20.5.1买卖双方确认有效的地址及联系方式以本合同首部列明的为准。</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20.5.2双方该送达地址适用范围包括双方非诉时各类通知、协议等文件以及就合同发生纠纷时相关文件和法律文书的送达，同时包括在争议进入仲裁、民事诉讼程序后的一审、二审、再审和执行程序。</w:t>
      </w:r>
    </w:p>
    <w:p>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20.5.3双方上述送达地址需要变更时应当向对方履行书面通知义务。若未履行变更通知义务，双方所确认的送达地址仍视为有效送达地址，因双方提供或者确认的送达地址不准确、送达地址变更后未及时依程序告知对方和法院、其他当事人或指定的接收人拒绝接收等原因，导致法律文书未能被接收方实际接收的，邮寄送达的，以文书退回之日视为送达之日；直接送达的，送达人当场在送达回证上记明情况之日视为送达之日；履行送达地址变更通知义务的，以变更后的送达地址为有效送达地址。对于上述双方在合同中明确约定的送达地址，法院进行送达时可直接邮寄送达，即使接收方未能收到法院邮寄送达的文书，由于其在合同中的约定，也应当视为送达。</w:t>
      </w:r>
    </w:p>
    <w:p>
      <w:pPr>
        <w:snapToGrid w:val="0"/>
        <w:spacing w:line="400" w:lineRule="exact"/>
        <w:ind w:firstLine="208" w:firstLineChars="87"/>
        <w:rPr>
          <w:rFonts w:ascii="宋体" w:hAnsi="宋体"/>
          <w:bCs/>
          <w:sz w:val="24"/>
          <w:highlight w:val="none"/>
        </w:rPr>
      </w:pPr>
      <w:r>
        <w:rPr>
          <w:rFonts w:hint="eastAsia" w:ascii="宋体" w:hAnsi="宋体"/>
          <w:bCs/>
          <w:sz w:val="24"/>
          <w:highlight w:val="none"/>
        </w:rPr>
        <w:t>（本页为合同签署页，以下无正文）</w:t>
      </w:r>
    </w:p>
    <w:tbl>
      <w:tblPr>
        <w:tblStyle w:val="15"/>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5"/>
        <w:gridCol w:w="4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4625" w:type="dxa"/>
            <w:tcBorders>
              <w:top w:val="nil"/>
              <w:left w:val="nil"/>
              <w:bottom w:val="nil"/>
              <w:right w:val="nil"/>
            </w:tcBorders>
          </w:tcPr>
          <w:p>
            <w:pPr>
              <w:pStyle w:val="3"/>
              <w:ind w:firstLine="0"/>
              <w:rPr>
                <w:rFonts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rPr>
              <w:t>买方（甲方）：</w:t>
            </w:r>
          </w:p>
          <w:p>
            <w:pPr>
              <w:pStyle w:val="3"/>
              <w:ind w:firstLine="720" w:firstLineChars="3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（印章）</w:t>
            </w:r>
          </w:p>
        </w:tc>
        <w:tc>
          <w:tcPr>
            <w:tcW w:w="4575" w:type="dxa"/>
            <w:tcBorders>
              <w:top w:val="nil"/>
              <w:left w:val="nil"/>
              <w:bottom w:val="nil"/>
              <w:right w:val="nil"/>
            </w:tcBorders>
          </w:tcPr>
          <w:p>
            <w:pPr>
              <w:pStyle w:val="3"/>
              <w:ind w:firstLine="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卖方（乙方）：</w:t>
            </w:r>
          </w:p>
          <w:p>
            <w:pPr>
              <w:pStyle w:val="3"/>
              <w:ind w:firstLine="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625" w:type="dxa"/>
            <w:tcBorders>
              <w:top w:val="nil"/>
              <w:left w:val="nil"/>
              <w:bottom w:val="nil"/>
              <w:right w:val="nil"/>
            </w:tcBorders>
          </w:tcPr>
          <w:p>
            <w:pPr>
              <w:pStyle w:val="3"/>
              <w:ind w:firstLine="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法定代表人或委托代理人：</w:t>
            </w:r>
          </w:p>
        </w:tc>
        <w:tc>
          <w:tcPr>
            <w:tcW w:w="4575" w:type="dxa"/>
            <w:tcBorders>
              <w:top w:val="nil"/>
              <w:left w:val="nil"/>
              <w:bottom w:val="nil"/>
              <w:right w:val="nil"/>
            </w:tcBorders>
          </w:tcPr>
          <w:p>
            <w:pPr>
              <w:pStyle w:val="3"/>
              <w:ind w:firstLine="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法定代表人或委托代理人：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625" w:type="dxa"/>
            <w:tcBorders>
              <w:top w:val="nil"/>
              <w:left w:val="nil"/>
              <w:bottom w:val="nil"/>
              <w:right w:val="nil"/>
            </w:tcBorders>
          </w:tcPr>
          <w:p>
            <w:pPr>
              <w:pStyle w:val="3"/>
              <w:ind w:firstLine="0"/>
              <w:rPr>
                <w:rFonts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rPr>
              <w:t>地址：</w:t>
            </w:r>
          </w:p>
        </w:tc>
        <w:tc>
          <w:tcPr>
            <w:tcW w:w="4575" w:type="dxa"/>
            <w:tcBorders>
              <w:top w:val="nil"/>
              <w:left w:val="nil"/>
              <w:bottom w:val="nil"/>
              <w:right w:val="nil"/>
            </w:tcBorders>
          </w:tcPr>
          <w:p>
            <w:pPr>
              <w:spacing w:line="300" w:lineRule="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4625" w:type="dxa"/>
            <w:tcBorders>
              <w:top w:val="nil"/>
              <w:left w:val="nil"/>
              <w:bottom w:val="nil"/>
              <w:right w:val="nil"/>
            </w:tcBorders>
          </w:tcPr>
          <w:p>
            <w:pPr>
              <w:pStyle w:val="3"/>
              <w:ind w:firstLine="0"/>
              <w:rPr>
                <w:rFonts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rPr>
              <w:t>邮政编码：</w:t>
            </w:r>
          </w:p>
        </w:tc>
        <w:tc>
          <w:tcPr>
            <w:tcW w:w="4575" w:type="dxa"/>
            <w:tcBorders>
              <w:top w:val="nil"/>
              <w:left w:val="nil"/>
              <w:bottom w:val="nil"/>
              <w:right w:val="nil"/>
            </w:tcBorders>
          </w:tcPr>
          <w:p>
            <w:pPr>
              <w:pStyle w:val="3"/>
              <w:ind w:firstLine="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625" w:type="dxa"/>
            <w:tcBorders>
              <w:top w:val="nil"/>
              <w:left w:val="nil"/>
              <w:bottom w:val="nil"/>
              <w:right w:val="nil"/>
            </w:tcBorders>
          </w:tcPr>
          <w:p>
            <w:pPr>
              <w:pStyle w:val="3"/>
              <w:ind w:firstLine="0"/>
              <w:rPr>
                <w:rFonts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rPr>
              <w:t>电话：</w:t>
            </w:r>
          </w:p>
        </w:tc>
        <w:tc>
          <w:tcPr>
            <w:tcW w:w="4575" w:type="dxa"/>
            <w:tcBorders>
              <w:top w:val="nil"/>
              <w:left w:val="nil"/>
              <w:bottom w:val="nil"/>
              <w:right w:val="nil"/>
            </w:tcBorders>
          </w:tcPr>
          <w:p>
            <w:pPr>
              <w:pStyle w:val="3"/>
              <w:ind w:firstLine="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4625" w:type="dxa"/>
            <w:tcBorders>
              <w:top w:val="nil"/>
              <w:left w:val="nil"/>
              <w:bottom w:val="nil"/>
              <w:right w:val="nil"/>
            </w:tcBorders>
          </w:tcPr>
          <w:p>
            <w:pPr>
              <w:pStyle w:val="3"/>
              <w:ind w:firstLine="0"/>
              <w:rPr>
                <w:rFonts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rPr>
              <w:t>传真：</w:t>
            </w:r>
          </w:p>
        </w:tc>
        <w:tc>
          <w:tcPr>
            <w:tcW w:w="4575" w:type="dxa"/>
            <w:tcBorders>
              <w:top w:val="nil"/>
              <w:left w:val="nil"/>
              <w:bottom w:val="nil"/>
              <w:right w:val="nil"/>
            </w:tcBorders>
          </w:tcPr>
          <w:p>
            <w:pPr>
              <w:pStyle w:val="3"/>
              <w:ind w:firstLine="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625" w:type="dxa"/>
            <w:tcBorders>
              <w:top w:val="nil"/>
              <w:left w:val="nil"/>
              <w:bottom w:val="nil"/>
              <w:right w:val="nil"/>
            </w:tcBorders>
          </w:tcPr>
          <w:p>
            <w:pPr>
              <w:pStyle w:val="3"/>
              <w:rPr>
                <w:rFonts w:asciiTheme="minorEastAsia" w:hAnsiTheme="minorEastAsia" w:cstheme="minorEastAsia"/>
                <w:sz w:val="24"/>
                <w:szCs w:val="24"/>
                <w:highlight w:val="none"/>
              </w:rPr>
            </w:pPr>
          </w:p>
        </w:tc>
        <w:tc>
          <w:tcPr>
            <w:tcW w:w="4575" w:type="dxa"/>
            <w:tcBorders>
              <w:top w:val="nil"/>
              <w:left w:val="nil"/>
              <w:bottom w:val="nil"/>
              <w:right w:val="nil"/>
            </w:tcBorders>
          </w:tcPr>
          <w:p>
            <w:pPr>
              <w:pStyle w:val="3"/>
              <w:ind w:firstLine="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625" w:type="dxa"/>
            <w:tcBorders>
              <w:top w:val="nil"/>
              <w:left w:val="nil"/>
              <w:bottom w:val="nil"/>
              <w:right w:val="nil"/>
            </w:tcBorders>
          </w:tcPr>
          <w:p>
            <w:pPr>
              <w:pStyle w:val="3"/>
              <w:rPr>
                <w:rFonts w:asciiTheme="minorEastAsia" w:hAnsiTheme="minorEastAsia" w:cstheme="minorEastAsia"/>
                <w:sz w:val="24"/>
                <w:szCs w:val="24"/>
                <w:highlight w:val="none"/>
              </w:rPr>
            </w:pPr>
          </w:p>
        </w:tc>
        <w:tc>
          <w:tcPr>
            <w:tcW w:w="4575" w:type="dxa"/>
            <w:tcBorders>
              <w:top w:val="nil"/>
              <w:left w:val="nil"/>
              <w:bottom w:val="nil"/>
              <w:right w:val="nil"/>
            </w:tcBorders>
          </w:tcPr>
          <w:p>
            <w:pPr>
              <w:pStyle w:val="3"/>
              <w:ind w:firstLine="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625" w:type="dxa"/>
            <w:tcBorders>
              <w:top w:val="nil"/>
              <w:left w:val="nil"/>
              <w:bottom w:val="nil"/>
              <w:right w:val="nil"/>
            </w:tcBorders>
          </w:tcPr>
          <w:p>
            <w:pPr>
              <w:pStyle w:val="3"/>
              <w:ind w:firstLine="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日期：     年   月    日</w:t>
            </w:r>
          </w:p>
        </w:tc>
        <w:tc>
          <w:tcPr>
            <w:tcW w:w="4575" w:type="dxa"/>
            <w:tcBorders>
              <w:top w:val="nil"/>
              <w:left w:val="nil"/>
              <w:bottom w:val="nil"/>
              <w:right w:val="nil"/>
            </w:tcBorders>
          </w:tcPr>
          <w:p>
            <w:pPr>
              <w:pStyle w:val="3"/>
              <w:ind w:firstLine="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日期：    年   月    日</w:t>
            </w:r>
          </w:p>
        </w:tc>
      </w:tr>
    </w:tbl>
    <w:p>
      <w:pPr>
        <w:rPr>
          <w:highlight w:val="none"/>
        </w:rPr>
      </w:pPr>
      <w:r>
        <w:rPr>
          <w:rFonts w:hint="eastAsia"/>
          <w:highlight w:val="none"/>
        </w:rPr>
        <w:br w:type="page"/>
      </w:r>
    </w:p>
    <w:p>
      <w:pPr>
        <w:pStyle w:val="2"/>
        <w:rPr>
          <w:highlight w:val="none"/>
        </w:rPr>
      </w:pPr>
      <w:bookmarkStart w:id="78" w:name="_Toc4864"/>
      <w:r>
        <w:rPr>
          <w:rFonts w:hint="eastAsia"/>
          <w:highlight w:val="none"/>
        </w:rPr>
        <w:t>第</w:t>
      </w:r>
      <w:bookmarkStart w:id="79" w:name="_Toc9510643"/>
      <w:r>
        <w:rPr>
          <w:rFonts w:hint="eastAsia"/>
          <w:highlight w:val="none"/>
        </w:rPr>
        <w:t>五章 投标文件格式</w:t>
      </w:r>
      <w:bookmarkEnd w:id="78"/>
    </w:p>
    <w:p>
      <w:pPr>
        <w:adjustRightInd w:val="0"/>
        <w:snapToGrid w:val="0"/>
        <w:spacing w:line="360" w:lineRule="auto"/>
        <w:rPr>
          <w:rFonts w:ascii="宋体" w:hAnsi="宋体" w:cs="宋体"/>
          <w:szCs w:val="24"/>
          <w:highlight w:val="none"/>
        </w:rPr>
      </w:pPr>
    </w:p>
    <w:bookmarkEnd w:id="79"/>
    <w:p>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提交投标文件须知：</w:t>
      </w:r>
    </w:p>
    <w:p>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应严格按照以下顺序填写和提交下述规定的全部格式文件以及其他有关资料，混乱的编排导致投标文件被误读或评标小组查找不到有效文件是</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的风险。</w:t>
      </w:r>
    </w:p>
    <w:p>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2、所附表格中要求回答的全部问题和/或信息都必须正面回答。</w:t>
      </w:r>
    </w:p>
    <w:p>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3、本声明书的签字人应保证全部声明和问题的回答是真实的和准确的。</w:t>
      </w:r>
    </w:p>
    <w:p>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4、评标委员会将应用</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提交的资料根据自己的判断和考虑决定</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履行合同的合格性及能力。</w:t>
      </w:r>
    </w:p>
    <w:p>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提交的材料将在一定期限内被</w:t>
      </w:r>
      <w:r>
        <w:rPr>
          <w:rFonts w:hint="eastAsia" w:asciiTheme="majorEastAsia" w:hAnsiTheme="majorEastAsia" w:eastAsiaTheme="majorEastAsia" w:cstheme="majorEastAsia"/>
          <w:bCs/>
          <w:color w:val="auto"/>
          <w:sz w:val="24"/>
          <w:szCs w:val="24"/>
          <w:highlight w:val="none"/>
        </w:rPr>
        <w:t>保密</w:t>
      </w:r>
      <w:r>
        <w:rPr>
          <w:rFonts w:hint="eastAsia" w:ascii="宋体" w:hAnsi="宋体" w:cs="宋体"/>
          <w:color w:val="auto"/>
          <w:sz w:val="24"/>
          <w:szCs w:val="24"/>
          <w:highlight w:val="none"/>
        </w:rPr>
        <w:t>保存，但不退还。</w:t>
      </w:r>
    </w:p>
    <w:p>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6、全部文件应按</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须知中</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rPr>
        <w:t>规定提交。投标文件组成漏项或未按规定的格式编制，内容不全或内容字迹模糊辨认不清的情况，将有可能被评标小组认定为投标无效。</w:t>
      </w:r>
    </w:p>
    <w:p>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二、投标文件编制格式及规范要求：</w:t>
      </w:r>
    </w:p>
    <w:p>
      <w:pPr>
        <w:adjustRightInd w:val="0"/>
        <w:snapToGrid w:val="0"/>
        <w:spacing w:line="5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报价文件、商务技术文件部分，</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在编制投标文件时请按照以下格式进行。</w:t>
      </w:r>
    </w:p>
    <w:p>
      <w:pPr>
        <w:adjustRightInd w:val="0"/>
        <w:snapToGrid w:val="0"/>
        <w:spacing w:line="500" w:lineRule="exact"/>
        <w:ind w:firstLine="360" w:firstLineChars="150"/>
        <w:rPr>
          <w:rFonts w:ascii="宋体" w:hAnsi="宋体" w:cs="宋体"/>
          <w:color w:val="auto"/>
          <w:sz w:val="24"/>
          <w:szCs w:val="24"/>
          <w:highlight w:val="none"/>
        </w:rPr>
      </w:pPr>
    </w:p>
    <w:p>
      <w:pPr>
        <w:adjustRightInd w:val="0"/>
        <w:snapToGrid w:val="0"/>
        <w:spacing w:before="50" w:after="50" w:line="360" w:lineRule="auto"/>
        <w:rPr>
          <w:rFonts w:ascii="宋体" w:hAnsi="宋体" w:cs="宋体"/>
          <w:sz w:val="32"/>
          <w:highlight w:val="none"/>
        </w:rPr>
      </w:pPr>
    </w:p>
    <w:p>
      <w:pPr>
        <w:adjustRightInd w:val="0"/>
        <w:snapToGrid w:val="0"/>
        <w:spacing w:line="360" w:lineRule="auto"/>
        <w:rPr>
          <w:rFonts w:ascii="宋体" w:hAnsi="宋体" w:cs="宋体"/>
          <w:b/>
          <w:sz w:val="24"/>
          <w:szCs w:val="24"/>
          <w:highlight w:val="none"/>
        </w:rPr>
      </w:pPr>
      <w:r>
        <w:rPr>
          <w:rFonts w:hint="eastAsia" w:ascii="宋体" w:hAnsi="宋体" w:cs="宋体"/>
          <w:sz w:val="32"/>
          <w:highlight w:val="none"/>
        </w:rPr>
        <w:br w:type="page"/>
      </w:r>
      <w:r>
        <w:rPr>
          <w:rFonts w:hint="eastAsia" w:ascii="宋体" w:hAnsi="宋体" w:cs="宋体"/>
          <w:b/>
          <w:sz w:val="24"/>
          <w:szCs w:val="24"/>
          <w:highlight w:val="none"/>
        </w:rPr>
        <w:t>投标文件封面</w:t>
      </w:r>
    </w:p>
    <w:p>
      <w:pPr>
        <w:snapToGrid w:val="0"/>
        <w:spacing w:line="360" w:lineRule="auto"/>
        <w:rPr>
          <w:rFonts w:ascii="宋体" w:hAnsi="宋体" w:cs="宋体"/>
          <w:sz w:val="40"/>
          <w:szCs w:val="20"/>
          <w:highlight w:val="none"/>
        </w:rPr>
      </w:pPr>
    </w:p>
    <w:p>
      <w:pPr>
        <w:snapToGrid w:val="0"/>
        <w:spacing w:line="360" w:lineRule="auto"/>
        <w:jc w:val="both"/>
        <w:rPr>
          <w:rFonts w:ascii="宋体" w:hAnsi="宋体" w:cs="宋体"/>
          <w:sz w:val="56"/>
          <w:szCs w:val="20"/>
          <w:highlight w:val="none"/>
        </w:rPr>
      </w:pPr>
    </w:p>
    <w:p>
      <w:pPr>
        <w:snapToGrid w:val="0"/>
        <w:spacing w:line="360" w:lineRule="auto"/>
        <w:jc w:val="center"/>
        <w:rPr>
          <w:rFonts w:ascii="宋体" w:hAnsi="宋体" w:cs="宋体"/>
          <w:sz w:val="44"/>
          <w:szCs w:val="44"/>
          <w:highlight w:val="none"/>
        </w:rPr>
      </w:pPr>
      <w:r>
        <w:rPr>
          <w:rFonts w:hint="eastAsia" w:ascii="宋体" w:hAnsi="宋体" w:cs="宋体"/>
          <w:sz w:val="44"/>
          <w:szCs w:val="44"/>
          <w:highlight w:val="none"/>
        </w:rPr>
        <w:t>(项目名称)项目</w:t>
      </w:r>
    </w:p>
    <w:p>
      <w:pPr>
        <w:snapToGrid w:val="0"/>
        <w:spacing w:line="360" w:lineRule="auto"/>
        <w:jc w:val="center"/>
        <w:rPr>
          <w:rFonts w:ascii="宋体" w:hAnsi="宋体" w:cs="宋体"/>
          <w:sz w:val="56"/>
          <w:szCs w:val="20"/>
          <w:highlight w:val="none"/>
        </w:rPr>
      </w:pPr>
      <w:r>
        <w:rPr>
          <w:rFonts w:hint="eastAsia" w:ascii="宋体" w:hAnsi="宋体" w:cs="宋体"/>
          <w:sz w:val="28"/>
          <w:szCs w:val="20"/>
          <w:highlight w:val="none"/>
        </w:rPr>
        <w:t>标包编号：</w:t>
      </w:r>
    </w:p>
    <w:p>
      <w:pPr>
        <w:snapToGrid w:val="0"/>
        <w:spacing w:line="360" w:lineRule="auto"/>
        <w:jc w:val="center"/>
        <w:rPr>
          <w:rFonts w:hint="eastAsia" w:ascii="宋体" w:hAnsi="宋体" w:cs="宋体"/>
          <w:sz w:val="56"/>
          <w:szCs w:val="20"/>
          <w:highlight w:val="none"/>
        </w:rPr>
      </w:pPr>
      <w:r>
        <w:rPr>
          <w:rFonts w:hint="eastAsia" w:ascii="宋体" w:hAnsi="宋体" w:cs="宋体"/>
          <w:sz w:val="56"/>
          <w:szCs w:val="20"/>
          <w:highlight w:val="none"/>
        </w:rPr>
        <w:t>报</w:t>
      </w:r>
    </w:p>
    <w:p>
      <w:pPr>
        <w:snapToGrid w:val="0"/>
        <w:spacing w:line="360" w:lineRule="auto"/>
        <w:jc w:val="center"/>
        <w:rPr>
          <w:rFonts w:hint="eastAsia" w:ascii="宋体" w:hAnsi="宋体" w:cs="宋体"/>
          <w:sz w:val="56"/>
          <w:szCs w:val="20"/>
          <w:highlight w:val="none"/>
        </w:rPr>
      </w:pPr>
      <w:r>
        <w:rPr>
          <w:rFonts w:hint="eastAsia" w:ascii="宋体" w:hAnsi="宋体" w:cs="宋体"/>
          <w:sz w:val="56"/>
          <w:szCs w:val="20"/>
          <w:highlight w:val="none"/>
        </w:rPr>
        <w:t>价</w:t>
      </w:r>
    </w:p>
    <w:p>
      <w:pPr>
        <w:snapToGrid w:val="0"/>
        <w:spacing w:line="360" w:lineRule="auto"/>
        <w:jc w:val="center"/>
        <w:rPr>
          <w:rFonts w:hint="eastAsia" w:ascii="宋体" w:hAnsi="宋体" w:cs="宋体"/>
          <w:sz w:val="56"/>
          <w:szCs w:val="20"/>
          <w:highlight w:val="none"/>
        </w:rPr>
      </w:pPr>
      <w:r>
        <w:rPr>
          <w:rFonts w:hint="eastAsia" w:ascii="宋体" w:hAnsi="宋体" w:cs="宋体"/>
          <w:sz w:val="56"/>
          <w:szCs w:val="20"/>
          <w:highlight w:val="none"/>
        </w:rPr>
        <w:t>文</w:t>
      </w:r>
    </w:p>
    <w:p>
      <w:pPr>
        <w:snapToGrid w:val="0"/>
        <w:spacing w:line="360" w:lineRule="auto"/>
        <w:jc w:val="center"/>
        <w:rPr>
          <w:rFonts w:ascii="宋体" w:hAnsi="宋体" w:cs="宋体"/>
          <w:sz w:val="28"/>
          <w:szCs w:val="20"/>
          <w:highlight w:val="none"/>
        </w:rPr>
      </w:pPr>
      <w:r>
        <w:rPr>
          <w:rFonts w:hint="eastAsia" w:ascii="宋体" w:hAnsi="宋体" w:cs="宋体"/>
          <w:sz w:val="56"/>
          <w:szCs w:val="20"/>
          <w:highlight w:val="none"/>
        </w:rPr>
        <w:t>件</w:t>
      </w:r>
    </w:p>
    <w:p>
      <w:pPr>
        <w:pStyle w:val="12"/>
        <w:rPr>
          <w:rFonts w:ascii="宋体" w:hAnsi="宋体" w:cs="宋体"/>
          <w:sz w:val="28"/>
          <w:szCs w:val="20"/>
          <w:highlight w:val="none"/>
        </w:rPr>
      </w:pPr>
    </w:p>
    <w:p>
      <w:pPr>
        <w:pStyle w:val="12"/>
        <w:rPr>
          <w:rFonts w:ascii="宋体" w:hAnsi="宋体" w:cs="宋体"/>
          <w:sz w:val="28"/>
          <w:szCs w:val="20"/>
          <w:highlight w:val="none"/>
        </w:rPr>
      </w:pPr>
    </w:p>
    <w:p>
      <w:pPr>
        <w:pStyle w:val="12"/>
        <w:rPr>
          <w:rFonts w:ascii="宋体" w:hAnsi="宋体" w:cs="宋体"/>
          <w:sz w:val="28"/>
          <w:szCs w:val="20"/>
          <w:highlight w:val="none"/>
        </w:rPr>
      </w:pPr>
    </w:p>
    <w:p>
      <w:pPr>
        <w:snapToGrid w:val="0"/>
        <w:spacing w:line="360" w:lineRule="auto"/>
        <w:rPr>
          <w:rFonts w:ascii="宋体" w:hAnsi="宋体" w:cs="宋体"/>
          <w:sz w:val="28"/>
          <w:szCs w:val="20"/>
          <w:highlight w:val="none"/>
        </w:rPr>
      </w:pPr>
      <w:r>
        <w:rPr>
          <w:rFonts w:hint="eastAsia" w:ascii="宋体" w:hAnsi="宋体" w:cs="宋体"/>
          <w:sz w:val="28"/>
          <w:szCs w:val="20"/>
          <w:highlight w:val="none"/>
        </w:rPr>
        <w:t>投标单位名称：（加盖单位公章）</w:t>
      </w:r>
    </w:p>
    <w:p>
      <w:pPr>
        <w:snapToGrid w:val="0"/>
        <w:spacing w:line="360" w:lineRule="auto"/>
        <w:rPr>
          <w:rFonts w:ascii="宋体" w:hAnsi="宋体" w:cs="宋体"/>
          <w:sz w:val="28"/>
          <w:szCs w:val="20"/>
          <w:highlight w:val="none"/>
        </w:rPr>
      </w:pPr>
      <w:r>
        <w:rPr>
          <w:rFonts w:hint="eastAsia" w:ascii="宋体" w:hAnsi="宋体" w:cs="宋体"/>
          <w:sz w:val="28"/>
          <w:szCs w:val="20"/>
          <w:highlight w:val="none"/>
        </w:rPr>
        <w:t>投标单位地址：</w:t>
      </w:r>
    </w:p>
    <w:p>
      <w:pPr>
        <w:snapToGrid w:val="0"/>
        <w:spacing w:line="360" w:lineRule="auto"/>
        <w:rPr>
          <w:rFonts w:ascii="宋体" w:hAnsi="宋体" w:cs="宋体"/>
          <w:sz w:val="28"/>
          <w:szCs w:val="20"/>
          <w:highlight w:val="none"/>
        </w:rPr>
      </w:pPr>
      <w:r>
        <w:rPr>
          <w:rFonts w:hint="eastAsia" w:ascii="宋体" w:hAnsi="宋体" w:cs="宋体"/>
          <w:sz w:val="28"/>
          <w:szCs w:val="20"/>
          <w:highlight w:val="none"/>
        </w:rPr>
        <w:t>投标单位法定代表人（负责人、自然人）或授权代表姓名：（签字或盖章）</w:t>
      </w:r>
    </w:p>
    <w:p>
      <w:pPr>
        <w:snapToGrid w:val="0"/>
        <w:spacing w:line="360" w:lineRule="auto"/>
        <w:rPr>
          <w:rFonts w:ascii="宋体" w:hAnsi="宋体" w:cs="宋体"/>
          <w:sz w:val="28"/>
          <w:szCs w:val="20"/>
          <w:highlight w:val="none"/>
        </w:rPr>
      </w:pPr>
      <w:r>
        <w:rPr>
          <w:rFonts w:hint="eastAsia" w:ascii="宋体" w:hAnsi="宋体" w:cs="宋体"/>
          <w:sz w:val="28"/>
          <w:szCs w:val="20"/>
          <w:highlight w:val="none"/>
        </w:rPr>
        <w:t>投标单位法定代表人（负责人、自然人）或授权代表职务：</w:t>
      </w:r>
    </w:p>
    <w:p>
      <w:pPr>
        <w:snapToGrid w:val="0"/>
        <w:spacing w:line="360" w:lineRule="auto"/>
        <w:rPr>
          <w:rFonts w:ascii="宋体" w:hAnsi="宋体" w:cs="宋体"/>
          <w:sz w:val="28"/>
          <w:szCs w:val="20"/>
          <w:highlight w:val="none"/>
        </w:rPr>
      </w:pPr>
      <w:r>
        <w:rPr>
          <w:rFonts w:hint="eastAsia" w:ascii="宋体" w:hAnsi="宋体" w:cs="宋体"/>
          <w:sz w:val="28"/>
          <w:szCs w:val="20"/>
          <w:highlight w:val="none"/>
        </w:rPr>
        <w:t>投标单位联系方式：</w:t>
      </w:r>
    </w:p>
    <w:p>
      <w:pPr>
        <w:snapToGrid w:val="0"/>
        <w:spacing w:line="360" w:lineRule="auto"/>
        <w:rPr>
          <w:rFonts w:ascii="宋体" w:hAnsi="宋体" w:cs="宋体"/>
          <w:sz w:val="20"/>
          <w:szCs w:val="20"/>
          <w:highlight w:val="none"/>
        </w:rPr>
      </w:pPr>
    </w:p>
    <w:p>
      <w:pPr>
        <w:adjustRightInd w:val="0"/>
        <w:snapToGrid w:val="0"/>
        <w:spacing w:before="50" w:after="50" w:line="360" w:lineRule="auto"/>
        <w:jc w:val="center"/>
        <w:rPr>
          <w:rFonts w:ascii="宋体" w:hAnsi="宋体" w:cs="宋体"/>
          <w:sz w:val="28"/>
          <w:szCs w:val="28"/>
          <w:highlight w:val="none"/>
        </w:rPr>
      </w:pPr>
      <w:r>
        <w:rPr>
          <w:rFonts w:hint="eastAsia" w:ascii="宋体" w:hAnsi="宋体" w:cs="宋体"/>
          <w:sz w:val="28"/>
          <w:szCs w:val="28"/>
          <w:highlight w:val="none"/>
        </w:rPr>
        <w:t>年  月  日</w:t>
      </w:r>
    </w:p>
    <w:p>
      <w:pPr>
        <w:rPr>
          <w:rFonts w:ascii="宋体" w:hAnsi="宋体" w:cs="宋体"/>
          <w:b/>
          <w:sz w:val="44"/>
          <w:szCs w:val="44"/>
          <w:highlight w:val="none"/>
        </w:rPr>
      </w:pPr>
      <w:r>
        <w:rPr>
          <w:rFonts w:hint="eastAsia" w:ascii="宋体" w:hAnsi="宋体" w:cs="宋体"/>
          <w:b/>
          <w:sz w:val="44"/>
          <w:szCs w:val="44"/>
          <w:highlight w:val="none"/>
        </w:rPr>
        <w:br w:type="page"/>
      </w:r>
    </w:p>
    <w:p>
      <w:pPr>
        <w:widowControl/>
        <w:snapToGrid w:val="0"/>
        <w:spacing w:line="360" w:lineRule="auto"/>
        <w:jc w:val="center"/>
        <w:rPr>
          <w:rFonts w:ascii="宋体" w:hAnsi="宋体" w:cs="宋体"/>
          <w:b/>
          <w:sz w:val="44"/>
          <w:szCs w:val="44"/>
          <w:highlight w:val="none"/>
        </w:rPr>
      </w:pPr>
      <w:r>
        <w:rPr>
          <w:rFonts w:hint="eastAsia" w:ascii="宋体" w:hAnsi="宋体" w:cs="宋体"/>
          <w:b/>
          <w:sz w:val="44"/>
          <w:szCs w:val="44"/>
          <w:highlight w:val="none"/>
        </w:rPr>
        <w:t xml:space="preserve">目 </w:t>
      </w:r>
      <w:r>
        <w:rPr>
          <w:rFonts w:hint="eastAsia" w:ascii="宋体" w:hAnsi="宋体" w:cs="宋体"/>
          <w:b/>
          <w:sz w:val="44"/>
          <w:szCs w:val="44"/>
          <w:highlight w:val="none"/>
        </w:rPr>
        <w:tab/>
      </w:r>
      <w:r>
        <w:rPr>
          <w:rFonts w:hint="eastAsia" w:ascii="宋体" w:hAnsi="宋体" w:cs="宋体"/>
          <w:b/>
          <w:sz w:val="44"/>
          <w:szCs w:val="44"/>
          <w:highlight w:val="none"/>
        </w:rPr>
        <w:t>录</w:t>
      </w:r>
    </w:p>
    <w:p>
      <w:pPr>
        <w:adjustRightInd w:val="0"/>
        <w:snapToGrid w:val="0"/>
        <w:spacing w:line="400" w:lineRule="exact"/>
        <w:jc w:val="left"/>
        <w:rPr>
          <w:rFonts w:ascii="宋体" w:hAnsi="宋体" w:cs="宋体"/>
          <w:sz w:val="24"/>
          <w:szCs w:val="24"/>
          <w:highlight w:val="none"/>
        </w:rPr>
      </w:pPr>
      <w:r>
        <w:rPr>
          <w:rFonts w:hint="eastAsia" w:ascii="宋体" w:hAnsi="宋体" w:cs="宋体"/>
          <w:sz w:val="24"/>
          <w:szCs w:val="24"/>
          <w:highlight w:val="none"/>
        </w:rPr>
        <w:t>1、投标函…………………………………………………………………（页码）</w:t>
      </w:r>
    </w:p>
    <w:p>
      <w:pPr>
        <w:adjustRightInd w:val="0"/>
        <w:snapToGrid w:val="0"/>
        <w:spacing w:line="400" w:lineRule="exact"/>
        <w:jc w:val="left"/>
        <w:rPr>
          <w:rFonts w:ascii="宋体" w:hAnsi="宋体" w:cs="宋体"/>
          <w:sz w:val="24"/>
          <w:szCs w:val="24"/>
          <w:highlight w:val="none"/>
        </w:rPr>
      </w:pPr>
      <w:r>
        <w:rPr>
          <w:rFonts w:hint="eastAsia" w:ascii="宋体" w:hAnsi="宋体" w:cs="宋体"/>
          <w:sz w:val="24"/>
          <w:szCs w:val="24"/>
          <w:highlight w:val="none"/>
        </w:rPr>
        <w:t>2、开标一览表……………………………………………………………（页码）</w:t>
      </w:r>
    </w:p>
    <w:p>
      <w:pPr>
        <w:adjustRightInd w:val="0"/>
        <w:snapToGrid w:val="0"/>
        <w:spacing w:line="400" w:lineRule="exact"/>
        <w:jc w:val="left"/>
        <w:rPr>
          <w:rFonts w:ascii="宋体" w:hAnsi="宋体" w:cs="宋体"/>
          <w:sz w:val="24"/>
          <w:szCs w:val="24"/>
          <w:highlight w:val="none"/>
        </w:rPr>
      </w:pPr>
      <w:r>
        <w:rPr>
          <w:rFonts w:hint="eastAsia" w:ascii="宋体" w:hAnsi="宋体" w:cs="宋体"/>
          <w:sz w:val="24"/>
          <w:szCs w:val="24"/>
          <w:highlight w:val="none"/>
        </w:rPr>
        <w:t>3、投标报价明细表………………………………………………………（页码）</w:t>
      </w:r>
    </w:p>
    <w:p>
      <w:pPr>
        <w:adjustRightInd w:val="0"/>
        <w:snapToGrid w:val="0"/>
        <w:spacing w:line="400" w:lineRule="exact"/>
        <w:jc w:val="left"/>
        <w:rPr>
          <w:rFonts w:ascii="宋体" w:hAnsi="宋体" w:cs="宋体"/>
          <w:sz w:val="24"/>
          <w:szCs w:val="24"/>
          <w:highlight w:val="none"/>
        </w:rPr>
      </w:pPr>
      <w:r>
        <w:rPr>
          <w:rFonts w:hint="eastAsia" w:ascii="宋体" w:hAnsi="宋体" w:cs="宋体"/>
          <w:sz w:val="24"/>
          <w:szCs w:val="24"/>
          <w:highlight w:val="none"/>
        </w:rPr>
        <w:t>4、投标保证金缴纳凭证复印件…………………………………………（页码）</w:t>
      </w:r>
    </w:p>
    <w:p>
      <w:pPr>
        <w:adjustRightInd w:val="0"/>
        <w:snapToGrid w:val="0"/>
        <w:spacing w:line="400" w:lineRule="exact"/>
        <w:jc w:val="left"/>
        <w:rPr>
          <w:rFonts w:ascii="宋体" w:hAnsi="宋体" w:cs="宋体"/>
          <w:sz w:val="24"/>
          <w:szCs w:val="24"/>
          <w:highlight w:val="none"/>
        </w:rPr>
      </w:pPr>
      <w:r>
        <w:rPr>
          <w:rFonts w:hint="eastAsia" w:ascii="宋体" w:hAnsi="宋体" w:cs="宋体"/>
          <w:sz w:val="24"/>
          <w:szCs w:val="24"/>
          <w:highlight w:val="none"/>
        </w:rPr>
        <w:t>5、</w:t>
      </w:r>
      <w:r>
        <w:rPr>
          <w:rFonts w:hint="eastAsia" w:ascii="宋体" w:hAnsi="宋体" w:cs="宋体"/>
          <w:sz w:val="24"/>
          <w:szCs w:val="24"/>
          <w:highlight w:val="none"/>
          <w:lang w:eastAsia="zh-CN"/>
        </w:rPr>
        <w:t>供应商</w:t>
      </w:r>
      <w:r>
        <w:rPr>
          <w:rFonts w:hint="eastAsia" w:ascii="宋体" w:hAnsi="宋体" w:cs="宋体"/>
          <w:sz w:val="24"/>
          <w:szCs w:val="24"/>
          <w:highlight w:val="none"/>
        </w:rPr>
        <w:t>针对报价需要说明的其他文件和资料………………………（页码）</w:t>
      </w:r>
    </w:p>
    <w:p>
      <w:pPr>
        <w:adjustRightInd w:val="0"/>
        <w:snapToGrid w:val="0"/>
        <w:spacing w:line="400" w:lineRule="exact"/>
        <w:rPr>
          <w:rFonts w:ascii="宋体" w:hAnsi="宋体" w:cs="宋体"/>
          <w:sz w:val="24"/>
          <w:szCs w:val="24"/>
          <w:highlight w:val="none"/>
        </w:rPr>
      </w:pPr>
    </w:p>
    <w:p>
      <w:pPr>
        <w:widowControl/>
        <w:jc w:val="left"/>
        <w:rPr>
          <w:rFonts w:ascii="宋体" w:hAnsi="宋体"/>
          <w:b/>
          <w:bCs/>
          <w:sz w:val="32"/>
          <w:szCs w:val="32"/>
          <w:highlight w:val="none"/>
        </w:rPr>
      </w:pPr>
      <w:r>
        <w:rPr>
          <w:highlight w:val="none"/>
        </w:rPr>
        <w:br w:type="page"/>
      </w:r>
    </w:p>
    <w:p>
      <w:pPr>
        <w:adjustRightInd w:val="0"/>
        <w:snapToGrid w:val="0"/>
        <w:spacing w:before="50" w:after="50"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1、投标函格式：</w:t>
      </w:r>
    </w:p>
    <w:p>
      <w:pPr>
        <w:adjustRightInd w:val="0"/>
        <w:snapToGrid w:val="0"/>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投 标 函</w:t>
      </w:r>
    </w:p>
    <w:p>
      <w:p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（采购代理机构名称）：</w:t>
      </w:r>
    </w:p>
    <w:p>
      <w:pPr>
        <w:adjustRightInd w:val="0"/>
        <w:snapToGrid w:val="0"/>
        <w:spacing w:line="40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根据贵方</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项目（项目编号：）招标公告/投标邀请书，签字代表（全名）经正式授权并代表</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名称）提交</w:t>
      </w:r>
      <w:r>
        <w:rPr>
          <w:rFonts w:hint="eastAsia" w:ascii="宋体" w:hAnsi="宋体" w:cs="宋体"/>
          <w:color w:val="auto"/>
          <w:sz w:val="24"/>
          <w:szCs w:val="24"/>
          <w:highlight w:val="none"/>
          <w:u w:val="single"/>
        </w:rPr>
        <w:t>标包编号及内容</w:t>
      </w:r>
      <w:r>
        <w:rPr>
          <w:rFonts w:hint="eastAsia" w:ascii="宋体" w:hAnsi="宋体" w:cs="宋体"/>
          <w:color w:val="auto"/>
          <w:sz w:val="24"/>
          <w:szCs w:val="24"/>
          <w:highlight w:val="none"/>
        </w:rPr>
        <w:t>投标文件。</w:t>
      </w:r>
    </w:p>
    <w:p>
      <w:pPr>
        <w:adjustRightInd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据此函，签字代表宣布同意如下：</w:t>
      </w:r>
    </w:p>
    <w:p>
      <w:pPr>
        <w:adjustRightInd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已详细审查全部“招标文件”，包括补充文件（如有）以及全部参考资料和有关附件，已经了解我方对于招标文件、采购过程、采购结果有依法进行询问、质疑、投诉的权利及相关渠道和要求。</w:t>
      </w:r>
    </w:p>
    <w:p>
      <w:pPr>
        <w:adjustRightInd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在投标之前已经与贵方进行了充分的沟通，完全理解并接受招标文件的各项规定和要求，对招标文件的合理性、合法性不再有异议。</w:t>
      </w:r>
    </w:p>
    <w:p>
      <w:pPr>
        <w:adjustRightInd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3、本投标有效期自递交投标文件截止之日起</w:t>
      </w: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日。</w:t>
      </w:r>
    </w:p>
    <w:p>
      <w:pPr>
        <w:adjustRightInd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4、如中标，本投标文件至本项目合同履行完毕止均保持有效，本</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将按“招标文件”及政府采购法律、法规的规定履行合同责任和义务。</w:t>
      </w:r>
    </w:p>
    <w:p>
      <w:pPr>
        <w:adjustRightInd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同意按照贵方要求提供与投标有关的一切数据或资料，完全理解采购人不一定接受最低价的投标或收到的任何投标。</w:t>
      </w:r>
    </w:p>
    <w:p>
      <w:pPr>
        <w:adjustRightInd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6、与本投标有关的一切正式往来信函请寄：</w:t>
      </w:r>
    </w:p>
    <w:p>
      <w:pPr>
        <w:adjustRightInd w:val="0"/>
        <w:snapToGrid w:val="0"/>
        <w:spacing w:line="400" w:lineRule="exact"/>
        <w:ind w:firstLine="480" w:firstLineChars="200"/>
        <w:rPr>
          <w:rFonts w:ascii="宋体" w:hAnsi="宋体" w:cs="宋体"/>
          <w:color w:val="auto"/>
          <w:sz w:val="24"/>
          <w:szCs w:val="24"/>
          <w:highlight w:val="none"/>
        </w:rPr>
      </w:pPr>
    </w:p>
    <w:p>
      <w:p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地址：  邮编：     电话：</w:t>
      </w:r>
    </w:p>
    <w:p>
      <w:p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传真：   </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代表姓名：  职务：</w:t>
      </w:r>
    </w:p>
    <w:p>
      <w:p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名称(公章):</w:t>
      </w:r>
    </w:p>
    <w:p>
      <w:p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开户银行：    银行帐号：</w:t>
      </w:r>
    </w:p>
    <w:p>
      <w:pPr>
        <w:adjustRightInd w:val="0"/>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授权代表签字:</w:t>
      </w:r>
    </w:p>
    <w:p>
      <w:pPr>
        <w:adjustRightInd w:val="0"/>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日期：</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w:t>
      </w:r>
    </w:p>
    <w:p>
      <w:pPr>
        <w:adjustRightInd w:val="0"/>
        <w:snapToGrid w:val="0"/>
        <w:spacing w:line="400" w:lineRule="exact"/>
        <w:rPr>
          <w:rFonts w:ascii="宋体" w:hAnsi="宋体" w:cs="宋体"/>
          <w:sz w:val="24"/>
          <w:szCs w:val="24"/>
          <w:highlight w:val="none"/>
        </w:rPr>
      </w:pPr>
    </w:p>
    <w:p>
      <w:pPr>
        <w:adjustRightInd w:val="0"/>
        <w:snapToGrid w:val="0"/>
        <w:spacing w:line="400" w:lineRule="exact"/>
        <w:rPr>
          <w:highlight w:val="none"/>
        </w:rPr>
      </w:pPr>
    </w:p>
    <w:p>
      <w:pPr>
        <w:adjustRightInd w:val="0"/>
        <w:snapToGrid w:val="0"/>
        <w:spacing w:line="400" w:lineRule="exact"/>
        <w:rPr>
          <w:highlight w:val="none"/>
        </w:rPr>
      </w:pPr>
    </w:p>
    <w:p>
      <w:pPr>
        <w:adjustRightInd w:val="0"/>
        <w:snapToGrid w:val="0"/>
        <w:spacing w:line="400" w:lineRule="exact"/>
        <w:rPr>
          <w:highlight w:val="none"/>
        </w:rPr>
      </w:pPr>
    </w:p>
    <w:p>
      <w:pPr>
        <w:adjustRightInd w:val="0"/>
        <w:snapToGrid w:val="0"/>
        <w:spacing w:line="400" w:lineRule="exact"/>
        <w:rPr>
          <w:highlight w:val="none"/>
        </w:rPr>
      </w:pPr>
    </w:p>
    <w:p>
      <w:pPr>
        <w:adjustRightInd w:val="0"/>
        <w:snapToGrid w:val="0"/>
        <w:spacing w:line="400" w:lineRule="exact"/>
        <w:rPr>
          <w:highlight w:val="none"/>
        </w:rPr>
      </w:pPr>
    </w:p>
    <w:p>
      <w:pPr>
        <w:adjustRightInd w:val="0"/>
        <w:snapToGrid w:val="0"/>
        <w:spacing w:line="400" w:lineRule="exact"/>
        <w:rPr>
          <w:highlight w:val="none"/>
        </w:rPr>
      </w:pPr>
    </w:p>
    <w:p>
      <w:pPr>
        <w:adjustRightInd w:val="0"/>
        <w:snapToGrid w:val="0"/>
        <w:spacing w:line="400" w:lineRule="exact"/>
        <w:rPr>
          <w:highlight w:val="none"/>
        </w:rPr>
      </w:pPr>
    </w:p>
    <w:p>
      <w:pPr>
        <w:adjustRightInd w:val="0"/>
        <w:snapToGrid w:val="0"/>
        <w:spacing w:line="400" w:lineRule="exact"/>
        <w:rPr>
          <w:highlight w:val="none"/>
        </w:rPr>
      </w:pPr>
    </w:p>
    <w:p>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pPr>
        <w:adjustRightInd w:val="0"/>
        <w:snapToGrid w:val="0"/>
        <w:spacing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2、开标一览表</w:t>
      </w:r>
    </w:p>
    <w:p>
      <w:pPr>
        <w:adjustRightInd w:val="0"/>
        <w:snapToGrid w:val="0"/>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开标一览表</w:t>
      </w:r>
    </w:p>
    <w:p>
      <w:p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项目名称：      </w:t>
      </w:r>
    </w:p>
    <w:p>
      <w:p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标包编号及内容：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单位：元</w:t>
      </w:r>
    </w:p>
    <w:tbl>
      <w:tblPr>
        <w:tblStyle w:val="15"/>
        <w:tblW w:w="8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1250"/>
        <w:gridCol w:w="1065"/>
        <w:gridCol w:w="641"/>
        <w:gridCol w:w="1282"/>
        <w:gridCol w:w="898"/>
        <w:gridCol w:w="1153"/>
        <w:gridCol w:w="1154"/>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476" w:type="dxa"/>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250" w:type="dxa"/>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标的名称</w:t>
            </w:r>
          </w:p>
        </w:tc>
        <w:tc>
          <w:tcPr>
            <w:tcW w:w="1065" w:type="dxa"/>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品牌</w:t>
            </w:r>
          </w:p>
        </w:tc>
        <w:tc>
          <w:tcPr>
            <w:tcW w:w="641" w:type="dxa"/>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产地</w:t>
            </w:r>
          </w:p>
        </w:tc>
        <w:tc>
          <w:tcPr>
            <w:tcW w:w="1282" w:type="dxa"/>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规格型号</w:t>
            </w:r>
          </w:p>
        </w:tc>
        <w:tc>
          <w:tcPr>
            <w:tcW w:w="898" w:type="dxa"/>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153" w:type="dxa"/>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单价（元）</w:t>
            </w:r>
          </w:p>
        </w:tc>
        <w:tc>
          <w:tcPr>
            <w:tcW w:w="1154" w:type="dxa"/>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合计（元）</w:t>
            </w:r>
          </w:p>
        </w:tc>
        <w:tc>
          <w:tcPr>
            <w:tcW w:w="897" w:type="dxa"/>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76" w:type="dxa"/>
            <w:vAlign w:val="center"/>
          </w:tcPr>
          <w:p>
            <w:pPr>
              <w:snapToGrid w:val="0"/>
              <w:spacing w:line="400" w:lineRule="exact"/>
              <w:jc w:val="center"/>
              <w:rPr>
                <w:rFonts w:ascii="宋体" w:hAnsi="宋体" w:cs="宋体"/>
                <w:color w:val="auto"/>
                <w:sz w:val="24"/>
                <w:szCs w:val="24"/>
                <w:highlight w:val="none"/>
              </w:rPr>
            </w:pPr>
          </w:p>
        </w:tc>
        <w:tc>
          <w:tcPr>
            <w:tcW w:w="1250" w:type="dxa"/>
            <w:vAlign w:val="center"/>
          </w:tcPr>
          <w:p>
            <w:pPr>
              <w:snapToGrid w:val="0"/>
              <w:spacing w:line="400" w:lineRule="exact"/>
              <w:jc w:val="center"/>
              <w:rPr>
                <w:rFonts w:ascii="宋体" w:hAnsi="宋体" w:cs="宋体"/>
                <w:color w:val="auto"/>
                <w:sz w:val="24"/>
                <w:szCs w:val="24"/>
                <w:highlight w:val="none"/>
              </w:rPr>
            </w:pPr>
          </w:p>
        </w:tc>
        <w:tc>
          <w:tcPr>
            <w:tcW w:w="1065" w:type="dxa"/>
            <w:vAlign w:val="center"/>
          </w:tcPr>
          <w:p>
            <w:pPr>
              <w:snapToGrid w:val="0"/>
              <w:spacing w:line="400" w:lineRule="exact"/>
              <w:jc w:val="center"/>
              <w:rPr>
                <w:rFonts w:ascii="宋体" w:hAnsi="宋体" w:cs="宋体"/>
                <w:color w:val="auto"/>
                <w:sz w:val="24"/>
                <w:szCs w:val="24"/>
                <w:highlight w:val="none"/>
              </w:rPr>
            </w:pPr>
          </w:p>
        </w:tc>
        <w:tc>
          <w:tcPr>
            <w:tcW w:w="641" w:type="dxa"/>
            <w:vAlign w:val="center"/>
          </w:tcPr>
          <w:p>
            <w:pPr>
              <w:snapToGrid w:val="0"/>
              <w:spacing w:line="400" w:lineRule="exact"/>
              <w:jc w:val="center"/>
              <w:rPr>
                <w:rFonts w:ascii="宋体" w:hAnsi="宋体" w:cs="宋体"/>
                <w:color w:val="auto"/>
                <w:sz w:val="24"/>
                <w:szCs w:val="24"/>
                <w:highlight w:val="none"/>
              </w:rPr>
            </w:pPr>
          </w:p>
        </w:tc>
        <w:tc>
          <w:tcPr>
            <w:tcW w:w="1282" w:type="dxa"/>
            <w:vAlign w:val="center"/>
          </w:tcPr>
          <w:p>
            <w:pPr>
              <w:snapToGrid w:val="0"/>
              <w:spacing w:line="400" w:lineRule="exact"/>
              <w:jc w:val="center"/>
              <w:rPr>
                <w:rFonts w:ascii="宋体" w:hAnsi="宋体" w:cs="宋体"/>
                <w:color w:val="auto"/>
                <w:sz w:val="24"/>
                <w:szCs w:val="24"/>
                <w:highlight w:val="none"/>
              </w:rPr>
            </w:pPr>
          </w:p>
        </w:tc>
        <w:tc>
          <w:tcPr>
            <w:tcW w:w="898" w:type="dxa"/>
            <w:vAlign w:val="center"/>
          </w:tcPr>
          <w:p>
            <w:pPr>
              <w:snapToGrid w:val="0"/>
              <w:spacing w:line="400" w:lineRule="exact"/>
              <w:jc w:val="center"/>
              <w:rPr>
                <w:rFonts w:ascii="宋体" w:hAnsi="宋体" w:cs="宋体"/>
                <w:color w:val="auto"/>
                <w:sz w:val="24"/>
                <w:szCs w:val="24"/>
                <w:highlight w:val="none"/>
              </w:rPr>
            </w:pPr>
          </w:p>
        </w:tc>
        <w:tc>
          <w:tcPr>
            <w:tcW w:w="1153" w:type="dxa"/>
            <w:vAlign w:val="center"/>
          </w:tcPr>
          <w:p>
            <w:pPr>
              <w:snapToGrid w:val="0"/>
              <w:spacing w:line="400" w:lineRule="exact"/>
              <w:jc w:val="left"/>
              <w:rPr>
                <w:rFonts w:ascii="宋体" w:hAnsi="宋体" w:cs="宋体"/>
                <w:color w:val="auto"/>
                <w:sz w:val="24"/>
                <w:szCs w:val="24"/>
                <w:highlight w:val="none"/>
              </w:rPr>
            </w:pPr>
          </w:p>
        </w:tc>
        <w:tc>
          <w:tcPr>
            <w:tcW w:w="1154" w:type="dxa"/>
            <w:vAlign w:val="center"/>
          </w:tcPr>
          <w:p>
            <w:pPr>
              <w:snapToGrid w:val="0"/>
              <w:spacing w:line="400" w:lineRule="exact"/>
              <w:jc w:val="center"/>
              <w:rPr>
                <w:rFonts w:ascii="宋体" w:hAnsi="宋体" w:cs="宋体"/>
                <w:color w:val="auto"/>
                <w:sz w:val="24"/>
                <w:szCs w:val="24"/>
                <w:highlight w:val="none"/>
              </w:rPr>
            </w:pPr>
          </w:p>
        </w:tc>
        <w:tc>
          <w:tcPr>
            <w:tcW w:w="897" w:type="dxa"/>
            <w:vAlign w:val="center"/>
          </w:tcPr>
          <w:p>
            <w:pPr>
              <w:snapToGrid w:val="0"/>
              <w:spacing w:line="40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76" w:type="dxa"/>
            <w:vAlign w:val="center"/>
          </w:tcPr>
          <w:p>
            <w:pPr>
              <w:snapToGrid w:val="0"/>
              <w:spacing w:line="400" w:lineRule="exact"/>
              <w:jc w:val="center"/>
              <w:rPr>
                <w:rFonts w:ascii="宋体" w:hAnsi="宋体" w:cs="宋体"/>
                <w:color w:val="auto"/>
                <w:sz w:val="24"/>
                <w:szCs w:val="24"/>
                <w:highlight w:val="none"/>
              </w:rPr>
            </w:pPr>
          </w:p>
        </w:tc>
        <w:tc>
          <w:tcPr>
            <w:tcW w:w="1250" w:type="dxa"/>
            <w:vAlign w:val="center"/>
          </w:tcPr>
          <w:p>
            <w:pPr>
              <w:snapToGrid w:val="0"/>
              <w:spacing w:line="400" w:lineRule="exact"/>
              <w:jc w:val="center"/>
              <w:rPr>
                <w:rFonts w:ascii="宋体" w:hAnsi="宋体" w:cs="宋体"/>
                <w:color w:val="auto"/>
                <w:sz w:val="24"/>
                <w:szCs w:val="24"/>
                <w:highlight w:val="none"/>
              </w:rPr>
            </w:pPr>
          </w:p>
        </w:tc>
        <w:tc>
          <w:tcPr>
            <w:tcW w:w="1065" w:type="dxa"/>
            <w:vAlign w:val="center"/>
          </w:tcPr>
          <w:p>
            <w:pPr>
              <w:snapToGrid w:val="0"/>
              <w:spacing w:line="400" w:lineRule="exact"/>
              <w:jc w:val="center"/>
              <w:rPr>
                <w:rFonts w:ascii="宋体" w:hAnsi="宋体" w:cs="宋体"/>
                <w:color w:val="auto"/>
                <w:sz w:val="24"/>
                <w:szCs w:val="24"/>
                <w:highlight w:val="none"/>
              </w:rPr>
            </w:pPr>
          </w:p>
        </w:tc>
        <w:tc>
          <w:tcPr>
            <w:tcW w:w="641" w:type="dxa"/>
            <w:vAlign w:val="center"/>
          </w:tcPr>
          <w:p>
            <w:pPr>
              <w:snapToGrid w:val="0"/>
              <w:spacing w:line="400" w:lineRule="exact"/>
              <w:jc w:val="center"/>
              <w:rPr>
                <w:rFonts w:ascii="宋体" w:hAnsi="宋体" w:cs="宋体"/>
                <w:color w:val="auto"/>
                <w:sz w:val="24"/>
                <w:szCs w:val="24"/>
                <w:highlight w:val="none"/>
              </w:rPr>
            </w:pPr>
          </w:p>
        </w:tc>
        <w:tc>
          <w:tcPr>
            <w:tcW w:w="1282" w:type="dxa"/>
            <w:vAlign w:val="center"/>
          </w:tcPr>
          <w:p>
            <w:pPr>
              <w:snapToGrid w:val="0"/>
              <w:spacing w:line="400" w:lineRule="exact"/>
              <w:jc w:val="center"/>
              <w:rPr>
                <w:rFonts w:ascii="宋体" w:hAnsi="宋体" w:cs="宋体"/>
                <w:color w:val="auto"/>
                <w:sz w:val="24"/>
                <w:szCs w:val="24"/>
                <w:highlight w:val="none"/>
              </w:rPr>
            </w:pPr>
          </w:p>
        </w:tc>
        <w:tc>
          <w:tcPr>
            <w:tcW w:w="898" w:type="dxa"/>
            <w:vAlign w:val="center"/>
          </w:tcPr>
          <w:p>
            <w:pPr>
              <w:snapToGrid w:val="0"/>
              <w:spacing w:line="400" w:lineRule="exact"/>
              <w:jc w:val="center"/>
              <w:rPr>
                <w:rFonts w:ascii="宋体" w:hAnsi="宋体" w:cs="宋体"/>
                <w:color w:val="auto"/>
                <w:sz w:val="24"/>
                <w:szCs w:val="24"/>
                <w:highlight w:val="none"/>
              </w:rPr>
            </w:pPr>
          </w:p>
        </w:tc>
        <w:tc>
          <w:tcPr>
            <w:tcW w:w="1153" w:type="dxa"/>
            <w:vAlign w:val="center"/>
          </w:tcPr>
          <w:p>
            <w:pPr>
              <w:snapToGrid w:val="0"/>
              <w:spacing w:line="400" w:lineRule="exact"/>
              <w:jc w:val="left"/>
              <w:rPr>
                <w:rFonts w:ascii="宋体" w:hAnsi="宋体" w:cs="宋体"/>
                <w:color w:val="auto"/>
                <w:sz w:val="24"/>
                <w:szCs w:val="24"/>
                <w:highlight w:val="none"/>
              </w:rPr>
            </w:pPr>
          </w:p>
        </w:tc>
        <w:tc>
          <w:tcPr>
            <w:tcW w:w="1154" w:type="dxa"/>
            <w:vAlign w:val="center"/>
          </w:tcPr>
          <w:p>
            <w:pPr>
              <w:snapToGrid w:val="0"/>
              <w:spacing w:line="400" w:lineRule="exact"/>
              <w:jc w:val="center"/>
              <w:rPr>
                <w:rFonts w:ascii="宋体" w:hAnsi="宋体" w:cs="宋体"/>
                <w:color w:val="auto"/>
                <w:sz w:val="24"/>
                <w:szCs w:val="24"/>
                <w:highlight w:val="none"/>
              </w:rPr>
            </w:pPr>
          </w:p>
        </w:tc>
        <w:tc>
          <w:tcPr>
            <w:tcW w:w="897" w:type="dxa"/>
            <w:vAlign w:val="center"/>
          </w:tcPr>
          <w:p>
            <w:pPr>
              <w:snapToGrid w:val="0"/>
              <w:spacing w:line="40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726" w:type="dxa"/>
            <w:gridSpan w:val="2"/>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投标总价（元）</w:t>
            </w:r>
          </w:p>
        </w:tc>
        <w:tc>
          <w:tcPr>
            <w:tcW w:w="7090" w:type="dxa"/>
            <w:gridSpan w:val="7"/>
            <w:vAlign w:val="center"/>
          </w:tcPr>
          <w:p>
            <w:pPr>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726" w:type="dxa"/>
            <w:gridSpan w:val="2"/>
            <w:vAlign w:val="center"/>
          </w:tcPr>
          <w:p>
            <w:pPr>
              <w:snapToGrid w:val="0"/>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合同履约期限</w:t>
            </w:r>
          </w:p>
        </w:tc>
        <w:tc>
          <w:tcPr>
            <w:tcW w:w="7090" w:type="dxa"/>
            <w:gridSpan w:val="7"/>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（可填写是\否满足招标文件要求）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726" w:type="dxa"/>
            <w:gridSpan w:val="2"/>
            <w:vAlign w:val="center"/>
          </w:tcPr>
          <w:p>
            <w:pPr>
              <w:snapToGrid w:val="0"/>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质量保修期</w:t>
            </w:r>
          </w:p>
        </w:tc>
        <w:tc>
          <w:tcPr>
            <w:tcW w:w="7090" w:type="dxa"/>
            <w:gridSpan w:val="7"/>
            <w:vAlign w:val="center"/>
          </w:tcPr>
          <w:p>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（可填写是\否满足招标文件要求）</w:t>
            </w:r>
          </w:p>
        </w:tc>
      </w:tr>
    </w:tbl>
    <w:p>
      <w:pPr>
        <w:adjustRightInd w:val="0"/>
        <w:snapToGrid w:val="0"/>
        <w:spacing w:line="400" w:lineRule="exact"/>
        <w:rPr>
          <w:rFonts w:ascii="宋体" w:hAnsi="宋体" w:cs="宋体"/>
          <w:color w:val="auto"/>
          <w:sz w:val="24"/>
          <w:szCs w:val="24"/>
          <w:highlight w:val="none"/>
        </w:rPr>
      </w:pPr>
    </w:p>
    <w:p>
      <w:pPr>
        <w:adjustRightInd w:val="0"/>
        <w:snapToGrid w:val="0"/>
        <w:spacing w:line="400" w:lineRule="exact"/>
        <w:jc w:val="left"/>
        <w:rPr>
          <w:rFonts w:hint="eastAsia" w:ascii="宋体" w:hAnsi="宋体" w:cs="宋体" w:eastAsiaTheme="majorEastAsia"/>
          <w:color w:val="auto"/>
          <w:sz w:val="24"/>
          <w:szCs w:val="24"/>
          <w:highlight w:val="none"/>
          <w:lang w:eastAsia="zh-CN"/>
        </w:rPr>
      </w:pPr>
      <w:r>
        <w:rPr>
          <w:rFonts w:hint="eastAsia" w:ascii="宋体" w:hAnsi="宋体" w:cs="宋体"/>
          <w:color w:val="auto"/>
          <w:sz w:val="24"/>
          <w:szCs w:val="24"/>
          <w:highlight w:val="none"/>
        </w:rPr>
        <w:t>注: 投标报价包括</w:t>
      </w:r>
      <w:r>
        <w:rPr>
          <w:rFonts w:hint="eastAsia" w:ascii="宋体" w:hAnsi="宋体" w:cs="宋体"/>
          <w:color w:val="auto"/>
          <w:sz w:val="24"/>
          <w:szCs w:val="24"/>
          <w:highlight w:val="none"/>
          <w:lang w:val="en-US" w:eastAsia="zh-CN"/>
        </w:rPr>
        <w:t>但不限于</w:t>
      </w:r>
      <w:r>
        <w:rPr>
          <w:rFonts w:hint="eastAsia" w:asciiTheme="majorEastAsia" w:hAnsiTheme="majorEastAsia" w:eastAsiaTheme="majorEastAsia" w:cstheme="majorEastAsia"/>
          <w:color w:val="auto"/>
          <w:sz w:val="24"/>
          <w:szCs w:val="24"/>
          <w:highlight w:val="none"/>
        </w:rPr>
        <w:t>货款、标准附件、备品备件、专用工具、包装、运输、装卸、保险、税金、货到就位以及安装、调试、培训、保修等一切税金和费用</w:t>
      </w:r>
      <w:r>
        <w:rPr>
          <w:rFonts w:hint="eastAsia" w:asciiTheme="majorEastAsia" w:hAnsiTheme="majorEastAsia" w:eastAsiaTheme="majorEastAsia" w:cstheme="majorEastAsia"/>
          <w:color w:val="auto"/>
          <w:sz w:val="24"/>
          <w:szCs w:val="24"/>
          <w:highlight w:val="none"/>
          <w:lang w:eastAsia="zh-CN"/>
        </w:rPr>
        <w:t>。</w:t>
      </w:r>
    </w:p>
    <w:p>
      <w:pPr>
        <w:pStyle w:val="3"/>
        <w:rPr>
          <w:color w:val="auto"/>
          <w:highlight w:val="none"/>
        </w:rPr>
      </w:pPr>
    </w:p>
    <w:p>
      <w:pPr>
        <w:adjustRightInd w:val="0"/>
        <w:snapToGrid w:val="0"/>
        <w:spacing w:line="400" w:lineRule="exact"/>
        <w:ind w:left="-4" w:leftChars="-2" w:right="-817" w:rightChars="-389" w:firstLine="2"/>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名称（盖章）：</w:t>
      </w:r>
    </w:p>
    <w:p>
      <w:pPr>
        <w:adjustRightInd w:val="0"/>
        <w:snapToGrid w:val="0"/>
        <w:spacing w:line="400" w:lineRule="exact"/>
        <w:ind w:left="-4" w:leftChars="-2" w:right="-817" w:rightChars="-389" w:firstLine="2"/>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法定代表人或授权代表（签字）：</w:t>
      </w:r>
    </w:p>
    <w:p>
      <w:pPr>
        <w:adjustRightInd w:val="0"/>
        <w:snapToGrid w:val="0"/>
        <w:spacing w:line="400" w:lineRule="exact"/>
        <w:ind w:left="-2" w:leftChars="-1" w:right="-817" w:rightChars="-389" w:firstLine="2"/>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pPr>
        <w:adjustRightInd w:val="0"/>
        <w:snapToGrid w:val="0"/>
        <w:spacing w:line="400" w:lineRule="exact"/>
        <w:rPr>
          <w:color w:val="auto"/>
          <w:highlight w:val="none"/>
        </w:rPr>
      </w:pPr>
      <w:r>
        <w:rPr>
          <w:rFonts w:hint="eastAsia" w:ascii="宋体" w:hAnsi="宋体" w:cs="宋体"/>
          <w:b/>
          <w:color w:val="auto"/>
          <w:sz w:val="24"/>
          <w:szCs w:val="24"/>
          <w:highlight w:val="none"/>
        </w:rPr>
        <w:br w:type="page"/>
      </w:r>
    </w:p>
    <w:p>
      <w:pPr>
        <w:adjustRightInd w:val="0"/>
        <w:snapToGrid w:val="0"/>
        <w:spacing w:line="400" w:lineRule="exact"/>
        <w:rPr>
          <w:rFonts w:ascii="宋体" w:hAnsi="宋体" w:cs="宋体"/>
          <w:color w:val="auto"/>
          <w:sz w:val="24"/>
          <w:szCs w:val="24"/>
          <w:highlight w:val="none"/>
        </w:rPr>
      </w:pPr>
      <w:r>
        <w:rPr>
          <w:rFonts w:hint="eastAsia" w:ascii="宋体" w:hAnsi="宋体" w:cs="宋体"/>
          <w:b/>
          <w:color w:val="auto"/>
          <w:sz w:val="24"/>
          <w:szCs w:val="24"/>
          <w:highlight w:val="none"/>
        </w:rPr>
        <w:t>3、投标报价明细表格式</w:t>
      </w:r>
      <w:r>
        <w:rPr>
          <w:rFonts w:hint="eastAsia" w:ascii="宋体" w:hAnsi="宋体" w:cs="宋体"/>
          <w:color w:val="auto"/>
          <w:sz w:val="24"/>
          <w:szCs w:val="24"/>
          <w:highlight w:val="none"/>
        </w:rPr>
        <w:t xml:space="preserve">：       </w:t>
      </w:r>
    </w:p>
    <w:p>
      <w:pPr>
        <w:adjustRightInd w:val="0"/>
        <w:snapToGrid w:val="0"/>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投标报价明细表</w:t>
      </w:r>
    </w:p>
    <w:p>
      <w:p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项目名称：</w:t>
      </w:r>
    </w:p>
    <w:p>
      <w:p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标包编号及内容：                               金额单位：人民币（元）</w:t>
      </w:r>
    </w:p>
    <w:tbl>
      <w:tblPr>
        <w:tblStyle w:val="15"/>
        <w:tblW w:w="83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7"/>
        <w:gridCol w:w="1315"/>
        <w:gridCol w:w="986"/>
        <w:gridCol w:w="1315"/>
        <w:gridCol w:w="1479"/>
        <w:gridCol w:w="903"/>
        <w:gridCol w:w="903"/>
        <w:gridCol w:w="7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18"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r>
              <w:rPr>
                <w:rFonts w:hint="eastAsia" w:ascii="宋体" w:hAnsi="宋体" w:cs="宋体"/>
                <w:color w:val="auto"/>
                <w:sz w:val="24"/>
                <w:szCs w:val="24"/>
                <w:highlight w:val="none"/>
              </w:rPr>
              <w:t>序号</w:t>
            </w:r>
          </w:p>
        </w:tc>
        <w:tc>
          <w:tcPr>
            <w:tcW w:w="1315"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r>
              <w:rPr>
                <w:rFonts w:hint="eastAsia" w:ascii="宋体" w:hAnsi="宋体" w:cs="宋体"/>
                <w:color w:val="auto"/>
                <w:sz w:val="24"/>
                <w:szCs w:val="24"/>
                <w:highlight w:val="none"/>
              </w:rPr>
              <w:t>报价组成</w:t>
            </w:r>
          </w:p>
        </w:tc>
        <w:tc>
          <w:tcPr>
            <w:tcW w:w="986"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品牌</w:t>
            </w:r>
          </w:p>
        </w:tc>
        <w:tc>
          <w:tcPr>
            <w:tcW w:w="1315"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r>
              <w:rPr>
                <w:rFonts w:hint="eastAsia" w:ascii="宋体" w:hAnsi="宋体" w:cs="宋体"/>
                <w:color w:val="auto"/>
                <w:sz w:val="24"/>
                <w:szCs w:val="24"/>
                <w:highlight w:val="none"/>
              </w:rPr>
              <w:t>规格型号</w:t>
            </w:r>
          </w:p>
        </w:tc>
        <w:tc>
          <w:tcPr>
            <w:tcW w:w="1479"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r>
              <w:rPr>
                <w:rFonts w:hint="eastAsia" w:ascii="宋体" w:hAnsi="宋体" w:cs="宋体"/>
                <w:color w:val="auto"/>
                <w:sz w:val="24"/>
                <w:szCs w:val="24"/>
                <w:highlight w:val="none"/>
              </w:rPr>
              <w:t>单位及数量</w:t>
            </w:r>
          </w:p>
        </w:tc>
        <w:tc>
          <w:tcPr>
            <w:tcW w:w="903"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r>
              <w:rPr>
                <w:rFonts w:hint="eastAsia" w:ascii="宋体" w:hAnsi="宋体" w:cs="宋体"/>
                <w:color w:val="auto"/>
                <w:sz w:val="24"/>
                <w:szCs w:val="24"/>
                <w:highlight w:val="none"/>
              </w:rPr>
              <w:t>单价</w:t>
            </w:r>
          </w:p>
        </w:tc>
        <w:tc>
          <w:tcPr>
            <w:tcW w:w="903"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r>
              <w:rPr>
                <w:rFonts w:hint="eastAsia" w:ascii="宋体" w:hAnsi="宋体" w:cs="宋体"/>
                <w:color w:val="auto"/>
                <w:sz w:val="24"/>
                <w:szCs w:val="24"/>
                <w:highlight w:val="none"/>
              </w:rPr>
              <w:t>金额</w:t>
            </w:r>
          </w:p>
        </w:tc>
        <w:tc>
          <w:tcPr>
            <w:tcW w:w="780"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986"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1479"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986"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1479"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986"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1479"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w:t>
            </w:r>
          </w:p>
        </w:tc>
        <w:tc>
          <w:tcPr>
            <w:tcW w:w="986"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1479"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jc w:val="center"/>
              <w:rPr>
                <w:rFonts w:ascii="宋体" w:hAnsi="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8338" w:type="dxa"/>
            <w:gridSpan w:val="8"/>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400" w:lineRule="exact"/>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合计金额：（人民币大写）</w:t>
            </w:r>
          </w:p>
        </w:tc>
      </w:tr>
    </w:tbl>
    <w:p>
      <w:pPr>
        <w:tabs>
          <w:tab w:val="left" w:pos="1418"/>
        </w:tabs>
        <w:snapToGrid w:val="0"/>
        <w:spacing w:line="400" w:lineRule="exact"/>
        <w:rPr>
          <w:rFonts w:ascii="宋体" w:hAnsi="宋体" w:cs="宋体"/>
          <w:color w:val="auto"/>
          <w:spacing w:val="20"/>
          <w:sz w:val="24"/>
          <w:szCs w:val="24"/>
          <w:highlight w:val="none"/>
        </w:rPr>
      </w:pPr>
      <w:r>
        <w:rPr>
          <w:rFonts w:hint="eastAsia" w:ascii="宋体" w:hAnsi="宋体" w:cs="宋体"/>
          <w:color w:val="auto"/>
          <w:sz w:val="24"/>
          <w:szCs w:val="24"/>
          <w:highlight w:val="none"/>
        </w:rPr>
        <w:t>说明：1、若获得中标资格并与采购人签署供货合同，由于报价遗漏而造成在供货、安装、调试、培训等工作中出现费用的增加，均由中标供应商自行承担，采购人将不再支付任何额外费用</w:t>
      </w:r>
      <w:r>
        <w:rPr>
          <w:rFonts w:hint="eastAsia" w:ascii="宋体" w:hAnsi="宋体" w:cs="宋体"/>
          <w:color w:val="auto"/>
          <w:spacing w:val="20"/>
          <w:sz w:val="24"/>
          <w:szCs w:val="24"/>
          <w:highlight w:val="none"/>
        </w:rPr>
        <w:t>。</w:t>
      </w:r>
    </w:p>
    <w:p>
      <w:pPr>
        <w:adjustRightInd w:val="0"/>
        <w:snapToGrid w:val="0"/>
        <w:spacing w:line="400" w:lineRule="exact"/>
        <w:ind w:left="-4" w:leftChars="-2" w:right="-817" w:rightChars="-389" w:firstLine="2"/>
        <w:rPr>
          <w:rFonts w:hint="eastAsia" w:ascii="宋体" w:hAnsi="宋体" w:cs="宋体"/>
          <w:color w:val="auto"/>
          <w:sz w:val="24"/>
          <w:szCs w:val="24"/>
          <w:highlight w:val="none"/>
        </w:rPr>
      </w:pPr>
    </w:p>
    <w:p>
      <w:pPr>
        <w:adjustRightInd w:val="0"/>
        <w:snapToGrid w:val="0"/>
        <w:spacing w:line="400" w:lineRule="exact"/>
        <w:ind w:left="-4" w:leftChars="-2" w:right="-817" w:rightChars="-389" w:firstLine="2"/>
        <w:rPr>
          <w:rFonts w:hint="eastAsia" w:ascii="宋体" w:hAnsi="宋体" w:cs="宋体"/>
          <w:color w:val="auto"/>
          <w:sz w:val="24"/>
          <w:szCs w:val="24"/>
          <w:highlight w:val="none"/>
        </w:rPr>
      </w:pPr>
    </w:p>
    <w:p>
      <w:pPr>
        <w:adjustRightInd w:val="0"/>
        <w:snapToGrid w:val="0"/>
        <w:spacing w:line="400" w:lineRule="exact"/>
        <w:ind w:left="-4" w:leftChars="-2" w:right="-817" w:rightChars="-389" w:firstLine="2"/>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名称（盖章）：</w:t>
      </w:r>
    </w:p>
    <w:p>
      <w:pPr>
        <w:adjustRightInd w:val="0"/>
        <w:snapToGrid w:val="0"/>
        <w:spacing w:line="400" w:lineRule="exact"/>
        <w:ind w:left="-3" w:leftChars="-72" w:right="-817" w:rightChars="-389" w:hanging="148" w:hangingChars="62"/>
        <w:rPr>
          <w:rFonts w:ascii="宋体" w:hAnsi="宋体" w:cs="宋体"/>
          <w:color w:val="auto"/>
          <w:sz w:val="24"/>
          <w:szCs w:val="24"/>
          <w:highlight w:val="none"/>
        </w:rPr>
      </w:pPr>
    </w:p>
    <w:p>
      <w:pPr>
        <w:adjustRightInd w:val="0"/>
        <w:snapToGrid w:val="0"/>
        <w:spacing w:line="400" w:lineRule="exact"/>
        <w:ind w:left="-4" w:leftChars="-2" w:right="-817" w:rightChars="-389" w:firstLine="2"/>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法定代表人或授权代表（签字）：</w:t>
      </w:r>
    </w:p>
    <w:p>
      <w:pPr>
        <w:adjustRightInd w:val="0"/>
        <w:snapToGrid w:val="0"/>
        <w:spacing w:line="400" w:lineRule="exact"/>
        <w:rPr>
          <w:rFonts w:ascii="宋体" w:hAnsi="宋体" w:cs="宋体"/>
          <w:color w:val="auto"/>
          <w:spacing w:val="20"/>
          <w:sz w:val="24"/>
          <w:szCs w:val="24"/>
          <w:highlight w:val="none"/>
        </w:rPr>
      </w:pPr>
    </w:p>
    <w:p>
      <w:pPr>
        <w:adjustRightInd w:val="0"/>
        <w:snapToGrid w:val="0"/>
        <w:spacing w:line="400" w:lineRule="exact"/>
        <w:ind w:left="-2" w:leftChars="-1" w:right="-817" w:rightChars="-389" w:firstLine="2"/>
        <w:jc w:val="left"/>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pPr>
        <w:adjustRightInd w:val="0"/>
        <w:snapToGrid w:val="0"/>
        <w:spacing w:line="400" w:lineRule="exact"/>
        <w:rPr>
          <w:rFonts w:ascii="宋体" w:hAnsi="宋体" w:cs="宋体"/>
          <w:sz w:val="24"/>
          <w:szCs w:val="24"/>
          <w:highlight w:val="none"/>
        </w:rPr>
      </w:pPr>
    </w:p>
    <w:p>
      <w:pPr>
        <w:adjustRightInd w:val="0"/>
        <w:snapToGrid w:val="0"/>
        <w:spacing w:line="400" w:lineRule="exact"/>
        <w:rPr>
          <w:rFonts w:ascii="宋体" w:hAnsi="宋体" w:cs="宋体"/>
          <w:spacing w:val="20"/>
          <w:sz w:val="24"/>
          <w:szCs w:val="24"/>
          <w:highlight w:val="none"/>
          <w:u w:val="single"/>
        </w:rPr>
      </w:pPr>
    </w:p>
    <w:p>
      <w:pPr>
        <w:adjustRightInd w:val="0"/>
        <w:snapToGrid w:val="0"/>
        <w:spacing w:line="400" w:lineRule="exact"/>
        <w:rPr>
          <w:rFonts w:ascii="宋体" w:hAnsi="宋体" w:cs="宋体"/>
          <w:spacing w:val="20"/>
          <w:sz w:val="24"/>
          <w:szCs w:val="24"/>
          <w:highlight w:val="none"/>
          <w:u w:val="single"/>
        </w:rPr>
      </w:pPr>
    </w:p>
    <w:p>
      <w:pPr>
        <w:adjustRightInd w:val="0"/>
        <w:snapToGrid w:val="0"/>
        <w:spacing w:before="50" w:after="50" w:line="400" w:lineRule="exact"/>
        <w:rPr>
          <w:rFonts w:ascii="宋体" w:hAnsi="宋体" w:cs="宋体"/>
          <w:b/>
          <w:sz w:val="24"/>
          <w:szCs w:val="24"/>
          <w:highlight w:val="none"/>
        </w:rPr>
      </w:pPr>
      <w:r>
        <w:rPr>
          <w:rFonts w:hint="eastAsia" w:ascii="宋体" w:hAnsi="宋体" w:cs="宋体"/>
          <w:b/>
          <w:sz w:val="24"/>
          <w:szCs w:val="24"/>
          <w:highlight w:val="none"/>
        </w:rPr>
        <w:t>4、投标保证金缴纳凭证复印件</w:t>
      </w:r>
    </w:p>
    <w:p>
      <w:pPr>
        <w:adjustRightInd w:val="0"/>
        <w:snapToGrid w:val="0"/>
        <w:spacing w:before="50" w:after="50" w:line="400" w:lineRule="exact"/>
        <w:rPr>
          <w:rFonts w:ascii="宋体" w:hAnsi="宋体" w:cs="宋体"/>
          <w:b/>
          <w:sz w:val="24"/>
          <w:szCs w:val="24"/>
          <w:highlight w:val="none"/>
        </w:rPr>
      </w:pPr>
    </w:p>
    <w:p>
      <w:pPr>
        <w:adjustRightInd w:val="0"/>
        <w:snapToGrid w:val="0"/>
        <w:spacing w:before="50" w:after="50" w:line="400" w:lineRule="exact"/>
        <w:rPr>
          <w:rFonts w:hint="eastAsia" w:ascii="宋体" w:hAnsi="宋体" w:cs="宋体"/>
          <w:b/>
          <w:sz w:val="24"/>
          <w:szCs w:val="24"/>
          <w:highlight w:val="none"/>
        </w:rPr>
      </w:pPr>
    </w:p>
    <w:p>
      <w:pPr>
        <w:adjustRightInd w:val="0"/>
        <w:snapToGrid w:val="0"/>
        <w:spacing w:before="50" w:after="50" w:line="400" w:lineRule="exact"/>
        <w:rPr>
          <w:rFonts w:hint="eastAsia" w:ascii="宋体" w:hAnsi="宋体" w:cs="宋体"/>
          <w:b/>
          <w:sz w:val="24"/>
          <w:szCs w:val="24"/>
          <w:highlight w:val="none"/>
        </w:rPr>
      </w:pPr>
    </w:p>
    <w:p>
      <w:pPr>
        <w:adjustRightInd w:val="0"/>
        <w:snapToGrid w:val="0"/>
        <w:spacing w:before="50" w:after="50" w:line="400" w:lineRule="exact"/>
        <w:rPr>
          <w:rFonts w:ascii="宋体" w:hAnsi="宋体" w:cs="宋体"/>
          <w:b/>
          <w:sz w:val="24"/>
          <w:szCs w:val="24"/>
          <w:highlight w:val="none"/>
        </w:rPr>
      </w:pPr>
      <w:r>
        <w:rPr>
          <w:rFonts w:hint="eastAsia" w:ascii="宋体" w:hAnsi="宋体" w:cs="宋体"/>
          <w:b/>
          <w:sz w:val="24"/>
          <w:szCs w:val="24"/>
          <w:highlight w:val="none"/>
        </w:rPr>
        <w:t>5、</w:t>
      </w:r>
      <w:r>
        <w:rPr>
          <w:rFonts w:hint="eastAsia" w:ascii="宋体" w:hAnsi="宋体" w:cs="宋体"/>
          <w:b/>
          <w:sz w:val="24"/>
          <w:szCs w:val="24"/>
          <w:highlight w:val="none"/>
          <w:lang w:eastAsia="zh-CN"/>
        </w:rPr>
        <w:t>供应商</w:t>
      </w:r>
      <w:r>
        <w:rPr>
          <w:rFonts w:hint="eastAsia" w:ascii="宋体" w:hAnsi="宋体" w:cs="宋体"/>
          <w:b/>
          <w:sz w:val="24"/>
          <w:szCs w:val="24"/>
          <w:highlight w:val="none"/>
        </w:rPr>
        <w:t>针对报价需要说明的其他文件和资料（如有）</w:t>
      </w:r>
    </w:p>
    <w:p>
      <w:pPr>
        <w:adjustRightInd w:val="0"/>
        <w:snapToGrid w:val="0"/>
        <w:spacing w:line="400" w:lineRule="exact"/>
        <w:rPr>
          <w:rFonts w:ascii="宋体" w:hAnsi="宋体" w:cs="宋体"/>
          <w:b/>
          <w:color w:val="auto"/>
          <w:sz w:val="24"/>
          <w:szCs w:val="24"/>
          <w:highlight w:val="none"/>
        </w:rPr>
      </w:pPr>
      <w:r>
        <w:rPr>
          <w:rFonts w:hint="eastAsia" w:ascii="宋体" w:hAnsi="宋体" w:cs="宋体"/>
          <w:b/>
          <w:sz w:val="28"/>
          <w:szCs w:val="28"/>
          <w:highlight w:val="none"/>
        </w:rPr>
        <w:br w:type="page"/>
      </w:r>
      <w:r>
        <w:rPr>
          <w:rFonts w:hint="eastAsia" w:ascii="宋体" w:hAnsi="宋体" w:cs="宋体"/>
          <w:b/>
          <w:color w:val="auto"/>
          <w:sz w:val="24"/>
          <w:szCs w:val="24"/>
          <w:highlight w:val="none"/>
        </w:rPr>
        <w:t>投标文件封面</w:t>
      </w:r>
    </w:p>
    <w:p>
      <w:pPr>
        <w:spacing w:line="360" w:lineRule="auto"/>
        <w:rPr>
          <w:rFonts w:ascii="宋体" w:hAnsi="宋体" w:cs="宋体"/>
          <w:color w:val="auto"/>
          <w:sz w:val="40"/>
          <w:szCs w:val="20"/>
          <w:highlight w:val="none"/>
        </w:rPr>
      </w:pPr>
    </w:p>
    <w:p>
      <w:pPr>
        <w:spacing w:line="360" w:lineRule="auto"/>
        <w:jc w:val="center"/>
        <w:rPr>
          <w:rFonts w:ascii="宋体" w:hAnsi="宋体" w:cs="宋体"/>
          <w:color w:val="auto"/>
          <w:sz w:val="56"/>
          <w:szCs w:val="20"/>
          <w:highlight w:val="none"/>
        </w:rPr>
      </w:pPr>
    </w:p>
    <w:p>
      <w:pPr>
        <w:spacing w:line="360" w:lineRule="auto"/>
        <w:jc w:val="center"/>
        <w:rPr>
          <w:rFonts w:ascii="宋体" w:hAnsi="宋体" w:cs="宋体"/>
          <w:color w:val="auto"/>
          <w:sz w:val="56"/>
          <w:szCs w:val="20"/>
          <w:highlight w:val="none"/>
        </w:rPr>
      </w:pPr>
      <w:r>
        <w:rPr>
          <w:rFonts w:hint="eastAsia" w:ascii="宋体" w:hAnsi="宋体" w:cs="宋体"/>
          <w:color w:val="auto"/>
          <w:sz w:val="56"/>
          <w:szCs w:val="20"/>
          <w:highlight w:val="none"/>
        </w:rPr>
        <w:t>(项目名称)项目</w:t>
      </w:r>
    </w:p>
    <w:p>
      <w:pPr>
        <w:spacing w:line="360" w:lineRule="auto"/>
        <w:jc w:val="center"/>
        <w:rPr>
          <w:rFonts w:ascii="宋体" w:hAnsi="宋体" w:cs="宋体"/>
          <w:color w:val="auto"/>
          <w:sz w:val="28"/>
          <w:szCs w:val="20"/>
          <w:highlight w:val="none"/>
        </w:rPr>
      </w:pPr>
    </w:p>
    <w:p>
      <w:pPr>
        <w:spacing w:line="360" w:lineRule="auto"/>
        <w:jc w:val="center"/>
        <w:rPr>
          <w:rFonts w:ascii="宋体" w:hAnsi="宋体" w:cs="宋体"/>
          <w:color w:val="auto"/>
          <w:sz w:val="28"/>
          <w:szCs w:val="20"/>
          <w:highlight w:val="none"/>
        </w:rPr>
      </w:pPr>
      <w:r>
        <w:rPr>
          <w:rFonts w:hint="eastAsia" w:ascii="宋体" w:hAnsi="宋体" w:cs="宋体"/>
          <w:color w:val="auto"/>
          <w:sz w:val="28"/>
          <w:szCs w:val="20"/>
          <w:highlight w:val="none"/>
        </w:rPr>
        <w:t>标包编号：</w:t>
      </w:r>
    </w:p>
    <w:p>
      <w:pPr>
        <w:spacing w:line="360" w:lineRule="auto"/>
        <w:jc w:val="center"/>
        <w:rPr>
          <w:rFonts w:ascii="宋体" w:hAnsi="宋体" w:cs="宋体"/>
          <w:color w:val="auto"/>
          <w:sz w:val="28"/>
          <w:szCs w:val="20"/>
          <w:highlight w:val="none"/>
        </w:rPr>
      </w:pPr>
    </w:p>
    <w:p>
      <w:pPr>
        <w:spacing w:line="360" w:lineRule="auto"/>
        <w:jc w:val="center"/>
        <w:rPr>
          <w:rFonts w:ascii="宋体" w:hAnsi="宋体" w:cs="宋体"/>
          <w:color w:val="auto"/>
          <w:sz w:val="56"/>
          <w:szCs w:val="20"/>
          <w:highlight w:val="none"/>
        </w:rPr>
      </w:pPr>
      <w:r>
        <w:rPr>
          <w:rFonts w:hint="eastAsia" w:ascii="宋体" w:hAnsi="宋体" w:cs="宋体"/>
          <w:color w:val="auto"/>
          <w:sz w:val="56"/>
          <w:szCs w:val="20"/>
          <w:highlight w:val="none"/>
        </w:rPr>
        <w:t>商务技术文件</w:t>
      </w:r>
    </w:p>
    <w:p>
      <w:pPr>
        <w:spacing w:line="360" w:lineRule="auto"/>
        <w:jc w:val="center"/>
        <w:rPr>
          <w:rFonts w:ascii="宋体" w:hAnsi="宋体" w:cs="宋体"/>
          <w:color w:val="auto"/>
          <w:sz w:val="56"/>
          <w:szCs w:val="20"/>
          <w:highlight w:val="none"/>
        </w:rPr>
      </w:pPr>
    </w:p>
    <w:p>
      <w:pPr>
        <w:spacing w:line="360" w:lineRule="auto"/>
        <w:jc w:val="center"/>
        <w:rPr>
          <w:rFonts w:ascii="宋体" w:hAnsi="宋体" w:cs="宋体"/>
          <w:color w:val="auto"/>
          <w:sz w:val="56"/>
          <w:szCs w:val="20"/>
          <w:highlight w:val="none"/>
        </w:rPr>
      </w:pPr>
    </w:p>
    <w:p>
      <w:pPr>
        <w:spacing w:line="360" w:lineRule="auto"/>
        <w:jc w:val="center"/>
        <w:rPr>
          <w:rFonts w:ascii="宋体" w:hAnsi="宋体" w:cs="宋体"/>
          <w:color w:val="auto"/>
          <w:sz w:val="56"/>
          <w:szCs w:val="20"/>
          <w:highlight w:val="none"/>
        </w:rPr>
      </w:pPr>
    </w:p>
    <w:p>
      <w:pPr>
        <w:spacing w:line="360" w:lineRule="auto"/>
        <w:rPr>
          <w:rFonts w:ascii="宋体" w:hAnsi="宋体" w:cs="宋体"/>
          <w:color w:val="auto"/>
          <w:sz w:val="28"/>
          <w:szCs w:val="20"/>
          <w:highlight w:val="none"/>
        </w:rPr>
      </w:pPr>
      <w:r>
        <w:rPr>
          <w:rFonts w:hint="eastAsia" w:ascii="宋体" w:hAnsi="宋体" w:cs="宋体"/>
          <w:color w:val="auto"/>
          <w:sz w:val="28"/>
          <w:szCs w:val="20"/>
          <w:highlight w:val="none"/>
        </w:rPr>
        <w:t>投标单位名称：（加盖单位公章）</w:t>
      </w:r>
    </w:p>
    <w:p>
      <w:pPr>
        <w:spacing w:line="360" w:lineRule="auto"/>
        <w:rPr>
          <w:rFonts w:ascii="宋体" w:hAnsi="宋体" w:cs="宋体"/>
          <w:color w:val="auto"/>
          <w:sz w:val="28"/>
          <w:szCs w:val="20"/>
          <w:highlight w:val="none"/>
        </w:rPr>
      </w:pPr>
      <w:r>
        <w:rPr>
          <w:rFonts w:hint="eastAsia" w:ascii="宋体" w:hAnsi="宋体" w:cs="宋体"/>
          <w:color w:val="auto"/>
          <w:sz w:val="28"/>
          <w:szCs w:val="20"/>
          <w:highlight w:val="none"/>
        </w:rPr>
        <w:t>投标单位地址：</w:t>
      </w:r>
    </w:p>
    <w:p>
      <w:pPr>
        <w:spacing w:line="360" w:lineRule="auto"/>
        <w:rPr>
          <w:rFonts w:ascii="宋体" w:hAnsi="宋体" w:cs="宋体"/>
          <w:color w:val="auto"/>
          <w:sz w:val="28"/>
          <w:szCs w:val="20"/>
          <w:highlight w:val="none"/>
        </w:rPr>
      </w:pPr>
      <w:r>
        <w:rPr>
          <w:rFonts w:hint="eastAsia" w:ascii="宋体" w:hAnsi="宋体" w:cs="宋体"/>
          <w:color w:val="auto"/>
          <w:sz w:val="28"/>
          <w:szCs w:val="20"/>
          <w:highlight w:val="none"/>
        </w:rPr>
        <w:t>投标单位法定代表人（负责人、自然人）或法人授权代表姓名：（签字或盖章）</w:t>
      </w:r>
    </w:p>
    <w:p>
      <w:pPr>
        <w:spacing w:line="360" w:lineRule="auto"/>
        <w:rPr>
          <w:rFonts w:ascii="宋体" w:hAnsi="宋体" w:cs="宋体"/>
          <w:color w:val="auto"/>
          <w:sz w:val="28"/>
          <w:szCs w:val="20"/>
          <w:highlight w:val="none"/>
        </w:rPr>
      </w:pPr>
      <w:r>
        <w:rPr>
          <w:rFonts w:hint="eastAsia" w:ascii="宋体" w:hAnsi="宋体" w:cs="宋体"/>
          <w:color w:val="auto"/>
          <w:sz w:val="28"/>
          <w:szCs w:val="20"/>
          <w:highlight w:val="none"/>
        </w:rPr>
        <w:t>投标单位法定代表人（负责人、自然人）或法人授权代表职务：</w:t>
      </w:r>
    </w:p>
    <w:p>
      <w:pPr>
        <w:spacing w:line="360" w:lineRule="auto"/>
        <w:rPr>
          <w:rFonts w:ascii="宋体" w:hAnsi="宋体" w:cs="宋体"/>
          <w:color w:val="auto"/>
          <w:sz w:val="28"/>
          <w:szCs w:val="20"/>
          <w:highlight w:val="none"/>
        </w:rPr>
      </w:pPr>
      <w:r>
        <w:rPr>
          <w:rFonts w:hint="eastAsia" w:ascii="宋体" w:hAnsi="宋体" w:cs="宋体"/>
          <w:color w:val="auto"/>
          <w:sz w:val="28"/>
          <w:szCs w:val="20"/>
          <w:highlight w:val="none"/>
        </w:rPr>
        <w:t>投标单位联系方式：</w:t>
      </w:r>
    </w:p>
    <w:p>
      <w:pPr>
        <w:spacing w:line="360" w:lineRule="auto"/>
        <w:rPr>
          <w:rFonts w:ascii="宋体" w:hAnsi="宋体" w:cs="宋体"/>
          <w:color w:val="auto"/>
          <w:sz w:val="20"/>
          <w:szCs w:val="20"/>
          <w:highlight w:val="none"/>
        </w:rPr>
      </w:pPr>
    </w:p>
    <w:p>
      <w:pPr>
        <w:adjustRightInd w:val="0"/>
        <w:snapToGrid w:val="0"/>
        <w:jc w:val="center"/>
        <w:rPr>
          <w:rFonts w:ascii="宋体" w:hAnsi="宋体" w:cs="宋体"/>
          <w:b/>
          <w:color w:val="auto"/>
          <w:sz w:val="24"/>
          <w:szCs w:val="24"/>
          <w:highlight w:val="none"/>
        </w:rPr>
      </w:pPr>
      <w:r>
        <w:rPr>
          <w:rFonts w:hint="eastAsia" w:ascii="宋体" w:hAnsi="宋体" w:cs="宋体"/>
          <w:color w:val="auto"/>
          <w:sz w:val="28"/>
          <w:szCs w:val="28"/>
          <w:highlight w:val="none"/>
        </w:rPr>
        <w:t>年  月  日</w:t>
      </w:r>
    </w:p>
    <w:p>
      <w:pPr>
        <w:jc w:val="center"/>
        <w:rPr>
          <w:rFonts w:hint="eastAsia" w:ascii="宋体" w:hAnsi="宋体" w:cs="宋体"/>
          <w:b/>
          <w:sz w:val="44"/>
          <w:szCs w:val="44"/>
          <w:highlight w:val="none"/>
        </w:rPr>
      </w:pPr>
    </w:p>
    <w:p>
      <w:pPr>
        <w:jc w:val="center"/>
        <w:rPr>
          <w:rFonts w:ascii="宋体" w:hAnsi="宋体" w:cs="宋体"/>
          <w:b/>
          <w:sz w:val="44"/>
          <w:szCs w:val="44"/>
          <w:highlight w:val="none"/>
        </w:rPr>
      </w:pPr>
      <w:r>
        <w:rPr>
          <w:rFonts w:hint="eastAsia" w:ascii="宋体" w:hAnsi="宋体" w:cs="宋体"/>
          <w:b/>
          <w:sz w:val="44"/>
          <w:szCs w:val="44"/>
          <w:highlight w:val="none"/>
        </w:rPr>
        <w:t xml:space="preserve">目 </w:t>
      </w:r>
      <w:r>
        <w:rPr>
          <w:rFonts w:hint="eastAsia" w:ascii="宋体" w:hAnsi="宋体" w:cs="宋体"/>
          <w:b/>
          <w:sz w:val="44"/>
          <w:szCs w:val="44"/>
          <w:highlight w:val="none"/>
        </w:rPr>
        <w:tab/>
      </w:r>
      <w:r>
        <w:rPr>
          <w:rFonts w:hint="eastAsia" w:ascii="宋体" w:hAnsi="宋体" w:cs="宋体"/>
          <w:b/>
          <w:sz w:val="44"/>
          <w:szCs w:val="44"/>
          <w:highlight w:val="none"/>
        </w:rPr>
        <w:t>录</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一、商务部分  </w:t>
      </w:r>
      <w:r>
        <w:rPr>
          <w:rFonts w:hint="eastAsia" w:ascii="宋体" w:hAnsi="宋体" w:cs="宋体"/>
          <w:sz w:val="24"/>
          <w:highlight w:val="none"/>
        </w:rPr>
        <w:t>…………………………………………………………（页码）</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1.投标声明书 </w:t>
      </w:r>
      <w:r>
        <w:rPr>
          <w:rFonts w:hint="eastAsia" w:ascii="宋体" w:hAnsi="宋体" w:cs="宋体"/>
          <w:sz w:val="24"/>
          <w:highlight w:val="none"/>
        </w:rPr>
        <w:t>……………………………………………………………（页码）</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2.法定代表人（负责人、自然人）授权书</w:t>
      </w:r>
      <w:r>
        <w:rPr>
          <w:rFonts w:hint="eastAsia" w:ascii="宋体" w:hAnsi="宋体" w:cs="宋体"/>
          <w:sz w:val="24"/>
          <w:highlight w:val="none"/>
        </w:rPr>
        <w:t>……………………………（页码）</w:t>
      </w:r>
    </w:p>
    <w:p>
      <w:pPr>
        <w:spacing w:line="360" w:lineRule="auto"/>
        <w:ind w:firstLine="480" w:firstLineChars="200"/>
        <w:rPr>
          <w:rFonts w:ascii="宋体" w:hAnsi="宋体" w:cs="宋体"/>
          <w:sz w:val="24"/>
          <w:highlight w:val="none"/>
        </w:rPr>
      </w:pPr>
      <w:r>
        <w:rPr>
          <w:rFonts w:hint="eastAsia" w:ascii="宋体" w:hAnsi="宋体" w:cs="宋体"/>
          <w:sz w:val="24"/>
          <w:szCs w:val="24"/>
          <w:highlight w:val="none"/>
        </w:rPr>
        <w:t xml:space="preserve">3.企业法人营业执照（或登记证书、身份证） </w:t>
      </w:r>
      <w:r>
        <w:rPr>
          <w:rFonts w:hint="eastAsia" w:ascii="宋体" w:hAnsi="宋体" w:cs="宋体"/>
          <w:sz w:val="24"/>
          <w:highlight w:val="none"/>
        </w:rPr>
        <w:t>………………………（页码）</w:t>
      </w:r>
    </w:p>
    <w:p>
      <w:pPr>
        <w:spacing w:line="360" w:lineRule="auto"/>
        <w:ind w:firstLine="480" w:firstLineChars="200"/>
        <w:rPr>
          <w:rFonts w:ascii="宋体" w:hAnsi="宋体" w:cs="宋体"/>
          <w:sz w:val="24"/>
          <w:highlight w:val="none"/>
        </w:rPr>
      </w:pPr>
      <w:r>
        <w:rPr>
          <w:rFonts w:hint="eastAsia" w:ascii="宋体" w:hAnsi="宋体" w:cs="宋体"/>
          <w:sz w:val="24"/>
          <w:szCs w:val="24"/>
          <w:highlight w:val="none"/>
        </w:rPr>
        <w:t>4.</w:t>
      </w:r>
      <w:r>
        <w:rPr>
          <w:rFonts w:hint="eastAsia" w:ascii="宋体" w:hAnsi="宋体" w:cs="宋体"/>
          <w:sz w:val="24"/>
          <w:szCs w:val="24"/>
          <w:highlight w:val="none"/>
          <w:lang w:eastAsia="zh-CN"/>
        </w:rPr>
        <w:t>供应商</w:t>
      </w:r>
      <w:r>
        <w:rPr>
          <w:rFonts w:hint="eastAsia" w:ascii="宋体" w:hAnsi="宋体" w:cs="宋体"/>
          <w:sz w:val="24"/>
          <w:szCs w:val="24"/>
          <w:highlight w:val="none"/>
        </w:rPr>
        <w:t xml:space="preserve">情况介绍 </w:t>
      </w:r>
      <w:r>
        <w:rPr>
          <w:rFonts w:hint="eastAsia" w:ascii="宋体" w:hAnsi="宋体" w:cs="宋体"/>
          <w:sz w:val="24"/>
          <w:highlight w:val="none"/>
        </w:rPr>
        <w:t>……………………………………………………</w:t>
      </w:r>
      <w:r>
        <w:rPr>
          <w:rFonts w:hint="eastAsia" w:ascii="宋体" w:hAnsi="宋体" w:cs="宋体"/>
          <w:sz w:val="24"/>
          <w:szCs w:val="24"/>
          <w:highlight w:val="none"/>
        </w:rPr>
        <w:t xml:space="preserve"> </w:t>
      </w:r>
      <w:r>
        <w:rPr>
          <w:rFonts w:hint="eastAsia" w:ascii="宋体" w:hAnsi="宋体" w:cs="宋体"/>
          <w:sz w:val="24"/>
          <w:highlight w:val="none"/>
        </w:rPr>
        <w:t>（页码）</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5.近年财务状况 </w:t>
      </w:r>
      <w:r>
        <w:rPr>
          <w:rFonts w:hint="eastAsia" w:ascii="宋体" w:hAnsi="宋体" w:cs="宋体"/>
          <w:sz w:val="24"/>
          <w:highlight w:val="none"/>
        </w:rPr>
        <w:t>…………………………………………………………（页码）</w:t>
      </w:r>
    </w:p>
    <w:p>
      <w:pPr>
        <w:spacing w:line="360" w:lineRule="auto"/>
        <w:ind w:firstLine="480" w:firstLineChars="200"/>
        <w:rPr>
          <w:rFonts w:ascii="宋体" w:hAnsi="宋体" w:cs="宋体"/>
          <w:sz w:val="24"/>
          <w:highlight w:val="none"/>
        </w:rPr>
      </w:pPr>
      <w:r>
        <w:rPr>
          <w:rFonts w:hint="eastAsia" w:ascii="宋体" w:hAnsi="宋体" w:cs="宋体"/>
          <w:sz w:val="24"/>
          <w:szCs w:val="24"/>
          <w:highlight w:val="none"/>
        </w:rPr>
        <w:t>6.</w:t>
      </w:r>
      <w:r>
        <w:rPr>
          <w:rFonts w:hint="eastAsia" w:ascii="宋体" w:hAnsi="宋体" w:cs="宋体"/>
          <w:sz w:val="24"/>
          <w:szCs w:val="24"/>
          <w:highlight w:val="none"/>
          <w:lang w:eastAsia="zh-CN"/>
        </w:rPr>
        <w:t>供应商</w:t>
      </w:r>
      <w:r>
        <w:rPr>
          <w:rFonts w:hint="eastAsia" w:ascii="宋体" w:hAnsi="宋体" w:cs="宋体"/>
          <w:sz w:val="24"/>
          <w:szCs w:val="24"/>
          <w:highlight w:val="none"/>
        </w:rPr>
        <w:t xml:space="preserve">须具有履行合同所必需的设备和专业技术能力证明资料 </w:t>
      </w:r>
      <w:r>
        <w:rPr>
          <w:rFonts w:hint="eastAsia" w:ascii="宋体" w:hAnsi="宋体" w:cs="宋体"/>
          <w:sz w:val="24"/>
          <w:highlight w:val="none"/>
        </w:rPr>
        <w:t>…（页码）</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7.</w:t>
      </w:r>
      <w:r>
        <w:rPr>
          <w:rFonts w:hint="eastAsia" w:ascii="宋体" w:hAnsi="宋体" w:cs="宋体"/>
          <w:sz w:val="24"/>
          <w:szCs w:val="24"/>
          <w:highlight w:val="none"/>
        </w:rPr>
        <w:t>纳税证明社保证明</w:t>
      </w:r>
      <w:r>
        <w:rPr>
          <w:rFonts w:hint="eastAsia" w:ascii="宋体" w:hAnsi="宋体" w:cs="宋体"/>
          <w:sz w:val="24"/>
          <w:highlight w:val="none"/>
        </w:rPr>
        <w:t>……………………………………………………（页码）</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8.前三年内在经营活动中没有重大违法记录的书面声明 </w:t>
      </w:r>
      <w:r>
        <w:rPr>
          <w:rFonts w:hint="eastAsia" w:ascii="宋体" w:hAnsi="宋体" w:cs="宋体"/>
          <w:sz w:val="24"/>
          <w:highlight w:val="none"/>
        </w:rPr>
        <w:t>……………（页码）</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9.信用记录 </w:t>
      </w:r>
      <w:r>
        <w:rPr>
          <w:rFonts w:hint="eastAsia" w:ascii="宋体" w:hAnsi="宋体" w:cs="宋体"/>
          <w:sz w:val="24"/>
          <w:highlight w:val="none"/>
        </w:rPr>
        <w:t>………………………………………………………………（页码）</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10.其他认证证书等</w:t>
      </w:r>
      <w:r>
        <w:rPr>
          <w:rFonts w:hint="eastAsia" w:ascii="宋体" w:hAnsi="宋体" w:cs="宋体"/>
          <w:sz w:val="24"/>
          <w:highlight w:val="none"/>
        </w:rPr>
        <w:t>………………………………………………………（页码）</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11.类似成功业绩…………………………………………………………（页码）</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12.政府采购政策扶持证明材料…………………………………………（页码）</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13.其他证明文件或</w:t>
      </w:r>
      <w:r>
        <w:rPr>
          <w:rFonts w:hint="eastAsia" w:ascii="宋体" w:hAnsi="宋体" w:cs="宋体"/>
          <w:sz w:val="24"/>
          <w:szCs w:val="24"/>
          <w:highlight w:val="none"/>
          <w:lang w:eastAsia="zh-CN"/>
        </w:rPr>
        <w:t>供应商</w:t>
      </w:r>
      <w:r>
        <w:rPr>
          <w:rFonts w:hint="eastAsia" w:ascii="宋体" w:hAnsi="宋体" w:cs="宋体"/>
          <w:sz w:val="24"/>
          <w:szCs w:val="24"/>
          <w:highlight w:val="none"/>
        </w:rPr>
        <w:t>认为应提交的商务文件……………………（页码）</w:t>
      </w:r>
    </w:p>
    <w:p>
      <w:pPr>
        <w:tabs>
          <w:tab w:val="center" w:pos="4912"/>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二、技术部分  </w:t>
      </w:r>
      <w:r>
        <w:rPr>
          <w:rFonts w:hint="eastAsia" w:ascii="宋体" w:hAnsi="宋体" w:cs="宋体"/>
          <w:sz w:val="24"/>
          <w:highlight w:val="none"/>
        </w:rPr>
        <w:t>……………………………………………………………（页码）</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14.技术响应偏离表</w:t>
      </w:r>
      <w:r>
        <w:rPr>
          <w:rFonts w:hint="eastAsia" w:ascii="宋体" w:hAnsi="宋体" w:cs="宋体"/>
          <w:sz w:val="24"/>
          <w:highlight w:val="none"/>
        </w:rPr>
        <w:t>………………………………………………………（页码）</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15.产品详细技术规格书</w:t>
      </w:r>
      <w:r>
        <w:rPr>
          <w:rFonts w:hint="eastAsia" w:ascii="宋体" w:hAnsi="宋体" w:cs="宋体"/>
          <w:sz w:val="24"/>
          <w:highlight w:val="none"/>
        </w:rPr>
        <w:t>…………………………………………………（页码）</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16.产品检测报告 </w:t>
      </w:r>
      <w:r>
        <w:rPr>
          <w:rFonts w:hint="eastAsia" w:ascii="宋体" w:hAnsi="宋体" w:cs="宋体"/>
          <w:sz w:val="24"/>
          <w:highlight w:val="none"/>
        </w:rPr>
        <w:t>…………………………………………………………（页码）</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17.针对本项目的详细组织实施方案 </w:t>
      </w:r>
      <w:r>
        <w:rPr>
          <w:rFonts w:hint="eastAsia" w:ascii="宋体" w:hAnsi="宋体" w:cs="宋体"/>
          <w:sz w:val="24"/>
          <w:highlight w:val="none"/>
        </w:rPr>
        <w:t>……………………………………（页码）</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18.针对本项目的详细技术培训方案 </w:t>
      </w:r>
      <w:r>
        <w:rPr>
          <w:rFonts w:hint="eastAsia" w:ascii="宋体" w:hAnsi="宋体" w:cs="宋体"/>
          <w:sz w:val="24"/>
          <w:highlight w:val="none"/>
        </w:rPr>
        <w:t>……………………………………（页码）</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19.针对本项目的售后服务方案 </w:t>
      </w:r>
      <w:r>
        <w:rPr>
          <w:rFonts w:hint="eastAsia" w:ascii="宋体" w:hAnsi="宋体" w:cs="宋体"/>
          <w:sz w:val="24"/>
          <w:highlight w:val="none"/>
        </w:rPr>
        <w:t>…………………………………………（页码）</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20.其他优惠条件（如有）</w:t>
      </w:r>
      <w:r>
        <w:rPr>
          <w:rFonts w:hint="eastAsia" w:ascii="宋体" w:hAnsi="宋体" w:cs="宋体"/>
          <w:sz w:val="24"/>
          <w:highlight w:val="none"/>
        </w:rPr>
        <w:t>………………………………………………（页码）</w:t>
      </w:r>
    </w:p>
    <w:p>
      <w:pPr>
        <w:adjustRightInd w:val="0"/>
        <w:snapToGrid w:val="0"/>
        <w:ind w:firstLine="480" w:firstLineChars="200"/>
        <w:rPr>
          <w:rFonts w:ascii="宋体" w:hAnsi="宋体" w:cs="宋体"/>
          <w:sz w:val="24"/>
          <w:highlight w:val="none"/>
        </w:rPr>
      </w:pPr>
      <w:r>
        <w:rPr>
          <w:rFonts w:hint="eastAsia" w:ascii="宋体" w:hAnsi="宋体" w:cs="宋体"/>
          <w:sz w:val="24"/>
          <w:szCs w:val="24"/>
          <w:highlight w:val="none"/>
        </w:rPr>
        <w:t>21.</w:t>
      </w:r>
      <w:r>
        <w:rPr>
          <w:rFonts w:hint="eastAsia" w:ascii="宋体" w:hAnsi="宋体" w:cs="宋体"/>
          <w:sz w:val="24"/>
          <w:szCs w:val="24"/>
          <w:highlight w:val="none"/>
          <w:lang w:eastAsia="zh-CN"/>
        </w:rPr>
        <w:t>供应商</w:t>
      </w:r>
      <w:r>
        <w:rPr>
          <w:rFonts w:hint="eastAsia" w:ascii="宋体" w:hAnsi="宋体" w:cs="宋体"/>
          <w:sz w:val="24"/>
          <w:szCs w:val="24"/>
          <w:highlight w:val="none"/>
        </w:rPr>
        <w:t>认为需要提供的其他技术文件或资料（如有）</w:t>
      </w:r>
      <w:r>
        <w:rPr>
          <w:rFonts w:hint="eastAsia" w:ascii="宋体" w:hAnsi="宋体" w:cs="宋体"/>
          <w:sz w:val="24"/>
          <w:highlight w:val="none"/>
        </w:rPr>
        <w:t>……………（页码）</w:t>
      </w:r>
    </w:p>
    <w:p>
      <w:pPr>
        <w:spacing w:line="360" w:lineRule="auto"/>
        <w:ind w:left="719" w:leftChars="228" w:hanging="240" w:hangingChars="100"/>
        <w:rPr>
          <w:rFonts w:ascii="宋体" w:hAnsi="宋体" w:cs="宋体"/>
          <w:sz w:val="24"/>
          <w:szCs w:val="24"/>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adjustRightInd w:val="0"/>
        <w:snapToGrid w:val="0"/>
        <w:rPr>
          <w:rFonts w:ascii="宋体" w:hAnsi="宋体" w:cs="宋体"/>
          <w:b/>
          <w:sz w:val="28"/>
          <w:szCs w:val="28"/>
          <w:highlight w:val="none"/>
        </w:rPr>
      </w:pPr>
    </w:p>
    <w:tbl>
      <w:tblPr>
        <w:tblStyle w:val="15"/>
        <w:tblW w:w="8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2000"/>
        <w:gridCol w:w="2783"/>
        <w:gridCol w:w="2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4" w:type="dxa"/>
            <w:gridSpan w:val="4"/>
          </w:tcPr>
          <w:p>
            <w:pPr>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评标索引表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tcPr>
          <w:p>
            <w:pPr>
              <w:adjustRightInd w:val="0"/>
              <w:snapToGrid w:val="0"/>
              <w:rPr>
                <w:rFonts w:ascii="宋体" w:hAnsi="宋体" w:cs="宋体"/>
                <w:b/>
                <w:sz w:val="24"/>
                <w:szCs w:val="24"/>
                <w:highlight w:val="none"/>
              </w:rPr>
            </w:pPr>
            <w:r>
              <w:rPr>
                <w:rFonts w:hint="eastAsia" w:ascii="宋体" w:hAnsi="宋体" w:cs="宋体"/>
                <w:b/>
                <w:sz w:val="24"/>
                <w:szCs w:val="24"/>
                <w:highlight w:val="none"/>
              </w:rPr>
              <w:t>序号</w:t>
            </w:r>
          </w:p>
        </w:tc>
        <w:tc>
          <w:tcPr>
            <w:tcW w:w="2000" w:type="dxa"/>
          </w:tcPr>
          <w:p>
            <w:pPr>
              <w:adjustRightInd w:val="0"/>
              <w:snapToGrid w:val="0"/>
              <w:rPr>
                <w:rFonts w:ascii="宋体" w:hAnsi="宋体" w:cs="宋体"/>
                <w:b/>
                <w:sz w:val="24"/>
                <w:szCs w:val="24"/>
                <w:highlight w:val="none"/>
              </w:rPr>
            </w:pPr>
            <w:r>
              <w:rPr>
                <w:rFonts w:hint="eastAsia" w:ascii="宋体" w:hAnsi="宋体" w:cs="宋体"/>
                <w:b/>
                <w:sz w:val="24"/>
                <w:szCs w:val="24"/>
                <w:highlight w:val="none"/>
              </w:rPr>
              <w:t>评审因素</w:t>
            </w:r>
          </w:p>
        </w:tc>
        <w:tc>
          <w:tcPr>
            <w:tcW w:w="2783" w:type="dxa"/>
          </w:tcPr>
          <w:p>
            <w:pPr>
              <w:adjustRightInd w:val="0"/>
              <w:snapToGrid w:val="0"/>
              <w:rPr>
                <w:rFonts w:ascii="宋体" w:hAnsi="宋体" w:cs="宋体"/>
                <w:b/>
                <w:sz w:val="24"/>
                <w:szCs w:val="24"/>
                <w:highlight w:val="none"/>
              </w:rPr>
            </w:pPr>
            <w:r>
              <w:rPr>
                <w:rFonts w:hint="eastAsia" w:ascii="宋体" w:hAnsi="宋体" w:cs="宋体"/>
                <w:b/>
                <w:sz w:val="24"/>
                <w:szCs w:val="24"/>
                <w:highlight w:val="none"/>
              </w:rPr>
              <w:t>索引页码</w:t>
            </w:r>
          </w:p>
        </w:tc>
        <w:tc>
          <w:tcPr>
            <w:tcW w:w="2584" w:type="dxa"/>
          </w:tcPr>
          <w:p>
            <w:pPr>
              <w:adjustRightInd w:val="0"/>
              <w:snapToGrid w:val="0"/>
              <w:rPr>
                <w:rFonts w:ascii="宋体" w:hAnsi="宋体" w:cs="宋体"/>
                <w:b/>
                <w:sz w:val="24"/>
                <w:szCs w:val="24"/>
                <w:highlight w:val="none"/>
              </w:rPr>
            </w:pPr>
            <w:r>
              <w:rPr>
                <w:rFonts w:hint="eastAsia" w:ascii="宋体" w:hAnsi="宋体" w:cs="宋体"/>
                <w:b/>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tcPr>
          <w:p>
            <w:pPr>
              <w:adjustRightInd w:val="0"/>
              <w:snapToGrid w:val="0"/>
              <w:rPr>
                <w:rFonts w:ascii="宋体" w:hAnsi="宋体" w:cs="宋体"/>
                <w:b/>
                <w:sz w:val="24"/>
                <w:szCs w:val="24"/>
                <w:highlight w:val="none"/>
              </w:rPr>
            </w:pPr>
          </w:p>
        </w:tc>
        <w:tc>
          <w:tcPr>
            <w:tcW w:w="2000" w:type="dxa"/>
          </w:tcPr>
          <w:p>
            <w:pPr>
              <w:adjustRightInd w:val="0"/>
              <w:snapToGrid w:val="0"/>
              <w:rPr>
                <w:rFonts w:ascii="宋体" w:hAnsi="宋体" w:cs="宋体"/>
                <w:b/>
                <w:sz w:val="24"/>
                <w:szCs w:val="24"/>
                <w:highlight w:val="none"/>
              </w:rPr>
            </w:pPr>
          </w:p>
        </w:tc>
        <w:tc>
          <w:tcPr>
            <w:tcW w:w="2783" w:type="dxa"/>
          </w:tcPr>
          <w:p>
            <w:pPr>
              <w:adjustRightInd w:val="0"/>
              <w:snapToGrid w:val="0"/>
              <w:rPr>
                <w:rFonts w:ascii="宋体" w:hAnsi="宋体" w:cs="宋体"/>
                <w:b/>
                <w:sz w:val="24"/>
                <w:szCs w:val="24"/>
                <w:highlight w:val="none"/>
              </w:rPr>
            </w:pPr>
          </w:p>
        </w:tc>
        <w:tc>
          <w:tcPr>
            <w:tcW w:w="2584" w:type="dxa"/>
          </w:tcPr>
          <w:p>
            <w:pPr>
              <w:adjustRightInd w:val="0"/>
              <w:snapToGrid w:val="0"/>
              <w:rPr>
                <w:rFonts w:ascii="宋体" w:hAnsi="宋体" w:cs="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tcPr>
          <w:p>
            <w:pPr>
              <w:adjustRightInd w:val="0"/>
              <w:snapToGrid w:val="0"/>
              <w:rPr>
                <w:rFonts w:ascii="宋体" w:hAnsi="宋体" w:cs="宋体"/>
                <w:b/>
                <w:sz w:val="24"/>
                <w:szCs w:val="24"/>
                <w:highlight w:val="none"/>
              </w:rPr>
            </w:pPr>
          </w:p>
        </w:tc>
        <w:tc>
          <w:tcPr>
            <w:tcW w:w="2000" w:type="dxa"/>
          </w:tcPr>
          <w:p>
            <w:pPr>
              <w:adjustRightInd w:val="0"/>
              <w:snapToGrid w:val="0"/>
              <w:rPr>
                <w:rFonts w:ascii="宋体" w:hAnsi="宋体" w:cs="宋体"/>
                <w:b/>
                <w:sz w:val="24"/>
                <w:szCs w:val="24"/>
                <w:highlight w:val="none"/>
              </w:rPr>
            </w:pPr>
          </w:p>
        </w:tc>
        <w:tc>
          <w:tcPr>
            <w:tcW w:w="2783" w:type="dxa"/>
          </w:tcPr>
          <w:p>
            <w:pPr>
              <w:adjustRightInd w:val="0"/>
              <w:snapToGrid w:val="0"/>
              <w:rPr>
                <w:rFonts w:ascii="宋体" w:hAnsi="宋体" w:cs="宋体"/>
                <w:b/>
                <w:sz w:val="24"/>
                <w:szCs w:val="24"/>
                <w:highlight w:val="none"/>
              </w:rPr>
            </w:pPr>
          </w:p>
        </w:tc>
        <w:tc>
          <w:tcPr>
            <w:tcW w:w="2584" w:type="dxa"/>
          </w:tcPr>
          <w:p>
            <w:pPr>
              <w:adjustRightInd w:val="0"/>
              <w:snapToGrid w:val="0"/>
              <w:rPr>
                <w:rFonts w:ascii="宋体" w:hAnsi="宋体" w:cs="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tcPr>
          <w:p>
            <w:pPr>
              <w:adjustRightInd w:val="0"/>
              <w:snapToGrid w:val="0"/>
              <w:rPr>
                <w:rFonts w:ascii="宋体" w:hAnsi="宋体" w:cs="宋体"/>
                <w:b/>
                <w:sz w:val="24"/>
                <w:szCs w:val="24"/>
                <w:highlight w:val="none"/>
              </w:rPr>
            </w:pPr>
            <w:r>
              <w:rPr>
                <w:rFonts w:hint="eastAsia" w:ascii="宋体" w:hAnsi="宋体" w:cs="宋体"/>
                <w:b/>
                <w:sz w:val="24"/>
                <w:szCs w:val="24"/>
                <w:highlight w:val="none"/>
              </w:rPr>
              <w:t>……</w:t>
            </w:r>
          </w:p>
        </w:tc>
        <w:tc>
          <w:tcPr>
            <w:tcW w:w="2000" w:type="dxa"/>
          </w:tcPr>
          <w:p>
            <w:pPr>
              <w:adjustRightInd w:val="0"/>
              <w:snapToGrid w:val="0"/>
              <w:rPr>
                <w:rFonts w:ascii="宋体" w:hAnsi="宋体" w:cs="宋体"/>
                <w:b/>
                <w:sz w:val="24"/>
                <w:szCs w:val="24"/>
                <w:highlight w:val="none"/>
              </w:rPr>
            </w:pPr>
            <w:r>
              <w:rPr>
                <w:rFonts w:hint="eastAsia" w:ascii="宋体" w:hAnsi="宋体" w:cs="宋体"/>
                <w:b/>
                <w:sz w:val="24"/>
                <w:szCs w:val="24"/>
                <w:highlight w:val="none"/>
              </w:rPr>
              <w:t>……</w:t>
            </w:r>
          </w:p>
        </w:tc>
        <w:tc>
          <w:tcPr>
            <w:tcW w:w="2783" w:type="dxa"/>
          </w:tcPr>
          <w:p>
            <w:pPr>
              <w:adjustRightInd w:val="0"/>
              <w:snapToGrid w:val="0"/>
              <w:rPr>
                <w:rFonts w:ascii="宋体" w:hAnsi="宋体" w:cs="宋体"/>
                <w:b/>
                <w:sz w:val="24"/>
                <w:szCs w:val="24"/>
                <w:highlight w:val="none"/>
              </w:rPr>
            </w:pPr>
            <w:r>
              <w:rPr>
                <w:rFonts w:hint="eastAsia" w:ascii="宋体" w:hAnsi="宋体" w:cs="宋体"/>
                <w:b/>
                <w:sz w:val="24"/>
                <w:szCs w:val="24"/>
                <w:highlight w:val="none"/>
              </w:rPr>
              <w:t>……</w:t>
            </w:r>
          </w:p>
        </w:tc>
        <w:tc>
          <w:tcPr>
            <w:tcW w:w="2584" w:type="dxa"/>
          </w:tcPr>
          <w:p>
            <w:pPr>
              <w:adjustRightInd w:val="0"/>
              <w:snapToGrid w:val="0"/>
              <w:rPr>
                <w:rFonts w:ascii="宋体" w:hAnsi="宋体" w:cs="宋体"/>
                <w:b/>
                <w:sz w:val="24"/>
                <w:szCs w:val="24"/>
                <w:highlight w:val="none"/>
              </w:rPr>
            </w:pPr>
            <w:r>
              <w:rPr>
                <w:rFonts w:hint="eastAsia" w:ascii="宋体" w:hAnsi="宋体" w:cs="宋体"/>
                <w:b/>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tcPr>
          <w:p>
            <w:pPr>
              <w:adjustRightInd w:val="0"/>
              <w:snapToGrid w:val="0"/>
              <w:rPr>
                <w:rFonts w:ascii="宋体" w:hAnsi="宋体" w:cs="宋体"/>
                <w:b/>
                <w:sz w:val="24"/>
                <w:szCs w:val="24"/>
                <w:highlight w:val="none"/>
              </w:rPr>
            </w:pPr>
          </w:p>
        </w:tc>
        <w:tc>
          <w:tcPr>
            <w:tcW w:w="2000" w:type="dxa"/>
          </w:tcPr>
          <w:p>
            <w:pPr>
              <w:adjustRightInd w:val="0"/>
              <w:snapToGrid w:val="0"/>
              <w:rPr>
                <w:rFonts w:ascii="宋体" w:hAnsi="宋体" w:cs="宋体"/>
                <w:b/>
                <w:sz w:val="24"/>
                <w:szCs w:val="24"/>
                <w:highlight w:val="none"/>
              </w:rPr>
            </w:pPr>
          </w:p>
        </w:tc>
        <w:tc>
          <w:tcPr>
            <w:tcW w:w="2783" w:type="dxa"/>
          </w:tcPr>
          <w:p>
            <w:pPr>
              <w:adjustRightInd w:val="0"/>
              <w:snapToGrid w:val="0"/>
              <w:rPr>
                <w:rFonts w:ascii="宋体" w:hAnsi="宋体" w:cs="宋体"/>
                <w:b/>
                <w:sz w:val="24"/>
                <w:szCs w:val="24"/>
                <w:highlight w:val="none"/>
              </w:rPr>
            </w:pPr>
          </w:p>
        </w:tc>
        <w:tc>
          <w:tcPr>
            <w:tcW w:w="2584" w:type="dxa"/>
          </w:tcPr>
          <w:p>
            <w:pPr>
              <w:adjustRightInd w:val="0"/>
              <w:snapToGrid w:val="0"/>
              <w:rPr>
                <w:rFonts w:ascii="宋体" w:hAnsi="宋体" w:cs="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tcPr>
          <w:p>
            <w:pPr>
              <w:adjustRightInd w:val="0"/>
              <w:snapToGrid w:val="0"/>
              <w:rPr>
                <w:rFonts w:ascii="宋体" w:hAnsi="宋体" w:cs="宋体"/>
                <w:b/>
                <w:sz w:val="24"/>
                <w:szCs w:val="24"/>
                <w:highlight w:val="none"/>
              </w:rPr>
            </w:pPr>
          </w:p>
        </w:tc>
        <w:tc>
          <w:tcPr>
            <w:tcW w:w="2000" w:type="dxa"/>
          </w:tcPr>
          <w:p>
            <w:pPr>
              <w:adjustRightInd w:val="0"/>
              <w:snapToGrid w:val="0"/>
              <w:rPr>
                <w:rFonts w:ascii="宋体" w:hAnsi="宋体" w:cs="宋体"/>
                <w:b/>
                <w:sz w:val="24"/>
                <w:szCs w:val="24"/>
                <w:highlight w:val="none"/>
              </w:rPr>
            </w:pPr>
          </w:p>
        </w:tc>
        <w:tc>
          <w:tcPr>
            <w:tcW w:w="2783" w:type="dxa"/>
          </w:tcPr>
          <w:p>
            <w:pPr>
              <w:adjustRightInd w:val="0"/>
              <w:snapToGrid w:val="0"/>
              <w:rPr>
                <w:rFonts w:ascii="宋体" w:hAnsi="宋体" w:cs="宋体"/>
                <w:b/>
                <w:sz w:val="24"/>
                <w:szCs w:val="24"/>
                <w:highlight w:val="none"/>
              </w:rPr>
            </w:pPr>
          </w:p>
        </w:tc>
        <w:tc>
          <w:tcPr>
            <w:tcW w:w="2584" w:type="dxa"/>
          </w:tcPr>
          <w:p>
            <w:pPr>
              <w:adjustRightInd w:val="0"/>
              <w:snapToGrid w:val="0"/>
              <w:rPr>
                <w:rFonts w:ascii="宋体" w:hAnsi="宋体" w:cs="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tcPr>
          <w:p>
            <w:pPr>
              <w:adjustRightInd w:val="0"/>
              <w:snapToGrid w:val="0"/>
              <w:rPr>
                <w:rFonts w:ascii="宋体" w:hAnsi="宋体" w:cs="宋体"/>
                <w:b/>
                <w:sz w:val="24"/>
                <w:szCs w:val="24"/>
                <w:highlight w:val="none"/>
              </w:rPr>
            </w:pPr>
          </w:p>
        </w:tc>
        <w:tc>
          <w:tcPr>
            <w:tcW w:w="2000" w:type="dxa"/>
          </w:tcPr>
          <w:p>
            <w:pPr>
              <w:adjustRightInd w:val="0"/>
              <w:snapToGrid w:val="0"/>
              <w:rPr>
                <w:rFonts w:ascii="宋体" w:hAnsi="宋体" w:cs="宋体"/>
                <w:b/>
                <w:sz w:val="24"/>
                <w:szCs w:val="24"/>
                <w:highlight w:val="none"/>
              </w:rPr>
            </w:pPr>
          </w:p>
        </w:tc>
        <w:tc>
          <w:tcPr>
            <w:tcW w:w="2783" w:type="dxa"/>
          </w:tcPr>
          <w:p>
            <w:pPr>
              <w:adjustRightInd w:val="0"/>
              <w:snapToGrid w:val="0"/>
              <w:rPr>
                <w:rFonts w:ascii="宋体" w:hAnsi="宋体" w:cs="宋体"/>
                <w:b/>
                <w:sz w:val="24"/>
                <w:szCs w:val="24"/>
                <w:highlight w:val="none"/>
              </w:rPr>
            </w:pPr>
          </w:p>
        </w:tc>
        <w:tc>
          <w:tcPr>
            <w:tcW w:w="2584" w:type="dxa"/>
          </w:tcPr>
          <w:p>
            <w:pPr>
              <w:adjustRightInd w:val="0"/>
              <w:snapToGrid w:val="0"/>
              <w:rPr>
                <w:rFonts w:ascii="宋体" w:hAnsi="宋体" w:cs="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tcPr>
          <w:p>
            <w:pPr>
              <w:adjustRightInd w:val="0"/>
              <w:snapToGrid w:val="0"/>
              <w:rPr>
                <w:rFonts w:ascii="宋体" w:hAnsi="宋体" w:cs="宋体"/>
                <w:b/>
                <w:sz w:val="24"/>
                <w:szCs w:val="24"/>
                <w:highlight w:val="none"/>
              </w:rPr>
            </w:pPr>
          </w:p>
        </w:tc>
        <w:tc>
          <w:tcPr>
            <w:tcW w:w="2000" w:type="dxa"/>
          </w:tcPr>
          <w:p>
            <w:pPr>
              <w:adjustRightInd w:val="0"/>
              <w:snapToGrid w:val="0"/>
              <w:rPr>
                <w:rFonts w:ascii="宋体" w:hAnsi="宋体" w:cs="宋体"/>
                <w:b/>
                <w:sz w:val="24"/>
                <w:szCs w:val="24"/>
                <w:highlight w:val="none"/>
              </w:rPr>
            </w:pPr>
          </w:p>
        </w:tc>
        <w:tc>
          <w:tcPr>
            <w:tcW w:w="2783" w:type="dxa"/>
          </w:tcPr>
          <w:p>
            <w:pPr>
              <w:adjustRightInd w:val="0"/>
              <w:snapToGrid w:val="0"/>
              <w:rPr>
                <w:rFonts w:ascii="宋体" w:hAnsi="宋体" w:cs="宋体"/>
                <w:b/>
                <w:sz w:val="24"/>
                <w:szCs w:val="24"/>
                <w:highlight w:val="none"/>
              </w:rPr>
            </w:pPr>
          </w:p>
        </w:tc>
        <w:tc>
          <w:tcPr>
            <w:tcW w:w="2584" w:type="dxa"/>
          </w:tcPr>
          <w:p>
            <w:pPr>
              <w:adjustRightInd w:val="0"/>
              <w:snapToGrid w:val="0"/>
              <w:rPr>
                <w:rFonts w:ascii="宋体" w:hAnsi="宋体" w:cs="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tcPr>
          <w:p>
            <w:pPr>
              <w:adjustRightInd w:val="0"/>
              <w:snapToGrid w:val="0"/>
              <w:rPr>
                <w:rFonts w:ascii="宋体" w:hAnsi="宋体" w:cs="宋体"/>
                <w:b/>
                <w:sz w:val="24"/>
                <w:szCs w:val="24"/>
                <w:highlight w:val="none"/>
              </w:rPr>
            </w:pPr>
          </w:p>
        </w:tc>
        <w:tc>
          <w:tcPr>
            <w:tcW w:w="2000" w:type="dxa"/>
          </w:tcPr>
          <w:p>
            <w:pPr>
              <w:adjustRightInd w:val="0"/>
              <w:snapToGrid w:val="0"/>
              <w:rPr>
                <w:rFonts w:ascii="宋体" w:hAnsi="宋体" w:cs="宋体"/>
                <w:b/>
                <w:sz w:val="24"/>
                <w:szCs w:val="24"/>
                <w:highlight w:val="none"/>
              </w:rPr>
            </w:pPr>
          </w:p>
        </w:tc>
        <w:tc>
          <w:tcPr>
            <w:tcW w:w="2783" w:type="dxa"/>
          </w:tcPr>
          <w:p>
            <w:pPr>
              <w:adjustRightInd w:val="0"/>
              <w:snapToGrid w:val="0"/>
              <w:rPr>
                <w:rFonts w:ascii="宋体" w:hAnsi="宋体" w:cs="宋体"/>
                <w:b/>
                <w:sz w:val="24"/>
                <w:szCs w:val="24"/>
                <w:highlight w:val="none"/>
              </w:rPr>
            </w:pPr>
          </w:p>
        </w:tc>
        <w:tc>
          <w:tcPr>
            <w:tcW w:w="2584" w:type="dxa"/>
          </w:tcPr>
          <w:p>
            <w:pPr>
              <w:adjustRightInd w:val="0"/>
              <w:snapToGrid w:val="0"/>
              <w:rPr>
                <w:rFonts w:ascii="宋体" w:hAnsi="宋体" w:cs="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tcPr>
          <w:p>
            <w:pPr>
              <w:adjustRightInd w:val="0"/>
              <w:snapToGrid w:val="0"/>
              <w:rPr>
                <w:rFonts w:ascii="宋体" w:hAnsi="宋体" w:cs="宋体"/>
                <w:b/>
                <w:sz w:val="24"/>
                <w:szCs w:val="24"/>
                <w:highlight w:val="none"/>
              </w:rPr>
            </w:pPr>
          </w:p>
        </w:tc>
        <w:tc>
          <w:tcPr>
            <w:tcW w:w="2000" w:type="dxa"/>
          </w:tcPr>
          <w:p>
            <w:pPr>
              <w:adjustRightInd w:val="0"/>
              <w:snapToGrid w:val="0"/>
              <w:rPr>
                <w:rFonts w:ascii="宋体" w:hAnsi="宋体" w:cs="宋体"/>
                <w:b/>
                <w:sz w:val="24"/>
                <w:szCs w:val="24"/>
                <w:highlight w:val="none"/>
              </w:rPr>
            </w:pPr>
          </w:p>
        </w:tc>
        <w:tc>
          <w:tcPr>
            <w:tcW w:w="2783" w:type="dxa"/>
          </w:tcPr>
          <w:p>
            <w:pPr>
              <w:adjustRightInd w:val="0"/>
              <w:snapToGrid w:val="0"/>
              <w:rPr>
                <w:rFonts w:ascii="宋体" w:hAnsi="宋体" w:cs="宋体"/>
                <w:b/>
                <w:sz w:val="24"/>
                <w:szCs w:val="24"/>
                <w:highlight w:val="none"/>
              </w:rPr>
            </w:pPr>
          </w:p>
        </w:tc>
        <w:tc>
          <w:tcPr>
            <w:tcW w:w="2584" w:type="dxa"/>
          </w:tcPr>
          <w:p>
            <w:pPr>
              <w:adjustRightInd w:val="0"/>
              <w:snapToGrid w:val="0"/>
              <w:rPr>
                <w:rFonts w:ascii="宋体" w:hAnsi="宋体" w:cs="宋体"/>
                <w:b/>
                <w:sz w:val="24"/>
                <w:szCs w:val="24"/>
                <w:highlight w:val="none"/>
              </w:rPr>
            </w:pPr>
          </w:p>
        </w:tc>
      </w:tr>
    </w:tbl>
    <w:p>
      <w:pPr>
        <w:rPr>
          <w:rFonts w:ascii="宋体" w:hAnsi="宋体" w:cs="宋体"/>
          <w:b/>
          <w:sz w:val="28"/>
          <w:szCs w:val="28"/>
          <w:highlight w:val="none"/>
        </w:rPr>
      </w:pPr>
      <w:r>
        <w:rPr>
          <w:rFonts w:hint="eastAsia" w:ascii="宋体" w:hAnsi="宋体" w:cs="宋体"/>
          <w:b/>
          <w:sz w:val="28"/>
          <w:szCs w:val="28"/>
          <w:highlight w:val="none"/>
        </w:rPr>
        <w:br w:type="page"/>
      </w:r>
    </w:p>
    <w:p>
      <w:pPr>
        <w:adjustRightInd w:val="0"/>
        <w:snapToGrid w:val="0"/>
        <w:rPr>
          <w:rFonts w:ascii="宋体" w:hAnsi="宋体" w:cs="宋体"/>
          <w:b/>
          <w:color w:val="auto"/>
          <w:sz w:val="24"/>
          <w:szCs w:val="24"/>
          <w:highlight w:val="none"/>
        </w:rPr>
      </w:pPr>
      <w:r>
        <w:rPr>
          <w:rFonts w:hint="eastAsia" w:ascii="宋体" w:hAnsi="宋体" w:cs="宋体"/>
          <w:b/>
          <w:color w:val="auto"/>
          <w:sz w:val="24"/>
          <w:szCs w:val="24"/>
          <w:highlight w:val="none"/>
        </w:rPr>
        <w:t>1、投标声明书格式：</w:t>
      </w:r>
    </w:p>
    <w:p>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投标声明书</w:t>
      </w:r>
    </w:p>
    <w:p>
      <w:p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（采购代理机构名称）：</w:t>
      </w:r>
    </w:p>
    <w:p>
      <w:pPr>
        <w:adjustRightInd w:val="0"/>
        <w:snapToGrid w:val="0"/>
        <w:spacing w:line="400" w:lineRule="exact"/>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名称）系中华人民共和国合法企业（其他组织），经营地址</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w:t>
      </w:r>
    </w:p>
    <w:p>
      <w:pPr>
        <w:adjustRightInd w:val="0"/>
        <w:snapToGrid w:val="0"/>
        <w:spacing w:line="400" w:lineRule="exact"/>
        <w:ind w:firstLine="645"/>
        <w:rPr>
          <w:rFonts w:ascii="宋体" w:hAnsi="宋体" w:cs="宋体"/>
          <w:color w:val="auto"/>
          <w:sz w:val="24"/>
          <w:szCs w:val="24"/>
          <w:highlight w:val="none"/>
        </w:rPr>
      </w:pPr>
      <w:r>
        <w:rPr>
          <w:rFonts w:hint="eastAsia" w:ascii="宋体" w:hAnsi="宋体" w:cs="宋体"/>
          <w:color w:val="auto"/>
          <w:sz w:val="24"/>
          <w:szCs w:val="24"/>
          <w:highlight w:val="none"/>
        </w:rPr>
        <w:t>我（姓名）系（</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名称）的法定代表人（负责人），我方愿意参加贵方组织的</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项目（项目编号：）</w:t>
      </w:r>
      <w:r>
        <w:rPr>
          <w:rFonts w:hint="eastAsia" w:ascii="宋体" w:hAnsi="宋体" w:cs="宋体"/>
          <w:color w:val="auto"/>
          <w:sz w:val="24"/>
          <w:szCs w:val="24"/>
          <w:highlight w:val="none"/>
          <w:u w:val="single"/>
        </w:rPr>
        <w:t>标包编号及内容</w:t>
      </w:r>
      <w:r>
        <w:rPr>
          <w:rFonts w:hint="eastAsia" w:ascii="宋体" w:hAnsi="宋体" w:cs="宋体"/>
          <w:color w:val="auto"/>
          <w:sz w:val="24"/>
          <w:szCs w:val="24"/>
          <w:highlight w:val="none"/>
        </w:rPr>
        <w:t xml:space="preserve"> 的投标，为便于贵方公正、择优地确定中标人及其投标产品和服务，我方就本次投标有关事项郑重声明如下：</w:t>
      </w:r>
    </w:p>
    <w:p>
      <w:pPr>
        <w:numPr>
          <w:ilvl w:val="0"/>
          <w:numId w:val="3"/>
        </w:num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投标方已详细审查全部招标文件，同意招标文件的各项要求。</w:t>
      </w:r>
    </w:p>
    <w:p>
      <w:pPr>
        <w:numPr>
          <w:ilvl w:val="0"/>
          <w:numId w:val="3"/>
        </w:num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我方向贵方提交的所有投标文件、资料都是准确的和真实的。</w:t>
      </w:r>
    </w:p>
    <w:p>
      <w:pPr>
        <w:numPr>
          <w:ilvl w:val="0"/>
          <w:numId w:val="3"/>
        </w:num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若中标，我方将按招标文件规定履行合同责任和义务。</w:t>
      </w:r>
    </w:p>
    <w:p>
      <w:pPr>
        <w:numPr>
          <w:ilvl w:val="0"/>
          <w:numId w:val="3"/>
        </w:num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我方郑重承诺：我方所投产品及其任何一部分，免受第三方提出的侵犯其专利权、商标权、著作权或其它知识产权的起诉。我方承担由此可能产生的一切法律责任和费用。</w:t>
      </w:r>
    </w:p>
    <w:p>
      <w:pPr>
        <w:numPr>
          <w:ilvl w:val="0"/>
          <w:numId w:val="3"/>
        </w:num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我方不是采购人的附属机构；在获知本项目采购信息后，与采购人聘请的为此项目提供咨询服务的公司及其附属机构没有任何联系。</w:t>
      </w:r>
    </w:p>
    <w:p>
      <w:pPr>
        <w:numPr>
          <w:ilvl w:val="0"/>
          <w:numId w:val="3"/>
        </w:numPr>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投标书自开标日起有效期为日。以上事项如有虚假或隐瞒，我方愿意承担一切后果，并不再寻求任何旨在减轻或免除法律责任的辩解。</w:t>
      </w:r>
    </w:p>
    <w:p>
      <w:pPr>
        <w:adjustRightInd w:val="0"/>
        <w:snapToGrid w:val="0"/>
        <w:spacing w:line="400" w:lineRule="exact"/>
        <w:ind w:left="-4" w:leftChars="-2" w:right="-817" w:rightChars="-389" w:firstLine="2"/>
        <w:rPr>
          <w:rFonts w:ascii="宋体" w:hAnsi="宋体" w:cs="宋体"/>
          <w:color w:val="auto"/>
          <w:sz w:val="24"/>
          <w:szCs w:val="24"/>
          <w:highlight w:val="none"/>
        </w:rPr>
      </w:pPr>
    </w:p>
    <w:p>
      <w:pPr>
        <w:adjustRightInd w:val="0"/>
        <w:snapToGrid w:val="0"/>
        <w:spacing w:line="400" w:lineRule="exact"/>
        <w:ind w:left="-4" w:leftChars="-2" w:right="-817" w:rightChars="-389" w:firstLine="2"/>
        <w:rPr>
          <w:rFonts w:ascii="宋体" w:hAnsi="宋体" w:cs="宋体"/>
          <w:color w:val="auto"/>
          <w:sz w:val="24"/>
          <w:szCs w:val="24"/>
          <w:highlight w:val="none"/>
        </w:rPr>
      </w:pPr>
    </w:p>
    <w:p>
      <w:pPr>
        <w:adjustRightInd w:val="0"/>
        <w:snapToGrid w:val="0"/>
        <w:spacing w:line="400" w:lineRule="exact"/>
        <w:ind w:left="-4" w:leftChars="-2" w:right="-817" w:rightChars="-389" w:firstLine="2"/>
        <w:rPr>
          <w:rFonts w:ascii="宋体" w:hAnsi="宋体" w:cs="宋体"/>
          <w:color w:val="auto"/>
          <w:sz w:val="24"/>
          <w:szCs w:val="24"/>
          <w:highlight w:val="none"/>
        </w:rPr>
      </w:pPr>
    </w:p>
    <w:p>
      <w:pPr>
        <w:adjustRightInd w:val="0"/>
        <w:snapToGrid w:val="0"/>
        <w:spacing w:line="400" w:lineRule="exact"/>
        <w:ind w:left="-4" w:leftChars="-2" w:right="-817" w:rightChars="-389" w:firstLine="2"/>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名称（盖章）：</w:t>
      </w:r>
    </w:p>
    <w:p>
      <w:pPr>
        <w:adjustRightInd w:val="0"/>
        <w:snapToGrid w:val="0"/>
        <w:spacing w:line="400" w:lineRule="exact"/>
        <w:ind w:left="-4" w:leftChars="-2" w:right="-817" w:rightChars="-389" w:firstLine="2"/>
        <w:rPr>
          <w:rFonts w:ascii="宋体" w:hAnsi="宋体" w:cs="宋体"/>
          <w:color w:val="auto"/>
          <w:sz w:val="24"/>
          <w:szCs w:val="24"/>
          <w:highlight w:val="none"/>
        </w:rPr>
      </w:pPr>
      <w:r>
        <w:rPr>
          <w:rFonts w:hint="eastAsia" w:ascii="宋体" w:hAnsi="宋体" w:cs="宋体"/>
          <w:color w:val="auto"/>
          <w:sz w:val="24"/>
          <w:szCs w:val="24"/>
          <w:highlight w:val="none"/>
        </w:rPr>
        <w:t>法定代表人（负责人、自然人）或授权代表（签字）：</w:t>
      </w:r>
    </w:p>
    <w:p>
      <w:pPr>
        <w:adjustRightInd w:val="0"/>
        <w:snapToGrid w:val="0"/>
        <w:spacing w:line="400" w:lineRule="exact"/>
        <w:ind w:left="-2" w:leftChars="-1" w:right="-817" w:rightChars="-389" w:firstLine="2"/>
        <w:jc w:val="left"/>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pPr>
        <w:adjustRightInd w:val="0"/>
        <w:snapToGrid w:val="0"/>
        <w:spacing w:line="360" w:lineRule="auto"/>
        <w:rPr>
          <w:rFonts w:ascii="宋体" w:hAnsi="宋体" w:cs="宋体"/>
          <w:color w:val="auto"/>
          <w:sz w:val="24"/>
          <w:szCs w:val="24"/>
          <w:highlight w:val="none"/>
        </w:rPr>
      </w:pPr>
      <w:r>
        <w:rPr>
          <w:rFonts w:hint="eastAsia" w:ascii="宋体" w:hAnsi="宋体" w:cs="宋体"/>
          <w:sz w:val="24"/>
          <w:szCs w:val="24"/>
          <w:highlight w:val="none"/>
        </w:rPr>
        <w:br w:type="page"/>
      </w:r>
      <w:r>
        <w:rPr>
          <w:rFonts w:hint="eastAsia" w:ascii="宋体" w:hAnsi="宋体" w:cs="宋体"/>
          <w:b/>
          <w:color w:val="auto"/>
          <w:sz w:val="24"/>
          <w:szCs w:val="24"/>
          <w:highlight w:val="none"/>
        </w:rPr>
        <w:t>2、授权委托书格式：</w:t>
      </w:r>
    </w:p>
    <w:p>
      <w:pPr>
        <w:adjustRightInd w:val="0"/>
        <w:snapToGrid w:val="0"/>
        <w:spacing w:line="360" w:lineRule="auto"/>
        <w:jc w:val="center"/>
        <w:rPr>
          <w:rFonts w:ascii="宋体" w:hAnsi="宋体" w:cs="宋体"/>
          <w:color w:val="auto"/>
          <w:sz w:val="24"/>
          <w:szCs w:val="24"/>
          <w:highlight w:val="none"/>
        </w:rPr>
      </w:pPr>
    </w:p>
    <w:p>
      <w:pPr>
        <w:adjustRightInd w:val="0"/>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授权委托书</w:t>
      </w:r>
    </w:p>
    <w:p>
      <w:pPr>
        <w:adjustRightInd w:val="0"/>
        <w:snapToGrid w:val="0"/>
        <w:spacing w:line="360" w:lineRule="auto"/>
        <w:rPr>
          <w:rFonts w:ascii="宋体" w:hAnsi="宋体" w:cs="宋体"/>
          <w:b/>
          <w:bCs/>
          <w:color w:val="auto"/>
          <w:sz w:val="24"/>
          <w:szCs w:val="24"/>
          <w:highlight w:val="none"/>
        </w:rPr>
      </w:pPr>
      <w:r>
        <w:rPr>
          <w:rFonts w:hint="eastAsia" w:ascii="宋体" w:hAnsi="宋体" w:cs="宋体"/>
          <w:color w:val="auto"/>
          <w:sz w:val="24"/>
          <w:szCs w:val="24"/>
          <w:highlight w:val="none"/>
        </w:rPr>
        <w:t>（采购代理机构名称）：</w:t>
      </w:r>
    </w:p>
    <w:p>
      <w:pPr>
        <w:adjustRightInd w:val="0"/>
        <w:snapToGrid w:val="0"/>
        <w:spacing w:line="360" w:lineRule="auto"/>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我（姓名）系（</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名称）的法定代表人（负责人、自然人），现授权委托 （姓名）以我方的名义参加</w:t>
      </w:r>
      <w:r>
        <w:rPr>
          <w:rFonts w:hint="eastAsia" w:ascii="宋体" w:hAnsi="宋体" w:cs="宋体"/>
          <w:color w:val="auto"/>
          <w:sz w:val="24"/>
          <w:szCs w:val="24"/>
          <w:highlight w:val="none"/>
          <w:u w:val="single"/>
        </w:rPr>
        <w:t xml:space="preserve">     项目（项目编号：        ）标包编号及内容</w:t>
      </w:r>
      <w:r>
        <w:rPr>
          <w:rFonts w:hint="eastAsia" w:ascii="宋体" w:hAnsi="宋体" w:cs="宋体"/>
          <w:color w:val="auto"/>
          <w:sz w:val="24"/>
          <w:szCs w:val="24"/>
          <w:highlight w:val="none"/>
        </w:rPr>
        <w:t>的投标活动，并代表我方全权办理针对上述项目的投标、开标、评标、签约等具体事务和签署相关文件。</w:t>
      </w:r>
    </w:p>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我方对被授权人的签名事项负全部责任。</w:t>
      </w:r>
    </w:p>
    <w:p>
      <w:pPr>
        <w:adjustRightInd w:val="0"/>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u w:val="single"/>
        </w:rPr>
        <w:t>在撤销授权的书面通知以前，本授权书一直有效。</w:t>
      </w:r>
      <w:r>
        <w:rPr>
          <w:rFonts w:hint="eastAsia" w:ascii="宋体" w:hAnsi="宋体" w:cs="宋体"/>
          <w:color w:val="auto"/>
          <w:sz w:val="24"/>
          <w:szCs w:val="24"/>
          <w:highlight w:val="none"/>
        </w:rPr>
        <w:t>被授权人在授权书有效期内签署的所有文件不因授权的撤销而失效。</w:t>
      </w:r>
    </w:p>
    <w:p>
      <w:pPr>
        <w:adjustRightInd w:val="0"/>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被授权人无转委托权，特此委托。</w:t>
      </w:r>
    </w:p>
    <w:p>
      <w:pPr>
        <w:adjustRightInd w:val="0"/>
        <w:snapToGrid w:val="0"/>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授权代表签名：                      授权人签名：</w:t>
      </w:r>
    </w:p>
    <w:p>
      <w:pPr>
        <w:adjustRightInd w:val="0"/>
        <w:snapToGrid w:val="0"/>
        <w:spacing w:line="360" w:lineRule="auto"/>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职务：                      职务：</w:t>
      </w:r>
    </w:p>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授权代表身份证号码：</w:t>
      </w:r>
    </w:p>
    <w:p>
      <w:pPr>
        <w:adjustRightInd w:val="0"/>
        <w:snapToGrid w:val="0"/>
        <w:spacing w:line="360" w:lineRule="auto"/>
        <w:rPr>
          <w:rFonts w:ascii="宋体" w:hAnsi="宋体" w:cs="宋体"/>
          <w:sz w:val="24"/>
          <w:szCs w:val="24"/>
          <w:highlight w:val="none"/>
        </w:rPr>
      </w:pPr>
    </w:p>
    <w:tbl>
      <w:tblPr>
        <w:tblStyle w:val="15"/>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0"/>
        <w:gridCol w:w="4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trPr>
        <w:tc>
          <w:tcPr>
            <w:tcW w:w="4310" w:type="dxa"/>
            <w:vAlign w:val="center"/>
          </w:tcPr>
          <w:p>
            <w:pPr>
              <w:adjustRightInd w:val="0"/>
              <w:snapToGrid w:val="0"/>
              <w:spacing w:line="360" w:lineRule="auto"/>
              <w:ind w:right="480"/>
              <w:jc w:val="center"/>
              <w:rPr>
                <w:rFonts w:ascii="宋体" w:hAnsi="宋体" w:cs="宋体"/>
                <w:sz w:val="24"/>
                <w:szCs w:val="24"/>
                <w:highlight w:val="none"/>
              </w:rPr>
            </w:pPr>
            <w:r>
              <w:rPr>
                <w:rFonts w:hint="eastAsia" w:ascii="宋体" w:hAnsi="宋体" w:cs="宋体"/>
                <w:sz w:val="24"/>
                <w:szCs w:val="24"/>
                <w:highlight w:val="none"/>
              </w:rPr>
              <w:t>授权人身份证正面</w:t>
            </w:r>
          </w:p>
        </w:tc>
        <w:tc>
          <w:tcPr>
            <w:tcW w:w="4310" w:type="dxa"/>
            <w:vAlign w:val="center"/>
          </w:tcPr>
          <w:p>
            <w:pPr>
              <w:adjustRightInd w:val="0"/>
              <w:snapToGrid w:val="0"/>
              <w:spacing w:line="360" w:lineRule="auto"/>
              <w:ind w:right="480"/>
              <w:jc w:val="center"/>
              <w:rPr>
                <w:rFonts w:ascii="宋体" w:hAnsi="宋体" w:cs="宋体"/>
                <w:sz w:val="24"/>
                <w:szCs w:val="24"/>
                <w:highlight w:val="none"/>
              </w:rPr>
            </w:pPr>
            <w:r>
              <w:rPr>
                <w:rFonts w:hint="eastAsia" w:ascii="宋体" w:hAnsi="宋体" w:cs="宋体"/>
                <w:sz w:val="24"/>
                <w:szCs w:val="24"/>
                <w:highlight w:val="none"/>
              </w:rPr>
              <w:t>被授权人身份证正面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4310" w:type="dxa"/>
            <w:vAlign w:val="center"/>
          </w:tcPr>
          <w:p>
            <w:pPr>
              <w:adjustRightInd w:val="0"/>
              <w:snapToGrid w:val="0"/>
              <w:spacing w:line="360" w:lineRule="auto"/>
              <w:ind w:right="480"/>
              <w:jc w:val="center"/>
              <w:rPr>
                <w:rFonts w:ascii="宋体" w:hAnsi="宋体" w:cs="宋体"/>
                <w:sz w:val="24"/>
                <w:szCs w:val="24"/>
                <w:highlight w:val="none"/>
              </w:rPr>
            </w:pPr>
            <w:r>
              <w:rPr>
                <w:rFonts w:hint="eastAsia" w:ascii="宋体" w:hAnsi="宋体" w:cs="宋体"/>
                <w:sz w:val="24"/>
                <w:szCs w:val="24"/>
                <w:highlight w:val="none"/>
              </w:rPr>
              <w:t>授权人身份证反面</w:t>
            </w:r>
          </w:p>
        </w:tc>
        <w:tc>
          <w:tcPr>
            <w:tcW w:w="4310" w:type="dxa"/>
            <w:vAlign w:val="center"/>
          </w:tcPr>
          <w:p>
            <w:pPr>
              <w:adjustRightInd w:val="0"/>
              <w:snapToGrid w:val="0"/>
              <w:spacing w:line="360" w:lineRule="auto"/>
              <w:ind w:right="480"/>
              <w:jc w:val="center"/>
              <w:rPr>
                <w:rFonts w:ascii="宋体" w:hAnsi="宋体" w:cs="宋体"/>
                <w:sz w:val="24"/>
                <w:szCs w:val="24"/>
                <w:highlight w:val="none"/>
              </w:rPr>
            </w:pPr>
            <w:r>
              <w:rPr>
                <w:rFonts w:hint="eastAsia" w:ascii="宋体" w:hAnsi="宋体" w:cs="宋体"/>
                <w:sz w:val="24"/>
                <w:szCs w:val="24"/>
                <w:highlight w:val="none"/>
              </w:rPr>
              <w:t>被授权人身份证反面</w:t>
            </w:r>
          </w:p>
        </w:tc>
      </w:tr>
    </w:tbl>
    <w:p>
      <w:pPr>
        <w:adjustRightInd w:val="0"/>
        <w:snapToGrid w:val="0"/>
        <w:spacing w:line="360" w:lineRule="auto"/>
        <w:ind w:right="480"/>
        <w:jc w:val="center"/>
        <w:rPr>
          <w:rFonts w:ascii="宋体" w:hAnsi="宋体" w:cs="宋体"/>
          <w:sz w:val="24"/>
          <w:szCs w:val="24"/>
          <w:highlight w:val="none"/>
        </w:rPr>
      </w:pPr>
    </w:p>
    <w:p>
      <w:pPr>
        <w:adjustRightInd w:val="0"/>
        <w:snapToGrid w:val="0"/>
        <w:spacing w:line="360" w:lineRule="auto"/>
        <w:ind w:right="480"/>
        <w:jc w:val="center"/>
        <w:rPr>
          <w:rFonts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lang w:eastAsia="zh-CN"/>
        </w:rPr>
        <w:t>供应商</w:t>
      </w:r>
      <w:r>
        <w:rPr>
          <w:rFonts w:hint="eastAsia" w:ascii="宋体" w:hAnsi="宋体" w:cs="宋体"/>
          <w:sz w:val="24"/>
          <w:szCs w:val="24"/>
          <w:highlight w:val="none"/>
        </w:rPr>
        <w:t>名称（盖章）：</w:t>
      </w:r>
    </w:p>
    <w:p>
      <w:pPr>
        <w:adjustRightInd w:val="0"/>
        <w:snapToGrid w:val="0"/>
        <w:spacing w:line="360" w:lineRule="auto"/>
        <w:ind w:right="360"/>
        <w:jc w:val="right"/>
        <w:rPr>
          <w:rFonts w:ascii="宋体" w:hAnsi="宋体" w:cs="宋体"/>
          <w:sz w:val="24"/>
          <w:szCs w:val="24"/>
          <w:highlight w:val="none"/>
        </w:rPr>
      </w:pPr>
      <w:r>
        <w:rPr>
          <w:rFonts w:hint="eastAsia" w:ascii="宋体" w:hAnsi="宋体" w:cs="宋体"/>
          <w:sz w:val="24"/>
          <w:szCs w:val="24"/>
          <w:highlight w:val="none"/>
        </w:rPr>
        <w:t>日期：    年    月    日</w:t>
      </w:r>
    </w:p>
    <w:p>
      <w:pPr>
        <w:adjustRightInd w:val="0"/>
        <w:snapToGrid w:val="0"/>
        <w:spacing w:line="360" w:lineRule="auto"/>
        <w:rPr>
          <w:rFonts w:ascii="宋体" w:hAnsi="宋体" w:cs="宋体"/>
          <w:b/>
          <w:sz w:val="24"/>
          <w:szCs w:val="24"/>
          <w:highlight w:val="none"/>
        </w:rPr>
      </w:pPr>
    </w:p>
    <w:p>
      <w:pPr>
        <w:adjustRightInd w:val="0"/>
        <w:snapToGrid w:val="0"/>
        <w:spacing w:line="400" w:lineRule="exact"/>
        <w:rPr>
          <w:rFonts w:ascii="宋体" w:hAnsi="宋体" w:cs="宋体"/>
          <w:b/>
          <w:sz w:val="24"/>
          <w:szCs w:val="24"/>
          <w:highlight w:val="none"/>
        </w:rPr>
      </w:pPr>
      <w:r>
        <w:rPr>
          <w:rFonts w:hint="eastAsia" w:ascii="宋体" w:hAnsi="宋体" w:cs="宋体"/>
          <w:b/>
          <w:sz w:val="24"/>
          <w:szCs w:val="24"/>
          <w:highlight w:val="none"/>
        </w:rPr>
        <w:t>3、</w:t>
      </w:r>
      <w:r>
        <w:rPr>
          <w:rFonts w:hint="eastAsia" w:ascii="宋体" w:hAnsi="宋体" w:cs="宋体"/>
          <w:b/>
          <w:color w:val="auto"/>
          <w:sz w:val="24"/>
          <w:szCs w:val="24"/>
          <w:highlight w:val="none"/>
        </w:rPr>
        <w:t>有效的营业执照（事业单位法人证书、民办非企业单位登记证书、社会团体法人登记证书、基金会法人登记证书、自然人身份证）副本复印件、税务登记证副本（如有）复印件</w:t>
      </w:r>
    </w:p>
    <w:p>
      <w:pPr>
        <w:adjustRightInd w:val="0"/>
        <w:snapToGrid w:val="0"/>
        <w:spacing w:line="400" w:lineRule="exact"/>
        <w:jc w:val="left"/>
        <w:rPr>
          <w:rFonts w:ascii="宋体" w:hAnsi="宋体" w:cs="宋体"/>
          <w:b/>
          <w:sz w:val="24"/>
          <w:szCs w:val="24"/>
          <w:highlight w:val="none"/>
        </w:rPr>
      </w:pPr>
    </w:p>
    <w:p>
      <w:pPr>
        <w:adjustRightInd w:val="0"/>
        <w:snapToGrid w:val="0"/>
        <w:spacing w:line="400" w:lineRule="exact"/>
        <w:jc w:val="left"/>
        <w:rPr>
          <w:rFonts w:ascii="宋体" w:hAnsi="宋体" w:cs="宋体"/>
          <w:b/>
          <w:sz w:val="24"/>
          <w:szCs w:val="24"/>
          <w:highlight w:val="none"/>
        </w:rPr>
      </w:pPr>
      <w:r>
        <w:rPr>
          <w:rFonts w:hint="eastAsia" w:ascii="宋体" w:hAnsi="宋体" w:cs="宋体"/>
          <w:b/>
          <w:sz w:val="24"/>
          <w:szCs w:val="24"/>
          <w:highlight w:val="none"/>
        </w:rPr>
        <w:t>4、</w:t>
      </w:r>
      <w:r>
        <w:rPr>
          <w:rFonts w:hint="eastAsia" w:ascii="宋体" w:hAnsi="宋体" w:cs="宋体"/>
          <w:b/>
          <w:sz w:val="24"/>
          <w:szCs w:val="24"/>
          <w:highlight w:val="none"/>
          <w:lang w:eastAsia="zh-CN"/>
        </w:rPr>
        <w:t>供应商</w:t>
      </w:r>
      <w:r>
        <w:rPr>
          <w:rFonts w:hint="eastAsia" w:ascii="宋体" w:hAnsi="宋体" w:cs="宋体"/>
          <w:b/>
          <w:sz w:val="24"/>
          <w:szCs w:val="24"/>
          <w:highlight w:val="none"/>
        </w:rPr>
        <w:t>情况介绍格式：</w:t>
      </w:r>
    </w:p>
    <w:p>
      <w:pPr>
        <w:adjustRightInd w:val="0"/>
        <w:snapToGrid w:val="0"/>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情况</w:t>
      </w:r>
    </w:p>
    <w:p>
      <w:pPr>
        <w:adjustRightInd w:val="0"/>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 xml:space="preserve">名称:                                                   </w:t>
      </w:r>
    </w:p>
    <w:tbl>
      <w:tblPr>
        <w:tblStyle w:val="15"/>
        <w:tblW w:w="8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1053"/>
        <w:gridCol w:w="1469"/>
        <w:gridCol w:w="854"/>
        <w:gridCol w:w="1453"/>
        <w:gridCol w:w="765"/>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26"/>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w:t>
            </w:r>
          </w:p>
        </w:tc>
        <w:tc>
          <w:tcPr>
            <w:tcW w:w="6994" w:type="dxa"/>
            <w:gridSpan w:val="6"/>
            <w:vAlign w:val="center"/>
          </w:tcPr>
          <w:p>
            <w:pPr>
              <w:pStyle w:val="26"/>
              <w:numPr>
                <w:ilvl w:val="0"/>
                <w:numId w:val="4"/>
              </w:numPr>
              <w:spacing w:line="400" w:lineRule="exact"/>
              <w:ind w:firstLineChars="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26"/>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注册地址</w:t>
            </w:r>
          </w:p>
        </w:tc>
        <w:tc>
          <w:tcPr>
            <w:tcW w:w="3376" w:type="dxa"/>
            <w:gridSpan w:val="3"/>
            <w:vAlign w:val="center"/>
          </w:tcPr>
          <w:p>
            <w:pPr>
              <w:pStyle w:val="26"/>
              <w:numPr>
                <w:ilvl w:val="0"/>
                <w:numId w:val="4"/>
              </w:numPr>
              <w:spacing w:line="400" w:lineRule="exact"/>
              <w:ind w:firstLineChars="0"/>
              <w:rPr>
                <w:rFonts w:ascii="宋体" w:hAnsi="宋体" w:cs="宋体"/>
                <w:color w:val="auto"/>
                <w:sz w:val="24"/>
                <w:szCs w:val="24"/>
                <w:highlight w:val="none"/>
              </w:rPr>
            </w:pPr>
          </w:p>
        </w:tc>
        <w:tc>
          <w:tcPr>
            <w:tcW w:w="1453" w:type="dxa"/>
            <w:vAlign w:val="center"/>
          </w:tcPr>
          <w:p>
            <w:pPr>
              <w:pStyle w:val="26"/>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邮政编码</w:t>
            </w:r>
          </w:p>
        </w:tc>
        <w:tc>
          <w:tcPr>
            <w:tcW w:w="2165" w:type="dxa"/>
            <w:gridSpan w:val="2"/>
            <w:vAlign w:val="center"/>
          </w:tcPr>
          <w:p>
            <w:pPr>
              <w:pStyle w:val="26"/>
              <w:numPr>
                <w:ilvl w:val="0"/>
                <w:numId w:val="4"/>
              </w:numPr>
              <w:spacing w:line="400" w:lineRule="exact"/>
              <w:ind w:firstLineChars="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Merge w:val="restart"/>
            <w:vAlign w:val="center"/>
          </w:tcPr>
          <w:p>
            <w:pPr>
              <w:pStyle w:val="26"/>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联系方式</w:t>
            </w:r>
          </w:p>
        </w:tc>
        <w:tc>
          <w:tcPr>
            <w:tcW w:w="1053" w:type="dxa"/>
            <w:vAlign w:val="center"/>
          </w:tcPr>
          <w:p>
            <w:pPr>
              <w:pStyle w:val="26"/>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联系人</w:t>
            </w:r>
          </w:p>
        </w:tc>
        <w:tc>
          <w:tcPr>
            <w:tcW w:w="2323" w:type="dxa"/>
            <w:gridSpan w:val="2"/>
            <w:vAlign w:val="center"/>
          </w:tcPr>
          <w:p>
            <w:pPr>
              <w:pStyle w:val="26"/>
              <w:numPr>
                <w:ilvl w:val="0"/>
                <w:numId w:val="4"/>
              </w:numPr>
              <w:spacing w:line="400" w:lineRule="exact"/>
              <w:ind w:firstLineChars="0"/>
              <w:rPr>
                <w:rFonts w:ascii="宋体" w:hAnsi="宋体" w:cs="宋体"/>
                <w:color w:val="auto"/>
                <w:sz w:val="24"/>
                <w:szCs w:val="24"/>
                <w:highlight w:val="none"/>
              </w:rPr>
            </w:pPr>
          </w:p>
        </w:tc>
        <w:tc>
          <w:tcPr>
            <w:tcW w:w="1453" w:type="dxa"/>
            <w:vAlign w:val="center"/>
          </w:tcPr>
          <w:p>
            <w:pPr>
              <w:pStyle w:val="26"/>
              <w:numPr>
                <w:ilvl w:val="0"/>
                <w:numId w:val="4"/>
              </w:numPr>
              <w:spacing w:line="400" w:lineRule="exact"/>
              <w:ind w:firstLineChars="0"/>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2165" w:type="dxa"/>
            <w:gridSpan w:val="2"/>
            <w:vAlign w:val="center"/>
          </w:tcPr>
          <w:p>
            <w:pPr>
              <w:pStyle w:val="26"/>
              <w:numPr>
                <w:ilvl w:val="0"/>
                <w:numId w:val="4"/>
              </w:numPr>
              <w:spacing w:line="400" w:lineRule="exact"/>
              <w:ind w:firstLineChars="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Merge w:val="continue"/>
            <w:vAlign w:val="center"/>
          </w:tcPr>
          <w:p>
            <w:pPr>
              <w:pStyle w:val="26"/>
              <w:numPr>
                <w:ilvl w:val="0"/>
                <w:numId w:val="4"/>
              </w:numPr>
              <w:spacing w:line="400" w:lineRule="exact"/>
              <w:ind w:firstLineChars="0"/>
              <w:rPr>
                <w:rFonts w:ascii="宋体" w:hAnsi="宋体" w:cs="宋体"/>
                <w:color w:val="auto"/>
                <w:sz w:val="24"/>
                <w:szCs w:val="24"/>
                <w:highlight w:val="none"/>
              </w:rPr>
            </w:pPr>
          </w:p>
        </w:tc>
        <w:tc>
          <w:tcPr>
            <w:tcW w:w="1053" w:type="dxa"/>
            <w:vAlign w:val="center"/>
          </w:tcPr>
          <w:p>
            <w:pPr>
              <w:pStyle w:val="26"/>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传 真</w:t>
            </w:r>
          </w:p>
        </w:tc>
        <w:tc>
          <w:tcPr>
            <w:tcW w:w="2323" w:type="dxa"/>
            <w:gridSpan w:val="2"/>
            <w:vAlign w:val="center"/>
          </w:tcPr>
          <w:p>
            <w:pPr>
              <w:pStyle w:val="26"/>
              <w:numPr>
                <w:ilvl w:val="0"/>
                <w:numId w:val="4"/>
              </w:numPr>
              <w:spacing w:line="400" w:lineRule="exact"/>
              <w:ind w:firstLineChars="0"/>
              <w:rPr>
                <w:rFonts w:ascii="宋体" w:hAnsi="宋体" w:cs="宋体"/>
                <w:color w:val="auto"/>
                <w:sz w:val="24"/>
                <w:szCs w:val="24"/>
                <w:highlight w:val="none"/>
              </w:rPr>
            </w:pPr>
          </w:p>
        </w:tc>
        <w:tc>
          <w:tcPr>
            <w:tcW w:w="1453" w:type="dxa"/>
            <w:vAlign w:val="center"/>
          </w:tcPr>
          <w:p>
            <w:pPr>
              <w:pStyle w:val="26"/>
              <w:numPr>
                <w:ilvl w:val="0"/>
                <w:numId w:val="4"/>
              </w:numPr>
              <w:spacing w:line="400" w:lineRule="exact"/>
              <w:ind w:firstLineChars="0"/>
              <w:rPr>
                <w:rFonts w:ascii="宋体" w:hAnsi="宋体" w:cs="宋体"/>
                <w:color w:val="auto"/>
                <w:sz w:val="24"/>
                <w:szCs w:val="24"/>
                <w:highlight w:val="none"/>
              </w:rPr>
            </w:pPr>
            <w:r>
              <w:rPr>
                <w:rFonts w:hint="eastAsia" w:ascii="宋体" w:hAnsi="宋体" w:cs="宋体"/>
                <w:color w:val="auto"/>
                <w:sz w:val="24"/>
                <w:szCs w:val="24"/>
                <w:highlight w:val="none"/>
              </w:rPr>
              <w:t>网址</w:t>
            </w:r>
          </w:p>
        </w:tc>
        <w:tc>
          <w:tcPr>
            <w:tcW w:w="2165" w:type="dxa"/>
            <w:gridSpan w:val="2"/>
            <w:vAlign w:val="center"/>
          </w:tcPr>
          <w:p>
            <w:pPr>
              <w:pStyle w:val="26"/>
              <w:numPr>
                <w:ilvl w:val="0"/>
                <w:numId w:val="4"/>
              </w:numPr>
              <w:spacing w:line="400" w:lineRule="exact"/>
              <w:ind w:firstLineChars="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26"/>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法定代表人</w:t>
            </w:r>
          </w:p>
        </w:tc>
        <w:tc>
          <w:tcPr>
            <w:tcW w:w="1053" w:type="dxa"/>
            <w:vAlign w:val="center"/>
          </w:tcPr>
          <w:p>
            <w:pPr>
              <w:pStyle w:val="26"/>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1469" w:type="dxa"/>
            <w:vAlign w:val="center"/>
          </w:tcPr>
          <w:p>
            <w:pPr>
              <w:pStyle w:val="26"/>
              <w:numPr>
                <w:ilvl w:val="0"/>
                <w:numId w:val="4"/>
              </w:numPr>
              <w:spacing w:line="400" w:lineRule="exact"/>
              <w:ind w:firstLineChars="0"/>
              <w:rPr>
                <w:rFonts w:ascii="宋体" w:hAnsi="宋体" w:cs="宋体"/>
                <w:color w:val="auto"/>
                <w:sz w:val="24"/>
                <w:szCs w:val="24"/>
                <w:highlight w:val="none"/>
              </w:rPr>
            </w:pPr>
          </w:p>
        </w:tc>
        <w:tc>
          <w:tcPr>
            <w:tcW w:w="854" w:type="dxa"/>
            <w:vAlign w:val="center"/>
          </w:tcPr>
          <w:p>
            <w:pPr>
              <w:pStyle w:val="26"/>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职称</w:t>
            </w:r>
          </w:p>
        </w:tc>
        <w:tc>
          <w:tcPr>
            <w:tcW w:w="1453" w:type="dxa"/>
            <w:vAlign w:val="center"/>
          </w:tcPr>
          <w:p>
            <w:pPr>
              <w:pStyle w:val="26"/>
              <w:numPr>
                <w:ilvl w:val="0"/>
                <w:numId w:val="4"/>
              </w:numPr>
              <w:spacing w:line="400" w:lineRule="exact"/>
              <w:ind w:firstLineChars="0"/>
              <w:rPr>
                <w:rFonts w:ascii="宋体" w:hAnsi="宋体" w:cs="宋体"/>
                <w:color w:val="auto"/>
                <w:sz w:val="24"/>
                <w:szCs w:val="24"/>
                <w:highlight w:val="none"/>
              </w:rPr>
            </w:pPr>
          </w:p>
        </w:tc>
        <w:tc>
          <w:tcPr>
            <w:tcW w:w="765" w:type="dxa"/>
            <w:vAlign w:val="center"/>
          </w:tcPr>
          <w:p>
            <w:pPr>
              <w:pStyle w:val="26"/>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1400" w:type="dxa"/>
            <w:vAlign w:val="center"/>
          </w:tcPr>
          <w:p>
            <w:pPr>
              <w:pStyle w:val="26"/>
              <w:numPr>
                <w:ilvl w:val="0"/>
                <w:numId w:val="4"/>
              </w:numPr>
              <w:spacing w:line="400" w:lineRule="exact"/>
              <w:ind w:firstLineChars="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26"/>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企业负责人</w:t>
            </w:r>
          </w:p>
        </w:tc>
        <w:tc>
          <w:tcPr>
            <w:tcW w:w="1053" w:type="dxa"/>
            <w:vAlign w:val="center"/>
          </w:tcPr>
          <w:p>
            <w:pPr>
              <w:pStyle w:val="26"/>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1469" w:type="dxa"/>
            <w:vAlign w:val="center"/>
          </w:tcPr>
          <w:p>
            <w:pPr>
              <w:pStyle w:val="26"/>
              <w:numPr>
                <w:ilvl w:val="0"/>
                <w:numId w:val="4"/>
              </w:numPr>
              <w:spacing w:line="400" w:lineRule="exact"/>
              <w:ind w:firstLineChars="0"/>
              <w:rPr>
                <w:rFonts w:ascii="宋体" w:hAnsi="宋体" w:cs="宋体"/>
                <w:color w:val="auto"/>
                <w:sz w:val="24"/>
                <w:szCs w:val="24"/>
                <w:highlight w:val="none"/>
              </w:rPr>
            </w:pPr>
          </w:p>
        </w:tc>
        <w:tc>
          <w:tcPr>
            <w:tcW w:w="854" w:type="dxa"/>
            <w:vAlign w:val="center"/>
          </w:tcPr>
          <w:p>
            <w:pPr>
              <w:pStyle w:val="26"/>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职称</w:t>
            </w:r>
          </w:p>
        </w:tc>
        <w:tc>
          <w:tcPr>
            <w:tcW w:w="1453" w:type="dxa"/>
            <w:vAlign w:val="center"/>
          </w:tcPr>
          <w:p>
            <w:pPr>
              <w:pStyle w:val="26"/>
              <w:numPr>
                <w:ilvl w:val="0"/>
                <w:numId w:val="4"/>
              </w:numPr>
              <w:spacing w:line="400" w:lineRule="exact"/>
              <w:ind w:firstLineChars="0"/>
              <w:rPr>
                <w:rFonts w:ascii="宋体" w:hAnsi="宋体" w:cs="宋体"/>
                <w:color w:val="auto"/>
                <w:sz w:val="24"/>
                <w:szCs w:val="24"/>
                <w:highlight w:val="none"/>
              </w:rPr>
            </w:pPr>
          </w:p>
        </w:tc>
        <w:tc>
          <w:tcPr>
            <w:tcW w:w="765" w:type="dxa"/>
            <w:vAlign w:val="center"/>
          </w:tcPr>
          <w:p>
            <w:pPr>
              <w:pStyle w:val="26"/>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1400" w:type="dxa"/>
            <w:vAlign w:val="center"/>
          </w:tcPr>
          <w:p>
            <w:pPr>
              <w:pStyle w:val="26"/>
              <w:numPr>
                <w:ilvl w:val="0"/>
                <w:numId w:val="4"/>
              </w:numPr>
              <w:spacing w:line="400" w:lineRule="exact"/>
              <w:ind w:firstLineChars="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26"/>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53" w:type="dxa"/>
            <w:vAlign w:val="center"/>
          </w:tcPr>
          <w:p>
            <w:pPr>
              <w:pStyle w:val="26"/>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1469" w:type="dxa"/>
            <w:vAlign w:val="center"/>
          </w:tcPr>
          <w:p>
            <w:pPr>
              <w:pStyle w:val="26"/>
              <w:numPr>
                <w:ilvl w:val="0"/>
                <w:numId w:val="4"/>
              </w:numPr>
              <w:spacing w:line="400" w:lineRule="exact"/>
              <w:ind w:firstLineChars="0"/>
              <w:rPr>
                <w:rFonts w:ascii="宋体" w:hAnsi="宋体" w:cs="宋体"/>
                <w:color w:val="auto"/>
                <w:sz w:val="24"/>
                <w:szCs w:val="24"/>
                <w:highlight w:val="none"/>
              </w:rPr>
            </w:pPr>
          </w:p>
        </w:tc>
        <w:tc>
          <w:tcPr>
            <w:tcW w:w="854" w:type="dxa"/>
            <w:vAlign w:val="center"/>
          </w:tcPr>
          <w:p>
            <w:pPr>
              <w:pStyle w:val="26"/>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职称</w:t>
            </w:r>
          </w:p>
        </w:tc>
        <w:tc>
          <w:tcPr>
            <w:tcW w:w="1453" w:type="dxa"/>
            <w:vAlign w:val="center"/>
          </w:tcPr>
          <w:p>
            <w:pPr>
              <w:pStyle w:val="26"/>
              <w:numPr>
                <w:ilvl w:val="0"/>
                <w:numId w:val="4"/>
              </w:numPr>
              <w:spacing w:line="400" w:lineRule="exact"/>
              <w:ind w:firstLineChars="0"/>
              <w:rPr>
                <w:rFonts w:ascii="宋体" w:hAnsi="宋体" w:cs="宋体"/>
                <w:color w:val="auto"/>
                <w:sz w:val="24"/>
                <w:szCs w:val="24"/>
                <w:highlight w:val="none"/>
              </w:rPr>
            </w:pPr>
          </w:p>
        </w:tc>
        <w:tc>
          <w:tcPr>
            <w:tcW w:w="765" w:type="dxa"/>
            <w:vAlign w:val="center"/>
          </w:tcPr>
          <w:p>
            <w:pPr>
              <w:pStyle w:val="26"/>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1400" w:type="dxa"/>
            <w:vAlign w:val="center"/>
          </w:tcPr>
          <w:p>
            <w:pPr>
              <w:pStyle w:val="26"/>
              <w:numPr>
                <w:ilvl w:val="0"/>
                <w:numId w:val="4"/>
              </w:numPr>
              <w:spacing w:line="400" w:lineRule="exact"/>
              <w:ind w:firstLineChars="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26"/>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企业资质</w:t>
            </w:r>
          </w:p>
        </w:tc>
        <w:tc>
          <w:tcPr>
            <w:tcW w:w="2522" w:type="dxa"/>
            <w:gridSpan w:val="2"/>
            <w:vAlign w:val="center"/>
          </w:tcPr>
          <w:p>
            <w:pPr>
              <w:pStyle w:val="26"/>
              <w:numPr>
                <w:ilvl w:val="0"/>
                <w:numId w:val="4"/>
              </w:numPr>
              <w:spacing w:line="400" w:lineRule="exact"/>
              <w:ind w:firstLineChars="0"/>
              <w:rPr>
                <w:rFonts w:ascii="宋体" w:hAnsi="宋体" w:cs="宋体"/>
                <w:color w:val="auto"/>
                <w:sz w:val="24"/>
                <w:szCs w:val="24"/>
                <w:highlight w:val="none"/>
              </w:rPr>
            </w:pPr>
          </w:p>
        </w:tc>
        <w:tc>
          <w:tcPr>
            <w:tcW w:w="2307" w:type="dxa"/>
            <w:gridSpan w:val="2"/>
            <w:vAlign w:val="center"/>
          </w:tcPr>
          <w:p>
            <w:pPr>
              <w:pStyle w:val="26"/>
              <w:spacing w:line="400" w:lineRule="exact"/>
              <w:ind w:left="0"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营业执照号</w:t>
            </w:r>
          </w:p>
        </w:tc>
        <w:tc>
          <w:tcPr>
            <w:tcW w:w="2165" w:type="dxa"/>
            <w:gridSpan w:val="2"/>
            <w:vAlign w:val="center"/>
          </w:tcPr>
          <w:p>
            <w:pPr>
              <w:pStyle w:val="26"/>
              <w:numPr>
                <w:ilvl w:val="0"/>
                <w:numId w:val="4"/>
              </w:numPr>
              <w:spacing w:line="400" w:lineRule="exact"/>
              <w:ind w:firstLineChars="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658" w:type="dxa"/>
            <w:vAlign w:val="center"/>
          </w:tcPr>
          <w:p>
            <w:pPr>
              <w:pStyle w:val="26"/>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资信等级</w:t>
            </w:r>
          </w:p>
        </w:tc>
        <w:tc>
          <w:tcPr>
            <w:tcW w:w="6994" w:type="dxa"/>
            <w:gridSpan w:val="6"/>
            <w:vAlign w:val="center"/>
          </w:tcPr>
          <w:p>
            <w:pPr>
              <w:pStyle w:val="26"/>
              <w:numPr>
                <w:ilvl w:val="0"/>
                <w:numId w:val="4"/>
              </w:numPr>
              <w:spacing w:line="400" w:lineRule="exact"/>
              <w:ind w:firstLineChars="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658" w:type="dxa"/>
            <w:vAlign w:val="center"/>
          </w:tcPr>
          <w:p>
            <w:pPr>
              <w:pStyle w:val="26"/>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环境管理体系认证</w:t>
            </w:r>
          </w:p>
        </w:tc>
        <w:tc>
          <w:tcPr>
            <w:tcW w:w="2522" w:type="dxa"/>
            <w:gridSpan w:val="2"/>
            <w:vAlign w:val="center"/>
          </w:tcPr>
          <w:p>
            <w:pPr>
              <w:pStyle w:val="26"/>
              <w:numPr>
                <w:ilvl w:val="0"/>
                <w:numId w:val="4"/>
              </w:numPr>
              <w:spacing w:line="400" w:lineRule="exact"/>
              <w:ind w:firstLineChars="0"/>
              <w:rPr>
                <w:rFonts w:ascii="宋体" w:hAnsi="宋体" w:cs="宋体"/>
                <w:color w:val="auto"/>
                <w:sz w:val="24"/>
                <w:szCs w:val="24"/>
                <w:highlight w:val="none"/>
              </w:rPr>
            </w:pPr>
          </w:p>
        </w:tc>
        <w:tc>
          <w:tcPr>
            <w:tcW w:w="2307" w:type="dxa"/>
            <w:gridSpan w:val="2"/>
            <w:vAlign w:val="center"/>
          </w:tcPr>
          <w:p>
            <w:pPr>
              <w:pStyle w:val="26"/>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职业安全健康管理体系认证</w:t>
            </w:r>
          </w:p>
        </w:tc>
        <w:tc>
          <w:tcPr>
            <w:tcW w:w="2165" w:type="dxa"/>
            <w:gridSpan w:val="2"/>
            <w:vAlign w:val="center"/>
          </w:tcPr>
          <w:p>
            <w:pPr>
              <w:pStyle w:val="26"/>
              <w:numPr>
                <w:ilvl w:val="0"/>
                <w:numId w:val="4"/>
              </w:numPr>
              <w:spacing w:line="400" w:lineRule="exact"/>
              <w:ind w:firstLineChars="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58" w:type="dxa"/>
            <w:vAlign w:val="center"/>
          </w:tcPr>
          <w:p>
            <w:pPr>
              <w:pStyle w:val="26"/>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注册资金</w:t>
            </w:r>
          </w:p>
        </w:tc>
        <w:tc>
          <w:tcPr>
            <w:tcW w:w="2522" w:type="dxa"/>
            <w:gridSpan w:val="2"/>
            <w:vAlign w:val="center"/>
          </w:tcPr>
          <w:p>
            <w:pPr>
              <w:pStyle w:val="26"/>
              <w:numPr>
                <w:ilvl w:val="0"/>
                <w:numId w:val="4"/>
              </w:numPr>
              <w:spacing w:line="400" w:lineRule="exact"/>
              <w:ind w:firstLineChars="0"/>
              <w:rPr>
                <w:rFonts w:ascii="宋体" w:hAnsi="宋体" w:cs="宋体"/>
                <w:color w:val="auto"/>
                <w:sz w:val="24"/>
                <w:szCs w:val="24"/>
                <w:highlight w:val="none"/>
              </w:rPr>
            </w:pPr>
            <w:r>
              <w:rPr>
                <w:rFonts w:hint="eastAsia" w:ascii="宋体" w:hAnsi="宋体" w:cs="宋体"/>
                <w:color w:val="auto"/>
                <w:sz w:val="24"/>
                <w:szCs w:val="24"/>
                <w:highlight w:val="none"/>
              </w:rPr>
              <w:t>万元</w:t>
            </w:r>
          </w:p>
        </w:tc>
        <w:tc>
          <w:tcPr>
            <w:tcW w:w="2307" w:type="dxa"/>
            <w:gridSpan w:val="2"/>
            <w:vAlign w:val="center"/>
          </w:tcPr>
          <w:p>
            <w:pPr>
              <w:pStyle w:val="26"/>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固定资产净值</w:t>
            </w:r>
          </w:p>
        </w:tc>
        <w:tc>
          <w:tcPr>
            <w:tcW w:w="2165" w:type="dxa"/>
            <w:gridSpan w:val="2"/>
            <w:vAlign w:val="center"/>
          </w:tcPr>
          <w:p>
            <w:pPr>
              <w:pStyle w:val="26"/>
              <w:numPr>
                <w:ilvl w:val="0"/>
                <w:numId w:val="4"/>
              </w:numPr>
              <w:spacing w:line="400" w:lineRule="exact"/>
              <w:ind w:firstLineChars="0"/>
              <w:rPr>
                <w:rFonts w:ascii="宋体" w:hAnsi="宋体" w:cs="宋体"/>
                <w:color w:val="auto"/>
                <w:sz w:val="24"/>
                <w:szCs w:val="24"/>
                <w:highlight w:val="none"/>
              </w:rPr>
            </w:pPr>
            <w:r>
              <w:rPr>
                <w:rFonts w:hint="eastAsia" w:ascii="宋体" w:hAnsi="宋体" w:cs="宋体"/>
                <w:color w:val="auto"/>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58" w:type="dxa"/>
            <w:vAlign w:val="center"/>
          </w:tcPr>
          <w:p>
            <w:pPr>
              <w:pStyle w:val="26"/>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流动资产</w:t>
            </w:r>
          </w:p>
        </w:tc>
        <w:tc>
          <w:tcPr>
            <w:tcW w:w="2522" w:type="dxa"/>
            <w:gridSpan w:val="2"/>
            <w:vAlign w:val="center"/>
          </w:tcPr>
          <w:p>
            <w:pPr>
              <w:pStyle w:val="26"/>
              <w:numPr>
                <w:ilvl w:val="0"/>
                <w:numId w:val="4"/>
              </w:numPr>
              <w:spacing w:line="400" w:lineRule="exact"/>
              <w:ind w:firstLineChars="0"/>
              <w:rPr>
                <w:rFonts w:ascii="宋体" w:hAnsi="宋体" w:cs="宋体"/>
                <w:color w:val="auto"/>
                <w:sz w:val="24"/>
                <w:szCs w:val="24"/>
                <w:highlight w:val="none"/>
              </w:rPr>
            </w:pPr>
            <w:r>
              <w:rPr>
                <w:rFonts w:hint="eastAsia" w:ascii="宋体" w:hAnsi="宋体" w:cs="宋体"/>
                <w:color w:val="auto"/>
                <w:sz w:val="24"/>
                <w:szCs w:val="24"/>
                <w:highlight w:val="none"/>
              </w:rPr>
              <w:t>万元</w:t>
            </w:r>
          </w:p>
        </w:tc>
        <w:tc>
          <w:tcPr>
            <w:tcW w:w="2307" w:type="dxa"/>
            <w:gridSpan w:val="2"/>
            <w:vAlign w:val="center"/>
          </w:tcPr>
          <w:p>
            <w:pPr>
              <w:pStyle w:val="26"/>
              <w:numPr>
                <w:ilvl w:val="0"/>
                <w:numId w:val="4"/>
              </w:numPr>
              <w:spacing w:line="400" w:lineRule="exact"/>
              <w:ind w:firstLineChars="0"/>
              <w:rPr>
                <w:rFonts w:ascii="宋体" w:hAnsi="宋体" w:cs="宋体"/>
                <w:color w:val="auto"/>
                <w:sz w:val="24"/>
                <w:szCs w:val="24"/>
                <w:highlight w:val="none"/>
              </w:rPr>
            </w:pPr>
          </w:p>
        </w:tc>
        <w:tc>
          <w:tcPr>
            <w:tcW w:w="2165" w:type="dxa"/>
            <w:gridSpan w:val="2"/>
            <w:vAlign w:val="center"/>
          </w:tcPr>
          <w:p>
            <w:pPr>
              <w:pStyle w:val="26"/>
              <w:numPr>
                <w:ilvl w:val="0"/>
                <w:numId w:val="4"/>
              </w:numPr>
              <w:spacing w:line="400" w:lineRule="exact"/>
              <w:ind w:firstLineChars="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58" w:type="dxa"/>
            <w:vAlign w:val="center"/>
          </w:tcPr>
          <w:p>
            <w:pPr>
              <w:pStyle w:val="26"/>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开户银行</w:t>
            </w:r>
          </w:p>
        </w:tc>
        <w:tc>
          <w:tcPr>
            <w:tcW w:w="2522" w:type="dxa"/>
            <w:gridSpan w:val="2"/>
            <w:vAlign w:val="center"/>
          </w:tcPr>
          <w:p>
            <w:pPr>
              <w:pStyle w:val="26"/>
              <w:numPr>
                <w:ilvl w:val="0"/>
                <w:numId w:val="4"/>
              </w:numPr>
              <w:spacing w:line="400" w:lineRule="exact"/>
              <w:ind w:firstLineChars="0"/>
              <w:rPr>
                <w:rFonts w:ascii="宋体" w:hAnsi="宋体" w:cs="宋体"/>
                <w:color w:val="auto"/>
                <w:sz w:val="24"/>
                <w:szCs w:val="24"/>
                <w:highlight w:val="none"/>
              </w:rPr>
            </w:pPr>
          </w:p>
        </w:tc>
        <w:tc>
          <w:tcPr>
            <w:tcW w:w="2307" w:type="dxa"/>
            <w:gridSpan w:val="2"/>
            <w:vAlign w:val="center"/>
          </w:tcPr>
          <w:p>
            <w:pPr>
              <w:pStyle w:val="26"/>
              <w:spacing w:line="400" w:lineRule="exact"/>
              <w:ind w:firstLineChars="0"/>
              <w:jc w:val="both"/>
              <w:rPr>
                <w:rFonts w:ascii="宋体" w:hAnsi="宋体" w:cs="宋体"/>
                <w:color w:val="auto"/>
                <w:sz w:val="24"/>
                <w:szCs w:val="24"/>
                <w:highlight w:val="none"/>
              </w:rPr>
            </w:pPr>
            <w:r>
              <w:rPr>
                <w:rFonts w:hint="eastAsia" w:ascii="宋体" w:hAnsi="宋体" w:cs="宋体"/>
                <w:color w:val="auto"/>
                <w:sz w:val="24"/>
                <w:szCs w:val="24"/>
                <w:highlight w:val="none"/>
              </w:rPr>
              <w:t>帐号</w:t>
            </w:r>
          </w:p>
        </w:tc>
        <w:tc>
          <w:tcPr>
            <w:tcW w:w="2165" w:type="dxa"/>
            <w:gridSpan w:val="2"/>
            <w:vAlign w:val="center"/>
          </w:tcPr>
          <w:p>
            <w:pPr>
              <w:pStyle w:val="26"/>
              <w:numPr>
                <w:ilvl w:val="0"/>
                <w:numId w:val="4"/>
              </w:numPr>
              <w:spacing w:line="400" w:lineRule="exact"/>
              <w:ind w:firstLineChars="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8652" w:type="dxa"/>
            <w:gridSpan w:val="7"/>
            <w:vAlign w:val="center"/>
          </w:tcPr>
          <w:p>
            <w:pPr>
              <w:pStyle w:val="26"/>
              <w:spacing w:line="400" w:lineRule="exact"/>
              <w:ind w:firstLineChars="0"/>
              <w:rPr>
                <w:rFonts w:ascii="宋体" w:hAnsi="宋体" w:cs="宋体"/>
                <w:color w:val="auto"/>
                <w:sz w:val="24"/>
                <w:szCs w:val="24"/>
                <w:highlight w:val="none"/>
              </w:rPr>
            </w:pPr>
            <w:r>
              <w:rPr>
                <w:rFonts w:hint="eastAsia" w:ascii="宋体" w:hAnsi="宋体" w:cs="宋体"/>
                <w:color w:val="auto"/>
                <w:sz w:val="24"/>
                <w:szCs w:val="24"/>
                <w:highlight w:val="none"/>
              </w:rPr>
              <w:t>总人数人，其中：具有高级职称的人，中级职称的人。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1658" w:type="dxa"/>
            <w:vAlign w:val="center"/>
          </w:tcPr>
          <w:p>
            <w:pPr>
              <w:pStyle w:val="26"/>
              <w:spacing w:line="400" w:lineRule="exact"/>
              <w:ind w:firstLineChars="0"/>
              <w:rPr>
                <w:rFonts w:ascii="宋体" w:hAnsi="宋体" w:cs="宋体"/>
                <w:color w:val="auto"/>
                <w:sz w:val="24"/>
                <w:szCs w:val="24"/>
                <w:highlight w:val="none"/>
              </w:rPr>
            </w:pPr>
            <w:r>
              <w:rPr>
                <w:rFonts w:hint="eastAsia" w:ascii="宋体" w:hAnsi="宋体" w:cs="宋体"/>
                <w:color w:val="auto"/>
                <w:sz w:val="24"/>
                <w:szCs w:val="24"/>
                <w:highlight w:val="none"/>
              </w:rPr>
              <w:t>经营范围</w:t>
            </w:r>
          </w:p>
        </w:tc>
        <w:tc>
          <w:tcPr>
            <w:tcW w:w="6994" w:type="dxa"/>
            <w:gridSpan w:val="6"/>
            <w:vAlign w:val="center"/>
          </w:tcPr>
          <w:p>
            <w:pPr>
              <w:pStyle w:val="26"/>
              <w:numPr>
                <w:ilvl w:val="0"/>
                <w:numId w:val="4"/>
              </w:numPr>
              <w:spacing w:line="400" w:lineRule="exact"/>
              <w:ind w:firstLineChars="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658" w:type="dxa"/>
            <w:vAlign w:val="center"/>
          </w:tcPr>
          <w:p>
            <w:pPr>
              <w:pStyle w:val="26"/>
              <w:spacing w:line="400" w:lineRule="exact"/>
              <w:ind w:firstLineChars="0"/>
              <w:rPr>
                <w:rFonts w:ascii="宋体" w:hAnsi="宋体" w:cs="宋体"/>
                <w:color w:val="auto"/>
                <w:sz w:val="24"/>
                <w:szCs w:val="24"/>
                <w:highlight w:val="none"/>
              </w:rPr>
            </w:pPr>
            <w:r>
              <w:rPr>
                <w:rFonts w:hint="eastAsia" w:ascii="宋体" w:hAnsi="宋体" w:cs="宋体"/>
                <w:color w:val="auto"/>
                <w:sz w:val="24"/>
                <w:szCs w:val="24"/>
                <w:highlight w:val="none"/>
              </w:rPr>
              <w:t>资质范围</w:t>
            </w:r>
          </w:p>
        </w:tc>
        <w:tc>
          <w:tcPr>
            <w:tcW w:w="6994" w:type="dxa"/>
            <w:gridSpan w:val="6"/>
            <w:vAlign w:val="center"/>
          </w:tcPr>
          <w:p>
            <w:pPr>
              <w:pStyle w:val="26"/>
              <w:numPr>
                <w:ilvl w:val="0"/>
                <w:numId w:val="4"/>
              </w:numPr>
              <w:spacing w:line="400" w:lineRule="exact"/>
              <w:ind w:firstLineChars="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658" w:type="dxa"/>
            <w:vAlign w:val="center"/>
          </w:tcPr>
          <w:p>
            <w:pPr>
              <w:pStyle w:val="26"/>
              <w:spacing w:line="400" w:lineRule="exact"/>
              <w:ind w:firstLineChars="0"/>
              <w:rPr>
                <w:rFonts w:ascii="宋体" w:hAnsi="宋体" w:cs="宋体"/>
                <w:color w:val="auto"/>
                <w:sz w:val="24"/>
                <w:szCs w:val="24"/>
                <w:highlight w:val="none"/>
              </w:rPr>
            </w:pPr>
            <w:r>
              <w:rPr>
                <w:rFonts w:hint="eastAsia" w:ascii="宋体" w:hAnsi="宋体" w:cs="宋体"/>
                <w:color w:val="auto"/>
                <w:sz w:val="24"/>
                <w:szCs w:val="24"/>
                <w:highlight w:val="none"/>
              </w:rPr>
              <w:t>备  注</w:t>
            </w:r>
          </w:p>
        </w:tc>
        <w:tc>
          <w:tcPr>
            <w:tcW w:w="6994" w:type="dxa"/>
            <w:gridSpan w:val="6"/>
            <w:vAlign w:val="center"/>
          </w:tcPr>
          <w:p>
            <w:pPr>
              <w:pStyle w:val="26"/>
              <w:numPr>
                <w:ilvl w:val="0"/>
                <w:numId w:val="4"/>
              </w:numPr>
              <w:spacing w:line="400" w:lineRule="exact"/>
              <w:ind w:firstLineChars="0"/>
              <w:rPr>
                <w:rFonts w:ascii="宋体" w:hAnsi="宋体" w:cs="宋体"/>
                <w:color w:val="auto"/>
                <w:sz w:val="24"/>
                <w:szCs w:val="24"/>
                <w:highlight w:val="none"/>
              </w:rPr>
            </w:pPr>
          </w:p>
        </w:tc>
      </w:tr>
    </w:tbl>
    <w:p>
      <w:pPr>
        <w:autoSpaceDE w:val="0"/>
        <w:autoSpaceDN w:val="0"/>
        <w:adjustRightInd w:val="0"/>
        <w:snapToGrid w:val="0"/>
        <w:spacing w:line="400" w:lineRule="exact"/>
        <w:ind w:firstLine="472" w:firstLineChars="196"/>
        <w:rPr>
          <w:rFonts w:ascii="宋体" w:hAnsi="宋体" w:cs="宋体"/>
          <w:b/>
          <w:color w:val="auto"/>
          <w:sz w:val="24"/>
          <w:szCs w:val="24"/>
          <w:highlight w:val="none"/>
        </w:rPr>
      </w:pPr>
    </w:p>
    <w:p>
      <w:pPr>
        <w:adjustRightInd w:val="0"/>
        <w:snapToGrid w:val="0"/>
        <w:spacing w:line="400" w:lineRule="exact"/>
        <w:ind w:left="-4" w:leftChars="-2" w:right="-817" w:rightChars="-389" w:firstLine="2"/>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名称（盖章）：</w:t>
      </w:r>
    </w:p>
    <w:p>
      <w:pPr>
        <w:adjustRightInd w:val="0"/>
        <w:snapToGrid w:val="0"/>
        <w:spacing w:line="400" w:lineRule="exact"/>
        <w:ind w:left="-4" w:leftChars="-2" w:right="-817" w:rightChars="-389" w:firstLine="2"/>
        <w:rPr>
          <w:rFonts w:ascii="宋体" w:hAnsi="宋体" w:cs="宋体"/>
          <w:color w:val="auto"/>
          <w:sz w:val="24"/>
          <w:szCs w:val="24"/>
          <w:highlight w:val="none"/>
        </w:rPr>
      </w:pPr>
      <w:r>
        <w:rPr>
          <w:rFonts w:hint="eastAsia" w:ascii="宋体" w:hAnsi="宋体" w:cs="宋体"/>
          <w:color w:val="auto"/>
          <w:sz w:val="24"/>
          <w:szCs w:val="24"/>
          <w:highlight w:val="none"/>
        </w:rPr>
        <w:t>法定代表人（负责人、自然人）或授权代表（签字）：</w:t>
      </w:r>
    </w:p>
    <w:p>
      <w:pPr>
        <w:adjustRightInd w:val="0"/>
        <w:snapToGrid w:val="0"/>
        <w:spacing w:line="400" w:lineRule="exact"/>
        <w:ind w:left="-2" w:leftChars="-1" w:right="-817" w:rightChars="-389" w:firstLine="2"/>
        <w:jc w:val="left"/>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pPr>
        <w:adjustRightInd w:val="0"/>
        <w:snapToGrid w:val="0"/>
        <w:spacing w:line="400" w:lineRule="exact"/>
        <w:jc w:val="left"/>
        <w:rPr>
          <w:rFonts w:ascii="宋体" w:hAnsi="宋体" w:cs="宋体"/>
          <w:b/>
          <w:sz w:val="24"/>
          <w:szCs w:val="24"/>
          <w:highlight w:val="none"/>
        </w:rPr>
      </w:pPr>
      <w:r>
        <w:rPr>
          <w:rFonts w:hint="eastAsia" w:ascii="宋体" w:hAnsi="宋体" w:cs="宋体"/>
          <w:b/>
          <w:sz w:val="24"/>
          <w:szCs w:val="24"/>
          <w:highlight w:val="none"/>
        </w:rPr>
        <w:br w:type="page"/>
      </w:r>
    </w:p>
    <w:p>
      <w:pPr>
        <w:adjustRightInd w:val="0"/>
        <w:snapToGrid w:val="0"/>
        <w:spacing w:line="400" w:lineRule="exact"/>
        <w:jc w:val="left"/>
        <w:rPr>
          <w:rFonts w:ascii="宋体" w:hAnsi="宋体" w:cs="宋体"/>
          <w:b/>
          <w:color w:val="auto"/>
          <w:sz w:val="24"/>
          <w:szCs w:val="24"/>
          <w:highlight w:val="none"/>
        </w:rPr>
      </w:pPr>
      <w:r>
        <w:rPr>
          <w:rFonts w:hint="eastAsia" w:ascii="宋体" w:hAnsi="宋体" w:cs="宋体"/>
          <w:b/>
          <w:color w:val="auto"/>
          <w:sz w:val="24"/>
          <w:szCs w:val="24"/>
          <w:highlight w:val="none"/>
        </w:rPr>
        <w:t>5、财务状况报告</w:t>
      </w:r>
    </w:p>
    <w:p>
      <w:pPr>
        <w:adjustRightInd w:val="0"/>
        <w:snapToGrid w:val="0"/>
        <w:spacing w:line="400" w:lineRule="exact"/>
        <w:jc w:val="left"/>
        <w:rPr>
          <w:rFonts w:ascii="宋体" w:hAnsi="宋体" w:cs="宋体"/>
          <w:b w:val="0"/>
          <w:bCs/>
          <w:color w:val="auto"/>
          <w:sz w:val="24"/>
          <w:szCs w:val="24"/>
          <w:highlight w:val="none"/>
        </w:rPr>
      </w:pPr>
      <w:r>
        <w:rPr>
          <w:rFonts w:hint="eastAsia" w:ascii="宋体" w:hAnsi="宋体" w:cs="宋体"/>
          <w:b w:val="0"/>
          <w:bCs/>
          <w:color w:val="auto"/>
          <w:sz w:val="24"/>
          <w:szCs w:val="24"/>
          <w:highlight w:val="none"/>
          <w:lang w:val="en-US" w:eastAsia="zh-CN"/>
        </w:rPr>
        <w:t xml:space="preserve">应提供本单位2022年度或2023年度经会计师事务所出具的审计报告复印件（报告中须包括资产负债表、利润表、现金流量表及财务报表附注）。如供应商注册不满1年则提供具有良好的商业信誉和健全的财务会计制度承诺函； </w:t>
      </w:r>
    </w:p>
    <w:p>
      <w:pPr>
        <w:adjustRightInd w:val="0"/>
        <w:snapToGrid w:val="0"/>
        <w:spacing w:line="400" w:lineRule="exact"/>
        <w:jc w:val="left"/>
        <w:rPr>
          <w:rFonts w:ascii="宋体" w:hAnsi="宋体" w:cs="宋体"/>
          <w:b/>
          <w:color w:val="auto"/>
          <w:sz w:val="24"/>
          <w:szCs w:val="24"/>
          <w:highlight w:val="none"/>
        </w:rPr>
      </w:pPr>
    </w:p>
    <w:p>
      <w:pPr>
        <w:adjustRightInd w:val="0"/>
        <w:snapToGrid w:val="0"/>
        <w:spacing w:line="400" w:lineRule="exact"/>
        <w:jc w:val="left"/>
        <w:rPr>
          <w:rFonts w:ascii="宋体" w:hAnsi="宋体" w:cs="宋体"/>
          <w:b/>
          <w:color w:val="auto"/>
          <w:sz w:val="24"/>
          <w:szCs w:val="24"/>
          <w:highlight w:val="none"/>
        </w:rPr>
      </w:pPr>
      <w:r>
        <w:rPr>
          <w:rFonts w:hint="eastAsia" w:ascii="宋体" w:hAnsi="宋体" w:cs="宋体"/>
          <w:b/>
          <w:color w:val="auto"/>
          <w:sz w:val="24"/>
          <w:szCs w:val="24"/>
          <w:highlight w:val="none"/>
        </w:rPr>
        <w:t>6、</w:t>
      </w: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须具有履行合同所必需的设备和专业技术能力，须附相关证明材料或声明：</w:t>
      </w:r>
    </w:p>
    <w:p>
      <w:pPr>
        <w:pStyle w:val="27"/>
        <w:autoSpaceDE w:val="0"/>
        <w:autoSpaceDN w:val="0"/>
        <w:adjustRightInd w:val="0"/>
        <w:snapToGrid w:val="0"/>
        <w:spacing w:line="400" w:lineRule="exact"/>
        <w:ind w:firstLine="115" w:firstLineChars="50"/>
        <w:jc w:val="left"/>
        <w:rPr>
          <w:rFonts w:ascii="宋体" w:hAnsi="宋体" w:cs="宋体"/>
          <w:color w:val="auto"/>
          <w:kern w:val="0"/>
          <w:sz w:val="23"/>
          <w:szCs w:val="23"/>
          <w:highlight w:val="none"/>
        </w:rPr>
      </w:pPr>
      <w:r>
        <w:rPr>
          <w:rFonts w:hint="eastAsia" w:ascii="宋体" w:hAnsi="宋体" w:cs="宋体"/>
          <w:color w:val="auto"/>
          <w:kern w:val="0"/>
          <w:sz w:val="23"/>
          <w:szCs w:val="23"/>
          <w:highlight w:val="none"/>
        </w:rPr>
        <w:t>格式：</w:t>
      </w:r>
    </w:p>
    <w:p>
      <w:pPr>
        <w:pStyle w:val="27"/>
        <w:autoSpaceDE w:val="0"/>
        <w:autoSpaceDN w:val="0"/>
        <w:adjustRightInd w:val="0"/>
        <w:snapToGrid w:val="0"/>
        <w:spacing w:line="400" w:lineRule="exact"/>
        <w:ind w:firstLine="115" w:firstLineChars="50"/>
        <w:jc w:val="center"/>
        <w:rPr>
          <w:rFonts w:ascii="宋体" w:hAnsi="宋体" w:cs="宋体"/>
          <w:color w:val="auto"/>
          <w:kern w:val="0"/>
          <w:sz w:val="23"/>
          <w:szCs w:val="23"/>
          <w:highlight w:val="none"/>
        </w:rPr>
      </w:pPr>
      <w:r>
        <w:rPr>
          <w:rFonts w:hint="eastAsia" w:ascii="宋体" w:hAnsi="宋体" w:cs="宋体"/>
          <w:color w:val="auto"/>
          <w:kern w:val="0"/>
          <w:sz w:val="23"/>
          <w:szCs w:val="23"/>
          <w:highlight w:val="none"/>
        </w:rPr>
        <w:t>本</w:t>
      </w:r>
      <w:r>
        <w:rPr>
          <w:rFonts w:hint="eastAsia" w:ascii="宋体" w:hAnsi="宋体" w:cs="宋体"/>
          <w:color w:val="auto"/>
          <w:kern w:val="0"/>
          <w:sz w:val="23"/>
          <w:szCs w:val="23"/>
          <w:highlight w:val="none"/>
          <w:lang w:eastAsia="zh-CN"/>
        </w:rPr>
        <w:t>供应商</w:t>
      </w:r>
      <w:r>
        <w:rPr>
          <w:rFonts w:hint="eastAsia" w:ascii="宋体" w:hAnsi="宋体" w:cs="宋体"/>
          <w:color w:val="auto"/>
          <w:kern w:val="0"/>
          <w:sz w:val="23"/>
          <w:szCs w:val="23"/>
          <w:highlight w:val="none"/>
        </w:rPr>
        <w:t>郑重声明：</w:t>
      </w:r>
    </w:p>
    <w:p>
      <w:pPr>
        <w:pStyle w:val="27"/>
        <w:autoSpaceDE w:val="0"/>
        <w:autoSpaceDN w:val="0"/>
        <w:adjustRightInd w:val="0"/>
        <w:snapToGrid w:val="0"/>
        <w:spacing w:line="400" w:lineRule="exact"/>
        <w:ind w:firstLine="230" w:firstLineChars="100"/>
        <w:jc w:val="left"/>
        <w:rPr>
          <w:rFonts w:ascii="宋体" w:hAnsi="宋体" w:cs="宋体"/>
          <w:color w:val="auto"/>
          <w:kern w:val="0"/>
          <w:sz w:val="23"/>
          <w:szCs w:val="23"/>
          <w:highlight w:val="none"/>
        </w:rPr>
      </w:pPr>
      <w:r>
        <w:rPr>
          <w:rFonts w:hint="eastAsia" w:ascii="宋体" w:hAnsi="宋体" w:cs="宋体"/>
          <w:color w:val="auto"/>
          <w:kern w:val="0"/>
          <w:sz w:val="23"/>
          <w:szCs w:val="23"/>
          <w:highlight w:val="none"/>
        </w:rPr>
        <w:t xml:space="preserve">本公司（或单位）具备本项目履行合同所必需的设备和专业技术能力，特此承诺。 </w:t>
      </w:r>
    </w:p>
    <w:p>
      <w:pPr>
        <w:pStyle w:val="27"/>
        <w:autoSpaceDE w:val="0"/>
        <w:autoSpaceDN w:val="0"/>
        <w:adjustRightInd w:val="0"/>
        <w:snapToGrid w:val="0"/>
        <w:spacing w:line="400" w:lineRule="exact"/>
        <w:ind w:firstLine="115" w:firstLineChars="50"/>
        <w:jc w:val="left"/>
        <w:rPr>
          <w:rFonts w:ascii="宋体" w:hAnsi="宋体" w:cs="宋体"/>
          <w:color w:val="auto"/>
          <w:kern w:val="0"/>
          <w:sz w:val="23"/>
          <w:szCs w:val="23"/>
          <w:highlight w:val="none"/>
        </w:rPr>
      </w:pPr>
      <w:r>
        <w:rPr>
          <w:rFonts w:hint="eastAsia" w:ascii="宋体" w:hAnsi="宋体" w:cs="宋体"/>
          <w:color w:val="auto"/>
          <w:kern w:val="0"/>
          <w:sz w:val="23"/>
          <w:szCs w:val="23"/>
          <w:highlight w:val="none"/>
        </w:rPr>
        <w:t xml:space="preserve">被授权人签字： </w:t>
      </w:r>
    </w:p>
    <w:p>
      <w:pPr>
        <w:pStyle w:val="27"/>
        <w:autoSpaceDE w:val="0"/>
        <w:autoSpaceDN w:val="0"/>
        <w:adjustRightInd w:val="0"/>
        <w:snapToGrid w:val="0"/>
        <w:spacing w:line="400" w:lineRule="exact"/>
        <w:ind w:firstLine="115" w:firstLineChars="50"/>
        <w:jc w:val="left"/>
        <w:rPr>
          <w:rFonts w:ascii="宋体" w:hAnsi="宋体" w:cs="宋体"/>
          <w:color w:val="auto"/>
          <w:kern w:val="0"/>
          <w:sz w:val="23"/>
          <w:szCs w:val="23"/>
          <w:highlight w:val="none"/>
        </w:rPr>
      </w:pPr>
      <w:r>
        <w:rPr>
          <w:rFonts w:hint="eastAsia" w:ascii="宋体" w:hAnsi="宋体" w:cs="宋体"/>
          <w:color w:val="auto"/>
          <w:kern w:val="0"/>
          <w:sz w:val="23"/>
          <w:szCs w:val="23"/>
          <w:highlight w:val="none"/>
          <w:lang w:eastAsia="zh-CN"/>
        </w:rPr>
        <w:t>供应商</w:t>
      </w:r>
      <w:r>
        <w:rPr>
          <w:rFonts w:hint="eastAsia" w:ascii="宋体" w:hAnsi="宋体" w:cs="宋体"/>
          <w:color w:val="auto"/>
          <w:kern w:val="0"/>
          <w:sz w:val="23"/>
          <w:szCs w:val="23"/>
          <w:highlight w:val="none"/>
        </w:rPr>
        <w:t>名称（加盖公章）：</w:t>
      </w:r>
    </w:p>
    <w:p>
      <w:pPr>
        <w:pStyle w:val="27"/>
        <w:autoSpaceDE w:val="0"/>
        <w:autoSpaceDN w:val="0"/>
        <w:adjustRightInd w:val="0"/>
        <w:snapToGrid w:val="0"/>
        <w:spacing w:line="400" w:lineRule="exact"/>
        <w:ind w:firstLine="115" w:firstLineChars="50"/>
        <w:rPr>
          <w:rFonts w:ascii="宋体" w:hAnsi="宋体" w:cs="宋体"/>
          <w:color w:val="auto"/>
          <w:kern w:val="0"/>
          <w:sz w:val="23"/>
          <w:szCs w:val="23"/>
          <w:highlight w:val="none"/>
        </w:rPr>
      </w:pPr>
      <w:r>
        <w:rPr>
          <w:rFonts w:hint="eastAsia" w:ascii="宋体" w:hAnsi="宋体" w:cs="宋体"/>
          <w:color w:val="auto"/>
          <w:kern w:val="0"/>
          <w:sz w:val="23"/>
          <w:szCs w:val="23"/>
          <w:highlight w:val="none"/>
        </w:rPr>
        <w:t xml:space="preserve">年 月 日 </w:t>
      </w:r>
    </w:p>
    <w:p>
      <w:pPr>
        <w:adjustRightInd w:val="0"/>
        <w:snapToGrid w:val="0"/>
        <w:spacing w:line="400" w:lineRule="exact"/>
        <w:jc w:val="left"/>
        <w:rPr>
          <w:rFonts w:ascii="宋体" w:hAnsi="宋体" w:cs="宋体"/>
          <w:b/>
          <w:color w:val="auto"/>
          <w:sz w:val="24"/>
          <w:szCs w:val="24"/>
          <w:highlight w:val="none"/>
        </w:rPr>
      </w:pPr>
    </w:p>
    <w:p>
      <w:pPr>
        <w:adjustRightInd w:val="0"/>
        <w:snapToGrid w:val="0"/>
        <w:spacing w:line="400" w:lineRule="exact"/>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7</w:t>
      </w:r>
      <w:r>
        <w:rPr>
          <w:rFonts w:hint="eastAsia" w:ascii="宋体" w:hAnsi="宋体" w:cs="宋体"/>
          <w:b/>
          <w:color w:val="auto"/>
          <w:sz w:val="24"/>
          <w:szCs w:val="24"/>
          <w:highlight w:val="none"/>
        </w:rPr>
        <w:t>、依法缴纳税收和社会保障资金的良好记录</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缴纳税收的证明材料，指</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缴纳增值税和企业所得税两种缴纳凭据；本项目</w:t>
      </w:r>
      <w:r>
        <w:rPr>
          <w:rFonts w:hint="eastAsia" w:ascii="宋体" w:hAnsi="宋体" w:cs="宋体"/>
          <w:color w:val="auto"/>
          <w:sz w:val="24"/>
          <w:szCs w:val="24"/>
          <w:highlight w:val="none"/>
          <w:lang w:eastAsia="zh-CN"/>
        </w:rPr>
        <w:t>开标</w:t>
      </w:r>
      <w:r>
        <w:rPr>
          <w:rFonts w:hint="eastAsia" w:ascii="宋体" w:hAnsi="宋体" w:cs="宋体"/>
          <w:color w:val="auto"/>
          <w:sz w:val="24"/>
          <w:szCs w:val="24"/>
          <w:highlight w:val="none"/>
        </w:rPr>
        <w:t xml:space="preserve">前6个月内（至少提供1个月）缴纳税收的凭据（完税证、缴款书、印花税票、银行代扣（代缴）转账凭证等均可）； </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依法缴纳社会保障资金的证明材料：本项目</w:t>
      </w:r>
      <w:r>
        <w:rPr>
          <w:rFonts w:hint="eastAsia" w:ascii="宋体" w:hAnsi="宋体" w:cs="宋体"/>
          <w:color w:val="auto"/>
          <w:sz w:val="24"/>
          <w:szCs w:val="24"/>
          <w:highlight w:val="none"/>
          <w:lang w:eastAsia="zh-CN"/>
        </w:rPr>
        <w:t>开标</w:t>
      </w:r>
      <w:r>
        <w:rPr>
          <w:rFonts w:hint="eastAsia" w:ascii="宋体" w:hAnsi="宋体" w:cs="宋体"/>
          <w:color w:val="auto"/>
          <w:sz w:val="24"/>
          <w:szCs w:val="24"/>
          <w:highlight w:val="none"/>
        </w:rPr>
        <w:t xml:space="preserve">前 6个月内（至少提供1个月）缴纳社会保险的凭据（专用收据或社会保险交纳清单）； </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为其他组织或自然人的，也需要按此项规定提供缴纳税收的凭据和交纳社会保险的凭据。如</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的社会保险为委托第三方代缴，还需同时提供</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与第三方服务机构签署的服务合同（合同中应明确写明第三方为</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代缴其社会保险）。</w:t>
      </w:r>
    </w:p>
    <w:p>
      <w:pPr>
        <w:rPr>
          <w:rFonts w:ascii="宋体" w:hAnsi="宋体" w:cs="宋体"/>
          <w:b/>
          <w:sz w:val="24"/>
          <w:szCs w:val="24"/>
          <w:highlight w:val="none"/>
        </w:rPr>
      </w:pPr>
      <w:r>
        <w:rPr>
          <w:rFonts w:hint="eastAsia" w:ascii="宋体" w:hAnsi="宋体" w:cs="宋体"/>
          <w:b/>
          <w:sz w:val="24"/>
          <w:szCs w:val="24"/>
          <w:highlight w:val="none"/>
        </w:rPr>
        <w:br w:type="page"/>
      </w:r>
    </w:p>
    <w:p>
      <w:pPr>
        <w:adjustRightInd w:val="0"/>
        <w:snapToGrid w:val="0"/>
        <w:spacing w:line="400" w:lineRule="exact"/>
        <w:jc w:val="left"/>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8</w:t>
      </w:r>
      <w:r>
        <w:rPr>
          <w:rFonts w:hint="eastAsia" w:ascii="宋体" w:hAnsi="宋体" w:cs="宋体"/>
          <w:b/>
          <w:color w:val="auto"/>
          <w:sz w:val="24"/>
          <w:szCs w:val="24"/>
          <w:highlight w:val="none"/>
        </w:rPr>
        <w:t>、前三年内在经营活动中没有重大违法记录的书面声明：</w:t>
      </w:r>
    </w:p>
    <w:p>
      <w:pPr>
        <w:pStyle w:val="27"/>
        <w:adjustRightInd w:val="0"/>
        <w:snapToGrid w:val="0"/>
        <w:spacing w:line="400" w:lineRule="exac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格式：</w:t>
      </w:r>
    </w:p>
    <w:p>
      <w:pPr>
        <w:pStyle w:val="27"/>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（采购人）         </w:t>
      </w:r>
      <w:r>
        <w:rPr>
          <w:rFonts w:hint="eastAsia" w:ascii="宋体" w:hAnsi="宋体" w:cs="宋体"/>
          <w:color w:val="auto"/>
          <w:sz w:val="24"/>
          <w:szCs w:val="24"/>
          <w:highlight w:val="none"/>
        </w:rPr>
        <w:t>：</w:t>
      </w:r>
    </w:p>
    <w:p>
      <w:pPr>
        <w:pStyle w:val="27"/>
        <w:adjustRightInd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我单位参与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项目名称、编号）投标，并郑重声明，我方参加本项目政府采购活动前三年内无重大违法记录，符合《中华人民共和国政府采购法》规定的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条件。若贵方在本项目采购过程中发现我方政府采购活动前三年内有重大违法记录，我方将无条件退出本项目的投标，并承担因此引起的一切后果。我方对此声明负全部法律责任。</w:t>
      </w:r>
    </w:p>
    <w:p>
      <w:pPr>
        <w:pStyle w:val="27"/>
        <w:adjustRightInd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特此声明  </w:t>
      </w:r>
    </w:p>
    <w:p>
      <w:pPr>
        <w:pStyle w:val="27"/>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（盖单位章）：</w:t>
      </w:r>
    </w:p>
    <w:p>
      <w:pPr>
        <w:pStyle w:val="27"/>
        <w:adjustRightInd w:val="0"/>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法定代表人（负责人、自然人）或其委托代理人签字：</w:t>
      </w:r>
    </w:p>
    <w:p>
      <w:pPr>
        <w:adjustRightInd w:val="0"/>
        <w:snapToGrid w:val="0"/>
        <w:spacing w:line="400" w:lineRule="exact"/>
        <w:jc w:val="left"/>
        <w:rPr>
          <w:rFonts w:ascii="宋体" w:hAnsi="宋体" w:cs="宋体"/>
          <w:b/>
          <w:color w:val="auto"/>
          <w:sz w:val="24"/>
          <w:szCs w:val="24"/>
          <w:highlight w:val="none"/>
        </w:rPr>
      </w:pPr>
    </w:p>
    <w:p>
      <w:pPr>
        <w:adjustRightInd w:val="0"/>
        <w:snapToGrid w:val="0"/>
        <w:spacing w:line="400" w:lineRule="exact"/>
        <w:jc w:val="left"/>
        <w:rPr>
          <w:rFonts w:ascii="宋体" w:hAnsi="宋体" w:cs="宋体"/>
          <w:b/>
          <w:color w:val="auto"/>
          <w:sz w:val="24"/>
          <w:szCs w:val="24"/>
          <w:highlight w:val="none"/>
        </w:rPr>
      </w:pPr>
      <w:r>
        <w:rPr>
          <w:rFonts w:hint="eastAsia" w:ascii="宋体" w:hAnsi="宋体" w:cs="宋体"/>
          <w:b/>
          <w:color w:val="auto"/>
          <w:sz w:val="24"/>
          <w:szCs w:val="24"/>
          <w:highlight w:val="none"/>
        </w:rPr>
        <w:t>9、拒绝列入失信被执行人、</w:t>
      </w:r>
      <w:r>
        <w:rPr>
          <w:rFonts w:hint="eastAsia" w:ascii="宋体" w:hAnsi="宋体" w:cs="宋体"/>
          <w:b/>
          <w:color w:val="auto"/>
          <w:sz w:val="24"/>
          <w:szCs w:val="24"/>
          <w:highlight w:val="none"/>
          <w:lang w:eastAsia="zh-CN"/>
        </w:rPr>
        <w:t>重大税收违法失信主体</w:t>
      </w:r>
      <w:r>
        <w:rPr>
          <w:rFonts w:hint="eastAsia" w:ascii="宋体" w:hAnsi="宋体" w:cs="宋体"/>
          <w:b/>
          <w:color w:val="auto"/>
          <w:sz w:val="24"/>
          <w:szCs w:val="24"/>
          <w:highlight w:val="none"/>
        </w:rPr>
        <w:t>、政府采购严重违法失信行为记录名单及及其他不符合规定条件的</w:t>
      </w: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未被列入“信用中国”网站(www.creditchina.gov.cn)“记录失信被执行人或</w:t>
      </w:r>
      <w:r>
        <w:rPr>
          <w:rFonts w:hint="eastAsia" w:ascii="宋体" w:hAnsi="宋体" w:cs="宋体"/>
          <w:b/>
          <w:color w:val="auto"/>
          <w:sz w:val="24"/>
          <w:szCs w:val="24"/>
          <w:highlight w:val="none"/>
          <w:lang w:eastAsia="zh-CN"/>
        </w:rPr>
        <w:t>重大税收违法失信主体</w:t>
      </w:r>
      <w:r>
        <w:rPr>
          <w:rFonts w:hint="eastAsia" w:ascii="宋体" w:hAnsi="宋体" w:cs="宋体"/>
          <w:b/>
          <w:color w:val="auto"/>
          <w:sz w:val="24"/>
          <w:szCs w:val="24"/>
          <w:highlight w:val="none"/>
        </w:rPr>
        <w:t>或政府采购严重违法失信行为”记录名单；未处于中国政府采购网(www.ccgp.gov.cn)“政府采购严重违法失信行为信息记录”中的禁止参加政府采购活动期间（以采购代理机构于开标当天在“信用中国”网站（www.creditchina.gov.cn）及中国政府采购网(www.ccgp.gov.cn)查询结果为准，如相关失信记录已失效，</w:t>
      </w: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需提供相关证明资料）。</w:t>
      </w:r>
    </w:p>
    <w:p>
      <w:pPr>
        <w:adjustRightInd w:val="0"/>
        <w:snapToGrid w:val="0"/>
        <w:spacing w:line="400" w:lineRule="exact"/>
        <w:jc w:val="left"/>
        <w:rPr>
          <w:rFonts w:hint="eastAsia" w:ascii="宋体" w:hAnsi="宋体" w:cs="宋体"/>
          <w:b/>
          <w:color w:val="auto"/>
          <w:sz w:val="24"/>
          <w:szCs w:val="24"/>
          <w:highlight w:val="none"/>
        </w:rPr>
      </w:pPr>
    </w:p>
    <w:p>
      <w:pPr>
        <w:adjustRightInd w:val="0"/>
        <w:snapToGrid w:val="0"/>
        <w:spacing w:line="400" w:lineRule="exact"/>
        <w:jc w:val="left"/>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10</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已取得的各种有效认证证书、政府部门（企业）或第三方权威鉴定机构出具的信用等级证书或证明复印件 (如有)。</w:t>
      </w:r>
    </w:p>
    <w:p>
      <w:pPr>
        <w:adjustRightInd w:val="0"/>
        <w:snapToGrid w:val="0"/>
        <w:spacing w:line="400" w:lineRule="exact"/>
        <w:jc w:val="left"/>
        <w:rPr>
          <w:rFonts w:ascii="宋体" w:hAnsi="宋体" w:cs="宋体"/>
          <w:b/>
          <w:color w:val="auto"/>
          <w:sz w:val="24"/>
          <w:szCs w:val="24"/>
          <w:highlight w:val="none"/>
        </w:rPr>
      </w:pPr>
    </w:p>
    <w:p>
      <w:pPr>
        <w:widowControl/>
        <w:snapToGrid w:val="0"/>
        <w:spacing w:line="400" w:lineRule="exact"/>
        <w:jc w:val="left"/>
        <w:rPr>
          <w:rFonts w:ascii="宋体" w:hAnsi="宋体" w:cs="宋体"/>
          <w:b/>
          <w:bCs/>
          <w:color w:val="auto"/>
          <w:sz w:val="24"/>
          <w:szCs w:val="24"/>
          <w:highlight w:val="none"/>
        </w:rPr>
      </w:pPr>
    </w:p>
    <w:p>
      <w:pPr>
        <w:adjustRightInd w:val="0"/>
        <w:snapToGrid w:val="0"/>
        <w:spacing w:line="400" w:lineRule="exact"/>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11</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val="en-US" w:eastAsia="zh-CN"/>
        </w:rPr>
        <w:t>2021</w:t>
      </w:r>
      <w:r>
        <w:rPr>
          <w:rFonts w:hint="eastAsia" w:ascii="宋体" w:hAnsi="宋体" w:cs="宋体"/>
          <w:b/>
          <w:color w:val="auto"/>
          <w:sz w:val="24"/>
          <w:szCs w:val="24"/>
          <w:highlight w:val="none"/>
          <w:lang w:eastAsia="zh-CN"/>
        </w:rPr>
        <w:t>年</w:t>
      </w:r>
      <w:r>
        <w:rPr>
          <w:rFonts w:hint="eastAsia" w:ascii="宋体" w:hAnsi="宋体" w:cs="宋体"/>
          <w:b/>
          <w:color w:val="auto"/>
          <w:sz w:val="24"/>
          <w:szCs w:val="24"/>
          <w:highlight w:val="none"/>
          <w:lang w:val="en-US" w:eastAsia="zh-CN"/>
        </w:rPr>
        <w:t>01</w:t>
      </w:r>
      <w:r>
        <w:rPr>
          <w:rFonts w:hint="eastAsia" w:ascii="宋体" w:hAnsi="宋体" w:cs="宋体"/>
          <w:b/>
          <w:color w:val="auto"/>
          <w:sz w:val="24"/>
          <w:szCs w:val="24"/>
          <w:highlight w:val="none"/>
          <w:lang w:eastAsia="zh-CN"/>
        </w:rPr>
        <w:t>月</w:t>
      </w:r>
      <w:r>
        <w:rPr>
          <w:rFonts w:hint="eastAsia" w:ascii="宋体" w:hAnsi="宋体" w:cs="宋体"/>
          <w:b/>
          <w:color w:val="auto"/>
          <w:sz w:val="24"/>
          <w:szCs w:val="24"/>
          <w:highlight w:val="none"/>
          <w:lang w:val="en-US" w:eastAsia="zh-CN"/>
        </w:rPr>
        <w:t>01</w:t>
      </w:r>
      <w:r>
        <w:rPr>
          <w:rFonts w:hint="eastAsia" w:ascii="宋体" w:hAnsi="宋体" w:cs="宋体"/>
          <w:b/>
          <w:color w:val="auto"/>
          <w:sz w:val="24"/>
          <w:szCs w:val="24"/>
          <w:highlight w:val="none"/>
        </w:rPr>
        <w:t>日以来</w:t>
      </w:r>
      <w:r>
        <w:rPr>
          <w:rFonts w:hint="eastAsia" w:ascii="宋体" w:hAnsi="宋体" w:cs="宋体"/>
          <w:b/>
          <w:color w:val="auto"/>
          <w:sz w:val="24"/>
          <w:szCs w:val="24"/>
          <w:highlight w:val="none"/>
          <w:lang w:val="en-US" w:eastAsia="zh-CN"/>
        </w:rPr>
        <w:t>同类</w:t>
      </w:r>
      <w:r>
        <w:rPr>
          <w:rFonts w:hint="eastAsia" w:ascii="宋体" w:hAnsi="宋体" w:cs="宋体"/>
          <w:b/>
          <w:color w:val="auto"/>
          <w:sz w:val="24"/>
          <w:szCs w:val="24"/>
          <w:highlight w:val="none"/>
        </w:rPr>
        <w:t>成功业绩</w:t>
      </w:r>
    </w:p>
    <w:p>
      <w:pPr>
        <w:adjustRightInd w:val="0"/>
        <w:snapToGrid w:val="0"/>
        <w:spacing w:line="400" w:lineRule="exact"/>
        <w:ind w:firstLine="470" w:firstLineChars="196"/>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以签订合同时间为准，需提供</w:t>
      </w:r>
      <w:r>
        <w:rPr>
          <w:rFonts w:hint="eastAsia" w:ascii="宋体" w:hAnsi="宋体" w:cs="宋体"/>
          <w:color w:val="auto"/>
          <w:sz w:val="24"/>
          <w:szCs w:val="24"/>
          <w:highlight w:val="none"/>
          <w:lang w:eastAsia="zh-CN"/>
        </w:rPr>
        <w:t>中标（成交）通知书、</w:t>
      </w:r>
      <w:r>
        <w:rPr>
          <w:rFonts w:hint="eastAsia" w:ascii="宋体" w:hAnsi="宋体" w:cs="宋体"/>
          <w:color w:val="auto"/>
          <w:sz w:val="24"/>
          <w:szCs w:val="24"/>
          <w:highlight w:val="none"/>
        </w:rPr>
        <w:t>与最终用户合同复印件，复印件并加盖公章，如出现与事实不符等情况，将根据有关规定以“提供虚假材料谋取中标”予以处罚。</w:t>
      </w:r>
    </w:p>
    <w:p>
      <w:pPr>
        <w:pStyle w:val="12"/>
        <w:rPr>
          <w:rFonts w:ascii="宋体" w:hAnsi="宋体" w:cs="宋体"/>
          <w:b/>
          <w:bCs/>
          <w:color w:val="auto"/>
          <w:sz w:val="24"/>
          <w:szCs w:val="24"/>
          <w:highlight w:val="none"/>
        </w:rPr>
      </w:pPr>
    </w:p>
    <w:p>
      <w:pPr>
        <w:pStyle w:val="12"/>
        <w:rPr>
          <w:rFonts w:ascii="宋体" w:hAnsi="宋体" w:cs="宋体"/>
          <w:b/>
          <w:bCs/>
          <w:sz w:val="24"/>
          <w:szCs w:val="24"/>
          <w:highlight w:val="none"/>
        </w:rPr>
      </w:pPr>
    </w:p>
    <w:p>
      <w:pPr>
        <w:pStyle w:val="12"/>
        <w:rPr>
          <w:rFonts w:ascii="宋体" w:hAnsi="宋体" w:cs="宋体"/>
          <w:b/>
          <w:bCs/>
          <w:sz w:val="24"/>
          <w:szCs w:val="24"/>
          <w:highlight w:val="none"/>
        </w:rPr>
      </w:pPr>
    </w:p>
    <w:p>
      <w:pPr>
        <w:pStyle w:val="12"/>
        <w:rPr>
          <w:rFonts w:ascii="宋体" w:hAnsi="宋体" w:cs="宋体"/>
          <w:b/>
          <w:bCs/>
          <w:sz w:val="24"/>
          <w:szCs w:val="24"/>
          <w:highlight w:val="none"/>
        </w:rPr>
      </w:pPr>
    </w:p>
    <w:p>
      <w:pPr>
        <w:pStyle w:val="12"/>
        <w:rPr>
          <w:rFonts w:ascii="宋体" w:hAnsi="宋体" w:cs="宋体"/>
          <w:b/>
          <w:bCs/>
          <w:sz w:val="24"/>
          <w:szCs w:val="24"/>
          <w:highlight w:val="none"/>
        </w:rPr>
      </w:pPr>
    </w:p>
    <w:p>
      <w:pPr>
        <w:pStyle w:val="12"/>
        <w:rPr>
          <w:rFonts w:ascii="宋体" w:hAnsi="宋体" w:cs="宋体"/>
          <w:b/>
          <w:bCs/>
          <w:sz w:val="24"/>
          <w:szCs w:val="24"/>
          <w:highlight w:val="none"/>
        </w:rPr>
      </w:pPr>
    </w:p>
    <w:p>
      <w:pPr>
        <w:pStyle w:val="12"/>
        <w:rPr>
          <w:rFonts w:ascii="宋体" w:hAnsi="宋体" w:cs="宋体"/>
          <w:b/>
          <w:bCs/>
          <w:sz w:val="24"/>
          <w:szCs w:val="24"/>
          <w:highlight w:val="none"/>
        </w:rPr>
      </w:pPr>
    </w:p>
    <w:p>
      <w:pPr>
        <w:rPr>
          <w:rFonts w:hint="eastAsia" w:ascii="宋体" w:hAnsi="宋体" w:cs="宋体"/>
          <w:b/>
          <w:sz w:val="24"/>
          <w:szCs w:val="24"/>
          <w:highlight w:val="none"/>
        </w:rPr>
      </w:pPr>
      <w:r>
        <w:rPr>
          <w:rFonts w:hint="eastAsia" w:ascii="宋体" w:hAnsi="宋体" w:cs="宋体"/>
          <w:b/>
          <w:sz w:val="24"/>
          <w:szCs w:val="24"/>
          <w:highlight w:val="none"/>
        </w:rPr>
        <w:br w:type="page"/>
      </w:r>
    </w:p>
    <w:p>
      <w:pPr>
        <w:snapToGrid w:val="0"/>
        <w:spacing w:line="400" w:lineRule="exact"/>
        <w:rPr>
          <w:rFonts w:ascii="宋体" w:hAnsi="宋体" w:cs="宋体"/>
          <w:color w:val="auto"/>
          <w:sz w:val="24"/>
          <w:szCs w:val="24"/>
          <w:highlight w:val="none"/>
        </w:rPr>
      </w:pPr>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、政府采购政策扶持证明材料</w:t>
      </w:r>
    </w:p>
    <w:p>
      <w:pPr>
        <w:widowControl/>
        <w:snapToGrid w:val="0"/>
        <w:spacing w:before="240" w:after="240" w:line="400" w:lineRule="exact"/>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中小企业声明函（货物）</w:t>
      </w:r>
    </w:p>
    <w:p>
      <w:pPr>
        <w:widowControl/>
        <w:snapToGrid w:val="0"/>
        <w:spacing w:before="75" w:after="75"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本公司（联合体）郑重声明，根据关于《政府采购促进中小企业发展管理办法》的通知（财库〔2020〕46号）的规定，本公司（联合体）参加</w:t>
      </w:r>
      <w:r>
        <w:rPr>
          <w:rFonts w:hint="eastAsia" w:ascii="宋体" w:hAnsi="宋体" w:cs="宋体"/>
          <w:color w:val="auto"/>
          <w:kern w:val="0"/>
          <w:sz w:val="24"/>
          <w:szCs w:val="24"/>
          <w:highlight w:val="none"/>
          <w:u w:val="single"/>
        </w:rPr>
        <w:t>（单位名称）</w:t>
      </w:r>
      <w:r>
        <w:rPr>
          <w:rFonts w:hint="eastAsia" w:ascii="宋体" w:hAnsi="宋体" w:cs="宋体"/>
          <w:color w:val="auto"/>
          <w:kern w:val="0"/>
          <w:sz w:val="24"/>
          <w:szCs w:val="24"/>
          <w:highlight w:val="none"/>
        </w:rPr>
        <w:t>的</w:t>
      </w:r>
      <w:r>
        <w:rPr>
          <w:rFonts w:hint="eastAsia" w:ascii="宋体" w:hAnsi="宋体" w:cs="宋体"/>
          <w:color w:val="auto"/>
          <w:kern w:val="0"/>
          <w:sz w:val="24"/>
          <w:szCs w:val="24"/>
          <w:highlight w:val="none"/>
          <w:u w:val="single"/>
        </w:rPr>
        <w:t>（项目名称）</w:t>
      </w:r>
      <w:r>
        <w:rPr>
          <w:rFonts w:hint="eastAsia" w:ascii="宋体" w:hAnsi="宋体" w:cs="宋体"/>
          <w:color w:val="auto"/>
          <w:kern w:val="0"/>
          <w:sz w:val="24"/>
          <w:szCs w:val="24"/>
          <w:highlight w:val="none"/>
        </w:rPr>
        <w:t>采购活动，提供的货物全部由符合政策要求的中小企业制造。相关企业（含联合体中的中小企业、签订分包意向协议的中小企业）的具体情况如下：</w:t>
      </w:r>
    </w:p>
    <w:p>
      <w:pPr>
        <w:widowControl/>
        <w:snapToGrid w:val="0"/>
        <w:spacing w:before="75" w:after="75"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u w:val="single"/>
        </w:rPr>
        <w:t>（标的名称）</w:t>
      </w:r>
      <w:r>
        <w:rPr>
          <w:rFonts w:hint="eastAsia" w:ascii="宋体" w:hAnsi="宋体" w:cs="宋体"/>
          <w:color w:val="auto"/>
          <w:kern w:val="0"/>
          <w:sz w:val="24"/>
          <w:szCs w:val="24"/>
          <w:highlight w:val="none"/>
        </w:rPr>
        <w:t>，属于</w:t>
      </w:r>
      <w:r>
        <w:rPr>
          <w:rFonts w:hint="eastAsia" w:ascii="宋体" w:hAnsi="宋体" w:cs="宋体"/>
          <w:color w:val="auto"/>
          <w:kern w:val="0"/>
          <w:sz w:val="24"/>
          <w:szCs w:val="24"/>
          <w:highlight w:val="none"/>
          <w:u w:val="single"/>
        </w:rPr>
        <w:t>（招标文件中明确的所属行业）</w:t>
      </w:r>
      <w:r>
        <w:rPr>
          <w:rFonts w:hint="eastAsia" w:ascii="宋体" w:hAnsi="宋体" w:cs="宋体"/>
          <w:color w:val="auto"/>
          <w:kern w:val="0"/>
          <w:sz w:val="24"/>
          <w:szCs w:val="24"/>
          <w:highlight w:val="none"/>
        </w:rPr>
        <w:t>；制造商为</w:t>
      </w:r>
      <w:r>
        <w:rPr>
          <w:rFonts w:hint="eastAsia" w:ascii="宋体" w:hAnsi="宋体" w:cs="宋体"/>
          <w:color w:val="auto"/>
          <w:kern w:val="0"/>
          <w:sz w:val="24"/>
          <w:szCs w:val="24"/>
          <w:highlight w:val="none"/>
          <w:u w:val="single"/>
        </w:rPr>
        <w:t>（企业名称）</w:t>
      </w:r>
      <w:r>
        <w:rPr>
          <w:rFonts w:hint="eastAsia" w:ascii="宋体" w:hAnsi="宋体" w:cs="宋体"/>
          <w:color w:val="auto"/>
          <w:kern w:val="0"/>
          <w:sz w:val="24"/>
          <w:szCs w:val="24"/>
          <w:highlight w:val="none"/>
        </w:rPr>
        <w:t>，从业人员人，营业收入为万元，资产总额为万元，属于</w:t>
      </w:r>
      <w:r>
        <w:rPr>
          <w:rFonts w:hint="eastAsia" w:ascii="宋体" w:hAnsi="宋体" w:cs="宋体"/>
          <w:color w:val="auto"/>
          <w:kern w:val="0"/>
          <w:sz w:val="24"/>
          <w:szCs w:val="24"/>
          <w:highlight w:val="none"/>
          <w:u w:val="single"/>
        </w:rPr>
        <w:t>（中型企业、小型企业、微型企业）</w:t>
      </w:r>
      <w:r>
        <w:rPr>
          <w:rFonts w:hint="eastAsia" w:ascii="宋体" w:hAnsi="宋体" w:cs="宋体"/>
          <w:color w:val="auto"/>
          <w:kern w:val="0"/>
          <w:sz w:val="24"/>
          <w:szCs w:val="24"/>
          <w:highlight w:val="none"/>
        </w:rPr>
        <w:t>；</w:t>
      </w:r>
    </w:p>
    <w:p>
      <w:pPr>
        <w:widowControl/>
        <w:snapToGrid w:val="0"/>
        <w:spacing w:before="75" w:after="75"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u w:val="single"/>
        </w:rPr>
        <w:t>（标的名称）</w:t>
      </w:r>
      <w:r>
        <w:rPr>
          <w:rFonts w:hint="eastAsia" w:ascii="宋体" w:hAnsi="宋体" w:cs="宋体"/>
          <w:color w:val="auto"/>
          <w:kern w:val="0"/>
          <w:sz w:val="24"/>
          <w:szCs w:val="24"/>
          <w:highlight w:val="none"/>
        </w:rPr>
        <w:t>，属于</w:t>
      </w:r>
      <w:r>
        <w:rPr>
          <w:rFonts w:hint="eastAsia" w:ascii="宋体" w:hAnsi="宋体" w:cs="宋体"/>
          <w:color w:val="auto"/>
          <w:kern w:val="0"/>
          <w:sz w:val="24"/>
          <w:szCs w:val="24"/>
          <w:highlight w:val="none"/>
          <w:u w:val="single"/>
        </w:rPr>
        <w:t>（招标文件中明确的所属行业）</w:t>
      </w:r>
      <w:r>
        <w:rPr>
          <w:rFonts w:hint="eastAsia" w:ascii="宋体" w:hAnsi="宋体" w:cs="宋体"/>
          <w:color w:val="auto"/>
          <w:kern w:val="0"/>
          <w:sz w:val="24"/>
          <w:szCs w:val="24"/>
          <w:highlight w:val="none"/>
        </w:rPr>
        <w:t>；制造商为</w:t>
      </w:r>
      <w:r>
        <w:rPr>
          <w:rFonts w:hint="eastAsia" w:ascii="宋体" w:hAnsi="宋体" w:cs="宋体"/>
          <w:color w:val="auto"/>
          <w:kern w:val="0"/>
          <w:sz w:val="24"/>
          <w:szCs w:val="24"/>
          <w:highlight w:val="none"/>
          <w:u w:val="single"/>
        </w:rPr>
        <w:t>（企业名称）</w:t>
      </w:r>
      <w:r>
        <w:rPr>
          <w:rFonts w:hint="eastAsia" w:ascii="宋体" w:hAnsi="宋体" w:cs="宋体"/>
          <w:color w:val="auto"/>
          <w:kern w:val="0"/>
          <w:sz w:val="24"/>
          <w:szCs w:val="24"/>
          <w:highlight w:val="none"/>
        </w:rPr>
        <w:t>，从业人员人，营业收入为万元，资产总额为万元，属于</w:t>
      </w:r>
      <w:r>
        <w:rPr>
          <w:rFonts w:hint="eastAsia" w:ascii="宋体" w:hAnsi="宋体" w:cs="宋体"/>
          <w:color w:val="auto"/>
          <w:kern w:val="0"/>
          <w:sz w:val="24"/>
          <w:szCs w:val="24"/>
          <w:highlight w:val="none"/>
          <w:u w:val="single"/>
        </w:rPr>
        <w:t>（中型企业、小型企业、微型企业）</w:t>
      </w:r>
      <w:r>
        <w:rPr>
          <w:rFonts w:hint="eastAsia" w:ascii="宋体" w:hAnsi="宋体" w:cs="宋体"/>
          <w:color w:val="auto"/>
          <w:kern w:val="0"/>
          <w:sz w:val="24"/>
          <w:szCs w:val="24"/>
          <w:highlight w:val="none"/>
        </w:rPr>
        <w:t>；</w:t>
      </w:r>
    </w:p>
    <w:p>
      <w:pPr>
        <w:widowControl/>
        <w:snapToGrid w:val="0"/>
        <w:spacing w:before="75" w:after="75"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p>
      <w:pPr>
        <w:widowControl/>
        <w:snapToGrid w:val="0"/>
        <w:spacing w:before="75" w:after="75"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以上企业，不属于大企业的分支机构，不存在控股股东为大企业的情形，也不存在与大企业的负责人为同一人的情形。</w:t>
      </w:r>
    </w:p>
    <w:p>
      <w:pPr>
        <w:widowControl/>
        <w:snapToGrid w:val="0"/>
        <w:spacing w:before="75" w:after="75"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本企业对上述声明内容的真实性负责。如有虚假，将依法承担相应责任。</w:t>
      </w:r>
    </w:p>
    <w:p>
      <w:pPr>
        <w:widowControl/>
        <w:snapToGrid w:val="0"/>
        <w:spacing w:before="75" w:after="75" w:line="400" w:lineRule="exact"/>
        <w:ind w:firstLine="480" w:firstLineChars="200"/>
        <w:rPr>
          <w:rFonts w:ascii="宋体" w:hAnsi="宋体" w:cs="宋体"/>
          <w:color w:val="auto"/>
          <w:kern w:val="0"/>
          <w:sz w:val="24"/>
          <w:szCs w:val="24"/>
          <w:highlight w:val="none"/>
        </w:rPr>
      </w:pPr>
    </w:p>
    <w:p>
      <w:pPr>
        <w:widowControl/>
        <w:snapToGrid w:val="0"/>
        <w:spacing w:before="75" w:after="75" w:line="400" w:lineRule="exact"/>
        <w:ind w:firstLine="480" w:firstLineChars="200"/>
        <w:rPr>
          <w:rFonts w:ascii="宋体" w:hAnsi="宋体" w:cs="宋体"/>
          <w:color w:val="auto"/>
          <w:kern w:val="0"/>
          <w:sz w:val="24"/>
          <w:szCs w:val="24"/>
          <w:highlight w:val="none"/>
        </w:rPr>
      </w:pPr>
    </w:p>
    <w:p>
      <w:pPr>
        <w:widowControl/>
        <w:snapToGrid w:val="0"/>
        <w:spacing w:before="75" w:after="75" w:line="400" w:lineRule="exact"/>
        <w:ind w:firstLine="4677" w:firstLineChars="1949"/>
        <w:rPr>
          <w:rFonts w:ascii="宋体" w:hAnsi="宋体" w:cs="宋体"/>
          <w:color w:val="auto"/>
          <w:kern w:val="0"/>
          <w:sz w:val="24"/>
          <w:szCs w:val="24"/>
          <w:highlight w:val="none"/>
        </w:rPr>
      </w:pPr>
      <w:r>
        <w:rPr>
          <w:rFonts w:hint="eastAsia" w:ascii="宋体" w:hAnsi="宋体" w:cs="宋体"/>
          <w:color w:val="auto"/>
          <w:kern w:val="0"/>
          <w:sz w:val="24"/>
          <w:szCs w:val="24"/>
          <w:highlight w:val="none"/>
        </w:rPr>
        <w:t>企业名称（盖章）：</w:t>
      </w:r>
    </w:p>
    <w:p>
      <w:pPr>
        <w:pStyle w:val="7"/>
        <w:snapToGrid w:val="0"/>
        <w:spacing w:before="156" w:after="156"/>
        <w:ind w:firstLine="4305" w:firstLineChars="2050"/>
        <w:rPr>
          <w:rFonts w:hAnsi="宋体" w:cs="宋体"/>
          <w:color w:val="auto"/>
          <w:highlight w:val="none"/>
        </w:rPr>
      </w:pPr>
      <w:r>
        <w:rPr>
          <w:rFonts w:hint="eastAsia" w:hAnsi="宋体" w:cs="宋体"/>
          <w:color w:val="auto"/>
          <w:kern w:val="0"/>
          <w:highlight w:val="none"/>
        </w:rPr>
        <w:t>日期：</w:t>
      </w:r>
    </w:p>
    <w:p>
      <w:pPr>
        <w:snapToGrid w:val="0"/>
        <w:spacing w:line="400" w:lineRule="exact"/>
        <w:ind w:firstLine="480" w:firstLineChars="200"/>
        <w:rPr>
          <w:rFonts w:hint="eastAsia" w:ascii="宋体" w:hAnsi="宋体" w:cs="宋体"/>
          <w:color w:val="auto"/>
          <w:sz w:val="24"/>
          <w:highlight w:val="none"/>
        </w:rPr>
      </w:pPr>
    </w:p>
    <w:p>
      <w:pPr>
        <w:snapToGrid w:val="0"/>
        <w:spacing w:line="40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中小企业参加政府采购活动，应当出具本办法规定的《中小企业声明函》，须提供制造商属于小微企业的声明函,否则不得享受相关中小企业扶持政策。任何单位和个人不得要求供应商提供《中小企业声明函》之外的中小企业身份证明文件。</w:t>
      </w:r>
    </w:p>
    <w:p>
      <w:pPr>
        <w:tabs>
          <w:tab w:val="left" w:pos="3777"/>
          <w:tab w:val="center" w:pos="4819"/>
        </w:tabs>
        <w:snapToGrid w:val="0"/>
        <w:spacing w:line="400" w:lineRule="exact"/>
        <w:ind w:firstLine="3337" w:firstLineChars="1385"/>
        <w:rPr>
          <w:rFonts w:ascii="宋体" w:hAnsi="宋体" w:cs="宋体"/>
          <w:b/>
          <w:sz w:val="24"/>
          <w:szCs w:val="24"/>
          <w:highlight w:val="none"/>
        </w:rPr>
      </w:pPr>
    </w:p>
    <w:p>
      <w:pPr>
        <w:tabs>
          <w:tab w:val="left" w:pos="3777"/>
          <w:tab w:val="center" w:pos="4819"/>
        </w:tabs>
        <w:snapToGrid w:val="0"/>
        <w:spacing w:line="400" w:lineRule="exact"/>
        <w:ind w:firstLine="3337" w:firstLineChars="1385"/>
        <w:rPr>
          <w:rFonts w:ascii="宋体" w:hAnsi="宋体" w:cs="宋体"/>
          <w:b/>
          <w:sz w:val="24"/>
          <w:szCs w:val="24"/>
          <w:highlight w:val="none"/>
        </w:rPr>
      </w:pPr>
    </w:p>
    <w:p>
      <w:pPr>
        <w:tabs>
          <w:tab w:val="left" w:pos="3777"/>
          <w:tab w:val="center" w:pos="4819"/>
        </w:tabs>
        <w:snapToGrid w:val="0"/>
        <w:spacing w:line="400" w:lineRule="exact"/>
        <w:ind w:firstLine="3337" w:firstLineChars="1385"/>
        <w:rPr>
          <w:rFonts w:ascii="宋体" w:hAnsi="宋体" w:cs="宋体"/>
          <w:b/>
          <w:sz w:val="24"/>
          <w:szCs w:val="24"/>
          <w:highlight w:val="none"/>
        </w:rPr>
      </w:pPr>
    </w:p>
    <w:p>
      <w:pPr>
        <w:pStyle w:val="12"/>
        <w:rPr>
          <w:rFonts w:ascii="宋体" w:hAnsi="宋体" w:cs="宋体"/>
          <w:b/>
          <w:sz w:val="24"/>
          <w:szCs w:val="24"/>
          <w:highlight w:val="none"/>
        </w:rPr>
      </w:pPr>
    </w:p>
    <w:p>
      <w:pPr>
        <w:pStyle w:val="12"/>
        <w:rPr>
          <w:rFonts w:ascii="宋体" w:hAnsi="宋体" w:cs="宋体"/>
          <w:b/>
          <w:sz w:val="24"/>
          <w:szCs w:val="24"/>
          <w:highlight w:val="none"/>
        </w:rPr>
      </w:pPr>
    </w:p>
    <w:p>
      <w:pPr>
        <w:tabs>
          <w:tab w:val="left" w:pos="3777"/>
          <w:tab w:val="center" w:pos="4819"/>
        </w:tabs>
        <w:snapToGrid w:val="0"/>
        <w:spacing w:line="400" w:lineRule="exact"/>
        <w:ind w:firstLine="3337" w:firstLineChars="1385"/>
        <w:rPr>
          <w:rFonts w:ascii="宋体" w:hAnsi="宋体" w:cs="宋体"/>
          <w:b/>
          <w:sz w:val="24"/>
          <w:szCs w:val="24"/>
          <w:highlight w:val="none"/>
        </w:rPr>
      </w:pPr>
    </w:p>
    <w:p>
      <w:pPr>
        <w:rPr>
          <w:rFonts w:ascii="宋体" w:hAnsi="宋体" w:cs="宋体"/>
          <w:b/>
          <w:color w:val="auto"/>
          <w:sz w:val="24"/>
          <w:szCs w:val="24"/>
          <w:highlight w:val="none"/>
        </w:rPr>
      </w:pPr>
    </w:p>
    <w:p>
      <w:pPr>
        <w:tabs>
          <w:tab w:val="left" w:pos="3777"/>
          <w:tab w:val="center" w:pos="4819"/>
        </w:tabs>
        <w:snapToGrid w:val="0"/>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监狱企业的证明文件</w:t>
      </w:r>
    </w:p>
    <w:p>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（监狱企业适用）</w:t>
      </w:r>
    </w:p>
    <w:p>
      <w:pPr>
        <w:pStyle w:val="7"/>
        <w:snapToGrid w:val="0"/>
        <w:spacing w:before="156" w:after="156"/>
        <w:ind w:firstLine="562" w:firstLineChars="200"/>
        <w:jc w:val="left"/>
        <w:rPr>
          <w:rFonts w:hAnsi="宋体" w:cs="宋体"/>
          <w:b/>
          <w:color w:val="auto"/>
          <w:sz w:val="28"/>
          <w:szCs w:val="28"/>
          <w:highlight w:val="none"/>
          <w:lang w:val="zh-CN"/>
        </w:rPr>
      </w:pPr>
    </w:p>
    <w:p>
      <w:pPr>
        <w:pStyle w:val="7"/>
        <w:snapToGrid w:val="0"/>
        <w:spacing w:before="156" w:after="156"/>
        <w:ind w:firstLine="562" w:firstLineChars="200"/>
        <w:jc w:val="left"/>
        <w:rPr>
          <w:rFonts w:hAnsi="宋体" w:cs="宋体"/>
          <w:b/>
          <w:color w:val="auto"/>
          <w:sz w:val="28"/>
          <w:szCs w:val="28"/>
          <w:highlight w:val="none"/>
          <w:lang w:val="zh-CN"/>
        </w:rPr>
      </w:pPr>
    </w:p>
    <w:p>
      <w:pPr>
        <w:pStyle w:val="7"/>
        <w:snapToGrid w:val="0"/>
        <w:spacing w:before="156" w:after="156"/>
        <w:ind w:firstLine="562" w:firstLineChars="200"/>
        <w:jc w:val="left"/>
        <w:rPr>
          <w:rFonts w:hAnsi="宋体" w:cs="宋体"/>
          <w:b/>
          <w:color w:val="auto"/>
          <w:sz w:val="28"/>
          <w:szCs w:val="28"/>
          <w:highlight w:val="none"/>
          <w:lang w:val="zh-CN"/>
        </w:rPr>
      </w:pPr>
    </w:p>
    <w:p>
      <w:pPr>
        <w:pStyle w:val="7"/>
        <w:snapToGrid w:val="0"/>
        <w:spacing w:before="156" w:after="156"/>
        <w:ind w:firstLine="562" w:firstLineChars="200"/>
        <w:jc w:val="left"/>
        <w:rPr>
          <w:rFonts w:hAnsi="宋体" w:cs="宋体"/>
          <w:b/>
          <w:color w:val="auto"/>
          <w:sz w:val="28"/>
          <w:szCs w:val="28"/>
          <w:highlight w:val="none"/>
          <w:lang w:val="zh-CN"/>
        </w:rPr>
      </w:pPr>
    </w:p>
    <w:p>
      <w:pPr>
        <w:pStyle w:val="7"/>
        <w:snapToGrid w:val="0"/>
        <w:spacing w:before="156" w:after="156"/>
        <w:ind w:firstLine="562" w:firstLineChars="200"/>
        <w:jc w:val="left"/>
        <w:rPr>
          <w:rFonts w:hAnsi="宋体" w:cs="宋体"/>
          <w:b/>
          <w:color w:val="auto"/>
          <w:sz w:val="28"/>
          <w:szCs w:val="28"/>
          <w:highlight w:val="none"/>
          <w:lang w:val="zh-CN"/>
        </w:rPr>
      </w:pPr>
    </w:p>
    <w:p>
      <w:pPr>
        <w:pStyle w:val="7"/>
        <w:snapToGrid w:val="0"/>
        <w:spacing w:before="156" w:after="156"/>
        <w:ind w:firstLine="562" w:firstLineChars="200"/>
        <w:jc w:val="left"/>
        <w:rPr>
          <w:rFonts w:hAnsi="宋体" w:cs="宋体"/>
          <w:b/>
          <w:color w:val="auto"/>
          <w:sz w:val="28"/>
          <w:szCs w:val="28"/>
          <w:highlight w:val="none"/>
          <w:lang w:val="zh-CN"/>
        </w:rPr>
      </w:pPr>
    </w:p>
    <w:p>
      <w:pPr>
        <w:pStyle w:val="7"/>
        <w:snapToGrid w:val="0"/>
        <w:spacing w:before="156" w:after="156"/>
        <w:ind w:firstLine="562" w:firstLineChars="200"/>
        <w:jc w:val="left"/>
        <w:rPr>
          <w:rFonts w:hAnsi="宋体" w:cs="宋体"/>
          <w:b/>
          <w:color w:val="auto"/>
          <w:sz w:val="28"/>
          <w:szCs w:val="28"/>
          <w:highlight w:val="none"/>
          <w:lang w:val="zh-CN"/>
        </w:rPr>
      </w:pPr>
    </w:p>
    <w:p>
      <w:pPr>
        <w:pStyle w:val="7"/>
        <w:snapToGrid w:val="0"/>
        <w:spacing w:before="156" w:after="156"/>
        <w:ind w:firstLine="562" w:firstLineChars="200"/>
        <w:jc w:val="left"/>
        <w:rPr>
          <w:rFonts w:hAnsi="宋体" w:cs="宋体"/>
          <w:b/>
          <w:color w:val="auto"/>
          <w:sz w:val="28"/>
          <w:szCs w:val="28"/>
          <w:highlight w:val="none"/>
          <w:lang w:val="zh-CN"/>
        </w:rPr>
      </w:pPr>
    </w:p>
    <w:p>
      <w:pPr>
        <w:pStyle w:val="7"/>
        <w:snapToGrid w:val="0"/>
        <w:spacing w:before="156" w:after="156"/>
        <w:ind w:firstLine="643" w:firstLineChars="200"/>
        <w:jc w:val="left"/>
        <w:rPr>
          <w:rFonts w:hAnsi="宋体" w:cs="宋体"/>
          <w:b/>
          <w:color w:val="auto"/>
          <w:sz w:val="32"/>
          <w:szCs w:val="32"/>
          <w:highlight w:val="none"/>
          <w:lang w:val="zh-CN"/>
        </w:rPr>
      </w:pPr>
      <w:r>
        <w:rPr>
          <w:rFonts w:hint="eastAsia" w:hAnsi="宋体" w:cs="宋体"/>
          <w:b/>
          <w:color w:val="auto"/>
          <w:sz w:val="32"/>
          <w:szCs w:val="32"/>
          <w:highlight w:val="none"/>
          <w:lang w:val="zh-CN"/>
        </w:rPr>
        <w:t>注：应当提供由省级以上监狱管理局、戒毒管理局（含新疆生产建设兵团）出具的属于监狱企业的证明文件。</w:t>
      </w:r>
    </w:p>
    <w:p>
      <w:pPr>
        <w:pStyle w:val="7"/>
        <w:snapToGrid w:val="0"/>
        <w:spacing w:before="156" w:after="156"/>
        <w:ind w:firstLine="422" w:firstLineChars="200"/>
        <w:jc w:val="center"/>
        <w:rPr>
          <w:rFonts w:hAnsi="宋体" w:cs="宋体"/>
          <w:b/>
          <w:color w:val="auto"/>
          <w:highlight w:val="none"/>
          <w:lang w:val="zh-CN"/>
        </w:rPr>
      </w:pPr>
    </w:p>
    <w:p>
      <w:pPr>
        <w:pStyle w:val="7"/>
        <w:snapToGrid w:val="0"/>
        <w:spacing w:before="156" w:after="156"/>
        <w:ind w:firstLine="562" w:firstLineChars="200"/>
        <w:jc w:val="center"/>
        <w:rPr>
          <w:rFonts w:hAnsi="宋体" w:cs="宋体"/>
          <w:b/>
          <w:color w:val="auto"/>
          <w:sz w:val="28"/>
          <w:szCs w:val="28"/>
          <w:highlight w:val="none"/>
          <w:lang w:val="zh-CN"/>
        </w:rPr>
      </w:pPr>
    </w:p>
    <w:p>
      <w:pPr>
        <w:pStyle w:val="7"/>
        <w:snapToGrid w:val="0"/>
        <w:spacing w:before="156" w:after="156"/>
        <w:ind w:firstLine="562" w:firstLineChars="200"/>
        <w:jc w:val="center"/>
        <w:rPr>
          <w:rFonts w:hAnsi="宋体" w:cs="宋体"/>
          <w:b/>
          <w:sz w:val="28"/>
          <w:szCs w:val="28"/>
          <w:highlight w:val="none"/>
          <w:lang w:val="zh-CN"/>
        </w:rPr>
      </w:pPr>
    </w:p>
    <w:p>
      <w:pPr>
        <w:pStyle w:val="7"/>
        <w:snapToGrid w:val="0"/>
        <w:spacing w:before="156" w:after="156"/>
        <w:ind w:firstLine="562" w:firstLineChars="200"/>
        <w:jc w:val="center"/>
        <w:rPr>
          <w:rFonts w:hAnsi="宋体" w:cs="宋体"/>
          <w:b/>
          <w:sz w:val="28"/>
          <w:szCs w:val="28"/>
          <w:highlight w:val="none"/>
          <w:lang w:val="zh-CN"/>
        </w:rPr>
      </w:pPr>
    </w:p>
    <w:p>
      <w:pPr>
        <w:pStyle w:val="7"/>
        <w:snapToGrid w:val="0"/>
        <w:spacing w:before="156" w:after="156"/>
        <w:ind w:firstLine="562" w:firstLineChars="200"/>
        <w:jc w:val="center"/>
        <w:rPr>
          <w:rFonts w:hAnsi="宋体" w:cs="宋体"/>
          <w:b/>
          <w:sz w:val="28"/>
          <w:szCs w:val="28"/>
          <w:highlight w:val="none"/>
          <w:lang w:val="zh-CN"/>
        </w:rPr>
      </w:pPr>
    </w:p>
    <w:p>
      <w:pPr>
        <w:pStyle w:val="7"/>
        <w:snapToGrid w:val="0"/>
        <w:spacing w:before="156" w:after="156"/>
        <w:ind w:firstLine="562" w:firstLineChars="200"/>
        <w:jc w:val="center"/>
        <w:rPr>
          <w:rFonts w:hAnsi="宋体" w:cs="宋体"/>
          <w:b/>
          <w:sz w:val="28"/>
          <w:szCs w:val="28"/>
          <w:highlight w:val="none"/>
          <w:lang w:val="zh-CN"/>
        </w:rPr>
      </w:pPr>
    </w:p>
    <w:p>
      <w:pPr>
        <w:pStyle w:val="7"/>
        <w:snapToGrid w:val="0"/>
        <w:spacing w:before="156" w:after="156"/>
        <w:ind w:firstLine="562" w:firstLineChars="200"/>
        <w:jc w:val="center"/>
        <w:rPr>
          <w:rFonts w:hAnsi="宋体" w:cs="宋体"/>
          <w:b/>
          <w:sz w:val="28"/>
          <w:szCs w:val="28"/>
          <w:highlight w:val="none"/>
          <w:lang w:val="zh-CN"/>
        </w:rPr>
      </w:pPr>
    </w:p>
    <w:p>
      <w:pPr>
        <w:pStyle w:val="7"/>
        <w:snapToGrid w:val="0"/>
        <w:spacing w:before="156" w:after="156"/>
        <w:ind w:firstLine="562" w:firstLineChars="200"/>
        <w:jc w:val="center"/>
        <w:rPr>
          <w:rFonts w:hAnsi="宋体" w:cs="宋体"/>
          <w:b/>
          <w:sz w:val="28"/>
          <w:szCs w:val="28"/>
          <w:highlight w:val="none"/>
          <w:lang w:val="zh-CN"/>
        </w:rPr>
      </w:pPr>
    </w:p>
    <w:p>
      <w:pPr>
        <w:pStyle w:val="7"/>
        <w:snapToGrid w:val="0"/>
        <w:spacing w:before="156" w:after="156"/>
        <w:ind w:firstLine="562" w:firstLineChars="200"/>
        <w:jc w:val="center"/>
        <w:rPr>
          <w:rFonts w:hAnsi="宋体" w:cs="宋体"/>
          <w:b/>
          <w:sz w:val="28"/>
          <w:szCs w:val="28"/>
          <w:highlight w:val="none"/>
          <w:lang w:val="zh-CN"/>
        </w:rPr>
      </w:pPr>
    </w:p>
    <w:p>
      <w:pPr>
        <w:pStyle w:val="7"/>
        <w:snapToGrid w:val="0"/>
        <w:spacing w:before="156" w:after="156"/>
        <w:ind w:firstLine="562" w:firstLineChars="200"/>
        <w:jc w:val="center"/>
        <w:rPr>
          <w:rFonts w:hAnsi="宋体" w:cs="宋体"/>
          <w:b/>
          <w:sz w:val="28"/>
          <w:szCs w:val="28"/>
          <w:highlight w:val="none"/>
          <w:lang w:val="zh-CN"/>
        </w:rPr>
      </w:pPr>
    </w:p>
    <w:p>
      <w:pPr>
        <w:pStyle w:val="7"/>
        <w:snapToGrid w:val="0"/>
        <w:spacing w:before="156" w:after="156"/>
        <w:ind w:firstLine="562" w:firstLineChars="200"/>
        <w:jc w:val="center"/>
        <w:rPr>
          <w:rFonts w:hAnsi="宋体" w:cs="宋体"/>
          <w:b/>
          <w:sz w:val="28"/>
          <w:szCs w:val="28"/>
          <w:highlight w:val="none"/>
          <w:lang w:val="zh-CN"/>
        </w:rPr>
      </w:pPr>
    </w:p>
    <w:p>
      <w:pPr>
        <w:pStyle w:val="7"/>
        <w:snapToGrid w:val="0"/>
        <w:spacing w:before="156" w:after="156"/>
        <w:ind w:firstLine="562" w:firstLineChars="200"/>
        <w:jc w:val="center"/>
        <w:rPr>
          <w:rFonts w:hAnsi="宋体" w:cs="宋体"/>
          <w:b/>
          <w:sz w:val="28"/>
          <w:szCs w:val="28"/>
          <w:highlight w:val="none"/>
          <w:lang w:val="zh-CN"/>
        </w:rPr>
      </w:pPr>
    </w:p>
    <w:p>
      <w:pPr>
        <w:pStyle w:val="7"/>
        <w:snapToGrid w:val="0"/>
        <w:spacing w:before="156" w:after="156"/>
        <w:ind w:firstLine="562" w:firstLineChars="200"/>
        <w:jc w:val="center"/>
        <w:rPr>
          <w:rFonts w:hAnsi="宋体" w:cs="宋体"/>
          <w:b/>
          <w:sz w:val="28"/>
          <w:szCs w:val="28"/>
          <w:highlight w:val="none"/>
          <w:lang w:val="zh-CN"/>
        </w:rPr>
      </w:pPr>
    </w:p>
    <w:p>
      <w:pPr>
        <w:pStyle w:val="7"/>
        <w:snapToGrid w:val="0"/>
        <w:spacing w:before="156" w:after="156"/>
        <w:ind w:firstLine="562" w:firstLineChars="200"/>
        <w:jc w:val="center"/>
        <w:rPr>
          <w:rFonts w:hAnsi="宋体" w:cs="宋体"/>
          <w:b/>
          <w:sz w:val="28"/>
          <w:szCs w:val="28"/>
          <w:highlight w:val="none"/>
          <w:lang w:val="zh-CN"/>
        </w:rPr>
      </w:pPr>
    </w:p>
    <w:p>
      <w:pPr>
        <w:widowControl/>
        <w:snapToGrid w:val="0"/>
        <w:spacing w:line="400" w:lineRule="exact"/>
        <w:jc w:val="center"/>
        <w:rPr>
          <w:rFonts w:ascii="宋体" w:hAnsi="宋体" w:cs="宋体"/>
          <w:b/>
          <w:color w:val="auto"/>
          <w:spacing w:val="6"/>
          <w:sz w:val="32"/>
          <w:szCs w:val="32"/>
          <w:highlight w:val="none"/>
        </w:rPr>
      </w:pPr>
      <w:r>
        <w:rPr>
          <w:rFonts w:hint="eastAsia" w:ascii="宋体" w:hAnsi="宋体" w:cs="宋体"/>
          <w:b/>
          <w:color w:val="auto"/>
          <w:sz w:val="24"/>
          <w:szCs w:val="24"/>
          <w:highlight w:val="none"/>
        </w:rPr>
        <w:t>残疾人</w:t>
      </w:r>
      <w:bookmarkStart w:id="80" w:name="OLE_LINK13"/>
      <w:bookmarkStart w:id="81" w:name="OLE_LINK14"/>
      <w:r>
        <w:rPr>
          <w:rFonts w:hint="eastAsia" w:ascii="宋体" w:hAnsi="宋体" w:cs="宋体"/>
          <w:b/>
          <w:color w:val="auto"/>
          <w:sz w:val="24"/>
          <w:szCs w:val="24"/>
          <w:highlight w:val="none"/>
        </w:rPr>
        <w:t>福利性单位声明函</w:t>
      </w:r>
    </w:p>
    <w:p>
      <w:pPr>
        <w:snapToGrid w:val="0"/>
        <w:spacing w:line="400" w:lineRule="exact"/>
        <w:ind w:firstLine="504" w:firstLineChars="200"/>
        <w:jc w:val="center"/>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w:t>
      </w:r>
      <w:r>
        <w:rPr>
          <w:rFonts w:hint="eastAsia" w:ascii="宋体" w:hAnsi="宋体" w:cs="宋体"/>
          <w:color w:val="auto"/>
          <w:sz w:val="24"/>
          <w:highlight w:val="none"/>
        </w:rPr>
        <w:t>残疾人福</w:t>
      </w:r>
      <w:bookmarkEnd w:id="80"/>
      <w:bookmarkEnd w:id="81"/>
      <w:r>
        <w:rPr>
          <w:rFonts w:hint="eastAsia" w:ascii="宋体" w:hAnsi="宋体" w:cs="宋体"/>
          <w:color w:val="auto"/>
          <w:sz w:val="24"/>
          <w:highlight w:val="none"/>
        </w:rPr>
        <w:t>利性单位适用</w:t>
      </w:r>
      <w:r>
        <w:rPr>
          <w:rFonts w:hint="eastAsia" w:ascii="宋体" w:hAnsi="宋体" w:cs="宋体"/>
          <w:color w:val="auto"/>
          <w:spacing w:val="6"/>
          <w:sz w:val="24"/>
          <w:szCs w:val="24"/>
          <w:highlight w:val="none"/>
        </w:rPr>
        <w:t>）</w:t>
      </w:r>
    </w:p>
    <w:p>
      <w:pPr>
        <w:snapToGrid w:val="0"/>
        <w:spacing w:line="400" w:lineRule="exact"/>
        <w:ind w:firstLine="504"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本单位郑重声明，根据《关于促进残疾人就业政府采购政策的通知》（财库</w:t>
      </w:r>
      <w:r>
        <w:rPr>
          <w:rFonts w:hint="eastAsia" w:ascii="宋体" w:hAnsi="宋体" w:cs="宋体"/>
          <w:color w:val="auto"/>
          <w:sz w:val="24"/>
          <w:szCs w:val="24"/>
          <w:highlight w:val="none"/>
        </w:rPr>
        <w:t>〔2017〕 141</w:t>
      </w:r>
      <w:r>
        <w:rPr>
          <w:rFonts w:hint="eastAsia" w:ascii="宋体" w:hAnsi="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7"/>
        <w:snapToGrid w:val="0"/>
        <w:spacing w:before="156" w:after="156"/>
        <w:ind w:firstLine="504" w:firstLineChars="200"/>
        <w:jc w:val="center"/>
        <w:rPr>
          <w:rFonts w:hAnsi="宋体" w:cs="宋体"/>
          <w:color w:val="auto"/>
          <w:spacing w:val="6"/>
          <w:sz w:val="24"/>
          <w:szCs w:val="24"/>
          <w:highlight w:val="none"/>
        </w:rPr>
      </w:pPr>
      <w:r>
        <w:rPr>
          <w:rFonts w:hint="eastAsia" w:hAnsi="宋体" w:cs="宋体"/>
          <w:color w:val="auto"/>
          <w:spacing w:val="6"/>
          <w:sz w:val="24"/>
          <w:szCs w:val="24"/>
          <w:highlight w:val="none"/>
        </w:rPr>
        <w:t>本单位对上述声明的真实性负责。如有虚假，将依法承担相应责任。</w:t>
      </w:r>
    </w:p>
    <w:p>
      <w:pPr>
        <w:pStyle w:val="7"/>
        <w:snapToGrid w:val="0"/>
        <w:spacing w:before="156" w:after="156"/>
        <w:ind w:firstLine="444" w:firstLineChars="200"/>
        <w:jc w:val="center"/>
        <w:rPr>
          <w:rFonts w:hAnsi="宋体" w:cs="宋体"/>
          <w:color w:val="auto"/>
          <w:spacing w:val="6"/>
          <w:highlight w:val="none"/>
        </w:rPr>
      </w:pPr>
    </w:p>
    <w:p>
      <w:pPr>
        <w:pStyle w:val="7"/>
        <w:snapToGrid w:val="0"/>
        <w:spacing w:before="156" w:after="156"/>
        <w:ind w:firstLine="480" w:firstLineChars="200"/>
        <w:rPr>
          <w:rFonts w:hAnsi="宋体" w:cs="宋体"/>
          <w:color w:val="auto"/>
          <w:sz w:val="24"/>
          <w:szCs w:val="24"/>
          <w:highlight w:val="none"/>
        </w:rPr>
      </w:pPr>
      <w:r>
        <w:rPr>
          <w:rFonts w:hint="eastAsia" w:hAnsi="宋体" w:cs="宋体"/>
          <w:color w:val="auto"/>
          <w:sz w:val="24"/>
          <w:szCs w:val="24"/>
          <w:highlight w:val="none"/>
        </w:rPr>
        <w:t>供应商名称(公章)：____________</w:t>
      </w:r>
      <w:r>
        <w:rPr>
          <w:rFonts w:hint="eastAsia" w:hAnsi="宋体" w:cs="宋体"/>
          <w:color w:val="auto"/>
          <w:sz w:val="24"/>
          <w:szCs w:val="24"/>
          <w:highlight w:val="none"/>
        </w:rPr>
        <w:tab/>
      </w:r>
      <w:r>
        <w:rPr>
          <w:rFonts w:hint="eastAsia" w:hAnsi="宋体" w:cs="宋体"/>
          <w:color w:val="auto"/>
          <w:sz w:val="24"/>
          <w:szCs w:val="24"/>
          <w:highlight w:val="none"/>
        </w:rPr>
        <w:tab/>
      </w:r>
    </w:p>
    <w:p>
      <w:pPr>
        <w:pStyle w:val="7"/>
        <w:snapToGrid w:val="0"/>
        <w:spacing w:before="156" w:after="156"/>
        <w:ind w:firstLine="480" w:firstLineChars="200"/>
        <w:rPr>
          <w:rFonts w:hAnsi="宋体" w:cs="宋体"/>
          <w:color w:val="auto"/>
          <w:sz w:val="24"/>
          <w:szCs w:val="24"/>
          <w:highlight w:val="none"/>
        </w:rPr>
      </w:pPr>
      <w:r>
        <w:rPr>
          <w:rFonts w:hint="eastAsia" w:hAnsi="宋体" w:cs="宋体"/>
          <w:color w:val="auto"/>
          <w:sz w:val="24"/>
          <w:szCs w:val="24"/>
          <w:highlight w:val="none"/>
        </w:rPr>
        <w:t>日期：________________________</w:t>
      </w:r>
    </w:p>
    <w:p>
      <w:pPr>
        <w:pStyle w:val="7"/>
        <w:snapToGrid w:val="0"/>
        <w:spacing w:before="156" w:after="156"/>
        <w:jc w:val="center"/>
        <w:rPr>
          <w:rFonts w:hAnsi="宋体" w:cs="宋体"/>
          <w:b/>
          <w:bCs/>
          <w:sz w:val="24"/>
          <w:szCs w:val="24"/>
          <w:highlight w:val="none"/>
        </w:rPr>
      </w:pPr>
      <w:r>
        <w:rPr>
          <w:rFonts w:hint="eastAsia" w:hAnsi="宋体" w:cs="宋体"/>
          <w:highlight w:val="none"/>
        </w:rPr>
        <w:br w:type="page"/>
      </w:r>
    </w:p>
    <w:p>
      <w:pPr>
        <w:adjustRightInd w:val="0"/>
        <w:snapToGrid w:val="0"/>
        <w:spacing w:line="400" w:lineRule="exact"/>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val="en-US" w:eastAsia="zh-CN"/>
        </w:rPr>
        <w:t>3</w:t>
      </w:r>
      <w:r>
        <w:rPr>
          <w:rFonts w:hint="eastAsia" w:ascii="宋体" w:hAnsi="宋体" w:cs="宋体"/>
          <w:b/>
          <w:color w:val="auto"/>
          <w:sz w:val="24"/>
          <w:szCs w:val="24"/>
          <w:highlight w:val="none"/>
        </w:rPr>
        <w:t>、其他证明文件或</w:t>
      </w: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认为应提交的商务文件</w:t>
      </w:r>
    </w:p>
    <w:p>
      <w:pPr>
        <w:adjustRightInd w:val="0"/>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（1）其他生产经营该产品所必需的证明文件、制造商授权书等（如有）；</w:t>
      </w:r>
    </w:p>
    <w:p>
      <w:pPr>
        <w:adjustRightInd w:val="0"/>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（2）其他</w:t>
      </w:r>
    </w:p>
    <w:p>
      <w:pPr>
        <w:widowControl/>
        <w:snapToGrid w:val="0"/>
        <w:spacing w:line="400" w:lineRule="exact"/>
        <w:jc w:val="left"/>
        <w:rPr>
          <w:rFonts w:hint="eastAsia" w:ascii="宋体" w:hAnsi="宋体" w:cs="宋体"/>
          <w:b/>
          <w:bCs/>
          <w:color w:val="auto"/>
          <w:sz w:val="24"/>
          <w:szCs w:val="24"/>
          <w:highlight w:val="none"/>
        </w:rPr>
      </w:pPr>
    </w:p>
    <w:p>
      <w:pPr>
        <w:snapToGrid w:val="0"/>
        <w:spacing w:line="400" w:lineRule="exact"/>
        <w:rPr>
          <w:rFonts w:ascii="宋体" w:hAnsi="宋体" w:cs="宋体"/>
          <w:color w:val="auto"/>
          <w:sz w:val="24"/>
          <w:szCs w:val="24"/>
          <w:highlight w:val="none"/>
        </w:rPr>
      </w:pPr>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val="en-US" w:eastAsia="zh-CN"/>
        </w:rPr>
        <w:t>4</w:t>
      </w:r>
      <w:r>
        <w:rPr>
          <w:rFonts w:hint="eastAsia" w:ascii="宋体" w:hAnsi="宋体" w:cs="宋体"/>
          <w:b/>
          <w:color w:val="auto"/>
          <w:sz w:val="24"/>
          <w:szCs w:val="24"/>
          <w:highlight w:val="none"/>
        </w:rPr>
        <w:t>、技术偏离表格式：</w:t>
      </w:r>
    </w:p>
    <w:p>
      <w:pPr>
        <w:adjustRightInd w:val="0"/>
        <w:snapToGrid w:val="0"/>
        <w:spacing w:line="400" w:lineRule="exact"/>
        <w:jc w:val="center"/>
        <w:rPr>
          <w:rFonts w:ascii="宋体" w:hAnsi="宋体" w:cs="宋体"/>
          <w:color w:val="auto"/>
          <w:sz w:val="24"/>
          <w:szCs w:val="24"/>
          <w:highlight w:val="none"/>
        </w:rPr>
      </w:pPr>
      <w:r>
        <w:rPr>
          <w:rFonts w:hint="eastAsia" w:ascii="宋体" w:hAnsi="宋体" w:cs="宋体"/>
          <w:b/>
          <w:bCs/>
          <w:color w:val="auto"/>
          <w:sz w:val="24"/>
          <w:szCs w:val="24"/>
          <w:highlight w:val="none"/>
        </w:rPr>
        <w:t>技术偏离表</w:t>
      </w:r>
    </w:p>
    <w:p>
      <w:pPr>
        <w:adjustRightInd w:val="0"/>
        <w:snapToGrid w:val="0"/>
        <w:spacing w:line="400" w:lineRule="exact"/>
        <w:jc w:val="left"/>
        <w:rPr>
          <w:rFonts w:ascii="宋体" w:hAnsi="宋体" w:cs="宋体"/>
          <w:b/>
          <w:color w:val="auto"/>
          <w:sz w:val="24"/>
          <w:szCs w:val="24"/>
          <w:highlight w:val="none"/>
        </w:rPr>
      </w:pPr>
      <w:r>
        <w:rPr>
          <w:rFonts w:hint="eastAsia" w:ascii="宋体" w:hAnsi="宋体" w:cs="宋体"/>
          <w:color w:val="auto"/>
          <w:sz w:val="24"/>
          <w:szCs w:val="24"/>
          <w:highlight w:val="none"/>
        </w:rPr>
        <w:t>项目名称：</w:t>
      </w:r>
    </w:p>
    <w:p>
      <w:pPr>
        <w:adjustRightInd w:val="0"/>
        <w:snapToGrid w:val="0"/>
        <w:spacing w:line="400" w:lineRule="exact"/>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项目编号：</w:t>
      </w:r>
    </w:p>
    <w:p>
      <w:pPr>
        <w:adjustRightInd w:val="0"/>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标包编号及内容： </w:t>
      </w:r>
    </w:p>
    <w:tbl>
      <w:tblPr>
        <w:tblStyle w:val="15"/>
        <w:tblW w:w="86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92"/>
        <w:gridCol w:w="1836"/>
        <w:gridCol w:w="1994"/>
        <w:gridCol w:w="2030"/>
        <w:gridCol w:w="126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332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招标文件要求</w:t>
            </w:r>
          </w:p>
        </w:tc>
        <w:tc>
          <w:tcPr>
            <w:tcW w:w="402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投标文件响应</w:t>
            </w:r>
          </w:p>
        </w:tc>
        <w:tc>
          <w:tcPr>
            <w:tcW w:w="126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偏离情况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6" w:hRule="atLeast"/>
          <w:jc w:val="center"/>
        </w:trPr>
        <w:tc>
          <w:tcPr>
            <w:tcW w:w="14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项目</w:t>
            </w:r>
          </w:p>
        </w:tc>
        <w:tc>
          <w:tcPr>
            <w:tcW w:w="18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要求</w:t>
            </w:r>
          </w:p>
        </w:tc>
        <w:tc>
          <w:tcPr>
            <w:tcW w:w="19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名称</w:t>
            </w:r>
          </w:p>
        </w:tc>
        <w:tc>
          <w:tcPr>
            <w:tcW w:w="20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性能及指标</w:t>
            </w:r>
          </w:p>
        </w:tc>
        <w:tc>
          <w:tcPr>
            <w:tcW w:w="126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4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8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20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4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8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20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4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8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20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4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8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20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4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8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20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 w:val="24"/>
                <w:szCs w:val="24"/>
                <w:highlight w:val="none"/>
              </w:rPr>
            </w:pPr>
          </w:p>
        </w:tc>
      </w:tr>
    </w:tbl>
    <w:p>
      <w:pPr>
        <w:adjustRightInd w:val="0"/>
        <w:snapToGrid w:val="0"/>
        <w:spacing w:line="40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注：1、</w:t>
      </w: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rPr>
        <w:t>应根据投标设备的性能指标、对照招标文件要求在“偏离情况”栏注明“正偏离”、“负偏离”或“无偏离”。</w:t>
      </w:r>
    </w:p>
    <w:p>
      <w:pPr>
        <w:adjustRightInd w:val="0"/>
        <w:snapToGrid w:val="0"/>
        <w:spacing w:line="40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2、每项技术参数须针对项目需求提供相关佐证材料（包括但不限于检测报告、技术规格书等）。</w:t>
      </w:r>
    </w:p>
    <w:p>
      <w:pPr>
        <w:adjustRightInd w:val="0"/>
        <w:snapToGrid w:val="0"/>
        <w:spacing w:line="400" w:lineRule="exact"/>
        <w:rPr>
          <w:rFonts w:ascii="宋体" w:hAnsi="宋体" w:cs="宋体"/>
          <w:b/>
          <w:bCs/>
          <w:color w:val="auto"/>
          <w:spacing w:val="20"/>
          <w:sz w:val="24"/>
          <w:szCs w:val="24"/>
          <w:highlight w:val="none"/>
        </w:rPr>
      </w:pPr>
      <w:r>
        <w:rPr>
          <w:rFonts w:hint="eastAsia" w:ascii="宋体" w:hAnsi="宋体" w:cs="宋体"/>
          <w:b/>
          <w:bCs/>
          <w:color w:val="auto"/>
          <w:sz w:val="24"/>
          <w:szCs w:val="24"/>
          <w:highlight w:val="none"/>
        </w:rPr>
        <w:t>3、</w:t>
      </w: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rPr>
        <w:t>提供投标设备的性能指标与实际不符的且产生偏离的，评标委员会有权认定该投标文件为无效响应。</w:t>
      </w:r>
    </w:p>
    <w:p>
      <w:pPr>
        <w:adjustRightInd w:val="0"/>
        <w:snapToGrid w:val="0"/>
        <w:spacing w:line="400" w:lineRule="exact"/>
        <w:ind w:right="-817" w:rightChars="-389"/>
        <w:rPr>
          <w:rFonts w:ascii="宋体" w:hAnsi="宋体" w:cs="宋体"/>
          <w:color w:val="auto"/>
          <w:sz w:val="24"/>
          <w:szCs w:val="24"/>
          <w:highlight w:val="none"/>
        </w:rPr>
      </w:pPr>
    </w:p>
    <w:p>
      <w:pPr>
        <w:adjustRightInd w:val="0"/>
        <w:snapToGrid w:val="0"/>
        <w:spacing w:line="400" w:lineRule="exact"/>
        <w:ind w:left="-4" w:leftChars="-2" w:right="-817" w:rightChars="-389" w:firstLine="2"/>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名称（盖章）：</w:t>
      </w:r>
    </w:p>
    <w:p>
      <w:pPr>
        <w:adjustRightInd w:val="0"/>
        <w:snapToGrid w:val="0"/>
        <w:spacing w:line="400" w:lineRule="exact"/>
        <w:ind w:left="-4" w:leftChars="-2" w:right="-817" w:rightChars="-389" w:firstLine="2"/>
        <w:rPr>
          <w:rFonts w:ascii="宋体" w:hAnsi="宋体" w:cs="宋体"/>
          <w:color w:val="auto"/>
          <w:sz w:val="24"/>
          <w:szCs w:val="24"/>
          <w:highlight w:val="none"/>
        </w:rPr>
      </w:pPr>
      <w:r>
        <w:rPr>
          <w:rFonts w:hint="eastAsia" w:ascii="宋体" w:hAnsi="宋体" w:cs="宋体"/>
          <w:color w:val="auto"/>
          <w:sz w:val="24"/>
          <w:szCs w:val="24"/>
          <w:highlight w:val="none"/>
        </w:rPr>
        <w:t>法定代表人（负责人、自然人）或授权代表（签字）：</w:t>
      </w:r>
    </w:p>
    <w:p>
      <w:pPr>
        <w:adjustRightInd w:val="0"/>
        <w:snapToGrid w:val="0"/>
        <w:spacing w:line="400" w:lineRule="exact"/>
        <w:ind w:left="-2" w:leftChars="-1" w:right="-817" w:rightChars="-389" w:firstLine="2"/>
        <w:jc w:val="left"/>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pPr>
        <w:pStyle w:val="12"/>
        <w:rPr>
          <w:rFonts w:hint="eastAsia"/>
          <w:color w:val="auto"/>
          <w:highlight w:val="none"/>
        </w:rPr>
      </w:pPr>
    </w:p>
    <w:p>
      <w:pPr>
        <w:pStyle w:val="12"/>
        <w:rPr>
          <w:rFonts w:hint="eastAsia" w:ascii="宋体" w:hAnsi="宋体" w:cs="宋体"/>
          <w:b/>
          <w:bCs/>
          <w:color w:val="auto"/>
          <w:sz w:val="24"/>
          <w:szCs w:val="24"/>
          <w:highlight w:val="none"/>
        </w:rPr>
      </w:pPr>
    </w:p>
    <w:p>
      <w:pPr>
        <w:pStyle w:val="12"/>
        <w:rPr>
          <w:highlight w:val="none"/>
        </w:rPr>
      </w:pPr>
    </w:p>
    <w:p>
      <w:pPr>
        <w:rPr>
          <w:rFonts w:ascii="宋体" w:hAnsi="宋体" w:cs="宋体"/>
          <w:b/>
          <w:bCs/>
          <w:sz w:val="24"/>
          <w:szCs w:val="24"/>
          <w:highlight w:val="none"/>
        </w:rPr>
      </w:pPr>
      <w:r>
        <w:rPr>
          <w:rFonts w:hint="eastAsia" w:ascii="宋体" w:hAnsi="宋体" w:cs="宋体"/>
          <w:b/>
          <w:bCs/>
          <w:sz w:val="24"/>
          <w:szCs w:val="24"/>
          <w:highlight w:val="none"/>
        </w:rPr>
        <w:br w:type="page"/>
      </w:r>
    </w:p>
    <w:p>
      <w:pPr>
        <w:widowControl/>
        <w:snapToGrid w:val="0"/>
        <w:spacing w:line="400" w:lineRule="exact"/>
        <w:jc w:val="left"/>
        <w:rPr>
          <w:rFonts w:hint="eastAsia" w:ascii="宋体" w:hAnsi="宋体" w:eastAsia="宋体" w:cs="宋体"/>
          <w:b/>
          <w:color w:val="auto"/>
          <w:sz w:val="24"/>
          <w:szCs w:val="24"/>
          <w:highlight w:val="none"/>
          <w:lang w:eastAsia="zh-CN"/>
        </w:rPr>
      </w:pP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w:t>
      </w:r>
      <w:r>
        <w:rPr>
          <w:rFonts w:hint="eastAsia" w:ascii="宋体" w:hAnsi="宋体" w:cs="宋体"/>
          <w:b/>
          <w:color w:val="auto"/>
          <w:sz w:val="24"/>
          <w:szCs w:val="24"/>
          <w:highlight w:val="none"/>
          <w:lang w:eastAsia="zh-CN"/>
        </w:rPr>
        <w:t>产品详细技术规格书</w:t>
      </w:r>
    </w:p>
    <w:p>
      <w:pPr>
        <w:snapToGrid w:val="0"/>
        <w:spacing w:line="40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货物说明包括：</w:t>
      </w:r>
    </w:p>
    <w:p>
      <w:pPr>
        <w:snapToGrid w:val="0"/>
        <w:spacing w:line="40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(1)产品技术参数（指标）、功能等性能描述；</w:t>
      </w:r>
    </w:p>
    <w:p>
      <w:pPr>
        <w:snapToGrid w:val="0"/>
        <w:spacing w:line="40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(2)产品的规范资料、外观彩图及尺寸等描述（要求提供复印件）；</w:t>
      </w:r>
    </w:p>
    <w:p>
      <w:pPr>
        <w:snapToGrid w:val="0"/>
        <w:spacing w:line="40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(3)配置先进合理，技术成熟，安全可靠；</w:t>
      </w:r>
    </w:p>
    <w:p>
      <w:pPr>
        <w:snapToGrid w:val="0"/>
        <w:spacing w:line="40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(4)货物优势介绍；</w:t>
      </w:r>
    </w:p>
    <w:p>
      <w:pPr>
        <w:snapToGrid w:val="0"/>
        <w:spacing w:line="40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(5)产品耐用性及使用功能安全性、采用新技术、新工艺或选用新材料情况；</w:t>
      </w:r>
    </w:p>
    <w:p>
      <w:pPr>
        <w:snapToGrid w:val="0"/>
        <w:spacing w:line="40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(6)</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认为有必要提供的其他说明材料。</w:t>
      </w:r>
    </w:p>
    <w:p>
      <w:pPr>
        <w:pStyle w:val="12"/>
        <w:rPr>
          <w:rFonts w:hint="eastAsia" w:ascii="宋体" w:hAnsi="宋体" w:cs="宋体"/>
          <w:b/>
          <w:bCs/>
          <w:color w:val="auto"/>
          <w:sz w:val="24"/>
          <w:szCs w:val="24"/>
          <w:highlight w:val="none"/>
        </w:rPr>
      </w:pPr>
    </w:p>
    <w:p>
      <w:pPr>
        <w:widowControl/>
        <w:snapToGrid w:val="0"/>
        <w:spacing w:line="400" w:lineRule="exact"/>
        <w:jc w:val="left"/>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16、</w:t>
      </w:r>
      <w:r>
        <w:rPr>
          <w:rFonts w:hint="eastAsia" w:ascii="宋体" w:hAnsi="宋体" w:eastAsia="宋体" w:cs="宋体"/>
          <w:b/>
          <w:color w:val="auto"/>
          <w:sz w:val="24"/>
          <w:szCs w:val="24"/>
          <w:highlight w:val="none"/>
          <w:lang w:eastAsia="zh-CN"/>
        </w:rPr>
        <w:t>与产品相关的由国家认可的检测机构出具的检测报告</w:t>
      </w:r>
      <w:r>
        <w:rPr>
          <w:rFonts w:hint="eastAsia" w:ascii="宋体" w:hAnsi="宋体" w:cs="宋体"/>
          <w:b/>
          <w:color w:val="auto"/>
          <w:sz w:val="24"/>
          <w:szCs w:val="24"/>
          <w:highlight w:val="none"/>
          <w:lang w:eastAsia="zh-CN"/>
        </w:rPr>
        <w:t>（如有）。</w:t>
      </w:r>
    </w:p>
    <w:p>
      <w:pPr>
        <w:pStyle w:val="12"/>
        <w:rPr>
          <w:rFonts w:hint="eastAsia" w:ascii="宋体" w:hAnsi="宋体" w:cs="宋体"/>
          <w:b/>
          <w:bCs/>
          <w:color w:val="auto"/>
          <w:sz w:val="24"/>
          <w:szCs w:val="24"/>
          <w:highlight w:val="none"/>
        </w:rPr>
      </w:pPr>
    </w:p>
    <w:p>
      <w:pPr>
        <w:pStyle w:val="12"/>
        <w:rPr>
          <w:rFonts w:hint="eastAsia" w:ascii="宋体" w:hAnsi="宋体" w:cs="宋体"/>
          <w:b/>
          <w:bCs/>
          <w:color w:val="auto"/>
          <w:sz w:val="24"/>
          <w:szCs w:val="24"/>
          <w:highlight w:val="none"/>
        </w:rPr>
      </w:pPr>
    </w:p>
    <w:p>
      <w:pPr>
        <w:widowControl/>
        <w:snapToGrid w:val="0"/>
        <w:spacing w:line="400" w:lineRule="exact"/>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17、针对项目的详细组织实施方案：包括（但不限于）项目人员安排、项目供货方案、质量管控方案、测试（调试）方案等内容（格式自拟）；</w:t>
      </w:r>
    </w:p>
    <w:p>
      <w:pPr>
        <w:adjustRightInd w:val="0"/>
        <w:snapToGrid w:val="0"/>
        <w:spacing w:line="500" w:lineRule="exact"/>
        <w:ind w:firstLine="470" w:firstLineChars="196"/>
        <w:jc w:val="left"/>
        <w:rPr>
          <w:rFonts w:hint="eastAsia" w:asciiTheme="majorEastAsia" w:hAnsiTheme="majorEastAsia" w:eastAsiaTheme="majorEastAsia" w:cstheme="majorEastAsia"/>
          <w:color w:val="auto"/>
          <w:sz w:val="24"/>
          <w:szCs w:val="24"/>
          <w:highlight w:val="none"/>
          <w:lang w:val="en-US" w:eastAsia="zh-CN"/>
        </w:rPr>
      </w:pPr>
    </w:p>
    <w:p>
      <w:pPr>
        <w:widowControl/>
        <w:snapToGrid w:val="0"/>
        <w:spacing w:line="400" w:lineRule="exact"/>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18、针对本项目的详细技术培训方案：包括（但不限于）</w:t>
      </w:r>
      <w:r>
        <w:rPr>
          <w:rFonts w:hint="default" w:ascii="宋体" w:hAnsi="宋体" w:eastAsia="宋体" w:cs="宋体"/>
          <w:b/>
          <w:color w:val="auto"/>
          <w:sz w:val="24"/>
          <w:szCs w:val="24"/>
          <w:highlight w:val="none"/>
          <w:lang w:val="en-US" w:eastAsia="zh-CN"/>
        </w:rPr>
        <w:t>培训内容</w:t>
      </w:r>
      <w:r>
        <w:rPr>
          <w:rFonts w:hint="eastAsia" w:ascii="宋体" w:hAnsi="宋体" w:eastAsia="宋体" w:cs="宋体"/>
          <w:b/>
          <w:color w:val="auto"/>
          <w:sz w:val="24"/>
          <w:szCs w:val="24"/>
          <w:highlight w:val="none"/>
          <w:lang w:val="en-US" w:eastAsia="zh-CN"/>
        </w:rPr>
        <w:t>、</w:t>
      </w:r>
      <w:r>
        <w:rPr>
          <w:rFonts w:hint="default" w:ascii="宋体" w:hAnsi="宋体" w:eastAsia="宋体" w:cs="宋体"/>
          <w:b/>
          <w:color w:val="auto"/>
          <w:sz w:val="24"/>
          <w:szCs w:val="24"/>
          <w:highlight w:val="none"/>
          <w:lang w:val="en-US" w:eastAsia="zh-CN"/>
        </w:rPr>
        <w:t>培训方式</w:t>
      </w:r>
      <w:r>
        <w:rPr>
          <w:rFonts w:hint="eastAsia" w:ascii="宋体" w:hAnsi="宋体" w:eastAsia="宋体" w:cs="宋体"/>
          <w:b/>
          <w:color w:val="auto"/>
          <w:sz w:val="24"/>
          <w:szCs w:val="24"/>
          <w:highlight w:val="none"/>
          <w:lang w:val="en-US" w:eastAsia="zh-CN"/>
        </w:rPr>
        <w:t>、</w:t>
      </w:r>
      <w:r>
        <w:rPr>
          <w:rFonts w:hint="default" w:ascii="宋体" w:hAnsi="宋体" w:eastAsia="宋体" w:cs="宋体"/>
          <w:b/>
          <w:color w:val="auto"/>
          <w:sz w:val="24"/>
          <w:szCs w:val="24"/>
          <w:highlight w:val="none"/>
          <w:lang w:val="en-US" w:eastAsia="zh-CN"/>
        </w:rPr>
        <w:t>培训计划</w:t>
      </w:r>
      <w:r>
        <w:rPr>
          <w:rFonts w:hint="eastAsia" w:ascii="宋体" w:hAnsi="宋体" w:eastAsia="宋体" w:cs="宋体"/>
          <w:b/>
          <w:color w:val="auto"/>
          <w:sz w:val="24"/>
          <w:szCs w:val="24"/>
          <w:highlight w:val="none"/>
          <w:lang w:val="en-US" w:eastAsia="zh-CN"/>
        </w:rPr>
        <w:t>、</w:t>
      </w:r>
      <w:r>
        <w:rPr>
          <w:rFonts w:hint="default" w:ascii="宋体" w:hAnsi="宋体" w:eastAsia="宋体" w:cs="宋体"/>
          <w:b/>
          <w:color w:val="auto"/>
          <w:sz w:val="24"/>
          <w:szCs w:val="24"/>
          <w:highlight w:val="none"/>
          <w:lang w:val="en-US" w:eastAsia="zh-CN"/>
        </w:rPr>
        <w:t>培训团队人员配置等</w:t>
      </w:r>
      <w:r>
        <w:rPr>
          <w:rFonts w:hint="eastAsia" w:ascii="宋体" w:hAnsi="宋体" w:eastAsia="宋体" w:cs="宋体"/>
          <w:b/>
          <w:color w:val="auto"/>
          <w:sz w:val="24"/>
          <w:szCs w:val="24"/>
          <w:highlight w:val="none"/>
          <w:lang w:val="en-US" w:eastAsia="zh-CN"/>
        </w:rPr>
        <w:t>内容。</w:t>
      </w:r>
    </w:p>
    <w:p>
      <w:pPr>
        <w:pStyle w:val="7"/>
        <w:rPr>
          <w:rFonts w:ascii="宋体" w:hAnsi="宋体" w:cs="宋体"/>
          <w:b/>
          <w:sz w:val="24"/>
          <w:szCs w:val="24"/>
          <w:highlight w:val="none"/>
        </w:rPr>
      </w:pPr>
    </w:p>
    <w:p>
      <w:pPr>
        <w:rPr>
          <w:highlight w:val="none"/>
        </w:rPr>
      </w:pPr>
      <w:r>
        <w:rPr>
          <w:highlight w:val="none"/>
        </w:rPr>
        <w:br w:type="page"/>
      </w:r>
    </w:p>
    <w:p>
      <w:pPr>
        <w:widowControl/>
        <w:snapToGrid w:val="0"/>
        <w:spacing w:line="400" w:lineRule="exact"/>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19、针对本项目的售后服务方案：包括（但不限于）售后</w:t>
      </w:r>
      <w:r>
        <w:rPr>
          <w:rFonts w:hint="default" w:ascii="宋体" w:hAnsi="宋体" w:eastAsia="宋体" w:cs="宋体"/>
          <w:b/>
          <w:color w:val="auto"/>
          <w:sz w:val="24"/>
          <w:szCs w:val="24"/>
          <w:highlight w:val="none"/>
          <w:lang w:val="en-US" w:eastAsia="zh-CN"/>
        </w:rPr>
        <w:t>服务承诺</w:t>
      </w:r>
      <w:r>
        <w:rPr>
          <w:rFonts w:hint="eastAsia" w:ascii="宋体" w:hAnsi="宋体" w:eastAsia="宋体" w:cs="宋体"/>
          <w:b/>
          <w:color w:val="auto"/>
          <w:sz w:val="24"/>
          <w:szCs w:val="24"/>
          <w:highlight w:val="none"/>
          <w:lang w:val="en-US" w:eastAsia="zh-CN"/>
        </w:rPr>
        <w:t>、</w:t>
      </w:r>
      <w:r>
        <w:rPr>
          <w:rFonts w:hint="default" w:ascii="宋体" w:hAnsi="宋体" w:eastAsia="宋体" w:cs="宋体"/>
          <w:b/>
          <w:color w:val="auto"/>
          <w:sz w:val="24"/>
          <w:szCs w:val="24"/>
          <w:highlight w:val="none"/>
          <w:lang w:val="en-US" w:eastAsia="zh-CN"/>
        </w:rPr>
        <w:t>服务响应方案</w:t>
      </w:r>
      <w:r>
        <w:rPr>
          <w:rFonts w:hint="eastAsia" w:ascii="宋体" w:hAnsi="宋体" w:eastAsia="宋体" w:cs="宋体"/>
          <w:b/>
          <w:color w:val="auto"/>
          <w:sz w:val="24"/>
          <w:szCs w:val="24"/>
          <w:highlight w:val="none"/>
          <w:lang w:val="en-US" w:eastAsia="zh-CN"/>
        </w:rPr>
        <w:t>、</w:t>
      </w:r>
      <w:r>
        <w:rPr>
          <w:rFonts w:hint="default" w:ascii="宋体" w:hAnsi="宋体" w:eastAsia="宋体" w:cs="宋体"/>
          <w:b/>
          <w:color w:val="auto"/>
          <w:sz w:val="24"/>
          <w:szCs w:val="24"/>
          <w:highlight w:val="none"/>
          <w:lang w:val="en-US" w:eastAsia="zh-CN"/>
        </w:rPr>
        <w:t>备件（易耗品）供应方案</w:t>
      </w:r>
      <w:r>
        <w:rPr>
          <w:rFonts w:hint="eastAsia" w:ascii="宋体" w:hAnsi="宋体" w:eastAsia="宋体" w:cs="宋体"/>
          <w:b/>
          <w:color w:val="auto"/>
          <w:sz w:val="24"/>
          <w:szCs w:val="24"/>
          <w:highlight w:val="none"/>
          <w:lang w:val="en-US" w:eastAsia="zh-CN"/>
        </w:rPr>
        <w:t>（含备件价格）、</w:t>
      </w:r>
      <w:r>
        <w:rPr>
          <w:rFonts w:hint="default" w:ascii="宋体" w:hAnsi="宋体" w:eastAsia="宋体" w:cs="宋体"/>
          <w:b/>
          <w:color w:val="auto"/>
          <w:sz w:val="24"/>
          <w:szCs w:val="24"/>
          <w:highlight w:val="none"/>
          <w:lang w:val="en-US" w:eastAsia="zh-CN"/>
        </w:rPr>
        <w:t>服务人员配备</w:t>
      </w:r>
      <w:r>
        <w:rPr>
          <w:rFonts w:hint="eastAsia" w:ascii="宋体" w:hAnsi="宋体" w:eastAsia="宋体" w:cs="宋体"/>
          <w:b/>
          <w:color w:val="auto"/>
          <w:sz w:val="24"/>
          <w:szCs w:val="24"/>
          <w:highlight w:val="none"/>
          <w:lang w:val="en-US" w:eastAsia="zh-CN"/>
        </w:rPr>
        <w:t>、</w:t>
      </w:r>
      <w:r>
        <w:rPr>
          <w:rFonts w:hint="default" w:ascii="宋体" w:hAnsi="宋体" w:eastAsia="宋体" w:cs="宋体"/>
          <w:b/>
          <w:color w:val="auto"/>
          <w:sz w:val="24"/>
          <w:szCs w:val="24"/>
          <w:highlight w:val="none"/>
          <w:lang w:val="en-US" w:eastAsia="zh-CN"/>
        </w:rPr>
        <w:t>故障响应</w:t>
      </w:r>
      <w:r>
        <w:rPr>
          <w:rFonts w:hint="eastAsia" w:ascii="宋体" w:hAnsi="宋体" w:eastAsia="宋体" w:cs="宋体"/>
          <w:b/>
          <w:color w:val="auto"/>
          <w:sz w:val="24"/>
          <w:szCs w:val="24"/>
          <w:highlight w:val="none"/>
          <w:lang w:val="en-US" w:eastAsia="zh-CN"/>
        </w:rPr>
        <w:t>措施、</w:t>
      </w:r>
      <w:r>
        <w:rPr>
          <w:rFonts w:hint="default" w:ascii="宋体" w:hAnsi="宋体" w:eastAsia="宋体" w:cs="宋体"/>
          <w:b/>
          <w:color w:val="auto"/>
          <w:sz w:val="24"/>
          <w:szCs w:val="24"/>
          <w:highlight w:val="none"/>
          <w:lang w:val="en-US" w:eastAsia="zh-CN"/>
        </w:rPr>
        <w:t>质保外服务措施等</w:t>
      </w:r>
      <w:r>
        <w:rPr>
          <w:rFonts w:hint="eastAsia" w:ascii="宋体" w:hAnsi="宋体" w:eastAsia="宋体" w:cs="宋体"/>
          <w:b/>
          <w:color w:val="auto"/>
          <w:sz w:val="24"/>
          <w:szCs w:val="24"/>
          <w:highlight w:val="none"/>
          <w:lang w:val="en-US" w:eastAsia="zh-CN"/>
        </w:rPr>
        <w:t>内容。</w:t>
      </w:r>
    </w:p>
    <w:p>
      <w:pPr>
        <w:widowControl/>
        <w:snapToGrid w:val="0"/>
        <w:spacing w:line="400" w:lineRule="exact"/>
        <w:jc w:val="center"/>
        <w:rPr>
          <w:rFonts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售后服务附表</w:t>
      </w:r>
    </w:p>
    <w:p>
      <w:pPr>
        <w:snapToGrid w:val="0"/>
        <w:spacing w:line="400" w:lineRule="exact"/>
        <w:jc w:val="left"/>
        <w:rPr>
          <w:rFonts w:asciiTheme="minorEastAsia" w:hAnsiTheme="minorEastAsia" w:eastAsiaTheme="minorEastAsia" w:cstheme="minorEastAsia"/>
          <w:color w:val="auto"/>
          <w:spacing w:val="1"/>
          <w:kern w:val="0"/>
          <w:sz w:val="24"/>
          <w:szCs w:val="24"/>
          <w:highlight w:val="none"/>
          <w:u w:val="single"/>
        </w:rPr>
      </w:pPr>
      <w:r>
        <w:rPr>
          <w:rFonts w:hint="eastAsia" w:asciiTheme="minorEastAsia" w:hAnsiTheme="minorEastAsia" w:eastAsiaTheme="minorEastAsia" w:cstheme="minorEastAsia"/>
          <w:color w:val="auto"/>
          <w:spacing w:val="1"/>
          <w:kern w:val="0"/>
          <w:sz w:val="24"/>
          <w:szCs w:val="24"/>
          <w:highlight w:val="none"/>
        </w:rPr>
        <w:t>项目名称：</w:t>
      </w:r>
    </w:p>
    <w:p>
      <w:pPr>
        <w:snapToGrid w:val="0"/>
        <w:spacing w:line="400" w:lineRule="exact"/>
        <w:jc w:val="left"/>
        <w:rPr>
          <w:rFonts w:asciiTheme="minorEastAsia" w:hAnsiTheme="minorEastAsia" w:eastAsiaTheme="minorEastAsia" w:cstheme="minorEastAsia"/>
          <w:color w:val="auto"/>
          <w:spacing w:val="1"/>
          <w:kern w:val="0"/>
          <w:sz w:val="24"/>
          <w:szCs w:val="24"/>
          <w:highlight w:val="none"/>
          <w:u w:val="single"/>
        </w:rPr>
      </w:pPr>
      <w:r>
        <w:rPr>
          <w:rFonts w:hint="eastAsia" w:asciiTheme="minorEastAsia" w:hAnsiTheme="minorEastAsia" w:eastAsiaTheme="minorEastAsia" w:cstheme="minorEastAsia"/>
          <w:color w:val="auto"/>
          <w:spacing w:val="1"/>
          <w:kern w:val="0"/>
          <w:sz w:val="24"/>
          <w:szCs w:val="24"/>
          <w:highlight w:val="none"/>
        </w:rPr>
        <w:t>标包编号：</w:t>
      </w:r>
    </w:p>
    <w:p>
      <w:pPr>
        <w:snapToGrid w:val="0"/>
        <w:spacing w:line="400" w:lineRule="exact"/>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标包编号及内容： </w:t>
      </w:r>
    </w:p>
    <w:tbl>
      <w:tblPr>
        <w:tblStyle w:val="15"/>
        <w:tblW w:w="8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1046"/>
        <w:gridCol w:w="2151"/>
        <w:gridCol w:w="1253"/>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58" w:type="dxa"/>
            <w:vAlign w:val="center"/>
          </w:tcPr>
          <w:p>
            <w:pPr>
              <w:snapToGrid w:val="0"/>
              <w:spacing w:line="400" w:lineRule="exact"/>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服务网点名称</w:t>
            </w:r>
          </w:p>
        </w:tc>
        <w:tc>
          <w:tcPr>
            <w:tcW w:w="4450" w:type="dxa"/>
            <w:gridSpan w:val="3"/>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c>
          <w:tcPr>
            <w:tcW w:w="2242" w:type="dxa"/>
            <w:vMerge w:val="restart"/>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58" w:type="dxa"/>
            <w:vAlign w:val="center"/>
          </w:tcPr>
          <w:p>
            <w:pPr>
              <w:snapToGrid w:val="0"/>
              <w:spacing w:line="400" w:lineRule="exact"/>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地址</w:t>
            </w:r>
          </w:p>
        </w:tc>
        <w:tc>
          <w:tcPr>
            <w:tcW w:w="4450" w:type="dxa"/>
            <w:gridSpan w:val="3"/>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c>
          <w:tcPr>
            <w:tcW w:w="2242" w:type="dxa"/>
            <w:vMerge w:val="continue"/>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658" w:type="dxa"/>
            <w:vAlign w:val="center"/>
          </w:tcPr>
          <w:p>
            <w:pPr>
              <w:snapToGrid w:val="0"/>
              <w:spacing w:line="400" w:lineRule="exact"/>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注册资本金</w:t>
            </w:r>
          </w:p>
        </w:tc>
        <w:tc>
          <w:tcPr>
            <w:tcW w:w="1046" w:type="dxa"/>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c>
          <w:tcPr>
            <w:tcW w:w="2151" w:type="dxa"/>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其中：</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出资比例</w:t>
            </w:r>
          </w:p>
        </w:tc>
        <w:tc>
          <w:tcPr>
            <w:tcW w:w="1253" w:type="dxa"/>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c>
          <w:tcPr>
            <w:tcW w:w="2242" w:type="dxa"/>
            <w:vMerge w:val="restart"/>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提供相关证明材料（如：营业执照或租房合同等）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58" w:type="dxa"/>
            <w:vAlign w:val="center"/>
          </w:tcPr>
          <w:p>
            <w:pPr>
              <w:snapToGrid w:val="0"/>
              <w:spacing w:line="400" w:lineRule="exact"/>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员工总人数</w:t>
            </w:r>
          </w:p>
        </w:tc>
        <w:tc>
          <w:tcPr>
            <w:tcW w:w="1046" w:type="dxa"/>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c>
          <w:tcPr>
            <w:tcW w:w="2151" w:type="dxa"/>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其中：技术人员数</w:t>
            </w:r>
          </w:p>
        </w:tc>
        <w:tc>
          <w:tcPr>
            <w:tcW w:w="1253" w:type="dxa"/>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c>
          <w:tcPr>
            <w:tcW w:w="2242" w:type="dxa"/>
            <w:vMerge w:val="continue"/>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58" w:type="dxa"/>
            <w:vAlign w:val="center"/>
          </w:tcPr>
          <w:p>
            <w:pPr>
              <w:snapToGrid w:val="0"/>
              <w:spacing w:line="400" w:lineRule="exact"/>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经营期限</w:t>
            </w:r>
          </w:p>
        </w:tc>
        <w:tc>
          <w:tcPr>
            <w:tcW w:w="4450" w:type="dxa"/>
            <w:gridSpan w:val="3"/>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c>
          <w:tcPr>
            <w:tcW w:w="2242" w:type="dxa"/>
            <w:vMerge w:val="continue"/>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658" w:type="dxa"/>
            <w:vAlign w:val="center"/>
          </w:tcPr>
          <w:p>
            <w:pPr>
              <w:snapToGrid w:val="0"/>
              <w:spacing w:line="400" w:lineRule="exact"/>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售后服务协议</w:t>
            </w:r>
          </w:p>
        </w:tc>
        <w:tc>
          <w:tcPr>
            <w:tcW w:w="4450" w:type="dxa"/>
            <w:gridSpan w:val="3"/>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c>
          <w:tcPr>
            <w:tcW w:w="2242" w:type="dxa"/>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提供相关</w:t>
            </w:r>
          </w:p>
          <w:p>
            <w:pPr>
              <w:snapToGrid w:val="0"/>
              <w:spacing w:line="400" w:lineRule="exact"/>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58" w:type="dxa"/>
            <w:vAlign w:val="center"/>
          </w:tcPr>
          <w:p>
            <w:pPr>
              <w:snapToGrid w:val="0"/>
              <w:spacing w:line="400" w:lineRule="exact"/>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售后服务内容</w:t>
            </w:r>
          </w:p>
        </w:tc>
        <w:tc>
          <w:tcPr>
            <w:tcW w:w="4450" w:type="dxa"/>
            <w:gridSpan w:val="3"/>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c>
          <w:tcPr>
            <w:tcW w:w="2242" w:type="dxa"/>
            <w:vMerge w:val="restart"/>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此部分内容做附件进行详细说明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58" w:type="dxa"/>
            <w:vAlign w:val="center"/>
          </w:tcPr>
          <w:p>
            <w:pPr>
              <w:snapToGrid w:val="0"/>
              <w:spacing w:line="400" w:lineRule="exact"/>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服务承诺</w:t>
            </w:r>
          </w:p>
        </w:tc>
        <w:tc>
          <w:tcPr>
            <w:tcW w:w="4450" w:type="dxa"/>
            <w:gridSpan w:val="3"/>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c>
          <w:tcPr>
            <w:tcW w:w="2242" w:type="dxa"/>
            <w:vMerge w:val="continue"/>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58" w:type="dxa"/>
            <w:vAlign w:val="center"/>
          </w:tcPr>
          <w:p>
            <w:pPr>
              <w:snapToGrid w:val="0"/>
              <w:spacing w:line="400" w:lineRule="exact"/>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业务咨询电话</w:t>
            </w:r>
          </w:p>
        </w:tc>
        <w:tc>
          <w:tcPr>
            <w:tcW w:w="1046" w:type="dxa"/>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c>
          <w:tcPr>
            <w:tcW w:w="2151" w:type="dxa"/>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传真</w:t>
            </w:r>
          </w:p>
        </w:tc>
        <w:tc>
          <w:tcPr>
            <w:tcW w:w="1253" w:type="dxa"/>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c>
          <w:tcPr>
            <w:tcW w:w="2242" w:type="dxa"/>
            <w:vMerge w:val="restart"/>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附人员身份证等相关证件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658" w:type="dxa"/>
            <w:vAlign w:val="center"/>
          </w:tcPr>
          <w:p>
            <w:pPr>
              <w:snapToGrid w:val="0"/>
              <w:spacing w:line="400" w:lineRule="exact"/>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负责人</w:t>
            </w:r>
          </w:p>
        </w:tc>
        <w:tc>
          <w:tcPr>
            <w:tcW w:w="1046" w:type="dxa"/>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c>
          <w:tcPr>
            <w:tcW w:w="2151" w:type="dxa"/>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联系电话</w:t>
            </w:r>
          </w:p>
        </w:tc>
        <w:tc>
          <w:tcPr>
            <w:tcW w:w="1253" w:type="dxa"/>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c>
          <w:tcPr>
            <w:tcW w:w="2242" w:type="dxa"/>
            <w:vMerge w:val="continue"/>
            <w:vAlign w:val="center"/>
          </w:tcPr>
          <w:p>
            <w:pPr>
              <w:snapToGrid w:val="0"/>
              <w:spacing w:line="400" w:lineRule="exact"/>
              <w:jc w:val="center"/>
              <w:rPr>
                <w:rFonts w:asciiTheme="minorEastAsia" w:hAnsiTheme="minorEastAsia" w:eastAsiaTheme="minorEastAsia" w:cstheme="minorEastAsia"/>
                <w:color w:val="auto"/>
                <w:kern w:val="0"/>
                <w:sz w:val="24"/>
                <w:szCs w:val="24"/>
                <w:highlight w:val="none"/>
              </w:rPr>
            </w:pPr>
          </w:p>
        </w:tc>
      </w:tr>
    </w:tbl>
    <w:p>
      <w:pPr>
        <w:snapToGrid w:val="0"/>
        <w:spacing w:line="400" w:lineRule="exact"/>
        <w:jc w:val="left"/>
        <w:rPr>
          <w:rFonts w:asciiTheme="minorEastAsia" w:hAnsiTheme="minorEastAsia" w:eastAsiaTheme="minorEastAsia" w:cstheme="minorEastAsia"/>
          <w:color w:val="auto"/>
          <w:kern w:val="0"/>
          <w:sz w:val="24"/>
          <w:szCs w:val="24"/>
          <w:highlight w:val="none"/>
        </w:rPr>
      </w:pPr>
    </w:p>
    <w:p>
      <w:pPr>
        <w:pStyle w:val="27"/>
        <w:adjustRightInd w:val="0"/>
        <w:snapToGrid w:val="0"/>
        <w:spacing w:line="400" w:lineRule="exact"/>
        <w:ind w:left="1747" w:firstLine="470"/>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（盖单位章）：</w:t>
      </w:r>
    </w:p>
    <w:p>
      <w:pPr>
        <w:snapToGrid w:val="0"/>
        <w:spacing w:line="400" w:lineRule="exact"/>
        <w:jc w:val="left"/>
        <w:rPr>
          <w:rFonts w:asciiTheme="minorEastAsia" w:hAnsiTheme="minorEastAsia" w:eastAsiaTheme="minorEastAsia" w:cstheme="minorEastAsia"/>
          <w:color w:val="auto"/>
          <w:sz w:val="24"/>
          <w:szCs w:val="24"/>
          <w:highlight w:val="none"/>
        </w:rPr>
      </w:pPr>
      <w:r>
        <w:rPr>
          <w:rFonts w:hint="eastAsia" w:ascii="宋体" w:hAnsi="宋体" w:cs="宋体"/>
          <w:color w:val="auto"/>
          <w:sz w:val="24"/>
          <w:szCs w:val="24"/>
          <w:highlight w:val="none"/>
        </w:rPr>
        <w:t>法定代表人或其委托代理人（签字或盖章）：</w:t>
      </w:r>
    </w:p>
    <w:p>
      <w:pPr>
        <w:snapToGrid w:val="0"/>
        <w:spacing w:line="400" w:lineRule="exact"/>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日期：        年    月    日</w:t>
      </w:r>
    </w:p>
    <w:p>
      <w:pPr>
        <w:widowControl/>
        <w:snapToGrid w:val="0"/>
        <w:spacing w:line="400" w:lineRule="exact"/>
        <w:jc w:val="left"/>
        <w:rPr>
          <w:rFonts w:hint="eastAsia" w:ascii="宋体" w:hAnsi="宋体" w:eastAsia="宋体" w:cs="宋体"/>
          <w:b/>
          <w:color w:val="auto"/>
          <w:sz w:val="24"/>
          <w:szCs w:val="24"/>
          <w:highlight w:val="none"/>
          <w:lang w:val="en-US" w:eastAsia="zh-CN"/>
        </w:rPr>
      </w:pPr>
    </w:p>
    <w:p>
      <w:pPr>
        <w:pStyle w:val="12"/>
        <w:rPr>
          <w:rFonts w:hint="eastAsia" w:ascii="宋体" w:hAnsi="宋体" w:eastAsia="宋体" w:cs="宋体"/>
          <w:b/>
          <w:color w:val="auto"/>
          <w:sz w:val="24"/>
          <w:szCs w:val="24"/>
          <w:highlight w:val="none"/>
          <w:lang w:val="en-US" w:eastAsia="zh-CN"/>
        </w:rPr>
      </w:pPr>
    </w:p>
    <w:p>
      <w:pPr>
        <w:pStyle w:val="12"/>
        <w:rPr>
          <w:rFonts w:hint="eastAsia" w:ascii="宋体" w:hAnsi="宋体" w:eastAsia="宋体" w:cs="宋体"/>
          <w:b/>
          <w:color w:val="auto"/>
          <w:sz w:val="24"/>
          <w:szCs w:val="24"/>
          <w:highlight w:val="none"/>
          <w:lang w:val="en-US" w:eastAsia="zh-CN"/>
        </w:rPr>
      </w:pPr>
    </w:p>
    <w:p>
      <w:pPr>
        <w:rPr>
          <w:rFonts w:ascii="宋体" w:hAnsi="宋体" w:cs="宋体"/>
          <w:b/>
          <w:sz w:val="24"/>
          <w:szCs w:val="24"/>
          <w:highlight w:val="none"/>
        </w:rPr>
      </w:pPr>
      <w:r>
        <w:rPr>
          <w:rFonts w:hint="eastAsia" w:ascii="宋体" w:hAnsi="宋体" w:cs="宋体"/>
          <w:b/>
          <w:sz w:val="24"/>
          <w:szCs w:val="24"/>
          <w:highlight w:val="none"/>
        </w:rPr>
        <w:br w:type="page"/>
      </w:r>
    </w:p>
    <w:p>
      <w:pPr>
        <w:widowControl/>
        <w:snapToGrid w:val="0"/>
        <w:spacing w:line="400" w:lineRule="exact"/>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20、其他优惠条件（如有）：</w:t>
      </w:r>
      <w:r>
        <w:rPr>
          <w:rFonts w:hint="eastAsia" w:ascii="宋体" w:hAnsi="宋体" w:cs="宋体"/>
          <w:b/>
          <w:color w:val="auto"/>
          <w:sz w:val="24"/>
          <w:szCs w:val="24"/>
          <w:highlight w:val="none"/>
          <w:lang w:val="en-US" w:eastAsia="zh-CN"/>
        </w:rPr>
        <w:t>供应商</w:t>
      </w:r>
      <w:r>
        <w:rPr>
          <w:rFonts w:hint="eastAsia" w:ascii="宋体" w:hAnsi="宋体" w:eastAsia="宋体" w:cs="宋体"/>
          <w:b/>
          <w:color w:val="auto"/>
          <w:sz w:val="24"/>
          <w:szCs w:val="24"/>
          <w:highlight w:val="none"/>
          <w:lang w:val="en-US" w:eastAsia="zh-CN"/>
        </w:rPr>
        <w:t>承诺给予采购人的各种优惠条件，包括备品备件、专用耗材等；</w:t>
      </w:r>
    </w:p>
    <w:p>
      <w:pPr>
        <w:widowControl/>
        <w:snapToGrid w:val="0"/>
        <w:spacing w:line="400" w:lineRule="exact"/>
        <w:jc w:val="left"/>
        <w:rPr>
          <w:rFonts w:ascii="宋体" w:hAnsi="宋体" w:cs="宋体"/>
          <w:b/>
          <w:sz w:val="24"/>
          <w:szCs w:val="24"/>
          <w:highlight w:val="none"/>
        </w:rPr>
      </w:pPr>
    </w:p>
    <w:p>
      <w:pPr>
        <w:pStyle w:val="12"/>
        <w:rPr>
          <w:rFonts w:ascii="宋体" w:hAnsi="宋体" w:cs="宋体"/>
          <w:b/>
          <w:sz w:val="24"/>
          <w:szCs w:val="24"/>
          <w:highlight w:val="none"/>
        </w:rPr>
      </w:pPr>
    </w:p>
    <w:p>
      <w:pPr>
        <w:pStyle w:val="12"/>
        <w:rPr>
          <w:rFonts w:ascii="宋体" w:hAnsi="宋体" w:cs="宋体"/>
          <w:b/>
          <w:sz w:val="24"/>
          <w:szCs w:val="24"/>
          <w:highlight w:val="none"/>
        </w:rPr>
      </w:pPr>
    </w:p>
    <w:p>
      <w:pPr>
        <w:pStyle w:val="12"/>
        <w:rPr>
          <w:rFonts w:ascii="宋体" w:hAnsi="宋体" w:cs="宋体"/>
          <w:b/>
          <w:sz w:val="24"/>
          <w:szCs w:val="24"/>
          <w:highlight w:val="none"/>
        </w:rPr>
      </w:pPr>
    </w:p>
    <w:p>
      <w:pPr>
        <w:pStyle w:val="12"/>
        <w:rPr>
          <w:rFonts w:ascii="宋体" w:hAnsi="宋体" w:cs="宋体"/>
          <w:b/>
          <w:sz w:val="24"/>
          <w:szCs w:val="24"/>
          <w:highlight w:val="none"/>
        </w:rPr>
      </w:pPr>
    </w:p>
    <w:p>
      <w:pPr>
        <w:widowControl/>
        <w:snapToGrid w:val="0"/>
        <w:spacing w:line="400" w:lineRule="exact"/>
        <w:jc w:val="left"/>
        <w:rPr>
          <w:rFonts w:ascii="宋体" w:hAnsi="宋体" w:cs="宋体"/>
          <w:b/>
          <w:sz w:val="24"/>
          <w:szCs w:val="24"/>
          <w:highlight w:val="none"/>
        </w:rPr>
      </w:pPr>
      <w:r>
        <w:rPr>
          <w:rFonts w:hint="eastAsia" w:ascii="宋体" w:hAnsi="宋体" w:cs="宋体"/>
          <w:b/>
          <w:sz w:val="24"/>
          <w:szCs w:val="24"/>
          <w:highlight w:val="none"/>
        </w:rPr>
        <w:t>21、</w:t>
      </w:r>
      <w:r>
        <w:rPr>
          <w:rFonts w:hint="eastAsia" w:ascii="宋体" w:hAnsi="宋体" w:cs="宋体"/>
          <w:b/>
          <w:sz w:val="24"/>
          <w:szCs w:val="24"/>
          <w:highlight w:val="none"/>
          <w:lang w:eastAsia="zh-CN"/>
        </w:rPr>
        <w:t>供应商</w:t>
      </w:r>
      <w:r>
        <w:rPr>
          <w:rFonts w:hint="eastAsia" w:ascii="宋体" w:hAnsi="宋体" w:cs="宋体"/>
          <w:b/>
          <w:sz w:val="24"/>
          <w:szCs w:val="24"/>
          <w:highlight w:val="none"/>
        </w:rPr>
        <w:t>需要提供的其他文件或资料（如有）。</w:t>
      </w:r>
    </w:p>
    <w:p>
      <w:pPr>
        <w:pStyle w:val="12"/>
        <w:rPr>
          <w:rFonts w:ascii="宋体" w:hAnsi="宋体" w:cs="宋体"/>
          <w:b/>
          <w:bCs/>
          <w:sz w:val="24"/>
          <w:szCs w:val="24"/>
          <w:highlight w:val="none"/>
        </w:rPr>
      </w:pPr>
    </w:p>
    <w:p>
      <w:pPr>
        <w:rPr>
          <w:sz w:val="24"/>
          <w:szCs w:val="22"/>
          <w:highlight w:val="none"/>
        </w:rPr>
      </w:pPr>
      <w:r>
        <w:rPr>
          <w:rFonts w:hint="eastAsia"/>
          <w:sz w:val="24"/>
          <w:szCs w:val="22"/>
          <w:highlight w:val="none"/>
        </w:rPr>
        <w:br w:type="page"/>
      </w:r>
    </w:p>
    <w:p>
      <w:pPr>
        <w:pStyle w:val="14"/>
        <w:ind w:firstLine="0" w:firstLineChars="0"/>
        <w:rPr>
          <w:color w:val="auto"/>
          <w:sz w:val="24"/>
          <w:szCs w:val="22"/>
          <w:highlight w:val="none"/>
        </w:rPr>
      </w:pPr>
      <w:r>
        <w:rPr>
          <w:rFonts w:hint="eastAsia"/>
          <w:color w:val="auto"/>
          <w:sz w:val="24"/>
          <w:szCs w:val="22"/>
          <w:highlight w:val="none"/>
        </w:rPr>
        <w:t>附：</w:t>
      </w:r>
    </w:p>
    <w:p>
      <w:pPr>
        <w:pStyle w:val="14"/>
        <w:ind w:firstLine="0" w:firstLineChars="0"/>
        <w:jc w:val="center"/>
        <w:rPr>
          <w:color w:val="auto"/>
          <w:sz w:val="24"/>
          <w:szCs w:val="22"/>
          <w:highlight w:val="none"/>
        </w:rPr>
      </w:pPr>
      <w:r>
        <w:rPr>
          <w:rFonts w:hint="eastAsia"/>
          <w:color w:val="auto"/>
          <w:sz w:val="24"/>
          <w:szCs w:val="22"/>
          <w:highlight w:val="none"/>
        </w:rPr>
        <w:t>质疑函范本</w:t>
      </w:r>
    </w:p>
    <w:p>
      <w:pPr>
        <w:pStyle w:val="14"/>
        <w:ind w:firstLine="480"/>
        <w:rPr>
          <w:color w:val="auto"/>
          <w:sz w:val="24"/>
          <w:szCs w:val="22"/>
          <w:highlight w:val="none"/>
        </w:rPr>
      </w:pPr>
      <w:r>
        <w:rPr>
          <w:rFonts w:hint="eastAsia"/>
          <w:color w:val="auto"/>
          <w:sz w:val="24"/>
          <w:szCs w:val="22"/>
          <w:highlight w:val="none"/>
        </w:rPr>
        <w:t>一、质疑供应商基本信息</w:t>
      </w:r>
    </w:p>
    <w:p>
      <w:pPr>
        <w:pStyle w:val="14"/>
        <w:ind w:firstLine="480"/>
        <w:rPr>
          <w:color w:val="auto"/>
          <w:sz w:val="24"/>
          <w:szCs w:val="22"/>
          <w:highlight w:val="none"/>
          <w:u w:val="single"/>
        </w:rPr>
      </w:pPr>
      <w:r>
        <w:rPr>
          <w:rFonts w:hint="eastAsia"/>
          <w:color w:val="auto"/>
          <w:sz w:val="24"/>
          <w:szCs w:val="22"/>
          <w:highlight w:val="none"/>
        </w:rPr>
        <w:t xml:space="preserve">质疑供应商：  </w:t>
      </w:r>
    </w:p>
    <w:p>
      <w:pPr>
        <w:pStyle w:val="14"/>
        <w:ind w:firstLine="480"/>
        <w:rPr>
          <w:color w:val="auto"/>
          <w:sz w:val="24"/>
          <w:szCs w:val="22"/>
          <w:highlight w:val="none"/>
        </w:rPr>
      </w:pPr>
      <w:r>
        <w:rPr>
          <w:rFonts w:hint="eastAsia"/>
          <w:color w:val="auto"/>
          <w:sz w:val="24"/>
          <w:szCs w:val="22"/>
          <w:highlight w:val="none"/>
        </w:rPr>
        <w:t xml:space="preserve">地址：                          邮编：                  </w:t>
      </w:r>
    </w:p>
    <w:p>
      <w:pPr>
        <w:pStyle w:val="14"/>
        <w:ind w:firstLine="480"/>
        <w:rPr>
          <w:color w:val="auto"/>
          <w:sz w:val="24"/>
          <w:szCs w:val="22"/>
          <w:highlight w:val="none"/>
        </w:rPr>
      </w:pPr>
      <w:r>
        <w:rPr>
          <w:rFonts w:hint="eastAsia"/>
          <w:color w:val="auto"/>
          <w:sz w:val="24"/>
          <w:szCs w:val="22"/>
          <w:highlight w:val="none"/>
        </w:rPr>
        <w:t xml:space="preserve">联系人：                      联系电话：                 </w:t>
      </w:r>
    </w:p>
    <w:p>
      <w:pPr>
        <w:pStyle w:val="14"/>
        <w:ind w:firstLine="480"/>
        <w:rPr>
          <w:color w:val="auto"/>
          <w:sz w:val="24"/>
          <w:szCs w:val="22"/>
          <w:highlight w:val="none"/>
        </w:rPr>
      </w:pPr>
      <w:r>
        <w:rPr>
          <w:rFonts w:hint="eastAsia"/>
          <w:color w:val="auto"/>
          <w:sz w:val="24"/>
          <w:szCs w:val="22"/>
          <w:highlight w:val="none"/>
        </w:rPr>
        <w:t xml:space="preserve">授权代表：                                          </w:t>
      </w:r>
    </w:p>
    <w:p>
      <w:pPr>
        <w:pStyle w:val="14"/>
        <w:ind w:firstLine="480"/>
        <w:rPr>
          <w:color w:val="auto"/>
          <w:sz w:val="24"/>
          <w:szCs w:val="22"/>
          <w:highlight w:val="none"/>
        </w:rPr>
      </w:pPr>
      <w:r>
        <w:rPr>
          <w:rFonts w:hint="eastAsia"/>
          <w:color w:val="auto"/>
          <w:sz w:val="24"/>
          <w:szCs w:val="22"/>
          <w:highlight w:val="none"/>
        </w:rPr>
        <w:t xml:space="preserve">联系电话：                                            </w:t>
      </w:r>
    </w:p>
    <w:p>
      <w:pPr>
        <w:pStyle w:val="14"/>
        <w:ind w:firstLine="480"/>
        <w:rPr>
          <w:color w:val="auto"/>
          <w:sz w:val="24"/>
          <w:szCs w:val="22"/>
          <w:highlight w:val="none"/>
        </w:rPr>
      </w:pPr>
      <w:r>
        <w:rPr>
          <w:rFonts w:hint="eastAsia"/>
          <w:color w:val="auto"/>
          <w:sz w:val="24"/>
          <w:szCs w:val="22"/>
          <w:highlight w:val="none"/>
        </w:rPr>
        <w:t xml:space="preserve">地址：                         邮编：                    </w:t>
      </w:r>
    </w:p>
    <w:p>
      <w:pPr>
        <w:pStyle w:val="14"/>
        <w:ind w:firstLine="480"/>
        <w:rPr>
          <w:color w:val="auto"/>
          <w:sz w:val="24"/>
          <w:szCs w:val="22"/>
          <w:highlight w:val="none"/>
        </w:rPr>
      </w:pPr>
      <w:r>
        <w:rPr>
          <w:rFonts w:hint="eastAsia"/>
          <w:color w:val="auto"/>
          <w:sz w:val="24"/>
          <w:szCs w:val="22"/>
          <w:highlight w:val="none"/>
        </w:rPr>
        <w:t>二、质疑项目基本情况</w:t>
      </w:r>
    </w:p>
    <w:p>
      <w:pPr>
        <w:pStyle w:val="14"/>
        <w:ind w:firstLine="480"/>
        <w:rPr>
          <w:color w:val="auto"/>
          <w:sz w:val="24"/>
          <w:szCs w:val="22"/>
          <w:highlight w:val="none"/>
        </w:rPr>
      </w:pPr>
      <w:r>
        <w:rPr>
          <w:rFonts w:hint="eastAsia"/>
          <w:color w:val="auto"/>
          <w:sz w:val="24"/>
          <w:szCs w:val="22"/>
          <w:highlight w:val="none"/>
        </w:rPr>
        <w:t xml:space="preserve">质疑项目的名称：                                      </w:t>
      </w:r>
    </w:p>
    <w:p>
      <w:pPr>
        <w:pStyle w:val="14"/>
        <w:ind w:firstLine="480"/>
        <w:rPr>
          <w:color w:val="auto"/>
          <w:sz w:val="24"/>
          <w:szCs w:val="22"/>
          <w:highlight w:val="none"/>
        </w:rPr>
      </w:pPr>
      <w:r>
        <w:rPr>
          <w:rFonts w:hint="eastAsia"/>
          <w:color w:val="auto"/>
          <w:sz w:val="24"/>
          <w:szCs w:val="22"/>
          <w:highlight w:val="none"/>
        </w:rPr>
        <w:t xml:space="preserve">质疑项目的编号：               包号：                 </w:t>
      </w:r>
    </w:p>
    <w:p>
      <w:pPr>
        <w:pStyle w:val="14"/>
        <w:ind w:firstLine="480"/>
        <w:rPr>
          <w:color w:val="auto"/>
          <w:sz w:val="24"/>
          <w:szCs w:val="22"/>
          <w:highlight w:val="none"/>
        </w:rPr>
      </w:pPr>
      <w:r>
        <w:rPr>
          <w:rFonts w:hint="eastAsia"/>
          <w:color w:val="auto"/>
          <w:sz w:val="24"/>
          <w:szCs w:val="22"/>
          <w:highlight w:val="none"/>
        </w:rPr>
        <w:t xml:space="preserve">采购人名称：                                         </w:t>
      </w:r>
    </w:p>
    <w:p>
      <w:pPr>
        <w:pStyle w:val="14"/>
        <w:ind w:firstLine="480"/>
        <w:rPr>
          <w:color w:val="auto"/>
          <w:sz w:val="24"/>
          <w:szCs w:val="22"/>
          <w:highlight w:val="none"/>
        </w:rPr>
      </w:pPr>
      <w:r>
        <w:rPr>
          <w:rFonts w:hint="eastAsia"/>
          <w:color w:val="auto"/>
          <w:sz w:val="24"/>
          <w:szCs w:val="22"/>
          <w:highlight w:val="none"/>
        </w:rPr>
        <w:t xml:space="preserve">招标文件获取日期：                                           </w:t>
      </w:r>
    </w:p>
    <w:p>
      <w:pPr>
        <w:pStyle w:val="14"/>
        <w:ind w:firstLine="480"/>
        <w:rPr>
          <w:color w:val="auto"/>
          <w:sz w:val="24"/>
          <w:szCs w:val="22"/>
          <w:highlight w:val="none"/>
        </w:rPr>
      </w:pPr>
      <w:r>
        <w:rPr>
          <w:rFonts w:hint="eastAsia"/>
          <w:color w:val="auto"/>
          <w:sz w:val="24"/>
          <w:szCs w:val="22"/>
          <w:highlight w:val="none"/>
        </w:rPr>
        <w:t>三、质疑事项具体内容</w:t>
      </w:r>
    </w:p>
    <w:p>
      <w:pPr>
        <w:pStyle w:val="14"/>
        <w:ind w:firstLine="480"/>
        <w:rPr>
          <w:color w:val="auto"/>
          <w:sz w:val="24"/>
          <w:szCs w:val="22"/>
          <w:highlight w:val="none"/>
        </w:rPr>
      </w:pPr>
      <w:r>
        <w:rPr>
          <w:rFonts w:hint="eastAsia"/>
          <w:color w:val="auto"/>
          <w:sz w:val="24"/>
          <w:szCs w:val="22"/>
          <w:highlight w:val="none"/>
        </w:rPr>
        <w:t xml:space="preserve">质疑事项1：                                         </w:t>
      </w:r>
    </w:p>
    <w:p>
      <w:pPr>
        <w:pStyle w:val="14"/>
        <w:ind w:firstLine="480"/>
        <w:rPr>
          <w:color w:val="auto"/>
          <w:sz w:val="24"/>
          <w:szCs w:val="22"/>
          <w:highlight w:val="none"/>
        </w:rPr>
      </w:pPr>
      <w:r>
        <w:rPr>
          <w:rFonts w:hint="eastAsia"/>
          <w:color w:val="auto"/>
          <w:sz w:val="24"/>
          <w:szCs w:val="22"/>
          <w:highlight w:val="none"/>
        </w:rPr>
        <w:t xml:space="preserve">事实依据：                                          </w:t>
      </w:r>
    </w:p>
    <w:p>
      <w:pPr>
        <w:pStyle w:val="14"/>
        <w:ind w:firstLine="480"/>
        <w:rPr>
          <w:color w:val="auto"/>
          <w:sz w:val="24"/>
          <w:szCs w:val="22"/>
          <w:highlight w:val="none"/>
        </w:rPr>
      </w:pPr>
    </w:p>
    <w:p>
      <w:pPr>
        <w:pStyle w:val="14"/>
        <w:ind w:firstLine="480"/>
        <w:rPr>
          <w:color w:val="auto"/>
          <w:sz w:val="24"/>
          <w:szCs w:val="22"/>
          <w:highlight w:val="none"/>
        </w:rPr>
      </w:pPr>
      <w:r>
        <w:rPr>
          <w:rFonts w:hint="eastAsia"/>
          <w:color w:val="auto"/>
          <w:sz w:val="24"/>
          <w:szCs w:val="22"/>
          <w:highlight w:val="none"/>
        </w:rPr>
        <w:t xml:space="preserve">法律依据：                                          </w:t>
      </w:r>
    </w:p>
    <w:p>
      <w:pPr>
        <w:pStyle w:val="14"/>
        <w:ind w:firstLine="480"/>
        <w:rPr>
          <w:color w:val="auto"/>
          <w:sz w:val="24"/>
          <w:szCs w:val="22"/>
          <w:highlight w:val="none"/>
        </w:rPr>
      </w:pPr>
    </w:p>
    <w:p>
      <w:pPr>
        <w:pStyle w:val="14"/>
        <w:ind w:firstLine="480"/>
        <w:rPr>
          <w:color w:val="auto"/>
          <w:sz w:val="24"/>
          <w:szCs w:val="22"/>
          <w:highlight w:val="none"/>
        </w:rPr>
      </w:pPr>
      <w:r>
        <w:rPr>
          <w:rFonts w:hint="eastAsia"/>
          <w:color w:val="auto"/>
          <w:sz w:val="24"/>
          <w:szCs w:val="22"/>
          <w:highlight w:val="none"/>
        </w:rPr>
        <w:t>质疑事项2</w:t>
      </w:r>
    </w:p>
    <w:p>
      <w:pPr>
        <w:pStyle w:val="14"/>
        <w:ind w:firstLine="480"/>
        <w:rPr>
          <w:color w:val="auto"/>
          <w:sz w:val="24"/>
          <w:szCs w:val="22"/>
          <w:highlight w:val="none"/>
        </w:rPr>
      </w:pPr>
      <w:r>
        <w:rPr>
          <w:rFonts w:hint="eastAsia"/>
          <w:color w:val="auto"/>
          <w:sz w:val="24"/>
          <w:szCs w:val="22"/>
          <w:highlight w:val="none"/>
        </w:rPr>
        <w:t>……</w:t>
      </w:r>
    </w:p>
    <w:p>
      <w:pPr>
        <w:pStyle w:val="14"/>
        <w:ind w:firstLine="480"/>
        <w:rPr>
          <w:color w:val="auto"/>
          <w:sz w:val="24"/>
          <w:szCs w:val="22"/>
          <w:highlight w:val="none"/>
        </w:rPr>
      </w:pPr>
      <w:r>
        <w:rPr>
          <w:rFonts w:hint="eastAsia"/>
          <w:color w:val="auto"/>
          <w:sz w:val="24"/>
          <w:szCs w:val="22"/>
          <w:highlight w:val="none"/>
        </w:rPr>
        <w:t>四、与质疑事项相关的质疑请求</w:t>
      </w:r>
    </w:p>
    <w:p>
      <w:pPr>
        <w:pStyle w:val="14"/>
        <w:ind w:firstLine="480"/>
        <w:rPr>
          <w:color w:val="auto"/>
          <w:sz w:val="24"/>
          <w:szCs w:val="22"/>
          <w:highlight w:val="none"/>
        </w:rPr>
      </w:pPr>
      <w:r>
        <w:rPr>
          <w:rFonts w:hint="eastAsia"/>
          <w:color w:val="auto"/>
          <w:sz w:val="24"/>
          <w:szCs w:val="22"/>
          <w:highlight w:val="none"/>
        </w:rPr>
        <w:t xml:space="preserve">请求：                                               </w:t>
      </w:r>
    </w:p>
    <w:p>
      <w:pPr>
        <w:pStyle w:val="14"/>
        <w:ind w:firstLine="480"/>
        <w:rPr>
          <w:color w:val="auto"/>
          <w:sz w:val="24"/>
          <w:szCs w:val="22"/>
          <w:highlight w:val="none"/>
        </w:rPr>
      </w:pPr>
      <w:r>
        <w:rPr>
          <w:rFonts w:hint="eastAsia"/>
          <w:color w:val="auto"/>
          <w:sz w:val="24"/>
          <w:szCs w:val="22"/>
          <w:highlight w:val="none"/>
        </w:rPr>
        <w:t xml:space="preserve">签字(签章)：                   公章：                      </w:t>
      </w:r>
    </w:p>
    <w:p>
      <w:pPr>
        <w:pStyle w:val="14"/>
        <w:ind w:firstLine="480"/>
        <w:rPr>
          <w:color w:val="auto"/>
          <w:sz w:val="24"/>
          <w:szCs w:val="22"/>
          <w:highlight w:val="none"/>
        </w:rPr>
      </w:pPr>
      <w:r>
        <w:rPr>
          <w:rFonts w:hint="eastAsia"/>
          <w:color w:val="auto"/>
          <w:sz w:val="24"/>
          <w:szCs w:val="22"/>
          <w:highlight w:val="none"/>
        </w:rPr>
        <w:t xml:space="preserve">日期：    </w:t>
      </w:r>
    </w:p>
    <w:p>
      <w:pPr>
        <w:rPr>
          <w:sz w:val="24"/>
          <w:szCs w:val="22"/>
          <w:highlight w:val="none"/>
        </w:rPr>
      </w:pPr>
      <w:r>
        <w:rPr>
          <w:rFonts w:hint="eastAsia"/>
          <w:sz w:val="24"/>
          <w:szCs w:val="22"/>
          <w:highlight w:val="none"/>
        </w:rPr>
        <w:br w:type="page"/>
      </w:r>
    </w:p>
    <w:p>
      <w:pPr>
        <w:pStyle w:val="14"/>
        <w:ind w:firstLine="480"/>
        <w:rPr>
          <w:color w:val="auto"/>
          <w:sz w:val="24"/>
          <w:szCs w:val="22"/>
          <w:highlight w:val="none"/>
        </w:rPr>
      </w:pPr>
      <w:bookmarkStart w:id="82" w:name="_Toc95234398"/>
      <w:bookmarkStart w:id="83" w:name="_Toc99731210"/>
      <w:bookmarkStart w:id="84" w:name="_Toc30959"/>
      <w:bookmarkStart w:id="85" w:name="_Toc6920"/>
      <w:bookmarkStart w:id="86" w:name="_Toc105522757"/>
      <w:bookmarkStart w:id="87" w:name="_Toc99731325"/>
      <w:r>
        <w:rPr>
          <w:rFonts w:hint="eastAsia"/>
          <w:color w:val="auto"/>
          <w:sz w:val="24"/>
          <w:szCs w:val="22"/>
          <w:highlight w:val="none"/>
        </w:rPr>
        <w:t>质疑函制作说明：</w:t>
      </w:r>
    </w:p>
    <w:p>
      <w:pPr>
        <w:pStyle w:val="14"/>
        <w:ind w:firstLine="480"/>
        <w:rPr>
          <w:color w:val="auto"/>
          <w:sz w:val="24"/>
          <w:szCs w:val="22"/>
          <w:highlight w:val="none"/>
        </w:rPr>
      </w:pPr>
      <w:r>
        <w:rPr>
          <w:rFonts w:hint="eastAsia"/>
          <w:color w:val="auto"/>
          <w:sz w:val="24"/>
          <w:szCs w:val="22"/>
          <w:highlight w:val="none"/>
        </w:rPr>
        <w:t>1.供应商提出质疑时，应提交质疑函和必要的证明材料。</w:t>
      </w:r>
    </w:p>
    <w:p>
      <w:pPr>
        <w:pStyle w:val="14"/>
        <w:ind w:firstLine="480"/>
        <w:rPr>
          <w:color w:val="auto"/>
          <w:sz w:val="24"/>
          <w:szCs w:val="22"/>
          <w:highlight w:val="none"/>
        </w:rPr>
      </w:pPr>
      <w:r>
        <w:rPr>
          <w:rFonts w:hint="eastAsia"/>
          <w:color w:val="auto"/>
          <w:sz w:val="24"/>
          <w:szCs w:val="22"/>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14"/>
        <w:ind w:firstLine="480"/>
        <w:rPr>
          <w:color w:val="auto"/>
          <w:sz w:val="24"/>
          <w:szCs w:val="22"/>
          <w:highlight w:val="none"/>
        </w:rPr>
      </w:pPr>
      <w:r>
        <w:rPr>
          <w:rFonts w:hint="eastAsia"/>
          <w:color w:val="auto"/>
          <w:sz w:val="24"/>
          <w:szCs w:val="22"/>
          <w:highlight w:val="none"/>
        </w:rPr>
        <w:t>3.质疑供应商若对项目的某一分包进行质疑，质疑函中应列明具体分包号。</w:t>
      </w:r>
    </w:p>
    <w:p>
      <w:pPr>
        <w:pStyle w:val="14"/>
        <w:ind w:firstLine="480"/>
        <w:rPr>
          <w:color w:val="auto"/>
          <w:sz w:val="24"/>
          <w:szCs w:val="22"/>
          <w:highlight w:val="none"/>
        </w:rPr>
      </w:pPr>
      <w:r>
        <w:rPr>
          <w:rFonts w:hint="eastAsia"/>
          <w:color w:val="auto"/>
          <w:sz w:val="24"/>
          <w:szCs w:val="22"/>
          <w:highlight w:val="none"/>
        </w:rPr>
        <w:t>4.质疑函的质疑事项应具体、明确，并有必要的事实依据和法律依据。</w:t>
      </w:r>
    </w:p>
    <w:p>
      <w:pPr>
        <w:pStyle w:val="14"/>
        <w:ind w:firstLine="480"/>
        <w:rPr>
          <w:color w:val="auto"/>
          <w:sz w:val="24"/>
          <w:szCs w:val="22"/>
          <w:highlight w:val="none"/>
        </w:rPr>
      </w:pPr>
      <w:r>
        <w:rPr>
          <w:rFonts w:hint="eastAsia"/>
          <w:color w:val="auto"/>
          <w:sz w:val="24"/>
          <w:szCs w:val="22"/>
          <w:highlight w:val="none"/>
        </w:rPr>
        <w:t>5.质疑函的质疑请求应与质疑事项相关。</w:t>
      </w:r>
    </w:p>
    <w:p>
      <w:pPr>
        <w:pStyle w:val="14"/>
        <w:ind w:firstLine="480"/>
        <w:rPr>
          <w:color w:val="auto"/>
          <w:sz w:val="24"/>
          <w:szCs w:val="22"/>
          <w:highlight w:val="none"/>
        </w:rPr>
      </w:pPr>
      <w:r>
        <w:rPr>
          <w:rFonts w:hint="eastAsia"/>
          <w:color w:val="auto"/>
          <w:sz w:val="24"/>
          <w:szCs w:val="22"/>
          <w:highlight w:val="none"/>
        </w:rPr>
        <w:t>6.质疑供应商为自然人的，质疑函应由本人签字；质疑供应商为法人或者其他组织的，质疑函应由法定代表人、主要负责人，或者其授权代表签字或者盖章，并加盖公章。</w:t>
      </w:r>
    </w:p>
    <w:p>
      <w:pPr>
        <w:rPr>
          <w:highlight w:val="none"/>
        </w:rPr>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bookmarkEnd w:id="82"/>
    <w:bookmarkEnd w:id="83"/>
    <w:bookmarkEnd w:id="84"/>
    <w:bookmarkEnd w:id="85"/>
    <w:bookmarkEnd w:id="86"/>
    <w:bookmarkEnd w:id="87"/>
    <w:p>
      <w:pPr>
        <w:pStyle w:val="2"/>
        <w:rPr>
          <w:highlight w:val="none"/>
        </w:rPr>
      </w:pPr>
      <w:bookmarkStart w:id="88" w:name="_Toc23510"/>
      <w:r>
        <w:rPr>
          <w:rFonts w:hint="eastAsia"/>
          <w:highlight w:val="none"/>
        </w:rPr>
        <w:t>第六章 项目需求</w:t>
      </w:r>
      <w:bookmarkEnd w:id="88"/>
    </w:p>
    <w:p>
      <w:pPr>
        <w:rPr>
          <w:rFonts w:hint="eastAsia" w:ascii="宋体" w:hAnsi="宋体" w:eastAsia="宋体" w:cs="宋体"/>
          <w:b/>
          <w:bCs/>
          <w:sz w:val="24"/>
          <w:szCs w:val="24"/>
          <w:highlight w:val="none"/>
        </w:rPr>
      </w:pPr>
      <w:r>
        <w:rPr>
          <w:rFonts w:hint="eastAsia" w:ascii="宋体" w:hAnsi="宋体" w:cs="宋体"/>
          <w:b/>
          <w:bCs/>
          <w:sz w:val="24"/>
          <w:szCs w:val="24"/>
          <w:highlight w:val="none"/>
          <w:lang w:eastAsia="zh-CN"/>
        </w:rPr>
        <w:t>一、</w:t>
      </w:r>
      <w:r>
        <w:rPr>
          <w:rFonts w:hint="eastAsia" w:ascii="宋体" w:hAnsi="宋体" w:eastAsia="宋体" w:cs="宋体"/>
          <w:b/>
          <w:bCs/>
          <w:sz w:val="24"/>
          <w:szCs w:val="24"/>
          <w:highlight w:val="none"/>
        </w:rPr>
        <w:t>项目分包及需求明细</w:t>
      </w:r>
    </w:p>
    <w:tbl>
      <w:tblPr>
        <w:tblStyle w:val="15"/>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51"/>
        <w:gridCol w:w="775"/>
        <w:gridCol w:w="2526"/>
        <w:gridCol w:w="1039"/>
        <w:gridCol w:w="783"/>
        <w:gridCol w:w="1251"/>
        <w:gridCol w:w="1248"/>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jc w:val="center"/>
        </w:trPr>
        <w:tc>
          <w:tcPr>
            <w:tcW w:w="95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包号</w:t>
            </w:r>
          </w:p>
        </w:tc>
        <w:tc>
          <w:tcPr>
            <w:tcW w:w="77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序号</w:t>
            </w:r>
          </w:p>
        </w:tc>
        <w:tc>
          <w:tcPr>
            <w:tcW w:w="252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装备名称</w:t>
            </w:r>
          </w:p>
        </w:tc>
        <w:tc>
          <w:tcPr>
            <w:tcW w:w="1039" w:type="dxa"/>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color w:val="auto"/>
                <w:sz w:val="24"/>
                <w:szCs w:val="24"/>
                <w:highlight w:val="none"/>
                <w:lang w:val="en-US" w:eastAsia="zh-CN"/>
              </w:rPr>
              <w:t>采购数量</w:t>
            </w:r>
          </w:p>
        </w:tc>
        <w:tc>
          <w:tcPr>
            <w:tcW w:w="783" w:type="dxa"/>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单位</w:t>
            </w:r>
          </w:p>
        </w:tc>
        <w:tc>
          <w:tcPr>
            <w:tcW w:w="125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单价（元）</w:t>
            </w:r>
          </w:p>
        </w:tc>
        <w:tc>
          <w:tcPr>
            <w:tcW w:w="1248" w:type="dxa"/>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合计金额（元）</w:t>
            </w:r>
          </w:p>
        </w:tc>
        <w:tc>
          <w:tcPr>
            <w:tcW w:w="1064" w:type="dxa"/>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是否核心产品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1" w:type="dxa"/>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第一包</w:t>
            </w:r>
          </w:p>
        </w:tc>
        <w:tc>
          <w:tcPr>
            <w:tcW w:w="775" w:type="dxa"/>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default"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c>
          <w:tcPr>
            <w:tcW w:w="252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机动链锯</w:t>
            </w:r>
          </w:p>
        </w:tc>
        <w:tc>
          <w:tcPr>
            <w:tcW w:w="103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76</w:t>
            </w:r>
          </w:p>
        </w:tc>
        <w:tc>
          <w:tcPr>
            <w:tcW w:w="78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台</w:t>
            </w:r>
          </w:p>
        </w:tc>
        <w:tc>
          <w:tcPr>
            <w:tcW w:w="125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4"/>
                <w:szCs w:val="24"/>
                <w:highlight w:val="none"/>
                <w:u w:val="none"/>
                <w:lang w:val="en-US" w:eastAsia="zh-CN" w:bidi="ar"/>
              </w:rPr>
              <w:t>3500</w:t>
            </w:r>
          </w:p>
        </w:tc>
        <w:tc>
          <w:tcPr>
            <w:tcW w:w="1248" w:type="dxa"/>
            <w:vMerge w:val="restart"/>
            <w:shd w:val="clear" w:color="auto" w:fill="auto"/>
            <w:noWrap/>
            <w:vAlign w:val="center"/>
          </w:tcPr>
          <w:p>
            <w:pPr>
              <w:widowControl/>
              <w:jc w:val="center"/>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2568600</w:t>
            </w:r>
          </w:p>
        </w:tc>
        <w:tc>
          <w:tcPr>
            <w:tcW w:w="1064" w:type="dxa"/>
            <w:shd w:val="clear" w:color="auto" w:fill="auto"/>
            <w:noWrap/>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1"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75" w:type="dxa"/>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c>
          <w:tcPr>
            <w:tcW w:w="252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无齿锯</w:t>
            </w:r>
          </w:p>
        </w:tc>
        <w:tc>
          <w:tcPr>
            <w:tcW w:w="103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57</w:t>
            </w:r>
          </w:p>
        </w:tc>
        <w:tc>
          <w:tcPr>
            <w:tcW w:w="78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台</w:t>
            </w:r>
          </w:p>
        </w:tc>
        <w:tc>
          <w:tcPr>
            <w:tcW w:w="1251" w:type="dxa"/>
            <w:shd w:val="clear" w:color="auto" w:fill="auto"/>
            <w:noWrap/>
            <w:vAlign w:val="center"/>
          </w:tcPr>
          <w:p>
            <w:pPr>
              <w:keepNext w:val="0"/>
              <w:keepLines w:val="0"/>
              <w:widowControl/>
              <w:suppressLineNumbers w:val="0"/>
              <w:jc w:val="center"/>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17000</w:t>
            </w:r>
          </w:p>
        </w:tc>
        <w:tc>
          <w:tcPr>
            <w:tcW w:w="1248" w:type="dxa"/>
            <w:vMerge w:val="continue"/>
            <w:shd w:val="clear" w:color="auto" w:fill="auto"/>
            <w:noWrap/>
            <w:vAlign w:val="center"/>
          </w:tcPr>
          <w:p>
            <w:pPr>
              <w:widowControl/>
              <w:jc w:val="center"/>
              <w:textAlignment w:val="center"/>
              <w:rPr>
                <w:rFonts w:hint="eastAsia" w:ascii="宋体" w:hAnsi="宋体" w:cs="宋体"/>
                <w:b w:val="0"/>
                <w:bCs w:val="0"/>
                <w:color w:val="auto"/>
                <w:kern w:val="0"/>
                <w:sz w:val="21"/>
                <w:szCs w:val="21"/>
                <w:highlight w:val="none"/>
                <w:lang w:val="en-US" w:eastAsia="zh-CN" w:bidi="ar"/>
              </w:rPr>
            </w:pPr>
          </w:p>
        </w:tc>
        <w:tc>
          <w:tcPr>
            <w:tcW w:w="1064" w:type="dxa"/>
            <w:shd w:val="clear" w:color="auto" w:fill="auto"/>
            <w:noWrap/>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1"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75" w:type="dxa"/>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c>
          <w:tcPr>
            <w:tcW w:w="252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双轮异向切割锯</w:t>
            </w:r>
          </w:p>
        </w:tc>
        <w:tc>
          <w:tcPr>
            <w:tcW w:w="103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42</w:t>
            </w:r>
          </w:p>
        </w:tc>
        <w:tc>
          <w:tcPr>
            <w:tcW w:w="78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台</w:t>
            </w:r>
          </w:p>
        </w:tc>
        <w:tc>
          <w:tcPr>
            <w:tcW w:w="125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4"/>
                <w:szCs w:val="24"/>
                <w:highlight w:val="none"/>
                <w:u w:val="none"/>
                <w:lang w:val="en-US" w:eastAsia="zh-CN" w:bidi="ar"/>
              </w:rPr>
              <w:t>15000</w:t>
            </w:r>
          </w:p>
        </w:tc>
        <w:tc>
          <w:tcPr>
            <w:tcW w:w="1248" w:type="dxa"/>
            <w:vMerge w:val="continue"/>
            <w:shd w:val="clear" w:color="auto" w:fill="auto"/>
            <w:noWrap/>
            <w:vAlign w:val="center"/>
          </w:tcPr>
          <w:p>
            <w:pPr>
              <w:widowControl/>
              <w:jc w:val="center"/>
              <w:textAlignment w:val="center"/>
              <w:rPr>
                <w:rFonts w:hint="eastAsia" w:ascii="宋体" w:hAnsi="宋体" w:cs="宋体"/>
                <w:b w:val="0"/>
                <w:bCs w:val="0"/>
                <w:color w:val="auto"/>
                <w:kern w:val="0"/>
                <w:sz w:val="21"/>
                <w:szCs w:val="21"/>
                <w:highlight w:val="none"/>
                <w:lang w:val="en-US" w:eastAsia="zh-CN" w:bidi="ar"/>
              </w:rPr>
            </w:pPr>
          </w:p>
        </w:tc>
        <w:tc>
          <w:tcPr>
            <w:tcW w:w="1064" w:type="dxa"/>
            <w:shd w:val="clear" w:color="auto" w:fill="auto"/>
            <w:noWrap/>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951"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75" w:type="dxa"/>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c>
          <w:tcPr>
            <w:tcW w:w="252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水泥切割机</w:t>
            </w:r>
          </w:p>
        </w:tc>
        <w:tc>
          <w:tcPr>
            <w:tcW w:w="103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3</w:t>
            </w:r>
          </w:p>
        </w:tc>
        <w:tc>
          <w:tcPr>
            <w:tcW w:w="78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台</w:t>
            </w:r>
          </w:p>
        </w:tc>
        <w:tc>
          <w:tcPr>
            <w:tcW w:w="125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4"/>
                <w:szCs w:val="24"/>
                <w:highlight w:val="none"/>
                <w:u w:val="none"/>
                <w:lang w:val="en-US" w:eastAsia="zh-CN" w:bidi="ar"/>
              </w:rPr>
              <w:t>16000</w:t>
            </w:r>
          </w:p>
        </w:tc>
        <w:tc>
          <w:tcPr>
            <w:tcW w:w="1248" w:type="dxa"/>
            <w:vMerge w:val="continue"/>
            <w:shd w:val="clear" w:color="auto" w:fill="auto"/>
            <w:noWrap/>
            <w:vAlign w:val="center"/>
          </w:tcPr>
          <w:p>
            <w:pPr>
              <w:widowControl/>
              <w:jc w:val="center"/>
              <w:textAlignment w:val="center"/>
              <w:rPr>
                <w:rFonts w:hint="eastAsia" w:ascii="宋体" w:hAnsi="宋体" w:cs="宋体"/>
                <w:b w:val="0"/>
                <w:bCs w:val="0"/>
                <w:color w:val="auto"/>
                <w:kern w:val="0"/>
                <w:sz w:val="21"/>
                <w:szCs w:val="21"/>
                <w:highlight w:val="none"/>
                <w:lang w:val="en-US" w:eastAsia="zh-CN" w:bidi="ar"/>
              </w:rPr>
            </w:pPr>
          </w:p>
        </w:tc>
        <w:tc>
          <w:tcPr>
            <w:tcW w:w="1064" w:type="dxa"/>
            <w:shd w:val="clear" w:color="auto" w:fill="auto"/>
            <w:noWrap/>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1"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75" w:type="dxa"/>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c>
          <w:tcPr>
            <w:tcW w:w="252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绳锯</w:t>
            </w:r>
          </w:p>
        </w:tc>
        <w:tc>
          <w:tcPr>
            <w:tcW w:w="103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3</w:t>
            </w:r>
          </w:p>
        </w:tc>
        <w:tc>
          <w:tcPr>
            <w:tcW w:w="78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台</w:t>
            </w:r>
          </w:p>
        </w:tc>
        <w:tc>
          <w:tcPr>
            <w:tcW w:w="125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4"/>
                <w:szCs w:val="24"/>
                <w:highlight w:val="none"/>
                <w:u w:val="none"/>
                <w:lang w:val="en-US" w:eastAsia="zh-CN" w:bidi="ar"/>
              </w:rPr>
              <w:t>44000</w:t>
            </w:r>
          </w:p>
        </w:tc>
        <w:tc>
          <w:tcPr>
            <w:tcW w:w="1248" w:type="dxa"/>
            <w:vMerge w:val="continue"/>
            <w:shd w:val="clear" w:color="auto" w:fill="auto"/>
            <w:noWrap/>
            <w:vAlign w:val="center"/>
          </w:tcPr>
          <w:p>
            <w:pPr>
              <w:widowControl/>
              <w:jc w:val="center"/>
              <w:textAlignment w:val="center"/>
              <w:rPr>
                <w:rFonts w:hint="eastAsia" w:ascii="宋体" w:hAnsi="宋体" w:cs="宋体"/>
                <w:b w:val="0"/>
                <w:bCs w:val="0"/>
                <w:color w:val="auto"/>
                <w:kern w:val="0"/>
                <w:sz w:val="21"/>
                <w:szCs w:val="21"/>
                <w:highlight w:val="none"/>
                <w:lang w:val="en-US" w:eastAsia="zh-CN" w:bidi="ar"/>
              </w:rPr>
            </w:pPr>
          </w:p>
        </w:tc>
        <w:tc>
          <w:tcPr>
            <w:tcW w:w="1064" w:type="dxa"/>
            <w:shd w:val="clear" w:color="auto" w:fill="auto"/>
            <w:noWrap/>
            <w:vAlign w:val="center"/>
          </w:tcPr>
          <w:p>
            <w:pPr>
              <w:widowControl/>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cs="宋体"/>
                <w:b w:val="0"/>
                <w:bCs w:val="0"/>
                <w:color w:val="auto"/>
                <w:kern w:val="0"/>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1"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75" w:type="dxa"/>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c>
          <w:tcPr>
            <w:tcW w:w="252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等离子切割机</w:t>
            </w:r>
          </w:p>
        </w:tc>
        <w:tc>
          <w:tcPr>
            <w:tcW w:w="103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4</w:t>
            </w:r>
          </w:p>
        </w:tc>
        <w:tc>
          <w:tcPr>
            <w:tcW w:w="78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台</w:t>
            </w:r>
          </w:p>
        </w:tc>
        <w:tc>
          <w:tcPr>
            <w:tcW w:w="125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4"/>
                <w:szCs w:val="24"/>
                <w:highlight w:val="none"/>
                <w:u w:val="none"/>
                <w:lang w:val="en-US" w:eastAsia="zh-CN" w:bidi="ar"/>
              </w:rPr>
              <w:t>100000</w:t>
            </w:r>
          </w:p>
        </w:tc>
        <w:tc>
          <w:tcPr>
            <w:tcW w:w="1248" w:type="dxa"/>
            <w:vMerge w:val="continue"/>
            <w:shd w:val="clear" w:color="auto" w:fill="auto"/>
            <w:noWrap/>
            <w:vAlign w:val="center"/>
          </w:tcPr>
          <w:p>
            <w:pPr>
              <w:widowControl/>
              <w:jc w:val="center"/>
              <w:textAlignment w:val="center"/>
              <w:rPr>
                <w:rFonts w:hint="eastAsia" w:ascii="宋体" w:hAnsi="宋体" w:cs="宋体"/>
                <w:b w:val="0"/>
                <w:bCs w:val="0"/>
                <w:color w:val="auto"/>
                <w:kern w:val="0"/>
                <w:sz w:val="21"/>
                <w:szCs w:val="21"/>
                <w:highlight w:val="none"/>
                <w:lang w:val="en-US" w:eastAsia="zh-CN" w:bidi="ar"/>
              </w:rPr>
            </w:pPr>
          </w:p>
        </w:tc>
        <w:tc>
          <w:tcPr>
            <w:tcW w:w="1064" w:type="dxa"/>
            <w:shd w:val="clear" w:color="auto" w:fill="auto"/>
            <w:noWrap/>
            <w:vAlign w:val="center"/>
          </w:tcPr>
          <w:p>
            <w:pPr>
              <w:widowControl/>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cs="宋体"/>
                <w:b w:val="0"/>
                <w:bCs w:val="0"/>
                <w:color w:val="auto"/>
                <w:kern w:val="0"/>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1"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75" w:type="dxa"/>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c>
          <w:tcPr>
            <w:tcW w:w="252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氧炔气焊切割设备</w:t>
            </w:r>
          </w:p>
        </w:tc>
        <w:tc>
          <w:tcPr>
            <w:tcW w:w="103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2</w:t>
            </w:r>
          </w:p>
        </w:tc>
        <w:tc>
          <w:tcPr>
            <w:tcW w:w="78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套</w:t>
            </w:r>
          </w:p>
        </w:tc>
        <w:tc>
          <w:tcPr>
            <w:tcW w:w="125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4"/>
                <w:szCs w:val="24"/>
                <w:highlight w:val="none"/>
                <w:u w:val="none"/>
                <w:lang w:val="en-US" w:eastAsia="zh-CN" w:bidi="ar"/>
              </w:rPr>
              <w:t>45000</w:t>
            </w:r>
          </w:p>
        </w:tc>
        <w:tc>
          <w:tcPr>
            <w:tcW w:w="1248" w:type="dxa"/>
            <w:vMerge w:val="continue"/>
            <w:shd w:val="clear" w:color="auto" w:fill="auto"/>
            <w:noWrap/>
            <w:vAlign w:val="center"/>
          </w:tcPr>
          <w:p>
            <w:pPr>
              <w:widowControl/>
              <w:jc w:val="center"/>
              <w:textAlignment w:val="center"/>
              <w:rPr>
                <w:rFonts w:hint="eastAsia" w:ascii="宋体" w:hAnsi="宋体" w:cs="宋体"/>
                <w:b w:val="0"/>
                <w:bCs w:val="0"/>
                <w:color w:val="auto"/>
                <w:kern w:val="0"/>
                <w:sz w:val="21"/>
                <w:szCs w:val="21"/>
                <w:highlight w:val="none"/>
                <w:lang w:val="en-US" w:eastAsia="zh-CN" w:bidi="ar"/>
              </w:rPr>
            </w:pPr>
          </w:p>
        </w:tc>
        <w:tc>
          <w:tcPr>
            <w:tcW w:w="1064" w:type="dxa"/>
            <w:shd w:val="clear" w:color="auto" w:fill="auto"/>
            <w:noWrap/>
            <w:vAlign w:val="center"/>
          </w:tcPr>
          <w:p>
            <w:pPr>
              <w:widowControl/>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cs="宋体"/>
                <w:b w:val="0"/>
                <w:bCs w:val="0"/>
                <w:color w:val="auto"/>
                <w:kern w:val="0"/>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1"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75" w:type="dxa"/>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c>
          <w:tcPr>
            <w:tcW w:w="252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无电切割刀</w:t>
            </w:r>
          </w:p>
        </w:tc>
        <w:tc>
          <w:tcPr>
            <w:tcW w:w="103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2</w:t>
            </w:r>
          </w:p>
        </w:tc>
        <w:tc>
          <w:tcPr>
            <w:tcW w:w="78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把</w:t>
            </w:r>
          </w:p>
        </w:tc>
        <w:tc>
          <w:tcPr>
            <w:tcW w:w="125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4"/>
                <w:szCs w:val="24"/>
                <w:highlight w:val="none"/>
                <w:u w:val="none"/>
                <w:lang w:val="en-US" w:eastAsia="zh-CN" w:bidi="ar"/>
              </w:rPr>
              <w:t>12000</w:t>
            </w:r>
          </w:p>
        </w:tc>
        <w:tc>
          <w:tcPr>
            <w:tcW w:w="1248" w:type="dxa"/>
            <w:vMerge w:val="continue"/>
            <w:shd w:val="clear" w:color="auto" w:fill="auto"/>
            <w:noWrap/>
            <w:vAlign w:val="center"/>
          </w:tcPr>
          <w:p>
            <w:pPr>
              <w:widowControl/>
              <w:jc w:val="center"/>
              <w:textAlignment w:val="center"/>
              <w:rPr>
                <w:rFonts w:hint="eastAsia" w:ascii="宋体" w:hAnsi="宋体" w:cs="宋体"/>
                <w:b w:val="0"/>
                <w:bCs w:val="0"/>
                <w:color w:val="auto"/>
                <w:kern w:val="0"/>
                <w:sz w:val="21"/>
                <w:szCs w:val="21"/>
                <w:highlight w:val="none"/>
                <w:lang w:val="en-US" w:eastAsia="zh-CN" w:bidi="ar"/>
              </w:rPr>
            </w:pPr>
          </w:p>
        </w:tc>
        <w:tc>
          <w:tcPr>
            <w:tcW w:w="1064" w:type="dxa"/>
            <w:shd w:val="clear" w:color="auto" w:fill="auto"/>
            <w:noWrap/>
            <w:vAlign w:val="center"/>
          </w:tcPr>
          <w:p>
            <w:pPr>
              <w:widowControl/>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cs="宋体"/>
                <w:b w:val="0"/>
                <w:bCs w:val="0"/>
                <w:color w:val="auto"/>
                <w:kern w:val="0"/>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1" w:type="dxa"/>
            <w:vMerge w:val="continue"/>
            <w:shd w:val="clear" w:color="auto" w:fill="auto"/>
            <w:noWrap/>
            <w:vAlign w:val="center"/>
          </w:tcPr>
          <w:p>
            <w:pPr>
              <w:pStyle w:val="12"/>
              <w:jc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75" w:type="dxa"/>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c>
          <w:tcPr>
            <w:tcW w:w="252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木锯切割机</w:t>
            </w:r>
          </w:p>
        </w:tc>
        <w:tc>
          <w:tcPr>
            <w:tcW w:w="103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4</w:t>
            </w:r>
          </w:p>
        </w:tc>
        <w:tc>
          <w:tcPr>
            <w:tcW w:w="78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台</w:t>
            </w:r>
          </w:p>
        </w:tc>
        <w:tc>
          <w:tcPr>
            <w:tcW w:w="125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4"/>
                <w:szCs w:val="24"/>
                <w:highlight w:val="none"/>
                <w:u w:val="none"/>
                <w:lang w:val="en-US" w:eastAsia="zh-CN" w:bidi="ar"/>
              </w:rPr>
              <w:t>2400</w:t>
            </w:r>
          </w:p>
        </w:tc>
        <w:tc>
          <w:tcPr>
            <w:tcW w:w="1248" w:type="dxa"/>
            <w:vMerge w:val="continue"/>
            <w:shd w:val="clear" w:color="auto" w:fill="auto"/>
            <w:noWrap/>
            <w:vAlign w:val="center"/>
          </w:tcPr>
          <w:p>
            <w:pPr>
              <w:widowControl/>
              <w:jc w:val="center"/>
              <w:textAlignment w:val="center"/>
              <w:rPr>
                <w:rFonts w:hint="eastAsia" w:ascii="宋体" w:hAnsi="宋体" w:cs="宋体"/>
                <w:b w:val="0"/>
                <w:bCs w:val="0"/>
                <w:color w:val="auto"/>
                <w:kern w:val="0"/>
                <w:sz w:val="21"/>
                <w:szCs w:val="21"/>
                <w:highlight w:val="none"/>
                <w:lang w:val="en-US" w:eastAsia="zh-CN" w:bidi="ar"/>
              </w:rPr>
            </w:pPr>
          </w:p>
        </w:tc>
        <w:tc>
          <w:tcPr>
            <w:tcW w:w="1064" w:type="dxa"/>
            <w:shd w:val="clear" w:color="auto" w:fill="auto"/>
            <w:noWrap/>
            <w:vAlign w:val="center"/>
          </w:tcPr>
          <w:p>
            <w:pPr>
              <w:widowControl/>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cs="宋体"/>
                <w:b w:val="0"/>
                <w:bCs w:val="0"/>
                <w:color w:val="auto"/>
                <w:kern w:val="0"/>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951" w:type="dxa"/>
            <w:vMerge w:val="restart"/>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第二包</w:t>
            </w:r>
          </w:p>
        </w:tc>
        <w:tc>
          <w:tcPr>
            <w:tcW w:w="775" w:type="dxa"/>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c>
          <w:tcPr>
            <w:tcW w:w="252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电动链锯</w:t>
            </w:r>
          </w:p>
        </w:tc>
        <w:tc>
          <w:tcPr>
            <w:tcW w:w="103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8</w:t>
            </w:r>
          </w:p>
        </w:tc>
        <w:tc>
          <w:tcPr>
            <w:tcW w:w="78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台</w:t>
            </w:r>
          </w:p>
        </w:tc>
        <w:tc>
          <w:tcPr>
            <w:tcW w:w="125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4"/>
                <w:szCs w:val="24"/>
                <w:highlight w:val="none"/>
                <w:u w:val="none"/>
                <w:lang w:val="en-US" w:eastAsia="zh-CN" w:bidi="ar"/>
              </w:rPr>
              <w:t>3000</w:t>
            </w:r>
          </w:p>
        </w:tc>
        <w:tc>
          <w:tcPr>
            <w:tcW w:w="1248" w:type="dxa"/>
            <w:vMerge w:val="restart"/>
            <w:shd w:val="clear" w:color="auto" w:fill="auto"/>
            <w:noWrap/>
            <w:vAlign w:val="center"/>
          </w:tcPr>
          <w:p>
            <w:pPr>
              <w:widowControl/>
              <w:jc w:val="center"/>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3093200</w:t>
            </w:r>
          </w:p>
        </w:tc>
        <w:tc>
          <w:tcPr>
            <w:tcW w:w="1064" w:type="dxa"/>
            <w:shd w:val="clear" w:color="auto" w:fill="auto"/>
            <w:noWrap/>
            <w:vAlign w:val="center"/>
          </w:tcPr>
          <w:p>
            <w:pPr>
              <w:widowControl/>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cs="宋体"/>
                <w:b w:val="0"/>
                <w:bCs w:val="0"/>
                <w:color w:val="auto"/>
                <w:kern w:val="0"/>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1"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75" w:type="dxa"/>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c>
          <w:tcPr>
            <w:tcW w:w="252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电钻</w:t>
            </w:r>
          </w:p>
        </w:tc>
        <w:tc>
          <w:tcPr>
            <w:tcW w:w="103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8</w:t>
            </w:r>
          </w:p>
        </w:tc>
        <w:tc>
          <w:tcPr>
            <w:tcW w:w="78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个</w:t>
            </w:r>
          </w:p>
        </w:tc>
        <w:tc>
          <w:tcPr>
            <w:tcW w:w="125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4"/>
                <w:szCs w:val="24"/>
                <w:highlight w:val="none"/>
                <w:u w:val="none"/>
                <w:lang w:val="en-US" w:eastAsia="zh-CN" w:bidi="ar"/>
              </w:rPr>
              <w:t>3900</w:t>
            </w:r>
          </w:p>
        </w:tc>
        <w:tc>
          <w:tcPr>
            <w:tcW w:w="1248" w:type="dxa"/>
            <w:vMerge w:val="continue"/>
            <w:shd w:val="clear" w:color="auto" w:fill="auto"/>
            <w:noWrap/>
            <w:vAlign w:val="center"/>
          </w:tcPr>
          <w:p>
            <w:pPr>
              <w:widowControl/>
              <w:jc w:val="center"/>
              <w:textAlignment w:val="center"/>
              <w:rPr>
                <w:rFonts w:hint="eastAsia" w:ascii="宋体" w:hAnsi="宋体" w:cs="宋体"/>
                <w:b w:val="0"/>
                <w:bCs w:val="0"/>
                <w:color w:val="auto"/>
                <w:kern w:val="0"/>
                <w:sz w:val="21"/>
                <w:szCs w:val="21"/>
                <w:highlight w:val="none"/>
                <w:lang w:val="en-US" w:eastAsia="zh-CN" w:bidi="ar"/>
              </w:rPr>
            </w:pPr>
          </w:p>
        </w:tc>
        <w:tc>
          <w:tcPr>
            <w:tcW w:w="1064" w:type="dxa"/>
            <w:shd w:val="clear" w:color="auto" w:fill="auto"/>
            <w:noWrap/>
            <w:vAlign w:val="center"/>
          </w:tcPr>
          <w:p>
            <w:pPr>
              <w:widowControl/>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cs="宋体"/>
                <w:b w:val="0"/>
                <w:bCs w:val="0"/>
                <w:color w:val="auto"/>
                <w:kern w:val="0"/>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1"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75" w:type="dxa"/>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c>
          <w:tcPr>
            <w:tcW w:w="252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角磨机</w:t>
            </w:r>
          </w:p>
        </w:tc>
        <w:tc>
          <w:tcPr>
            <w:tcW w:w="103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60</w:t>
            </w:r>
          </w:p>
        </w:tc>
        <w:tc>
          <w:tcPr>
            <w:tcW w:w="78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个</w:t>
            </w:r>
          </w:p>
        </w:tc>
        <w:tc>
          <w:tcPr>
            <w:tcW w:w="125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4"/>
                <w:szCs w:val="24"/>
                <w:highlight w:val="none"/>
                <w:u w:val="none"/>
                <w:lang w:val="en-US" w:eastAsia="zh-CN" w:bidi="ar"/>
              </w:rPr>
              <w:t>3500</w:t>
            </w:r>
          </w:p>
        </w:tc>
        <w:tc>
          <w:tcPr>
            <w:tcW w:w="1248" w:type="dxa"/>
            <w:vMerge w:val="continue"/>
            <w:shd w:val="clear" w:color="auto" w:fill="auto"/>
            <w:noWrap/>
            <w:vAlign w:val="center"/>
          </w:tcPr>
          <w:p>
            <w:pPr>
              <w:widowControl/>
              <w:jc w:val="center"/>
              <w:textAlignment w:val="center"/>
              <w:rPr>
                <w:rFonts w:hint="eastAsia" w:ascii="宋体" w:hAnsi="宋体" w:cs="宋体"/>
                <w:b w:val="0"/>
                <w:bCs w:val="0"/>
                <w:color w:val="auto"/>
                <w:kern w:val="0"/>
                <w:sz w:val="21"/>
                <w:szCs w:val="21"/>
                <w:highlight w:val="none"/>
                <w:lang w:val="en-US" w:eastAsia="zh-CN" w:bidi="ar"/>
              </w:rPr>
            </w:pPr>
          </w:p>
        </w:tc>
        <w:tc>
          <w:tcPr>
            <w:tcW w:w="1064" w:type="dxa"/>
            <w:shd w:val="clear" w:color="auto" w:fill="auto"/>
            <w:noWrap/>
            <w:vAlign w:val="center"/>
          </w:tcPr>
          <w:p>
            <w:pPr>
              <w:widowControl/>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cs="宋体"/>
                <w:b w:val="0"/>
                <w:bCs w:val="0"/>
                <w:color w:val="auto"/>
                <w:kern w:val="0"/>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1"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75" w:type="dxa"/>
            <w:shd w:val="clear" w:color="auto" w:fill="auto"/>
            <w:noWrap/>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c>
          <w:tcPr>
            <w:tcW w:w="252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电动液压剪扩组</w:t>
            </w:r>
          </w:p>
        </w:tc>
        <w:tc>
          <w:tcPr>
            <w:tcW w:w="103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16</w:t>
            </w:r>
          </w:p>
        </w:tc>
        <w:tc>
          <w:tcPr>
            <w:tcW w:w="78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套</w:t>
            </w:r>
          </w:p>
        </w:tc>
        <w:tc>
          <w:tcPr>
            <w:tcW w:w="1251" w:type="dxa"/>
            <w:shd w:val="clear" w:color="auto" w:fill="auto"/>
            <w:noWrap/>
            <w:vAlign w:val="center"/>
          </w:tcPr>
          <w:p>
            <w:pPr>
              <w:keepNext w:val="0"/>
              <w:keepLines w:val="0"/>
              <w:widowControl/>
              <w:suppressLineNumbers w:val="0"/>
              <w:jc w:val="center"/>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100000</w:t>
            </w:r>
          </w:p>
        </w:tc>
        <w:tc>
          <w:tcPr>
            <w:tcW w:w="1248" w:type="dxa"/>
            <w:vMerge w:val="continue"/>
            <w:shd w:val="clear" w:color="auto" w:fill="auto"/>
            <w:noWrap/>
            <w:vAlign w:val="center"/>
          </w:tcPr>
          <w:p>
            <w:pPr>
              <w:widowControl/>
              <w:jc w:val="center"/>
              <w:textAlignment w:val="center"/>
              <w:rPr>
                <w:rFonts w:hint="eastAsia" w:ascii="宋体" w:hAnsi="宋体" w:cs="宋体"/>
                <w:b w:val="0"/>
                <w:bCs w:val="0"/>
                <w:color w:val="auto"/>
                <w:kern w:val="0"/>
                <w:sz w:val="21"/>
                <w:szCs w:val="21"/>
                <w:highlight w:val="none"/>
                <w:lang w:val="en-US" w:eastAsia="zh-CN" w:bidi="ar"/>
              </w:rPr>
            </w:pPr>
          </w:p>
        </w:tc>
        <w:tc>
          <w:tcPr>
            <w:tcW w:w="1064" w:type="dxa"/>
            <w:shd w:val="clear" w:color="auto" w:fill="auto"/>
            <w:noWrap/>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1"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75" w:type="dxa"/>
            <w:shd w:val="clear" w:color="auto" w:fill="auto"/>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c>
          <w:tcPr>
            <w:tcW w:w="2526"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电动破拆工具组</w:t>
            </w:r>
          </w:p>
        </w:tc>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10</w:t>
            </w:r>
          </w:p>
        </w:tc>
        <w:tc>
          <w:tcPr>
            <w:tcW w:w="783"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套</w:t>
            </w:r>
          </w:p>
        </w:tc>
        <w:tc>
          <w:tcPr>
            <w:tcW w:w="1251"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4"/>
                <w:szCs w:val="24"/>
                <w:highlight w:val="none"/>
                <w:u w:val="none"/>
                <w:lang w:val="en-US" w:eastAsia="zh-CN" w:bidi="ar"/>
              </w:rPr>
              <w:t>100000</w:t>
            </w:r>
          </w:p>
        </w:tc>
        <w:tc>
          <w:tcPr>
            <w:tcW w:w="1248" w:type="dxa"/>
            <w:vMerge w:val="continue"/>
            <w:shd w:val="clear" w:color="auto" w:fill="auto"/>
          </w:tcPr>
          <w:p>
            <w:pPr>
              <w:widowControl/>
              <w:jc w:val="center"/>
              <w:textAlignment w:val="center"/>
              <w:rPr>
                <w:rFonts w:hint="eastAsia" w:ascii="宋体" w:hAnsi="宋体" w:cs="宋体"/>
                <w:b w:val="0"/>
                <w:bCs w:val="0"/>
                <w:color w:val="auto"/>
                <w:kern w:val="0"/>
                <w:sz w:val="21"/>
                <w:szCs w:val="21"/>
                <w:highlight w:val="none"/>
                <w:lang w:val="en-US" w:eastAsia="zh-CN" w:bidi="ar"/>
              </w:rPr>
            </w:pPr>
          </w:p>
        </w:tc>
        <w:tc>
          <w:tcPr>
            <w:tcW w:w="1064" w:type="dxa"/>
            <w:shd w:val="clear" w:color="auto" w:fill="auto"/>
            <w:vAlign w:val="center"/>
          </w:tcPr>
          <w:p>
            <w:pPr>
              <w:widowControl/>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cs="宋体"/>
                <w:b w:val="0"/>
                <w:bCs w:val="0"/>
                <w:color w:val="auto"/>
                <w:kern w:val="0"/>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951"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75" w:type="dxa"/>
            <w:shd w:val="clear" w:color="auto" w:fill="auto"/>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c>
          <w:tcPr>
            <w:tcW w:w="2526"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电动钢筋速断器</w:t>
            </w:r>
          </w:p>
        </w:tc>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38</w:t>
            </w:r>
          </w:p>
        </w:tc>
        <w:tc>
          <w:tcPr>
            <w:tcW w:w="783"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个</w:t>
            </w:r>
          </w:p>
        </w:tc>
        <w:tc>
          <w:tcPr>
            <w:tcW w:w="1251"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4"/>
                <w:szCs w:val="24"/>
                <w:highlight w:val="none"/>
                <w:u w:val="none"/>
                <w:lang w:val="en-US" w:eastAsia="zh-CN" w:bidi="ar"/>
              </w:rPr>
              <w:t>6000</w:t>
            </w:r>
          </w:p>
        </w:tc>
        <w:tc>
          <w:tcPr>
            <w:tcW w:w="1248" w:type="dxa"/>
            <w:vMerge w:val="continue"/>
            <w:shd w:val="clear" w:color="auto" w:fill="auto"/>
          </w:tcPr>
          <w:p>
            <w:pPr>
              <w:widowControl/>
              <w:jc w:val="center"/>
              <w:textAlignment w:val="center"/>
              <w:rPr>
                <w:rFonts w:hint="eastAsia" w:ascii="宋体" w:hAnsi="宋体" w:cs="宋体"/>
                <w:b w:val="0"/>
                <w:bCs w:val="0"/>
                <w:color w:val="auto"/>
                <w:kern w:val="0"/>
                <w:sz w:val="21"/>
                <w:szCs w:val="21"/>
                <w:highlight w:val="none"/>
                <w:lang w:val="en-US" w:eastAsia="zh-CN" w:bidi="ar"/>
              </w:rPr>
            </w:pPr>
          </w:p>
        </w:tc>
        <w:tc>
          <w:tcPr>
            <w:tcW w:w="1064" w:type="dxa"/>
            <w:shd w:val="clear" w:color="auto" w:fill="auto"/>
            <w:vAlign w:val="center"/>
          </w:tcPr>
          <w:p>
            <w:pPr>
              <w:widowControl/>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cs="宋体"/>
                <w:b w:val="0"/>
                <w:bCs w:val="0"/>
                <w:color w:val="auto"/>
                <w:kern w:val="0"/>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1" w:type="dxa"/>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第三包</w:t>
            </w:r>
          </w:p>
        </w:tc>
        <w:tc>
          <w:tcPr>
            <w:tcW w:w="775" w:type="dxa"/>
            <w:shd w:val="clear" w:color="auto" w:fill="auto"/>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c>
          <w:tcPr>
            <w:tcW w:w="2526"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液压破拆工具组A</w:t>
            </w:r>
          </w:p>
        </w:tc>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31</w:t>
            </w:r>
          </w:p>
        </w:tc>
        <w:tc>
          <w:tcPr>
            <w:tcW w:w="783"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套</w:t>
            </w:r>
          </w:p>
        </w:tc>
        <w:tc>
          <w:tcPr>
            <w:tcW w:w="1251" w:type="dxa"/>
            <w:shd w:val="clear" w:color="auto" w:fill="auto"/>
            <w:vAlign w:val="center"/>
          </w:tcPr>
          <w:p>
            <w:pPr>
              <w:keepNext w:val="0"/>
              <w:keepLines w:val="0"/>
              <w:widowControl/>
              <w:suppressLineNumbers w:val="0"/>
              <w:jc w:val="center"/>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200000</w:t>
            </w:r>
          </w:p>
        </w:tc>
        <w:tc>
          <w:tcPr>
            <w:tcW w:w="1248" w:type="dxa"/>
            <w:shd w:val="clear" w:color="auto" w:fill="auto"/>
            <w:vAlign w:val="center"/>
          </w:tcPr>
          <w:p>
            <w:pPr>
              <w:widowControl/>
              <w:jc w:val="center"/>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6200000</w:t>
            </w:r>
          </w:p>
        </w:tc>
        <w:tc>
          <w:tcPr>
            <w:tcW w:w="1064" w:type="dxa"/>
            <w:shd w:val="clear" w:color="auto" w:fill="auto"/>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1"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第四包</w:t>
            </w:r>
          </w:p>
        </w:tc>
        <w:tc>
          <w:tcPr>
            <w:tcW w:w="775" w:type="dxa"/>
            <w:shd w:val="clear" w:color="auto" w:fill="auto"/>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c>
          <w:tcPr>
            <w:tcW w:w="2526"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凿岩机</w:t>
            </w:r>
          </w:p>
        </w:tc>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16</w:t>
            </w:r>
          </w:p>
        </w:tc>
        <w:tc>
          <w:tcPr>
            <w:tcW w:w="783"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台</w:t>
            </w:r>
          </w:p>
        </w:tc>
        <w:tc>
          <w:tcPr>
            <w:tcW w:w="1251" w:type="dxa"/>
            <w:shd w:val="clear" w:color="auto" w:fill="auto"/>
            <w:vAlign w:val="center"/>
          </w:tcPr>
          <w:p>
            <w:pPr>
              <w:keepNext w:val="0"/>
              <w:keepLines w:val="0"/>
              <w:widowControl/>
              <w:suppressLineNumbers w:val="0"/>
              <w:jc w:val="center"/>
              <w:textAlignment w:val="cente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20000</w:t>
            </w:r>
          </w:p>
        </w:tc>
        <w:tc>
          <w:tcPr>
            <w:tcW w:w="1248" w:type="dxa"/>
            <w:vMerge w:val="restart"/>
            <w:shd w:val="clear" w:color="auto" w:fill="auto"/>
          </w:tcPr>
          <w:p>
            <w:pPr>
              <w:widowControl/>
              <w:jc w:val="center"/>
              <w:textAlignment w:val="cente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p>
            <w:pPr>
              <w:widowControl/>
              <w:jc w:val="center"/>
              <w:textAlignment w:val="cente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p>
            <w:pPr>
              <w:widowControl/>
              <w:jc w:val="center"/>
              <w:textAlignment w:val="cente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p>
            <w:pPr>
              <w:widowControl/>
              <w:jc w:val="center"/>
              <w:textAlignment w:val="cente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p>
            <w:pPr>
              <w:widowControl/>
              <w:jc w:val="center"/>
              <w:textAlignment w:val="center"/>
              <w:rPr>
                <w:rFonts w:hint="default"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1613500</w:t>
            </w:r>
          </w:p>
        </w:tc>
        <w:tc>
          <w:tcPr>
            <w:tcW w:w="1064" w:type="dxa"/>
            <w:shd w:val="clear" w:color="auto" w:fill="auto"/>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1" w:type="dxa"/>
            <w:vMerge w:val="continue"/>
            <w:shd w:val="clear" w:color="auto" w:fill="auto"/>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75" w:type="dxa"/>
            <w:shd w:val="clear" w:color="auto" w:fill="auto"/>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c>
          <w:tcPr>
            <w:tcW w:w="2526"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手动破拆工具组</w:t>
            </w:r>
          </w:p>
        </w:tc>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47</w:t>
            </w:r>
          </w:p>
        </w:tc>
        <w:tc>
          <w:tcPr>
            <w:tcW w:w="783"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套</w:t>
            </w:r>
          </w:p>
        </w:tc>
        <w:tc>
          <w:tcPr>
            <w:tcW w:w="1251" w:type="dxa"/>
            <w:shd w:val="clear" w:color="auto" w:fill="auto"/>
            <w:vAlign w:val="center"/>
          </w:tcPr>
          <w:p>
            <w:pPr>
              <w:keepNext w:val="0"/>
              <w:keepLines w:val="0"/>
              <w:widowControl/>
              <w:suppressLineNumbers w:val="0"/>
              <w:jc w:val="center"/>
              <w:textAlignment w:val="cente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3500</w:t>
            </w:r>
          </w:p>
        </w:tc>
        <w:tc>
          <w:tcPr>
            <w:tcW w:w="1248" w:type="dxa"/>
            <w:vMerge w:val="continue"/>
            <w:shd w:val="clear" w:color="auto" w:fill="auto"/>
          </w:tcPr>
          <w:p>
            <w:pPr>
              <w:widowControl/>
              <w:jc w:val="center"/>
              <w:textAlignment w:val="cente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c>
          <w:tcPr>
            <w:tcW w:w="1064" w:type="dxa"/>
            <w:shd w:val="clear" w:color="auto" w:fill="auto"/>
            <w:vAlign w:val="center"/>
          </w:tcPr>
          <w:p>
            <w:pPr>
              <w:widowControl/>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cs="宋体"/>
                <w:b w:val="0"/>
                <w:bCs w:val="0"/>
                <w:color w:val="auto"/>
                <w:kern w:val="0"/>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951" w:type="dxa"/>
            <w:vMerge w:val="continue"/>
            <w:shd w:val="clear" w:color="auto" w:fill="auto"/>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75" w:type="dxa"/>
            <w:shd w:val="clear" w:color="auto" w:fill="auto"/>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c>
          <w:tcPr>
            <w:tcW w:w="2526"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玻璃破碎器</w:t>
            </w:r>
          </w:p>
        </w:tc>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33</w:t>
            </w:r>
          </w:p>
        </w:tc>
        <w:tc>
          <w:tcPr>
            <w:tcW w:w="783"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套</w:t>
            </w:r>
          </w:p>
        </w:tc>
        <w:tc>
          <w:tcPr>
            <w:tcW w:w="1251" w:type="dxa"/>
            <w:shd w:val="clear" w:color="auto" w:fill="auto"/>
            <w:vAlign w:val="center"/>
          </w:tcPr>
          <w:p>
            <w:pPr>
              <w:keepNext w:val="0"/>
              <w:keepLines w:val="0"/>
              <w:widowControl/>
              <w:suppressLineNumbers w:val="0"/>
              <w:jc w:val="center"/>
              <w:textAlignment w:val="cente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3000</w:t>
            </w:r>
          </w:p>
        </w:tc>
        <w:tc>
          <w:tcPr>
            <w:tcW w:w="1248" w:type="dxa"/>
            <w:vMerge w:val="continue"/>
            <w:shd w:val="clear" w:color="auto" w:fill="auto"/>
          </w:tcPr>
          <w:p>
            <w:pPr>
              <w:widowControl/>
              <w:jc w:val="center"/>
              <w:textAlignment w:val="cente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c>
          <w:tcPr>
            <w:tcW w:w="1064" w:type="dxa"/>
            <w:shd w:val="clear" w:color="auto" w:fill="auto"/>
            <w:vAlign w:val="center"/>
          </w:tcPr>
          <w:p>
            <w:pPr>
              <w:widowControl/>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cs="宋体"/>
                <w:b w:val="0"/>
                <w:bCs w:val="0"/>
                <w:color w:val="auto"/>
                <w:kern w:val="0"/>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1" w:type="dxa"/>
            <w:vMerge w:val="continue"/>
            <w:shd w:val="clear" w:color="auto" w:fill="auto"/>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75" w:type="dxa"/>
            <w:shd w:val="clear" w:color="auto" w:fill="auto"/>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c>
          <w:tcPr>
            <w:tcW w:w="2526"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哈利根铁铤</w:t>
            </w:r>
          </w:p>
        </w:tc>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60</w:t>
            </w:r>
          </w:p>
        </w:tc>
        <w:tc>
          <w:tcPr>
            <w:tcW w:w="783"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根</w:t>
            </w:r>
          </w:p>
        </w:tc>
        <w:tc>
          <w:tcPr>
            <w:tcW w:w="1251"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4"/>
                <w:szCs w:val="24"/>
                <w:highlight w:val="none"/>
                <w:u w:val="none"/>
                <w:lang w:val="en-US" w:eastAsia="zh-CN" w:bidi="ar"/>
              </w:rPr>
              <w:t>4000</w:t>
            </w:r>
          </w:p>
        </w:tc>
        <w:tc>
          <w:tcPr>
            <w:tcW w:w="1248" w:type="dxa"/>
            <w:vMerge w:val="continue"/>
            <w:shd w:val="clear" w:color="auto" w:fill="auto"/>
          </w:tcPr>
          <w:p>
            <w:pPr>
              <w:widowControl/>
              <w:jc w:val="center"/>
              <w:textAlignment w:val="center"/>
              <w:rPr>
                <w:rFonts w:hint="eastAsia" w:ascii="宋体" w:hAnsi="宋体" w:cs="宋体"/>
                <w:b w:val="0"/>
                <w:bCs w:val="0"/>
                <w:color w:val="auto"/>
                <w:kern w:val="0"/>
                <w:sz w:val="21"/>
                <w:szCs w:val="21"/>
                <w:highlight w:val="none"/>
                <w:lang w:val="en-US" w:eastAsia="zh-CN" w:bidi="ar"/>
              </w:rPr>
            </w:pPr>
          </w:p>
        </w:tc>
        <w:tc>
          <w:tcPr>
            <w:tcW w:w="1064" w:type="dxa"/>
            <w:shd w:val="clear" w:color="auto" w:fill="auto"/>
            <w:vAlign w:val="center"/>
          </w:tcPr>
          <w:p>
            <w:pPr>
              <w:widowControl/>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cs="宋体"/>
                <w:b w:val="0"/>
                <w:bCs w:val="0"/>
                <w:color w:val="auto"/>
                <w:kern w:val="0"/>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1" w:type="dxa"/>
            <w:vMerge w:val="continue"/>
            <w:shd w:val="clear" w:color="auto" w:fill="auto"/>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75" w:type="dxa"/>
            <w:shd w:val="clear" w:color="auto" w:fill="auto"/>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c>
          <w:tcPr>
            <w:tcW w:w="2526"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开缝器</w:t>
            </w:r>
          </w:p>
        </w:tc>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10</w:t>
            </w:r>
          </w:p>
        </w:tc>
        <w:tc>
          <w:tcPr>
            <w:tcW w:w="783"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个</w:t>
            </w:r>
          </w:p>
        </w:tc>
        <w:tc>
          <w:tcPr>
            <w:tcW w:w="1251"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4"/>
                <w:szCs w:val="24"/>
                <w:highlight w:val="none"/>
                <w:u w:val="none"/>
                <w:lang w:val="en-US" w:eastAsia="zh-CN" w:bidi="ar"/>
              </w:rPr>
              <w:t>22000</w:t>
            </w:r>
          </w:p>
        </w:tc>
        <w:tc>
          <w:tcPr>
            <w:tcW w:w="1248" w:type="dxa"/>
            <w:vMerge w:val="continue"/>
            <w:shd w:val="clear" w:color="auto" w:fill="auto"/>
          </w:tcPr>
          <w:p>
            <w:pPr>
              <w:widowControl/>
              <w:jc w:val="center"/>
              <w:textAlignment w:val="center"/>
              <w:rPr>
                <w:rFonts w:hint="eastAsia" w:ascii="宋体" w:hAnsi="宋体" w:cs="宋体"/>
                <w:b w:val="0"/>
                <w:bCs w:val="0"/>
                <w:color w:val="auto"/>
                <w:kern w:val="0"/>
                <w:sz w:val="21"/>
                <w:szCs w:val="21"/>
                <w:highlight w:val="none"/>
                <w:lang w:val="en-US" w:eastAsia="zh-CN" w:bidi="ar"/>
              </w:rPr>
            </w:pPr>
          </w:p>
        </w:tc>
        <w:tc>
          <w:tcPr>
            <w:tcW w:w="1064" w:type="dxa"/>
            <w:shd w:val="clear" w:color="auto" w:fill="auto"/>
            <w:vAlign w:val="center"/>
          </w:tcPr>
          <w:p>
            <w:pPr>
              <w:widowControl/>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cs="宋体"/>
                <w:b w:val="0"/>
                <w:bCs w:val="0"/>
                <w:color w:val="auto"/>
                <w:kern w:val="0"/>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1" w:type="dxa"/>
            <w:vMerge w:val="continue"/>
            <w:shd w:val="clear" w:color="auto" w:fill="auto"/>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75" w:type="dxa"/>
            <w:shd w:val="clear" w:color="auto" w:fill="auto"/>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c>
          <w:tcPr>
            <w:tcW w:w="2526"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液压钻孔机</w:t>
            </w:r>
          </w:p>
        </w:tc>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5</w:t>
            </w:r>
          </w:p>
        </w:tc>
        <w:tc>
          <w:tcPr>
            <w:tcW w:w="783"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台</w:t>
            </w:r>
          </w:p>
        </w:tc>
        <w:tc>
          <w:tcPr>
            <w:tcW w:w="1251"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4"/>
                <w:szCs w:val="24"/>
                <w:highlight w:val="none"/>
                <w:u w:val="none"/>
                <w:lang w:val="en-US" w:eastAsia="zh-CN" w:bidi="ar"/>
              </w:rPr>
              <w:t>90000</w:t>
            </w:r>
          </w:p>
        </w:tc>
        <w:tc>
          <w:tcPr>
            <w:tcW w:w="1248" w:type="dxa"/>
            <w:vMerge w:val="continue"/>
            <w:shd w:val="clear" w:color="auto" w:fill="auto"/>
          </w:tcPr>
          <w:p>
            <w:pPr>
              <w:widowControl/>
              <w:jc w:val="center"/>
              <w:textAlignment w:val="center"/>
              <w:rPr>
                <w:rFonts w:hint="eastAsia" w:ascii="宋体" w:hAnsi="宋体" w:cs="宋体"/>
                <w:b w:val="0"/>
                <w:bCs w:val="0"/>
                <w:color w:val="auto"/>
                <w:kern w:val="0"/>
                <w:sz w:val="21"/>
                <w:szCs w:val="21"/>
                <w:highlight w:val="none"/>
                <w:lang w:val="en-US" w:eastAsia="zh-CN" w:bidi="ar"/>
              </w:rPr>
            </w:pPr>
          </w:p>
        </w:tc>
        <w:tc>
          <w:tcPr>
            <w:tcW w:w="1064" w:type="dxa"/>
            <w:shd w:val="clear" w:color="auto" w:fill="auto"/>
            <w:vAlign w:val="center"/>
          </w:tcPr>
          <w:p>
            <w:pPr>
              <w:widowControl/>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cs="宋体"/>
                <w:b w:val="0"/>
                <w:bCs w:val="0"/>
                <w:color w:val="auto"/>
                <w:kern w:val="0"/>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1" w:type="dxa"/>
            <w:vMerge w:val="continue"/>
            <w:shd w:val="clear" w:color="auto" w:fill="auto"/>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75" w:type="dxa"/>
            <w:shd w:val="clear" w:color="auto" w:fill="auto"/>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c>
          <w:tcPr>
            <w:tcW w:w="2526"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门锁破拆工具组</w:t>
            </w:r>
          </w:p>
        </w:tc>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20</w:t>
            </w:r>
          </w:p>
        </w:tc>
        <w:tc>
          <w:tcPr>
            <w:tcW w:w="783"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套</w:t>
            </w:r>
          </w:p>
        </w:tc>
        <w:tc>
          <w:tcPr>
            <w:tcW w:w="1251"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4"/>
                <w:szCs w:val="24"/>
                <w:highlight w:val="none"/>
                <w:u w:val="none"/>
                <w:lang w:val="en-US" w:eastAsia="zh-CN" w:bidi="ar"/>
              </w:rPr>
              <w:t>6000</w:t>
            </w:r>
          </w:p>
        </w:tc>
        <w:tc>
          <w:tcPr>
            <w:tcW w:w="1248" w:type="dxa"/>
            <w:vMerge w:val="continue"/>
            <w:shd w:val="clear" w:color="auto" w:fill="auto"/>
          </w:tcPr>
          <w:p>
            <w:pPr>
              <w:widowControl/>
              <w:jc w:val="center"/>
              <w:textAlignment w:val="center"/>
              <w:rPr>
                <w:rFonts w:hint="eastAsia" w:ascii="宋体" w:hAnsi="宋体" w:cs="宋体"/>
                <w:b w:val="0"/>
                <w:bCs w:val="0"/>
                <w:color w:val="auto"/>
                <w:kern w:val="0"/>
                <w:sz w:val="21"/>
                <w:szCs w:val="21"/>
                <w:highlight w:val="none"/>
                <w:lang w:val="en-US" w:eastAsia="zh-CN" w:bidi="ar"/>
              </w:rPr>
            </w:pPr>
          </w:p>
        </w:tc>
        <w:tc>
          <w:tcPr>
            <w:tcW w:w="1064" w:type="dxa"/>
            <w:shd w:val="clear" w:color="auto" w:fill="auto"/>
            <w:vAlign w:val="center"/>
          </w:tcPr>
          <w:p>
            <w:pPr>
              <w:widowControl/>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cs="宋体"/>
                <w:b w:val="0"/>
                <w:bCs w:val="0"/>
                <w:color w:val="auto"/>
                <w:kern w:val="0"/>
                <w:sz w:val="24"/>
                <w:szCs w:val="24"/>
                <w:highlight w:val="none"/>
                <w:lang w:val="en-US" w:eastAsia="zh-CN" w:bidi="ar"/>
              </w:rPr>
              <w:t>/</w:t>
            </w:r>
          </w:p>
        </w:tc>
      </w:tr>
    </w:tbl>
    <w:p>
      <w:pPr>
        <w:pStyle w:val="12"/>
        <w:rPr>
          <w:rFonts w:hint="eastAsia"/>
          <w:b/>
          <w:bCs/>
          <w:sz w:val="24"/>
          <w:szCs w:val="32"/>
          <w:highlight w:val="none"/>
        </w:rPr>
      </w:pPr>
    </w:p>
    <w:p>
      <w:pPr>
        <w:pStyle w:val="12"/>
        <w:rPr>
          <w:b/>
          <w:bCs/>
          <w:sz w:val="24"/>
          <w:szCs w:val="32"/>
          <w:highlight w:val="none"/>
        </w:rPr>
      </w:pPr>
      <w:r>
        <w:rPr>
          <w:rFonts w:hint="eastAsia"/>
          <w:b/>
          <w:bCs/>
          <w:sz w:val="24"/>
          <w:szCs w:val="32"/>
          <w:highlight w:val="none"/>
          <w:lang w:val="en-US" w:eastAsia="zh-CN"/>
        </w:rPr>
        <w:t>二</w:t>
      </w:r>
      <w:r>
        <w:rPr>
          <w:rFonts w:hint="eastAsia"/>
          <w:b/>
          <w:bCs/>
          <w:sz w:val="24"/>
          <w:szCs w:val="32"/>
          <w:highlight w:val="none"/>
        </w:rPr>
        <w:t>、技术需求</w:t>
      </w:r>
    </w:p>
    <w:tbl>
      <w:tblPr>
        <w:tblStyle w:val="15"/>
        <w:tblW w:w="91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0"/>
        <w:gridCol w:w="1579"/>
        <w:gridCol w:w="5904"/>
        <w:gridCol w:w="8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jc w:val="center"/>
        </w:trPr>
        <w:tc>
          <w:tcPr>
            <w:tcW w:w="91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第一包（</w:t>
            </w:r>
            <w:r>
              <w:rPr>
                <w:rFonts w:hint="eastAsia" w:ascii="宋体" w:hAnsi="宋体" w:cs="宋体"/>
                <w:b/>
                <w:bCs/>
                <w:i w:val="0"/>
                <w:iCs w:val="0"/>
                <w:color w:val="000000"/>
                <w:kern w:val="0"/>
                <w:sz w:val="24"/>
                <w:szCs w:val="24"/>
                <w:highlight w:val="none"/>
                <w:u w:val="none"/>
                <w:lang w:val="en-US" w:eastAsia="zh-CN" w:bidi="ar"/>
              </w:rPr>
              <w:t>破拆类1-切割</w:t>
            </w:r>
            <w:r>
              <w:rPr>
                <w:rFonts w:hint="eastAsia" w:ascii="宋体" w:hAnsi="宋体" w:eastAsia="宋体" w:cs="宋体"/>
                <w:b/>
                <w:bCs/>
                <w:i w:val="0"/>
                <w:iCs w:val="0"/>
                <w:color w:val="000000"/>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装备名称</w:t>
            </w:r>
          </w:p>
        </w:tc>
        <w:tc>
          <w:tcPr>
            <w:tcW w:w="5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技术参数</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机动链</w:t>
            </w:r>
            <w:bookmarkStart w:id="89" w:name="_GoBack"/>
            <w:bookmarkEnd w:id="89"/>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锯</w:t>
            </w:r>
          </w:p>
        </w:tc>
        <w:tc>
          <w:tcPr>
            <w:tcW w:w="5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★1、满足《消防应急救援装备破拆机具通用技术条件》GB32460-2015标准；                                                         </w:t>
            </w:r>
          </w:p>
          <w:p>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▲2、用于切割各类木质结构障碍物，转速≥2500rpm，导板长度≥40cm；汽油机动力，功率≥4kW；</w:t>
            </w:r>
          </w:p>
          <w:p>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3、质量（不含链条）≤7kg；</w:t>
            </w:r>
          </w:p>
          <w:p>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4、配维修工具1套，链条油1瓶，链条5条，比例壶1个；</w:t>
            </w:r>
          </w:p>
          <w:p>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5、其他要求：二冲程发动机、前手防护挡；</w:t>
            </w:r>
          </w:p>
          <w:p>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6、提供使用说明书。</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无齿锯</w:t>
            </w:r>
          </w:p>
        </w:tc>
        <w:tc>
          <w:tcPr>
            <w:tcW w:w="5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★1、满足《消防应急救援装备破拆机具通用技术条件》GB32460-2015标准；                                                                                                                   </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▲2、主要用于切割金属、混凝土等材料，汽油机动力，功率≥4.5kW，排量≥90CC；</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3、锯片直径≥350mm，最大切割深度≥100mm；</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4、质量（不含锯片和燃油）≤14kg；</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5、镁合金锯片保护罩具备有无极调节；</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6、每套无齿锯配备维修工具1套、冷却水壶、润滑油比例壶、配备备用锯片6片，品种不少于2种；</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7、在-25℃〜-20℃的环境中其低温启动时间应≤25s；</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8、供货时，须提供使用说明书及产品具有永久性标志及产品数据标识。</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双轮异向切割锯</w:t>
            </w:r>
          </w:p>
        </w:tc>
        <w:tc>
          <w:tcPr>
            <w:tcW w:w="5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 xml:space="preserve">★1、满足《消防应急救援装备破拆机具通用技术条件》GB32460-2015标准；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2、主要用于救援中切割钢材、木材、塑料、车窗玻璃等；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▲3、汽油发动机，功率≥4kW；锯片直径≥315mm，切割深度≥110mm；质量(不含燃油、润滑油、锯片)：≤15(kg)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4、工具箱、护目镜、防护手套、锯片固定螺丝1套、螺丝胶1套、包含切割锯和锯片，配备锯片两副/4片，配备专用携行箱；</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5、提供使用说明书及永久性标志及产品数据标识。</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水泥切割机</w:t>
            </w:r>
          </w:p>
        </w:tc>
        <w:tc>
          <w:tcPr>
            <w:tcW w:w="5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、纯铜无刷电机，工作电压220V；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、额定功率≥8800W；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、额定转速≥5000r/min；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、切割深度≥45cm；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、导板≥2个，进口金刚石链条≥6条；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、机身净重≤14kg；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7</w:t>
            </w:r>
            <w:r>
              <w:rPr>
                <w:rFonts w:hint="eastAsia" w:ascii="宋体" w:hAnsi="宋体" w:eastAsia="宋体" w:cs="宋体"/>
                <w:i w:val="0"/>
                <w:iCs w:val="0"/>
                <w:color w:val="000000"/>
                <w:kern w:val="0"/>
                <w:sz w:val="24"/>
                <w:szCs w:val="24"/>
                <w:highlight w:val="none"/>
                <w:u w:val="none"/>
                <w:lang w:val="en-US" w:eastAsia="zh-CN" w:bidi="ar"/>
              </w:rPr>
              <w:t>、配件塑料工具箱，维修工具一套，自动供水系统等；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8</w:t>
            </w:r>
            <w:r>
              <w:rPr>
                <w:rFonts w:hint="eastAsia" w:ascii="宋体" w:hAnsi="宋体" w:eastAsia="宋体" w:cs="宋体"/>
                <w:i w:val="0"/>
                <w:iCs w:val="0"/>
                <w:color w:val="000000"/>
                <w:kern w:val="0"/>
                <w:sz w:val="24"/>
                <w:szCs w:val="24"/>
                <w:highlight w:val="none"/>
                <w:u w:val="none"/>
                <w:lang w:val="en-US" w:eastAsia="zh-CN" w:bidi="ar"/>
              </w:rPr>
              <w:t>、具有永久性标志及产品数据标识。</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绳锯</w:t>
            </w:r>
          </w:p>
        </w:tc>
        <w:tc>
          <w:tcPr>
            <w:tcW w:w="5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★1、主要功能：能快速切割钢筋混凝土、石块、金属、非金属等各种材料，可供消防员用于处置地震、建筑倒塌、泥石流等灾害事故中，破拆大尺寸钢筋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混凝土梁柱、山石、钢结构等，还可用于处置汽车、动车、船舶、航空等交通事故，破拆汽车、动车、飞机、船舶等的外壳；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.技术要求：液压系统压力≥12MPa，串珠绳长度≥20m，切断400mm*400mm*400mm的钢筋混凝土块和花岗岩所需时间均≤20min；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、输出功率≥18kW、控制距离≥80米、绳索切割速度≥18(米/秒)、总重量≤350kg；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、其他要求：由液压动力站、绳锯驱动、导向轮、绳锯链条等组成，切割过程中无需冷却液；</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、提供使用说明书、品牌、生产厂家详细地址、联络方式及代理商的详细地址和售后服务联络方式。</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等离子切割机</w:t>
            </w:r>
          </w:p>
        </w:tc>
        <w:tc>
          <w:tcPr>
            <w:tcW w:w="5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1、主要用于救援现场的破拆作业，以水为介质形成高温点源切割金属、玻璃等结构和材料；</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、性能要求：电源电压220V；转换方式：双回路，能切割能焊接；工作介质：水；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、配备维修工具包、备用喷嘴及相应的个人防护装备。</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氧炔气焊切割设备</w:t>
            </w:r>
          </w:p>
        </w:tc>
        <w:tc>
          <w:tcPr>
            <w:tcW w:w="5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1、可全方位快速切割≤30mm的钢结构障碍物如:防盗铁门窗护栏、铁栅栏，阻碍车辆通过的铁桩等，并可带水作业；</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、切割范围：高中低碳钢、合金钢、有色金属及不锈钢材料等；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、燃料标号：车用汽油；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、氧气罐装容积(L)≥6.8；</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、额定注油量（L）≥1.5；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、切割厚度（mm）≥120；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7</w:t>
            </w:r>
            <w:r>
              <w:rPr>
                <w:rFonts w:hint="eastAsia" w:ascii="宋体" w:hAnsi="宋体" w:eastAsia="宋体" w:cs="宋体"/>
                <w:i w:val="0"/>
                <w:iCs w:val="0"/>
                <w:color w:val="000000"/>
                <w:kern w:val="0"/>
                <w:sz w:val="24"/>
                <w:szCs w:val="24"/>
                <w:highlight w:val="none"/>
                <w:u w:val="none"/>
                <w:lang w:val="en-US" w:eastAsia="zh-CN" w:bidi="ar"/>
              </w:rPr>
              <w:t>、氧气输出压力（MPa）：0.1-1.2(可自由调节，带高低压力表)；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8</w:t>
            </w:r>
            <w:r>
              <w:rPr>
                <w:rFonts w:hint="eastAsia" w:ascii="宋体" w:hAnsi="宋体" w:eastAsia="宋体" w:cs="宋体"/>
                <w:i w:val="0"/>
                <w:iCs w:val="0"/>
                <w:color w:val="000000"/>
                <w:kern w:val="0"/>
                <w:sz w:val="24"/>
                <w:szCs w:val="24"/>
                <w:highlight w:val="none"/>
                <w:u w:val="none"/>
                <w:lang w:val="en-US" w:eastAsia="zh-CN" w:bidi="ar"/>
              </w:rPr>
              <w:t>、额定氧气罐装压力（MPa）:≥20；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9</w:t>
            </w:r>
            <w:r>
              <w:rPr>
                <w:rFonts w:hint="eastAsia" w:ascii="宋体" w:hAnsi="宋体" w:eastAsia="宋体" w:cs="宋体"/>
                <w:i w:val="0"/>
                <w:iCs w:val="0"/>
                <w:color w:val="000000"/>
                <w:kern w:val="0"/>
                <w:sz w:val="24"/>
                <w:szCs w:val="24"/>
                <w:highlight w:val="none"/>
                <w:u w:val="none"/>
                <w:lang w:val="en-US" w:eastAsia="zh-CN" w:bidi="ar"/>
              </w:rPr>
              <w:t>、工作氧气罐装压力（MPa）:≥15；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cs="宋体"/>
                <w:i w:val="0"/>
                <w:iCs w:val="0"/>
                <w:color w:val="000000"/>
                <w:kern w:val="0"/>
                <w:sz w:val="24"/>
                <w:szCs w:val="24"/>
                <w:highlight w:val="none"/>
                <w:u w:val="none"/>
                <w:lang w:val="en-US" w:eastAsia="zh-CN" w:bidi="ar"/>
              </w:rPr>
              <w:t>0</w:t>
            </w:r>
            <w:r>
              <w:rPr>
                <w:rFonts w:hint="eastAsia" w:ascii="宋体" w:hAnsi="宋体" w:eastAsia="宋体" w:cs="宋体"/>
                <w:i w:val="0"/>
                <w:iCs w:val="0"/>
                <w:color w:val="000000"/>
                <w:kern w:val="0"/>
                <w:sz w:val="24"/>
                <w:szCs w:val="24"/>
                <w:highlight w:val="none"/>
                <w:u w:val="none"/>
                <w:lang w:val="en-US" w:eastAsia="zh-CN" w:bidi="ar"/>
              </w:rPr>
              <w:t xml:space="preserve">、作业环境温度（℃）≥-40～+50；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、外型尺寸（mm）≤700*300*150；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、整机净重（kg）≤18。</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无电切割刀</w:t>
            </w:r>
          </w:p>
        </w:tc>
        <w:tc>
          <w:tcPr>
            <w:tcW w:w="5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、主要功能：用于破拆熔度金属障碍物及玻璃障碍物；</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、可以在无电、无水、高空、野外等大型设备无法抵达的复杂环境下正常工作。利用内含药剂产生的化学能完成破拆，无须任何外加能源注入，无须任何辅助设备；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、药筒：单根药筒有效工作时间≥60秒，保质期≥24个月；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、电池容量：≥6500mAh；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、切断直径≤22mm 建筑螺纹钢时间≤70秒；</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、切断25mm*25mm*0.4mm不锈钢方管≤5秒；</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7、</w:t>
            </w:r>
            <w:r>
              <w:rPr>
                <w:rFonts w:hint="eastAsia" w:ascii="宋体" w:hAnsi="宋体" w:eastAsia="宋体" w:cs="宋体"/>
                <w:i w:val="0"/>
                <w:iCs w:val="0"/>
                <w:color w:val="000000"/>
                <w:kern w:val="0"/>
                <w:sz w:val="24"/>
                <w:szCs w:val="24"/>
                <w:highlight w:val="none"/>
                <w:u w:val="none"/>
                <w:lang w:val="en-US" w:eastAsia="zh-CN" w:bidi="ar"/>
              </w:rPr>
              <w:t>在1mm厚钢板上切割500mm长的缺口≤70秒；</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8、</w:t>
            </w:r>
            <w:r>
              <w:rPr>
                <w:rFonts w:hint="eastAsia" w:ascii="宋体" w:hAnsi="宋体" w:eastAsia="宋体" w:cs="宋体"/>
                <w:i w:val="0"/>
                <w:iCs w:val="0"/>
                <w:color w:val="000000"/>
                <w:kern w:val="0"/>
                <w:sz w:val="24"/>
                <w:szCs w:val="24"/>
                <w:highlight w:val="none"/>
                <w:u w:val="none"/>
                <w:lang w:val="en-US" w:eastAsia="zh-CN" w:bidi="ar"/>
              </w:rPr>
              <w:t>在3mm厚铝合金板上切割 500m 长的缺口≤70秒；</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9</w:t>
            </w:r>
            <w:r>
              <w:rPr>
                <w:rFonts w:hint="eastAsia" w:ascii="宋体" w:hAnsi="宋体" w:eastAsia="宋体" w:cs="宋体"/>
                <w:i w:val="0"/>
                <w:iCs w:val="0"/>
                <w:color w:val="000000"/>
                <w:kern w:val="0"/>
                <w:sz w:val="24"/>
                <w:szCs w:val="24"/>
                <w:highlight w:val="none"/>
                <w:u w:val="none"/>
                <w:lang w:val="en-US" w:eastAsia="zh-CN" w:bidi="ar"/>
              </w:rPr>
              <w:t>、在6mm厚铝合金板上切割 200mm 长的缺口≤70秒；</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cs="宋体"/>
                <w:i w:val="0"/>
                <w:iCs w:val="0"/>
                <w:color w:val="000000"/>
                <w:kern w:val="0"/>
                <w:sz w:val="24"/>
                <w:szCs w:val="24"/>
                <w:highlight w:val="none"/>
                <w:u w:val="none"/>
                <w:lang w:val="en-US" w:eastAsia="zh-CN" w:bidi="ar"/>
              </w:rPr>
              <w:t>0</w:t>
            </w:r>
            <w:r>
              <w:rPr>
                <w:rFonts w:hint="eastAsia" w:ascii="宋体" w:hAnsi="宋体" w:eastAsia="宋体" w:cs="宋体"/>
                <w:i w:val="0"/>
                <w:iCs w:val="0"/>
                <w:color w:val="000000"/>
                <w:kern w:val="0"/>
                <w:sz w:val="24"/>
                <w:szCs w:val="24"/>
                <w:highlight w:val="none"/>
                <w:u w:val="none"/>
                <w:lang w:val="en-US" w:eastAsia="zh-CN" w:bidi="ar"/>
              </w:rPr>
              <w:t>、破拆厚度≥15mm平面钢化玻璃≤70秒；</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、破拆厚度≥26mm中空钢化玻璃≤70秒；</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、总重量：≤800g；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、产品配置：药筒10支、激发手柄1个、护目镜1副、电池l个、防护手套1副、使用说明书1份、充电器1个、手提包/箱1个；</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、提供使用说明书。</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木锯切割机</w:t>
            </w:r>
          </w:p>
        </w:tc>
        <w:tc>
          <w:tcPr>
            <w:tcW w:w="5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、可切割多种材料，木材、铝材、塑料、不锈钢等；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、机头升起：≥600mm；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、机头压下：≤500mm；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、切割高度：≥120mm；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、额定电压：220V~50Hz；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、额定功率：≥2800W，全铜电机；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7</w:t>
            </w:r>
            <w:r>
              <w:rPr>
                <w:rFonts w:hint="eastAsia" w:ascii="宋体" w:hAnsi="宋体" w:eastAsia="宋体" w:cs="宋体"/>
                <w:i w:val="0"/>
                <w:iCs w:val="0"/>
                <w:color w:val="000000"/>
                <w:kern w:val="0"/>
                <w:sz w:val="24"/>
                <w:szCs w:val="24"/>
                <w:highlight w:val="none"/>
                <w:u w:val="none"/>
                <w:lang w:val="en-US" w:eastAsia="zh-CN" w:bidi="ar"/>
              </w:rPr>
              <w:t>、空载转速：≥4200r/min；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8</w:t>
            </w:r>
            <w:r>
              <w:rPr>
                <w:rFonts w:hint="eastAsia" w:ascii="宋体" w:hAnsi="宋体" w:eastAsia="宋体" w:cs="宋体"/>
                <w:i w:val="0"/>
                <w:iCs w:val="0"/>
                <w:color w:val="000000"/>
                <w:kern w:val="0"/>
                <w:sz w:val="24"/>
                <w:szCs w:val="24"/>
                <w:highlight w:val="none"/>
                <w:u w:val="none"/>
                <w:lang w:val="en-US" w:eastAsia="zh-CN" w:bidi="ar"/>
              </w:rPr>
              <w:t>、重量（不含增配附件）：≤23kg；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9</w:t>
            </w:r>
            <w:r>
              <w:rPr>
                <w:rFonts w:hint="eastAsia" w:ascii="宋体" w:hAnsi="宋体" w:eastAsia="宋体" w:cs="宋体"/>
                <w:i w:val="0"/>
                <w:iCs w:val="0"/>
                <w:color w:val="000000"/>
                <w:kern w:val="0"/>
                <w:sz w:val="24"/>
                <w:szCs w:val="24"/>
                <w:highlight w:val="none"/>
                <w:u w:val="none"/>
                <w:lang w:val="en-US" w:eastAsia="zh-CN" w:bidi="ar"/>
              </w:rPr>
              <w:t>、切割能力：</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（1）台面0°*机头0°：≥12x14cm/11x20cm；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（2）台面45°*机头0°：≥12x10cm/11x14cm；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（3）台面0°*机头45°：≥7x20cm；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（4）台面45°*机头45°：≥5x14cm；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cs="宋体"/>
                <w:i w:val="0"/>
                <w:iCs w:val="0"/>
                <w:color w:val="000000"/>
                <w:kern w:val="0"/>
                <w:sz w:val="24"/>
                <w:szCs w:val="24"/>
                <w:highlight w:val="none"/>
                <w:u w:val="none"/>
                <w:lang w:val="en-US" w:eastAsia="zh-CN" w:bidi="ar"/>
              </w:rPr>
              <w:t>0</w:t>
            </w:r>
            <w:r>
              <w:rPr>
                <w:rFonts w:hint="eastAsia" w:ascii="宋体" w:hAnsi="宋体" w:eastAsia="宋体" w:cs="宋体"/>
                <w:i w:val="0"/>
                <w:iCs w:val="0"/>
                <w:color w:val="000000"/>
                <w:kern w:val="0"/>
                <w:sz w:val="24"/>
                <w:szCs w:val="24"/>
                <w:highlight w:val="none"/>
                <w:u w:val="none"/>
                <w:lang w:val="en-US" w:eastAsia="zh-CN" w:bidi="ar"/>
              </w:rPr>
              <w:t>、结构设计：配铝刻刻度激光定位，全铝工作台。有便携式提手，方便携带。有限位设计，防止锯片切到底座台面；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、配件：延伸铝台面1套、加高铝靠山1个、金属压料器1套、原装碳刷4个、120齿木锯片4个、120齿锯铝片2个、激光水平仪1个、大容量集尘带2个，防尘护目镜1个；</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jc w:val="center"/>
        </w:trPr>
        <w:tc>
          <w:tcPr>
            <w:tcW w:w="91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24"/>
                <w:szCs w:val="24"/>
                <w:highlight w:val="none"/>
                <w:u w:val="none"/>
                <w:lang w:val="en-US" w:eastAsia="zh-CN" w:bidi="ar"/>
              </w:rPr>
              <w:t>第</w:t>
            </w:r>
            <w:r>
              <w:rPr>
                <w:rFonts w:hint="eastAsia" w:ascii="宋体" w:hAnsi="宋体" w:cs="宋体"/>
                <w:b/>
                <w:bCs/>
                <w:i w:val="0"/>
                <w:iCs w:val="0"/>
                <w:color w:val="000000"/>
                <w:kern w:val="0"/>
                <w:sz w:val="24"/>
                <w:szCs w:val="24"/>
                <w:highlight w:val="none"/>
                <w:u w:val="none"/>
                <w:lang w:val="en-US" w:eastAsia="zh-CN" w:bidi="ar"/>
              </w:rPr>
              <w:t>二</w:t>
            </w:r>
            <w:r>
              <w:rPr>
                <w:rFonts w:hint="eastAsia" w:ascii="宋体" w:hAnsi="宋体" w:eastAsia="宋体" w:cs="宋体"/>
                <w:b/>
                <w:bCs/>
                <w:i w:val="0"/>
                <w:iCs w:val="0"/>
                <w:color w:val="000000"/>
                <w:kern w:val="0"/>
                <w:sz w:val="24"/>
                <w:szCs w:val="24"/>
                <w:highlight w:val="none"/>
                <w:u w:val="none"/>
                <w:lang w:val="en-US" w:eastAsia="zh-CN" w:bidi="ar"/>
              </w:rPr>
              <w:t>包（</w:t>
            </w:r>
            <w:r>
              <w:rPr>
                <w:rFonts w:hint="eastAsia" w:ascii="宋体" w:hAnsi="宋体" w:cs="宋体"/>
                <w:b/>
                <w:bCs/>
                <w:i w:val="0"/>
                <w:iCs w:val="0"/>
                <w:color w:val="000000"/>
                <w:kern w:val="0"/>
                <w:sz w:val="24"/>
                <w:szCs w:val="24"/>
                <w:highlight w:val="none"/>
                <w:u w:val="none"/>
                <w:lang w:val="en-US" w:eastAsia="zh-CN" w:bidi="ar"/>
              </w:rPr>
              <w:t>破拆类2-电动</w:t>
            </w:r>
            <w:r>
              <w:rPr>
                <w:rFonts w:hint="eastAsia" w:ascii="宋体" w:hAnsi="宋体" w:eastAsia="宋体" w:cs="宋体"/>
                <w:b/>
                <w:bCs/>
                <w:i w:val="0"/>
                <w:iCs w:val="0"/>
                <w:color w:val="000000"/>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24"/>
                <w:szCs w:val="24"/>
                <w:highlight w:val="none"/>
                <w:u w:val="none"/>
                <w:lang w:val="en-US" w:eastAsia="zh-CN" w:bidi="ar"/>
              </w:rPr>
              <w:t>装备名称</w:t>
            </w:r>
          </w:p>
        </w:tc>
        <w:tc>
          <w:tcPr>
            <w:tcW w:w="5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24"/>
                <w:szCs w:val="24"/>
                <w:highlight w:val="none"/>
                <w:u w:val="none"/>
                <w:lang w:val="en-US" w:eastAsia="zh-CN" w:bidi="ar"/>
              </w:rPr>
              <w:t>技术参数</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24"/>
                <w:szCs w:val="24"/>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电动链锯</w:t>
            </w:r>
          </w:p>
        </w:tc>
        <w:tc>
          <w:tcPr>
            <w:tcW w:w="5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用于救援过程中切割混凝土、砖石、管道、木材等材质；由无刷电机、导板、链条、锂电池、导板护套、护目镜、专用工具箱、充电器等部件组成；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功率≥1.8kW；双锂电池供电；无刷电机转速≥4200r/min；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、单电池容量：≥7Ah，电压≥37V；单块电池充电时间≥2小时；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、重量(不含链条和电池)：≤6kg；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、链条最大转速：≥9m/s；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、导板长度：≥400(mm)；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7</w:t>
            </w:r>
            <w:r>
              <w:rPr>
                <w:rFonts w:hint="eastAsia" w:ascii="宋体" w:hAnsi="宋体" w:eastAsia="宋体" w:cs="宋体"/>
                <w:i w:val="0"/>
                <w:iCs w:val="0"/>
                <w:color w:val="000000"/>
                <w:kern w:val="0"/>
                <w:sz w:val="24"/>
                <w:szCs w:val="24"/>
                <w:highlight w:val="none"/>
                <w:u w:val="none"/>
                <w:lang w:val="en-US" w:eastAsia="zh-CN" w:bidi="ar"/>
              </w:rPr>
              <w:t>、润滑具有自动喷油功能；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8</w:t>
            </w:r>
            <w:r>
              <w:rPr>
                <w:rFonts w:hint="eastAsia" w:ascii="宋体" w:hAnsi="宋体" w:eastAsia="宋体" w:cs="宋体"/>
                <w:i w:val="0"/>
                <w:iCs w:val="0"/>
                <w:color w:val="000000"/>
                <w:kern w:val="0"/>
                <w:sz w:val="24"/>
                <w:szCs w:val="24"/>
                <w:highlight w:val="none"/>
                <w:u w:val="none"/>
                <w:lang w:val="en-US" w:eastAsia="zh-CN" w:bidi="ar"/>
              </w:rPr>
              <w:t>、切割长度≥350mm；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9</w:t>
            </w:r>
            <w:r>
              <w:rPr>
                <w:rFonts w:hint="eastAsia" w:ascii="宋体" w:hAnsi="宋体" w:eastAsia="宋体" w:cs="宋体"/>
                <w:i w:val="0"/>
                <w:iCs w:val="0"/>
                <w:color w:val="000000"/>
                <w:kern w:val="0"/>
                <w:sz w:val="24"/>
                <w:szCs w:val="24"/>
                <w:highlight w:val="none"/>
                <w:u w:val="none"/>
                <w:lang w:val="en-US" w:eastAsia="zh-CN" w:bidi="ar"/>
              </w:rPr>
              <w:t>、蓄电池≥4块；导板≥2块，链条≥4条；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cs="宋体"/>
                <w:i w:val="0"/>
                <w:iCs w:val="0"/>
                <w:color w:val="000000"/>
                <w:kern w:val="0"/>
                <w:sz w:val="24"/>
                <w:szCs w:val="24"/>
                <w:highlight w:val="none"/>
                <w:u w:val="none"/>
                <w:lang w:val="en-US" w:eastAsia="zh-CN" w:bidi="ar"/>
              </w:rPr>
              <w:t>0</w:t>
            </w:r>
            <w:r>
              <w:rPr>
                <w:rFonts w:hint="eastAsia" w:ascii="宋体" w:hAnsi="宋体" w:eastAsia="宋体" w:cs="宋体"/>
                <w:i w:val="0"/>
                <w:iCs w:val="0"/>
                <w:color w:val="000000"/>
                <w:kern w:val="0"/>
                <w:sz w:val="24"/>
                <w:szCs w:val="24"/>
                <w:highlight w:val="none"/>
                <w:u w:val="none"/>
                <w:lang w:val="en-US" w:eastAsia="zh-CN" w:bidi="ar"/>
              </w:rPr>
              <w:t>、具有永久性标志及产品数据标识；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、导板为钨钢合金材质或优于钨钢合金材质；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、提供使用说明书。</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电钻</w:t>
            </w:r>
          </w:p>
        </w:tc>
        <w:tc>
          <w:tcPr>
            <w:tcW w:w="5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★1、国家或行业标准：《电钻》（GB/T 5580-2007）；</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2、可用于消防员在救援现场对管道、金属、塑料、木材上开孔的工具；</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▲3、最大夹头直径≥13mm；转速满足≥1200转/分；重量≤5kg；锂电池充电时间≤1h；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4、至少配置5种不同规格的钻头，多功能快换夹、备用电池≥2块、充电器。</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角磨机</w:t>
            </w:r>
          </w:p>
        </w:tc>
        <w:tc>
          <w:tcPr>
            <w:tcW w:w="5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 xml:space="preserve">★1、符合GB/T </w:t>
            </w:r>
            <w:r>
              <w:rPr>
                <w:rFonts w:hint="eastAsia" w:ascii="宋体" w:hAnsi="宋体" w:cs="宋体"/>
                <w:i w:val="0"/>
                <w:iCs w:val="0"/>
                <w:color w:val="000000"/>
                <w:kern w:val="0"/>
                <w:sz w:val="24"/>
                <w:szCs w:val="24"/>
                <w:highlight w:val="none"/>
                <w:u w:val="none"/>
                <w:lang w:val="en-US" w:eastAsia="zh-CN" w:bidi="ar"/>
              </w:rPr>
              <w:t>15756</w:t>
            </w:r>
            <w:r>
              <w:rPr>
                <w:rFonts w:hint="eastAsia" w:ascii="宋体" w:hAnsi="宋体" w:eastAsia="宋体" w:cs="宋体"/>
                <w:i w:val="0"/>
                <w:iCs w:val="0"/>
                <w:color w:val="000000"/>
                <w:kern w:val="0"/>
                <w:sz w:val="24"/>
                <w:szCs w:val="24"/>
                <w:highlight w:val="none"/>
                <w:u w:val="none"/>
                <w:lang w:val="en-US" w:eastAsia="zh-CN" w:bidi="ar"/>
              </w:rPr>
              <w:t>-201</w:t>
            </w:r>
            <w:r>
              <w:rPr>
                <w:rFonts w:hint="eastAsia" w:ascii="宋体" w:hAnsi="宋体" w:cs="宋体"/>
                <w:i w:val="0"/>
                <w:iCs w:val="0"/>
                <w:color w:val="000000"/>
                <w:kern w:val="0"/>
                <w:sz w:val="24"/>
                <w:szCs w:val="24"/>
                <w:highlight w:val="none"/>
                <w:u w:val="none"/>
                <w:lang w:val="en-US" w:eastAsia="zh-CN" w:bidi="ar"/>
              </w:rPr>
              <w:t>9</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手持</w:t>
            </w:r>
            <w:r>
              <w:rPr>
                <w:rFonts w:hint="eastAsia" w:ascii="宋体" w:hAnsi="宋体" w:eastAsia="宋体" w:cs="宋体"/>
                <w:i w:val="0"/>
                <w:iCs w:val="0"/>
                <w:color w:val="000000"/>
                <w:kern w:val="0"/>
                <w:sz w:val="24"/>
                <w:szCs w:val="24"/>
                <w:highlight w:val="none"/>
                <w:u w:val="none"/>
                <w:lang w:val="en-US" w:eastAsia="zh-CN" w:bidi="ar"/>
              </w:rPr>
              <w:t>电动工具电动角磨机安全要求》标准；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▲2、锂电充电式，无刷电机，可装砂轮片最大直径100mm，孔径16mm；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▲3、最大输出功率≥1500W；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▲4、额定转速≥9000r/min；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5、带有金属头壳、轴锁按钮、可三档调速，辅助手柄等；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▲6、单个电池容量≥6Ah,电池≥2块；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7、角磨机净重≤2.4kg（不含电池）；</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8、配件为工程塑料工具箱，砂轮切割片≥10片，石材锯片≥5片，木材锯片≥5片，充电器等；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9、具有永久性标志及产品数据标识。</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4"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电动液压剪扩组</w:t>
            </w:r>
          </w:p>
        </w:tc>
        <w:tc>
          <w:tcPr>
            <w:tcW w:w="5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、主要功能：消防员在灭火或救人时强行开启门窗，开辟救生通道装备；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、技术要求：工具采用锂电驱动，操作把手内安装LED照明系统，端部最大开口距离不小于300mm。剪断能力：≥Φ34mm（圆钢）、厚度≥ 25mm 板材；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、扩张距离≥360mm，最小扩张力≥33kN；最大剪切开口≥270mm，最大剪切力≥260kN，剪切圆钢直径≥25mm；最大收紧力≥34kN；防护等级≥IP57；</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、锂电池具有电量显示和温度智能管理系统，可在-20℃〜55℃环境下正常工作，单块电池续航≥40min；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、总重量≤15kg（含电池和液压油）；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、配备充电器1个、背带1根，电池2块。</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电动破拆工具组</w:t>
            </w:r>
          </w:p>
        </w:tc>
        <w:tc>
          <w:tcPr>
            <w:tcW w:w="5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、主要适用于事故现场的重物移动及交通事故中变形车体的分离；一套4件（电动液压剪扩器、电动液压剪切器、电动液压扩张器、电动液压撑顶器）；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、电动扩张器：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（1）锂电池动力，配有电量显示功能，电量低于20%时显示报警；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（2）带LED夜间照明系统；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（3）单块电池可以满足工具操作时间≥30分钟，充电时间≤3小时；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▲（4）工作压力：≥70MPa；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（5）手柄具备旋转功能，能360°旋转；</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▲（6）开口距离≥700mm；最小扩张力≥30kN；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（7）质量：≤25kg（含电池及液压油）；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（8）配置：电动扩张器*1把、充电器*1个、背带*1根，电池*2块；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、电动剪扩器：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（1）锂电池动力，配有电量显示功能，电量低于20%时显示报警；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（2）带LED夜间照明系统；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（3）单块电池可以满足工具操作时间≥30分钟，充电时间≤3小时；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（4）手柄具备旋转功能，能360°旋转；</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▲（5）工作压力：≥70MPa；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▲（6）开口距离≥470mm；最小扩张力≥30kN；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▲（7）剪断能力：≥Φ38mm（圆钢）、厚度≥25mm板材（Q235A材质）；剪切力≥600kN；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（8）质量：≤25kg（含电池及液压油）；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（9）配置：电动剪扩器*1把、充电器*1个、背带*1根，电池*2块；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、电动剪切钳：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（1）锂电池动力，配有电量显示功能，电量低于20%时显示报警；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（2）带LED夜间照明系统；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（3）单块电池可以满足工具操作时间≥30分钟，充电时间≤3小时；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（4）手柄具备旋转功能，能360°旋转；</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▲（5）工作压力：≥70MPa；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▲（6）开口距离≥170mm；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▲（7）剪断能力：≥Φ35mm（圆钢）、厚度16mm板材（Q235A材质）；剪切力≥700kN；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（8）质量：≤20kg（含电池及液压油）；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（9）配置：电动剪切器*1把、充电器*1个、背带*1根，电池*2块；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、电动顶撑器：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（1）锂电池动力，配有电量显示功能，电量低于20%时显示报警；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（2）带LED夜间照明系统；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（3）单块电池可以满足工具操作时间≥30分钟，充电时间≤3小时；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（4）手柄具备旋转功能，能360°旋转；</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▲（5）工作压力：≥70MPa；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▲（6）闭合长度：≤600mm；最大撑顶长度≥1000mm（含延长杆）；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▲（7）撑顶力：一级撑顶力≥120kN；二级撑顶力≥60kN；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（8）质量：≤20kg；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（9）配置：电动撑顶器*1把、充电器*1个、背带*1根，电池*2块。</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电动钢筋速断器</w:t>
            </w:r>
          </w:p>
        </w:tc>
        <w:tc>
          <w:tcPr>
            <w:tcW w:w="5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、主要功能：用于救援现场快速剪断钢筋的装备；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、技术要求：最大切割钢筋直径≥16mm；最大切割力≥160kN，液压输出力≥15t；满电状态可连续切断直径19mm钢筋≥100次，剪断时间≤6s；最大行程≥20mm，重量≤8kg；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、配置≥2块锂电池，夜间照明LED灯，配备维修及应急泄压工具；</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、具有永久性标志及产品数据标识。</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91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24"/>
                <w:szCs w:val="24"/>
                <w:highlight w:val="none"/>
                <w:u w:val="none"/>
                <w:lang w:val="en-US" w:eastAsia="zh-CN" w:bidi="ar"/>
              </w:rPr>
              <w:t>第</w:t>
            </w:r>
            <w:r>
              <w:rPr>
                <w:rFonts w:hint="eastAsia" w:ascii="宋体" w:hAnsi="宋体" w:cs="宋体"/>
                <w:b/>
                <w:bCs/>
                <w:i w:val="0"/>
                <w:iCs w:val="0"/>
                <w:color w:val="000000"/>
                <w:kern w:val="0"/>
                <w:sz w:val="24"/>
                <w:szCs w:val="24"/>
                <w:highlight w:val="none"/>
                <w:u w:val="none"/>
                <w:lang w:val="en-US" w:eastAsia="zh-CN" w:bidi="ar"/>
              </w:rPr>
              <w:t>三</w:t>
            </w:r>
            <w:r>
              <w:rPr>
                <w:rFonts w:hint="eastAsia" w:ascii="宋体" w:hAnsi="宋体" w:eastAsia="宋体" w:cs="宋体"/>
                <w:b/>
                <w:bCs/>
                <w:i w:val="0"/>
                <w:iCs w:val="0"/>
                <w:color w:val="000000"/>
                <w:kern w:val="0"/>
                <w:sz w:val="24"/>
                <w:szCs w:val="24"/>
                <w:highlight w:val="none"/>
                <w:u w:val="none"/>
                <w:lang w:val="en-US" w:eastAsia="zh-CN" w:bidi="ar"/>
              </w:rPr>
              <w:t>包（</w:t>
            </w:r>
            <w:r>
              <w:rPr>
                <w:rFonts w:hint="eastAsia" w:ascii="宋体" w:hAnsi="宋体" w:cs="宋体"/>
                <w:b/>
                <w:bCs/>
                <w:i w:val="0"/>
                <w:iCs w:val="0"/>
                <w:color w:val="000000"/>
                <w:kern w:val="0"/>
                <w:sz w:val="24"/>
                <w:szCs w:val="24"/>
                <w:highlight w:val="none"/>
                <w:u w:val="none"/>
                <w:lang w:val="en-US" w:eastAsia="zh-CN" w:bidi="ar"/>
              </w:rPr>
              <w:t>破拆类3-液压工具组</w:t>
            </w:r>
            <w:r>
              <w:rPr>
                <w:rFonts w:hint="eastAsia" w:ascii="宋体" w:hAnsi="宋体" w:eastAsia="宋体" w:cs="宋体"/>
                <w:b/>
                <w:bCs/>
                <w:i w:val="0"/>
                <w:iCs w:val="0"/>
                <w:color w:val="000000"/>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24"/>
                <w:szCs w:val="24"/>
                <w:highlight w:val="none"/>
                <w:u w:val="none"/>
                <w:lang w:val="en-US" w:eastAsia="zh-CN" w:bidi="ar"/>
              </w:rPr>
              <w:t>装备名称</w:t>
            </w:r>
          </w:p>
        </w:tc>
        <w:tc>
          <w:tcPr>
            <w:tcW w:w="5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24"/>
                <w:szCs w:val="24"/>
                <w:highlight w:val="none"/>
                <w:u w:val="none"/>
                <w:lang w:val="en-US" w:eastAsia="zh-CN" w:bidi="ar"/>
              </w:rPr>
              <w:t>技术参数</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24"/>
                <w:szCs w:val="24"/>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液压破拆工具组A</w:t>
            </w:r>
          </w:p>
        </w:tc>
        <w:tc>
          <w:tcPr>
            <w:tcW w:w="5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★1、满足国家标准《消防应急装备液压破拆工具通用技术条件》（GB/T17906-2021）；</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2、主要功能：用于建筑倒塌、交通事故现场等剪切、扩张、撑顶作业；</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3、技术要求：破拆工具组由液压泵、剪断器、扩张器、剪扩钳、双极顶杆等组成；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4、手控阀为安全性高的手柄，可单手操作，单接口，可带压插拔，配备2条≥10m液压油管，采用单油管单接口，可 360°旋转不打节，可带压拔插；</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5、采用品牌发动机；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液压机动泵：可同时连接两件工具使用，四冲程汽油机，发动机功率≥2kW，额定工作压力≥70MPa，额定输出流量≥0.5L/min，具有高低压自动转换功能，低压工作压力≥10MPa，低压输出流量≥2.0L/min，液压油箱容积≥3L，重量≤25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▲7、液压手动泵：额定工作压力≥70MPa，液压油箱容量≥2.0L，重量≤</w:t>
            </w:r>
            <w:r>
              <w:rPr>
                <w:rFonts w:hint="eastAsia" w:ascii="宋体" w:hAnsi="宋体" w:cs="宋体"/>
                <w:i w:val="0"/>
                <w:iCs w:val="0"/>
                <w:color w:val="000000"/>
                <w:kern w:val="0"/>
                <w:sz w:val="24"/>
                <w:szCs w:val="24"/>
                <w:highlight w:val="none"/>
                <w:u w:val="none"/>
                <w:lang w:val="en-US" w:eastAsia="zh-CN" w:bidi="ar"/>
              </w:rPr>
              <w:t>10</w:t>
            </w:r>
            <w:r>
              <w:rPr>
                <w:rFonts w:hint="eastAsia" w:ascii="宋体" w:hAnsi="宋体" w:eastAsia="宋体" w:cs="宋体"/>
                <w:i w:val="0"/>
                <w:iCs w:val="0"/>
                <w:color w:val="000000"/>
                <w:kern w:val="0"/>
                <w:sz w:val="24"/>
                <w:szCs w:val="24"/>
                <w:highlight w:val="none"/>
                <w:u w:val="none"/>
                <w:lang w:val="en-US" w:eastAsia="zh-CN" w:bidi="ar"/>
              </w:rPr>
              <w:t>kg</w:t>
            </w:r>
            <w:r>
              <w:rPr>
                <w:rFonts w:hint="eastAsia" w:ascii="宋体" w:hAnsi="宋体" w:cs="宋体"/>
                <w:i w:val="0"/>
                <w:iCs w:val="0"/>
                <w:color w:val="000000"/>
                <w:kern w:val="0"/>
                <w:sz w:val="24"/>
                <w:szCs w:val="24"/>
                <w:highlight w:val="none"/>
                <w:u w:val="none"/>
                <w:lang w:val="en-US" w:eastAsia="zh-CN" w:bidi="ar"/>
              </w:rPr>
              <w:t>，与液压撑顶器配套使用</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▲8、液压扩张器：额定工作压力≥70MPa，最大扩张力≥80kN，最大扩张距离≥700mm，最大牵引力≥50kN，最大牵引距离≥580mm，重量≤15kg；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▲9、液压剪切器：额定工作压力≥70MPa，最大剪切力≥750kN，剪切圆钢直径≥35mm，开口距离≥260mm，重量≤15kg；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▲10、液压剪扩器：额定工作压力≥70MPa，剪切圆钢直径≥35mm，最大扩张力≥65kN，最大扩张距离≥360mm，牵拉距离≥380mm，最大牵拉力≥60kN，重量≤15kg；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▲11、液压撑顶器：额定工作压力≥70MPa，二级液压撑顶总行程≥560mm，一级行程≥290mm，一级撑顶力≥260kN，二级行程≥270mm，二级撑顶力≥130kN，伸出后最大长度≥1065mm，回缩后长度≤500mm，重量≤18kg。</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91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24"/>
                <w:szCs w:val="24"/>
                <w:highlight w:val="none"/>
                <w:u w:val="none"/>
                <w:lang w:val="en-US" w:eastAsia="zh-CN" w:bidi="ar"/>
              </w:rPr>
              <w:t>第</w:t>
            </w:r>
            <w:r>
              <w:rPr>
                <w:rFonts w:hint="eastAsia" w:ascii="宋体" w:hAnsi="宋体" w:cs="宋体"/>
                <w:b/>
                <w:bCs/>
                <w:i w:val="0"/>
                <w:iCs w:val="0"/>
                <w:color w:val="000000"/>
                <w:kern w:val="0"/>
                <w:sz w:val="24"/>
                <w:szCs w:val="24"/>
                <w:highlight w:val="none"/>
                <w:u w:val="none"/>
                <w:lang w:val="en-US" w:eastAsia="zh-CN" w:bidi="ar"/>
              </w:rPr>
              <w:t>四</w:t>
            </w:r>
            <w:r>
              <w:rPr>
                <w:rFonts w:hint="eastAsia" w:ascii="宋体" w:hAnsi="宋体" w:eastAsia="宋体" w:cs="宋体"/>
                <w:b/>
                <w:bCs/>
                <w:i w:val="0"/>
                <w:iCs w:val="0"/>
                <w:color w:val="000000"/>
                <w:kern w:val="0"/>
                <w:sz w:val="24"/>
                <w:szCs w:val="24"/>
                <w:highlight w:val="none"/>
                <w:u w:val="none"/>
                <w:lang w:val="en-US" w:eastAsia="zh-CN" w:bidi="ar"/>
              </w:rPr>
              <w:t>包（</w:t>
            </w:r>
            <w:r>
              <w:rPr>
                <w:rFonts w:hint="eastAsia" w:ascii="宋体" w:hAnsi="宋体" w:cs="宋体"/>
                <w:b/>
                <w:bCs/>
                <w:i w:val="0"/>
                <w:iCs w:val="0"/>
                <w:color w:val="000000"/>
                <w:kern w:val="0"/>
                <w:sz w:val="24"/>
                <w:szCs w:val="24"/>
                <w:highlight w:val="none"/>
                <w:u w:val="none"/>
                <w:lang w:val="en-US" w:eastAsia="zh-CN" w:bidi="ar"/>
              </w:rPr>
              <w:t>破拆类4-其他</w:t>
            </w:r>
            <w:r>
              <w:rPr>
                <w:rFonts w:hint="eastAsia" w:ascii="宋体" w:hAnsi="宋体" w:eastAsia="宋体" w:cs="宋体"/>
                <w:b/>
                <w:bCs/>
                <w:i w:val="0"/>
                <w:iCs w:val="0"/>
                <w:color w:val="000000"/>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24"/>
                <w:szCs w:val="24"/>
                <w:highlight w:val="none"/>
                <w:u w:val="none"/>
                <w:lang w:val="en-US" w:eastAsia="zh-CN" w:bidi="ar"/>
              </w:rPr>
              <w:t>装备名称</w:t>
            </w:r>
          </w:p>
        </w:tc>
        <w:tc>
          <w:tcPr>
            <w:tcW w:w="5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24"/>
                <w:szCs w:val="24"/>
                <w:highlight w:val="none"/>
                <w:u w:val="none"/>
                <w:lang w:val="en-US" w:eastAsia="zh-CN" w:bidi="ar"/>
              </w:rPr>
              <w:t>技术参数</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24"/>
                <w:szCs w:val="24"/>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凿岩机</w:t>
            </w:r>
          </w:p>
        </w:tc>
        <w:tc>
          <w:tcPr>
            <w:tcW w:w="5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 xml:space="preserve">、可用于路面、墙体等处混凝土、砖石、石材、沥青等破拆；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 xml:space="preserve">、电动驱动，额定输入功率≥1.5kW；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 xml:space="preserve">、冲击次数≥1300次/min；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 xml:space="preserve">、净重≤18kg；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、配备静音数码发电机1台，额定电压220V，发电机功率≥5kW，启动方式：手/电启动；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、发电机工作时间：满油状态≥5h，发电机重量≤40kg；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7</w:t>
            </w:r>
            <w:r>
              <w:rPr>
                <w:rFonts w:hint="eastAsia" w:ascii="宋体" w:hAnsi="宋体" w:eastAsia="宋体" w:cs="宋体"/>
                <w:i w:val="0"/>
                <w:iCs w:val="0"/>
                <w:color w:val="000000"/>
                <w:kern w:val="0"/>
                <w:sz w:val="24"/>
                <w:szCs w:val="24"/>
                <w:highlight w:val="none"/>
                <w:u w:val="none"/>
                <w:lang w:val="en-US" w:eastAsia="zh-CN" w:bidi="ar"/>
              </w:rPr>
              <w:t>、其他要求：配有尖凿、扁凿破拆头各≥2个；</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8</w:t>
            </w:r>
            <w:r>
              <w:rPr>
                <w:rFonts w:hint="eastAsia" w:ascii="宋体" w:hAnsi="宋体" w:eastAsia="宋体" w:cs="宋体"/>
                <w:i w:val="0"/>
                <w:iCs w:val="0"/>
                <w:color w:val="000000"/>
                <w:kern w:val="0"/>
                <w:sz w:val="24"/>
                <w:szCs w:val="24"/>
                <w:highlight w:val="none"/>
                <w:u w:val="none"/>
                <w:lang w:val="en-US" w:eastAsia="zh-CN" w:bidi="ar"/>
              </w:rPr>
              <w:t>、提供中文使用说明书。</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手动破拆工具组</w:t>
            </w:r>
          </w:p>
        </w:tc>
        <w:tc>
          <w:tcPr>
            <w:tcW w:w="5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★1、满足《消防应急救援装备手动破拆工具通用技术条件》GB32459-2015标准；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▲2、由冲击杆、拆锁器、金属切断器、凿子、钎子及各类撬斧工具等部件组成，由耐磨、防锈、便携等性能；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3、冲击行程≥300mm；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4、整备质量≤25kg；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▲5、凿击性能应能Q235型钢板厚度≥1.5mm，且刃口应无明显崩刃和开裂；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▲6、撬斧起撬部位应能承受载荷≥7840N。</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玻璃破碎器</w:t>
            </w:r>
          </w:p>
        </w:tc>
        <w:tc>
          <w:tcPr>
            <w:tcW w:w="5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、配置要求：玻璃切割机：1台；玻璃切割片：5片；充电式电钻：1台；大理石玻璃钻头：Ф100mm1个、Ф50mm3个、Ф25mm3个；玻璃强力钳：1把；</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单爪玻璃吸盘：1个；自控注油玻璃刀：1个；金刚石玻璃圆锉：1把；金刚石玻璃平锉：1把；玻璃破碎锤： 1把；充电电池：2块；充电器：1个；</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、玻璃切割机功率≥1.3 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、电池充满可连续使用时间≥30min；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、具有永久性标志及产品数据标识。</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哈利根铁铤</w:t>
            </w:r>
          </w:p>
        </w:tc>
        <w:tc>
          <w:tcPr>
            <w:tcW w:w="5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★1、符合手动破拆工具通用技术条件 GB32459-2015标准；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2、钢制杆体，杆体表面设置有防滑部，杆体一端羊角撬头，另一端尖镐头和扁镐头；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3、铁铤头部为高碳钢材质，铁铤表面经处理涂有塑层抗腐蚀防静电；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4、长度：≥90mm；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5、重量：≤10kg；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▲6、镐头凿击性能应能Q235型钢板厚度≥1.5mm；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▲7、撬斧起撬部位应能承受载荷≥7840N；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8、产品具有永久性标志及产品数据标识。</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开缝器</w:t>
            </w:r>
          </w:p>
        </w:tc>
        <w:tc>
          <w:tcPr>
            <w:tcW w:w="5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、主要功能：开缝器用于救援过程中在遇有狭小的缝隙时创造空间，配合如扩张钳、起重气垫、安全垫块等设备同时使用，解救被困人员或抬起重物实施营救；</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、配备：手动液压泵、开缝器；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、技术要求：最小楔入缝隙≤6mm；最大开启距离≥50mm；最大开启力≥210kN；额定工作压力≥63MPa；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、液压软管长度≥3m。</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液压钻孔机</w:t>
            </w:r>
          </w:p>
        </w:tc>
        <w:tc>
          <w:tcPr>
            <w:tcW w:w="5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、主要功能：用于灾害现场破拆作业，可在水泥混凝土、钢筋混凝土、沥青混凝土、岩石上钻孔或进行岩芯取样；</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、发动机：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（1）质量≤100kg；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▲（2）最大工作压力≥13MPa；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▲（3）发动机功率≥10kW；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（4）手动电动双启动方式、风冷、低油位保护；</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（5）燃油油箱≥6L；</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（6）配备1套匹配的≥10m 液压油管；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、液压钻：</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（1）流量范围：15～40L/min；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▲（2）工作压力≥100bar；</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（3）最大转速≥500rpm；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▲（4）钻孔直径：25～200mm；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（5）重量≤15kg；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（6）配备直径25/50/100/200mm钻头各1个。</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门锁破拆工具组</w:t>
            </w:r>
          </w:p>
        </w:tc>
        <w:tc>
          <w:tcPr>
            <w:tcW w:w="5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、配置：专用特种钻头螺丝，锁芯拔除器、锁芯切断器、换向扳手、专用电钻、电池、充电器、锁舌转动器、除锈润滑剂、定位器、辅助工具、可锁防水防尘工程塑料箱；</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、充电式电钻：</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（1）速度：三级可调；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▲（2）最大钻距≥45N/m；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▲（3）钢材最大钻孔能力≥13mm；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▲（4）木材最大钻孔能力≥45mm；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▲（5）混凝土最大钻孔能力≥14mm；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（6）电池类型：锂电池，容量≥2Ah；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（7）充电时间≤60分钟；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 xml:space="preserve">、重量≤10kg；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、具有永久性标志及产品数据标识。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、配电钻备用电池2块、专用特种钻头螺丝1套。</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20</w:t>
            </w:r>
          </w:p>
        </w:tc>
      </w:tr>
    </w:tbl>
    <w:p>
      <w:pPr>
        <w:pStyle w:val="12"/>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305"/>
      </w:tabs>
      <w:ind w:right="360"/>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305"/>
      </w:tabs>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27</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AF878"/>
    <w:multiLevelType w:val="singleLevel"/>
    <w:tmpl w:val="85CAF878"/>
    <w:lvl w:ilvl="0" w:tentative="0">
      <w:start w:val="2"/>
      <w:numFmt w:val="chineseCounting"/>
      <w:suff w:val="nothing"/>
      <w:lvlText w:val="%1、"/>
      <w:lvlJc w:val="left"/>
      <w:rPr>
        <w:rFonts w:hint="eastAsia"/>
      </w:rPr>
    </w:lvl>
  </w:abstractNum>
  <w:abstractNum w:abstractNumId="1">
    <w:nsid w:val="08FACAC0"/>
    <w:multiLevelType w:val="singleLevel"/>
    <w:tmpl w:val="08FACAC0"/>
    <w:lvl w:ilvl="0" w:tentative="0">
      <w:start w:val="1"/>
      <w:numFmt w:val="decimal"/>
      <w:lvlText w:val="%1."/>
      <w:lvlJc w:val="left"/>
      <w:pPr>
        <w:ind w:left="425" w:hanging="425"/>
      </w:pPr>
      <w:rPr>
        <w:rFonts w:hint="default"/>
      </w:rPr>
    </w:lvl>
  </w:abstractNum>
  <w:abstractNum w:abstractNumId="2">
    <w:nsid w:val="126A205B"/>
    <w:multiLevelType w:val="singleLevel"/>
    <w:tmpl w:val="126A205B"/>
    <w:lvl w:ilvl="0" w:tentative="0">
      <w:start w:val="1"/>
      <w:numFmt w:val="decimal"/>
      <w:lvlText w:val="%1."/>
      <w:lvlJc w:val="left"/>
      <w:pPr>
        <w:ind w:left="425" w:hanging="425"/>
      </w:pPr>
      <w:rPr>
        <w:rFonts w:hint="default"/>
      </w:rPr>
    </w:lvl>
  </w:abstractNum>
  <w:abstractNum w:abstractNumId="3">
    <w:nsid w:val="253E05EF"/>
    <w:multiLevelType w:val="multilevel"/>
    <w:tmpl w:val="253E05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BC170F9"/>
    <w:multiLevelType w:val="singleLevel"/>
    <w:tmpl w:val="2BC170F9"/>
    <w:lvl w:ilvl="0" w:tentative="0">
      <w:start w:val="2"/>
      <w:numFmt w:val="decimal"/>
      <w:suff w:val="space"/>
      <w:lvlText w:val="%1."/>
      <w:lvlJc w:val="left"/>
    </w:lvl>
  </w:abstractNum>
  <w:abstractNum w:abstractNumId="5">
    <w:nsid w:val="3A15682F"/>
    <w:multiLevelType w:val="singleLevel"/>
    <w:tmpl w:val="3A15682F"/>
    <w:lvl w:ilvl="0" w:tentative="0">
      <w:start w:val="0"/>
      <w:numFmt w:val="none"/>
      <w:lvlText w:val=""/>
      <w:lvlJc w:val="left"/>
      <w:pPr>
        <w:tabs>
          <w:tab w:val="left" w:pos="360"/>
        </w:tabs>
      </w:p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3NjRiODI2NjJmOTg2MmE3ZGI1M2NlMTg0NWZjN2IifQ=="/>
  </w:docVars>
  <w:rsids>
    <w:rsidRoot w:val="163A2DC6"/>
    <w:rsid w:val="005C4D2E"/>
    <w:rsid w:val="011078C7"/>
    <w:rsid w:val="014852B3"/>
    <w:rsid w:val="01761E20"/>
    <w:rsid w:val="0177736E"/>
    <w:rsid w:val="017F3E74"/>
    <w:rsid w:val="01814321"/>
    <w:rsid w:val="01C901A1"/>
    <w:rsid w:val="01D84888"/>
    <w:rsid w:val="01F82835"/>
    <w:rsid w:val="0256755B"/>
    <w:rsid w:val="02624152"/>
    <w:rsid w:val="02691984"/>
    <w:rsid w:val="02A429BD"/>
    <w:rsid w:val="036F4D79"/>
    <w:rsid w:val="03920A67"/>
    <w:rsid w:val="03D1158F"/>
    <w:rsid w:val="040A2CF3"/>
    <w:rsid w:val="04284E13"/>
    <w:rsid w:val="04730898"/>
    <w:rsid w:val="04B213C1"/>
    <w:rsid w:val="05545FD4"/>
    <w:rsid w:val="057A43B1"/>
    <w:rsid w:val="05FE4192"/>
    <w:rsid w:val="062E2CC9"/>
    <w:rsid w:val="064835D7"/>
    <w:rsid w:val="069C40D7"/>
    <w:rsid w:val="070B6B66"/>
    <w:rsid w:val="0754675F"/>
    <w:rsid w:val="08123F24"/>
    <w:rsid w:val="0895702F"/>
    <w:rsid w:val="08C305F9"/>
    <w:rsid w:val="090D306A"/>
    <w:rsid w:val="090E293E"/>
    <w:rsid w:val="091D7025"/>
    <w:rsid w:val="09E85885"/>
    <w:rsid w:val="0B3B53D5"/>
    <w:rsid w:val="0B7373D0"/>
    <w:rsid w:val="0B805F69"/>
    <w:rsid w:val="0BBF6171"/>
    <w:rsid w:val="0C3632FC"/>
    <w:rsid w:val="0CA5180B"/>
    <w:rsid w:val="0D1B1ACD"/>
    <w:rsid w:val="0D780CCE"/>
    <w:rsid w:val="0D8E04F1"/>
    <w:rsid w:val="0E7B0A75"/>
    <w:rsid w:val="0E9C279A"/>
    <w:rsid w:val="0ECC12D1"/>
    <w:rsid w:val="105471F8"/>
    <w:rsid w:val="108403E2"/>
    <w:rsid w:val="108654B0"/>
    <w:rsid w:val="10EE6BCC"/>
    <w:rsid w:val="118668DE"/>
    <w:rsid w:val="12CD43C3"/>
    <w:rsid w:val="12F11306"/>
    <w:rsid w:val="13271D86"/>
    <w:rsid w:val="13CE33F5"/>
    <w:rsid w:val="14131A55"/>
    <w:rsid w:val="143D6017"/>
    <w:rsid w:val="1441006B"/>
    <w:rsid w:val="14595CDA"/>
    <w:rsid w:val="14706BA3"/>
    <w:rsid w:val="14802DE2"/>
    <w:rsid w:val="14A81E98"/>
    <w:rsid w:val="14D62EA9"/>
    <w:rsid w:val="151C4AB2"/>
    <w:rsid w:val="15671D54"/>
    <w:rsid w:val="15B34F99"/>
    <w:rsid w:val="15D1541F"/>
    <w:rsid w:val="15D849FF"/>
    <w:rsid w:val="15EE5FD1"/>
    <w:rsid w:val="16135A37"/>
    <w:rsid w:val="163A2DC6"/>
    <w:rsid w:val="165644AA"/>
    <w:rsid w:val="16583648"/>
    <w:rsid w:val="169D3553"/>
    <w:rsid w:val="16F07B27"/>
    <w:rsid w:val="173A1692"/>
    <w:rsid w:val="174055F8"/>
    <w:rsid w:val="1780534F"/>
    <w:rsid w:val="17A74689"/>
    <w:rsid w:val="17B55941"/>
    <w:rsid w:val="17C214C3"/>
    <w:rsid w:val="17D42FA4"/>
    <w:rsid w:val="17D66D1D"/>
    <w:rsid w:val="17EF7DDE"/>
    <w:rsid w:val="1869193F"/>
    <w:rsid w:val="18884605"/>
    <w:rsid w:val="18B85453"/>
    <w:rsid w:val="18C179CD"/>
    <w:rsid w:val="18C94AD3"/>
    <w:rsid w:val="19B13200"/>
    <w:rsid w:val="1B1E2EB4"/>
    <w:rsid w:val="1C057BD0"/>
    <w:rsid w:val="1C1147C7"/>
    <w:rsid w:val="1CA7512B"/>
    <w:rsid w:val="1D102CD1"/>
    <w:rsid w:val="1D7F487A"/>
    <w:rsid w:val="1DDA6E3B"/>
    <w:rsid w:val="1E110AAE"/>
    <w:rsid w:val="1E2F712F"/>
    <w:rsid w:val="1EA445DE"/>
    <w:rsid w:val="1EFD7285"/>
    <w:rsid w:val="1F811C64"/>
    <w:rsid w:val="1FC87893"/>
    <w:rsid w:val="20087C8F"/>
    <w:rsid w:val="200A1C59"/>
    <w:rsid w:val="20401B1F"/>
    <w:rsid w:val="20670E5A"/>
    <w:rsid w:val="207B7C68"/>
    <w:rsid w:val="207D242B"/>
    <w:rsid w:val="20CC6F0F"/>
    <w:rsid w:val="213976FC"/>
    <w:rsid w:val="219043E0"/>
    <w:rsid w:val="21F11323"/>
    <w:rsid w:val="22495304"/>
    <w:rsid w:val="22631AF5"/>
    <w:rsid w:val="22A954B3"/>
    <w:rsid w:val="22C72083"/>
    <w:rsid w:val="230E1A60"/>
    <w:rsid w:val="23735D67"/>
    <w:rsid w:val="23DD3817"/>
    <w:rsid w:val="23ED3D6C"/>
    <w:rsid w:val="23F8626D"/>
    <w:rsid w:val="241A61E3"/>
    <w:rsid w:val="246A0F18"/>
    <w:rsid w:val="24CE594B"/>
    <w:rsid w:val="252235A1"/>
    <w:rsid w:val="26094761"/>
    <w:rsid w:val="264D6D44"/>
    <w:rsid w:val="267728FE"/>
    <w:rsid w:val="26AA7CF2"/>
    <w:rsid w:val="270D3939"/>
    <w:rsid w:val="27473793"/>
    <w:rsid w:val="28117497"/>
    <w:rsid w:val="281D62A2"/>
    <w:rsid w:val="28757E8C"/>
    <w:rsid w:val="28771E56"/>
    <w:rsid w:val="28A51D7B"/>
    <w:rsid w:val="28C3509B"/>
    <w:rsid w:val="28C606E7"/>
    <w:rsid w:val="29053906"/>
    <w:rsid w:val="29FA0F90"/>
    <w:rsid w:val="2B9545FE"/>
    <w:rsid w:val="2CA60F5C"/>
    <w:rsid w:val="2D177764"/>
    <w:rsid w:val="2D1955C0"/>
    <w:rsid w:val="2D585C1D"/>
    <w:rsid w:val="2E313D79"/>
    <w:rsid w:val="2ECD0A22"/>
    <w:rsid w:val="2ED40002"/>
    <w:rsid w:val="2F1B08DB"/>
    <w:rsid w:val="2F996B56"/>
    <w:rsid w:val="30670A02"/>
    <w:rsid w:val="30BD2FAD"/>
    <w:rsid w:val="30DD197C"/>
    <w:rsid w:val="31F6028F"/>
    <w:rsid w:val="3270299B"/>
    <w:rsid w:val="330B38C7"/>
    <w:rsid w:val="331A7FAD"/>
    <w:rsid w:val="332B21BB"/>
    <w:rsid w:val="336E2E2E"/>
    <w:rsid w:val="33C323F3"/>
    <w:rsid w:val="33D60378"/>
    <w:rsid w:val="340622E0"/>
    <w:rsid w:val="3416085D"/>
    <w:rsid w:val="34652D42"/>
    <w:rsid w:val="348558FB"/>
    <w:rsid w:val="34B01936"/>
    <w:rsid w:val="34F92819"/>
    <w:rsid w:val="34FF56AD"/>
    <w:rsid w:val="35586B6B"/>
    <w:rsid w:val="35AD5109"/>
    <w:rsid w:val="35D00DF7"/>
    <w:rsid w:val="360867E3"/>
    <w:rsid w:val="36462E68"/>
    <w:rsid w:val="3667350A"/>
    <w:rsid w:val="36B6732D"/>
    <w:rsid w:val="37313B18"/>
    <w:rsid w:val="37A4078E"/>
    <w:rsid w:val="37B3452D"/>
    <w:rsid w:val="37F7266B"/>
    <w:rsid w:val="386C3059"/>
    <w:rsid w:val="38924662"/>
    <w:rsid w:val="38CB1F9D"/>
    <w:rsid w:val="38EF5A38"/>
    <w:rsid w:val="39CE1AF2"/>
    <w:rsid w:val="39F04A4C"/>
    <w:rsid w:val="3A6959E9"/>
    <w:rsid w:val="3A7E0E22"/>
    <w:rsid w:val="3A8221F6"/>
    <w:rsid w:val="3A971EE4"/>
    <w:rsid w:val="3AD82C28"/>
    <w:rsid w:val="3C526A0A"/>
    <w:rsid w:val="3CAB2F5F"/>
    <w:rsid w:val="3D2F4655"/>
    <w:rsid w:val="3D3103CE"/>
    <w:rsid w:val="3D4E0F7F"/>
    <w:rsid w:val="3D6764E5"/>
    <w:rsid w:val="3D864BBD"/>
    <w:rsid w:val="3DAB4980"/>
    <w:rsid w:val="3E09759C"/>
    <w:rsid w:val="3E55227C"/>
    <w:rsid w:val="3ED54C8A"/>
    <w:rsid w:val="3F475259"/>
    <w:rsid w:val="3FA10F08"/>
    <w:rsid w:val="40104C12"/>
    <w:rsid w:val="404C551E"/>
    <w:rsid w:val="40552625"/>
    <w:rsid w:val="40972C3D"/>
    <w:rsid w:val="40CF23D7"/>
    <w:rsid w:val="40EB11DB"/>
    <w:rsid w:val="415B010F"/>
    <w:rsid w:val="417E40F4"/>
    <w:rsid w:val="42F35571"/>
    <w:rsid w:val="43122A4F"/>
    <w:rsid w:val="434E0C41"/>
    <w:rsid w:val="43706931"/>
    <w:rsid w:val="440B14BC"/>
    <w:rsid w:val="44202F4A"/>
    <w:rsid w:val="443469F5"/>
    <w:rsid w:val="44705C7F"/>
    <w:rsid w:val="4498420B"/>
    <w:rsid w:val="44F92119"/>
    <w:rsid w:val="451333CC"/>
    <w:rsid w:val="45252F0E"/>
    <w:rsid w:val="45CD7101"/>
    <w:rsid w:val="45F64C43"/>
    <w:rsid w:val="46B01136"/>
    <w:rsid w:val="48124F71"/>
    <w:rsid w:val="483A0C1F"/>
    <w:rsid w:val="49920446"/>
    <w:rsid w:val="49BB27B9"/>
    <w:rsid w:val="4A11580F"/>
    <w:rsid w:val="4A655B5A"/>
    <w:rsid w:val="4AD30D16"/>
    <w:rsid w:val="4AF0701B"/>
    <w:rsid w:val="4B1C090F"/>
    <w:rsid w:val="4B5F25AA"/>
    <w:rsid w:val="4B6978CC"/>
    <w:rsid w:val="4C097FBD"/>
    <w:rsid w:val="4C115F9A"/>
    <w:rsid w:val="4C343A36"/>
    <w:rsid w:val="4C59349D"/>
    <w:rsid w:val="4CD46FC7"/>
    <w:rsid w:val="4CDA2830"/>
    <w:rsid w:val="4D294D80"/>
    <w:rsid w:val="4D6B792C"/>
    <w:rsid w:val="4DC112FA"/>
    <w:rsid w:val="4E6323B1"/>
    <w:rsid w:val="4EED449A"/>
    <w:rsid w:val="4F662C0F"/>
    <w:rsid w:val="4F7505EE"/>
    <w:rsid w:val="50463E2E"/>
    <w:rsid w:val="50E33C7D"/>
    <w:rsid w:val="521340EE"/>
    <w:rsid w:val="5295561F"/>
    <w:rsid w:val="52B547BB"/>
    <w:rsid w:val="52E71802"/>
    <w:rsid w:val="53165C44"/>
    <w:rsid w:val="53230361"/>
    <w:rsid w:val="53334A48"/>
    <w:rsid w:val="53AC0356"/>
    <w:rsid w:val="53E359AA"/>
    <w:rsid w:val="541A29E3"/>
    <w:rsid w:val="54581569"/>
    <w:rsid w:val="54BD535B"/>
    <w:rsid w:val="54F621D1"/>
    <w:rsid w:val="55766E6E"/>
    <w:rsid w:val="55807CEC"/>
    <w:rsid w:val="56440D1A"/>
    <w:rsid w:val="568060D3"/>
    <w:rsid w:val="56F664B8"/>
    <w:rsid w:val="56FB3ACE"/>
    <w:rsid w:val="581666E6"/>
    <w:rsid w:val="58BF28DA"/>
    <w:rsid w:val="590D7AE9"/>
    <w:rsid w:val="59EF71EF"/>
    <w:rsid w:val="5A755946"/>
    <w:rsid w:val="5A90452E"/>
    <w:rsid w:val="5A950AB4"/>
    <w:rsid w:val="5A9D4E9D"/>
    <w:rsid w:val="5AA4447D"/>
    <w:rsid w:val="5ABF12B7"/>
    <w:rsid w:val="5AFC1BC3"/>
    <w:rsid w:val="5C6E6AF1"/>
    <w:rsid w:val="5C845D3C"/>
    <w:rsid w:val="5D02548B"/>
    <w:rsid w:val="5DB53B88"/>
    <w:rsid w:val="5DE2248A"/>
    <w:rsid w:val="5DF333DB"/>
    <w:rsid w:val="5E1D07CE"/>
    <w:rsid w:val="5E7D74BF"/>
    <w:rsid w:val="5EF3300D"/>
    <w:rsid w:val="5F913938"/>
    <w:rsid w:val="605D1C94"/>
    <w:rsid w:val="60D34908"/>
    <w:rsid w:val="615E35D8"/>
    <w:rsid w:val="615E4B62"/>
    <w:rsid w:val="623B7203"/>
    <w:rsid w:val="632C381A"/>
    <w:rsid w:val="633D721D"/>
    <w:rsid w:val="63977DC5"/>
    <w:rsid w:val="63B05C41"/>
    <w:rsid w:val="63CC234F"/>
    <w:rsid w:val="641F4B74"/>
    <w:rsid w:val="64C179D9"/>
    <w:rsid w:val="65051D30"/>
    <w:rsid w:val="65736F26"/>
    <w:rsid w:val="65A45331"/>
    <w:rsid w:val="65E16737"/>
    <w:rsid w:val="67206C39"/>
    <w:rsid w:val="6753700F"/>
    <w:rsid w:val="67650AF0"/>
    <w:rsid w:val="67BE6EB7"/>
    <w:rsid w:val="687F158A"/>
    <w:rsid w:val="68B47F81"/>
    <w:rsid w:val="692C3FBB"/>
    <w:rsid w:val="6A9E4A45"/>
    <w:rsid w:val="6AA7327D"/>
    <w:rsid w:val="6B170353"/>
    <w:rsid w:val="6BE20961"/>
    <w:rsid w:val="6C492150"/>
    <w:rsid w:val="6C7D068A"/>
    <w:rsid w:val="6C7E16D8"/>
    <w:rsid w:val="6C845EBC"/>
    <w:rsid w:val="6D1F1741"/>
    <w:rsid w:val="6D547936"/>
    <w:rsid w:val="6DCC19FB"/>
    <w:rsid w:val="6DCF4F15"/>
    <w:rsid w:val="6E1C76B2"/>
    <w:rsid w:val="6EC802E2"/>
    <w:rsid w:val="6EE52BD8"/>
    <w:rsid w:val="6F101C89"/>
    <w:rsid w:val="6FCD1928"/>
    <w:rsid w:val="6FD9207B"/>
    <w:rsid w:val="707149AA"/>
    <w:rsid w:val="709F441D"/>
    <w:rsid w:val="70B8153B"/>
    <w:rsid w:val="70C44AD9"/>
    <w:rsid w:val="70CE7706"/>
    <w:rsid w:val="70E84C6C"/>
    <w:rsid w:val="71145A61"/>
    <w:rsid w:val="71436346"/>
    <w:rsid w:val="71C50D8A"/>
    <w:rsid w:val="72090A0D"/>
    <w:rsid w:val="723B4E5B"/>
    <w:rsid w:val="726E2F4F"/>
    <w:rsid w:val="72C2329A"/>
    <w:rsid w:val="72D74F98"/>
    <w:rsid w:val="73186D0D"/>
    <w:rsid w:val="737A1DC7"/>
    <w:rsid w:val="737D6C65"/>
    <w:rsid w:val="73C07104"/>
    <w:rsid w:val="73F259DE"/>
    <w:rsid w:val="746C7962"/>
    <w:rsid w:val="7486008A"/>
    <w:rsid w:val="75671ED7"/>
    <w:rsid w:val="757E794D"/>
    <w:rsid w:val="75F145C2"/>
    <w:rsid w:val="76067F44"/>
    <w:rsid w:val="76CC0B8C"/>
    <w:rsid w:val="773A5AF5"/>
    <w:rsid w:val="774B2555"/>
    <w:rsid w:val="792451CE"/>
    <w:rsid w:val="79C03F87"/>
    <w:rsid w:val="7A173ECC"/>
    <w:rsid w:val="7A8B6668"/>
    <w:rsid w:val="7AEA15E0"/>
    <w:rsid w:val="7B2745E3"/>
    <w:rsid w:val="7B786BEC"/>
    <w:rsid w:val="7BF2699E"/>
    <w:rsid w:val="7C7C44BA"/>
    <w:rsid w:val="7D1172F8"/>
    <w:rsid w:val="7D544E5F"/>
    <w:rsid w:val="7D567401"/>
    <w:rsid w:val="7E062BD5"/>
    <w:rsid w:val="7E4C5BA2"/>
    <w:rsid w:val="7E5F5E41"/>
    <w:rsid w:val="7EF67423"/>
    <w:rsid w:val="7FE46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3"/>
    <w:autoRedefine/>
    <w:qFormat/>
    <w:uiPriority w:val="9"/>
    <w:pPr>
      <w:keepNext/>
      <w:jc w:val="center"/>
      <w:outlineLvl w:val="0"/>
    </w:pPr>
    <w:rPr>
      <w:rFonts w:ascii="楷体_GB2312" w:hAnsi="楷体_GB2312"/>
      <w:b/>
      <w:sz w:val="32"/>
      <w:szCs w:val="32"/>
    </w:rPr>
  </w:style>
  <w:style w:type="paragraph" w:styleId="4">
    <w:name w:val="heading 2"/>
    <w:basedOn w:val="1"/>
    <w:next w:val="3"/>
    <w:autoRedefine/>
    <w:qFormat/>
    <w:uiPriority w:val="0"/>
    <w:pPr>
      <w:keepNext/>
      <w:keepLines/>
      <w:spacing w:before="200" w:after="200" w:line="480" w:lineRule="auto"/>
      <w:jc w:val="left"/>
      <w:outlineLvl w:val="1"/>
    </w:pPr>
    <w:rPr>
      <w:rFonts w:ascii="Arial" w:hAnsi="Arial" w:cs="Arial"/>
      <w:b/>
      <w:bCs/>
      <w:sz w:val="30"/>
      <w:szCs w:val="30"/>
    </w:rPr>
  </w:style>
  <w:style w:type="paragraph" w:styleId="5">
    <w:name w:val="heading 3"/>
    <w:basedOn w:val="1"/>
    <w:next w:val="3"/>
    <w:link w:val="28"/>
    <w:autoRedefine/>
    <w:qFormat/>
    <w:uiPriority w:val="0"/>
    <w:pPr>
      <w:keepNext/>
      <w:keepLines/>
      <w:spacing w:before="200" w:after="100" w:line="480" w:lineRule="auto"/>
      <w:jc w:val="left"/>
      <w:outlineLvl w:val="2"/>
    </w:pPr>
    <w:rPr>
      <w:b/>
      <w:bCs/>
      <w:sz w:val="28"/>
      <w:szCs w:val="32"/>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1"/>
    <w:autoRedefine/>
    <w:qFormat/>
    <w:uiPriority w:val="0"/>
    <w:pPr>
      <w:ind w:firstLine="420"/>
    </w:pPr>
  </w:style>
  <w:style w:type="paragraph" w:styleId="6">
    <w:name w:val="Body Text Indent"/>
    <w:basedOn w:val="1"/>
    <w:next w:val="3"/>
    <w:autoRedefine/>
    <w:qFormat/>
    <w:uiPriority w:val="0"/>
    <w:pPr>
      <w:ind w:firstLine="645"/>
    </w:pPr>
    <w:rPr>
      <w:rFonts w:ascii="楷体_GB2312" w:eastAsia="楷体_GB2312"/>
      <w:sz w:val="32"/>
      <w:szCs w:val="32"/>
    </w:rPr>
  </w:style>
  <w:style w:type="paragraph" w:styleId="7">
    <w:name w:val="Plain Text"/>
    <w:basedOn w:val="1"/>
    <w:autoRedefine/>
    <w:qFormat/>
    <w:uiPriority w:val="0"/>
    <w:rPr>
      <w:rFonts w:ascii="宋体" w:hAnsi="Courier New" w:cs="Courier New"/>
    </w:rPr>
  </w:style>
  <w:style w:type="paragraph" w:styleId="8">
    <w:name w:val="footer"/>
    <w:basedOn w:val="1"/>
    <w:autoRedefine/>
    <w:qFormat/>
    <w:uiPriority w:val="99"/>
    <w:pPr>
      <w:tabs>
        <w:tab w:val="center" w:pos="4153"/>
        <w:tab w:val="right" w:pos="8306"/>
      </w:tabs>
      <w:snapToGrid w:val="0"/>
      <w:jc w:val="left"/>
    </w:pPr>
    <w:rPr>
      <w:rFonts w:cs="Symbol"/>
      <w:color w:val="000000" w:themeColor="text1"/>
      <w:sz w:val="18"/>
      <w:szCs w:val="18"/>
      <w14:textFill>
        <w14:solidFill>
          <w14:schemeClr w14:val="tx1"/>
        </w14:solidFill>
      </w14:textFill>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widowControl/>
      <w:spacing w:after="100" w:line="259" w:lineRule="auto"/>
      <w:jc w:val="left"/>
    </w:pPr>
    <w:rPr>
      <w:rFonts w:ascii="Calibri" w:hAnsi="Calibri"/>
      <w:kern w:val="0"/>
      <w:sz w:val="22"/>
      <w:szCs w:val="22"/>
    </w:rPr>
  </w:style>
  <w:style w:type="paragraph" w:styleId="11">
    <w:name w:val="List"/>
    <w:basedOn w:val="1"/>
    <w:autoRedefine/>
    <w:qFormat/>
    <w:uiPriority w:val="0"/>
    <w:pPr>
      <w:ind w:left="200" w:hanging="200" w:hangingChars="200"/>
    </w:pPr>
  </w:style>
  <w:style w:type="paragraph" w:styleId="12">
    <w:name w:val="footnote text"/>
    <w:basedOn w:val="1"/>
    <w:autoRedefine/>
    <w:qFormat/>
    <w:uiPriority w:val="0"/>
    <w:pPr>
      <w:snapToGrid w:val="0"/>
      <w:jc w:val="left"/>
    </w:pPr>
    <w:rPr>
      <w:sz w:val="18"/>
    </w:rPr>
  </w:style>
  <w:style w:type="paragraph" w:styleId="13">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14">
    <w:name w:val="Body Text First Indent 2"/>
    <w:basedOn w:val="6"/>
    <w:next w:val="1"/>
    <w:autoRedefine/>
    <w:qFormat/>
    <w:uiPriority w:val="0"/>
    <w:pPr>
      <w:spacing w:line="360" w:lineRule="auto"/>
      <w:ind w:firstLine="420" w:firstLineChars="200"/>
    </w:pPr>
    <w:rPr>
      <w:rFonts w:ascii="宋体" w:hAnsi="宋体" w:eastAsia="宋体"/>
      <w:sz w:val="21"/>
      <w:szCs w:val="20"/>
    </w:rPr>
  </w:style>
  <w:style w:type="table" w:styleId="16">
    <w:name w:val="Table Grid"/>
    <w:basedOn w:val="1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0"/>
    <w:rPr>
      <w:b/>
      <w:bCs/>
    </w:rPr>
  </w:style>
  <w:style w:type="character" w:styleId="19">
    <w:name w:val="Hyperlink"/>
    <w:basedOn w:val="17"/>
    <w:autoRedefine/>
    <w:qFormat/>
    <w:uiPriority w:val="0"/>
    <w:rPr>
      <w:color w:val="0000FF"/>
      <w:u w:val="single"/>
    </w:rPr>
  </w:style>
  <w:style w:type="character" w:styleId="20">
    <w:name w:val="HTML Sample"/>
    <w:basedOn w:val="17"/>
    <w:autoRedefine/>
    <w:unhideWhenUsed/>
    <w:qFormat/>
    <w:uiPriority w:val="99"/>
    <w:rPr>
      <w:rFonts w:ascii="宋体" w:hAnsi="宋体" w:eastAsia="宋体" w:cs="宋体"/>
    </w:rPr>
  </w:style>
  <w:style w:type="paragraph" w:customStyle="1" w:styleId="21">
    <w:name w:val="TOC 标题1"/>
    <w:basedOn w:val="2"/>
    <w:next w:val="1"/>
    <w:autoRedefine/>
    <w:qFormat/>
    <w:uiPriority w:val="39"/>
    <w:pPr>
      <w:keepLines/>
      <w:widowControl/>
      <w:spacing w:before="480" w:line="276" w:lineRule="auto"/>
      <w:jc w:val="left"/>
      <w:outlineLvl w:val="9"/>
    </w:pPr>
    <w:rPr>
      <w:rFonts w:ascii="Cambria" w:hAnsi="Cambria"/>
      <w:bCs/>
      <w:color w:val="365F91"/>
      <w:kern w:val="0"/>
    </w:rPr>
  </w:style>
  <w:style w:type="paragraph" w:styleId="22">
    <w:name w:val="List Paragraph"/>
    <w:basedOn w:val="1"/>
    <w:autoRedefine/>
    <w:qFormat/>
    <w:uiPriority w:val="34"/>
    <w:pPr>
      <w:widowControl/>
      <w:ind w:left="720"/>
      <w:contextualSpacing/>
      <w:jc w:val="left"/>
    </w:pPr>
    <w:rPr>
      <w:rFonts w:ascii="Calibri" w:hAnsi="Calibri"/>
      <w:kern w:val="0"/>
      <w:sz w:val="24"/>
      <w:szCs w:val="24"/>
      <w:lang w:eastAsia="en-US" w:bidi="en-US"/>
    </w:rPr>
  </w:style>
  <w:style w:type="character" w:customStyle="1" w:styleId="23">
    <w:name w:val="标题 3 字符"/>
    <w:link w:val="5"/>
    <w:autoRedefine/>
    <w:qFormat/>
    <w:uiPriority w:val="0"/>
    <w:rPr>
      <w:b/>
      <w:bCs/>
      <w:sz w:val="28"/>
      <w:szCs w:val="32"/>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2"/>
    <w:basedOn w:val="1"/>
    <w:autoRedefine/>
    <w:qFormat/>
    <w:uiPriority w:val="0"/>
    <w:pPr>
      <w:spacing w:before="156" w:line="360" w:lineRule="auto"/>
      <w:ind w:firstLine="510" w:firstLineChars="200"/>
    </w:pPr>
    <w:rPr>
      <w:sz w:val="24"/>
    </w:rPr>
  </w:style>
  <w:style w:type="paragraph" w:customStyle="1" w:styleId="26">
    <w:name w:val="表格"/>
    <w:basedOn w:val="11"/>
    <w:next w:val="1"/>
    <w:autoRedefine/>
    <w:qFormat/>
    <w:uiPriority w:val="0"/>
    <w:pPr>
      <w:adjustRightInd w:val="0"/>
      <w:snapToGrid w:val="0"/>
      <w:spacing w:before="20" w:after="20"/>
      <w:jc w:val="center"/>
      <w:textAlignment w:val="baseline"/>
    </w:pPr>
    <w:rPr>
      <w:rFonts w:ascii="Arial" w:hAnsi="Arial"/>
      <w:snapToGrid w:val="0"/>
    </w:rPr>
  </w:style>
  <w:style w:type="paragraph" w:customStyle="1" w:styleId="27">
    <w:name w:val="正文_0_1_1_0"/>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8">
    <w:name w:val="标题 3 Char"/>
    <w:link w:val="5"/>
    <w:autoRedefine/>
    <w:qFormat/>
    <w:uiPriority w:val="0"/>
    <w:rPr>
      <w:rFonts w:ascii="Times New Roman" w:hAnsi="Times New Roman" w:eastAsia="宋体"/>
      <w:b/>
      <w:bCs/>
      <w:kern w:val="2"/>
      <w:sz w:val="28"/>
      <w:szCs w:val="32"/>
      <w:lang w:val="en-US" w:eastAsia="zh-CN" w:bidi="ar-SA"/>
    </w:rPr>
  </w:style>
  <w:style w:type="character" w:customStyle="1" w:styleId="29">
    <w:name w:val="bookmark-item"/>
    <w:basedOn w:val="17"/>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44356</Words>
  <Characters>47740</Characters>
  <Lines>0</Lines>
  <Paragraphs>0</Paragraphs>
  <TotalTime>18</TotalTime>
  <ScaleCrop>false</ScaleCrop>
  <LinksUpToDate>false</LinksUpToDate>
  <CharactersWithSpaces>50083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2024-03-15T11:18:00Z</dcterms:created>
  <dc:creator>Delll</dc:creator>
  <cp:lastModifiedBy>H   L</cp:lastModifiedBy>
  <dcterms:modified xsi:type="dcterms:W3CDTF">2024-04-08T11:13:48Z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BA1BDA5EFF3D444C9A0E5C9FFA53DE07_13</vt:lpwstr>
  </property>
</Properties>
</file>