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outlineLvl w:val="0"/>
        <w:rPr>
          <w:rFonts w:hint="eastAsia" w:ascii="仿宋" w:hAnsi="仿宋" w:eastAsia="仿宋" w:cs="仿宋"/>
          <w:b/>
          <w:sz w:val="44"/>
          <w:szCs w:val="44"/>
        </w:rPr>
      </w:pPr>
      <w:r>
        <w:rPr>
          <w:rFonts w:hint="eastAsia" w:ascii="仿宋" w:hAnsi="仿宋" w:eastAsia="仿宋" w:cs="仿宋"/>
          <w:b/>
          <w:sz w:val="44"/>
          <w:szCs w:val="44"/>
        </w:rPr>
        <w:t>招标文件确认函</w:t>
      </w:r>
    </w:p>
    <w:p>
      <w:pPr>
        <w:snapToGrid w:val="0"/>
        <w:spacing w:line="300" w:lineRule="auto"/>
        <w:jc w:val="center"/>
        <w:rPr>
          <w:rFonts w:hint="eastAsia" w:ascii="仿宋" w:hAnsi="仿宋" w:eastAsia="仿宋" w:cs="仿宋"/>
          <w:b/>
          <w:sz w:val="44"/>
          <w:szCs w:val="44"/>
        </w:rPr>
      </w:pPr>
    </w:p>
    <w:p>
      <w:pPr>
        <w:snapToGrid w:val="0"/>
        <w:spacing w:line="30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u w:val="single"/>
          <w:lang w:eastAsia="zh-CN"/>
        </w:rPr>
        <w:t>疏附县托克扎克镇人民政府：</w:t>
      </w:r>
    </w:p>
    <w:p>
      <w:pPr>
        <w:snapToGrid w:val="0"/>
        <w:spacing w:line="300" w:lineRule="auto"/>
        <w:ind w:firstLine="627" w:firstLineChars="196"/>
        <w:rPr>
          <w:rFonts w:hint="eastAsia" w:ascii="仿宋" w:hAnsi="仿宋" w:eastAsia="仿宋" w:cs="仿宋"/>
          <w:bCs/>
          <w:sz w:val="32"/>
          <w:szCs w:val="32"/>
        </w:rPr>
      </w:pPr>
      <w:r>
        <w:rPr>
          <w:rFonts w:hint="eastAsia" w:ascii="仿宋" w:hAnsi="仿宋" w:eastAsia="仿宋" w:cs="仿宋"/>
          <w:bCs/>
          <w:sz w:val="32"/>
          <w:szCs w:val="32"/>
          <w:lang w:val="en-US" w:eastAsia="zh-CN"/>
        </w:rPr>
        <w:t>我公司接收到你单位采购审批资料后，根据你单位提供的项目预算、服务参数、服务期、售后服务等内容，依据中华人民共和国财政部令第 87号《政府采购货物和服务招标投标管理办法》编制本标书，现请你单位认真阅读标书中的各项条款并提出意见，本标书将成为此项目在开标、评标、定标、公示、履行合同、质询、答疑的重要依据，若无意见请在下方签字确认并在标书上盖章，我公司将上传到新疆政府采购网，让本项目潜在供应商在线获取招标文件</w:t>
      </w:r>
      <w:r>
        <w:rPr>
          <w:rFonts w:hint="eastAsia" w:ascii="仿宋" w:hAnsi="仿宋" w:eastAsia="仿宋" w:cs="仿宋"/>
          <w:bCs/>
          <w:sz w:val="32"/>
          <w:szCs w:val="32"/>
        </w:rPr>
        <w:t>。</w:t>
      </w:r>
    </w:p>
    <w:p>
      <w:pPr>
        <w:tabs>
          <w:tab w:val="center" w:pos="4737"/>
        </w:tabs>
        <w:snapToGrid w:val="0"/>
        <w:spacing w:line="300" w:lineRule="auto"/>
        <w:ind w:firstLine="630" w:firstLineChars="196"/>
        <w:rPr>
          <w:rFonts w:hint="eastAsia" w:ascii="仿宋" w:hAnsi="仿宋" w:eastAsia="仿宋" w:cs="仿宋"/>
          <w:b/>
          <w:sz w:val="32"/>
          <w:szCs w:val="32"/>
        </w:rPr>
      </w:pPr>
    </w:p>
    <w:p>
      <w:pPr>
        <w:pStyle w:val="2"/>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w:t>
      </w:r>
    </w:p>
    <w:p>
      <w:pPr>
        <w:rPr>
          <w:rFonts w:hint="eastAsia" w:ascii="仿宋" w:hAnsi="仿宋" w:eastAsia="仿宋" w:cs="仿宋"/>
          <w:b/>
          <w:sz w:val="32"/>
          <w:szCs w:val="32"/>
          <w:lang w:val="en-US" w:eastAsia="zh-CN"/>
        </w:rPr>
      </w:pPr>
    </w:p>
    <w:p>
      <w:pPr>
        <w:pStyle w:val="2"/>
        <w:rPr>
          <w:rFonts w:hint="eastAsia" w:ascii="仿宋" w:hAnsi="仿宋" w:eastAsia="仿宋" w:cs="仿宋"/>
          <w:b/>
          <w:sz w:val="32"/>
          <w:szCs w:val="32"/>
          <w:lang w:val="en-US" w:eastAsia="zh-CN"/>
        </w:rPr>
      </w:pPr>
    </w:p>
    <w:p>
      <w:pPr>
        <w:pStyle w:val="2"/>
        <w:rPr>
          <w:rFonts w:hint="eastAsia"/>
          <w:lang w:val="en-US" w:eastAsia="zh-CN"/>
        </w:rPr>
      </w:pPr>
    </w:p>
    <w:p>
      <w:pPr>
        <w:rPr>
          <w:rFonts w:hint="eastAsia"/>
        </w:rPr>
      </w:pPr>
    </w:p>
    <w:p>
      <w:pPr>
        <w:tabs>
          <w:tab w:val="center" w:pos="4737"/>
        </w:tabs>
        <w:snapToGrid w:val="0"/>
        <w:spacing w:line="300" w:lineRule="auto"/>
        <w:ind w:firstLine="630" w:firstLineChars="196"/>
        <w:rPr>
          <w:rFonts w:hint="eastAsia" w:ascii="仿宋" w:hAnsi="仿宋" w:eastAsia="仿宋" w:cs="仿宋"/>
          <w:b/>
          <w:sz w:val="32"/>
          <w:szCs w:val="32"/>
        </w:rPr>
      </w:pPr>
      <w:r>
        <w:rPr>
          <w:rFonts w:hint="eastAsia" w:ascii="仿宋" w:hAnsi="仿宋" w:eastAsia="仿宋" w:cs="仿宋"/>
          <w:b/>
          <w:sz w:val="32"/>
          <w:szCs w:val="32"/>
        </w:rPr>
        <w:t>采购单位盖章：</w:t>
      </w:r>
      <w:r>
        <w:rPr>
          <w:rFonts w:hint="eastAsia" w:ascii="仿宋" w:hAnsi="仿宋" w:eastAsia="仿宋" w:cs="仿宋"/>
          <w:b/>
          <w:sz w:val="32"/>
          <w:szCs w:val="32"/>
        </w:rPr>
        <w:tab/>
      </w:r>
    </w:p>
    <w:p>
      <w:pPr>
        <w:snapToGrid w:val="0"/>
        <w:spacing w:line="300" w:lineRule="auto"/>
        <w:ind w:firstLine="630" w:firstLineChars="196"/>
        <w:rPr>
          <w:rFonts w:hint="eastAsia" w:ascii="仿宋" w:hAnsi="仿宋" w:eastAsia="仿宋" w:cs="仿宋"/>
          <w:b/>
          <w:sz w:val="32"/>
          <w:szCs w:val="32"/>
        </w:rPr>
      </w:pPr>
    </w:p>
    <w:p>
      <w:pPr>
        <w:snapToGrid w:val="0"/>
        <w:spacing w:line="300" w:lineRule="auto"/>
        <w:ind w:firstLine="630" w:firstLineChars="196"/>
        <w:rPr>
          <w:rFonts w:hint="eastAsia" w:ascii="仿宋" w:hAnsi="仿宋" w:eastAsia="仿宋" w:cs="仿宋"/>
          <w:b/>
          <w:sz w:val="32"/>
          <w:szCs w:val="32"/>
          <w:lang w:val="en-US" w:eastAsia="zh-CN"/>
        </w:rPr>
      </w:pPr>
      <w:r>
        <w:rPr>
          <w:rFonts w:hint="eastAsia" w:ascii="仿宋" w:hAnsi="仿宋" w:eastAsia="仿宋" w:cs="仿宋"/>
          <w:b/>
          <w:sz w:val="32"/>
          <w:szCs w:val="32"/>
        </w:rPr>
        <w:t>采购单位联系人：</w:t>
      </w:r>
      <w:r>
        <w:rPr>
          <w:rFonts w:hint="eastAsia" w:ascii="仿宋" w:hAnsi="仿宋" w:eastAsia="仿宋" w:cs="仿宋"/>
          <w:b/>
          <w:sz w:val="32"/>
          <w:szCs w:val="32"/>
          <w:lang w:val="en-US" w:eastAsia="zh-CN"/>
        </w:rPr>
        <w:t>杜凯</w:t>
      </w:r>
    </w:p>
    <w:p>
      <w:pPr>
        <w:snapToGrid w:val="0"/>
        <w:spacing w:line="300" w:lineRule="auto"/>
        <w:ind w:firstLine="630" w:firstLineChars="196"/>
        <w:rPr>
          <w:rFonts w:hint="eastAsia" w:ascii="仿宋" w:hAnsi="仿宋" w:eastAsia="仿宋" w:cs="仿宋"/>
          <w:b/>
          <w:sz w:val="32"/>
          <w:szCs w:val="32"/>
        </w:rPr>
      </w:pPr>
    </w:p>
    <w:p>
      <w:pPr>
        <w:snapToGrid w:val="0"/>
        <w:spacing w:line="300" w:lineRule="auto"/>
        <w:ind w:firstLine="630" w:firstLineChars="196"/>
        <w:rPr>
          <w:rFonts w:hint="default" w:ascii="仿宋" w:hAnsi="仿宋" w:eastAsia="仿宋" w:cs="仿宋"/>
          <w:b/>
          <w:sz w:val="32"/>
          <w:szCs w:val="32"/>
          <w:lang w:val="en-US" w:eastAsia="zh-CN"/>
        </w:rPr>
      </w:pPr>
      <w:r>
        <w:rPr>
          <w:rFonts w:hint="eastAsia" w:ascii="仿宋" w:hAnsi="仿宋" w:eastAsia="仿宋" w:cs="仿宋"/>
          <w:b/>
          <w:sz w:val="32"/>
          <w:szCs w:val="32"/>
        </w:rPr>
        <w:t>联系电话：0998-3252696</w:t>
      </w:r>
    </w:p>
    <w:p>
      <w:pPr>
        <w:snapToGrid w:val="0"/>
        <w:spacing w:line="300" w:lineRule="auto"/>
        <w:jc w:val="both"/>
        <w:rPr>
          <w:rFonts w:hint="eastAsia" w:ascii="仿宋" w:hAnsi="仿宋" w:eastAsia="仿宋" w:cs="仿宋"/>
          <w:b/>
          <w:sz w:val="32"/>
          <w:szCs w:val="32"/>
        </w:rPr>
      </w:pPr>
    </w:p>
    <w:p>
      <w:pPr>
        <w:pStyle w:val="2"/>
        <w:rPr>
          <w:rFonts w:hint="eastAsia"/>
        </w:rPr>
      </w:pPr>
    </w:p>
    <w:p>
      <w:pPr>
        <w:snapToGrid w:val="0"/>
        <w:spacing w:line="300" w:lineRule="auto"/>
        <w:jc w:val="center"/>
        <w:rPr>
          <w:rFonts w:hint="eastAsia" w:ascii="仿宋" w:hAnsi="仿宋" w:eastAsia="仿宋" w:cs="仿宋"/>
          <w:b/>
          <w:sz w:val="32"/>
          <w:szCs w:val="32"/>
        </w:rPr>
      </w:pPr>
      <w:r>
        <w:rPr>
          <w:rFonts w:hint="eastAsia" w:ascii="仿宋" w:hAnsi="仿宋" w:eastAsia="仿宋" w:cs="仿宋"/>
          <w:b/>
          <w:sz w:val="32"/>
          <w:szCs w:val="32"/>
        </w:rPr>
        <w:t xml:space="preserve">            </w:t>
      </w: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sectPr>
          <w:footerReference r:id="rId5" w:type="first"/>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二〇二</w:t>
      </w:r>
      <w:r>
        <w:rPr>
          <w:rFonts w:hint="eastAsia" w:ascii="仿宋" w:hAnsi="仿宋" w:eastAsia="仿宋" w:cs="仿宋"/>
          <w:b/>
          <w:sz w:val="32"/>
          <w:szCs w:val="32"/>
          <w:lang w:val="en-US" w:eastAsia="zh-CN"/>
        </w:rPr>
        <w:t>三</w:t>
      </w:r>
      <w:r>
        <w:rPr>
          <w:rFonts w:hint="eastAsia" w:ascii="仿宋" w:hAnsi="仿宋" w:eastAsia="仿宋" w:cs="仿宋"/>
          <w:b/>
          <w:sz w:val="32"/>
          <w:szCs w:val="32"/>
        </w:rPr>
        <w:t>年</w:t>
      </w:r>
      <w:r>
        <w:rPr>
          <w:rFonts w:hint="eastAsia" w:ascii="仿宋" w:hAnsi="仿宋" w:eastAsia="仿宋" w:cs="仿宋"/>
          <w:b/>
          <w:sz w:val="32"/>
          <w:szCs w:val="32"/>
          <w:lang w:val="en-US" w:eastAsia="zh-CN"/>
        </w:rPr>
        <w:t>六</w:t>
      </w:r>
      <w:r>
        <w:rPr>
          <w:rFonts w:hint="eastAsia" w:ascii="仿宋" w:hAnsi="仿宋" w:eastAsia="仿宋" w:cs="仿宋"/>
          <w:b/>
          <w:bCs w:val="0"/>
          <w:color w:val="000000"/>
          <w:sz w:val="32"/>
          <w:szCs w:val="32"/>
        </w:rPr>
        <w:t>月</w:t>
      </w:r>
    </w:p>
    <w:p>
      <w:pPr>
        <w:pStyle w:val="22"/>
        <w:rPr>
          <w:rFonts w:hint="eastAsia"/>
        </w:rPr>
      </w:pPr>
    </w:p>
    <w:p>
      <w:pPr>
        <w:spacing w:line="240" w:lineRule="atLeast"/>
        <w:jc w:val="both"/>
        <w:rPr>
          <w:rFonts w:hint="eastAsia" w:ascii="微软雅黑" w:hAnsi="微软雅黑" w:eastAsia="微软雅黑" w:cs="微软雅黑"/>
          <w:b/>
          <w:color w:val="000000" w:themeColor="text1"/>
          <w:sz w:val="52"/>
          <w:szCs w:val="52"/>
          <w:highlight w:val="none"/>
          <w:lang w:eastAsia="zh-CN"/>
          <w14:textFill>
            <w14:solidFill>
              <w14:schemeClr w14:val="tx1"/>
            </w14:solidFill>
          </w14:textFill>
        </w:rPr>
      </w:pPr>
    </w:p>
    <w:p>
      <w:pPr>
        <w:spacing w:line="240" w:lineRule="atLeast"/>
        <w:jc w:val="center"/>
        <w:outlineLvl w:val="0"/>
        <w:rPr>
          <w:rFonts w:hint="eastAsia" w:ascii="微软雅黑" w:hAnsi="微软雅黑" w:eastAsia="微软雅黑" w:cs="微软雅黑"/>
          <w:b/>
          <w:color w:val="000000" w:themeColor="text1"/>
          <w:sz w:val="48"/>
          <w:szCs w:val="48"/>
          <w:highlight w:val="none"/>
          <w:lang w:val="en-US" w:eastAsia="zh-CN"/>
          <w14:textFill>
            <w14:solidFill>
              <w14:schemeClr w14:val="tx1"/>
            </w14:solidFill>
          </w14:textFill>
        </w:rPr>
      </w:pPr>
      <w:r>
        <w:rPr>
          <w:rFonts w:hint="eastAsia" w:ascii="微软雅黑" w:hAnsi="微软雅黑" w:eastAsia="微软雅黑" w:cs="微软雅黑"/>
          <w:b/>
          <w:color w:val="000000" w:themeColor="text1"/>
          <w:sz w:val="48"/>
          <w:szCs w:val="48"/>
          <w:highlight w:val="none"/>
          <w:lang w:val="en-US" w:eastAsia="zh-CN"/>
          <w14:textFill>
            <w14:solidFill>
              <w14:schemeClr w14:val="tx1"/>
            </w14:solidFill>
          </w14:textFill>
        </w:rPr>
        <w:t>托克扎克镇4村产业（中草药厂、玫瑰产品研发中心）基础设施配套建设项目</w:t>
      </w:r>
    </w:p>
    <w:p>
      <w:pPr>
        <w:pStyle w:val="2"/>
        <w:rPr>
          <w:rFonts w:hint="eastAsia" w:ascii="微软雅黑" w:hAnsi="微软雅黑" w:eastAsia="微软雅黑" w:cs="微软雅黑"/>
          <w:b/>
          <w:color w:val="000000" w:themeColor="text1"/>
          <w:sz w:val="48"/>
          <w:szCs w:val="48"/>
          <w:highlight w:val="none"/>
          <w:lang w:val="en-US" w:eastAsia="zh-CN"/>
          <w14:textFill>
            <w14:solidFill>
              <w14:schemeClr w14:val="tx1"/>
            </w14:solidFill>
          </w14:textFill>
        </w:rPr>
      </w:pPr>
    </w:p>
    <w:p>
      <w:pPr>
        <w:rPr>
          <w:rFonts w:hint="eastAsia" w:ascii="微软雅黑" w:hAnsi="微软雅黑" w:eastAsia="微软雅黑" w:cs="微软雅黑"/>
          <w:b/>
          <w:color w:val="000000" w:themeColor="text1"/>
          <w:sz w:val="48"/>
          <w:szCs w:val="48"/>
          <w:highlight w:val="none"/>
          <w:lang w:val="en-US" w:eastAsia="zh-CN"/>
          <w14:textFill>
            <w14:solidFill>
              <w14:schemeClr w14:val="tx1"/>
            </w14:solidFill>
          </w14:textFill>
        </w:rPr>
      </w:pPr>
    </w:p>
    <w:p>
      <w:pPr>
        <w:pStyle w:val="2"/>
        <w:rPr>
          <w:rFonts w:hint="eastAsia"/>
        </w:rPr>
      </w:pPr>
    </w:p>
    <w:p>
      <w:pPr>
        <w:spacing w:line="240" w:lineRule="atLeast"/>
        <w:jc w:val="center"/>
        <w:rPr>
          <w:rFonts w:hint="eastAsia" w:ascii="微软雅黑" w:hAnsi="微软雅黑" w:eastAsia="微软雅黑" w:cs="微软雅黑"/>
          <w:bCs/>
          <w:color w:val="000000" w:themeColor="text1"/>
          <w:sz w:val="72"/>
          <w:szCs w:val="72"/>
          <w:highlight w:val="none"/>
          <w:lang w:eastAsia="zh-CN"/>
          <w14:textFill>
            <w14:solidFill>
              <w14:schemeClr w14:val="tx1"/>
            </w14:solidFill>
          </w14:textFill>
        </w:rPr>
      </w:pPr>
      <w:r>
        <w:rPr>
          <w:rFonts w:hint="eastAsia" w:ascii="微软雅黑" w:hAnsi="微软雅黑" w:eastAsia="微软雅黑" w:cs="微软雅黑"/>
          <w:b/>
          <w:color w:val="000000" w:themeColor="text1"/>
          <w:sz w:val="72"/>
          <w:szCs w:val="72"/>
          <w:highlight w:val="none"/>
          <w14:textFill>
            <w14:solidFill>
              <w14:schemeClr w14:val="tx1"/>
            </w14:solidFill>
          </w14:textFill>
        </w:rPr>
        <w:t>公开招标文件</w:t>
      </w:r>
    </w:p>
    <w:p>
      <w:pPr>
        <w:spacing w:line="240" w:lineRule="atLeast"/>
        <w:ind w:left="1080" w:leftChars="257" w:hanging="540"/>
        <w:jc w:val="center"/>
        <w:rPr>
          <w:rFonts w:hint="eastAsia" w:ascii="微软雅黑" w:hAnsi="微软雅黑" w:eastAsia="微软雅黑" w:cs="微软雅黑"/>
          <w:bCs/>
          <w:color w:val="000000" w:themeColor="text1"/>
          <w:sz w:val="52"/>
          <w:szCs w:val="5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Cs/>
          <w:color w:val="000000" w:themeColor="text1"/>
          <w:sz w:val="32"/>
          <w:szCs w:val="3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Cs/>
          <w:color w:val="000000" w:themeColor="text1"/>
          <w:sz w:val="32"/>
          <w:szCs w:val="32"/>
          <w:highlight w:val="none"/>
          <w14:textFill>
            <w14:solidFill>
              <w14:schemeClr w14:val="tx1"/>
            </w14:solidFill>
          </w14:textFill>
        </w:rPr>
        <w:t xml:space="preserve">（项目编号： </w:t>
      </w:r>
      <w:r>
        <w:rPr>
          <w:rFonts w:hint="eastAsia" w:ascii="微软雅黑" w:hAnsi="微软雅黑" w:eastAsia="微软雅黑" w:cs="微软雅黑"/>
          <w:bCs/>
          <w:color w:val="000000" w:themeColor="text1"/>
          <w:sz w:val="32"/>
          <w:szCs w:val="32"/>
          <w:highlight w:val="none"/>
          <w:lang w:val="en-US" w:eastAsia="zh-CN"/>
          <w14:textFill>
            <w14:solidFill>
              <w14:schemeClr w14:val="tx1"/>
            </w14:solidFill>
          </w14:textFill>
        </w:rPr>
        <w:t>SFXDZFR(GK)2023-15号</w:t>
      </w:r>
      <w:r>
        <w:rPr>
          <w:rFonts w:hint="eastAsia" w:ascii="微软雅黑" w:hAnsi="微软雅黑" w:eastAsia="微软雅黑" w:cs="微软雅黑"/>
          <w:bCs/>
          <w:color w:val="000000" w:themeColor="text1"/>
          <w:sz w:val="32"/>
          <w:szCs w:val="32"/>
          <w:highlight w:val="none"/>
          <w:lang w:eastAsia="zh-CN"/>
          <w14:textFill>
            <w14:solidFill>
              <w14:schemeClr w14:val="tx1"/>
            </w14:solidFill>
          </w14:textFill>
        </w:rPr>
        <w:t>）</w:t>
      </w:r>
    </w:p>
    <w:p>
      <w:pPr>
        <w:spacing w:line="240" w:lineRule="atLeast"/>
        <w:ind w:left="1080" w:leftChars="257" w:hanging="540"/>
        <w:jc w:val="center"/>
        <w:rPr>
          <w:rFonts w:hint="eastAsia" w:ascii="微软雅黑" w:hAnsi="微软雅黑" w:eastAsia="微软雅黑" w:cs="微软雅黑"/>
          <w:b/>
          <w:color w:val="000000" w:themeColor="text1"/>
          <w:sz w:val="36"/>
          <w:szCs w:val="36"/>
          <w:highlight w:val="none"/>
          <w14:textFill>
            <w14:solidFill>
              <w14:schemeClr w14:val="tx1"/>
            </w14:solidFill>
          </w14:textFill>
        </w:rPr>
      </w:pPr>
    </w:p>
    <w:p>
      <w:pPr>
        <w:spacing w:line="240" w:lineRule="atLeast"/>
        <w:ind w:left="1080" w:leftChars="257" w:hanging="540"/>
        <w:jc w:val="center"/>
        <w:outlineLvl w:val="0"/>
        <w:rPr>
          <w:rFonts w:hint="eastAsia" w:ascii="微软雅黑" w:hAnsi="微软雅黑" w:eastAsia="微软雅黑" w:cs="微软雅黑"/>
          <w:b/>
          <w:color w:val="000000" w:themeColor="text1"/>
          <w:sz w:val="36"/>
          <w:szCs w:val="36"/>
          <w:highlight w:val="none"/>
          <w14:textFill>
            <w14:solidFill>
              <w14:schemeClr w14:val="tx1"/>
            </w14:solidFill>
          </w14:textFill>
        </w:rPr>
      </w:pPr>
      <w:r>
        <w:rPr>
          <w:rFonts w:hint="eastAsia" w:ascii="微软雅黑" w:hAnsi="微软雅黑" w:eastAsia="微软雅黑" w:cs="微软雅黑"/>
          <w:b/>
          <w:color w:val="000000" w:themeColor="text1"/>
          <w:sz w:val="36"/>
          <w:szCs w:val="36"/>
          <w:highlight w:val="none"/>
          <w14:textFill>
            <w14:solidFill>
              <w14:schemeClr w14:val="tx1"/>
            </w14:solidFill>
          </w14:textFill>
        </w:rPr>
        <w:t>第一册</w:t>
      </w:r>
    </w:p>
    <w:p>
      <w:pPr>
        <w:spacing w:line="240" w:lineRule="atLeast"/>
        <w:ind w:left="1080" w:leftChars="257" w:hanging="540"/>
        <w:jc w:val="center"/>
        <w:rPr>
          <w:rFonts w:hint="eastAsia" w:ascii="微软雅黑" w:hAnsi="微软雅黑" w:eastAsia="微软雅黑" w:cs="微软雅黑"/>
          <w:b/>
          <w:color w:val="000000" w:themeColor="text1"/>
          <w:sz w:val="52"/>
          <w:highlight w:val="none"/>
          <w14:textFill>
            <w14:solidFill>
              <w14:schemeClr w14:val="tx1"/>
            </w14:solidFill>
          </w14:textFill>
        </w:rPr>
      </w:pPr>
    </w:p>
    <w:p>
      <w:pPr>
        <w:spacing w:line="360" w:lineRule="auto"/>
        <w:jc w:val="left"/>
        <w:rPr>
          <w:rFonts w:hint="eastAsia" w:ascii="微软雅黑" w:hAnsi="微软雅黑" w:eastAsia="微软雅黑" w:cs="微软雅黑"/>
          <w:color w:val="000000" w:themeColor="text1"/>
          <w:sz w:val="28"/>
          <w:szCs w:val="28"/>
          <w:highlight w:val="none"/>
          <w14:textFill>
            <w14:solidFill>
              <w14:schemeClr w14:val="tx1"/>
            </w14:solidFill>
          </w14:textFill>
        </w:rPr>
      </w:pPr>
    </w:p>
    <w:p>
      <w:pPr>
        <w:pStyle w:val="36"/>
        <w:rPr>
          <w:rFonts w:hint="eastAsia"/>
        </w:rPr>
      </w:pPr>
    </w:p>
    <w:p>
      <w:pPr>
        <w:spacing w:line="360" w:lineRule="auto"/>
        <w:ind w:firstLine="1954" w:firstLineChars="698"/>
        <w:jc w:val="left"/>
        <w:rPr>
          <w:rFonts w:hint="default" w:ascii="微软雅黑" w:hAnsi="微软雅黑" w:eastAsia="微软雅黑" w:cs="微软雅黑"/>
          <w:color w:val="000000" w:themeColor="text1"/>
          <w:sz w:val="28"/>
          <w:szCs w:val="28"/>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 购 人：</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疏附县托克扎克镇人民政府</w:t>
      </w:r>
    </w:p>
    <w:p>
      <w:pPr>
        <w:spacing w:line="600" w:lineRule="exact"/>
        <w:ind w:firstLine="1954" w:firstLineChars="698"/>
        <w:rPr>
          <w:rFonts w:hint="default" w:ascii="微软雅黑" w:hAnsi="微软雅黑" w:eastAsia="微软雅黑" w:cs="微软雅黑"/>
          <w:color w:val="000000" w:themeColor="text1"/>
          <w:sz w:val="28"/>
          <w:szCs w:val="28"/>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采购机构：</w:t>
      </w:r>
      <w:r>
        <w:rPr>
          <w:rFonts w:hint="eastAsia" w:ascii="微软雅黑" w:hAnsi="微软雅黑" w:eastAsia="微软雅黑" w:cs="微软雅黑"/>
          <w:color w:val="000000" w:themeColor="text1"/>
          <w:sz w:val="28"/>
          <w:szCs w:val="28"/>
          <w:highlight w:val="none"/>
          <w:lang w:val="en-US" w:eastAsia="zh-CN"/>
          <w14:textFill>
            <w14:solidFill>
              <w14:schemeClr w14:val="tx1"/>
            </w14:solidFill>
          </w14:textFill>
        </w:rPr>
        <w:t>喀什德泽福瑞项目管理有限公司</w:t>
      </w:r>
    </w:p>
    <w:p>
      <w:pPr>
        <w:spacing w:line="600" w:lineRule="exact"/>
        <w:ind w:firstLine="1954" w:firstLineChars="698"/>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发出日期：</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202</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3</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年</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6</w:t>
      </w:r>
      <w:r>
        <w:rPr>
          <w:rFonts w:hint="eastAsia" w:ascii="微软雅黑" w:hAnsi="微软雅黑" w:eastAsia="微软雅黑" w:cs="微软雅黑"/>
          <w:color w:val="000000" w:themeColor="text1"/>
          <w:sz w:val="28"/>
          <w:szCs w:val="28"/>
          <w:highlight w:val="none"/>
          <w:u w:val="none"/>
          <w14:textFill>
            <w14:solidFill>
              <w14:schemeClr w14:val="tx1"/>
            </w14:solidFill>
          </w14:textFill>
        </w:rPr>
        <w:t>月</w:t>
      </w:r>
      <w:r>
        <w:rPr>
          <w:rFonts w:hint="eastAsia" w:ascii="微软雅黑" w:hAnsi="微软雅黑" w:eastAsia="微软雅黑" w:cs="微软雅黑"/>
          <w:color w:val="000000" w:themeColor="text1"/>
          <w:sz w:val="28"/>
          <w:szCs w:val="28"/>
          <w:highlight w:val="none"/>
          <w:u w:val="none"/>
          <w:lang w:val="en-US" w:eastAsia="zh-CN"/>
          <w14:textFill>
            <w14:solidFill>
              <w14:schemeClr w14:val="tx1"/>
            </w14:solidFill>
          </w14:textFill>
        </w:rPr>
        <w:t xml:space="preserve">  </w:t>
      </w:r>
    </w:p>
    <w:p>
      <w:pPr>
        <w:jc w:val="both"/>
        <w:rPr>
          <w:rFonts w:hint="eastAsia" w:ascii="微软雅黑" w:hAnsi="微软雅黑" w:eastAsia="微软雅黑" w:cs="微软雅黑"/>
          <w:b/>
          <w:bCs/>
          <w:color w:val="000000" w:themeColor="text1"/>
          <w:sz w:val="40"/>
          <w:szCs w:val="40"/>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pStyle w:val="8"/>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目录</w:t>
      </w:r>
    </w:p>
    <w:p>
      <w:pPr>
        <w:pStyle w:val="21"/>
        <w:tabs>
          <w:tab w:val="right" w:leader="dot" w:pos="8311"/>
        </w:tabs>
        <w:spacing w:line="360" w:lineRule="auto"/>
        <w:outlineLvl w:val="0"/>
        <w:rPr>
          <w:rFonts w:hint="eastAsia" w:ascii="微软雅黑" w:hAnsi="微软雅黑" w:eastAsia="微软雅黑" w:cs="微软雅黑"/>
          <w:szCs w:val="22"/>
          <w:highlight w:val="none"/>
          <w:lang w:val="en-US" w:eastAsia="zh-CN"/>
        </w:rPr>
      </w:pPr>
      <w:r>
        <w:rPr>
          <w:rFonts w:hint="eastAsia" w:ascii="微软雅黑" w:hAnsi="微软雅黑" w:eastAsia="微软雅黑" w:cs="微软雅黑"/>
          <w:szCs w:val="22"/>
          <w:highlight w:val="none"/>
        </w:rPr>
        <w:t xml:space="preserve">第1章  </w:t>
      </w:r>
      <w:r>
        <w:rPr>
          <w:rFonts w:hint="eastAsia" w:ascii="微软雅黑" w:hAnsi="微软雅黑" w:eastAsia="微软雅黑" w:cs="微软雅黑"/>
          <w:szCs w:val="22"/>
          <w:highlight w:val="none"/>
          <w:lang w:val="en-US" w:eastAsia="zh-CN"/>
        </w:rPr>
        <w:t xml:space="preserve"> </w:t>
      </w:r>
      <w:r>
        <w:rPr>
          <w:rFonts w:hint="eastAsia" w:ascii="微软雅黑" w:hAnsi="微软雅黑" w:eastAsia="微软雅黑" w:cs="微软雅黑"/>
          <w:szCs w:val="22"/>
          <w:highlight w:val="none"/>
        </w:rPr>
        <w:t>供应商须知</w:t>
      </w:r>
      <w:r>
        <w:rPr>
          <w:rFonts w:hint="eastAsia" w:ascii="微软雅黑" w:hAnsi="微软雅黑" w:eastAsia="微软雅黑" w:cs="微软雅黑"/>
          <w:szCs w:val="22"/>
          <w:highlight w:val="none"/>
        </w:rPr>
        <w:tab/>
      </w:r>
      <w:r>
        <w:rPr>
          <w:rFonts w:hint="eastAsia" w:ascii="微软雅黑" w:hAnsi="微软雅黑" w:eastAsia="微软雅黑" w:cs="微软雅黑"/>
          <w:szCs w:val="22"/>
          <w:highlight w:val="none"/>
          <w:lang w:val="en-US" w:eastAsia="zh-CN"/>
        </w:rPr>
        <w:t>1</w:t>
      </w:r>
    </w:p>
    <w:p>
      <w:pPr>
        <w:pStyle w:val="23"/>
        <w:tabs>
          <w:tab w:val="right" w:leader="dot" w:pos="8311"/>
        </w:tabs>
        <w:spacing w:line="360" w:lineRule="auto"/>
      </w:pPr>
      <w:r>
        <w:rPr>
          <w:rFonts w:hint="eastAsia" w:ascii="微软雅黑" w:hAnsi="微软雅黑" w:eastAsia="微软雅黑" w:cs="微软雅黑"/>
          <w:color w:val="000000" w:themeColor="text1"/>
          <w:kern w:val="0"/>
          <w:sz w:val="28"/>
          <w:szCs w:val="28"/>
          <w:highlight w:val="none"/>
          <w14:textFill>
            <w14:solidFill>
              <w14:schemeClr w14:val="tx1"/>
            </w14:solidFill>
          </w14:textFill>
        </w:rPr>
        <w:fldChar w:fldCharType="begin"/>
      </w:r>
      <w:r>
        <w:rPr>
          <w:rFonts w:hint="eastAsia" w:ascii="微软雅黑" w:hAnsi="微软雅黑" w:eastAsia="微软雅黑" w:cs="微软雅黑"/>
          <w:color w:val="000000" w:themeColor="text1"/>
          <w:kern w:val="0"/>
          <w:sz w:val="28"/>
          <w:szCs w:val="28"/>
          <w:highlight w:val="none"/>
          <w14:textFill>
            <w14:solidFill>
              <w14:schemeClr w14:val="tx1"/>
            </w14:solidFill>
          </w14:textFill>
        </w:rPr>
        <w:instrText xml:space="preserve">TOC \o "1-2" \h \u </w:instrText>
      </w:r>
      <w:r>
        <w:rPr>
          <w:rFonts w:hint="eastAsia" w:ascii="微软雅黑" w:hAnsi="微软雅黑" w:eastAsia="微软雅黑" w:cs="微软雅黑"/>
          <w:color w:val="000000" w:themeColor="text1"/>
          <w:kern w:val="0"/>
          <w:sz w:val="28"/>
          <w:szCs w:val="28"/>
          <w:highlight w:val="none"/>
          <w14:textFill>
            <w14:solidFill>
              <w14:schemeClr w14:val="tx1"/>
            </w14:solidFill>
          </w14:textFill>
        </w:rPr>
        <w:fldChar w:fldCharType="separate"/>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_Toc4469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8"/>
          <w:highlight w:val="none"/>
        </w:rPr>
        <w:t>一   总 则</w:t>
      </w:r>
      <w:r>
        <w:tab/>
      </w:r>
      <w:r>
        <w:fldChar w:fldCharType="begin"/>
      </w:r>
      <w:r>
        <w:instrText xml:space="preserve"> PAGEREF _Toc4469 \h </w:instrText>
      </w:r>
      <w:r>
        <w:fldChar w:fldCharType="separate"/>
      </w:r>
      <w:r>
        <w:t>1</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_Toc6695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2"/>
          <w:highlight w:val="none"/>
        </w:rPr>
        <w:t>二   招标文件</w:t>
      </w:r>
      <w:r>
        <w:tab/>
      </w:r>
      <w:r>
        <w:fldChar w:fldCharType="begin"/>
      </w:r>
      <w:r>
        <w:instrText xml:space="preserve"> PAGEREF _Toc6695 \h </w:instrText>
      </w:r>
      <w:r>
        <w:fldChar w:fldCharType="separate"/>
      </w:r>
      <w:r>
        <w:t>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_Toc23229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22"/>
          <w:highlight w:val="none"/>
        </w:rPr>
        <w:t>三   投标文件的编制</w:t>
      </w:r>
      <w:r>
        <w:tab/>
      </w:r>
      <w:r>
        <w:fldChar w:fldCharType="begin"/>
      </w:r>
      <w:r>
        <w:instrText xml:space="preserve"> PAGEREF _Toc23229 \h </w:instrText>
      </w:r>
      <w:r>
        <w:fldChar w:fldCharType="separate"/>
      </w:r>
      <w:r>
        <w:t>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_Toc7210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2"/>
          <w:highlight w:val="none"/>
        </w:rPr>
        <w:t>四   投标文件的递交</w:t>
      </w:r>
      <w:r>
        <w:tab/>
      </w:r>
      <w:r>
        <w:fldChar w:fldCharType="begin"/>
      </w:r>
      <w:r>
        <w:instrText xml:space="preserve"> PAGEREF _Toc7210 \h </w:instrText>
      </w:r>
      <w:r>
        <w:fldChar w:fldCharType="separate"/>
      </w:r>
      <w:r>
        <w:t>6</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_Toc21702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2"/>
          <w:highlight w:val="none"/>
        </w:rPr>
        <w:t>五   开标及评标</w:t>
      </w:r>
      <w:r>
        <w:tab/>
      </w:r>
      <w:r>
        <w:fldChar w:fldCharType="begin"/>
      </w:r>
      <w:r>
        <w:instrText xml:space="preserve"> PAGEREF _Toc21702 \h </w:instrText>
      </w:r>
      <w:r>
        <w:fldChar w:fldCharType="separate"/>
      </w:r>
      <w:r>
        <w:t>6</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_Toc24824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2"/>
          <w:highlight w:val="none"/>
        </w:rPr>
        <w:t>六   确定中标</w:t>
      </w:r>
      <w:r>
        <w:tab/>
      </w:r>
      <w:r>
        <w:fldChar w:fldCharType="begin"/>
      </w:r>
      <w:r>
        <w:instrText xml:space="preserve"> PAGEREF _Toc24824 \h </w:instrText>
      </w:r>
      <w:r>
        <w:fldChar w:fldCharType="separate"/>
      </w:r>
      <w:r>
        <w:t>11</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_Toc9441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32"/>
          <w:highlight w:val="none"/>
        </w:rPr>
        <w:t>第2章   投标文件格式</w:t>
      </w:r>
      <w:r>
        <w:tab/>
      </w:r>
      <w:r>
        <w:fldChar w:fldCharType="begin"/>
      </w:r>
      <w:r>
        <w:instrText xml:space="preserve"> PAGEREF _Toc9441 \h </w:instrText>
      </w:r>
      <w:r>
        <w:fldChar w:fldCharType="separate"/>
      </w:r>
      <w:r>
        <w:t>17</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_Toc1563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kern w:val="2"/>
          <w:szCs w:val="24"/>
          <w:highlight w:val="none"/>
        </w:rPr>
        <w:t>第一部分 开标一览表及资格证明文件</w:t>
      </w:r>
      <w:r>
        <w:tab/>
      </w:r>
      <w:r>
        <w:fldChar w:fldCharType="begin"/>
      </w:r>
      <w:r>
        <w:instrText xml:space="preserve"> PAGEREF _Toc1563 \h </w:instrText>
      </w:r>
      <w:r>
        <w:fldChar w:fldCharType="separate"/>
      </w:r>
      <w:r>
        <w:t>17</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_Toc32480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4"/>
          <w:highlight w:val="none"/>
        </w:rPr>
        <w:t>1  开标一览表</w:t>
      </w:r>
      <w:r>
        <w:tab/>
      </w:r>
      <w:r>
        <w:fldChar w:fldCharType="begin"/>
      </w:r>
      <w:r>
        <w:instrText xml:space="preserve"> PAGEREF _Toc32480 \h </w:instrText>
      </w:r>
      <w:r>
        <w:fldChar w:fldCharType="separate"/>
      </w:r>
      <w:r>
        <w:t>18</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_Toc26601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highlight w:val="none"/>
        </w:rPr>
        <w:t xml:space="preserve">2 </w:t>
      </w:r>
      <w:r>
        <w:rPr>
          <w:rFonts w:hint="eastAsia" w:ascii="微软雅黑" w:hAnsi="微软雅黑" w:eastAsia="微软雅黑" w:cs="微软雅黑"/>
          <w:bCs/>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r>
        <w:rPr>
          <w:rFonts w:hint="eastAsia" w:ascii="微软雅黑" w:hAnsi="微软雅黑" w:eastAsia="微软雅黑" w:cs="微软雅黑"/>
          <w:bCs/>
          <w:highlight w:val="none"/>
        </w:rPr>
        <w:t>；</w:t>
      </w:r>
      <w:r>
        <w:tab/>
      </w:r>
      <w:r>
        <w:fldChar w:fldCharType="begin"/>
      </w:r>
      <w:r>
        <w:instrText xml:space="preserve"> PAGEREF _Toc26601 \h </w:instrText>
      </w:r>
      <w:r>
        <w:fldChar w:fldCharType="separate"/>
      </w:r>
      <w:r>
        <w:t>19</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_Toc30899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lang w:val="en-US" w:eastAsia="zh-CN" w:bidi="ar-SA"/>
        </w:rPr>
        <w:t>3  具有独立法人资格或是具有独立承担民事责任能力的其它组织（法人或者非法人组织的营业执照等证明文件扫描件）；</w:t>
      </w:r>
      <w:r>
        <w:tab/>
      </w:r>
      <w:r>
        <w:fldChar w:fldCharType="begin"/>
      </w:r>
      <w:r>
        <w:instrText xml:space="preserve"> PAGEREF _Toc30899 \h </w:instrText>
      </w:r>
      <w:r>
        <w:fldChar w:fldCharType="separate"/>
      </w:r>
      <w:r>
        <w:t>19</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_Toc20692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lang w:val="en-US" w:eastAsia="zh-CN"/>
        </w:rPr>
        <w:t>4</w:t>
      </w:r>
      <w:r>
        <w:rPr>
          <w:rFonts w:hint="eastAsia" w:ascii="微软雅黑" w:hAnsi="微软雅黑" w:eastAsia="微软雅黑" w:cs="微软雅黑"/>
          <w:bCs/>
          <w:kern w:val="0"/>
          <w:szCs w:val="24"/>
          <w:highlight w:val="none"/>
        </w:rPr>
        <w:t xml:space="preserve">  法人投标</w:t>
      </w:r>
      <w:r>
        <w:rPr>
          <w:rFonts w:hint="eastAsia" w:ascii="微软雅黑" w:hAnsi="微软雅黑" w:eastAsia="微软雅黑" w:cs="微软雅黑"/>
          <w:bCs/>
          <w:kern w:val="0"/>
          <w:szCs w:val="24"/>
          <w:highlight w:val="none"/>
          <w:lang w:eastAsia="zh-CN"/>
        </w:rPr>
        <w:t>须</w:t>
      </w:r>
      <w:r>
        <w:rPr>
          <w:rFonts w:hint="eastAsia" w:ascii="微软雅黑" w:hAnsi="微软雅黑" w:eastAsia="微软雅黑" w:cs="微软雅黑"/>
          <w:bCs/>
          <w:kern w:val="0"/>
          <w:szCs w:val="24"/>
          <w:highlight w:val="none"/>
        </w:rPr>
        <w:t>提供法人身份证明</w:t>
      </w:r>
      <w:r>
        <w:rPr>
          <w:rFonts w:hint="eastAsia" w:ascii="微软雅黑" w:hAnsi="微软雅黑" w:eastAsia="微软雅黑" w:cs="微软雅黑"/>
          <w:bCs/>
          <w:kern w:val="0"/>
          <w:szCs w:val="24"/>
          <w:highlight w:val="none"/>
          <w:lang w:eastAsia="zh-CN"/>
        </w:rPr>
        <w:t>及</w:t>
      </w:r>
      <w:r>
        <w:rPr>
          <w:rFonts w:hint="eastAsia" w:ascii="微软雅黑" w:hAnsi="微软雅黑" w:eastAsia="微软雅黑" w:cs="微软雅黑"/>
          <w:bCs/>
          <w:kern w:val="0"/>
          <w:szCs w:val="24"/>
          <w:highlight w:val="none"/>
          <w:lang w:val="en-US" w:eastAsia="zh-CN"/>
        </w:rPr>
        <w:t>法人身份证，被授权委托人须提供法人身份证明、授权委托书及身份证复印件；</w:t>
      </w:r>
      <w:r>
        <w:tab/>
      </w:r>
      <w:r>
        <w:fldChar w:fldCharType="begin"/>
      </w:r>
      <w:r>
        <w:instrText xml:space="preserve"> PAGEREF _Toc20692 \h </w:instrText>
      </w:r>
      <w:r>
        <w:fldChar w:fldCharType="separate"/>
      </w:r>
      <w:r>
        <w:t>20</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_Toc4995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lang w:val="en-US" w:eastAsia="zh-CN"/>
        </w:rPr>
        <w:t>5</w:t>
      </w:r>
      <w:r>
        <w:rPr>
          <w:rFonts w:hint="eastAsia" w:ascii="微软雅黑" w:hAnsi="微软雅黑" w:eastAsia="微软雅黑" w:cs="微软雅黑"/>
          <w:bCs/>
          <w:kern w:val="0"/>
          <w:szCs w:val="24"/>
          <w:highlight w:val="none"/>
          <w:lang w:eastAsia="zh-CN"/>
        </w:rPr>
        <w:t xml:space="preserve">  </w:t>
      </w:r>
      <w:r>
        <w:rPr>
          <w:rFonts w:hint="eastAsia" w:ascii="微软雅黑" w:hAnsi="微软雅黑" w:eastAsia="微软雅黑" w:cs="微软雅黑"/>
          <w:bCs/>
          <w:kern w:val="0"/>
          <w:szCs w:val="24"/>
          <w:highlight w:val="none"/>
          <w:lang w:val="en-US" w:eastAsia="zh-CN"/>
        </w:rPr>
        <w:t>投标单位提供本单位依法缴纳近三个月（任何一个月）的社保证明单位缴费个人明细表</w:t>
      </w:r>
      <w:r>
        <w:rPr>
          <w:rFonts w:hint="eastAsia" w:ascii="微软雅黑" w:hAnsi="微软雅黑" w:eastAsia="微软雅黑" w:cs="微软雅黑"/>
          <w:bCs/>
          <w:kern w:val="0"/>
          <w:szCs w:val="24"/>
          <w:highlight w:val="none"/>
          <w:lang w:eastAsia="zh-CN"/>
        </w:rPr>
        <w:t>；</w:t>
      </w:r>
      <w:r>
        <w:tab/>
      </w:r>
      <w:r>
        <w:fldChar w:fldCharType="begin"/>
      </w:r>
      <w:r>
        <w:instrText xml:space="preserve"> PAGEREF _Toc4995 \h </w:instrText>
      </w:r>
      <w:r>
        <w:fldChar w:fldCharType="separate"/>
      </w:r>
      <w:r>
        <w:t>22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_Toc15264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lang w:val="en-US" w:eastAsia="zh-CN"/>
        </w:rPr>
        <w:t>6</w:t>
      </w:r>
      <w:r>
        <w:rPr>
          <w:rFonts w:hint="eastAsia" w:ascii="微软雅黑" w:hAnsi="微软雅黑" w:eastAsia="微软雅黑" w:cs="微软雅黑"/>
          <w:bCs/>
          <w:kern w:val="0"/>
          <w:szCs w:val="24"/>
          <w:highlight w:val="none"/>
        </w:rPr>
        <w:t xml:space="preserve">  </w:t>
      </w:r>
      <w:r>
        <w:rPr>
          <w:rFonts w:hint="eastAsia" w:ascii="微软雅黑" w:hAnsi="微软雅黑" w:eastAsia="微软雅黑" w:cs="微软雅黑"/>
          <w:bCs/>
          <w:kern w:val="0"/>
          <w:szCs w:val="24"/>
          <w:highlight w:val="none"/>
          <w:lang w:val="en-US" w:eastAsia="zh-CN"/>
        </w:rPr>
        <w:t>提供税务部门出具近三个月（任何一个月）的完税证明，依法免缴的应提供依法免缴的相关证明文件和零申报报表，扫描件</w:t>
      </w:r>
      <w:r>
        <w:rPr>
          <w:rFonts w:hint="eastAsia" w:ascii="微软雅黑" w:hAnsi="微软雅黑" w:eastAsia="微软雅黑" w:cs="微软雅黑"/>
          <w:bCs/>
          <w:kern w:val="0"/>
          <w:szCs w:val="24"/>
          <w:highlight w:val="none"/>
        </w:rPr>
        <w:t>；</w:t>
      </w:r>
      <w:r>
        <w:tab/>
      </w:r>
      <w:r>
        <w:fldChar w:fldCharType="begin"/>
      </w:r>
      <w:r>
        <w:instrText xml:space="preserve"> PAGEREF _Toc15264 \h </w:instrText>
      </w:r>
      <w:r>
        <w:fldChar w:fldCharType="separate"/>
      </w:r>
      <w:r>
        <w:t>22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_Toc2584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highlight w:val="none"/>
          <w:lang w:val="en-US" w:eastAsia="zh-CN"/>
        </w:rPr>
        <w:t>7</w:t>
      </w:r>
      <w:r>
        <w:rPr>
          <w:rFonts w:hint="eastAsia" w:ascii="微软雅黑" w:hAnsi="微软雅黑" w:eastAsia="微软雅黑" w:cs="微软雅黑"/>
          <w:bCs/>
          <w:kern w:val="0"/>
          <w:highlight w:val="none"/>
        </w:rPr>
        <w:t xml:space="preserve">  </w:t>
      </w:r>
      <w:r>
        <w:rPr>
          <w:rFonts w:hint="eastAsia" w:ascii="微软雅黑" w:hAnsi="微软雅黑" w:eastAsia="微软雅黑" w:cs="微软雅黑"/>
          <w:bCs/>
          <w:kern w:val="0"/>
          <w:highlight w:val="none"/>
          <w:lang w:val="en-US" w:eastAsia="zh-CN"/>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r>
        <w:tab/>
      </w:r>
      <w:r>
        <w:fldChar w:fldCharType="begin"/>
      </w:r>
      <w:r>
        <w:instrText xml:space="preserve"> PAGEREF _Toc2584 \h </w:instrText>
      </w:r>
      <w:r>
        <w:fldChar w:fldCharType="separate"/>
      </w:r>
      <w:r>
        <w:t>22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_Toc29364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highlight w:val="none"/>
          <w:lang w:val="en-US" w:eastAsia="zh-CN"/>
        </w:rPr>
        <w:t>8</w:t>
      </w:r>
      <w:r>
        <w:rPr>
          <w:rFonts w:hint="eastAsia" w:ascii="微软雅黑" w:hAnsi="微软雅黑" w:eastAsia="微软雅黑" w:cs="微软雅黑"/>
          <w:bCs/>
          <w:highlight w:val="none"/>
        </w:rPr>
        <w:t xml:space="preserve">  </w:t>
      </w:r>
      <w:r>
        <w:rPr>
          <w:rFonts w:hint="eastAsia" w:ascii="微软雅黑" w:hAnsi="微软雅黑" w:eastAsia="微软雅黑" w:cs="微软雅黑"/>
          <w:bCs/>
          <w:highlight w:val="none"/>
          <w:lang w:val="en-US" w:eastAsia="zh-CN"/>
        </w:rPr>
        <w:t>投标保证金收据扫描件或银行转款证明扫描件或支票扫描件、汇票扫描件；</w:t>
      </w:r>
      <w:r>
        <w:tab/>
      </w:r>
      <w:r>
        <w:fldChar w:fldCharType="begin"/>
      </w:r>
      <w:r>
        <w:instrText xml:space="preserve"> PAGEREF _Toc29364 \h </w:instrText>
      </w:r>
      <w:r>
        <w:fldChar w:fldCharType="separate"/>
      </w:r>
      <w:r>
        <w:t>22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_Toc906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highlight w:val="none"/>
          <w:lang w:val="en-US" w:eastAsia="zh-CN"/>
        </w:rPr>
        <w:t xml:space="preserve">9  </w:t>
      </w:r>
      <w:r>
        <w:rPr>
          <w:rFonts w:hint="eastAsia" w:ascii="微软雅黑" w:hAnsi="微软雅黑" w:eastAsia="微软雅黑" w:cs="微软雅黑"/>
          <w:bCs/>
          <w:highlight w:val="none"/>
        </w:rPr>
        <w:t>参加政府采购活动前3年内在经营活动中没有重大违法记录的书面声明</w:t>
      </w:r>
      <w:r>
        <w:rPr>
          <w:rFonts w:hint="eastAsia" w:ascii="微软雅黑" w:hAnsi="微软雅黑" w:eastAsia="微软雅黑" w:cs="微软雅黑"/>
          <w:bCs/>
          <w:kern w:val="0"/>
          <w:highlight w:val="none"/>
        </w:rPr>
        <w:t>；</w:t>
      </w:r>
      <w:r>
        <w:tab/>
      </w:r>
      <w:r>
        <w:fldChar w:fldCharType="begin"/>
      </w:r>
      <w:r>
        <w:instrText xml:space="preserve"> PAGEREF _Toc906 \h </w:instrText>
      </w:r>
      <w:r>
        <w:fldChar w:fldCharType="separate"/>
      </w:r>
      <w:r>
        <w:t>23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_Toc23799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highlight w:val="none"/>
          <w:lang w:val="en-US" w:eastAsia="zh-CN"/>
        </w:rPr>
        <w:t>10</w:t>
      </w:r>
      <w:r>
        <w:rPr>
          <w:rFonts w:hint="eastAsia" w:ascii="微软雅黑" w:hAnsi="微软雅黑" w:eastAsia="微软雅黑" w:cs="微软雅黑"/>
          <w:bCs/>
          <w:highlight w:val="none"/>
        </w:rPr>
        <w:t xml:space="preserve">  </w:t>
      </w:r>
      <w:r>
        <w:rPr>
          <w:rFonts w:hint="eastAsia" w:ascii="微软雅黑" w:hAnsi="微软雅黑" w:eastAsia="微软雅黑" w:cs="微软雅黑"/>
          <w:bCs/>
          <w:kern w:val="2"/>
          <w:szCs w:val="24"/>
          <w:highlight w:val="none"/>
          <w:lang w:val="en-US" w:eastAsia="zh-CN" w:bidi="ar-SA"/>
        </w:rPr>
        <w:t>提供针对本次项目的反商业贿赂承诺书</w:t>
      </w:r>
      <w:r>
        <w:rPr>
          <w:rFonts w:hint="eastAsia" w:ascii="微软雅黑" w:hAnsi="微软雅黑" w:eastAsia="微软雅黑" w:cs="微软雅黑"/>
          <w:bCs/>
          <w:highlight w:val="none"/>
        </w:rPr>
        <w:t>；</w:t>
      </w:r>
      <w:r>
        <w:tab/>
      </w:r>
      <w:r>
        <w:fldChar w:fldCharType="begin"/>
      </w:r>
      <w:r>
        <w:instrText xml:space="preserve"> PAGEREF _Toc23799 \h </w:instrText>
      </w:r>
      <w:r>
        <w:fldChar w:fldCharType="separate"/>
      </w:r>
      <w:r>
        <w:t>23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_Toc10509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rPr>
        <w:t>12  供应商可提供有利于投标的其他资格证明材料</w:t>
      </w:r>
      <w:r>
        <w:rPr>
          <w:rFonts w:hint="eastAsia" w:ascii="微软雅黑" w:hAnsi="微软雅黑" w:eastAsia="微软雅黑" w:cs="微软雅黑"/>
          <w:bCs/>
          <w:kern w:val="0"/>
          <w:szCs w:val="24"/>
          <w:highlight w:val="none"/>
          <w:lang w:eastAsia="zh-CN"/>
        </w:rPr>
        <w:t>。</w:t>
      </w:r>
      <w:r>
        <w:tab/>
      </w:r>
      <w:r>
        <w:fldChar w:fldCharType="begin"/>
      </w:r>
      <w:r>
        <w:instrText xml:space="preserve"> PAGEREF _Toc10509 \h </w:instrText>
      </w:r>
      <w:r>
        <w:fldChar w:fldCharType="separate"/>
      </w:r>
      <w:r>
        <w:t>23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_Toc1832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kern w:val="2"/>
          <w:szCs w:val="32"/>
        </w:rPr>
        <w:t xml:space="preserve">第二部分 </w:t>
      </w:r>
      <w:r>
        <w:rPr>
          <w:rFonts w:hint="eastAsia" w:ascii="微软雅黑" w:hAnsi="微软雅黑" w:eastAsia="微软雅黑" w:cs="微软雅黑"/>
          <w:kern w:val="2"/>
          <w:szCs w:val="32"/>
          <w:highlight w:val="none"/>
        </w:rPr>
        <w:t>商务及技术文件</w:t>
      </w:r>
      <w:r>
        <w:tab/>
      </w:r>
      <w:r>
        <w:fldChar w:fldCharType="begin"/>
      </w:r>
      <w:r>
        <w:instrText xml:space="preserve"> PAGEREF _Toc1832 \h </w:instrText>
      </w:r>
      <w:r>
        <w:fldChar w:fldCharType="separate"/>
      </w:r>
      <w:r>
        <w:t>24</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_Toc885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4"/>
          <w:highlight w:val="none"/>
        </w:rPr>
        <w:t>1</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投标书</w:t>
      </w:r>
      <w:r>
        <w:tab/>
      </w:r>
      <w:r>
        <w:fldChar w:fldCharType="begin"/>
      </w:r>
      <w:r>
        <w:instrText xml:space="preserve"> PAGEREF _Toc885 \h </w:instrText>
      </w:r>
      <w:r>
        <w:fldChar w:fldCharType="separate"/>
      </w:r>
      <w:r>
        <w:t>25</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_Toc29095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4"/>
          <w:highlight w:val="none"/>
        </w:rPr>
        <w:t>2</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投标分项报价表</w:t>
      </w:r>
      <w:r>
        <w:tab/>
      </w:r>
      <w:r>
        <w:fldChar w:fldCharType="begin"/>
      </w:r>
      <w:r>
        <w:instrText xml:space="preserve"> PAGEREF _Toc29095 \h </w:instrText>
      </w:r>
      <w:r>
        <w:fldChar w:fldCharType="separate"/>
      </w:r>
      <w:r>
        <w:t>26</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_Toc18677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1"/>
          <w:highlight w:val="none"/>
        </w:rPr>
        <w:t>3</w:t>
      </w:r>
      <w:r>
        <w:rPr>
          <w:rFonts w:hint="eastAsia" w:ascii="微软雅黑" w:hAnsi="微软雅黑" w:eastAsia="微软雅黑" w:cs="微软雅黑"/>
          <w:bCs/>
          <w:szCs w:val="21"/>
          <w:highlight w:val="none"/>
          <w:lang w:eastAsia="zh-CN"/>
        </w:rPr>
        <w:t>、</w:t>
      </w:r>
      <w:r>
        <w:rPr>
          <w:rFonts w:hint="eastAsia" w:ascii="微软雅黑" w:hAnsi="微软雅黑" w:eastAsia="微软雅黑" w:cs="微软雅黑"/>
          <w:bCs/>
          <w:szCs w:val="21"/>
          <w:highlight w:val="none"/>
        </w:rPr>
        <w:t>货物说明一览表</w:t>
      </w:r>
      <w:r>
        <w:tab/>
      </w:r>
      <w:r>
        <w:fldChar w:fldCharType="begin"/>
      </w:r>
      <w:r>
        <w:instrText xml:space="preserve"> PAGEREF _Toc18677 \h </w:instrText>
      </w:r>
      <w:r>
        <w:fldChar w:fldCharType="separate"/>
      </w:r>
      <w:r>
        <w:t>27</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_Toc15307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szCs w:val="24"/>
          <w:highlight w:val="none"/>
        </w:rPr>
        <w:t>4</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技术规格偏离表</w:t>
      </w:r>
      <w:r>
        <w:tab/>
      </w:r>
      <w:r>
        <w:fldChar w:fldCharType="begin"/>
      </w:r>
      <w:r>
        <w:instrText xml:space="preserve"> PAGEREF _Toc15307 \h </w:instrText>
      </w:r>
      <w:r>
        <w:fldChar w:fldCharType="separate"/>
      </w:r>
      <w:r>
        <w:t>28</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_Toc7605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4"/>
          <w:highlight w:val="none"/>
        </w:rPr>
        <w:t>5</w:t>
      </w:r>
      <w:r>
        <w:rPr>
          <w:rFonts w:hint="eastAsia" w:ascii="微软雅黑" w:hAnsi="微软雅黑" w:eastAsia="微软雅黑" w:cs="微软雅黑"/>
          <w:bCs/>
          <w:kern w:val="2"/>
          <w:szCs w:val="24"/>
          <w:highlight w:val="none"/>
          <w:lang w:eastAsia="zh-CN"/>
        </w:rPr>
        <w:t>、</w:t>
      </w:r>
      <w:r>
        <w:rPr>
          <w:rFonts w:hint="eastAsia" w:ascii="微软雅黑" w:hAnsi="微软雅黑" w:eastAsia="微软雅黑" w:cs="微软雅黑"/>
          <w:bCs/>
          <w:kern w:val="2"/>
          <w:szCs w:val="24"/>
          <w:highlight w:val="none"/>
        </w:rPr>
        <w:t>商务条款偏离表</w:t>
      </w:r>
      <w:r>
        <w:tab/>
      </w:r>
      <w:r>
        <w:fldChar w:fldCharType="begin"/>
      </w:r>
      <w:r>
        <w:instrText xml:space="preserve"> PAGEREF _Toc7605 \h </w:instrText>
      </w:r>
      <w:r>
        <w:fldChar w:fldCharType="separate"/>
      </w:r>
      <w:r>
        <w:t>29</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_Toc6819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2"/>
          <w:highlight w:val="none"/>
        </w:rPr>
        <w:t xml:space="preserve">6-1  </w:t>
      </w:r>
      <w:r>
        <w:rPr>
          <w:rFonts w:hint="eastAsia" w:ascii="微软雅黑" w:hAnsi="微软雅黑" w:eastAsia="微软雅黑" w:cs="微软雅黑"/>
          <w:bCs/>
          <w:szCs w:val="22"/>
          <w:highlight w:val="none"/>
        </w:rPr>
        <w:t>中小企业声明函</w:t>
      </w:r>
      <w:r>
        <w:tab/>
      </w:r>
      <w:r>
        <w:fldChar w:fldCharType="begin"/>
      </w:r>
      <w:r>
        <w:instrText xml:space="preserve"> PAGEREF _Toc6819 \h </w:instrText>
      </w:r>
      <w:r>
        <w:fldChar w:fldCharType="separate"/>
      </w:r>
      <w:r>
        <w:t>30</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_Toc1539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4"/>
          <w:highlight w:val="none"/>
        </w:rPr>
        <w:t>6-2  残疾人福利性单位声明函</w:t>
      </w:r>
      <w:r>
        <w:tab/>
      </w:r>
      <w:r>
        <w:fldChar w:fldCharType="begin"/>
      </w:r>
      <w:r>
        <w:instrText xml:space="preserve"> PAGEREF _Toc1539 \h </w:instrText>
      </w:r>
      <w:r>
        <w:fldChar w:fldCharType="separate"/>
      </w:r>
      <w:r>
        <w:t>31</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_Toc32471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4"/>
          <w:highlight w:val="none"/>
        </w:rPr>
        <w:t>7</w:t>
      </w:r>
      <w:r>
        <w:rPr>
          <w:rFonts w:hint="eastAsia" w:ascii="微软雅黑" w:hAnsi="微软雅黑" w:eastAsia="微软雅黑" w:cs="微软雅黑"/>
          <w:bCs/>
          <w:kern w:val="2"/>
          <w:szCs w:val="24"/>
          <w:highlight w:val="none"/>
          <w:lang w:eastAsia="zh-CN"/>
        </w:rPr>
        <w:t>、</w:t>
      </w:r>
      <w:r>
        <w:rPr>
          <w:rFonts w:hint="eastAsia" w:ascii="微软雅黑" w:hAnsi="微软雅黑" w:eastAsia="微软雅黑" w:cs="微软雅黑"/>
          <w:bCs/>
          <w:kern w:val="2"/>
          <w:szCs w:val="24"/>
          <w:highlight w:val="none"/>
        </w:rPr>
        <w:t>供应商关联单位的说明</w:t>
      </w:r>
      <w:r>
        <w:tab/>
      </w:r>
      <w:r>
        <w:fldChar w:fldCharType="begin"/>
      </w:r>
      <w:r>
        <w:instrText xml:space="preserve"> PAGEREF _Toc32471 \h </w:instrText>
      </w:r>
      <w:r>
        <w:fldChar w:fldCharType="separate"/>
      </w:r>
      <w:r>
        <w:t>31</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_Toc32563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2"/>
          <w:szCs w:val="24"/>
          <w:highlight w:val="none"/>
        </w:rPr>
        <w:t>8</w:t>
      </w:r>
      <w:r>
        <w:rPr>
          <w:rFonts w:hint="eastAsia" w:ascii="微软雅黑" w:hAnsi="微软雅黑" w:eastAsia="微软雅黑" w:cs="微软雅黑"/>
          <w:bCs/>
          <w:kern w:val="2"/>
          <w:szCs w:val="24"/>
          <w:highlight w:val="none"/>
          <w:lang w:eastAsia="zh-CN"/>
        </w:rPr>
        <w:t>、</w:t>
      </w:r>
      <w:r>
        <w:rPr>
          <w:rFonts w:hint="eastAsia" w:ascii="微软雅黑" w:hAnsi="微软雅黑" w:eastAsia="微软雅黑" w:cs="微软雅黑"/>
          <w:bCs/>
          <w:kern w:val="2"/>
          <w:szCs w:val="24"/>
          <w:highlight w:val="none"/>
        </w:rPr>
        <w:t>供应商可提供有利于投标的其他资格证明材料</w:t>
      </w:r>
      <w:r>
        <w:tab/>
      </w:r>
      <w:r>
        <w:fldChar w:fldCharType="begin"/>
      </w:r>
      <w:r>
        <w:instrText xml:space="preserve"> PAGEREF _Toc32563 \h </w:instrText>
      </w:r>
      <w:r>
        <w:fldChar w:fldCharType="separate"/>
      </w:r>
      <w:r>
        <w:t>31</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3"/>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_Toc10891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0"/>
          <w:szCs w:val="24"/>
          <w:highlight w:val="none"/>
        </w:rPr>
        <w:t>9</w:t>
      </w:r>
      <w:r>
        <w:rPr>
          <w:rFonts w:hint="eastAsia" w:ascii="微软雅黑" w:hAnsi="微软雅黑" w:eastAsia="微软雅黑" w:cs="微软雅黑"/>
          <w:bCs/>
          <w:kern w:val="0"/>
          <w:szCs w:val="24"/>
          <w:highlight w:val="none"/>
          <w:lang w:eastAsia="zh-CN"/>
        </w:rPr>
        <w:t>、</w:t>
      </w:r>
      <w:r>
        <w:rPr>
          <w:rFonts w:hint="eastAsia" w:ascii="微软雅黑" w:hAnsi="微软雅黑" w:eastAsia="微软雅黑" w:cs="微软雅黑"/>
          <w:bCs/>
          <w:kern w:val="0"/>
          <w:szCs w:val="24"/>
          <w:highlight w:val="none"/>
        </w:rPr>
        <w:t>投标文件格式范本</w:t>
      </w:r>
      <w:r>
        <w:tab/>
      </w:r>
      <w:r>
        <w:fldChar w:fldCharType="begin"/>
      </w:r>
      <w:r>
        <w:instrText xml:space="preserve"> PAGEREF _Toc10891 \h </w:instrText>
      </w:r>
      <w:r>
        <w:fldChar w:fldCharType="separate"/>
      </w:r>
      <w:r>
        <w:t>32</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_Toc7277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rPr>
        <w:t xml:space="preserve">第3章 </w:t>
      </w:r>
      <w:r>
        <w:rPr>
          <w:rFonts w:hint="eastAsia" w:ascii="微软雅黑" w:hAnsi="微软雅黑" w:eastAsia="微软雅黑" w:cs="微软雅黑"/>
          <w:highlight w:val="none"/>
        </w:rPr>
        <w:t>投标邀请</w:t>
      </w:r>
      <w:r>
        <w:tab/>
      </w:r>
      <w:r>
        <w:fldChar w:fldCharType="begin"/>
      </w:r>
      <w:r>
        <w:instrText xml:space="preserve"> PAGEREF _Toc7277 \h </w:instrText>
      </w:r>
      <w:r>
        <w:fldChar w:fldCharType="separate"/>
      </w:r>
      <w:r>
        <w:t>34</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_Toc32195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rPr>
        <w:t xml:space="preserve">第4章 </w:t>
      </w:r>
      <w:r>
        <w:rPr>
          <w:rFonts w:hint="eastAsia" w:ascii="微软雅黑" w:hAnsi="微软雅黑" w:eastAsia="微软雅黑" w:cs="微软雅黑"/>
          <w:highlight w:val="none"/>
        </w:rPr>
        <w:t>供应商须知资料表</w:t>
      </w:r>
      <w:r>
        <w:tab/>
      </w:r>
      <w:r>
        <w:fldChar w:fldCharType="begin"/>
      </w:r>
      <w:r>
        <w:instrText xml:space="preserve"> PAGEREF _Toc32195 \h </w:instrText>
      </w:r>
      <w:r>
        <w:fldChar w:fldCharType="separate"/>
      </w:r>
      <w:r>
        <w:t>38</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_Toc32205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bCs/>
          <w:kern w:val="44"/>
          <w:szCs w:val="28"/>
        </w:rPr>
        <w:t xml:space="preserve">第5章 </w:t>
      </w:r>
      <w:r>
        <w:rPr>
          <w:rFonts w:hint="eastAsia" w:ascii="微软雅黑" w:hAnsi="微软雅黑" w:eastAsia="微软雅黑" w:cs="微软雅黑"/>
          <w:bCs/>
          <w:kern w:val="44"/>
          <w:szCs w:val="28"/>
          <w:highlight w:val="none"/>
        </w:rPr>
        <w:t>货物需求一览表及技术规格</w:t>
      </w:r>
      <w:r>
        <w:tab/>
      </w:r>
      <w:r>
        <w:fldChar w:fldCharType="begin"/>
      </w:r>
      <w:r>
        <w:instrText xml:space="preserve"> PAGEREF _Toc32205 \h </w:instrText>
      </w:r>
      <w:r>
        <w:fldChar w:fldCharType="separate"/>
      </w:r>
      <w:r>
        <w:t>43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_Toc20607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szCs w:val="32"/>
          <w:highlight w:val="none"/>
        </w:rPr>
        <w:t>第6章  评标方法和标准</w:t>
      </w:r>
      <w:r>
        <w:tab/>
      </w:r>
      <w:r>
        <w:fldChar w:fldCharType="begin"/>
      </w:r>
      <w:r>
        <w:instrText xml:space="preserve"> PAGEREF _Toc20607 \h </w:instrText>
      </w:r>
      <w:r>
        <w:fldChar w:fldCharType="separate"/>
      </w:r>
      <w:r>
        <w:t>53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begin"/>
      </w:r>
      <w:r>
        <w:rPr>
          <w:rFonts w:hint="eastAsia" w:ascii="微软雅黑" w:hAnsi="微软雅黑" w:eastAsia="微软雅黑" w:cs="微软雅黑"/>
          <w:kern w:val="0"/>
          <w:szCs w:val="28"/>
          <w:highlight w:val="none"/>
        </w:rPr>
        <w:instrText xml:space="preserve"> HYPERLINK \l _Toc3549 </w:instrText>
      </w:r>
      <w:r>
        <w:rPr>
          <w:rFonts w:hint="eastAsia" w:ascii="微软雅黑" w:hAnsi="微软雅黑" w:eastAsia="微软雅黑" w:cs="微软雅黑"/>
          <w:kern w:val="0"/>
          <w:szCs w:val="28"/>
          <w:highlight w:val="none"/>
        </w:rPr>
        <w:fldChar w:fldCharType="separate"/>
      </w:r>
      <w:r>
        <w:rPr>
          <w:rFonts w:hint="eastAsia" w:ascii="微软雅黑" w:hAnsi="微软雅黑" w:eastAsia="微软雅黑" w:cs="微软雅黑"/>
          <w:highlight w:val="none"/>
        </w:rPr>
        <w:t>第7章 政府采购合同</w:t>
      </w:r>
      <w:r>
        <w:tab/>
      </w:r>
      <w:r>
        <w:fldChar w:fldCharType="begin"/>
      </w:r>
      <w:r>
        <w:instrText xml:space="preserve"> PAGEREF _Toc3549 \h </w:instrText>
      </w:r>
      <w:r>
        <w:fldChar w:fldCharType="separate"/>
      </w:r>
      <w:r>
        <w:t>63</w:t>
      </w:r>
      <w:r>
        <w:fldChar w:fldCharType="end"/>
      </w: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tabs>
          <w:tab w:val="right" w:leader="dot" w:pos="8311"/>
        </w:tabs>
        <w:spacing w:line="360" w:lineRule="auto"/>
      </w:pPr>
    </w:p>
    <w:p>
      <w:pPr>
        <w:pStyle w:val="21"/>
        <w:keepNext w:val="0"/>
        <w:keepLines w:val="0"/>
        <w:pageBreakBefore w:val="0"/>
        <w:widowControl w:val="0"/>
        <w:tabs>
          <w:tab w:val="right" w:leader="dot" w:pos="831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000000" w:themeColor="text1"/>
          <w:kern w:val="0"/>
          <w:szCs w:val="28"/>
          <w:highlight w:val="none"/>
          <w14:textFill>
            <w14:solidFill>
              <w14:schemeClr w14:val="tx1"/>
            </w14:solidFill>
          </w14:textFill>
        </w:rPr>
      </w:pPr>
      <w:r>
        <w:rPr>
          <w:rFonts w:hint="eastAsia" w:ascii="微软雅黑" w:hAnsi="微软雅黑" w:eastAsia="微软雅黑" w:cs="微软雅黑"/>
          <w:color w:val="000000" w:themeColor="text1"/>
          <w:kern w:val="0"/>
          <w:szCs w:val="28"/>
          <w:highlight w:val="none"/>
          <w14:textFill>
            <w14:solidFill>
              <w14:schemeClr w14:val="tx1"/>
            </w14:solidFill>
          </w14:textFill>
        </w:rPr>
        <w:fldChar w:fldCharType="end"/>
      </w:r>
    </w:p>
    <w:p>
      <w:pPr>
        <w:pStyle w:val="21"/>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000000" w:themeColor="text1"/>
          <w:kern w:val="0"/>
          <w:szCs w:val="28"/>
          <w:highlight w:val="none"/>
          <w14:textFill>
            <w14:solidFill>
              <w14:schemeClr w14:val="tx1"/>
            </w14:solidFill>
          </w14:textFill>
        </w:rPr>
      </w:pPr>
    </w:p>
    <w:p>
      <w:pPr>
        <w:pStyle w:val="21"/>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32"/>
          <w:szCs w:val="32"/>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pStyle w:val="21"/>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第1章  供应商须知</w:t>
      </w:r>
    </w:p>
    <w:p>
      <w:pPr>
        <w:pStyle w:val="4"/>
        <w:spacing w:before="0"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bookmarkStart w:id="0" w:name="_Toc520356143"/>
      <w:bookmarkStart w:id="1" w:name="_Toc216582805"/>
      <w:bookmarkStart w:id="2" w:name="_Toc515647757"/>
      <w:bookmarkStart w:id="3" w:name="_Toc16706"/>
      <w:bookmarkStart w:id="4" w:name="_Toc5597"/>
      <w:bookmarkStart w:id="5" w:name="_Toc21215"/>
      <w:bookmarkStart w:id="6" w:name="_Toc4469"/>
      <w:bookmarkStart w:id="7" w:name="_Toc21015"/>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一   </w:t>
      </w:r>
      <w:bookmarkEnd w:id="0"/>
      <w:bookmarkEnd w:id="1"/>
      <w:bookmarkEnd w:id="2"/>
      <w:r>
        <w:rPr>
          <w:rFonts w:hint="eastAsia" w:ascii="微软雅黑" w:hAnsi="微软雅黑" w:eastAsia="微软雅黑" w:cs="微软雅黑"/>
          <w:color w:val="000000" w:themeColor="text1"/>
          <w:sz w:val="28"/>
          <w:szCs w:val="28"/>
          <w:highlight w:val="none"/>
          <w14:textFill>
            <w14:solidFill>
              <w14:schemeClr w14:val="tx1"/>
            </w14:solidFill>
          </w14:textFill>
        </w:rPr>
        <w:t>总 则</w:t>
      </w:r>
      <w:bookmarkEnd w:id="3"/>
      <w:bookmarkEnd w:id="4"/>
      <w:bookmarkEnd w:id="5"/>
      <w:bookmarkEnd w:id="6"/>
      <w:bookmarkEnd w:id="7"/>
    </w:p>
    <w:p>
      <w:pPr>
        <w:pStyle w:val="5"/>
        <w:pageBreakBefore w:val="0"/>
        <w:kinsoku/>
        <w:wordWrap/>
        <w:overflowPunct/>
        <w:topLinePunct w:val="0"/>
        <w:bidi w:val="0"/>
        <w:spacing w:before="0" w:after="0" w:line="400" w:lineRule="exact"/>
        <w:textAlignment w:val="auto"/>
        <w:outlineLvl w:val="1"/>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 w:name="_Toc1120"/>
      <w:bookmarkStart w:id="9" w:name="_Toc515647758"/>
      <w:bookmarkStart w:id="10" w:name="_Toc32189"/>
      <w:bookmarkStart w:id="11" w:name="_Toc32623"/>
      <w:bookmarkStart w:id="12" w:name="_Toc520356144"/>
      <w:r>
        <w:rPr>
          <w:rFonts w:hint="eastAsia" w:ascii="微软雅黑" w:hAnsi="微软雅黑" w:eastAsia="微软雅黑" w:cs="微软雅黑"/>
          <w:color w:val="000000" w:themeColor="text1"/>
          <w:sz w:val="22"/>
          <w:szCs w:val="22"/>
          <w:highlight w:val="none"/>
          <w:u w:val="none"/>
          <w14:textFill>
            <w14:solidFill>
              <w14:schemeClr w14:val="tx1"/>
            </w14:solidFill>
          </w14:textFill>
        </w:rPr>
        <w:t>1.采购人、采购代理机构及</w:t>
      </w:r>
      <w:bookmarkEnd w:id="8"/>
      <w:bookmarkEnd w:id="9"/>
      <w:bookmarkEnd w:id="10"/>
      <w:bookmarkEnd w:id="11"/>
      <w:bookmarkEnd w:id="12"/>
      <w:r>
        <w:rPr>
          <w:rFonts w:hint="eastAsia" w:ascii="微软雅黑" w:hAnsi="微软雅黑" w:eastAsia="微软雅黑" w:cs="微软雅黑"/>
          <w:color w:val="000000" w:themeColor="text1"/>
          <w:sz w:val="22"/>
          <w:szCs w:val="22"/>
          <w:highlight w:val="none"/>
          <w:u w:val="none"/>
          <w14:textFill>
            <w14:solidFill>
              <w14:schemeClr w14:val="tx1"/>
            </w14:solidFill>
          </w14:textFill>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本项目的采购人见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采购代理机构：是指在集中采购机构或从事采购代理业务的社会中介机构。本项目的采购代理机构见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1.3.4   符合</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1.3.5   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中未写明允许采购进口产品，如供应商所投产品为进口产品，其投标将被认定为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1.3.6  若</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中写明专门面向中小企业采购的，如供应商为非中小企业且所投产品为非中小企业产品，其投标将被认定为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     如</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1.4.8   对联合体投标的其他资格要求见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    单位负责人为同一人或者存在直接控股、管理关系的不同供应商，其相关投标将被认定为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供应商在投标过程中不得向采购人提供、给予任何有价值的物品，影响其正常决策行为。一经发现，其将被认定为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outlineLvl w:val="1"/>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3" w:name="_Toc12139"/>
      <w:bookmarkStart w:id="14" w:name="_Toc515647759"/>
      <w:bookmarkStart w:id="15" w:name="_Toc5286"/>
      <w:bookmarkStart w:id="16" w:name="_Toc4067"/>
      <w:r>
        <w:rPr>
          <w:rFonts w:hint="eastAsia" w:ascii="微软雅黑" w:hAnsi="微软雅黑" w:eastAsia="微软雅黑" w:cs="微软雅黑"/>
          <w:color w:val="000000" w:themeColor="text1"/>
          <w:sz w:val="22"/>
          <w:szCs w:val="22"/>
          <w:highlight w:val="none"/>
          <w:u w:val="none"/>
          <w14:textFill>
            <w14:solidFill>
              <w14:schemeClr w14:val="tx1"/>
            </w14:solidFill>
          </w14:textFill>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    项目预算金额和分项或分包最高限价</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见供应商须知资料表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2.3    供应商报价超过招标文件规定的预算金额或者分项、分包最高限价的，其投标将被认定为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outlineLvl w:val="1"/>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7" w:name="_Toc520356145"/>
      <w:bookmarkStart w:id="18" w:name="_Toc20526"/>
      <w:bookmarkStart w:id="19" w:name="_Toc15936"/>
      <w:bookmarkStart w:id="20" w:name="_Toc4840"/>
      <w:bookmarkStart w:id="21" w:name="_Toc515647760"/>
      <w:r>
        <w:rPr>
          <w:rFonts w:hint="eastAsia" w:ascii="微软雅黑" w:hAnsi="微软雅黑" w:eastAsia="微软雅黑" w:cs="微软雅黑"/>
          <w:color w:val="000000" w:themeColor="text1"/>
          <w:sz w:val="22"/>
          <w:szCs w:val="22"/>
          <w:highlight w:val="none"/>
          <w:u w:val="none"/>
          <w14:textFill>
            <w14:solidFill>
              <w14:schemeClr w14:val="tx1"/>
            </w14:solidFill>
          </w14:textFill>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不论投标的结果如何，供应商应承担所有与准备和参加投标有关的费用。</w:t>
      </w:r>
    </w:p>
    <w:p>
      <w:pPr>
        <w:pStyle w:val="5"/>
        <w:pageBreakBefore w:val="0"/>
        <w:kinsoku/>
        <w:wordWrap/>
        <w:overflowPunct/>
        <w:topLinePunct w:val="0"/>
        <w:bidi w:val="0"/>
        <w:spacing w:before="0" w:after="0" w:line="400" w:lineRule="exact"/>
        <w:textAlignment w:val="auto"/>
        <w:outlineLvl w:val="1"/>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 w:name="_Toc22810"/>
      <w:bookmarkStart w:id="23" w:name="_Toc515647761"/>
      <w:bookmarkStart w:id="24" w:name="_Toc6116"/>
      <w:bookmarkStart w:id="25" w:name="_Toc4463"/>
      <w:r>
        <w:rPr>
          <w:rFonts w:hint="eastAsia" w:ascii="微软雅黑" w:hAnsi="微软雅黑" w:eastAsia="微软雅黑" w:cs="微软雅黑"/>
          <w:color w:val="000000" w:themeColor="text1"/>
          <w:sz w:val="22"/>
          <w:szCs w:val="22"/>
          <w:highlight w:val="none"/>
          <w:u w:val="none"/>
          <w14:textFill>
            <w14:solidFill>
              <w14:schemeClr w14:val="tx1"/>
            </w14:solidFill>
          </w14:textFill>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6" w:name="_Toc6695"/>
      <w:bookmarkStart w:id="27" w:name="_Toc4365"/>
      <w:bookmarkStart w:id="28" w:name="_Toc515647762"/>
      <w:bookmarkStart w:id="29" w:name="_Toc21566"/>
      <w:bookmarkStart w:id="30" w:name="_Toc25381"/>
      <w:bookmarkStart w:id="31" w:name="_Toc520356146"/>
      <w:bookmarkStart w:id="32" w:name="_Toc216582806"/>
      <w:bookmarkStart w:id="33" w:name="_Toc6382"/>
      <w:r>
        <w:rPr>
          <w:rFonts w:hint="eastAsia" w:ascii="微软雅黑" w:hAnsi="微软雅黑" w:eastAsia="微软雅黑" w:cs="微软雅黑"/>
          <w:color w:val="000000" w:themeColor="text1"/>
          <w:sz w:val="22"/>
          <w:szCs w:val="22"/>
          <w:highlight w:val="none"/>
          <w14:textFill>
            <w14:solidFill>
              <w14:schemeClr w14:val="tx1"/>
            </w14:solidFill>
          </w14:textFill>
        </w:rPr>
        <w:t>二   招标文件</w:t>
      </w:r>
      <w:bookmarkEnd w:id="26"/>
      <w:bookmarkEnd w:id="27"/>
      <w:bookmarkEnd w:id="28"/>
      <w:bookmarkEnd w:id="29"/>
      <w:bookmarkEnd w:id="30"/>
      <w:bookmarkEnd w:id="31"/>
      <w:bookmarkEnd w:id="32"/>
      <w:bookmarkEnd w:id="33"/>
    </w:p>
    <w:p>
      <w:pPr>
        <w:pStyle w:val="5"/>
        <w:pageBreakBefore w:val="0"/>
        <w:kinsoku/>
        <w:wordWrap/>
        <w:overflowPunct/>
        <w:topLinePunct w:val="0"/>
        <w:bidi w:val="0"/>
        <w:spacing w:before="0" w:after="0" w:line="400" w:lineRule="exact"/>
        <w:textAlignment w:val="auto"/>
        <w:outlineLvl w:val="1"/>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34" w:name="_Toc515647763"/>
      <w:bookmarkStart w:id="35" w:name="_Toc25000"/>
      <w:bookmarkStart w:id="36" w:name="_Toc520356147"/>
      <w:bookmarkStart w:id="37" w:name="_Toc25743"/>
      <w:bookmarkStart w:id="38" w:name="_Toc14084"/>
      <w:r>
        <w:rPr>
          <w:rFonts w:hint="eastAsia" w:ascii="微软雅黑" w:hAnsi="微软雅黑" w:eastAsia="微软雅黑" w:cs="微软雅黑"/>
          <w:color w:val="000000" w:themeColor="text1"/>
          <w:sz w:val="22"/>
          <w:szCs w:val="22"/>
          <w:highlight w:val="none"/>
          <w:u w:val="none"/>
          <w14:textFill>
            <w14:solidFill>
              <w14:schemeClr w14:val="tx1"/>
            </w14:solidFill>
          </w14:textFill>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招标文件分为三册共7章，内容如下：</w:t>
      </w:r>
    </w:p>
    <w:p>
      <w:pPr>
        <w:pageBreakBefore w:val="0"/>
        <w:kinsoku/>
        <w:wordWrap/>
        <w:overflowPunct/>
        <w:topLinePunct w:val="0"/>
        <w:bidi w:val="0"/>
        <w:spacing w:line="400" w:lineRule="exact"/>
        <w:ind w:left="1064" w:leftChars="428" w:hanging="165" w:hangingChars="75"/>
        <w:textAlignment w:val="auto"/>
        <w:outlineLvl w:val="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outlineLvl w:val="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政府采购合同格式</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39" w:name="_Toc515904805"/>
      <w:bookmarkStart w:id="40" w:name="_Toc520356148"/>
      <w:bookmarkStart w:id="41" w:name="_Toc28810"/>
      <w:bookmarkStart w:id="42" w:name="_Toc26044"/>
      <w:bookmarkStart w:id="43" w:name="_Toc9232"/>
      <w:r>
        <w:rPr>
          <w:rFonts w:hint="eastAsia" w:ascii="微软雅黑" w:hAnsi="微软雅黑" w:eastAsia="微软雅黑" w:cs="微软雅黑"/>
          <w:color w:val="000000" w:themeColor="text1"/>
          <w:sz w:val="22"/>
          <w:szCs w:val="22"/>
          <w:highlight w:val="none"/>
          <w:u w:val="none"/>
          <w14:textFill>
            <w14:solidFill>
              <w14:schemeClr w14:val="tx1"/>
            </w14:solidFill>
          </w14:textFill>
        </w:rPr>
        <w:t>6.招标文件的澄清</w:t>
      </w:r>
      <w:bookmarkEnd w:id="39"/>
      <w:bookmarkEnd w:id="40"/>
      <w:r>
        <w:rPr>
          <w:rFonts w:hint="eastAsia" w:ascii="微软雅黑" w:hAnsi="微软雅黑" w:eastAsia="微软雅黑" w:cs="微软雅黑"/>
          <w:color w:val="000000" w:themeColor="text1"/>
          <w:sz w:val="22"/>
          <w:szCs w:val="22"/>
          <w:highlight w:val="none"/>
          <w:u w:val="none"/>
          <w14:textFill>
            <w14:solidFill>
              <w14:schemeClr w14:val="tx1"/>
            </w14:solidFill>
          </w14:textFill>
        </w:rPr>
        <w:t>与修改</w:t>
      </w:r>
      <w:bookmarkEnd w:id="41"/>
      <w:bookmarkEnd w:id="42"/>
      <w:bookmarkEnd w:id="43"/>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6.1    为了保证对招标文件的澄清和修改满足法律的时限要求，任何要求对招标文件进行澄清的供应商，均应在投标截止期十五日前，以书面形式将澄清要求通知采购人或采购代理机构。</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44" w:name="_Toc515904806"/>
      <w:bookmarkStart w:id="45" w:name="_Toc520356149"/>
      <w:bookmarkStart w:id="46" w:name="_Ref467378678"/>
      <w:r>
        <w:rPr>
          <w:rFonts w:hint="eastAsia" w:ascii="微软雅黑" w:hAnsi="微软雅黑" w:eastAsia="微软雅黑" w:cs="微软雅黑"/>
          <w:color w:val="000000" w:themeColor="text1"/>
          <w:sz w:val="22"/>
          <w:szCs w:val="22"/>
          <w:highlight w:val="none"/>
          <w14:textFill>
            <w14:solidFill>
              <w14:schemeClr w14:val="tx1"/>
            </w14:solidFill>
          </w14:textFill>
        </w:rPr>
        <w:t>6.2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采购人可主动地或在解答供应商提出的澄清问题时对招标文件进行澄清或修改。采购代理机构将以发布澄清（更正）公告的方式，澄清或修改招标文件，澄清或修改内容作为招标文件的组成部分。</w:t>
      </w:r>
    </w:p>
    <w:p>
      <w:pPr>
        <w:pStyle w:val="8"/>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47" w:name="_Toc14569"/>
      <w:bookmarkStart w:id="48" w:name="_Toc25635"/>
      <w:bookmarkStart w:id="49" w:name="_Toc17311"/>
      <w:r>
        <w:rPr>
          <w:rFonts w:hint="eastAsia" w:ascii="微软雅黑" w:hAnsi="微软雅黑" w:eastAsia="微软雅黑" w:cs="微软雅黑"/>
          <w:color w:val="000000" w:themeColor="text1"/>
          <w:sz w:val="22"/>
          <w:szCs w:val="22"/>
          <w:highlight w:val="none"/>
          <w:u w:val="none"/>
          <w14:textFill>
            <w14:solidFill>
              <w14:schemeClr w14:val="tx1"/>
            </w14:solidFill>
          </w14:textFill>
        </w:rPr>
        <w:t>7</w:t>
      </w:r>
      <w:bookmarkEnd w:id="44"/>
      <w:bookmarkEnd w:id="45"/>
      <w:bookmarkEnd w:id="46"/>
      <w:r>
        <w:rPr>
          <w:rFonts w:hint="eastAsia" w:ascii="微软雅黑" w:hAnsi="微软雅黑" w:eastAsia="微软雅黑" w:cs="微软雅黑"/>
          <w:color w:val="000000" w:themeColor="text1"/>
          <w:sz w:val="22"/>
          <w:szCs w:val="22"/>
          <w:highlight w:val="none"/>
          <w:u w:val="none"/>
          <w14:textFill>
            <w14:solidFill>
              <w14:schemeClr w14:val="tx1"/>
            </w14:solidFill>
          </w14:textFill>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50" w:name="_Toc516367020"/>
      <w:bookmarkStart w:id="51" w:name="_Toc30808"/>
      <w:bookmarkStart w:id="52" w:name="_Toc515647766"/>
      <w:bookmarkStart w:id="53" w:name="_Toc23138"/>
      <w:bookmarkStart w:id="54" w:name="_Toc216582807"/>
      <w:bookmarkStart w:id="55" w:name="_Toc7636"/>
      <w:bookmarkStart w:id="56" w:name="_Toc23229"/>
      <w:bookmarkStart w:id="57" w:name="_Toc520356150"/>
      <w:bookmarkStart w:id="58" w:name="_Toc20381"/>
      <w:r>
        <w:rPr>
          <w:rFonts w:hint="eastAsia" w:ascii="微软雅黑" w:hAnsi="微软雅黑" w:eastAsia="微软雅黑" w:cs="微软雅黑"/>
          <w:color w:val="000000" w:themeColor="text1"/>
          <w:sz w:val="22"/>
          <w:szCs w:val="22"/>
          <w:highlight w:val="none"/>
          <w14:textFill>
            <w14:solidFill>
              <w14:schemeClr w14:val="tx1"/>
            </w14:solidFill>
          </w14:textFill>
        </w:rPr>
        <w:t>三   投标文件</w:t>
      </w:r>
      <w:bookmarkEnd w:id="50"/>
      <w:r>
        <w:rPr>
          <w:rFonts w:hint="eastAsia" w:ascii="微软雅黑" w:hAnsi="微软雅黑" w:eastAsia="微软雅黑" w:cs="微软雅黑"/>
          <w:color w:val="000000" w:themeColor="text1"/>
          <w:sz w:val="22"/>
          <w:szCs w:val="22"/>
          <w:highlight w:val="none"/>
          <w14:textFill>
            <w14:solidFill>
              <w14:schemeClr w14:val="tx1"/>
            </w14:solidFill>
          </w14:textFill>
        </w:rPr>
        <w:t>的编制</w:t>
      </w:r>
      <w:bookmarkEnd w:id="51"/>
      <w:bookmarkEnd w:id="52"/>
      <w:bookmarkEnd w:id="53"/>
      <w:bookmarkEnd w:id="54"/>
      <w:bookmarkEnd w:id="55"/>
      <w:bookmarkEnd w:id="56"/>
      <w:bookmarkEnd w:id="57"/>
      <w:bookmarkEnd w:id="58"/>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59" w:name="_Toc515647767"/>
      <w:bookmarkStart w:id="60" w:name="_Toc7786"/>
      <w:bookmarkStart w:id="61" w:name="_Toc3553"/>
      <w:bookmarkStart w:id="62" w:name="_Toc30852"/>
      <w:bookmarkStart w:id="63" w:name="_Toc516367021"/>
      <w:bookmarkStart w:id="64" w:name="_Toc520356151"/>
      <w:r>
        <w:rPr>
          <w:rFonts w:hint="eastAsia" w:ascii="微软雅黑" w:hAnsi="微软雅黑" w:eastAsia="微软雅黑" w:cs="微软雅黑"/>
          <w:color w:val="000000" w:themeColor="text1"/>
          <w:sz w:val="22"/>
          <w:szCs w:val="22"/>
          <w:highlight w:val="none"/>
          <w:u w:val="none"/>
          <w14:textFill>
            <w14:solidFill>
              <w14:schemeClr w14:val="tx1"/>
            </w14:solidFill>
          </w14:textFill>
        </w:rPr>
        <w:t>8.</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项目有分包的，供应商可对招标文件其中某一个或几个分包货物进行投标，除非在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8.2     供应商应当对所投分包招标文件中“</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货物需求</w:t>
      </w:r>
      <w:r>
        <w:rPr>
          <w:rFonts w:hint="eastAsia" w:ascii="微软雅黑" w:hAnsi="微软雅黑" w:eastAsia="微软雅黑" w:cs="微软雅黑"/>
          <w:color w:val="000000" w:themeColor="text1"/>
          <w:sz w:val="22"/>
          <w:szCs w:val="22"/>
          <w:highlight w:val="none"/>
          <w14:textFill>
            <w14:solidFill>
              <w14:schemeClr w14:val="tx1"/>
            </w14:solidFill>
          </w14:textFill>
        </w:rPr>
        <w:t>”所列的所有内容进行投标，如仅响应某一包中的部分内容，其该包投标将被认定为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8.4     除招标文件中有特殊要求外，投标文件中所使用的计量单位，应采用中华人民共和国法定计量单位。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65" w:name="_Ref467306195"/>
      <w:bookmarkStart w:id="66" w:name="_Toc516367022"/>
      <w:bookmarkStart w:id="67" w:name="_Ref467306676"/>
      <w:bookmarkStart w:id="68" w:name="_Toc32655"/>
      <w:bookmarkStart w:id="69" w:name="_Toc520356152"/>
      <w:bookmarkStart w:id="70" w:name="_Toc28307"/>
      <w:bookmarkStart w:id="71" w:name="_Toc515647768"/>
      <w:bookmarkStart w:id="72" w:name="_Toc10364"/>
      <w:r>
        <w:rPr>
          <w:rFonts w:hint="eastAsia" w:ascii="微软雅黑" w:hAnsi="微软雅黑" w:eastAsia="微软雅黑" w:cs="微软雅黑"/>
          <w:color w:val="000000" w:themeColor="text1"/>
          <w:sz w:val="22"/>
          <w:szCs w:val="22"/>
          <w:highlight w:val="none"/>
          <w:u w:val="none"/>
          <w14:textFill>
            <w14:solidFill>
              <w14:schemeClr w14:val="tx1"/>
            </w14:solidFill>
          </w14:textFill>
        </w:rPr>
        <w:t>9.投标文件</w:t>
      </w:r>
      <w:bookmarkEnd w:id="65"/>
      <w:bookmarkEnd w:id="66"/>
      <w:bookmarkEnd w:id="67"/>
      <w:r>
        <w:rPr>
          <w:rFonts w:hint="eastAsia" w:ascii="微软雅黑" w:hAnsi="微软雅黑" w:eastAsia="微软雅黑" w:cs="微软雅黑"/>
          <w:color w:val="000000" w:themeColor="text1"/>
          <w:sz w:val="22"/>
          <w:szCs w:val="22"/>
          <w:highlight w:val="none"/>
          <w:u w:val="none"/>
          <w14:textFill>
            <w14:solidFill>
              <w14:schemeClr w14:val="tx1"/>
            </w14:solidFill>
          </w14:textFill>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000000" w:themeColor="text1"/>
          <w:sz w:val="22"/>
          <w:szCs w:val="22"/>
          <w:highlight w:val="none"/>
          <w:u w:val="single"/>
          <w14:textFill>
            <w14:solidFill>
              <w14:schemeClr w14:val="tx1"/>
            </w14:solidFill>
          </w14:textFill>
        </w:rPr>
      </w:pPr>
      <w:bookmarkStart w:id="73" w:name="_Ref467052588"/>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9.1     </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供应商应完整地按招标文件提供的投标文件格式及要求</w:t>
      </w:r>
      <w:r>
        <w:rPr>
          <w:rFonts w:hint="eastAsia" w:ascii="微软雅黑" w:hAnsi="微软雅黑" w:eastAsia="微软雅黑" w:cs="微软雅黑"/>
          <w:color w:val="000000" w:themeColor="text1"/>
          <w:sz w:val="22"/>
          <w:szCs w:val="22"/>
          <w:highlight w:val="none"/>
          <w:u w:val="single"/>
          <w:lang w:eastAsia="zh-CN"/>
          <w14:textFill>
            <w14:solidFill>
              <w14:schemeClr w14:val="tx1"/>
            </w14:solidFill>
          </w14:textFill>
        </w:rPr>
        <w:t>编</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写投标文件，投标文件应包括“开标一览表及资格证明文件”和“商务及技术文件”两部分，两部分合订成一册递交。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9.2    上述文件应按照招标文件规定的格式填写、签署和盖章。</w:t>
      </w:r>
    </w:p>
    <w:bookmarkEnd w:id="73"/>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74" w:name="_Toc520356153"/>
      <w:bookmarkStart w:id="75" w:name="_Toc10379"/>
      <w:bookmarkStart w:id="76" w:name="_Toc516367023"/>
      <w:bookmarkStart w:id="77" w:name="_Toc27659"/>
      <w:bookmarkStart w:id="78" w:name="_Toc515647769"/>
      <w:bookmarkStart w:id="79" w:name="_Toc4601"/>
      <w:r>
        <w:rPr>
          <w:rFonts w:hint="eastAsia" w:ascii="微软雅黑" w:hAnsi="微软雅黑" w:eastAsia="微软雅黑" w:cs="微软雅黑"/>
          <w:color w:val="000000" w:themeColor="text1"/>
          <w:sz w:val="22"/>
          <w:szCs w:val="22"/>
          <w:highlight w:val="none"/>
          <w:u w:val="none"/>
          <w14:textFill>
            <w14:solidFill>
              <w14:schemeClr w14:val="tx1"/>
            </w14:solidFill>
          </w14:textFill>
        </w:rPr>
        <w:t>10.</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80" w:name="_Ref467306244"/>
      <w:r>
        <w:rPr>
          <w:rFonts w:hint="eastAsia" w:ascii="微软雅黑" w:hAnsi="微软雅黑" w:eastAsia="微软雅黑" w:cs="微软雅黑"/>
          <w:color w:val="000000" w:themeColor="text1"/>
          <w:sz w:val="22"/>
          <w:szCs w:val="22"/>
          <w:highlight w:val="none"/>
          <w14:textFill>
            <w14:solidFill>
              <w14:schemeClr w14:val="tx1"/>
            </w14:solidFill>
          </w14:textFill>
        </w:rPr>
        <w:t>10.2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上款所述的证明文件，可以是文字资料、图纸和数据，</w:t>
      </w:r>
      <w:bookmarkEnd w:id="80"/>
      <w:r>
        <w:rPr>
          <w:rFonts w:hint="eastAsia" w:ascii="微软雅黑" w:hAnsi="微软雅黑" w:eastAsia="微软雅黑" w:cs="微软雅黑"/>
          <w:color w:val="000000" w:themeColor="text1"/>
          <w:sz w:val="22"/>
          <w:szCs w:val="22"/>
          <w:highlight w:val="none"/>
          <w14:textFill>
            <w14:solidFill>
              <w14:schemeClr w14:val="tx1"/>
            </w14:solidFill>
          </w14:textFill>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10.2.3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1" w:name="_Toc515647770"/>
      <w:bookmarkStart w:id="82" w:name="_Toc23231"/>
      <w:bookmarkStart w:id="83" w:name="_Toc2248"/>
      <w:bookmarkStart w:id="84" w:name="_Toc28654"/>
      <w:bookmarkStart w:id="85" w:name="_Toc520356155"/>
      <w:r>
        <w:rPr>
          <w:rFonts w:hint="eastAsia" w:ascii="微软雅黑" w:hAnsi="微软雅黑" w:eastAsia="微软雅黑" w:cs="微软雅黑"/>
          <w:color w:val="000000" w:themeColor="text1"/>
          <w:sz w:val="22"/>
          <w:szCs w:val="22"/>
          <w:highlight w:val="none"/>
          <w:u w:val="none"/>
          <w14:textFill>
            <w14:solidFill>
              <w14:schemeClr w14:val="tx1"/>
            </w14:solidFill>
          </w14:textFill>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11.5</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每种货物只能有一个投标报价。采购人不接受具有附加条件的报价。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86" w:name="_Toc515647771"/>
      <w:bookmarkStart w:id="87" w:name="_Ref467306513"/>
      <w:bookmarkStart w:id="88" w:name="_Toc11514"/>
      <w:bookmarkStart w:id="89" w:name="_Toc17788"/>
      <w:bookmarkStart w:id="90" w:name="_Toc23985"/>
      <w:bookmarkStart w:id="91" w:name="_Toc520356156"/>
      <w:r>
        <w:rPr>
          <w:rFonts w:hint="eastAsia" w:ascii="微软雅黑" w:hAnsi="微软雅黑" w:eastAsia="微软雅黑" w:cs="微软雅黑"/>
          <w:color w:val="000000" w:themeColor="text1"/>
          <w:sz w:val="22"/>
          <w:szCs w:val="22"/>
          <w:highlight w:val="none"/>
          <w:u w:val="none"/>
          <w14:textFill>
            <w14:solidFill>
              <w14:schemeClr w14:val="tx1"/>
            </w14:solidFill>
          </w14:textFill>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92" w:name="_Ref467306302"/>
      <w:r>
        <w:rPr>
          <w:rFonts w:hint="eastAsia" w:ascii="微软雅黑" w:hAnsi="微软雅黑" w:eastAsia="微软雅黑" w:cs="微软雅黑"/>
          <w:color w:val="000000" w:themeColor="text1"/>
          <w:sz w:val="22"/>
          <w:szCs w:val="22"/>
          <w:highlight w:val="none"/>
          <w14:textFill>
            <w14:solidFill>
              <w14:schemeClr w14:val="tx1"/>
            </w14:solidFill>
          </w14:textFill>
        </w:rPr>
        <w:t>12.1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供应商应提交</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中规定的投标保证金</w:t>
      </w:r>
      <w:bookmarkEnd w:id="92"/>
      <w:r>
        <w:rPr>
          <w:rFonts w:hint="eastAsia" w:ascii="微软雅黑" w:hAnsi="微软雅黑" w:eastAsia="微软雅黑" w:cs="微软雅黑"/>
          <w:color w:val="000000" w:themeColor="text1"/>
          <w:sz w:val="22"/>
          <w:szCs w:val="22"/>
          <w:highlight w:val="none"/>
          <w14:textFill>
            <w14:solidFill>
              <w14:schemeClr w14:val="tx1"/>
            </w14:solidFill>
          </w14:textFill>
        </w:rPr>
        <w:t>，并作为其投标的一部分。</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供应商存在下列情形的，投标保证金不予退还：</w:t>
      </w:r>
    </w:p>
    <w:p>
      <w:pPr>
        <w:pStyle w:val="15"/>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（1）在投标有效期内，撤销投标的；</w:t>
      </w:r>
    </w:p>
    <w:p>
      <w:pPr>
        <w:pStyle w:val="15"/>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（2）中标后不按本须知第30条的规定与采购人签订合同的；</w:t>
      </w:r>
    </w:p>
    <w:p>
      <w:pPr>
        <w:pStyle w:val="15"/>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（3）中标后不按本须知第31条的规定提交履约保证金的；</w:t>
      </w:r>
    </w:p>
    <w:p>
      <w:pPr>
        <w:pStyle w:val="15"/>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（4）中标后不按本须知第32条的规定缴纳中标服务费的；</w:t>
      </w:r>
    </w:p>
    <w:p>
      <w:pPr>
        <w:pStyle w:val="15"/>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93" w:name="_Ref467306336"/>
      <w:r>
        <w:rPr>
          <w:rFonts w:hint="eastAsia" w:ascii="微软雅黑" w:hAnsi="微软雅黑" w:eastAsia="微软雅黑" w:cs="微软雅黑"/>
          <w:color w:val="000000" w:themeColor="text1"/>
          <w:sz w:val="22"/>
          <w:szCs w:val="22"/>
          <w:highlight w:val="none"/>
          <w14:textFill>
            <w14:solidFill>
              <w14:schemeClr w14:val="tx1"/>
            </w14:solidFill>
          </w14:textFill>
        </w:rPr>
        <w:t>12.3</w:t>
      </w:r>
      <w:r>
        <w:rPr>
          <w:rFonts w:hint="eastAsia" w:ascii="微软雅黑" w:hAnsi="微软雅黑" w:eastAsia="微软雅黑" w:cs="微软雅黑"/>
          <w:color w:val="000000" w:themeColor="text1"/>
          <w:sz w:val="22"/>
          <w:szCs w:val="22"/>
          <w:highlight w:val="none"/>
          <w14:textFill>
            <w14:solidFill>
              <w14:schemeClr w14:val="tx1"/>
            </w14:solidFill>
          </w14:textFill>
        </w:rPr>
        <w:tab/>
      </w:r>
      <w:bookmarkEnd w:id="93"/>
      <w:r>
        <w:rPr>
          <w:rFonts w:hint="eastAsia" w:ascii="微软雅黑" w:hAnsi="微软雅黑" w:eastAsia="微软雅黑" w:cs="微软雅黑"/>
          <w:color w:val="000000" w:themeColor="text1"/>
          <w:sz w:val="22"/>
          <w:szCs w:val="22"/>
          <w:highlight w:val="none"/>
          <w14:textFill>
            <w14:solidFill>
              <w14:schemeClr w14:val="tx1"/>
            </w14:solidFill>
          </w14:textFill>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供应商未按本须知第12.1和12.3条规定提交投标保证金的，其投标将被认定为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94" w:name="_Toc32569"/>
      <w:bookmarkStart w:id="95" w:name="_Toc26580"/>
      <w:bookmarkStart w:id="96" w:name="_Toc23590"/>
      <w:bookmarkStart w:id="97" w:name="_Toc515647772"/>
      <w:bookmarkStart w:id="98" w:name="_Toc520356157"/>
      <w:r>
        <w:rPr>
          <w:rFonts w:hint="eastAsia" w:ascii="微软雅黑" w:hAnsi="微软雅黑" w:eastAsia="微软雅黑" w:cs="微软雅黑"/>
          <w:color w:val="000000" w:themeColor="text1"/>
          <w:sz w:val="22"/>
          <w:szCs w:val="22"/>
          <w:highlight w:val="none"/>
          <w:u w:val="none"/>
          <w14:textFill>
            <w14:solidFill>
              <w14:schemeClr w14:val="tx1"/>
            </w14:solidFill>
          </w14:textFill>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投标应在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中规定时间内保持有效。投标有效期不满足要求的投标，其投标将被认定为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13.2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pPr>
      <w:bookmarkStart w:id="99" w:name="_Toc520356158"/>
      <w:bookmarkStart w:id="100" w:name="_Toc515647773"/>
      <w:bookmarkStart w:id="101" w:name="_Toc493"/>
      <w:bookmarkStart w:id="102" w:name="_Toc20503"/>
      <w:bookmarkStart w:id="103" w:name="_Toc17074"/>
      <w:r>
        <w:rPr>
          <w:rFonts w:hint="eastAsia" w:ascii="微软雅黑" w:hAnsi="微软雅黑" w:eastAsia="微软雅黑" w:cs="微软雅黑"/>
          <w:color w:val="000000" w:themeColor="text1"/>
          <w:sz w:val="22"/>
          <w:szCs w:val="22"/>
          <w:highlight w:val="none"/>
          <w:u w:val="none"/>
          <w14:textFill>
            <w14:solidFill>
              <w14:schemeClr w14:val="tx1"/>
            </w14:solidFill>
          </w14:textFill>
        </w:rPr>
        <w:t>14.投标文件的签署</w:t>
      </w:r>
      <w:bookmarkEnd w:id="99"/>
      <w:r>
        <w:rPr>
          <w:rFonts w:hint="eastAsia" w:ascii="微软雅黑" w:hAnsi="微软雅黑" w:eastAsia="微软雅黑" w:cs="微软雅黑"/>
          <w:color w:val="000000" w:themeColor="text1"/>
          <w:sz w:val="22"/>
          <w:szCs w:val="22"/>
          <w:highlight w:val="none"/>
          <w:u w:val="none"/>
          <w14:textFill>
            <w14:solidFill>
              <w14:schemeClr w14:val="tx1"/>
            </w14:solidFill>
          </w14:textFill>
        </w:rPr>
        <w:t>及规定</w:t>
      </w:r>
      <w:bookmarkEnd w:id="100"/>
      <w:bookmarkEnd w:id="101"/>
      <w:bookmarkEnd w:id="102"/>
      <w:bookmarkEnd w:id="103"/>
      <w:r>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t>（后期邮寄的</w:t>
      </w:r>
      <w:r>
        <w:rPr>
          <w:rFonts w:hint="eastAsia" w:ascii="微软雅黑" w:hAnsi="微软雅黑" w:eastAsia="微软雅黑" w:cs="微软雅黑"/>
          <w:color w:val="000000" w:themeColor="text1"/>
          <w:sz w:val="22"/>
          <w:szCs w:val="22"/>
          <w:highlight w:val="none"/>
          <w:u w:val="none"/>
          <w:lang w:val="en-US" w:eastAsia="zh-CN"/>
          <w14:textFill>
            <w14:solidFill>
              <w14:schemeClr w14:val="tx1"/>
            </w14:solidFill>
          </w14:textFill>
        </w:rPr>
        <w:t>投标</w:t>
      </w:r>
      <w:r>
        <w:rPr>
          <w:rFonts w:hint="eastAsia" w:ascii="微软雅黑" w:hAnsi="微软雅黑" w:eastAsia="微软雅黑" w:cs="微软雅黑"/>
          <w:color w:val="000000" w:themeColor="text1"/>
          <w:sz w:val="22"/>
          <w:szCs w:val="22"/>
          <w:highlight w:val="none"/>
          <w:u w:val="none"/>
          <w:lang w:eastAsia="zh-CN"/>
          <w14:textFill>
            <w14:solidFill>
              <w14:schemeClr w14:val="tx1"/>
            </w14:solidFill>
          </w14:textFill>
        </w:rPr>
        <w:t>响应文件）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04" w:name="_Toc12751"/>
      <w:bookmarkStart w:id="105" w:name="_Toc520356161"/>
      <w:bookmarkStart w:id="106" w:name="_Toc515647776"/>
      <w:bookmarkStart w:id="107" w:name="_Toc9840"/>
      <w:r>
        <w:rPr>
          <w:rFonts w:hint="eastAsia" w:ascii="微软雅黑" w:hAnsi="微软雅黑" w:eastAsia="微软雅黑" w:cs="微软雅黑"/>
          <w:color w:val="000000" w:themeColor="text1"/>
          <w:sz w:val="22"/>
          <w:szCs w:val="22"/>
          <w:highlight w:val="none"/>
          <w14:textFill>
            <w14:solidFill>
              <w14:schemeClr w14:val="tx1"/>
            </w14:solidFill>
          </w14:textFill>
        </w:rPr>
        <w:t>14.1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供应商应按供应商须知资料表中的规定，准备和递交投标文件正本、副本、开标一览表和电子U盘，每份投标文件封皮须清楚地标明“正本”或“副本”。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w:t>
      </w:r>
      <w:r>
        <w:rPr>
          <w:rFonts w:hint="eastAsia" w:ascii="微软雅黑" w:hAnsi="微软雅黑" w:eastAsia="微软雅黑" w:cs="微软雅黑"/>
          <w:color w:val="000000" w:themeColor="text1"/>
          <w:sz w:val="22"/>
          <w:szCs w:val="22"/>
          <w:highlight w:val="none"/>
          <w14:textFill>
            <w14:solidFill>
              <w14:schemeClr w14:val="tx1"/>
            </w14:solidFill>
          </w14:textFill>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14.4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投标文件因字迹潦草、表达不清或装订不当所引起的后果由供应商负责。</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4"/>
        <w:pageBreakBefore w:val="0"/>
        <w:kinsoku/>
        <w:wordWrap/>
        <w:overflowPunct/>
        <w:topLinePunct w:val="0"/>
        <w:bidi w:val="0"/>
        <w:spacing w:before="0" w:line="400" w:lineRule="exact"/>
        <w:ind w:left="1080" w:leftChars="257" w:hanging="540"/>
        <w:textAlignment w:val="auto"/>
        <w:outlineLvl w:val="3"/>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08" w:name="_Toc16504"/>
      <w:bookmarkStart w:id="109" w:name="_Toc17149"/>
      <w:bookmarkStart w:id="110" w:name="_Toc7210"/>
      <w:r>
        <w:rPr>
          <w:rFonts w:hint="eastAsia" w:ascii="微软雅黑" w:hAnsi="微软雅黑" w:eastAsia="微软雅黑" w:cs="微软雅黑"/>
          <w:b/>
          <w:bCs/>
          <w:color w:val="000000" w:themeColor="text1"/>
          <w:sz w:val="22"/>
          <w:szCs w:val="22"/>
          <w:highlight w:val="none"/>
          <w14:textFill>
            <w14:solidFill>
              <w14:schemeClr w14:val="tx1"/>
            </w14:solidFill>
          </w14:textFill>
        </w:rPr>
        <w:t>四   投标文件的递交</w:t>
      </w:r>
      <w:bookmarkEnd w:id="108"/>
      <w:bookmarkEnd w:id="109"/>
      <w:bookmarkEnd w:id="110"/>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11" w:name="_Toc515647775"/>
      <w:bookmarkStart w:id="112" w:name="_Toc31822"/>
      <w:bookmarkStart w:id="113" w:name="_Toc32337"/>
      <w:bookmarkStart w:id="114" w:name="_Toc21645"/>
      <w:bookmarkStart w:id="115" w:name="_Toc28066_WPSOffice_Level2"/>
      <w:bookmarkStart w:id="116" w:name="_Toc520356160"/>
      <w:bookmarkStart w:id="117" w:name="_Toc25849_WPSOffice_Level2"/>
      <w:r>
        <w:rPr>
          <w:rFonts w:hint="eastAsia" w:ascii="微软雅黑" w:hAnsi="微软雅黑" w:eastAsia="微软雅黑" w:cs="微软雅黑"/>
          <w:color w:val="000000" w:themeColor="text1"/>
          <w:sz w:val="22"/>
          <w:szCs w:val="22"/>
          <w:highlight w:val="none"/>
          <w:u w:val="none"/>
          <w14:textFill>
            <w14:solidFill>
              <w14:schemeClr w14:val="tx1"/>
            </w14:solidFill>
          </w14:textFill>
        </w:rPr>
        <w:t>15.投标文件的密封和标记</w:t>
      </w:r>
      <w:bookmarkEnd w:id="111"/>
      <w:bookmarkEnd w:id="112"/>
      <w:bookmarkEnd w:id="113"/>
      <w:bookmarkEnd w:id="114"/>
      <w:bookmarkEnd w:id="115"/>
      <w:bookmarkEnd w:id="116"/>
      <w:bookmarkEnd w:id="117"/>
      <w:r>
        <w:rPr>
          <w:rFonts w:hint="eastAsia" w:ascii="微软雅黑" w:hAnsi="微软雅黑" w:eastAsia="微软雅黑" w:cs="微软雅黑"/>
          <w:color w:val="000000" w:themeColor="text1"/>
          <w:sz w:val="22"/>
          <w:szCs w:val="22"/>
          <w:highlight w:val="none"/>
          <w:u w:val="none"/>
          <w14:textFill>
            <w14:solidFill>
              <w14:schemeClr w14:val="tx1"/>
            </w14:solidFill>
          </w14:textFill>
        </w:rPr>
        <w:t>（后期邮寄的投标文件）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15.1   供应商应将投标文件第一部分和第二部分的内容合订成一册密封提交，并在封皮正面标明“投标文件”字样。</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投标文件正副本须</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密封在同一</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密封</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袋中</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提交。</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（1）注明采购公告中指明的项目名称、项目编号、供应商名称的字样。</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供应商应在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w:t>
      </w:r>
      <w:r>
        <w:rPr>
          <w:rFonts w:hint="eastAsia" w:ascii="微软雅黑" w:hAnsi="微软雅黑" w:eastAsia="微软雅黑" w:cs="微软雅黑"/>
          <w:color w:val="000000" w:themeColor="text1"/>
          <w:sz w:val="22"/>
          <w:szCs w:val="22"/>
          <w:highlight w:val="none"/>
          <w14:textFill>
            <w14:solidFill>
              <w14:schemeClr w14:val="tx1"/>
            </w14:solidFill>
          </w14:textFill>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16.3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采购人和采购代理机构将拒绝接收在投标截止时间后送达的投标文件。</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18" w:name="_Toc520356162"/>
      <w:bookmarkStart w:id="119" w:name="_Toc32303"/>
      <w:bookmarkStart w:id="120" w:name="_Toc18537"/>
      <w:bookmarkStart w:id="121" w:name="_Toc515647777"/>
      <w:bookmarkStart w:id="122" w:name="_Toc24275"/>
      <w:r>
        <w:rPr>
          <w:rFonts w:hint="eastAsia" w:ascii="微软雅黑" w:hAnsi="微软雅黑" w:eastAsia="微软雅黑" w:cs="微软雅黑"/>
          <w:color w:val="000000" w:themeColor="text1"/>
          <w:sz w:val="22"/>
          <w:szCs w:val="22"/>
          <w:highlight w:val="none"/>
          <w:u w:val="none"/>
          <w14:textFill>
            <w14:solidFill>
              <w14:schemeClr w14:val="tx1"/>
            </w14:solidFill>
          </w14:textFill>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17.1</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17.3</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在投标截止期之后，采购人和采购代理机构不接受投标人主动对其投标文件做任何修改。</w:t>
      </w:r>
    </w:p>
    <w:p>
      <w:pPr>
        <w:pStyle w:val="27"/>
        <w:pageBreakBefore w:val="0"/>
        <w:kinsoku/>
        <w:wordWrap/>
        <w:overflowPunct/>
        <w:topLinePunct w:val="0"/>
        <w:bidi w:val="0"/>
        <w:spacing w:line="400" w:lineRule="exact"/>
        <w:ind w:firstLine="0" w:firstLineChars="0"/>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17.4</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采购人和采购代理机构对所接收投标文件概不退回。</w:t>
      </w:r>
    </w:p>
    <w:p>
      <w:pPr>
        <w:pStyle w:val="4"/>
        <w:pageBreakBefore w:val="0"/>
        <w:kinsoku/>
        <w:wordWrap/>
        <w:overflowPunct/>
        <w:topLinePunct w:val="0"/>
        <w:bidi w:val="0"/>
        <w:spacing w:before="0" w:line="400" w:lineRule="exact"/>
        <w:ind w:left="1080" w:leftChars="257" w:hanging="540"/>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23" w:name="_Toc12436"/>
      <w:bookmarkStart w:id="124" w:name="_Toc28398"/>
      <w:bookmarkStart w:id="125" w:name="_Toc216582809"/>
      <w:bookmarkStart w:id="126" w:name="_Toc28911"/>
      <w:bookmarkStart w:id="127" w:name="_Toc28397"/>
      <w:bookmarkStart w:id="128" w:name="_Toc21702"/>
      <w:bookmarkStart w:id="129" w:name="_Toc520356163"/>
      <w:bookmarkStart w:id="130" w:name="_Toc515647778"/>
      <w:r>
        <w:rPr>
          <w:rFonts w:hint="eastAsia" w:ascii="微软雅黑" w:hAnsi="微软雅黑" w:eastAsia="微软雅黑" w:cs="微软雅黑"/>
          <w:b/>
          <w:bCs/>
          <w:color w:val="000000" w:themeColor="text1"/>
          <w:sz w:val="22"/>
          <w:szCs w:val="22"/>
          <w:highlight w:val="none"/>
          <w14:textFill>
            <w14:solidFill>
              <w14:schemeClr w14:val="tx1"/>
            </w14:solidFill>
          </w14:textFill>
        </w:rPr>
        <w:t>五   开标及评标</w:t>
      </w:r>
      <w:bookmarkEnd w:id="123"/>
      <w:bookmarkEnd w:id="124"/>
      <w:bookmarkEnd w:id="125"/>
      <w:bookmarkEnd w:id="126"/>
      <w:bookmarkEnd w:id="127"/>
      <w:bookmarkEnd w:id="128"/>
      <w:bookmarkEnd w:id="129"/>
      <w:bookmarkEnd w:id="130"/>
      <w:bookmarkStart w:id="131" w:name="_Toc7186"/>
      <w:bookmarkStart w:id="132" w:name="_Toc520356164"/>
      <w:bookmarkStart w:id="133" w:name="_Toc515647779"/>
      <w:bookmarkStart w:id="134" w:name="_Toc31842"/>
      <w:bookmarkStart w:id="135" w:name="_Toc25345"/>
    </w:p>
    <w:p>
      <w:pPr>
        <w:pStyle w:val="5"/>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18.开标</w:t>
      </w:r>
      <w:bookmarkEnd w:id="131"/>
      <w:bookmarkEnd w:id="132"/>
      <w:bookmarkEnd w:id="133"/>
      <w:bookmarkEnd w:id="134"/>
      <w:bookmarkEnd w:id="135"/>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18.1</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采购人和采购代理机构将按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中规定的开标时间和地点组织公开开标并邀请所有供应商代表参加。供应商不足3家的，不得开标。</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18.2  </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18.3    采购人或采购代理机构将对开标过程进行记录</w:t>
      </w:r>
      <w:bookmarkStart w:id="136" w:name="_Toc520356165"/>
      <w:r>
        <w:rPr>
          <w:rFonts w:hint="eastAsia" w:ascii="微软雅黑" w:hAnsi="微软雅黑" w:eastAsia="微软雅黑" w:cs="微软雅黑"/>
          <w:color w:val="000000" w:themeColor="text1"/>
          <w:sz w:val="22"/>
          <w:szCs w:val="22"/>
          <w:highlight w:val="none"/>
          <w14:textFill>
            <w14:solidFill>
              <w14:schemeClr w14:val="tx1"/>
            </w14:solidFill>
          </w14:textFill>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18.4    供应商代表对开标过程和开标记录有疑义，以及认为采购人、采购代理机构相关工作人员有需要回避的情形的，应当场提出询问或者回避申请。</w:t>
      </w:r>
      <w:bookmarkEnd w:id="136"/>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37" w:name="_Toc515647780"/>
      <w:bookmarkStart w:id="138" w:name="_Toc21372"/>
      <w:bookmarkStart w:id="139" w:name="_Toc14136"/>
      <w:bookmarkStart w:id="140" w:name="_Toc19296"/>
      <w:bookmarkStart w:id="141" w:name="_Toc18574"/>
      <w:r>
        <w:rPr>
          <w:rFonts w:hint="eastAsia" w:ascii="微软雅黑" w:hAnsi="微软雅黑" w:eastAsia="微软雅黑" w:cs="微软雅黑"/>
          <w:color w:val="000000" w:themeColor="text1"/>
          <w:sz w:val="22"/>
          <w:szCs w:val="22"/>
          <w:highlight w:val="none"/>
          <w:u w:val="none"/>
          <w14:textFill>
            <w14:solidFill>
              <w14:schemeClr w14:val="tx1"/>
            </w14:solidFill>
          </w14:textFill>
        </w:rPr>
        <w:t>19.资格审查及组建评标委员会</w:t>
      </w:r>
      <w:bookmarkEnd w:id="137"/>
      <w:bookmarkEnd w:id="138"/>
      <w:bookmarkEnd w:id="139"/>
      <w:bookmarkEnd w:id="140"/>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供应商</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资格证明材料</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1）具有独立法人资格或是具有独立承担民事责任能力的其它组织（法人或者非法人组织的营业执照等证明文件扫描件）</w:t>
      </w:r>
    </w:p>
    <w:p>
      <w:pPr>
        <w:pStyle w:val="8"/>
        <w:pageBreakBefore w:val="0"/>
        <w:kinsoku/>
        <w:wordWrap/>
        <w:overflowPunct/>
        <w:topLinePunct w:val="0"/>
        <w:bidi w:val="0"/>
        <w:spacing w:line="400" w:lineRule="exact"/>
        <w:jc w:val="both"/>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3）法人投标需提供法人身份证明及身份证复印件，被授权委托人需提供法人授权委托书及身份证复印件；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4)投标单位提供本单位法人或授权委托人依法缴纳近三个月（任何一个月）的社保证明单位缴费和个人明细表；</w:t>
      </w:r>
    </w:p>
    <w:p>
      <w:pPr>
        <w:pStyle w:val="8"/>
        <w:pageBreakBefore w:val="0"/>
        <w:kinsoku/>
        <w:wordWrap/>
        <w:overflowPunct/>
        <w:topLinePunct w:val="0"/>
        <w:bidi w:val="0"/>
        <w:spacing w:line="400" w:lineRule="exact"/>
        <w:textAlignment w:val="auto"/>
        <w:rPr>
          <w:rFonts w:hint="default"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5)提供税务部门出具近三个月（任意一个月）的完税证明及无欠税证明、依法免缴的应提供依法免缴的相关证明文件和零申报报表，扫描件；</w:t>
      </w:r>
    </w:p>
    <w:p>
      <w:pPr>
        <w:pStyle w:val="8"/>
        <w:pageBreakBefore w:val="0"/>
        <w:kinsoku/>
        <w:wordWrap/>
        <w:overflowPunct/>
        <w:topLinePunct w:val="0"/>
        <w:bidi w:val="0"/>
        <w:spacing w:line="400" w:lineRule="exact"/>
        <w:jc w:val="both"/>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6)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7)投标保证金收据扫描件或银行转款证明扫描件或支票扫描件、汇票扫描件；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8）参与政府采购活动前3年内未被列入失信、重大税收违法案件、财政部门禁止参加政府采购活动的承诺书；</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9）提供针对本次项目的反商业贿赂承诺书。扫描件；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10）本项目不接受联合体投标（提供非联合体投标承诺函，承诺函格式自拟）；</w:t>
      </w:r>
    </w:p>
    <w:p>
      <w:pPr>
        <w:pStyle w:val="8"/>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kern w:val="2"/>
          <w:sz w:val="22"/>
          <w:szCs w:val="22"/>
          <w:highlight w:val="none"/>
          <w:lang w:val="en-US" w:eastAsia="zh-CN" w:bidi="ar-SA"/>
          <w14:textFill>
            <w14:solidFill>
              <w14:schemeClr w14:val="tx1"/>
            </w14:solidFill>
          </w14:textFill>
        </w:rPr>
        <w:t>提示：1、“</w:t>
      </w: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税务部门出具近三个月（任何一个月）的完税证明”：完税证明中“税种”非养老保险、医疗保险、失业保险、工伤保险和生育保险。请各投标供应商注意！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以联合体形式参加投标的，联合体任何成员存在以上不良信用记录的，联合体投标将被认定为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8"/>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8"/>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供应商自行提供的与网站信息不一致的其他证明材料亦不作为资格审查依据。</w:t>
      </w:r>
    </w:p>
    <w:p>
      <w:pPr>
        <w:spacing w:line="340" w:lineRule="exact"/>
        <w:ind w:left="850" w:hanging="778" w:hangingChars="354"/>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19.3   </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在政采云平台</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随机</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抽取</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5人，组成评标小组，</w:t>
      </w:r>
      <w:r>
        <w:rPr>
          <w:rFonts w:hint="eastAsia" w:ascii="微软雅黑" w:hAnsi="微软雅黑" w:eastAsia="微软雅黑" w:cs="微软雅黑"/>
          <w:b/>
          <w:bCs/>
          <w:color w:val="000000" w:themeColor="text1"/>
          <w:sz w:val="22"/>
          <w:szCs w:val="22"/>
          <w:highlight w:val="none"/>
          <w14:textFill>
            <w14:solidFill>
              <w14:schemeClr w14:val="tx1"/>
            </w14:solidFill>
          </w14:textFill>
        </w:rPr>
        <w:t>负责评标工作。本项目评标委员会由5人组成（其中业主</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代表0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名、随机抽取专家</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w:t>
      </w:r>
    </w:p>
    <w:bookmarkEnd w:id="104"/>
    <w:bookmarkEnd w:id="105"/>
    <w:bookmarkEnd w:id="106"/>
    <w:bookmarkEnd w:id="107"/>
    <w:bookmarkEnd w:id="141"/>
    <w:p>
      <w:pPr>
        <w:pStyle w:val="5"/>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000000" w:themeColor="text1"/>
          <w:sz w:val="22"/>
          <w:szCs w:val="22"/>
          <w:highlight w:val="none"/>
          <w:bdr w:val="single" w:color="auto" w:sz="4" w:space="0"/>
          <w14:textFill>
            <w14:solidFill>
              <w14:schemeClr w14:val="tx1"/>
            </w14:solidFill>
          </w14:textFill>
        </w:rPr>
      </w:pPr>
      <w:bookmarkStart w:id="142" w:name="_Toc520356166"/>
      <w:bookmarkStart w:id="143" w:name="_Toc19949"/>
      <w:bookmarkStart w:id="144" w:name="_Toc28479"/>
      <w:bookmarkStart w:id="145" w:name="_Toc515647781"/>
      <w:bookmarkStart w:id="146" w:name="_Toc25607"/>
      <w:r>
        <w:rPr>
          <w:rFonts w:hint="eastAsia" w:ascii="微软雅黑" w:hAnsi="微软雅黑" w:eastAsia="微软雅黑" w:cs="微软雅黑"/>
          <w:color w:val="000000" w:themeColor="text1"/>
          <w:sz w:val="22"/>
          <w:szCs w:val="22"/>
          <w:highlight w:val="none"/>
          <w:u w:val="none"/>
          <w14:textFill>
            <w14:solidFill>
              <w14:schemeClr w14:val="tx1"/>
            </w14:solidFill>
          </w14:textFill>
        </w:rPr>
        <w:t>20.投标文件</w:t>
      </w:r>
      <w:bookmarkEnd w:id="142"/>
      <w:r>
        <w:rPr>
          <w:rFonts w:hint="eastAsia" w:ascii="微软雅黑" w:hAnsi="微软雅黑" w:eastAsia="微软雅黑" w:cs="微软雅黑"/>
          <w:color w:val="000000" w:themeColor="text1"/>
          <w:sz w:val="22"/>
          <w:szCs w:val="22"/>
          <w:highlight w:val="none"/>
          <w:u w:val="none"/>
          <w14:textFill>
            <w14:solidFill>
              <w14:schemeClr w14:val="tx1"/>
            </w14:solidFill>
          </w14:textFill>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outlineLvl w:val="3"/>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49" w:name="_Toc515647782"/>
      <w:bookmarkStart w:id="150" w:name="_Toc6364"/>
      <w:bookmarkStart w:id="151" w:name="_Toc9469"/>
      <w:bookmarkStart w:id="152" w:name="_Toc28888"/>
      <w:r>
        <w:rPr>
          <w:rFonts w:hint="eastAsia" w:ascii="微软雅黑" w:hAnsi="微软雅黑" w:eastAsia="微软雅黑" w:cs="微软雅黑"/>
          <w:color w:val="000000" w:themeColor="text1"/>
          <w:sz w:val="22"/>
          <w:szCs w:val="22"/>
          <w:highlight w:val="none"/>
          <w:u w:val="none"/>
          <w14:textFill>
            <w14:solidFill>
              <w14:schemeClr w14:val="tx1"/>
            </w14:solidFill>
          </w14:textFill>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评标委员会可以接受投标文件中不构成实质性偏离的不正规或不一致。</w:t>
      </w:r>
      <w:bookmarkStart w:id="153" w:name="_Toc515647783"/>
      <w:bookmarkStart w:id="154" w:name="_Toc4950"/>
      <w:bookmarkStart w:id="155" w:name="_Toc6092"/>
    </w:p>
    <w:p>
      <w:pPr>
        <w:pStyle w:val="5"/>
        <w:pageBreakBefore w:val="0"/>
        <w:kinsoku/>
        <w:wordWrap/>
        <w:overflowPunct/>
        <w:topLinePunct w:val="0"/>
        <w:bidi w:val="0"/>
        <w:spacing w:before="0" w:after="0" w:line="400" w:lineRule="exact"/>
        <w:textAlignment w:val="auto"/>
        <w:outlineLvl w:val="3"/>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56" w:name="_Toc20254"/>
      <w:r>
        <w:rPr>
          <w:rFonts w:hint="eastAsia" w:ascii="微软雅黑" w:hAnsi="微软雅黑" w:eastAsia="微软雅黑" w:cs="微软雅黑"/>
          <w:color w:val="000000" w:themeColor="text1"/>
          <w:sz w:val="22"/>
          <w:szCs w:val="22"/>
          <w:highlight w:val="none"/>
          <w:u w:val="none"/>
          <w14:textFill>
            <w14:solidFill>
              <w14:schemeClr w14:val="tx1"/>
            </w14:solidFill>
          </w14:textFill>
        </w:rPr>
        <w:t>22.投标</w:t>
      </w:r>
      <w:bookmarkEnd w:id="153"/>
      <w:r>
        <w:rPr>
          <w:rFonts w:hint="eastAsia" w:ascii="微软雅黑" w:hAnsi="微软雅黑" w:eastAsia="微软雅黑" w:cs="微软雅黑"/>
          <w:color w:val="000000" w:themeColor="text1"/>
          <w:sz w:val="22"/>
          <w:szCs w:val="22"/>
          <w:highlight w:val="none"/>
          <w:u w:val="none"/>
          <w14:textFill>
            <w14:solidFill>
              <w14:schemeClr w14:val="tx1"/>
            </w14:solidFill>
          </w14:textFill>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22.2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如发现下列情况之一的，其投标将被认定为投标无效</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57" w:name="_Toc22941"/>
      <w:bookmarkStart w:id="158" w:name="_Toc13652"/>
      <w:bookmarkStart w:id="159" w:name="_Toc10960"/>
      <w:bookmarkStart w:id="160" w:name="_Toc515647784"/>
      <w:r>
        <w:rPr>
          <w:rFonts w:hint="eastAsia" w:ascii="微软雅黑" w:hAnsi="微软雅黑" w:eastAsia="微软雅黑" w:cs="微软雅黑"/>
          <w:b/>
          <w:bCs/>
          <w:color w:val="000000" w:themeColor="text1"/>
          <w:sz w:val="22"/>
          <w:szCs w:val="22"/>
          <w:highlight w:val="none"/>
          <w14:textFill>
            <w14:solidFill>
              <w14:schemeClr w14:val="tx1"/>
            </w14:solidFill>
          </w14:textFill>
        </w:rPr>
        <w:t>23.</w:t>
      </w:r>
      <w:bookmarkEnd w:id="148"/>
      <w:r>
        <w:rPr>
          <w:rFonts w:hint="eastAsia" w:ascii="微软雅黑" w:hAnsi="微软雅黑" w:eastAsia="微软雅黑" w:cs="微软雅黑"/>
          <w:b/>
          <w:bCs/>
          <w:color w:val="000000" w:themeColor="text1"/>
          <w:sz w:val="22"/>
          <w:szCs w:val="22"/>
          <w:highlight w:val="none"/>
          <w14:textFill>
            <w14:solidFill>
              <w14:schemeClr w14:val="tx1"/>
            </w14:solidFill>
          </w14:textFill>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23.1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23.2  </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评标严格按照招标文件的要求和条件进行。根据实际情况，在</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中规定采用下列评标方法，详细评标标准见招标文件第六章：</w:t>
      </w:r>
    </w:p>
    <w:p>
      <w:pPr>
        <w:pStyle w:val="15"/>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（1） </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本项目采用</w:t>
      </w:r>
      <w:r>
        <w:rPr>
          <w:rFonts w:hint="eastAsia" w:ascii="微软雅黑" w:hAnsi="微软雅黑" w:eastAsia="微软雅黑" w:cs="微软雅黑"/>
          <w:color w:val="000000" w:themeColor="text1"/>
          <w:sz w:val="22"/>
          <w:szCs w:val="22"/>
          <w:highlight w:val="none"/>
          <w14:textFill>
            <w14:solidFill>
              <w14:schemeClr w14:val="tx1"/>
            </w14:solidFill>
          </w14:textFill>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000000" w:themeColor="text1"/>
          <w:sz w:val="22"/>
          <w:szCs w:val="22"/>
          <w:highlight w:val="none"/>
          <w14:textFill>
            <w14:solidFill>
              <w14:schemeClr w14:val="tx1"/>
            </w14:solidFill>
          </w14:textFill>
        </w:rPr>
        <w:t>财库〔</w:t>
      </w:r>
      <w:bookmarkEnd w:id="161"/>
      <w:r>
        <w:rPr>
          <w:rFonts w:hint="eastAsia" w:ascii="微软雅黑" w:hAnsi="微软雅黑" w:eastAsia="微软雅黑" w:cs="微软雅黑"/>
          <w:b/>
          <w:bCs/>
          <w:color w:val="000000" w:themeColor="text1"/>
          <w:sz w:val="22"/>
          <w:szCs w:val="22"/>
          <w:highlight w:val="none"/>
          <w14:textFill>
            <w14:solidFill>
              <w14:schemeClr w14:val="tx1"/>
            </w14:solidFill>
          </w14:textFill>
        </w:rPr>
        <w:t>2017〕141号）</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2"/>
          <w:szCs w:val="22"/>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后参与</w:t>
      </w:r>
      <w:r>
        <w:rPr>
          <w:rFonts w:hint="eastAsia" w:ascii="微软雅黑" w:hAnsi="微软雅黑" w:eastAsia="微软雅黑" w:cs="微软雅黑"/>
          <w:b/>
          <w:bCs/>
          <w:color w:val="000000" w:themeColor="text1"/>
          <w:sz w:val="22"/>
          <w:szCs w:val="22"/>
          <w:highlight w:val="none"/>
          <w:lang w:eastAsia="zh-CN"/>
          <w14:textFill>
            <w14:solidFill>
              <w14:schemeClr w14:val="tx1"/>
            </w14:solidFill>
          </w14:textFill>
        </w:rPr>
        <w:t>评标</w:t>
      </w:r>
      <w:r>
        <w:rPr>
          <w:rFonts w:hint="eastAsia" w:ascii="微软雅黑" w:hAnsi="微软雅黑" w:eastAsia="微软雅黑" w:cs="微软雅黑"/>
          <w:b/>
          <w:bCs/>
          <w:color w:val="000000" w:themeColor="text1"/>
          <w:sz w:val="22"/>
          <w:szCs w:val="22"/>
          <w:highlight w:val="none"/>
          <w14:textFill>
            <w14:solidFill>
              <w14:schemeClr w14:val="tx1"/>
            </w14:solidFill>
          </w14:textFill>
        </w:rPr>
        <w:t>。</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对于同时属于小微企业、监狱企业或残疾人福利性单位的，不重复进行报价扣除。</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000000" w:themeColor="text1"/>
          <w:sz w:val="22"/>
          <w:szCs w:val="22"/>
          <w:highlight w:val="none"/>
          <w14:textFill>
            <w14:solidFill>
              <w14:schemeClr w14:val="tx1"/>
            </w14:solidFill>
          </w14:textFill>
        </w:rPr>
        <w:t>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62" w:name="_Toc515647785"/>
      <w:bookmarkStart w:id="163" w:name="_Toc20227"/>
      <w:bookmarkStart w:id="164" w:name="_Toc26143"/>
      <w:bookmarkStart w:id="165" w:name="_Toc9378"/>
      <w:r>
        <w:rPr>
          <w:rFonts w:hint="eastAsia" w:ascii="微软雅黑" w:hAnsi="微软雅黑" w:eastAsia="微软雅黑" w:cs="微软雅黑"/>
          <w:color w:val="000000" w:themeColor="text1"/>
          <w:sz w:val="22"/>
          <w:szCs w:val="22"/>
          <w:highlight w:val="none"/>
          <w:u w:val="none"/>
          <w14:textFill>
            <w14:solidFill>
              <w14:schemeClr w14:val="tx1"/>
            </w14:solidFill>
          </w14:textFill>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ab/>
      </w:r>
      <w:r>
        <w:rPr>
          <w:rFonts w:hint="eastAsia" w:ascii="微软雅黑" w:hAnsi="微软雅黑" w:eastAsia="微软雅黑" w:cs="微软雅黑"/>
          <w:b/>
          <w:bCs/>
          <w:color w:val="000000" w:themeColor="text1"/>
          <w:sz w:val="22"/>
          <w:szCs w:val="22"/>
          <w:highlight w:val="none"/>
          <w14:textFill>
            <w14:solidFill>
              <w14:schemeClr w14:val="tx1"/>
            </w14:solidFill>
          </w14:textFill>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（4）因重大变故，采购任务取消的。   </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66" w:name="_Toc515647786"/>
      <w:bookmarkStart w:id="167" w:name="_Toc29491"/>
      <w:bookmarkStart w:id="168" w:name="_Toc24972"/>
      <w:bookmarkStart w:id="169" w:name="_Toc31289"/>
      <w:bookmarkStart w:id="170" w:name="_Toc520356169"/>
      <w:r>
        <w:rPr>
          <w:rFonts w:hint="eastAsia" w:ascii="微软雅黑" w:hAnsi="微软雅黑" w:eastAsia="微软雅黑" w:cs="微软雅黑"/>
          <w:color w:val="000000" w:themeColor="text1"/>
          <w:sz w:val="22"/>
          <w:szCs w:val="22"/>
          <w:highlight w:val="none"/>
          <w:u w:val="none"/>
          <w14:textFill>
            <w14:solidFill>
              <w14:schemeClr w14:val="tx1"/>
            </w14:solidFill>
          </w14:textFill>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25.1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25.2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4"/>
        <w:pageBreakBefore w:val="0"/>
        <w:kinsoku/>
        <w:wordWrap/>
        <w:overflowPunct/>
        <w:topLinePunct w:val="0"/>
        <w:bidi w:val="0"/>
        <w:spacing w:before="0" w:line="400" w:lineRule="exact"/>
        <w:ind w:left="1080" w:leftChars="257" w:hanging="540"/>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171" w:name="_Toc515647787"/>
      <w:bookmarkStart w:id="172" w:name="_Toc20578"/>
      <w:bookmarkStart w:id="173" w:name="_Toc30610"/>
      <w:bookmarkStart w:id="174" w:name="_Toc216582810"/>
      <w:bookmarkStart w:id="175" w:name="_Toc12143"/>
      <w:bookmarkStart w:id="176" w:name="_Toc23904"/>
      <w:bookmarkStart w:id="177" w:name="_Toc24824"/>
      <w:r>
        <w:rPr>
          <w:rFonts w:hint="eastAsia" w:ascii="微软雅黑" w:hAnsi="微软雅黑" w:eastAsia="微软雅黑" w:cs="微软雅黑"/>
          <w:b/>
          <w:bCs/>
          <w:color w:val="000000" w:themeColor="text1"/>
          <w:sz w:val="22"/>
          <w:szCs w:val="22"/>
          <w:highlight w:val="none"/>
          <w14:textFill>
            <w14:solidFill>
              <w14:schemeClr w14:val="tx1"/>
            </w14:solidFill>
          </w14:textFill>
        </w:rPr>
        <w:t xml:space="preserve">六   </w:t>
      </w:r>
      <w:bookmarkEnd w:id="170"/>
      <w:r>
        <w:rPr>
          <w:rFonts w:hint="eastAsia" w:ascii="微软雅黑" w:hAnsi="微软雅黑" w:eastAsia="微软雅黑" w:cs="微软雅黑"/>
          <w:b/>
          <w:bCs/>
          <w:color w:val="000000" w:themeColor="text1"/>
          <w:sz w:val="22"/>
          <w:szCs w:val="22"/>
          <w:highlight w:val="none"/>
          <w14:textFill>
            <w14:solidFill>
              <w14:schemeClr w14:val="tx1"/>
            </w14:solidFill>
          </w14:textFill>
        </w:rPr>
        <w:t>确定中标</w:t>
      </w:r>
      <w:bookmarkEnd w:id="171"/>
      <w:bookmarkEnd w:id="172"/>
      <w:bookmarkEnd w:id="173"/>
      <w:bookmarkEnd w:id="174"/>
      <w:bookmarkEnd w:id="175"/>
      <w:bookmarkEnd w:id="176"/>
      <w:bookmarkEnd w:id="177"/>
    </w:p>
    <w:p>
      <w:pPr>
        <w:pStyle w:val="8"/>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78" w:name="_Toc515647788"/>
      <w:bookmarkStart w:id="179" w:name="_Ref467307010"/>
      <w:bookmarkStart w:id="180" w:name="_Toc10050"/>
      <w:bookmarkStart w:id="181" w:name="_Toc23617"/>
      <w:bookmarkStart w:id="182" w:name="_Toc23762"/>
      <w:bookmarkStart w:id="183" w:name="_Toc520356170"/>
      <w:r>
        <w:rPr>
          <w:rFonts w:hint="eastAsia" w:ascii="微软雅黑" w:hAnsi="微软雅黑" w:eastAsia="微软雅黑" w:cs="微软雅黑"/>
          <w:color w:val="000000" w:themeColor="text1"/>
          <w:sz w:val="22"/>
          <w:szCs w:val="22"/>
          <w:highlight w:val="none"/>
          <w:u w:val="none"/>
          <w14:textFill>
            <w14:solidFill>
              <w14:schemeClr w14:val="tx1"/>
            </w14:solidFill>
          </w14:textFill>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184" w:name="_Toc520356171"/>
      <w:bookmarkStart w:id="185" w:name="_Toc515647789"/>
      <w:r>
        <w:rPr>
          <w:rFonts w:hint="eastAsia" w:ascii="微软雅黑" w:hAnsi="微软雅黑" w:eastAsia="微软雅黑" w:cs="微软雅黑"/>
          <w:color w:val="000000" w:themeColor="text1"/>
          <w:sz w:val="22"/>
          <w:szCs w:val="22"/>
          <w:highlight w:val="none"/>
          <w14:textFill>
            <w14:solidFill>
              <w14:schemeClr w14:val="tx1"/>
            </w14:solidFill>
          </w14:textFill>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本项目采用综合评分法。</w:t>
      </w:r>
      <w:bookmarkStart w:id="186" w:name="_Toc9286"/>
      <w:bookmarkStart w:id="187" w:name="_Toc23951"/>
      <w:bookmarkStart w:id="188" w:name="_Toc9653"/>
    </w:p>
    <w:p>
      <w:pPr>
        <w:pageBreakBefore w:val="0"/>
        <w:kinsoku/>
        <w:wordWrap/>
        <w:overflowPunct/>
        <w:topLinePunct w:val="0"/>
        <w:bidi w:val="0"/>
        <w:spacing w:line="400" w:lineRule="exact"/>
        <w:ind w:left="901"/>
        <w:textAlignment w:val="auto"/>
        <w:outlineLvl w:val="2"/>
        <w:rPr>
          <w:rFonts w:hint="eastAsia" w:ascii="微软雅黑" w:hAnsi="微软雅黑" w:eastAsia="微软雅黑" w:cs="微软雅黑"/>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none"/>
          <w14:textFill>
            <w14:solidFill>
              <w14:schemeClr w14:val="tx1"/>
            </w14:solidFill>
          </w14:textFill>
        </w:rPr>
        <w:t>2</w:t>
      </w:r>
      <w:bookmarkEnd w:id="184"/>
      <w:r>
        <w:rPr>
          <w:rFonts w:hint="eastAsia" w:ascii="微软雅黑" w:hAnsi="微软雅黑" w:eastAsia="微软雅黑" w:cs="微软雅黑"/>
          <w:color w:val="000000" w:themeColor="text1"/>
          <w:sz w:val="22"/>
          <w:szCs w:val="22"/>
          <w:highlight w:val="none"/>
          <w:u w:val="none"/>
          <w14:textFill>
            <w14:solidFill>
              <w14:schemeClr w14:val="tx1"/>
            </w14:solidFill>
          </w14:textFill>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评标委员会将根据评标标准，按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w:t>
      </w:r>
      <w:r>
        <w:rPr>
          <w:rFonts w:hint="eastAsia" w:ascii="微软雅黑" w:hAnsi="微软雅黑" w:eastAsia="微软雅黑" w:cs="微软雅黑"/>
          <w:color w:val="000000" w:themeColor="text1"/>
          <w:sz w:val="22"/>
          <w:szCs w:val="22"/>
          <w:highlight w:val="none"/>
          <w14:textFill>
            <w14:solidFill>
              <w14:schemeClr w14:val="tx1"/>
            </w14:solidFill>
          </w14:textFill>
        </w:rPr>
        <w:t>规定数量推荐中标候选人；或根据采购人的委托，直接确定中标人。</w:t>
      </w:r>
    </w:p>
    <w:p>
      <w:pPr>
        <w:pStyle w:val="5"/>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89" w:name="_Toc520356173"/>
      <w:bookmarkStart w:id="190" w:name="_Ref467306874"/>
      <w:bookmarkStart w:id="191" w:name="_Toc28562"/>
      <w:bookmarkStart w:id="192" w:name="_Toc380"/>
      <w:bookmarkStart w:id="193" w:name="_Toc515647790"/>
      <w:bookmarkStart w:id="194" w:name="_Toc8389"/>
      <w:r>
        <w:rPr>
          <w:rFonts w:hint="eastAsia" w:ascii="微软雅黑" w:hAnsi="微软雅黑" w:eastAsia="微软雅黑" w:cs="微软雅黑"/>
          <w:color w:val="000000" w:themeColor="text1"/>
          <w:sz w:val="22"/>
          <w:szCs w:val="22"/>
          <w:highlight w:val="none"/>
          <w:u w:val="none"/>
          <w14:textFill>
            <w14:solidFill>
              <w14:schemeClr w14:val="tx1"/>
            </w14:solidFill>
          </w14:textFill>
        </w:rPr>
        <w:t>28.</w:t>
      </w:r>
      <w:bookmarkEnd w:id="189"/>
      <w:bookmarkEnd w:id="190"/>
      <w:r>
        <w:rPr>
          <w:rFonts w:hint="eastAsia" w:ascii="微软雅黑" w:hAnsi="微软雅黑" w:eastAsia="微软雅黑" w:cs="微软雅黑"/>
          <w:color w:val="000000" w:themeColor="text1"/>
          <w:sz w:val="22"/>
          <w:szCs w:val="22"/>
          <w:highlight w:val="none"/>
          <w:u w:val="none"/>
          <w14:textFill>
            <w14:solidFill>
              <w14:schemeClr w14:val="tx1"/>
            </w14:solidFill>
          </w14:textFill>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因重大变故采购任务取消时，采购人有权拒绝任何供应商中标，且对受影响的供应商不承担任何责任。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196" w:name="_Toc515647791"/>
      <w:bookmarkStart w:id="197" w:name="_Toc8579"/>
      <w:bookmarkStart w:id="198" w:name="_Toc30170"/>
      <w:bookmarkStart w:id="199" w:name="_Toc31099"/>
      <w:r>
        <w:rPr>
          <w:rFonts w:hint="eastAsia" w:ascii="微软雅黑" w:hAnsi="微软雅黑" w:eastAsia="微软雅黑" w:cs="微软雅黑"/>
          <w:color w:val="000000" w:themeColor="text1"/>
          <w:sz w:val="22"/>
          <w:szCs w:val="22"/>
          <w:highlight w:val="none"/>
          <w:u w:val="none"/>
          <w14:textFill>
            <w14:solidFill>
              <w14:schemeClr w14:val="tx1"/>
            </w14:solidFill>
          </w14:textFill>
        </w:rPr>
        <w:t>29.中标通知书</w:t>
      </w:r>
      <w:bookmarkEnd w:id="195"/>
      <w:r>
        <w:rPr>
          <w:rFonts w:hint="eastAsia" w:ascii="微软雅黑" w:hAnsi="微软雅黑" w:eastAsia="微软雅黑" w:cs="微软雅黑"/>
          <w:color w:val="000000" w:themeColor="text1"/>
          <w:sz w:val="22"/>
          <w:szCs w:val="22"/>
          <w:highlight w:val="none"/>
          <w:u w:val="none"/>
          <w14:textFill>
            <w14:solidFill>
              <w14:schemeClr w14:val="tx1"/>
            </w14:solidFill>
          </w14:textFill>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29.3    招标结果通知书和中标通知书同时发出。招标结果通知书中将告知未通过资格审查的供应商未通过的原因；采用综合评分法评审的，还将告知未中标人本人的评审得分和排序。</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00" w:name="_Toc515647792"/>
      <w:bookmarkStart w:id="201" w:name="_Toc7779"/>
      <w:bookmarkStart w:id="202" w:name="_Toc790"/>
      <w:bookmarkStart w:id="203" w:name="_Ref467307062"/>
      <w:bookmarkStart w:id="204" w:name="_Toc520356175"/>
      <w:bookmarkStart w:id="205" w:name="_Ref467306377"/>
      <w:bookmarkStart w:id="206" w:name="_Toc15653"/>
      <w:bookmarkStart w:id="207" w:name="_Ref467307204"/>
      <w:bookmarkStart w:id="208" w:name="_Ref467306978"/>
      <w:r>
        <w:rPr>
          <w:rFonts w:hint="eastAsia" w:ascii="微软雅黑" w:hAnsi="微软雅黑" w:eastAsia="微软雅黑" w:cs="微软雅黑"/>
          <w:color w:val="000000" w:themeColor="text1"/>
          <w:sz w:val="22"/>
          <w:szCs w:val="22"/>
          <w:highlight w:val="none"/>
          <w:u w:val="none"/>
          <w14:textFill>
            <w14:solidFill>
              <w14:schemeClr w14:val="tx1"/>
            </w14:solidFill>
          </w14:textFill>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中标人应当自发出中标通知书之日起</w:t>
      </w: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3</w:t>
      </w:r>
      <w:r>
        <w:rPr>
          <w:rFonts w:hint="eastAsia" w:ascii="微软雅黑" w:hAnsi="微软雅黑" w:eastAsia="微软雅黑" w:cs="微软雅黑"/>
          <w:color w:val="000000" w:themeColor="text1"/>
          <w:sz w:val="22"/>
          <w:szCs w:val="22"/>
          <w:highlight w:val="none"/>
          <w14:textFill>
            <w14:solidFill>
              <w14:schemeClr w14:val="tx1"/>
            </w14:solidFill>
          </w14:textFill>
        </w:rPr>
        <w:t>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30.2</w:t>
      </w:r>
      <w:r>
        <w:rPr>
          <w:rFonts w:hint="eastAsia" w:ascii="微软雅黑" w:hAnsi="微软雅黑" w:eastAsia="微软雅黑" w:cs="微软雅黑"/>
          <w:color w:val="000000" w:themeColor="text1"/>
          <w:sz w:val="22"/>
          <w:szCs w:val="22"/>
          <w:highlight w:val="none"/>
          <w14:textFill>
            <w14:solidFill>
              <w14:schemeClr w14:val="tx1"/>
            </w14:solidFill>
          </w14:textFill>
        </w:rPr>
        <w:tab/>
      </w:r>
      <w:bookmarkStart w:id="209" w:name="_Ref467307090"/>
      <w:bookmarkStart w:id="210" w:name="_Toc520356176"/>
      <w:bookmarkStart w:id="211" w:name="_Ref467306425"/>
      <w:r>
        <w:rPr>
          <w:rFonts w:hint="eastAsia" w:ascii="微软雅黑" w:hAnsi="微软雅黑" w:eastAsia="微软雅黑" w:cs="微软雅黑"/>
          <w:color w:val="000000" w:themeColor="text1"/>
          <w:sz w:val="22"/>
          <w:szCs w:val="22"/>
          <w:highlight w:val="none"/>
          <w14:textFill>
            <w14:solidFill>
              <w14:schemeClr w14:val="tx1"/>
            </w14:solidFill>
          </w14:textFill>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30.3   中标人拒绝与采购人签订合同的，采购人可以按照评审报告推荐的中标候选人名单排序，确定下一中标候选人为中标人，也可以重新开展政府采购活动。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12" w:name="_Toc22555"/>
      <w:bookmarkStart w:id="213" w:name="_Toc14080"/>
      <w:bookmarkStart w:id="214" w:name="_Toc515647793"/>
      <w:bookmarkStart w:id="215" w:name="_Toc20240"/>
      <w:r>
        <w:rPr>
          <w:rFonts w:hint="eastAsia" w:ascii="微软雅黑" w:hAnsi="微软雅黑" w:eastAsia="微软雅黑" w:cs="微软雅黑"/>
          <w:color w:val="000000" w:themeColor="text1"/>
          <w:sz w:val="22"/>
          <w:szCs w:val="22"/>
          <w:highlight w:val="none"/>
          <w14:textFill>
            <w14:solidFill>
              <w14:schemeClr w14:val="tx1"/>
            </w14:solidFill>
          </w14:textFill>
        </w:rPr>
        <w:t>31</w:t>
      </w:r>
      <w:r>
        <w:rPr>
          <w:rFonts w:hint="eastAsia" w:ascii="微软雅黑" w:hAnsi="微软雅黑" w:eastAsia="微软雅黑" w:cs="微软雅黑"/>
          <w:color w:val="000000" w:themeColor="text1"/>
          <w:sz w:val="22"/>
          <w:szCs w:val="22"/>
          <w:highlight w:val="none"/>
          <w:u w:val="none"/>
          <w14:textFill>
            <w14:solidFill>
              <w14:schemeClr w14:val="tx1"/>
            </w14:solidFill>
          </w14:textFill>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31.1</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中标人应按照</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31.2</w:t>
      </w:r>
      <w:r>
        <w:rPr>
          <w:rFonts w:hint="eastAsia" w:ascii="微软雅黑" w:hAnsi="微软雅黑" w:eastAsia="微软雅黑" w:cs="微软雅黑"/>
          <w:color w:val="000000" w:themeColor="text1"/>
          <w:sz w:val="22"/>
          <w:szCs w:val="22"/>
          <w:highlight w:val="none"/>
          <w14:textFill>
            <w14:solidFill>
              <w14:schemeClr w14:val="tx1"/>
            </w14:solidFill>
          </w14:textFill>
        </w:rPr>
        <w:tab/>
      </w:r>
      <w:r>
        <w:rPr>
          <w:rFonts w:hint="eastAsia" w:ascii="微软雅黑" w:hAnsi="微软雅黑" w:eastAsia="微软雅黑" w:cs="微软雅黑"/>
          <w:color w:val="000000" w:themeColor="text1"/>
          <w:sz w:val="22"/>
          <w:szCs w:val="22"/>
          <w:highlight w:val="none"/>
          <w14:textFill>
            <w14:solidFill>
              <w14:schemeClr w14:val="tx1"/>
            </w14:solidFill>
          </w14:textFill>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31.3   如果中标人没有按照上述履约保证金的规定执行，将视为放弃中标资格，中标人的投标保证金将不予退还。在此情况下，采购人可确定下一候选人为中标人，也可以重新开展采购活动。</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16" w:name="_Toc515647794"/>
      <w:bookmarkStart w:id="217" w:name="_Toc29408"/>
      <w:bookmarkStart w:id="218" w:name="_Toc3090"/>
      <w:bookmarkStart w:id="219" w:name="_Toc8972"/>
      <w:r>
        <w:rPr>
          <w:rFonts w:hint="eastAsia" w:ascii="微软雅黑" w:hAnsi="微软雅黑" w:eastAsia="微软雅黑" w:cs="微软雅黑"/>
          <w:color w:val="000000" w:themeColor="text1"/>
          <w:sz w:val="22"/>
          <w:szCs w:val="22"/>
          <w:highlight w:val="none"/>
          <w:u w:val="none"/>
          <w14:textFill>
            <w14:solidFill>
              <w14:schemeClr w14:val="tx1"/>
            </w14:solidFill>
          </w14:textFill>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中标人须按照</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投标须知资料表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规定，向采购代理机构支付中标服务费。</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0" w:name="_Toc7049"/>
      <w:bookmarkStart w:id="221" w:name="_Toc8524"/>
      <w:bookmarkStart w:id="222" w:name="_Toc6923"/>
      <w:bookmarkStart w:id="223" w:name="_Toc515647795"/>
      <w:r>
        <w:rPr>
          <w:rFonts w:hint="eastAsia" w:ascii="微软雅黑" w:hAnsi="微软雅黑" w:eastAsia="微软雅黑" w:cs="微软雅黑"/>
          <w:color w:val="000000" w:themeColor="text1"/>
          <w:sz w:val="22"/>
          <w:szCs w:val="22"/>
          <w:highlight w:val="none"/>
          <w:u w:val="none"/>
          <w14:textFill>
            <w14:solidFill>
              <w14:schemeClr w14:val="tx1"/>
            </w14:solidFill>
          </w14:textFill>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33.1   本项目是否属于信用担保试点范围见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33.2.3 合格的政府采购专业信用担保机构名单见</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4" w:name="_Toc23999"/>
      <w:bookmarkStart w:id="225" w:name="_Toc2133"/>
      <w:bookmarkStart w:id="226" w:name="_Toc515647796"/>
      <w:bookmarkStart w:id="227" w:name="_Toc12709"/>
      <w:r>
        <w:rPr>
          <w:rFonts w:hint="eastAsia" w:ascii="微软雅黑" w:hAnsi="微软雅黑" w:eastAsia="微软雅黑" w:cs="微软雅黑"/>
          <w:color w:val="000000" w:themeColor="text1"/>
          <w:sz w:val="22"/>
          <w:szCs w:val="22"/>
          <w:highlight w:val="none"/>
          <w:u w:val="none"/>
          <w14:textFill>
            <w14:solidFill>
              <w14:schemeClr w14:val="tx1"/>
            </w14:solidFill>
          </w14:textFill>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34.3   为强化采购代理机构内部监督机制，供应商可按</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供应商须知资料表中的</w:t>
      </w:r>
      <w:r>
        <w:rPr>
          <w:rFonts w:hint="eastAsia" w:ascii="微软雅黑" w:hAnsi="微软雅黑" w:eastAsia="微软雅黑" w:cs="微软雅黑"/>
          <w:color w:val="000000" w:themeColor="text1"/>
          <w:sz w:val="22"/>
          <w:szCs w:val="22"/>
          <w:highlight w:val="none"/>
          <w14:textFill>
            <w14:solidFill>
              <w14:schemeClr w14:val="tx1"/>
            </w14:solidFill>
          </w14:textFill>
        </w:rPr>
        <w:t>监督电话和邮箱，反映采购代理机构的廉洁自律等问题。</w:t>
      </w:r>
    </w:p>
    <w:p>
      <w:pPr>
        <w:pStyle w:val="5"/>
        <w:pageBreakBefore w:val="0"/>
        <w:kinsoku/>
        <w:wordWrap/>
        <w:overflowPunct/>
        <w:topLinePunct w:val="0"/>
        <w:bidi w:val="0"/>
        <w:spacing w:before="0" w:after="0" w:line="400" w:lineRule="exact"/>
        <w:textAlignment w:val="auto"/>
        <w:rPr>
          <w:rFonts w:hint="eastAsia" w:ascii="微软雅黑" w:hAnsi="微软雅黑" w:eastAsia="微软雅黑" w:cs="微软雅黑"/>
          <w:color w:val="000000" w:themeColor="text1"/>
          <w:sz w:val="22"/>
          <w:szCs w:val="22"/>
          <w:highlight w:val="none"/>
          <w:u w:val="none"/>
          <w14:textFill>
            <w14:solidFill>
              <w14:schemeClr w14:val="tx1"/>
            </w14:solidFill>
          </w14:textFill>
        </w:rPr>
      </w:pPr>
      <w:bookmarkStart w:id="228" w:name="_Toc11586"/>
      <w:bookmarkStart w:id="229" w:name="_Toc515647797"/>
      <w:bookmarkStart w:id="230" w:name="_Toc12865"/>
      <w:bookmarkStart w:id="231" w:name="_Toc25480"/>
      <w:r>
        <w:rPr>
          <w:rFonts w:hint="eastAsia" w:ascii="微软雅黑" w:hAnsi="微软雅黑" w:eastAsia="微软雅黑" w:cs="微软雅黑"/>
          <w:color w:val="000000" w:themeColor="text1"/>
          <w:sz w:val="22"/>
          <w:szCs w:val="22"/>
          <w:highlight w:val="none"/>
          <w:u w:val="none"/>
          <w14:textFill>
            <w14:solidFill>
              <w14:schemeClr w14:val="tx1"/>
            </w14:solidFill>
          </w14:textFill>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w:t>
      </w:r>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3"/>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38.6  采购方将在正式受理质疑后7个工作日内作出答复。</w:t>
      </w:r>
    </w:p>
    <w:p>
      <w:pPr>
        <w:pStyle w:val="52"/>
        <w:pageBreakBefore w:val="0"/>
        <w:kinsoku/>
        <w:wordWrap/>
        <w:overflowPunct/>
        <w:topLinePunct w:val="0"/>
        <w:bidi w:val="0"/>
        <w:spacing w:line="400" w:lineRule="exact"/>
        <w:jc w:val="both"/>
        <w:textAlignment w:val="auto"/>
        <w:outlineLvl w:val="1"/>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32" w:name="_Toc21569"/>
      <w:bookmarkStart w:id="233" w:name="_Toc19952"/>
      <w:r>
        <w:rPr>
          <w:rFonts w:hint="eastAsia" w:ascii="微软雅黑" w:hAnsi="微软雅黑" w:eastAsia="微软雅黑" w:cs="微软雅黑"/>
          <w:color w:val="000000" w:themeColor="text1"/>
          <w:sz w:val="22"/>
          <w:szCs w:val="22"/>
          <w:highlight w:val="none"/>
          <w14:textFill>
            <w14:solidFill>
              <w14:schemeClr w14:val="tx1"/>
            </w14:solidFill>
          </w14:textFill>
        </w:rPr>
        <w:t>38.7  质疑答复应当包括下列内容：</w:t>
      </w:r>
      <w:bookmarkEnd w:id="232"/>
      <w:bookmarkEnd w:id="233"/>
    </w:p>
    <w:p>
      <w:pPr>
        <w:pStyle w:val="52"/>
        <w:pageBreakBefore w:val="0"/>
        <w:kinsoku/>
        <w:wordWrap/>
        <w:overflowPunct/>
        <w:topLinePunct w:val="0"/>
        <w:bidi w:val="0"/>
        <w:spacing w:line="400" w:lineRule="exact"/>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4" w:name="_Toc20779"/>
      <w:bookmarkStart w:id="235" w:name="_Toc17658"/>
      <w:r>
        <w:rPr>
          <w:rFonts w:hint="eastAsia" w:ascii="微软雅黑" w:hAnsi="微软雅黑" w:eastAsia="微软雅黑" w:cs="微软雅黑"/>
          <w:color w:val="000000" w:themeColor="text1"/>
          <w:sz w:val="22"/>
          <w:szCs w:val="22"/>
          <w:highlight w:val="none"/>
          <w14:textFill>
            <w14:solidFill>
              <w14:schemeClr w14:val="tx1"/>
            </w14:solidFill>
          </w14:textFill>
        </w:rPr>
        <w:t>（一）质疑人的姓名或者名称；</w:t>
      </w:r>
      <w:bookmarkEnd w:id="234"/>
      <w:bookmarkEnd w:id="235"/>
    </w:p>
    <w:p>
      <w:pPr>
        <w:pStyle w:val="52"/>
        <w:pageBreakBefore w:val="0"/>
        <w:kinsoku/>
        <w:wordWrap/>
        <w:overflowPunct/>
        <w:topLinePunct w:val="0"/>
        <w:bidi w:val="0"/>
        <w:spacing w:line="400" w:lineRule="exact"/>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6" w:name="_Toc11809"/>
      <w:bookmarkStart w:id="237" w:name="_Toc7301"/>
      <w:r>
        <w:rPr>
          <w:rFonts w:hint="eastAsia" w:ascii="微软雅黑" w:hAnsi="微软雅黑" w:eastAsia="微软雅黑" w:cs="微软雅黑"/>
          <w:color w:val="000000" w:themeColor="text1"/>
          <w:sz w:val="22"/>
          <w:szCs w:val="22"/>
          <w:highlight w:val="none"/>
          <w14:textFill>
            <w14:solidFill>
              <w14:schemeClr w14:val="tx1"/>
            </w14:solidFill>
          </w14:textFill>
        </w:rPr>
        <w:t>（二）收到质疑函的日期、质疑项目名称及编号；</w:t>
      </w:r>
      <w:bookmarkEnd w:id="236"/>
      <w:bookmarkEnd w:id="237"/>
    </w:p>
    <w:p>
      <w:pPr>
        <w:pStyle w:val="52"/>
        <w:pageBreakBefore w:val="0"/>
        <w:kinsoku/>
        <w:wordWrap/>
        <w:overflowPunct/>
        <w:topLinePunct w:val="0"/>
        <w:bidi w:val="0"/>
        <w:spacing w:line="400" w:lineRule="exact"/>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38" w:name="_Toc15476"/>
      <w:bookmarkStart w:id="239" w:name="_Toc16188"/>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（三）质疑事项、质疑答复的具体内容、事实依据和法律依据；</w:t>
      </w:r>
      <w:bookmarkEnd w:id="238"/>
      <w:bookmarkEnd w:id="239"/>
    </w:p>
    <w:p>
      <w:pPr>
        <w:pStyle w:val="52"/>
        <w:pageBreakBefore w:val="0"/>
        <w:kinsoku/>
        <w:wordWrap/>
        <w:overflowPunct/>
        <w:topLinePunct w:val="0"/>
        <w:bidi w:val="0"/>
        <w:spacing w:line="400" w:lineRule="exact"/>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bookmarkStart w:id="240" w:name="_Toc15845"/>
      <w:bookmarkStart w:id="241" w:name="_Toc16421"/>
      <w:r>
        <w:rPr>
          <w:rFonts w:hint="eastAsia" w:ascii="微软雅黑" w:hAnsi="微软雅黑" w:eastAsia="微软雅黑" w:cs="微软雅黑"/>
          <w:color w:val="000000" w:themeColor="text1"/>
          <w:sz w:val="22"/>
          <w:szCs w:val="22"/>
          <w:highlight w:val="none"/>
          <w14:textFill>
            <w14:solidFill>
              <w14:schemeClr w14:val="tx1"/>
            </w14:solidFill>
          </w14:textFill>
        </w:rPr>
        <w:t>（四）告知质疑供应商依法投诉的权利；</w:t>
      </w:r>
      <w:bookmarkEnd w:id="240"/>
      <w:bookmarkEnd w:id="241"/>
    </w:p>
    <w:p>
      <w:pPr>
        <w:pStyle w:val="52"/>
        <w:pageBreakBefore w:val="0"/>
        <w:kinsoku/>
        <w:wordWrap/>
        <w:overflowPunct/>
        <w:topLinePunct w:val="0"/>
        <w:bidi w:val="0"/>
        <w:spacing w:line="400" w:lineRule="exact"/>
        <w:ind w:firstLine="880" w:firstLineChars="400"/>
        <w:jc w:val="left"/>
        <w:textAlignment w:val="auto"/>
        <w:outlineLvl w:val="2"/>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42" w:name="_Toc12211"/>
      <w:bookmarkStart w:id="243" w:name="_Toc23600"/>
      <w:r>
        <w:rPr>
          <w:rFonts w:hint="eastAsia" w:ascii="微软雅黑" w:hAnsi="微软雅黑" w:eastAsia="微软雅黑" w:cs="微软雅黑"/>
          <w:color w:val="000000" w:themeColor="text1"/>
          <w:sz w:val="22"/>
          <w:szCs w:val="22"/>
          <w:highlight w:val="none"/>
          <w14:textFill>
            <w14:solidFill>
              <w14:schemeClr w14:val="tx1"/>
            </w14:solidFill>
          </w14:textFill>
        </w:rPr>
        <w:t>（五）质疑答复人名称；</w:t>
      </w:r>
      <w:bookmarkEnd w:id="242"/>
      <w:bookmarkEnd w:id="243"/>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（六）答复质疑的日期。</w:t>
      </w:r>
    </w:p>
    <w:p>
      <w:pPr>
        <w:pageBreakBefore w:val="0"/>
        <w:kinsoku/>
        <w:wordWrap/>
        <w:overflowPunct/>
        <w:topLinePunct w:val="0"/>
        <w:bidi w:val="0"/>
        <w:spacing w:line="400" w:lineRule="exact"/>
        <w:jc w:val="center"/>
        <w:textAlignment w:val="auto"/>
        <w:outlineLvl w:val="3"/>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244" w:name="_Toc12854"/>
      <w:bookmarkStart w:id="245" w:name="_Toc11739"/>
      <w:bookmarkStart w:id="246" w:name="_Toc15048"/>
      <w:bookmarkStart w:id="247" w:name="_Toc9376"/>
      <w:bookmarkStart w:id="248" w:name="_Toc25296"/>
      <w:bookmarkStart w:id="249" w:name="_Toc1061"/>
      <w:bookmarkStart w:id="250" w:name="_Toc435"/>
      <w:bookmarkStart w:id="251" w:name="_Toc7867"/>
      <w:bookmarkStart w:id="252" w:name="_Toc30870"/>
      <w:bookmarkStart w:id="253" w:name="_Toc32151"/>
      <w:bookmarkStart w:id="254" w:name="_Toc11576"/>
      <w:bookmarkStart w:id="255" w:name="_Toc7782"/>
      <w:bookmarkStart w:id="256" w:name="_Toc27626"/>
      <w:bookmarkStart w:id="257" w:name="_Toc12135"/>
      <w:bookmarkStart w:id="258" w:name="_Toc11563"/>
      <w:bookmarkStart w:id="259" w:name="_Toc25761"/>
      <w:bookmarkStart w:id="260" w:name="_Toc28257"/>
      <w:bookmarkStart w:id="261" w:name="_Toc2335"/>
      <w:bookmarkStart w:id="262" w:name="_Toc3750"/>
      <w:bookmarkStart w:id="263" w:name="_Toc4670"/>
      <w:bookmarkStart w:id="264" w:name="_Toc20927"/>
      <w:bookmarkStart w:id="265" w:name="_Toc29161"/>
      <w:bookmarkStart w:id="266" w:name="_Toc2251"/>
      <w:bookmarkStart w:id="267" w:name="_Toc2845"/>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质疑函范本</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pageBreakBefore w:val="0"/>
        <w:kinsoku/>
        <w:wordWrap/>
        <w:overflowPunct/>
        <w:topLinePunct w:val="0"/>
        <w:bidi w:val="0"/>
        <w:adjustRightInd w:val="0"/>
        <w:snapToGrid w:val="0"/>
        <w:spacing w:line="400" w:lineRule="exact"/>
        <w:textAlignment w:val="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68" w:name="_Toc13218"/>
      <w:bookmarkStart w:id="269" w:name="_Toc21888"/>
      <w:bookmarkStart w:id="270" w:name="_Toc19289"/>
      <w:bookmarkStart w:id="271" w:name="_Toc4348"/>
      <w:bookmarkStart w:id="272" w:name="_Toc3356"/>
      <w:bookmarkStart w:id="273" w:name="_Toc7044"/>
      <w:bookmarkStart w:id="274" w:name="_Toc26321"/>
      <w:bookmarkStart w:id="275" w:name="_Toc23190"/>
      <w:bookmarkStart w:id="276" w:name="_Toc24926"/>
      <w:bookmarkStart w:id="277" w:name="_Toc32439"/>
      <w:bookmarkStart w:id="278" w:name="_Toc9491"/>
      <w:bookmarkStart w:id="279" w:name="_Toc6833"/>
      <w:bookmarkStart w:id="280" w:name="_Toc8620"/>
      <w:bookmarkStart w:id="281" w:name="_Toc31020"/>
      <w:bookmarkStart w:id="282" w:name="_Toc9787"/>
      <w:bookmarkStart w:id="283" w:name="_Toc28797"/>
      <w:bookmarkStart w:id="284" w:name="_Toc20504"/>
      <w:bookmarkStart w:id="285" w:name="_Toc7517"/>
      <w:bookmarkStart w:id="286" w:name="_Toc14896"/>
      <w:bookmarkStart w:id="287" w:name="_Toc25883"/>
      <w:bookmarkStart w:id="288" w:name="_Toc18345"/>
      <w:bookmarkStart w:id="289" w:name="_Toc7313"/>
      <w:bookmarkStart w:id="290" w:name="_Toc3250"/>
      <w:bookmarkStart w:id="291" w:name="_Toc29534"/>
      <w:bookmarkStart w:id="292" w:name="_Toc24391"/>
      <w:r>
        <w:rPr>
          <w:rFonts w:hint="eastAsia" w:ascii="微软雅黑" w:hAnsi="微软雅黑" w:eastAsia="微软雅黑" w:cs="微软雅黑"/>
          <w:color w:val="000000" w:themeColor="text1"/>
          <w:sz w:val="22"/>
          <w:szCs w:val="22"/>
          <w:highlight w:val="none"/>
          <w14:textFill>
            <w14:solidFill>
              <w14:schemeClr w14:val="tx1"/>
            </w14:solidFill>
          </w14:textFill>
        </w:rPr>
        <w:t>一、质疑供应商基本信息</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质疑供应商：</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地址：</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邮编：</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联系人：</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授权代表：</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地址： </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邮编：</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293" w:name="_Toc13889"/>
      <w:bookmarkStart w:id="294" w:name="_Toc14030"/>
      <w:bookmarkStart w:id="295" w:name="_Toc21544"/>
      <w:bookmarkStart w:id="296" w:name="_Toc3694"/>
      <w:bookmarkStart w:id="297" w:name="_Toc11512"/>
      <w:bookmarkStart w:id="298" w:name="_Toc4409"/>
      <w:bookmarkStart w:id="299" w:name="_Toc21513"/>
      <w:bookmarkStart w:id="300" w:name="_Toc12957"/>
      <w:bookmarkStart w:id="301" w:name="_Toc13274"/>
      <w:bookmarkStart w:id="302" w:name="_Toc226"/>
      <w:bookmarkStart w:id="303" w:name="_Toc25142"/>
      <w:bookmarkStart w:id="304" w:name="_Toc20123"/>
      <w:bookmarkStart w:id="305" w:name="_Toc27681"/>
      <w:bookmarkStart w:id="306" w:name="_Toc30222"/>
      <w:bookmarkStart w:id="307" w:name="_Toc18511"/>
      <w:bookmarkStart w:id="308" w:name="_Toc663"/>
      <w:bookmarkStart w:id="309" w:name="_Toc2978"/>
      <w:bookmarkStart w:id="310" w:name="_Toc32138"/>
      <w:bookmarkStart w:id="311" w:name="_Toc21282"/>
      <w:bookmarkStart w:id="312" w:name="_Toc32083"/>
      <w:bookmarkStart w:id="313" w:name="_Toc12179"/>
      <w:bookmarkStart w:id="314" w:name="_Toc31363"/>
      <w:bookmarkStart w:id="315" w:name="_Toc74"/>
      <w:bookmarkStart w:id="316" w:name="_Toc14797"/>
      <w:bookmarkStart w:id="317" w:name="_Toc9221"/>
      <w:r>
        <w:rPr>
          <w:rFonts w:hint="eastAsia" w:ascii="微软雅黑" w:hAnsi="微软雅黑" w:eastAsia="微软雅黑" w:cs="微软雅黑"/>
          <w:color w:val="000000" w:themeColor="text1"/>
          <w:sz w:val="22"/>
          <w:szCs w:val="22"/>
          <w:highlight w:val="none"/>
          <w14:textFill>
            <w14:solidFill>
              <w14:schemeClr w14:val="tx1"/>
            </w14:solidFill>
          </w14:textFill>
        </w:rPr>
        <w:t>二、质疑项目基本情况</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质疑项目的名称：</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质疑项目的编号：</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2"/>
          <w:szCs w:val="22"/>
          <w:highlight w:val="none"/>
          <w14:textFill>
            <w14:solidFill>
              <w14:schemeClr w14:val="tx1"/>
            </w14:solidFill>
          </w14:textFill>
        </w:rPr>
        <w:t>：</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采购人名称：</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采购文件获取日期：</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18" w:name="_Toc4900"/>
      <w:bookmarkStart w:id="319" w:name="_Toc4484"/>
      <w:bookmarkStart w:id="320" w:name="_Toc17475"/>
      <w:bookmarkStart w:id="321" w:name="_Toc12111"/>
      <w:bookmarkStart w:id="322" w:name="_Toc6588"/>
      <w:bookmarkStart w:id="323" w:name="_Toc27984"/>
      <w:bookmarkStart w:id="324" w:name="_Toc29781"/>
      <w:bookmarkStart w:id="325" w:name="_Toc4978"/>
      <w:bookmarkStart w:id="326" w:name="_Toc25561"/>
      <w:bookmarkStart w:id="327" w:name="_Toc11812"/>
      <w:bookmarkStart w:id="328" w:name="_Toc14635"/>
      <w:bookmarkStart w:id="329" w:name="_Toc2701"/>
      <w:bookmarkStart w:id="330" w:name="_Toc12401"/>
      <w:bookmarkStart w:id="331" w:name="_Toc28889"/>
      <w:bookmarkStart w:id="332" w:name="_Toc21917"/>
      <w:bookmarkStart w:id="333" w:name="_Toc17103"/>
      <w:bookmarkStart w:id="334" w:name="_Toc21764"/>
      <w:bookmarkStart w:id="335" w:name="_Toc11713"/>
      <w:bookmarkStart w:id="336" w:name="_Toc17609"/>
      <w:bookmarkStart w:id="337" w:name="_Toc31949"/>
      <w:bookmarkStart w:id="338" w:name="_Toc21644"/>
      <w:bookmarkStart w:id="339" w:name="_Toc3773"/>
      <w:bookmarkStart w:id="340" w:name="_Toc10982"/>
      <w:bookmarkStart w:id="341" w:name="_Toc29141"/>
      <w:bookmarkStart w:id="342" w:name="_Toc1349"/>
      <w:r>
        <w:rPr>
          <w:rFonts w:hint="eastAsia" w:ascii="微软雅黑" w:hAnsi="微软雅黑" w:eastAsia="微软雅黑" w:cs="微软雅黑"/>
          <w:color w:val="000000" w:themeColor="text1"/>
          <w:sz w:val="22"/>
          <w:szCs w:val="22"/>
          <w:highlight w:val="none"/>
          <w14:textFill>
            <w14:solidFill>
              <w14:schemeClr w14:val="tx1"/>
            </w14:solidFill>
          </w14:textFill>
        </w:rPr>
        <w:t>三、质疑事项具体内容</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质疑事项1：</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事实依据：</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法律依据：</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kinsoku/>
        <w:wordWrap/>
        <w:overflowPunct/>
        <w:topLinePunct w:val="0"/>
        <w:bidi w:val="0"/>
        <w:adjustRightInd w:val="0"/>
        <w:snapToGrid w:val="0"/>
        <w:spacing w:line="400" w:lineRule="exact"/>
        <w:textAlignment w:val="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43" w:name="_Toc11711"/>
      <w:bookmarkStart w:id="344" w:name="_Toc23756"/>
      <w:bookmarkStart w:id="345" w:name="_Toc8209"/>
      <w:bookmarkStart w:id="346" w:name="_Toc9732"/>
      <w:bookmarkStart w:id="347" w:name="_Toc29909"/>
      <w:bookmarkStart w:id="348" w:name="_Toc19138"/>
      <w:bookmarkStart w:id="349" w:name="_Toc2037"/>
      <w:bookmarkStart w:id="350" w:name="_Toc4583"/>
      <w:bookmarkStart w:id="351" w:name="_Toc11725"/>
      <w:bookmarkStart w:id="352" w:name="_Toc20492"/>
      <w:bookmarkStart w:id="353" w:name="_Toc15359"/>
      <w:bookmarkStart w:id="354" w:name="_Toc12953"/>
      <w:bookmarkStart w:id="355" w:name="_Toc25423"/>
      <w:bookmarkStart w:id="356" w:name="_Toc20101"/>
      <w:bookmarkStart w:id="357" w:name="_Toc11900"/>
      <w:bookmarkStart w:id="358" w:name="_Toc20753"/>
      <w:bookmarkStart w:id="359" w:name="_Toc14902"/>
      <w:bookmarkStart w:id="360" w:name="_Toc19830"/>
      <w:bookmarkStart w:id="361" w:name="_Toc13154"/>
      <w:bookmarkStart w:id="362" w:name="_Toc15774"/>
      <w:bookmarkStart w:id="363" w:name="_Toc14716"/>
      <w:bookmarkStart w:id="364" w:name="_Toc30785"/>
      <w:bookmarkStart w:id="365" w:name="_Toc19561"/>
      <w:bookmarkStart w:id="366" w:name="_Toc17471"/>
      <w:bookmarkStart w:id="367" w:name="_Toc31962"/>
      <w:r>
        <w:rPr>
          <w:rFonts w:hint="eastAsia" w:ascii="微软雅黑" w:hAnsi="微软雅黑" w:eastAsia="微软雅黑" w:cs="微软雅黑"/>
          <w:color w:val="000000" w:themeColor="text1"/>
          <w:sz w:val="22"/>
          <w:szCs w:val="22"/>
          <w:highlight w:val="none"/>
          <w14:textFill>
            <w14:solidFill>
              <w14:schemeClr w14:val="tx1"/>
            </w14:solidFill>
          </w14:textFill>
        </w:rPr>
        <w:t>四、与质疑事项相关的质疑请求</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000000" w:themeColor="text1"/>
          <w:sz w:val="22"/>
          <w:szCs w:val="22"/>
          <w:highlight w:val="none"/>
          <w:u w:val="dotted"/>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请求：</w:t>
      </w:r>
      <w:r>
        <w:rPr>
          <w:rFonts w:hint="eastAsia" w:ascii="微软雅黑" w:hAnsi="微软雅黑" w:eastAsia="微软雅黑" w:cs="微软雅黑"/>
          <w:color w:val="000000" w:themeColor="text1"/>
          <w:sz w:val="22"/>
          <w:szCs w:val="22"/>
          <w:highlight w:val="none"/>
          <w:u w:val="dotted"/>
          <w14:textFill>
            <w14:solidFill>
              <w14:schemeClr w14:val="tx1"/>
            </w14:solidFill>
          </w14:textFill>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质疑函制作说明：</w:t>
      </w:r>
    </w:p>
    <w:p>
      <w:pPr>
        <w:pageBreakBefore w:val="0"/>
        <w:widowControl/>
        <w:kinsoku/>
        <w:wordWrap/>
        <w:overflowPunct/>
        <w:topLinePunct w:val="0"/>
        <w:bidi w:val="0"/>
        <w:spacing w:line="400" w:lineRule="exact"/>
        <w:ind w:firstLine="440" w:firstLineChars="200"/>
        <w:jc w:val="left"/>
        <w:textAlignment w:val="auto"/>
        <w:outlineLvl w:val="4"/>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2.质疑供应商若委托代理人进行质疑的，质疑函应按要求列明“授权代表”的有关内容，并在附件中提交由质疑</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3.质疑供应商若对项目的某一分包进行质疑，质疑函中应列明具体分</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2"/>
          <w:szCs w:val="22"/>
          <w:highlight w:val="none"/>
          <w14:textFill>
            <w14:solidFill>
              <w14:schemeClr w14:val="tx1"/>
            </w14:solidFill>
          </w14:textFill>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outlineLvl w:val="4"/>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bookmarkStart w:id="368" w:name="_Toc515647799"/>
      <w:bookmarkStart w:id="369" w:name="_Toc18045"/>
      <w:bookmarkStart w:id="370" w:name="_Toc26168"/>
      <w:bookmarkStart w:id="371" w:name="_Toc16186"/>
      <w:bookmarkStart w:id="372" w:name="_Toc21748"/>
      <w:bookmarkStart w:id="373" w:name="_Toc22796"/>
      <w:bookmarkStart w:id="374" w:name="_Toc350"/>
      <w:bookmarkStart w:id="375" w:name="_Toc9538"/>
    </w:p>
    <w:p>
      <w:pPr>
        <w:rPr>
          <w:rFonts w:hint="eastAsia" w:ascii="微软雅黑" w:hAnsi="微软雅黑" w:eastAsia="微软雅黑" w:cs="微软雅黑"/>
          <w:color w:val="000000" w:themeColor="text1"/>
          <w:sz w:val="22"/>
          <w:szCs w:val="22"/>
          <w:highlight w:val="none"/>
          <w14:textFill>
            <w14:solidFill>
              <w14:schemeClr w14:val="tx1"/>
            </w14:solidFill>
          </w14:textFill>
        </w:rPr>
      </w:pPr>
    </w:p>
    <w:bookmarkEnd w:id="368"/>
    <w:bookmarkEnd w:id="369"/>
    <w:bookmarkEnd w:id="370"/>
    <w:bookmarkEnd w:id="371"/>
    <w:bookmarkEnd w:id="372"/>
    <w:bookmarkEnd w:id="373"/>
    <w:bookmarkEnd w:id="374"/>
    <w:bookmarkEnd w:id="375"/>
    <w:p>
      <w:pPr>
        <w:pStyle w:val="3"/>
        <w:spacing w:before="0" w:after="0" w:line="240" w:lineRule="atLeast"/>
        <w:jc w:val="both"/>
        <w:outlineLvl w:val="9"/>
        <w:rPr>
          <w:rFonts w:hint="eastAsia" w:ascii="微软雅黑" w:hAnsi="微软雅黑" w:eastAsia="微软雅黑" w:cs="微软雅黑"/>
          <w:color w:val="000000" w:themeColor="text1"/>
          <w:sz w:val="32"/>
          <w:szCs w:val="32"/>
          <w:highlight w:val="none"/>
          <w14:textFill>
            <w14:solidFill>
              <w14:schemeClr w14:val="tx1"/>
            </w14:solidFill>
          </w14:textFill>
        </w:rPr>
        <w:sectPr>
          <w:footerReference r:id="rId6" w:type="default"/>
          <w:pgSz w:w="11905" w:h="16838"/>
          <w:pgMar w:top="1440" w:right="1797" w:bottom="1440" w:left="1797" w:header="851" w:footer="992" w:gutter="0"/>
          <w:pgNumType w:fmt="decimal" w:start="1"/>
          <w:cols w:space="0" w:num="1"/>
          <w:rtlGutter w:val="0"/>
          <w:docGrid w:linePitch="312" w:charSpace="0"/>
        </w:sectPr>
      </w:pPr>
      <w:bookmarkStart w:id="376" w:name="_Toc728"/>
      <w:bookmarkStart w:id="377" w:name="_Toc515647802"/>
      <w:bookmarkStart w:id="378" w:name="_Toc702"/>
      <w:bookmarkStart w:id="379" w:name="_Toc29770"/>
      <w:bookmarkStart w:id="380" w:name="_Toc216582812"/>
    </w:p>
    <w:p>
      <w:pPr>
        <w:pStyle w:val="3"/>
        <w:spacing w:before="0" w:after="0" w:line="240" w:lineRule="atLeast"/>
        <w:jc w:val="center"/>
        <w:rPr>
          <w:rFonts w:hint="eastAsia" w:ascii="微软雅黑" w:hAnsi="微软雅黑" w:eastAsia="微软雅黑" w:cs="微软雅黑"/>
          <w:color w:val="000000" w:themeColor="text1"/>
          <w:sz w:val="48"/>
          <w:szCs w:val="48"/>
          <w:highlight w:val="none"/>
          <w14:textFill>
            <w14:solidFill>
              <w14:schemeClr w14:val="tx1"/>
            </w14:solidFill>
          </w14:textFill>
        </w:rPr>
      </w:pPr>
      <w:bookmarkStart w:id="381" w:name="_Toc9441"/>
      <w:r>
        <w:rPr>
          <w:rFonts w:hint="eastAsia" w:ascii="微软雅黑" w:hAnsi="微软雅黑" w:eastAsia="微软雅黑" w:cs="微软雅黑"/>
          <w:color w:val="000000" w:themeColor="text1"/>
          <w:sz w:val="32"/>
          <w:szCs w:val="32"/>
          <w:highlight w:val="none"/>
          <w14:textFill>
            <w14:solidFill>
              <w14:schemeClr w14:val="tx1"/>
            </w14:solidFill>
          </w14:textFill>
        </w:rPr>
        <w:t>第2章   投标文件格式</w:t>
      </w:r>
      <w:bookmarkEnd w:id="376"/>
      <w:bookmarkEnd w:id="377"/>
      <w:bookmarkEnd w:id="378"/>
      <w:bookmarkEnd w:id="379"/>
      <w:bookmarkEnd w:id="380"/>
      <w:bookmarkEnd w:id="381"/>
    </w:p>
    <w:p>
      <w:pPr>
        <w:pStyle w:val="4"/>
        <w:spacing w:before="0" w:line="240" w:lineRule="atLeast"/>
        <w:ind w:left="1080" w:leftChars="257" w:hanging="540"/>
        <w:rPr>
          <w:rFonts w:hint="eastAsia" w:ascii="微软雅黑" w:hAnsi="微软雅黑" w:eastAsia="微软雅黑" w:cs="微软雅黑"/>
          <w:color w:val="000000" w:themeColor="text1"/>
          <w:kern w:val="2"/>
          <w:sz w:val="24"/>
          <w:szCs w:val="24"/>
          <w:highlight w:val="none"/>
          <w14:textFill>
            <w14:solidFill>
              <w14:schemeClr w14:val="tx1"/>
            </w14:solidFill>
          </w14:textFill>
        </w:rPr>
      </w:pPr>
      <w:bookmarkStart w:id="382" w:name="_Toc18694"/>
      <w:bookmarkStart w:id="383" w:name="_Toc515647803"/>
      <w:bookmarkStart w:id="384" w:name="_Toc18974"/>
      <w:bookmarkStart w:id="385" w:name="_Toc22572"/>
      <w:bookmarkStart w:id="386" w:name="_Toc1563"/>
      <w:r>
        <w:rPr>
          <w:rFonts w:hint="eastAsia" w:ascii="微软雅黑" w:hAnsi="微软雅黑" w:eastAsia="微软雅黑" w:cs="微软雅黑"/>
          <w:color w:val="000000" w:themeColor="text1"/>
          <w:kern w:val="2"/>
          <w:sz w:val="24"/>
          <w:szCs w:val="24"/>
          <w:highlight w:val="none"/>
          <w14:textFill>
            <w14:solidFill>
              <w14:schemeClr w14:val="tx1"/>
            </w14:solidFill>
          </w14:textFill>
        </w:rPr>
        <w:t>第一部分 开标一览表及资格证明文件</w:t>
      </w:r>
      <w:bookmarkEnd w:id="382"/>
      <w:bookmarkEnd w:id="383"/>
      <w:bookmarkEnd w:id="384"/>
      <w:bookmarkEnd w:id="385"/>
      <w:bookmarkEnd w:id="386"/>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w:t>
      </w:r>
      <w:r>
        <w:rPr>
          <w:rFonts w:hint="eastAsia" w:ascii="微软雅黑" w:hAnsi="微软雅黑" w:eastAsia="微软雅黑" w:cs="微软雅黑"/>
          <w:color w:val="000000" w:themeColor="text1"/>
          <w:sz w:val="24"/>
          <w:szCs w:val="24"/>
          <w:highlight w:val="none"/>
          <w14:textFill>
            <w14:solidFill>
              <w14:schemeClr w14:val="tx1"/>
            </w14:solidFill>
          </w14:textFill>
        </w:rPr>
        <w:t>开标一览表；</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3、具有独立法人资格或是具有独立承担民事责任能力的其它组织（法人或者非法人组织的营业执照等证明文件扫描件）；</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4、法人投标需提供法人身份证明及身份证复印件，被授权委托人需提供法人授权委托书及身份证复印件；</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5、投标单位提供本单位法人或授权委托人依法缴纳近三个月（任何一个月）的社保证明单位缴费和个人明细表；</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6、提供税务部门出具近三个月（任何一个月）的完税证明，依法免缴的应提供依法免缴的相关证明文件和零申报报表，扫描件；；</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8、投标保证金收据扫描件或银行转款证明扫描件或支票扫描件、汇票扫描件；</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9、参与政府采购活动前3年内未被列入失信、重大税收违法案件、财政部门禁止参加政府采购活动的承诺书；</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2"/>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10、提供针对本次项目的反商业贿赂承诺书。</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11、本项目不接受联合体投标（提供非联合体投标承诺函，承诺函格式自拟）；</w:t>
      </w: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供应商可提供有利于投标的其他资格证明材料。</w:t>
      </w:r>
    </w:p>
    <w:p>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b/>
          <w:bCs/>
          <w:color w:val="000000" w:themeColor="text1"/>
          <w:highlight w:val="none"/>
          <w14:textFill>
            <w14:solidFill>
              <w14:schemeClr w14:val="tx1"/>
            </w14:solidFill>
          </w14:textFill>
        </w:rPr>
      </w:pPr>
      <w:bookmarkStart w:id="387" w:name="_Toc15286"/>
      <w:bookmarkStart w:id="388" w:name="_Toc10957"/>
      <w:bookmarkStart w:id="389" w:name="_Toc30524"/>
      <w:bookmarkStart w:id="390" w:name="_Toc515647804"/>
      <w:bookmarkStart w:id="391" w:name="_Toc16568"/>
    </w:p>
    <w:p>
      <w:pPr>
        <w:pStyle w:val="4"/>
        <w:spacing w:before="0" w:line="240" w:lineRule="atLeast"/>
        <w:jc w:val="center"/>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392" w:name="_Toc25917"/>
      <w:bookmarkStart w:id="393" w:name="_Toc8165"/>
      <w:bookmarkStart w:id="394" w:name="_Toc32480"/>
      <w:bookmarkStart w:id="395" w:name="_Toc2679"/>
      <w:bookmarkStart w:id="396" w:name="_Toc5230"/>
      <w:r>
        <w:rPr>
          <w:rFonts w:hint="eastAsia" w:ascii="微软雅黑" w:hAnsi="微软雅黑" w:eastAsia="微软雅黑" w:cs="微软雅黑"/>
          <w:b/>
          <w:bCs/>
          <w:color w:val="000000" w:themeColor="text1"/>
          <w:sz w:val="24"/>
          <w:szCs w:val="24"/>
          <w:highlight w:val="none"/>
          <w14:textFill>
            <w14:solidFill>
              <w14:schemeClr w14:val="tx1"/>
            </w14:solidFill>
          </w14:textFill>
        </w:rPr>
        <w:t>1  开标一览表</w:t>
      </w:r>
      <w:bookmarkEnd w:id="387"/>
      <w:bookmarkEnd w:id="388"/>
      <w:bookmarkEnd w:id="389"/>
      <w:bookmarkEnd w:id="390"/>
      <w:bookmarkEnd w:id="391"/>
      <w:bookmarkEnd w:id="392"/>
      <w:bookmarkEnd w:id="393"/>
      <w:bookmarkEnd w:id="394"/>
      <w:bookmarkEnd w:id="395"/>
      <w:bookmarkEnd w:id="396"/>
      <w:bookmarkStart w:id="397" w:name="_Hlt520356241"/>
      <w:bookmarkEnd w:id="397"/>
      <w:bookmarkStart w:id="398" w:name="_Toc494296984"/>
      <w:bookmarkStart w:id="399" w:name="_Toc480942349"/>
      <w:bookmarkStart w:id="400" w:name="_Ref467988698"/>
      <w:bookmarkStart w:id="401" w:name="_Toc520356217"/>
      <w:bookmarkStart w:id="402" w:name="_Toc216582813"/>
    </w:p>
    <w:p>
      <w:pPr>
        <w:pStyle w:val="8"/>
        <w:tabs>
          <w:tab w:val="left" w:pos="5580"/>
        </w:tabs>
        <w:spacing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p>
    <w:p>
      <w:pPr>
        <w:tabs>
          <w:tab w:val="left" w:pos="1800"/>
          <w:tab w:val="left" w:pos="5580"/>
        </w:tabs>
        <w:spacing w:line="240" w:lineRule="atLeast"/>
        <w:ind w:right="-867" w:rightChars="-41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报价单位：人民币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元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号：       </w:t>
      </w:r>
    </w:p>
    <w:tbl>
      <w:tblPr>
        <w:tblStyle w:val="28"/>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大写：</w:t>
            </w:r>
          </w:p>
          <w:p>
            <w:pPr>
              <w:tabs>
                <w:tab w:val="left" w:pos="5580"/>
              </w:tabs>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供应商名称（公章）：</w:t>
      </w:r>
    </w:p>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法定代表人或委托代理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人</w:t>
      </w:r>
      <w:r>
        <w:rPr>
          <w:rFonts w:hint="eastAsia" w:ascii="微软雅黑" w:hAnsi="微软雅黑" w:eastAsia="微软雅黑" w:cs="微软雅黑"/>
          <w:color w:val="000000" w:themeColor="text1"/>
          <w:sz w:val="24"/>
          <w:szCs w:val="24"/>
          <w:highlight w:val="none"/>
          <w14:textFill>
            <w14:solidFill>
              <w14:schemeClr w14:val="tx1"/>
            </w14:solidFill>
          </w14:textFill>
        </w:rPr>
        <w:t>(签字</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tabs>
          <w:tab w:val="left" w:pos="558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注:1、此表应按供应商须知的规定装订密封。</w:t>
      </w:r>
    </w:p>
    <w:p>
      <w:pPr>
        <w:pStyle w:val="15"/>
        <w:numPr>
          <w:ilvl w:val="0"/>
          <w:numId w:val="5"/>
        </w:numPr>
        <w:tabs>
          <w:tab w:val="left" w:pos="5580"/>
        </w:tabs>
        <w:spacing w:line="240" w:lineRule="atLeast"/>
        <w:ind w:left="1079" w:leftChars="428" w:hanging="180" w:hangingChars="75"/>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此表中，每包的投标总价应和投标分项报价表的总价相一致。</w:t>
      </w:r>
    </w:p>
    <w:p>
      <w:pPr>
        <w:pStyle w:val="15"/>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此报价中包含运费、安装调试费、税费等一切与本项目相关的费用。</w:t>
      </w:r>
    </w:p>
    <w:p>
      <w:pPr>
        <w:pStyle w:val="15"/>
        <w:numPr>
          <w:ilvl w:val="0"/>
          <w:numId w:val="5"/>
        </w:numPr>
        <w:tabs>
          <w:tab w:val="left" w:pos="5580"/>
        </w:tabs>
        <w:spacing w:line="240" w:lineRule="atLeast"/>
        <w:ind w:left="1079" w:leftChars="428" w:hanging="180" w:hangingChars="7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后参与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评</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。对于同时属于小微企业、监狱企业或残疾人福利性单位的，不重复进行</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投标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报价扣除。</w:t>
      </w:r>
    </w:p>
    <w:bookmarkEnd w:id="398"/>
    <w:p>
      <w:pPr>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403" w:name="_Toc31862"/>
    </w:p>
    <w:p>
      <w:pP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highlight w:val="none"/>
          <w14:textFill>
            <w14:solidFill>
              <w14:schemeClr w14:val="tx1"/>
            </w14:solidFill>
          </w14:textFill>
        </w:rPr>
      </w:pPr>
    </w:p>
    <w:bookmarkEnd w:id="403"/>
    <w:p>
      <w:pPr>
        <w:pStyle w:val="22"/>
        <w:rPr>
          <w:rFonts w:hint="eastAsia" w:ascii="微软雅黑" w:hAnsi="微软雅黑" w:eastAsia="微软雅黑" w:cs="微软雅黑"/>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outlineLvl w:val="1"/>
        <w:rPr>
          <w:rFonts w:hint="eastAsia" w:ascii="微软雅黑" w:hAnsi="微软雅黑" w:eastAsia="微软雅黑" w:cs="微软雅黑"/>
          <w:b/>
          <w:bCs/>
          <w:color w:val="000000" w:themeColor="text1"/>
          <w:kern w:val="0"/>
          <w:highlight w:val="none"/>
          <w14:textFill>
            <w14:solidFill>
              <w14:schemeClr w14:val="tx1"/>
            </w14:solidFill>
          </w14:textFill>
        </w:rPr>
      </w:pPr>
      <w:bookmarkStart w:id="404" w:name="_Toc32348"/>
      <w:bookmarkStart w:id="405" w:name="_Toc26601"/>
      <w:r>
        <w:rPr>
          <w:rFonts w:hint="eastAsia" w:ascii="微软雅黑" w:hAnsi="微软雅黑" w:eastAsia="微软雅黑" w:cs="微软雅黑"/>
          <w:b/>
          <w:bCs/>
          <w:color w:val="000000" w:themeColor="text1"/>
          <w:highlight w:val="none"/>
          <w14:textFill>
            <w14:solidFill>
              <w14:schemeClr w14:val="tx1"/>
            </w14:solidFill>
          </w14:textFill>
        </w:rPr>
        <w:t xml:space="preserve">2 </w:t>
      </w:r>
      <w:bookmarkEnd w:id="404"/>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须提供查询记录并加盖公章）</w:t>
      </w:r>
      <w:r>
        <w:rPr>
          <w:rFonts w:hint="eastAsia" w:ascii="微软雅黑" w:hAnsi="微软雅黑" w:eastAsia="微软雅黑" w:cs="微软雅黑"/>
          <w:b/>
          <w:bCs/>
          <w:color w:val="000000" w:themeColor="text1"/>
          <w:highlight w:val="none"/>
          <w14:textFill>
            <w14:solidFill>
              <w14:schemeClr w14:val="tx1"/>
            </w14:solidFill>
          </w14:textFill>
        </w:rPr>
        <w:t>；</w:t>
      </w:r>
      <w:bookmarkEnd w:id="405"/>
    </w:p>
    <w:p>
      <w:pPr>
        <w:pStyle w:val="15"/>
        <w:numPr>
          <w:ilvl w:val="0"/>
          <w:numId w:val="0"/>
        </w:numPr>
        <w:tabs>
          <w:tab w:val="left" w:pos="5580"/>
        </w:tabs>
        <w:spacing w:line="240" w:lineRule="atLeas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说明：</w:t>
      </w:r>
      <w:r>
        <w:rPr>
          <w:rFonts w:hint="eastAsia" w:ascii="微软雅黑" w:hAnsi="微软雅黑" w:eastAsia="微软雅黑" w:cs="微软雅黑"/>
          <w:color w:val="000000" w:themeColor="text1"/>
          <w:sz w:val="24"/>
          <w:szCs w:val="24"/>
          <w:highlight w:val="none"/>
          <w14:textFill>
            <w14:solidFill>
              <w14:schemeClr w14:val="tx1"/>
            </w14:solidFill>
          </w14:textFill>
        </w:rPr>
        <w:t>投标人必须满足《中华人民共和国政府采购法》第二十二条要求。</w:t>
      </w: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0" w:firstLineChars="0"/>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27"/>
        <w:spacing w:line="400" w:lineRule="exact"/>
        <w:ind w:firstLine="480" w:firstLineChars="200"/>
        <w:outlineLvl w:val="1"/>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bookmarkStart w:id="406" w:name="_Toc30899"/>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3  具有独立法人资格或是具有独立承担民事责任能力的其它组织（法人或者非法人组织的营业执照等证明文件扫描件）；</w:t>
      </w:r>
      <w:bookmarkEnd w:id="406"/>
    </w:p>
    <w:p>
      <w:pP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说明：1.提供有效的营业执照正本或副本，须上传扫描件并加盖本单位公章等证明文件。</w:t>
      </w:r>
    </w:p>
    <w:p>
      <w:pP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 xml:space="preserve">      2. 投标人为自然人的，应提供身份证明扫描件。</w:t>
      </w: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 xml:space="preserve">  3.联合体投标应提供联合体各方满足以上要求的证明文件。</w:t>
      </w: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pStyle w:val="27"/>
        <w:spacing w:line="400" w:lineRule="exact"/>
        <w:ind w:firstLine="480" w:firstLineChars="20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07" w:name="_Toc2848"/>
    </w:p>
    <w:p>
      <w:pPr>
        <w:pStyle w:val="2"/>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pStyle w:val="8"/>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pStyle w:val="8"/>
        <w:rPr>
          <w:rFonts w:hint="eastAsia"/>
          <w:color w:val="000000" w:themeColor="text1"/>
          <w:highlight w:val="none"/>
          <w14:textFill>
            <w14:solidFill>
              <w14:schemeClr w14:val="tx1"/>
            </w14:solidFill>
          </w14:textFill>
        </w:rPr>
      </w:pPr>
    </w:p>
    <w:p>
      <w:pPr>
        <w:pStyle w:val="9"/>
        <w:rPr>
          <w:rFonts w:hint="eastAsia"/>
          <w:color w:val="000000" w:themeColor="text1"/>
          <w:highlight w:val="none"/>
          <w14:textFill>
            <w14:solidFill>
              <w14:schemeClr w14:val="tx1"/>
            </w14:solidFill>
          </w14:textFill>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08" w:name="_Toc20692"/>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4</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 xml:space="preserve">  </w:t>
      </w:r>
      <w:bookmarkEnd w:id="407"/>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法人投标</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须</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提供法人身份证明</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及</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法人身份证，被授权委托人须提供法人身份证明、授权委托书及身份证复印件；</w:t>
      </w:r>
      <w:bookmarkEnd w:id="408"/>
    </w:p>
    <w:p>
      <w:pPr>
        <w:adjustRightInd w:val="0"/>
        <w:snapToGrid w:val="0"/>
        <w:spacing w:before="240" w:beforeLines="100" w:after="240" w:afterLines="100" w:line="360" w:lineRule="auto"/>
        <w:outlineLvl w:val="3"/>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（一）法定代表人身份证</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同志，现任我单位</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职务，为法定代表人，特此证明。</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签发日期：                  单位：        </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附：代表人性别：            年龄：           身份证号码：</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联系电话：</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营业执照号码：              经济性质：</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说明：</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1、法定代表人为企业事业单位、国家机关、社会团体的主要行政负责人。</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3、将此证明书原件提交采购代理机构作为投标文件附件。</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v:textbox>
              </v:shape>
            </w:pict>
          </mc:Fallback>
        </mc:AlternateContent>
      </w:r>
      <w:r>
        <w:rPr>
          <w:rFonts w:hint="eastAsia" w:ascii="微软雅黑" w:hAnsi="微软雅黑" w:eastAsia="微软雅黑" w:cs="微软雅黑"/>
          <w:color w:val="000000" w:themeColor="text1"/>
          <w:sz w:val="22"/>
          <w:szCs w:val="22"/>
          <w:highlight w:val="none"/>
          <w14:textFill>
            <w14:solidFill>
              <w14:schemeClr w14:val="tx1"/>
            </w14:solidFill>
          </w14:textFill>
        </w:rPr>
        <mc:AlternateContent>
          <mc:Choice Requires="wps">
            <w:drawing>
              <wp:anchor distT="0" distB="0" distL="0" distR="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8"/>
                        <w:rPr>
                          <w:rFonts w:cs="Times New Roman"/>
                        </w:rPr>
                      </w:pPr>
                    </w:p>
                    <w:p>
                      <w:pPr>
                        <w:pStyle w:val="8"/>
                        <w:rPr>
                          <w:rFonts w:cs="Times New Roman"/>
                        </w:rPr>
                      </w:pPr>
                    </w:p>
                    <w:p>
                      <w:pPr>
                        <w:pStyle w:val="8"/>
                        <w:rPr>
                          <w:rFonts w:cs="Times New Roman"/>
                        </w:rPr>
                      </w:pPr>
                    </w:p>
                    <w:p>
                      <w:pPr>
                        <w:pStyle w:val="8"/>
                        <w:rPr>
                          <w:rFonts w:cs="Times New Roman"/>
                        </w:rPr>
                      </w:pPr>
                    </w:p>
                  </w:txbxContent>
                </v:textbox>
              </v:roundrect>
            </w:pict>
          </mc:Fallback>
        </mc:AlternateContent>
      </w: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autoSpaceDE w:val="0"/>
        <w:autoSpaceDN w:val="0"/>
        <w:adjustRightInd w:val="0"/>
        <w:spacing w:line="360" w:lineRule="auto"/>
        <w:ind w:right="246"/>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p>
      <w:pPr>
        <w:autoSpaceDE w:val="0"/>
        <w:autoSpaceDN w:val="0"/>
        <w:adjustRightInd w:val="0"/>
        <w:spacing w:line="360" w:lineRule="auto"/>
        <w:ind w:right="246"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供应商（公章）：</w:t>
      </w:r>
    </w:p>
    <w:p>
      <w:pPr>
        <w:adjustRightInd w:val="0"/>
        <w:snapToGrid w:val="0"/>
        <w:spacing w:line="360" w:lineRule="auto"/>
        <w:ind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法定代表人（</w:t>
      </w:r>
      <w:r>
        <w:rPr>
          <w:rFonts w:hint="eastAsia" w:ascii="微软雅黑" w:hAnsi="微软雅黑" w:eastAsia="微软雅黑" w:cs="微软雅黑"/>
          <w:color w:val="000000" w:themeColor="text1"/>
          <w:kern w:val="0"/>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w:t>
      </w:r>
    </w:p>
    <w:p>
      <w:pPr>
        <w:adjustRightInd w:val="0"/>
        <w:snapToGrid w:val="0"/>
        <w:spacing w:line="360" w:lineRule="auto"/>
        <w:ind w:firstLine="719" w:firstLineChars="327"/>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日期：</w:t>
      </w:r>
      <w:bookmarkStart w:id="409" w:name="_Toc1083"/>
      <w:bookmarkStart w:id="410" w:name="_Toc515647807"/>
      <w:bookmarkStart w:id="411" w:name="_Toc22472"/>
    </w:p>
    <w:p>
      <w:pPr>
        <w:outlineLvl w:val="9"/>
        <w:rPr>
          <w:rFonts w:hint="eastAsia"/>
          <w:color w:val="000000" w:themeColor="text1"/>
          <w:highlight w:val="none"/>
          <w14:textFill>
            <w14:solidFill>
              <w14:schemeClr w14:val="tx1"/>
            </w14:solidFill>
          </w14:textFill>
        </w:rPr>
      </w:pPr>
    </w:p>
    <w:p>
      <w:pPr>
        <w:pStyle w:val="22"/>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22"/>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spacing w:line="360" w:lineRule="auto"/>
        <w:outlineLvl w:val="3"/>
        <w:rPr>
          <w:rFonts w:hint="eastAsia" w:ascii="微软雅黑" w:hAnsi="微软雅黑" w:eastAsia="微软雅黑" w:cs="微软雅黑"/>
          <w:b/>
          <w:bCs/>
          <w:color w:val="000000" w:themeColor="text1"/>
          <w:sz w:val="28"/>
          <w:szCs w:val="28"/>
          <w:highlight w:val="none"/>
          <w:u w:val="singl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（二）法定代表人授权委托书</w:t>
      </w:r>
      <w:bookmarkEnd w:id="409"/>
      <w:bookmarkEnd w:id="410"/>
      <w:bookmarkEnd w:id="411"/>
    </w:p>
    <w:p>
      <w:pPr>
        <w:spacing w:line="360" w:lineRule="auto"/>
        <w:ind w:firstLine="24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14:textFill>
            <w14:solidFill>
              <w14:schemeClr w14:val="tx1"/>
            </w14:solidFill>
          </w14:textFill>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本授权书于           年     月     日签字生效,特此声明。</w:t>
      </w:r>
    </w:p>
    <w:p>
      <w:pPr>
        <w:pStyle w:val="15"/>
        <w:tabs>
          <w:tab w:val="left" w:pos="5580"/>
        </w:tabs>
        <w:spacing w:line="240" w:lineRule="atLeast"/>
        <w:ind w:left="-540" w:leftChars="-257" w:firstLine="900" w:firstLineChars="37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3360"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p>
                          <w:p/>
                        </w:txbxContent>
                      </wps:txbx>
                      <wps:bodyPr upright="1"/>
                    </wps:wsp>
                  </a:graphicData>
                </a:graphic>
              </wp:anchor>
            </w:drawing>
          </mc:Choice>
          <mc:Fallback>
            <w:pict>
              <v:roundrect id="1028" o:spid="_x0000_s1026" o:spt="2" style="position:absolute;left:0pt;margin-left:239.3pt;margin-top:13.2pt;height:76.3pt;width:195.15pt;z-index:251663360;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p>
                    <w:p/>
                  </w:txbxContent>
                </v:textbox>
              </v:roundrect>
            </w:pict>
          </mc:Fallback>
        </mc:AlternateContent>
      </w: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4384;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v:textbox>
              </v:shape>
            </w:pict>
          </mc:Fallback>
        </mc:AlternateContent>
      </w: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0" o:spid="_x0000_s1026" o:spt="2" style="position:absolute;left:0pt;margin-left:237.65pt;margin-top:7.6pt;height:73.65pt;width:199.65pt;z-index:25166540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v:textbox>
              </v:roundrect>
            </w:pict>
          </mc:Fallback>
        </mc:AlternateContent>
      </w:r>
      <w:r>
        <w:rPr>
          <w:rFonts w:hint="eastAsia" w:ascii="微软雅黑" w:hAnsi="微软雅黑" w:eastAsia="微软雅黑" w:cs="微软雅黑"/>
          <w:color w:val="000000" w:themeColor="text1"/>
          <w:sz w:val="24"/>
          <w:szCs w:val="24"/>
          <w:highlight w:val="none"/>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1" o:spid="_x0000_s1026" o:spt="2" style="position:absolute;left:0pt;margin-left:-0.85pt;margin-top:2.35pt;height:80.7pt;width:201.2pt;z-index:25166643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w:t>
                      </w:r>
                    </w:p>
                    <w:p/>
                  </w:txbxContent>
                </v:textbox>
              </v:roundrect>
            </w:pict>
          </mc:Fallback>
        </mc:AlternateContent>
      </w:r>
    </w:p>
    <w:p>
      <w:pPr>
        <w:spacing w:line="360" w:lineRule="auto"/>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法定代表人（</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委托代理人（</w:t>
      </w:r>
      <w: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 xml:space="preserve">年   月   日 </w:t>
      </w:r>
    </w:p>
    <w:p>
      <w:pPr>
        <w:outlineLvl w:val="9"/>
        <w:rPr>
          <w:rFonts w:hint="eastAsia"/>
        </w:rPr>
      </w:pPr>
    </w:p>
    <w:p>
      <w:pPr>
        <w:pStyle w:val="15"/>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tabs>
          <w:tab w:val="left" w:pos="5580"/>
        </w:tabs>
        <w:spacing w:line="400" w:lineRule="atLeast"/>
        <w:ind w:firstLine="480" w:firstLineChars="200"/>
        <w:outlineLvl w:val="1"/>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pPr>
      <w:bookmarkStart w:id="412" w:name="_Toc286"/>
      <w:bookmarkStart w:id="413" w:name="_Toc4995"/>
      <w:bookmarkStart w:id="414" w:name="_Toc32670"/>
      <w:bookmarkStart w:id="415" w:name="_Toc24428"/>
      <w:bookmarkStart w:id="416" w:name="_Toc515647811"/>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 xml:space="preserve">  </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投标单位提供本单位</w:t>
      </w: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法人或授权委托人</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依法缴纳近三个月</w:t>
      </w:r>
      <w:r>
        <w:rPr>
          <w:rFonts w:hint="eastAsia" w:ascii="微软雅黑" w:hAnsi="微软雅黑" w:eastAsia="微软雅黑" w:cs="微软雅黑"/>
          <w:b/>
          <w:bCs w:val="0"/>
          <w:iCs/>
          <w:color w:val="000000" w:themeColor="text1"/>
          <w:kern w:val="2"/>
          <w:sz w:val="24"/>
          <w:szCs w:val="24"/>
          <w:highlight w:val="none"/>
          <w:lang w:val="en-US" w:eastAsia="zh-CN"/>
          <w14:textFill>
            <w14:solidFill>
              <w14:schemeClr w14:val="tx1"/>
            </w14:solidFill>
          </w14:textFill>
        </w:rPr>
        <w:t>（任何一个月）的社保证明单位缴费和个人明细表；</w:t>
      </w:r>
      <w:bookmarkEnd w:id="412"/>
      <w:bookmarkEnd w:id="413"/>
    </w:p>
    <w:p>
      <w:pPr>
        <w:pStyle w:val="27"/>
        <w:snapToGrid w:val="0"/>
        <w:ind w:firstLine="480"/>
        <w:textAlignment w:val="baseline"/>
        <w:outlineLvl w:val="9"/>
        <w:rPr>
          <w:rFonts w:hint="eastAsia" w:ascii="微软雅黑" w:hAnsi="微软雅黑" w:eastAsia="微软雅黑" w:cs="微软雅黑"/>
          <w:b w:val="0"/>
          <w:bCs/>
          <w:color w:val="000000" w:themeColor="text1"/>
          <w:kern w:val="0"/>
          <w:highlight w:val="none"/>
          <w:lang w:val="en-US" w:eastAsia="zh-CN"/>
          <w14:textFill>
            <w14:solidFill>
              <w14:schemeClr w14:val="tx1"/>
            </w14:solidFill>
          </w14:textFill>
        </w:rPr>
      </w:pPr>
    </w:p>
    <w:p>
      <w:pPr>
        <w:pStyle w:val="8"/>
        <w:widowControl w:val="0"/>
        <w:numPr>
          <w:ilvl w:val="0"/>
          <w:numId w:val="0"/>
        </w:numPr>
        <w:autoSpaceDE w:val="0"/>
        <w:autoSpaceDN w:val="0"/>
        <w:adjustRightInd w:val="0"/>
        <w:jc w:val="left"/>
        <w:rPr>
          <w:rFonts w:hint="eastAsia"/>
        </w:rPr>
      </w:pPr>
    </w:p>
    <w:p>
      <w:pPr>
        <w:pStyle w:val="9"/>
        <w:rPr>
          <w:rFonts w:hint="eastAsia"/>
        </w:rPr>
      </w:pPr>
    </w:p>
    <w:p>
      <w:pPr>
        <w:pStyle w:val="9"/>
        <w:rPr>
          <w:rFonts w:hint="eastAsia"/>
        </w:rPr>
      </w:pPr>
    </w:p>
    <w:p>
      <w:pPr>
        <w:tabs>
          <w:tab w:val="left" w:pos="5580"/>
        </w:tabs>
        <w:spacing w:line="400" w:lineRule="atLeast"/>
        <w:ind w:firstLine="480" w:firstLineChars="200"/>
        <w:outlineLvl w:val="1"/>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417" w:name="_Toc15264"/>
      <w:bookmarkStart w:id="418" w:name="_Toc7218"/>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6</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sz w:val="24"/>
          <w:szCs w:val="24"/>
          <w:highlight w:val="none"/>
          <w:lang w:val="en-US" w:eastAsia="zh-CN"/>
          <w14:textFill>
            <w14:solidFill>
              <w14:schemeClr w14:val="tx1"/>
            </w14:solidFill>
          </w14:textFill>
        </w:rPr>
        <w:t>提供税务部门出具近三个月（任何一个月）的完税证明及无欠税证明，依法免缴的应提供依法免缴的相关证明文件和零申报报表，扫描件</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w:t>
      </w:r>
      <w:bookmarkEnd w:id="417"/>
      <w:bookmarkEnd w:id="418"/>
    </w:p>
    <w:p>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p>
    <w:p>
      <w:pPr>
        <w:pStyle w:val="15"/>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说明：1、新成立公司若无纳税记录，可开具无欠税证明或零申报报表。</w:t>
      </w:r>
    </w:p>
    <w:p>
      <w:pPr>
        <w:pStyle w:val="15"/>
        <w:numPr>
          <w:ilvl w:val="0"/>
          <w:numId w:val="6"/>
        </w:numPr>
        <w:tabs>
          <w:tab w:val="left" w:pos="5580"/>
        </w:tabs>
        <w:snapToGrid w:val="0"/>
        <w:spacing w:line="240" w:lineRule="atLeast"/>
        <w:textAlignment w:val="baseline"/>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完税证明中“税种”</w:t>
      </w:r>
      <w:r>
        <w:rPr>
          <w:rFonts w:hint="eastAsia" w:ascii="微软雅黑" w:hAnsi="微软雅黑" w:eastAsia="微软雅黑" w:cs="微软雅黑"/>
          <w:b/>
          <w:bCs w:val="0"/>
          <w:color w:val="000000" w:themeColor="text1"/>
          <w:kern w:val="0"/>
          <w:sz w:val="24"/>
          <w:highlight w:val="none"/>
          <w:lang w:val="en-US" w:eastAsia="zh-CN"/>
          <w14:textFill>
            <w14:solidFill>
              <w14:schemeClr w14:val="tx1"/>
            </w14:solidFill>
          </w14:textFill>
        </w:rPr>
        <w:t>非</w:t>
      </w:r>
      <w:r>
        <w:rPr>
          <w:rFonts w:hint="eastAsia" w:ascii="微软雅黑" w:hAnsi="微软雅黑" w:eastAsia="微软雅黑" w:cs="微软雅黑"/>
          <w:b w:val="0"/>
          <w:bCs/>
          <w:color w:val="000000" w:themeColor="text1"/>
          <w:kern w:val="0"/>
          <w:sz w:val="24"/>
          <w:highlight w:val="none"/>
          <w:lang w:val="en-US" w:eastAsia="zh-CN"/>
          <w14:textFill>
            <w14:solidFill>
              <w14:schemeClr w14:val="tx1"/>
            </w14:solidFill>
          </w14:textFill>
        </w:rPr>
        <w:t>养老保险、医疗保险、失业保险、工伤保险和生育保险。</w:t>
      </w:r>
    </w:p>
    <w:p>
      <w:pPr>
        <w:pStyle w:val="15"/>
        <w:widowControl w:val="0"/>
        <w:numPr>
          <w:ilvl w:val="0"/>
          <w:numId w:val="0"/>
        </w:numPr>
        <w:tabs>
          <w:tab w:val="left" w:pos="5580"/>
        </w:tabs>
        <w:snapToGrid w:val="0"/>
        <w:spacing w:line="240" w:lineRule="atLeast"/>
        <w:jc w:val="both"/>
        <w:textAlignment w:val="baseline"/>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pPr>
    </w:p>
    <w:p>
      <w:pPr>
        <w:pStyle w:val="15"/>
        <w:widowControl w:val="0"/>
        <w:numPr>
          <w:ilvl w:val="0"/>
          <w:numId w:val="0"/>
        </w:numPr>
        <w:tabs>
          <w:tab w:val="left" w:pos="5580"/>
        </w:tabs>
        <w:snapToGrid w:val="0"/>
        <w:spacing w:line="240" w:lineRule="atLeast"/>
        <w:jc w:val="both"/>
        <w:textAlignment w:val="baseline"/>
        <w:rPr>
          <w:rFonts w:hint="eastAsia" w:ascii="微软雅黑" w:hAnsi="微软雅黑" w:eastAsia="微软雅黑" w:cs="微软雅黑"/>
          <w:b w:val="0"/>
          <w:bCs/>
          <w:color w:val="000000" w:themeColor="text1"/>
          <w:kern w:val="0"/>
          <w:sz w:val="24"/>
          <w:szCs w:val="24"/>
          <w:highlight w:val="none"/>
          <w:lang w:val="en-US" w:eastAsia="zh-CN" w:bidi="ar-SA"/>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7"/>
        <w:spacing w:line="400" w:lineRule="exact"/>
        <w:ind w:firstLine="482"/>
        <w:outlineLvl w:val="1"/>
        <w:rPr>
          <w:rFonts w:hint="eastAsia" w:ascii="微软雅黑" w:hAnsi="微软雅黑" w:eastAsia="微软雅黑" w:cs="微软雅黑"/>
          <w:color w:val="000000" w:themeColor="text1"/>
          <w:highlight w:val="none"/>
          <w14:textFill>
            <w14:solidFill>
              <w14:schemeClr w14:val="tx1"/>
            </w14:solidFill>
          </w14:textFill>
        </w:rPr>
      </w:pPr>
      <w:bookmarkStart w:id="419" w:name="_Toc7678"/>
      <w:bookmarkStart w:id="420" w:name="_Toc2584"/>
      <w:r>
        <w:rPr>
          <w:rFonts w:hint="eastAsia" w:ascii="微软雅黑" w:hAnsi="微软雅黑" w:eastAsia="微软雅黑" w:cs="微软雅黑"/>
          <w:b/>
          <w:bCs/>
          <w:color w:val="000000" w:themeColor="text1"/>
          <w:kern w:val="0"/>
          <w:highlight w:val="none"/>
          <w:lang w:val="en-US" w:eastAsia="zh-CN"/>
          <w14:textFill>
            <w14:solidFill>
              <w14:schemeClr w14:val="tx1"/>
            </w14:solidFill>
          </w14:textFill>
        </w:rPr>
        <w:t>7</w:t>
      </w:r>
      <w:r>
        <w:rPr>
          <w:rFonts w:hint="eastAsia" w:ascii="微软雅黑" w:hAnsi="微软雅黑" w:eastAsia="微软雅黑" w:cs="微软雅黑"/>
          <w:b/>
          <w:bCs/>
          <w:color w:val="000000" w:themeColor="text1"/>
          <w:kern w:val="0"/>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highlight w:val="none"/>
          <w:lang w:val="en-US" w:eastAsia="zh-CN"/>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bookmarkEnd w:id="419"/>
      <w:bookmarkEnd w:id="420"/>
    </w:p>
    <w:p>
      <w:pPr>
        <w:tabs>
          <w:tab w:val="left" w:pos="5580"/>
        </w:tabs>
        <w:spacing w:line="240" w:lineRule="atLeast"/>
        <w:ind w:left="1080" w:leftChars="257" w:hanging="54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说明：</w:t>
      </w:r>
    </w:p>
    <w:p>
      <w:pPr>
        <w:tabs>
          <w:tab w:val="left" w:pos="5580"/>
        </w:tabs>
        <w:spacing w:line="240" w:lineRule="atLeast"/>
        <w:ind w:left="54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1、如提供本单位上年度经会计师事务所出具的完整审计报告复印件须加盖本单位章。</w:t>
      </w:r>
    </w:p>
    <w:p>
      <w:pPr>
        <w:pStyle w:val="8"/>
        <w:outlineLvl w:val="2"/>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2、如果是联合体投标，联合体各方均需提供上述证明。</w:t>
      </w:r>
    </w:p>
    <w:p>
      <w:pPr>
        <w:pStyle w:val="9"/>
        <w:ind w:firstLine="480" w:firstLineChars="200"/>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t>3、近两年任意一年指2021年或2022年，近三个月是指招标公告发布前三个月。</w:t>
      </w:r>
    </w:p>
    <w:p>
      <w:pP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outlineLvl w:val="9"/>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rPr>
          <w:rFonts w:hint="eastAsia" w:ascii="微软雅黑" w:hAnsi="微软雅黑" w:eastAsia="微软雅黑" w:cs="微软雅黑"/>
          <w:b w:val="0"/>
          <w:bCs/>
          <w:color w:val="000000" w:themeColor="text1"/>
          <w:kern w:val="0"/>
          <w:sz w:val="24"/>
          <w:szCs w:val="20"/>
          <w:highlight w:val="none"/>
          <w:lang w:val="en-US" w:eastAsia="zh-CN" w:bidi="ar-SA"/>
          <w14:textFill>
            <w14:solidFill>
              <w14:schemeClr w14:val="tx1"/>
            </w14:solidFill>
          </w14:textFill>
        </w:rPr>
      </w:pPr>
    </w:p>
    <w:p>
      <w:pPr>
        <w:outlineLvl w:val="9"/>
        <w:rPr>
          <w:rFonts w:hint="default"/>
          <w:lang w:val="en-US"/>
        </w:rPr>
      </w:pPr>
    </w:p>
    <w:p>
      <w:pPr>
        <w:outlineLvl w:val="9"/>
        <w:rPr>
          <w:rFonts w:hint="default"/>
          <w:lang w:val="en-US"/>
        </w:rPr>
      </w:pPr>
    </w:p>
    <w:p>
      <w:pPr>
        <w:rPr>
          <w:rFonts w:hint="default"/>
          <w:lang w:val="en-US"/>
        </w:rPr>
      </w:pPr>
    </w:p>
    <w:p>
      <w:pPr>
        <w:pStyle w:val="8"/>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27"/>
        <w:spacing w:line="400" w:lineRule="exact"/>
        <w:ind w:firstLine="482"/>
        <w:outlineLvl w:val="2"/>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bookmarkStart w:id="421" w:name="_Toc29364"/>
      <w:bookmarkStart w:id="422" w:name="_Toc238"/>
      <w:r>
        <w:rPr>
          <w:rFonts w:hint="eastAsia" w:ascii="微软雅黑" w:hAnsi="微软雅黑" w:eastAsia="微软雅黑" w:cs="微软雅黑"/>
          <w:b/>
          <w:bCs/>
          <w:color w:val="000000" w:themeColor="text1"/>
          <w:highlight w:val="none"/>
          <w:lang w:val="en-US" w:eastAsia="zh-CN"/>
          <w14:textFill>
            <w14:solidFill>
              <w14:schemeClr w14:val="tx1"/>
            </w14:solidFill>
          </w14:textFill>
        </w:rPr>
        <w:t>8</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投标保证金收据扫描件或银行转款证明扫描件或支票扫描件、汇票扫描件；</w:t>
      </w:r>
      <w:bookmarkEnd w:id="421"/>
    </w:p>
    <w:p>
      <w:pPr>
        <w:pStyle w:val="8"/>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pStyle w:val="9"/>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rPr>
          <w:rFonts w:hint="eastAsia"/>
          <w:lang w:val="en-US" w:eastAsia="zh-CN"/>
        </w:rPr>
      </w:pPr>
    </w:p>
    <w:p>
      <w:pPr>
        <w:pStyle w:val="9"/>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p>
    <w:p>
      <w:pPr>
        <w:rPr>
          <w:rFonts w:hint="eastAsia"/>
        </w:rPr>
      </w:pPr>
    </w:p>
    <w:p>
      <w:pPr>
        <w:pStyle w:val="27"/>
        <w:spacing w:line="400" w:lineRule="exact"/>
        <w:ind w:firstLine="482"/>
        <w:outlineLvl w:val="2"/>
        <w:rPr>
          <w:rFonts w:hint="eastAsia" w:ascii="微软雅黑" w:hAnsi="微软雅黑" w:eastAsia="微软雅黑" w:cs="微软雅黑"/>
          <w:color w:val="000000" w:themeColor="text1"/>
          <w:highlight w:val="none"/>
          <w14:textFill>
            <w14:solidFill>
              <w14:schemeClr w14:val="tx1"/>
            </w14:solidFill>
          </w14:textFill>
        </w:rPr>
      </w:pPr>
      <w:bookmarkStart w:id="423" w:name="_Toc906"/>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 xml:space="preserve">9  </w:t>
      </w:r>
      <w:r>
        <w:rPr>
          <w:rFonts w:hint="eastAsia" w:ascii="微软雅黑" w:hAnsi="微软雅黑" w:eastAsia="微软雅黑" w:cs="微软雅黑"/>
          <w:b/>
          <w:bCs/>
          <w:color w:val="000000" w:themeColor="text1"/>
          <w:highlight w:val="none"/>
          <w14:textFill>
            <w14:solidFill>
              <w14:schemeClr w14:val="tx1"/>
            </w14:solidFill>
          </w14:textFill>
        </w:rPr>
        <w:t>参加政府采购活动前3年内在经营活动中没有重大违法记录的书面声明</w:t>
      </w:r>
      <w:r>
        <w:rPr>
          <w:rFonts w:hint="eastAsia" w:ascii="微软雅黑" w:hAnsi="微软雅黑" w:eastAsia="微软雅黑" w:cs="微软雅黑"/>
          <w:b/>
          <w:bCs/>
          <w:color w:val="000000" w:themeColor="text1"/>
          <w:kern w:val="0"/>
          <w:highlight w:val="none"/>
          <w14:textFill>
            <w14:solidFill>
              <w14:schemeClr w14:val="tx1"/>
            </w14:solidFill>
          </w14:textFill>
        </w:rPr>
        <w:t>；</w:t>
      </w:r>
      <w:bookmarkEnd w:id="422"/>
      <w:bookmarkEnd w:id="423"/>
    </w:p>
    <w:p>
      <w:pPr>
        <w:pStyle w:val="8"/>
        <w:ind w:left="0" w:leftChars="0" w:firstLine="720" w:firstLineChars="300"/>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说明：1.供应商应按照相关法规规定如实作出说明。</w:t>
      </w:r>
    </w:p>
    <w:p>
      <w:pPr>
        <w:pStyle w:val="9"/>
        <w:rPr>
          <w:rFonts w:hint="eastAsia" w:ascii="微软雅黑" w:hAnsi="微软雅黑" w:eastAsia="微软雅黑" w:cs="微软雅黑"/>
          <w:color w:val="000000" w:themeColor="text1"/>
          <w:highlight w:val="none"/>
          <w:lang w:val="en-US" w:eastAsia="zh-CN"/>
          <w14:textFill>
            <w14:solidFill>
              <w14:schemeClr w14:val="tx1"/>
            </w14:solidFill>
          </w14:textFill>
        </w:rPr>
      </w:pPr>
    </w:p>
    <w:p>
      <w:pPr>
        <w:rPr>
          <w:rFonts w:hint="eastAsia" w:ascii="微软雅黑" w:hAnsi="微软雅黑" w:eastAsia="微软雅黑" w:cs="微软雅黑"/>
          <w:color w:val="000000" w:themeColor="text1"/>
          <w:highlight w:val="none"/>
          <w:lang w:val="en-US" w:eastAsia="zh-CN"/>
          <w14:textFill>
            <w14:solidFill>
              <w14:schemeClr w14:val="tx1"/>
            </w14:solidFill>
          </w14:textFill>
        </w:rPr>
      </w:pPr>
    </w:p>
    <w:p>
      <w:pPr>
        <w:outlineLvl w:val="9"/>
        <w:rPr>
          <w:rFonts w:hint="eastAsia"/>
          <w:lang w:val="en-US" w:eastAsia="zh-CN"/>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8"/>
        <w:ind w:firstLine="480" w:firstLineChars="200"/>
        <w:outlineLvl w:val="2"/>
        <w:rPr>
          <w:rFonts w:hint="eastAsia" w:ascii="微软雅黑" w:hAnsi="微软雅黑" w:eastAsia="微软雅黑" w:cs="微软雅黑"/>
          <w:b/>
          <w:bCs/>
          <w:color w:val="000000" w:themeColor="text1"/>
          <w:highlight w:val="none"/>
          <w14:textFill>
            <w14:solidFill>
              <w14:schemeClr w14:val="tx1"/>
            </w14:solidFill>
          </w14:textFill>
        </w:rPr>
      </w:pPr>
      <w:bookmarkStart w:id="424" w:name="_Toc15061"/>
      <w:bookmarkStart w:id="425" w:name="_Toc23799"/>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10</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2"/>
          <w:sz w:val="24"/>
          <w:szCs w:val="24"/>
          <w:highlight w:val="none"/>
          <w:lang w:val="en-US" w:eastAsia="zh-CN" w:bidi="ar-SA"/>
          <w14:textFill>
            <w14:solidFill>
              <w14:schemeClr w14:val="tx1"/>
            </w14:solidFill>
          </w14:textFill>
        </w:rPr>
        <w:t>提供针对本次项目的反商业贿赂承诺书</w:t>
      </w:r>
      <w:r>
        <w:rPr>
          <w:rFonts w:hint="eastAsia" w:ascii="微软雅黑" w:hAnsi="微软雅黑" w:eastAsia="微软雅黑" w:cs="微软雅黑"/>
          <w:b/>
          <w:bCs/>
          <w:color w:val="000000" w:themeColor="text1"/>
          <w:highlight w:val="none"/>
          <w14:textFill>
            <w14:solidFill>
              <w14:schemeClr w14:val="tx1"/>
            </w14:solidFill>
          </w14:textFill>
        </w:rPr>
        <w:t>；</w:t>
      </w:r>
      <w:bookmarkEnd w:id="424"/>
      <w:bookmarkEnd w:id="425"/>
    </w:p>
    <w:p>
      <w:pPr>
        <w:pStyle w:val="9"/>
        <w:rPr>
          <w:rFonts w:hint="eastAsia" w:ascii="微软雅黑" w:hAnsi="微软雅黑" w:eastAsia="微软雅黑" w:cs="微软雅黑"/>
          <w:b/>
          <w:bCs/>
          <w:color w:val="000000" w:themeColor="text1"/>
          <w:highlight w:val="none"/>
          <w14:textFill>
            <w14:solidFill>
              <w14:schemeClr w14:val="tx1"/>
            </w14:solidFill>
          </w14:textFill>
        </w:rPr>
      </w:pPr>
    </w:p>
    <w:p>
      <w:pPr>
        <w:rPr>
          <w:rFonts w:hint="eastAsia"/>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bookmarkStart w:id="426" w:name="_Toc23290"/>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11  本项目不接受联合体投标（提供非联合体投标承诺函，承诺函格式自拟）</w:t>
      </w:r>
      <w:r>
        <w:rPr>
          <w:rFonts w:hint="eastAsia" w:ascii="微软雅黑" w:hAnsi="微软雅黑" w:eastAsia="微软雅黑" w:cs="微软雅黑"/>
          <w:b/>
          <w:bCs/>
          <w:color w:val="000000" w:themeColor="text1"/>
          <w:highlight w:val="none"/>
          <w14:textFill>
            <w14:solidFill>
              <w14:schemeClr w14:val="tx1"/>
            </w14:solidFill>
          </w14:textFill>
        </w:rPr>
        <w:t>；</w:t>
      </w:r>
      <w:bookmarkEnd w:id="426"/>
    </w:p>
    <w:p>
      <w:pPr>
        <w:pStyle w:val="15"/>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8"/>
        <w:ind w:firstLine="0"/>
        <w:rPr>
          <w:rFonts w:hint="eastAsia" w:ascii="微软雅黑" w:hAnsi="微软雅黑" w:eastAsia="微软雅黑" w:cs="微软雅黑"/>
          <w:b/>
          <w:bCs/>
          <w:color w:val="000000" w:themeColor="text1"/>
          <w:sz w:val="21"/>
          <w:szCs w:val="21"/>
          <w:highlight w:val="none"/>
          <w14:textFill>
            <w14:solidFill>
              <w14:schemeClr w14:val="tx1"/>
            </w14:solidFill>
          </w14:textFill>
        </w:rPr>
      </w:pPr>
    </w:p>
    <w:p>
      <w:pPr>
        <w:tabs>
          <w:tab w:val="left" w:pos="5580"/>
        </w:tabs>
        <w:spacing w:line="400" w:lineRule="atLeast"/>
        <w:ind w:firstLine="480" w:firstLineChars="200"/>
        <w:outlineLvl w:val="2"/>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pPr>
      <w:bookmarkStart w:id="427" w:name="_Toc14039"/>
      <w:bookmarkStart w:id="428" w:name="_Toc10509"/>
      <w:bookmarkStart w:id="429" w:name="_Toc3829"/>
      <w:bookmarkStart w:id="430" w:name="_Toc28906"/>
      <w:bookmarkStart w:id="431" w:name="_Toc26152"/>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12  供应商可提供有利于投标的其他资格证明材料</w:t>
      </w:r>
      <w:bookmarkEnd w:id="427"/>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bookmarkEnd w:id="428"/>
    </w:p>
    <w:p>
      <w:pPr>
        <w:pStyle w:val="8"/>
        <w:rPr>
          <w:rFonts w:hint="eastAsia" w:ascii="微软雅黑" w:hAnsi="微软雅黑" w:eastAsia="微软雅黑" w:cs="微软雅黑"/>
          <w:b/>
          <w:bCs/>
          <w:color w:val="000000" w:themeColor="text1"/>
          <w:highlight w:val="none"/>
          <w14:textFill>
            <w14:solidFill>
              <w14:schemeClr w14:val="tx1"/>
            </w14:solidFill>
          </w14:textFill>
        </w:rPr>
      </w:pPr>
    </w:p>
    <w:bookmarkEnd w:id="429"/>
    <w:bookmarkEnd w:id="430"/>
    <w:bookmarkEnd w:id="431"/>
    <w:p>
      <w:pPr>
        <w:pStyle w:val="22"/>
        <w:rPr>
          <w:rFonts w:hint="eastAsia" w:ascii="微软雅黑" w:hAnsi="微软雅黑" w:eastAsia="微软雅黑" w:cs="微软雅黑"/>
          <w:color w:val="000000" w:themeColor="text1"/>
          <w:highlight w:val="none"/>
          <w14:textFill>
            <w14:solidFill>
              <w14:schemeClr w14:val="tx1"/>
            </w14:solidFill>
          </w14:textFill>
        </w:rPr>
      </w:pPr>
    </w:p>
    <w:p>
      <w:pPr>
        <w:pStyle w:val="22"/>
        <w:rPr>
          <w:rFonts w:hint="eastAsia" w:ascii="微软雅黑" w:hAnsi="微软雅黑" w:eastAsia="微软雅黑" w:cs="微软雅黑"/>
          <w:color w:val="000000" w:themeColor="text1"/>
          <w:highlight w:val="none"/>
          <w14:textFill>
            <w14:solidFill>
              <w14:schemeClr w14:val="tx1"/>
            </w14:solidFill>
          </w14:textFill>
        </w:rPr>
      </w:pPr>
    </w:p>
    <w:p>
      <w:pPr>
        <w:pStyle w:val="22"/>
        <w:rPr>
          <w:rFonts w:hint="eastAsia" w:ascii="微软雅黑" w:hAnsi="微软雅黑" w:eastAsia="微软雅黑" w:cs="微软雅黑"/>
          <w:color w:val="000000" w:themeColor="text1"/>
          <w:highlight w:val="none"/>
          <w14:textFill>
            <w14:solidFill>
              <w14:schemeClr w14:val="tx1"/>
            </w14:solidFill>
          </w14:textFill>
        </w:rPr>
      </w:pPr>
    </w:p>
    <w:p>
      <w:pPr>
        <w:pStyle w:val="22"/>
        <w:rPr>
          <w:rFonts w:hint="eastAsia" w:ascii="微软雅黑" w:hAnsi="微软雅黑" w:eastAsia="微软雅黑" w:cs="微软雅黑"/>
          <w:color w:val="000000" w:themeColor="text1"/>
          <w:highlight w:val="none"/>
          <w14:textFill>
            <w14:solidFill>
              <w14:schemeClr w14:val="tx1"/>
            </w14:solidFill>
          </w14:textFill>
        </w:rPr>
      </w:pPr>
    </w:p>
    <w:p>
      <w:pPr>
        <w:pStyle w:val="22"/>
        <w:rPr>
          <w:rFonts w:hint="eastAsia" w:ascii="微软雅黑" w:hAnsi="微软雅黑" w:eastAsia="微软雅黑" w:cs="微软雅黑"/>
          <w:color w:val="000000" w:themeColor="text1"/>
          <w:highlight w:val="none"/>
          <w14:textFill>
            <w14:solidFill>
              <w14:schemeClr w14:val="tx1"/>
            </w14:solidFill>
          </w14:textFill>
        </w:rPr>
      </w:pPr>
    </w:p>
    <w:bookmarkEnd w:id="414"/>
    <w:bookmarkEnd w:id="415"/>
    <w:bookmarkEnd w:id="416"/>
    <w:p>
      <w:pPr>
        <w:pStyle w:val="8"/>
        <w:ind w:firstLine="0"/>
        <w:rPr>
          <w:rFonts w:hint="eastAsia" w:ascii="微软雅黑" w:hAnsi="微软雅黑" w:eastAsia="微软雅黑" w:cs="微软雅黑"/>
          <w:color w:val="000000" w:themeColor="text1"/>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bookmarkStart w:id="432" w:name="_Toc515647816"/>
      <w:bookmarkStart w:id="433" w:name="_Toc22967"/>
      <w:bookmarkStart w:id="434" w:name="_Toc11180"/>
      <w:bookmarkStart w:id="435" w:name="_Toc30653"/>
    </w:p>
    <w:p>
      <w:pPr>
        <w:pStyle w:val="9"/>
        <w:rPr>
          <w:rFonts w:hint="eastAsia"/>
        </w:rPr>
      </w:pPr>
    </w:p>
    <w:p>
      <w:pPr>
        <w:pStyle w:val="4"/>
        <w:numPr>
          <w:ilvl w:val="0"/>
          <w:numId w:val="7"/>
        </w:numPr>
        <w:spacing w:before="0" w:line="240" w:lineRule="atLeast"/>
        <w:ind w:left="1080" w:leftChars="257" w:hanging="540"/>
        <w:rPr>
          <w:rFonts w:hint="eastAsia" w:ascii="微软雅黑" w:hAnsi="微软雅黑" w:eastAsia="微软雅黑" w:cs="微软雅黑"/>
          <w:color w:val="000000" w:themeColor="text1"/>
          <w:kern w:val="2"/>
          <w:sz w:val="32"/>
          <w:szCs w:val="32"/>
          <w:highlight w:val="none"/>
          <w14:textFill>
            <w14:solidFill>
              <w14:schemeClr w14:val="tx1"/>
            </w14:solidFill>
          </w14:textFill>
        </w:rPr>
      </w:pPr>
      <w:r>
        <w:rPr>
          <w:rFonts w:hint="eastAsia" w:ascii="微软雅黑" w:hAnsi="微软雅黑" w:eastAsia="微软雅黑" w:cs="微软雅黑"/>
          <w:color w:val="000000" w:themeColor="text1"/>
          <w:kern w:val="2"/>
          <w:sz w:val="32"/>
          <w:szCs w:val="32"/>
          <w:highlight w:val="none"/>
          <w14:textFill>
            <w14:solidFill>
              <w14:schemeClr w14:val="tx1"/>
            </w14:solidFill>
          </w14:textFill>
        </w:rPr>
        <w:t xml:space="preserve"> </w:t>
      </w:r>
      <w:bookmarkStart w:id="436" w:name="_Toc1832"/>
      <w:r>
        <w:rPr>
          <w:rFonts w:hint="eastAsia" w:ascii="微软雅黑" w:hAnsi="微软雅黑" w:eastAsia="微软雅黑" w:cs="微软雅黑"/>
          <w:color w:val="000000" w:themeColor="text1"/>
          <w:kern w:val="2"/>
          <w:sz w:val="32"/>
          <w:szCs w:val="32"/>
          <w:highlight w:val="none"/>
          <w14:textFill>
            <w14:solidFill>
              <w14:schemeClr w14:val="tx1"/>
            </w14:solidFill>
          </w14:textFill>
        </w:rPr>
        <w:t>商务及技术文件</w:t>
      </w:r>
      <w:bookmarkEnd w:id="432"/>
      <w:bookmarkEnd w:id="433"/>
      <w:bookmarkEnd w:id="434"/>
      <w:bookmarkEnd w:id="435"/>
      <w:bookmarkEnd w:id="436"/>
    </w:p>
    <w:p>
      <w:pPr>
        <w:pStyle w:val="15"/>
        <w:spacing w:line="500" w:lineRule="exact"/>
        <w:ind w:left="1079" w:leftChars="257" w:hanging="539"/>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1</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投标书</w:t>
      </w:r>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2</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投标分项报价表</w:t>
      </w:r>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3</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货物说明一览表</w:t>
      </w:r>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4</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技术规格偏离表</w:t>
      </w:r>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5</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商务条款偏离表</w:t>
      </w:r>
    </w:p>
    <w:p>
      <w:pPr>
        <w:pStyle w:val="15"/>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6-1中小企业声明函</w:t>
      </w:r>
    </w:p>
    <w:p>
      <w:pPr>
        <w:pStyle w:val="15"/>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6-2残疾人福利性单位声明函</w:t>
      </w:r>
    </w:p>
    <w:p>
      <w:pPr>
        <w:pStyle w:val="15"/>
        <w:spacing w:line="500" w:lineRule="exact"/>
        <w:ind w:left="311" w:leftChars="148" w:firstLine="228"/>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7</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供应商关联单位的说明（格式自拟）</w:t>
      </w:r>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8</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供应商可提供有利于投标的其他资格证明材料</w:t>
      </w:r>
      <w:bookmarkStart w:id="437" w:name="_Toc515647817"/>
      <w:bookmarkStart w:id="438" w:name="_Toc14915"/>
      <w:bookmarkStart w:id="439" w:name="_Toc2041"/>
    </w:p>
    <w:p>
      <w:pPr>
        <w:pStyle w:val="15"/>
        <w:spacing w:line="500" w:lineRule="exact"/>
        <w:ind w:left="1080" w:leftChars="257" w:hanging="540"/>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9</w:t>
      </w: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w:t>
      </w:r>
      <w:r>
        <w:rPr>
          <w:rFonts w:hint="eastAsia" w:ascii="微软雅黑" w:hAnsi="微软雅黑" w:eastAsia="微软雅黑" w:cs="微软雅黑"/>
          <w:color w:val="000000" w:themeColor="text1"/>
          <w:sz w:val="28"/>
          <w:szCs w:val="28"/>
          <w:highlight w:val="none"/>
          <w14:textFill>
            <w14:solidFill>
              <w14:schemeClr w14:val="tx1"/>
            </w14:solidFill>
          </w14:textFill>
        </w:rPr>
        <w:t>投标文件格式范本</w:t>
      </w:r>
    </w:p>
    <w:p>
      <w:pPr>
        <w:pStyle w:val="15"/>
        <w:tabs>
          <w:tab w:val="left" w:pos="5580"/>
        </w:tabs>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360" w:lineRule="auto"/>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spacing w:line="360"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pStyle w:val="15"/>
        <w:tabs>
          <w:tab w:val="left" w:pos="5580"/>
        </w:tabs>
        <w:spacing w:line="240" w:lineRule="atLeast"/>
        <w:rPr>
          <w:rFonts w:hint="eastAsia" w:ascii="微软雅黑" w:hAnsi="微软雅黑" w:eastAsia="微软雅黑" w:cs="微软雅黑"/>
          <w:color w:val="000000" w:themeColor="text1"/>
          <w:highlight w:val="none"/>
          <w14:textFill>
            <w14:solidFill>
              <w14:schemeClr w14:val="tx1"/>
            </w14:solidFill>
          </w14:textFill>
        </w:rPr>
      </w:pPr>
    </w:p>
    <w:p>
      <w:pPr>
        <w:jc w:val="center"/>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440" w:name="_Toc28678"/>
      <w:bookmarkStart w:id="441" w:name="_Toc885"/>
      <w:bookmarkStart w:id="442" w:name="_Toc12580"/>
      <w:bookmarkStart w:id="443" w:name="_Toc30922"/>
      <w:bookmarkStart w:id="444" w:name="_Toc695"/>
      <w:bookmarkStart w:id="445" w:name="_Toc2305"/>
      <w:bookmarkStart w:id="446" w:name="_Toc27134"/>
      <w:bookmarkStart w:id="447" w:name="_Toc30408"/>
      <w:bookmarkStart w:id="448" w:name="_Toc17344"/>
      <w:r>
        <w:rPr>
          <w:rFonts w:hint="eastAsia" w:ascii="微软雅黑" w:hAnsi="微软雅黑" w:eastAsia="微软雅黑" w:cs="微软雅黑"/>
          <w:b/>
          <w:bCs/>
          <w:color w:val="000000" w:themeColor="text1"/>
          <w:sz w:val="24"/>
          <w:szCs w:val="24"/>
          <w:highlight w:val="none"/>
          <w14:textFill>
            <w14:solidFill>
              <w14:schemeClr w14:val="tx1"/>
            </w14:solidFill>
          </w14:textFill>
        </w:rPr>
        <w:t>1</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w:t>
      </w:r>
      <w:bookmarkEnd w:id="399"/>
      <w:bookmarkEnd w:id="400"/>
      <w:r>
        <w:rPr>
          <w:rFonts w:hint="eastAsia" w:ascii="微软雅黑" w:hAnsi="微软雅黑" w:eastAsia="微软雅黑" w:cs="微软雅黑"/>
          <w:b/>
          <w:bCs/>
          <w:color w:val="000000" w:themeColor="text1"/>
          <w:sz w:val="24"/>
          <w:szCs w:val="24"/>
          <w:highlight w:val="none"/>
          <w14:textFill>
            <w14:solidFill>
              <w14:schemeClr w14:val="tx1"/>
            </w14:solidFill>
          </w14:textFill>
        </w:rPr>
        <w:t>书</w:t>
      </w:r>
      <w:bookmarkEnd w:id="401"/>
      <w:bookmarkEnd w:id="402"/>
      <w:bookmarkEnd w:id="437"/>
      <w:bookmarkEnd w:id="438"/>
      <w:bookmarkEnd w:id="439"/>
      <w:bookmarkEnd w:id="440"/>
      <w:bookmarkEnd w:id="441"/>
      <w:bookmarkEnd w:id="442"/>
      <w:bookmarkEnd w:id="443"/>
      <w:bookmarkEnd w:id="444"/>
      <w:bookmarkEnd w:id="445"/>
      <w:bookmarkEnd w:id="446"/>
      <w:bookmarkEnd w:id="447"/>
      <w:bookmarkEnd w:id="448"/>
    </w:p>
    <w:p>
      <w:pPr>
        <w:tabs>
          <w:tab w:val="left" w:pos="5580"/>
        </w:tabs>
        <w:spacing w:line="400" w:lineRule="atLeast"/>
        <w:ind w:left="1080" w:hanging="108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tabs>
          <w:tab w:val="left" w:pos="5580"/>
        </w:tabs>
        <w:spacing w:line="400" w:lineRule="atLeast"/>
        <w:ind w:left="2" w:leftChars="1"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根据贵方(</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项目名称</w:t>
      </w:r>
      <w:r>
        <w:rPr>
          <w:rFonts w:hint="eastAsia" w:ascii="微软雅黑" w:hAnsi="微软雅黑" w:eastAsia="微软雅黑" w:cs="微软雅黑"/>
          <w:i/>
          <w:iCs/>
          <w:color w:val="000000" w:themeColor="text1"/>
          <w:sz w:val="24"/>
          <w:szCs w:val="24"/>
          <w:highlight w:val="none"/>
          <w:u w:val="singl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)项目的投标邀请(</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项目编号</w:t>
      </w:r>
      <w:r>
        <w:rPr>
          <w:rFonts w:hint="eastAsia" w:ascii="微软雅黑" w:hAnsi="微软雅黑" w:eastAsia="微软雅黑" w:cs="微软雅黑"/>
          <w:color w:val="000000" w:themeColor="text1"/>
          <w:sz w:val="24"/>
          <w:szCs w:val="24"/>
          <w:highlight w:val="none"/>
          <w14:textFill>
            <w14:solidFill>
              <w14:schemeClr w14:val="tx1"/>
            </w14:solidFill>
          </w14:textFill>
        </w:rPr>
        <w:t>),签字代表(</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姓名、职务</w:t>
      </w:r>
      <w:r>
        <w:rPr>
          <w:rFonts w:hint="eastAsia" w:ascii="微软雅黑" w:hAnsi="微软雅黑" w:eastAsia="微软雅黑" w:cs="微软雅黑"/>
          <w:color w:val="000000" w:themeColor="text1"/>
          <w:sz w:val="24"/>
          <w:szCs w:val="24"/>
          <w:highlight w:val="none"/>
          <w14:textFill>
            <w14:solidFill>
              <w14:schemeClr w14:val="tx1"/>
            </w14:solidFill>
          </w14:textFill>
        </w:rPr>
        <w:t>)经正式授权并代表供应商（</w:t>
      </w:r>
      <w:r>
        <w:rPr>
          <w:rFonts w:hint="eastAsia" w:ascii="微软雅黑" w:hAnsi="微软雅黑" w:eastAsia="微软雅黑" w:cs="微软雅黑"/>
          <w:i/>
          <w:iCs/>
          <w:color w:val="000000" w:themeColor="text1"/>
          <w:sz w:val="24"/>
          <w:szCs w:val="24"/>
          <w:highlight w:val="none"/>
          <w:u w:val="single"/>
          <w14:textFill>
            <w14:solidFill>
              <w14:schemeClr w14:val="tx1"/>
            </w14:solidFill>
          </w14:textFill>
        </w:rPr>
        <w:t>名称、地址</w:t>
      </w:r>
      <w:r>
        <w:rPr>
          <w:rFonts w:hint="eastAsia" w:ascii="微软雅黑" w:hAnsi="微软雅黑" w:eastAsia="微软雅黑" w:cs="微软雅黑"/>
          <w:color w:val="000000" w:themeColor="text1"/>
          <w:sz w:val="24"/>
          <w:szCs w:val="24"/>
          <w:highlight w:val="none"/>
          <w14:textFill>
            <w14:solidFill>
              <w14:schemeClr w14:val="tx1"/>
            </w14:solidFill>
          </w14:textFill>
        </w:rPr>
        <w:t>）提交下述文件正本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份、副本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份及电子文档</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份，并以</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形式出具的金额为人民币</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14:textFill>
            <w14:solidFill>
              <w14:schemeClr w14:val="tx1"/>
            </w14:solidFill>
          </w14:textFill>
        </w:rPr>
        <w:t>元的投标保证金。</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据此，签字代表宣布同意如下：</w:t>
      </w:r>
    </w:p>
    <w:p>
      <w:pPr>
        <w:pStyle w:val="15"/>
        <w:tabs>
          <w:tab w:val="left" w:pos="720"/>
          <w:tab w:val="left" w:pos="900"/>
        </w:tabs>
        <w:spacing w:line="400" w:lineRule="atLeast"/>
        <w:ind w:left="769" w:leftChars="257" w:hanging="229"/>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（1）附投标价格表中规定的应提供服务的投标总价为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（用文字和数字表示）</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tabs>
          <w:tab w:val="left" w:pos="5580"/>
        </w:tabs>
        <w:spacing w:line="400" w:lineRule="atLeast"/>
        <w:ind w:left="1080" w:leftChars="257" w:hanging="540"/>
        <w:outlineLvl w:val="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（2）本投标有效期为自投标截止之日起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个日历日。</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（3）联合体中的大中型企业和其他自然人、法人或者非法人组织，与联合体中的小型、微型企业之间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存在、不存在）投资关系（如果是联合体的话）。</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（4）已详细审查全部招标文件，包括所有补充通知（如果有的话），完全理解并同意放弃对这方面有不明、误解和质疑的权力。</w:t>
      </w:r>
    </w:p>
    <w:p>
      <w:pPr>
        <w:pStyle w:val="15"/>
        <w:tabs>
          <w:tab w:val="left" w:pos="5580"/>
        </w:tabs>
        <w:spacing w:line="400" w:lineRule="atLeast"/>
        <w:ind w:left="1080" w:leftChars="257" w:hanging="540"/>
        <w:outlineLvl w:val="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（5）在规定的开标时间后，遵守招标文件中有关保证金的规定。</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（6）我方不是为本项目提供整体设计、规范编制或者项目管理、监理、检测等服务的供应商，我方不是采购代理机构的附属机构。</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（7）在领取中标通知书的同时按招标文件规定的形式，向贵方一次性支付中标服务费。</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（8）按照贵方可能要求，提供与其投标有关的一切数据或资料，完全理解贵方不一定接受最低价的投标或收到的任何投标。</w:t>
      </w:r>
    </w:p>
    <w:p>
      <w:pPr>
        <w:pStyle w:val="15"/>
        <w:tabs>
          <w:tab w:val="left" w:pos="5580"/>
        </w:tabs>
        <w:spacing w:line="400" w:lineRule="atLeast"/>
        <w:ind w:left="1080" w:leftChars="257" w:hanging="540"/>
        <w:outlineLvl w:val="3"/>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（9）按照招标文件的规定履行合同责任和义务。</w:t>
      </w:r>
    </w:p>
    <w:p>
      <w:pPr>
        <w:pStyle w:val="15"/>
        <w:tabs>
          <w:tab w:val="left" w:pos="5580"/>
        </w:tabs>
        <w:spacing w:line="400" w:lineRule="atLeast"/>
        <w:ind w:left="359" w:leftChars="68" w:hanging="216" w:hangingChars="9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与本投标有关的一切正式往来信函请寄：</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地址</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传真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电话</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电子函件</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5"/>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u w:val="singl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15"/>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供应商名称（公章）</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供应商开户银行（全称）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15"/>
        <w:tabs>
          <w:tab w:val="left" w:pos="558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供应商银行帐号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p>
    <w:p>
      <w:pPr>
        <w:pStyle w:val="15"/>
        <w:tabs>
          <w:tab w:val="left" w:pos="5580"/>
        </w:tabs>
        <w:spacing w:line="400" w:lineRule="atLeast"/>
        <w:ind w:left="1080" w:leftChars="257" w:hanging="540"/>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日期</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 xml:space="preserve">                      </w:t>
      </w:r>
    </w:p>
    <w:p>
      <w:pPr>
        <w:pStyle w:val="4"/>
        <w:spacing w:before="0" w:line="240" w:lineRule="atLeast"/>
        <w:ind w:left="1080" w:leftChars="257" w:hanging="540"/>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br w:type="page"/>
      </w:r>
      <w:bookmarkStart w:id="449" w:name="_Toc1266"/>
      <w:bookmarkStart w:id="450" w:name="_Toc23473"/>
      <w:bookmarkStart w:id="451" w:name="_Toc19819"/>
      <w:bookmarkStart w:id="452" w:name="_Toc213"/>
      <w:bookmarkStart w:id="453" w:name="_Toc19539"/>
      <w:bookmarkStart w:id="454" w:name="_Toc23851"/>
      <w:bookmarkStart w:id="455" w:name="_Toc29095"/>
      <w:bookmarkStart w:id="456" w:name="_Toc30247"/>
      <w:bookmarkStart w:id="457" w:name="_Toc19746"/>
      <w:bookmarkStart w:id="458" w:name="_Toc12429"/>
      <w:bookmarkStart w:id="459" w:name="_Toc4976"/>
      <w:r>
        <w:rPr>
          <w:rFonts w:hint="eastAsia" w:ascii="微软雅黑" w:hAnsi="微软雅黑" w:eastAsia="微软雅黑" w:cs="微软雅黑"/>
          <w:b/>
          <w:bCs/>
          <w:color w:val="000000" w:themeColor="text1"/>
          <w:sz w:val="24"/>
          <w:szCs w:val="24"/>
          <w:highlight w:val="none"/>
          <w14:textFill>
            <w14:solidFill>
              <w14:schemeClr w14:val="tx1"/>
            </w14:solidFill>
          </w14:textFill>
        </w:rPr>
        <w:t>2</w:t>
      </w:r>
      <w:bookmarkEnd w:id="449"/>
      <w:bookmarkEnd w:id="450"/>
      <w:bookmarkEnd w:id="451"/>
      <w:bookmarkStart w:id="460" w:name="_Toc1881"/>
      <w:bookmarkStart w:id="461" w:name="_Toc216582815"/>
      <w:bookmarkStart w:id="462" w:name="_Toc5101"/>
      <w:bookmarkStart w:id="463" w:name="_Toc515647818"/>
      <w:bookmarkStart w:id="464" w:name="_Toc20897"/>
      <w:bookmarkStart w:id="465" w:name="_Toc216582817"/>
      <w:bookmarkStart w:id="466" w:name="_Toc515647820"/>
      <w:bookmarkStart w:id="467" w:name="_Toc28959"/>
      <w:bookmarkStart w:id="468" w:name="_Toc22563"/>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投标分项报价表</w:t>
      </w:r>
      <w:bookmarkEnd w:id="452"/>
      <w:bookmarkEnd w:id="453"/>
      <w:bookmarkEnd w:id="454"/>
      <w:bookmarkEnd w:id="455"/>
      <w:bookmarkEnd w:id="456"/>
      <w:bookmarkEnd w:id="457"/>
      <w:bookmarkEnd w:id="458"/>
      <w:bookmarkEnd w:id="459"/>
      <w:bookmarkEnd w:id="460"/>
      <w:bookmarkEnd w:id="461"/>
      <w:bookmarkEnd w:id="462"/>
      <w:bookmarkEnd w:id="463"/>
      <w:bookmarkEnd w:id="464"/>
    </w:p>
    <w:p>
      <w:pPr>
        <w:pStyle w:val="15"/>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 　 　             报价单位</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人民币元</w:t>
      </w:r>
    </w:p>
    <w:p>
      <w:pPr>
        <w:pStyle w:val="15"/>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767"/>
        <w:gridCol w:w="941"/>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名称</w:t>
            </w:r>
          </w:p>
        </w:tc>
        <w:tc>
          <w:tcPr>
            <w:tcW w:w="1539"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型号和规格</w:t>
            </w:r>
          </w:p>
        </w:tc>
        <w:tc>
          <w:tcPr>
            <w:tcW w:w="770"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数量</w:t>
            </w:r>
          </w:p>
        </w:tc>
        <w:tc>
          <w:tcPr>
            <w:tcW w:w="767"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品牌</w:t>
            </w:r>
          </w:p>
        </w:tc>
        <w:tc>
          <w:tcPr>
            <w:tcW w:w="941"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原产地</w:t>
            </w:r>
          </w:p>
        </w:tc>
        <w:tc>
          <w:tcPr>
            <w:tcW w:w="1417"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制造商名称</w:t>
            </w:r>
          </w:p>
        </w:tc>
        <w:tc>
          <w:tcPr>
            <w:tcW w:w="692"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单价</w:t>
            </w:r>
          </w:p>
        </w:tc>
        <w:tc>
          <w:tcPr>
            <w:tcW w:w="843"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总价</w:t>
            </w:r>
          </w:p>
        </w:tc>
        <w:tc>
          <w:tcPr>
            <w:tcW w:w="801"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货物名称</w:t>
            </w:r>
          </w:p>
        </w:tc>
        <w:tc>
          <w:tcPr>
            <w:tcW w:w="1539"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70"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4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1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692"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专用工具</w:t>
            </w:r>
          </w:p>
        </w:tc>
        <w:tc>
          <w:tcPr>
            <w:tcW w:w="1539"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70"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4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1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692"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安装、调试、检验</w:t>
            </w:r>
          </w:p>
        </w:tc>
        <w:tc>
          <w:tcPr>
            <w:tcW w:w="1539"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70"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4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1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692"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培训</w:t>
            </w:r>
          </w:p>
        </w:tc>
        <w:tc>
          <w:tcPr>
            <w:tcW w:w="1539"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70"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4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1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692"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w:t>
            </w:r>
          </w:p>
        </w:tc>
        <w:tc>
          <w:tcPr>
            <w:tcW w:w="1336" w:type="dxa"/>
            <w:noWrap/>
            <w:vAlign w:val="center"/>
          </w:tcPr>
          <w:p>
            <w:pPr>
              <w:pStyle w:val="15"/>
              <w:spacing w:line="400" w:lineRule="exac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技术服务</w:t>
            </w:r>
          </w:p>
        </w:tc>
        <w:tc>
          <w:tcPr>
            <w:tcW w:w="1539"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70"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4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17"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692"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43"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01" w:type="dxa"/>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5"/>
              <w:spacing w:line="40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总价：</w:t>
            </w:r>
          </w:p>
        </w:tc>
        <w:tc>
          <w:tcPr>
            <w:tcW w:w="1644" w:type="dxa"/>
            <w:gridSpan w:val="2"/>
            <w:noWrap/>
            <w:vAlign w:val="center"/>
          </w:tcPr>
          <w:p>
            <w:pPr>
              <w:pStyle w:val="15"/>
              <w:spacing w:line="400" w:lineRule="exac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5"/>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tabs>
          <w:tab w:val="left" w:pos="5370"/>
        </w:tabs>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5"/>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注:1.如果供应商认为需要，每种</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货物</w:t>
      </w:r>
      <w:r>
        <w:rPr>
          <w:rFonts w:hint="eastAsia" w:ascii="微软雅黑" w:hAnsi="微软雅黑" w:eastAsia="微软雅黑" w:cs="微软雅黑"/>
          <w:color w:val="000000" w:themeColor="text1"/>
          <w:sz w:val="24"/>
          <w:szCs w:val="24"/>
          <w:highlight w:val="none"/>
          <w14:textFill>
            <w14:solidFill>
              <w14:schemeClr w14:val="tx1"/>
            </w14:solidFill>
          </w14:textFill>
        </w:rPr>
        <w:t>内容填写一份该表。</w:t>
      </w:r>
    </w:p>
    <w:p>
      <w:pPr>
        <w:pStyle w:val="15"/>
        <w:spacing w:line="400" w:lineRule="atLeast"/>
        <w:ind w:left="1079" w:leftChars="428" w:hanging="180" w:hangingChars="75"/>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2.如果按单价计算的结果与总价不一致,以单价为准修正总价。</w:t>
      </w:r>
    </w:p>
    <w:p>
      <w:pPr>
        <w:pStyle w:val="15"/>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3.如果不提供详细分项报价将视为没有实质性响应招标文件。</w:t>
      </w:r>
    </w:p>
    <w:p>
      <w:pPr>
        <w:pStyle w:val="15"/>
        <w:spacing w:line="400" w:lineRule="atLeast"/>
        <w:ind w:left="1080" w:leftChars="257" w:hanging="540"/>
        <w:outlineLvl w:val="2"/>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4.上述各项的详细分项报价，应另页描述。</w:t>
      </w:r>
    </w:p>
    <w:p>
      <w:pPr>
        <w:pStyle w:val="15"/>
        <w:spacing w:line="40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5.如果开标一览表（报价表）内容与投标文件中明细表内容不一致的，以开标一览表（报价表）内容为准。</w:t>
      </w: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ind w:left="1258" w:leftChars="599" w:firstLine="1139" w:firstLineChars="542"/>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15"/>
        <w:spacing w:line="240" w:lineRule="atLeast"/>
        <w:rPr>
          <w:rFonts w:hint="eastAsia" w:ascii="微软雅黑" w:hAnsi="微软雅黑" w:eastAsia="微软雅黑" w:cs="微软雅黑"/>
          <w:b/>
          <w:bCs/>
          <w:color w:val="000000" w:themeColor="text1"/>
          <w:kern w:val="0"/>
          <w:highlight w:val="none"/>
          <w14:textFill>
            <w14:solidFill>
              <w14:schemeClr w14:val="tx1"/>
            </w14:solidFill>
          </w14:textFill>
        </w:rPr>
      </w:pPr>
    </w:p>
    <w:p>
      <w:pPr>
        <w:pStyle w:val="4"/>
        <w:spacing w:before="0" w:line="240" w:lineRule="atLeast"/>
        <w:ind w:firstLine="2731" w:firstLineChars="1300"/>
        <w:jc w:val="both"/>
        <w:outlineLvl w:val="2"/>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469" w:name="_Toc11211"/>
      <w:bookmarkStart w:id="470" w:name="_Toc15861"/>
      <w:bookmarkStart w:id="471" w:name="_Toc11577"/>
      <w:bookmarkStart w:id="472" w:name="_Toc28800"/>
      <w:bookmarkStart w:id="473" w:name="_Toc18677"/>
      <w:bookmarkStart w:id="474" w:name="_Toc21726"/>
      <w:bookmarkStart w:id="475" w:name="_Toc28817"/>
      <w:bookmarkStart w:id="476" w:name="_Toc31515"/>
      <w:r>
        <w:rPr>
          <w:rFonts w:hint="eastAsia" w:ascii="微软雅黑" w:hAnsi="微软雅黑" w:eastAsia="微软雅黑" w:cs="微软雅黑"/>
          <w:b/>
          <w:bCs/>
          <w:color w:val="000000" w:themeColor="text1"/>
          <w:sz w:val="21"/>
          <w:szCs w:val="21"/>
          <w:highlight w:val="none"/>
          <w14:textFill>
            <w14:solidFill>
              <w14:schemeClr w14:val="tx1"/>
            </w14:solidFill>
          </w14:textFill>
        </w:rPr>
        <w:t>3</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1"/>
          <w:szCs w:val="21"/>
          <w:highlight w:val="none"/>
          <w14:textFill>
            <w14:solidFill>
              <w14:schemeClr w14:val="tx1"/>
            </w14:solidFill>
          </w14:textFill>
        </w:rPr>
        <w:t>货物说明一览表</w:t>
      </w:r>
      <w:bookmarkEnd w:id="469"/>
      <w:bookmarkEnd w:id="470"/>
      <w:bookmarkEnd w:id="471"/>
      <w:bookmarkEnd w:id="472"/>
      <w:bookmarkEnd w:id="473"/>
      <w:bookmarkEnd w:id="474"/>
      <w:bookmarkEnd w:id="475"/>
      <w:bookmarkEnd w:id="476"/>
    </w:p>
    <w:p>
      <w:pPr>
        <w:pStyle w:val="15"/>
        <w:spacing w:line="240" w:lineRule="atLeast"/>
        <w:jc w:val="left"/>
        <w:rPr>
          <w:rFonts w:hint="eastAsia" w:ascii="微软雅黑" w:hAnsi="微软雅黑" w:eastAsia="微软雅黑" w:cs="微软雅黑"/>
          <w:color w:val="000000" w:themeColor="text1"/>
          <w:highlight w:val="none"/>
          <w14:textFill>
            <w14:solidFill>
              <w14:schemeClr w14:val="tx1"/>
            </w14:solidFill>
          </w14:textFill>
        </w:rPr>
      </w:pPr>
    </w:p>
    <w:p>
      <w:pPr>
        <w:pStyle w:val="15"/>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71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083"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序号</w:t>
            </w:r>
          </w:p>
        </w:tc>
        <w:tc>
          <w:tcPr>
            <w:tcW w:w="1300"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货物名称</w:t>
            </w:r>
          </w:p>
        </w:tc>
        <w:tc>
          <w:tcPr>
            <w:tcW w:w="1400"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规格型号</w:t>
            </w:r>
          </w:p>
        </w:tc>
        <w:tc>
          <w:tcPr>
            <w:tcW w:w="1296"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kern w:val="0"/>
                <w:sz w:val="24"/>
                <w:highlight w:val="none"/>
                <w:lang w:val="en-US" w:eastAsia="zh-CN"/>
                <w14:textFill>
                  <w14:solidFill>
                    <w14:schemeClr w14:val="tx1"/>
                  </w14:solidFill>
                </w14:textFill>
              </w:rPr>
              <w:t>数量</w:t>
            </w:r>
          </w:p>
        </w:tc>
        <w:tc>
          <w:tcPr>
            <w:tcW w:w="1505"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交货期</w:t>
            </w:r>
          </w:p>
        </w:tc>
        <w:tc>
          <w:tcPr>
            <w:tcW w:w="1717" w:type="dxa"/>
            <w:vAlign w:val="center"/>
          </w:tcPr>
          <w:p>
            <w:pPr>
              <w:widowControl/>
              <w:spacing w:line="400" w:lineRule="exact"/>
              <w:jc w:val="center"/>
              <w:textAlignment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交货地点</w:t>
            </w:r>
          </w:p>
        </w:tc>
        <w:tc>
          <w:tcPr>
            <w:tcW w:w="956" w:type="dxa"/>
            <w:vAlign w:val="center"/>
          </w:tcPr>
          <w:p>
            <w:pPr>
              <w:widowControl/>
              <w:spacing w:line="400" w:lineRule="exact"/>
              <w:jc w:val="center"/>
              <w:textAlignment w:val="center"/>
              <w:rPr>
                <w:rFonts w:hint="eastAsia" w:ascii="微软雅黑" w:hAnsi="微软雅黑" w:eastAsia="微软雅黑" w:cs="微软雅黑"/>
                <w:color w:val="000000" w:themeColor="text1"/>
                <w:kern w:val="0"/>
                <w:sz w:val="24"/>
                <w:highlight w:val="none"/>
                <w14:textFill>
                  <w14:solidFill>
                    <w14:schemeClr w14:val="tx1"/>
                  </w14:solidFill>
                </w14:textFill>
              </w:rPr>
            </w:pPr>
            <w:r>
              <w:rPr>
                <w:rFonts w:hint="eastAsia" w:ascii="微软雅黑" w:hAnsi="微软雅黑" w:eastAsia="微软雅黑" w:cs="微软雅黑"/>
                <w:color w:val="000000" w:themeColor="text1"/>
                <w:kern w:val="0"/>
                <w:sz w:val="24"/>
                <w:highlight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400"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29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05"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717"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6" w:type="dxa"/>
          </w:tcPr>
          <w:p>
            <w:pPr>
              <w:pStyle w:val="15"/>
              <w:spacing w:line="400" w:lineRule="exac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pPr>
        <w:pStyle w:val="15"/>
        <w:tabs>
          <w:tab w:val="left" w:pos="5370"/>
        </w:tabs>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5"/>
        <w:spacing w:line="240" w:lineRule="atLeast"/>
        <w:ind w:left="1080" w:leftChars="257" w:hanging="540"/>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 各项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货物</w:t>
      </w:r>
      <w:r>
        <w:rPr>
          <w:rFonts w:hint="eastAsia" w:ascii="微软雅黑" w:hAnsi="微软雅黑" w:eastAsia="微软雅黑" w:cs="微软雅黑"/>
          <w:color w:val="000000" w:themeColor="text1"/>
          <w:sz w:val="24"/>
          <w:szCs w:val="24"/>
          <w:highlight w:val="none"/>
          <w14:textFill>
            <w14:solidFill>
              <w14:schemeClr w14:val="tx1"/>
            </w14:solidFill>
          </w14:textFill>
        </w:rPr>
        <w:t>详细技术性能应另页描述。</w:t>
      </w: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jc w:val="both"/>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p>
    <w:p>
      <w:pPr>
        <w:pStyle w:val="15"/>
        <w:spacing w:line="240" w:lineRule="atLeast"/>
        <w:ind w:left="1080" w:leftChars="257" w:hanging="540"/>
        <w:jc w:val="center"/>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477" w:name="_Toc3537"/>
      <w:bookmarkStart w:id="478" w:name="_Toc28414"/>
      <w:bookmarkStart w:id="479" w:name="_Toc32666"/>
      <w:bookmarkStart w:id="480" w:name="_Toc13229"/>
      <w:bookmarkStart w:id="481" w:name="_Toc26490"/>
      <w:bookmarkStart w:id="482" w:name="_Toc13093"/>
      <w:bookmarkStart w:id="483" w:name="_Toc23542"/>
      <w:bookmarkStart w:id="484" w:name="_Toc15307"/>
      <w:r>
        <w:rPr>
          <w:rFonts w:hint="eastAsia" w:ascii="微软雅黑" w:hAnsi="微软雅黑" w:eastAsia="微软雅黑" w:cs="微软雅黑"/>
          <w:b/>
          <w:bCs/>
          <w:color w:val="000000" w:themeColor="text1"/>
          <w:sz w:val="24"/>
          <w:szCs w:val="24"/>
          <w:highlight w:val="none"/>
          <w14:textFill>
            <w14:solidFill>
              <w14:schemeClr w14:val="tx1"/>
            </w14:solidFill>
          </w14:textFill>
        </w:rPr>
        <w:t>4</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技术规格偏离表</w:t>
      </w:r>
      <w:bookmarkEnd w:id="477"/>
      <w:bookmarkEnd w:id="478"/>
      <w:bookmarkEnd w:id="479"/>
      <w:bookmarkEnd w:id="480"/>
      <w:bookmarkEnd w:id="481"/>
      <w:bookmarkEnd w:id="482"/>
      <w:bookmarkEnd w:id="483"/>
      <w:bookmarkEnd w:id="484"/>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330"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货物名称</w:t>
            </w:r>
          </w:p>
        </w:tc>
        <w:tc>
          <w:tcPr>
            <w:tcW w:w="2472" w:type="dxa"/>
            <w:vAlign w:val="center"/>
          </w:tcPr>
          <w:p>
            <w:pPr>
              <w:pStyle w:val="15"/>
              <w:spacing w:line="240" w:lineRule="atLeast"/>
              <w:ind w:left="269" w:leftChars="128"/>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招标文件条款号</w:t>
            </w:r>
          </w:p>
        </w:tc>
        <w:tc>
          <w:tcPr>
            <w:tcW w:w="1331"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招标规格</w:t>
            </w:r>
          </w:p>
        </w:tc>
        <w:tc>
          <w:tcPr>
            <w:tcW w:w="1331"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投标规格</w:t>
            </w:r>
          </w:p>
        </w:tc>
        <w:tc>
          <w:tcPr>
            <w:tcW w:w="950"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偏离</w:t>
            </w:r>
          </w:p>
        </w:tc>
        <w:tc>
          <w:tcPr>
            <w:tcW w:w="951" w:type="dxa"/>
            <w:vAlign w:val="center"/>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jc w:val="center"/>
        </w:trPr>
        <w:tc>
          <w:tcPr>
            <w:tcW w:w="87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472"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3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1"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5"/>
        <w:spacing w:line="240" w:lineRule="atLeas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tabs>
          <w:tab w:val="left" w:pos="5370"/>
        </w:tabs>
        <w:spacing w:line="240" w:lineRule="atLeast"/>
        <w:ind w:left="1080" w:leftChars="257" w:hanging="540"/>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bookmarkEnd w:id="465"/>
    <w:bookmarkEnd w:id="466"/>
    <w:bookmarkEnd w:id="467"/>
    <w:bookmarkEnd w:id="468"/>
    <w:p>
      <w:pPr>
        <w:spacing w:line="240" w:lineRule="atLeast"/>
        <w:ind w:firstLine="2310" w:firstLineChars="1100"/>
        <w:rPr>
          <w:rFonts w:hint="eastAsia" w:ascii="微软雅黑" w:hAnsi="微软雅黑" w:eastAsia="微软雅黑" w:cs="微软雅黑"/>
          <w:color w:val="000000" w:themeColor="text1"/>
          <w:highlight w:val="none"/>
          <w14:textFill>
            <w14:solidFill>
              <w14:schemeClr w14:val="tx1"/>
            </w14:solidFill>
          </w14:textFill>
        </w:rPr>
      </w:pPr>
      <w:bookmarkStart w:id="485" w:name="_Toc23"/>
      <w:bookmarkStart w:id="486" w:name="_Toc216582818"/>
      <w:bookmarkStart w:id="487" w:name="_Toc515647821"/>
      <w:bookmarkStart w:id="488" w:name="_Toc31439"/>
      <w:bookmarkStart w:id="489" w:name="_Toc1980"/>
    </w:p>
    <w:p>
      <w:pPr>
        <w:spacing w:line="240" w:lineRule="atLeast"/>
        <w:ind w:firstLine="2310" w:firstLineChars="1100"/>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sz w:val="21"/>
          <w:szCs w:val="21"/>
          <w:highlight w:val="none"/>
          <w14:textFill>
            <w14:solidFill>
              <w14:schemeClr w14:val="tx1"/>
            </w14:solidFill>
          </w14:textFill>
        </w:rPr>
      </w:pPr>
    </w:p>
    <w:bookmarkEnd w:id="485"/>
    <w:bookmarkEnd w:id="486"/>
    <w:bookmarkEnd w:id="487"/>
    <w:bookmarkEnd w:id="488"/>
    <w:bookmarkEnd w:id="489"/>
    <w:p>
      <w:pPr>
        <w:pStyle w:val="4"/>
        <w:spacing w:before="0" w:line="240" w:lineRule="atLeast"/>
        <w:outlineLvl w:val="2"/>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490" w:name="_Toc29782"/>
      <w:bookmarkStart w:id="491" w:name="_Toc7605"/>
      <w:bookmarkStart w:id="492" w:name="_Toc24526"/>
      <w:bookmarkStart w:id="493" w:name="_Toc22640"/>
      <w:bookmarkStart w:id="494" w:name="_Toc7965"/>
      <w:bookmarkStart w:id="495" w:name="_Toc28566"/>
      <w:bookmarkStart w:id="496" w:name="_Toc1896"/>
      <w:bookmarkStart w:id="497" w:name="_Toc14878"/>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5</w:t>
      </w:r>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商务条款偏离表</w:t>
      </w:r>
      <w:bookmarkEnd w:id="490"/>
      <w:bookmarkEnd w:id="491"/>
      <w:bookmarkEnd w:id="492"/>
      <w:bookmarkEnd w:id="493"/>
      <w:bookmarkEnd w:id="494"/>
      <w:bookmarkEnd w:id="495"/>
      <w:bookmarkEnd w:id="496"/>
      <w:bookmarkEnd w:id="497"/>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项目名称:                      项目编号: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926" w:type="dxa"/>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招标文件条款号</w:t>
            </w:r>
          </w:p>
        </w:tc>
        <w:tc>
          <w:tcPr>
            <w:tcW w:w="2380" w:type="dxa"/>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招标文件的商务条款</w:t>
            </w:r>
          </w:p>
        </w:tc>
        <w:tc>
          <w:tcPr>
            <w:tcW w:w="2380" w:type="dxa"/>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投标文件的商务条款</w:t>
            </w:r>
          </w:p>
        </w:tc>
        <w:tc>
          <w:tcPr>
            <w:tcW w:w="957" w:type="dxa"/>
          </w:tcPr>
          <w:p>
            <w:pPr>
              <w:pStyle w:val="15"/>
              <w:spacing w:line="240" w:lineRule="atLeast"/>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jc w:val="center"/>
        </w:trPr>
        <w:tc>
          <w:tcPr>
            <w:tcW w:w="895"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926"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2380"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57" w:type="dxa"/>
          </w:tcPr>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15"/>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法定代表人或其委托代理人（</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签字或盖章</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pStyle w:val="15"/>
        <w:tabs>
          <w:tab w:val="left" w:pos="5370"/>
        </w:tabs>
        <w:spacing w:line="240" w:lineRule="atLeast"/>
        <w:ind w:left="1080" w:leftChars="257" w:hanging="54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供应商(公章):</w:t>
      </w:r>
    </w:p>
    <w:p>
      <w:pPr>
        <w:pStyle w:val="15"/>
        <w:spacing w:line="240" w:lineRule="atLeast"/>
        <w:ind w:left="1080" w:leftChars="257" w:hanging="54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br w:type="page"/>
      </w:r>
    </w:p>
    <w:p>
      <w:pPr>
        <w:pStyle w:val="4"/>
        <w:spacing w:before="0" w:line="240" w:lineRule="atLeast"/>
        <w:jc w:val="center"/>
        <w:outlineLvl w:val="3"/>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498" w:name="_Hlt520343392"/>
      <w:bookmarkEnd w:id="498"/>
      <w:bookmarkStart w:id="499" w:name="_Hlt520274065"/>
      <w:bookmarkEnd w:id="499"/>
      <w:bookmarkStart w:id="500" w:name="_Hlt520274407"/>
      <w:bookmarkEnd w:id="500"/>
      <w:bookmarkStart w:id="501" w:name="_Hlt520343000"/>
      <w:bookmarkEnd w:id="501"/>
      <w:bookmarkStart w:id="502" w:name="_Hlt520273711"/>
      <w:bookmarkEnd w:id="502"/>
      <w:bookmarkStart w:id="503" w:name="_Hlt520350957"/>
      <w:bookmarkEnd w:id="503"/>
      <w:bookmarkStart w:id="504" w:name="_Hlt520274911"/>
      <w:bookmarkEnd w:id="504"/>
      <w:bookmarkStart w:id="505" w:name="_Hlt520274393"/>
      <w:bookmarkEnd w:id="505"/>
      <w:bookmarkStart w:id="506" w:name="_Hlt520273973"/>
      <w:bookmarkEnd w:id="506"/>
      <w:bookmarkStart w:id="507" w:name="_Hlt520350918"/>
      <w:bookmarkEnd w:id="507"/>
      <w:bookmarkStart w:id="508" w:name="_Hlt520271212"/>
      <w:bookmarkEnd w:id="508"/>
      <w:bookmarkStart w:id="509" w:name="_Toc21482"/>
      <w:bookmarkStart w:id="510" w:name="_Toc515647823"/>
      <w:bookmarkStart w:id="511" w:name="_Toc8638"/>
      <w:bookmarkStart w:id="512" w:name="_Toc4073"/>
      <w:bookmarkStart w:id="513" w:name="_Toc15213"/>
      <w:bookmarkStart w:id="514" w:name="_Toc6881"/>
      <w:bookmarkStart w:id="515" w:name="_Toc10725"/>
      <w:bookmarkStart w:id="516" w:name="_Toc16929"/>
      <w:bookmarkStart w:id="517" w:name="_Toc17820"/>
      <w:bookmarkStart w:id="518" w:name="_Toc18923"/>
      <w:bookmarkStart w:id="519" w:name="_Toc3844"/>
      <w:bookmarkStart w:id="520" w:name="_Toc21312"/>
      <w:bookmarkStart w:id="521" w:name="_Toc10079"/>
      <w:bookmarkStart w:id="522" w:name="_Toc13462"/>
      <w:bookmarkStart w:id="523" w:name="_Toc6819"/>
      <w:r>
        <w:rPr>
          <w:rFonts w:hint="eastAsia" w:ascii="微软雅黑" w:hAnsi="微软雅黑" w:eastAsia="微软雅黑" w:cs="微软雅黑"/>
          <w:b/>
          <w:bCs/>
          <w:color w:val="000000" w:themeColor="text1"/>
          <w:kern w:val="2"/>
          <w:sz w:val="22"/>
          <w:szCs w:val="22"/>
          <w:highlight w:val="none"/>
          <w14:textFill>
            <w14:solidFill>
              <w14:schemeClr w14:val="tx1"/>
            </w14:solidFill>
          </w14:textFill>
        </w:rPr>
        <w:t xml:space="preserve">6-1  </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微软雅黑" w:hAnsi="微软雅黑" w:eastAsia="微软雅黑" w:cs="微软雅黑"/>
          <w:b/>
          <w:bCs/>
          <w:color w:val="000000" w:themeColor="text1"/>
          <w:sz w:val="22"/>
          <w:szCs w:val="22"/>
          <w:highlight w:val="none"/>
          <w14:textFill>
            <w14:solidFill>
              <w14:schemeClr w14:val="tx1"/>
            </w14:solidFill>
          </w14:textFill>
        </w:rPr>
        <w:t>中小企业声明函</w:t>
      </w:r>
      <w:bookmarkEnd w:id="523"/>
    </w:p>
    <w:p>
      <w:pPr>
        <w:spacing w:line="240" w:lineRule="atLeast"/>
        <w:ind w:left="1080" w:leftChars="257" w:hanging="540"/>
        <w:jc w:val="center"/>
        <w:rPr>
          <w:rFonts w:hint="eastAsia" w:ascii="微软雅黑" w:hAnsi="微软雅黑" w:eastAsia="微软雅黑" w:cs="微软雅黑"/>
          <w:b/>
          <w:bCs/>
          <w:color w:val="000000" w:themeColor="text1"/>
          <w:kern w:val="0"/>
          <w:sz w:val="22"/>
          <w:szCs w:val="22"/>
          <w:highlight w:val="none"/>
          <w14:textFill>
            <w14:solidFill>
              <w14:schemeClr w14:val="tx1"/>
            </w14:solidFill>
          </w14:textFill>
        </w:rPr>
      </w:pP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1、</w:t>
      </w:r>
      <w:r>
        <w:rPr>
          <w:rFonts w:hint="eastAsia" w:ascii="微软雅黑" w:hAnsi="微软雅黑" w:eastAsia="微软雅黑" w:cs="微软雅黑"/>
          <w:color w:val="000000" w:themeColor="text1"/>
          <w:highlight w:val="none"/>
          <w14:textFill>
            <w14:solidFill>
              <w14:schemeClr w14:val="tx1"/>
            </w14:solidFill>
          </w14:textFill>
        </w:rPr>
        <w:t xml:space="preserve">（ 标 的 名 称 ） ， 属 于 （ 采 购 文 件 中 明 确 的 所 属 行 业 ） 行业；制造商为（企业名称），从业人员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人，营业收入为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万元，资产总额为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万元</w:t>
      </w:r>
      <w:r>
        <w:rPr>
          <w:rFonts w:hint="eastAsia" w:ascii="微软雅黑" w:hAnsi="微软雅黑" w:eastAsia="微软雅黑" w:cs="微软雅黑"/>
          <w:color w:val="000000" w:themeColor="text1"/>
          <w:highlight w:val="none"/>
          <w14:textFill>
            <w14:solidFill>
              <w14:schemeClr w14:val="tx1"/>
            </w14:solidFill>
          </w14:textFill>
        </w:rPr>
        <w:fldChar w:fldCharType="begin"/>
      </w:r>
      <w:r>
        <w:rPr>
          <w:rFonts w:hint="eastAsia" w:ascii="微软雅黑" w:hAnsi="微软雅黑" w:eastAsia="微软雅黑" w:cs="微软雅黑"/>
          <w:color w:val="000000" w:themeColor="text1"/>
          <w:highlight w:val="none"/>
          <w14:textFill>
            <w14:solidFill>
              <w14:schemeClr w14:val="tx1"/>
            </w14:solidFill>
          </w14:textFill>
        </w:rPr>
        <w:instrText xml:space="preserve"> HYPERLINK \l "_bookmark0" </w:instrText>
      </w:r>
      <w:r>
        <w:rPr>
          <w:rFonts w:hint="eastAsia" w:ascii="微软雅黑" w:hAnsi="微软雅黑" w:eastAsia="微软雅黑" w:cs="微软雅黑"/>
          <w:color w:val="000000" w:themeColor="text1"/>
          <w:highlight w:val="none"/>
          <w14:textFill>
            <w14:solidFill>
              <w14:schemeClr w14:val="tx1"/>
            </w14:solidFill>
          </w14:textFill>
        </w:rPr>
        <w:fldChar w:fldCharType="separate"/>
      </w:r>
      <w:r>
        <w:rPr>
          <w:rFonts w:hint="eastAsia" w:ascii="微软雅黑" w:hAnsi="微软雅黑" w:eastAsia="微软雅黑" w:cs="微软雅黑"/>
          <w:color w:val="000000" w:themeColor="text1"/>
          <w:highlight w:val="none"/>
          <w14:textFill>
            <w14:solidFill>
              <w14:schemeClr w14:val="tx1"/>
            </w14:solidFill>
          </w14:textFill>
        </w:rPr>
        <w:t>1</w:t>
      </w:r>
      <w:r>
        <w:rPr>
          <w:rFonts w:hint="eastAsia" w:ascii="微软雅黑" w:hAnsi="微软雅黑" w:eastAsia="微软雅黑" w:cs="微软雅黑"/>
          <w:color w:val="000000" w:themeColor="text1"/>
          <w:highlight w:val="none"/>
          <w14:textFill>
            <w14:solidFill>
              <w14:schemeClr w14:val="tx1"/>
            </w14:solidFill>
          </w14:textFill>
        </w:rPr>
        <w:fldChar w:fldCharType="end"/>
      </w:r>
      <w:r>
        <w:rPr>
          <w:rFonts w:hint="eastAsia" w:ascii="微软雅黑" w:hAnsi="微软雅黑" w:eastAsia="微软雅黑" w:cs="微软雅黑"/>
          <w:color w:val="000000" w:themeColor="text1"/>
          <w:highlight w:val="none"/>
          <w14:textFill>
            <w14:solidFill>
              <w14:schemeClr w14:val="tx1"/>
            </w14:solidFill>
          </w14:textFill>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2、</w:t>
      </w:r>
      <w:r>
        <w:rPr>
          <w:rFonts w:hint="eastAsia" w:ascii="微软雅黑" w:hAnsi="微软雅黑" w:eastAsia="微软雅黑" w:cs="微软雅黑"/>
          <w:color w:val="000000" w:themeColor="text1"/>
          <w:highlight w:val="none"/>
          <w14:textFill>
            <w14:solidFill>
              <w14:schemeClr w14:val="tx1"/>
            </w14:solidFill>
          </w14:textFill>
        </w:rPr>
        <w:t xml:space="preserve">（ 标 的 名 称 ） ， 属 于 （ 采 购 文 件 中 明 确 的 所 属 行 业 ） 行业；制造商为（企业名称），从业人员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人，营业收入为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 xml:space="preserve">万元，资产总额为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企业名称（盖章）：日期：</w:t>
      </w:r>
    </w:p>
    <w:p>
      <w:pPr>
        <w:widowControl/>
        <w:spacing w:before="100" w:beforeAutospacing="1" w:after="100" w:afterAutospacing="1" w:line="500" w:lineRule="exact"/>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rPr>
          <w:rFonts w:hint="eastAsia" w:ascii="微软雅黑" w:hAnsi="微软雅黑" w:eastAsia="微软雅黑" w:cs="微软雅黑"/>
          <w:color w:val="000000" w:themeColor="text1"/>
          <w:szCs w:val="21"/>
          <w:highlight w:val="none"/>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注：</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1、</w:t>
      </w:r>
      <w:r>
        <w:rPr>
          <w:rFonts w:hint="eastAsia" w:ascii="微软雅黑" w:hAnsi="微软雅黑" w:eastAsia="微软雅黑" w:cs="微软雅黑"/>
          <w:b/>
          <w:bCs/>
          <w:color w:val="000000" w:themeColor="text1"/>
          <w:kern w:val="0"/>
          <w:szCs w:val="21"/>
          <w:highlight w:val="none"/>
          <w14:textFill>
            <w14:solidFill>
              <w14:schemeClr w14:val="tx1"/>
            </w14:solidFill>
          </w14:textFill>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kern w:val="0"/>
          <w:szCs w:val="21"/>
          <w:highlight w:val="none"/>
          <w14:textFill>
            <w14:solidFill>
              <w14:schemeClr w14:val="tx1"/>
            </w14:solidFill>
          </w14:textFill>
        </w:rPr>
        <w:t xml:space="preserve">   </w:t>
      </w:r>
      <w:r>
        <w:rPr>
          <w:rFonts w:hint="eastAsia" w:ascii="微软雅黑" w:hAnsi="微软雅黑" w:eastAsia="微软雅黑" w:cs="微软雅黑"/>
          <w:b/>
          <w:bCs/>
          <w:color w:val="000000" w:themeColor="text1"/>
          <w:kern w:val="0"/>
          <w:szCs w:val="21"/>
          <w:highlight w:val="none"/>
          <w:lang w:val="en-US" w:eastAsia="zh-CN"/>
          <w14:textFill>
            <w14:solidFill>
              <w14:schemeClr w14:val="tx1"/>
            </w14:solidFill>
          </w14:textFill>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000000" w:themeColor="text1"/>
          <w:highlight w:val="none"/>
          <w14:textFill>
            <w14:solidFill>
              <w14:schemeClr w14:val="tx1"/>
            </w14:solidFill>
          </w14:textFill>
        </w:rPr>
      </w:pPr>
    </w:p>
    <w:p>
      <w:pPr>
        <w:pStyle w:val="4"/>
        <w:spacing w:before="0" w:line="240" w:lineRule="atLeast"/>
        <w:jc w:val="center"/>
        <w:rPr>
          <w:rFonts w:hint="eastAsia" w:ascii="微软雅黑" w:hAnsi="微软雅黑" w:eastAsia="微软雅黑" w:cs="微软雅黑"/>
          <w:color w:val="000000" w:themeColor="text1"/>
          <w:kern w:val="2"/>
          <w:sz w:val="24"/>
          <w:szCs w:val="24"/>
          <w:highlight w:val="none"/>
          <w14:textFill>
            <w14:solidFill>
              <w14:schemeClr w14:val="tx1"/>
            </w14:solidFill>
          </w14:textFill>
        </w:rPr>
      </w:pPr>
      <w:bookmarkStart w:id="524" w:name="_Toc515647824"/>
      <w:bookmarkStart w:id="525" w:name="_Toc2709"/>
      <w:bookmarkStart w:id="526" w:name="_Toc28055"/>
      <w:bookmarkStart w:id="527" w:name="_Toc11803"/>
      <w:bookmarkStart w:id="528" w:name="_Toc4543"/>
      <w:bookmarkStart w:id="529" w:name="_Toc752"/>
      <w:bookmarkStart w:id="530" w:name="_Toc12692"/>
      <w:bookmarkStart w:id="531" w:name="_Toc7018"/>
      <w:bookmarkStart w:id="532" w:name="_Toc29115"/>
      <w:bookmarkStart w:id="533" w:name="_Toc5609"/>
      <w:bookmarkStart w:id="534" w:name="_Toc18860"/>
      <w:bookmarkStart w:id="535" w:name="_Toc26643"/>
      <w:bookmarkStart w:id="536" w:name="_Toc10977"/>
      <w:bookmarkStart w:id="537" w:name="_Toc12060"/>
      <w:bookmarkStart w:id="538" w:name="_Toc1539"/>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 xml:space="preserve">6-2  </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39" w:name="_Toc15294"/>
      <w:bookmarkStart w:id="540" w:name="_Toc24860"/>
      <w:bookmarkStart w:id="541" w:name="_Toc14454"/>
      <w:bookmarkStart w:id="542" w:name="_Toc3420"/>
      <w:bookmarkStart w:id="543" w:name="_Toc30849"/>
      <w:bookmarkStart w:id="544" w:name="_Toc32586"/>
      <w:bookmarkStart w:id="545" w:name="_Toc23068"/>
      <w:bookmarkStart w:id="546" w:name="_Toc19284"/>
      <w:bookmarkStart w:id="547" w:name="_Toc26931"/>
      <w:bookmarkStart w:id="548" w:name="_Toc2621"/>
      <w:bookmarkStart w:id="549" w:name="_Toc515647825"/>
      <w:bookmarkStart w:id="550" w:name="_Toc13947"/>
      <w:bookmarkStart w:id="551" w:name="_Toc4244"/>
      <w:bookmarkStart w:id="552" w:name="_Toc732"/>
      <w:bookmarkStart w:id="553" w:name="OLE_LINK14"/>
      <w:bookmarkStart w:id="554" w:name="OLE_LINK13"/>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残疾人福利性单位声明函</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bookmarkEnd w:id="553"/>
    <w:bookmarkEnd w:id="554"/>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firstLine="567"/>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日  期：</w:t>
      </w: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4"/>
        <w:spacing w:before="0" w:line="240" w:lineRule="atLeast"/>
        <w:ind w:left="1080" w:leftChars="257" w:hanging="540"/>
        <w:jc w:val="left"/>
        <w:outlineLvl w:val="2"/>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555" w:name="_Toc26133"/>
      <w:bookmarkStart w:id="556" w:name="_Toc6009"/>
      <w:bookmarkStart w:id="557" w:name="_Toc2304"/>
      <w:bookmarkStart w:id="558" w:name="_Toc32471"/>
      <w:bookmarkStart w:id="559" w:name="_Toc22561"/>
      <w:bookmarkStart w:id="560" w:name="_Toc5527"/>
      <w:bookmarkStart w:id="561" w:name="_Toc22378"/>
      <w:bookmarkStart w:id="562" w:name="_Toc11868"/>
      <w:bookmarkStart w:id="563" w:name="_Toc19223"/>
      <w:bookmarkStart w:id="564" w:name="_Toc28099"/>
      <w:bookmarkStart w:id="565" w:name="_Toc5568"/>
      <w:bookmarkStart w:id="566" w:name="_Toc515647827"/>
      <w:bookmarkStart w:id="567" w:name="_Toc30795"/>
      <w:bookmarkStart w:id="568" w:name="_Toc30946"/>
      <w:bookmarkStart w:id="569" w:name="_Toc6004"/>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7</w:t>
      </w:r>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供应商关联单位的说明</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pPr>
        <w:pStyle w:val="8"/>
        <w:jc w:val="center"/>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ind w:firstLine="480" w:firstLineChars="200"/>
        <w:rPr>
          <w:rFonts w:hint="eastAsia" w:ascii="微软雅黑" w:hAnsi="微软雅黑" w:eastAsia="微软雅黑" w:cs="微软雅黑"/>
          <w:color w:val="000000" w:themeColor="text1"/>
          <w:kern w:val="2"/>
          <w:highlight w:val="none"/>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说明：供应商应当如实披露与本单位存在下列关联关系的单位名称：</w:t>
      </w:r>
    </w:p>
    <w:p>
      <w:pPr>
        <w:pStyle w:val="8"/>
        <w:ind w:firstLine="480" w:firstLineChars="200"/>
        <w:rPr>
          <w:rFonts w:hint="eastAsia" w:ascii="微软雅黑" w:hAnsi="微软雅黑" w:eastAsia="微软雅黑" w:cs="微软雅黑"/>
          <w:color w:val="000000" w:themeColor="text1"/>
          <w:kern w:val="2"/>
          <w:highlight w:val="none"/>
          <w:lang w:eastAsia="zh-CN"/>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（1）与供应商单位负责人为同一人的其他单位；</w:t>
      </w:r>
    </w:p>
    <w:p>
      <w:pPr>
        <w:pStyle w:val="8"/>
        <w:ind w:firstLine="480" w:firstLineChars="200"/>
        <w:rPr>
          <w:rFonts w:hint="eastAsia" w:ascii="微软雅黑" w:hAnsi="微软雅黑" w:eastAsia="微软雅黑" w:cs="微软雅黑"/>
          <w:color w:val="000000" w:themeColor="text1"/>
          <w:kern w:val="2"/>
          <w:highlight w:val="none"/>
          <w14:textFill>
            <w14:solidFill>
              <w14:schemeClr w14:val="tx1"/>
            </w14:solidFill>
          </w14:textFill>
        </w:rPr>
      </w:pPr>
      <w:r>
        <w:rPr>
          <w:rFonts w:hint="eastAsia" w:ascii="微软雅黑" w:hAnsi="微软雅黑" w:eastAsia="微软雅黑" w:cs="微软雅黑"/>
          <w:color w:val="000000" w:themeColor="text1"/>
          <w:kern w:val="2"/>
          <w:highlight w:val="none"/>
          <w14:textFill>
            <w14:solidFill>
              <w14:schemeClr w14:val="tx1"/>
            </w14:solidFill>
          </w14:textFill>
        </w:rPr>
        <w:t xml:space="preserve">    （2）与供应商存在直接控股、管理关系的其他单位。</w:t>
      </w: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pStyle w:val="8"/>
        <w:rPr>
          <w:rFonts w:hint="eastAsia" w:ascii="微软雅黑" w:hAnsi="微软雅黑" w:eastAsia="微软雅黑" w:cs="微软雅黑"/>
          <w:color w:val="000000" w:themeColor="text1"/>
          <w:kern w:val="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4"/>
        <w:spacing w:before="0" w:line="240" w:lineRule="atLeast"/>
        <w:ind w:left="1080" w:leftChars="257" w:hanging="540"/>
        <w:jc w:val="left"/>
        <w:outlineLvl w:val="2"/>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pPr>
      <w:bookmarkStart w:id="570" w:name="_Toc515647828"/>
      <w:bookmarkStart w:id="571" w:name="_Toc10352"/>
      <w:bookmarkStart w:id="572" w:name="_Toc29367"/>
      <w:bookmarkStart w:id="573" w:name="_Toc7414"/>
      <w:bookmarkStart w:id="574" w:name="_Toc17333"/>
      <w:bookmarkStart w:id="575" w:name="_Toc25126"/>
      <w:bookmarkStart w:id="576" w:name="_Toc31226"/>
      <w:bookmarkStart w:id="577" w:name="_Toc20015"/>
      <w:bookmarkStart w:id="578" w:name="_Toc6932"/>
      <w:bookmarkStart w:id="579" w:name="_Toc7966"/>
      <w:bookmarkStart w:id="580" w:name="_Toc32563"/>
      <w:bookmarkStart w:id="581" w:name="_Toc23897"/>
      <w:bookmarkStart w:id="582" w:name="_Toc17843"/>
      <w:bookmarkStart w:id="583" w:name="_Toc15535"/>
      <w:bookmarkStart w:id="584" w:name="_Toc12486"/>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8</w:t>
      </w:r>
      <w:bookmarkEnd w:id="570"/>
      <w:bookmarkEnd w:id="571"/>
      <w:bookmarkEnd w:id="572"/>
      <w:bookmarkEnd w:id="573"/>
      <w:bookmarkEnd w:id="574"/>
      <w:bookmarkStart w:id="585" w:name="_Toc27058"/>
      <w:r>
        <w:rPr>
          <w:rFonts w:hint="eastAsia" w:ascii="微软雅黑" w:hAnsi="微软雅黑" w:eastAsia="微软雅黑" w:cs="微软雅黑"/>
          <w:b/>
          <w:bCs/>
          <w:color w:val="000000" w:themeColor="text1"/>
          <w:kern w:val="2"/>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2"/>
          <w:sz w:val="24"/>
          <w:szCs w:val="24"/>
          <w:highlight w:val="none"/>
          <w14:textFill>
            <w14:solidFill>
              <w14:schemeClr w14:val="tx1"/>
            </w14:solidFill>
          </w14:textFill>
        </w:rPr>
        <w:t>供应商可提供有利于投标的其他资格证明材料</w:t>
      </w:r>
      <w:bookmarkEnd w:id="575"/>
      <w:bookmarkEnd w:id="576"/>
      <w:bookmarkEnd w:id="577"/>
      <w:bookmarkEnd w:id="578"/>
      <w:bookmarkEnd w:id="579"/>
      <w:bookmarkEnd w:id="580"/>
      <w:bookmarkEnd w:id="581"/>
      <w:bookmarkEnd w:id="582"/>
      <w:bookmarkEnd w:id="583"/>
      <w:bookmarkEnd w:id="584"/>
      <w:bookmarkEnd w:id="585"/>
    </w:p>
    <w:p>
      <w:pPr>
        <w:spacing w:line="240" w:lineRule="atLeast"/>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p>
      <w:pPr>
        <w:pStyle w:val="8"/>
        <w:outlineLvl w:val="9"/>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highlight w:val="none"/>
          <w14:textFill>
            <w14:solidFill>
              <w14:schemeClr w14:val="tx1"/>
            </w14:solidFill>
          </w14:textFill>
        </w:rPr>
      </w:pPr>
    </w:p>
    <w:p>
      <w:pPr>
        <w:pStyle w:val="52"/>
        <w:outlineLvl w:val="9"/>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ind w:left="1080" w:leftChars="257" w:hanging="54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586" w:name="_Toc16684"/>
      <w:bookmarkStart w:id="587" w:name="_Toc17701"/>
      <w:bookmarkStart w:id="588" w:name="_Toc31381"/>
      <w:bookmarkStart w:id="589" w:name="_Toc19009"/>
      <w:bookmarkStart w:id="590" w:name="_Toc23424"/>
      <w:bookmarkStart w:id="591" w:name="_Toc2969"/>
      <w:bookmarkStart w:id="592" w:name="_Toc25807"/>
    </w:p>
    <w:p>
      <w:pPr>
        <w:spacing w:line="240" w:lineRule="atLeast"/>
        <w:ind w:left="1080" w:leftChars="257" w:hanging="540"/>
        <w:outlineLvl w:val="9"/>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p>
    <w:p>
      <w:pPr>
        <w:spacing w:line="240" w:lineRule="atLeast"/>
        <w:ind w:left="1080" w:leftChars="257" w:hanging="540"/>
        <w:outlineLvl w:val="2"/>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bookmarkStart w:id="593" w:name="_Toc10891"/>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9</w:t>
      </w:r>
      <w:r>
        <w:rPr>
          <w:rFonts w:hint="eastAsia" w:ascii="微软雅黑" w:hAnsi="微软雅黑" w:eastAsia="微软雅黑" w:cs="微软雅黑"/>
          <w:b/>
          <w:bCs/>
          <w:color w:val="000000" w:themeColor="text1"/>
          <w:kern w:val="0"/>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投标文件格式范本</w:t>
      </w:r>
      <w:bookmarkEnd w:id="586"/>
      <w:bookmarkEnd w:id="587"/>
      <w:bookmarkEnd w:id="588"/>
      <w:bookmarkEnd w:id="589"/>
      <w:bookmarkEnd w:id="590"/>
      <w:bookmarkEnd w:id="591"/>
      <w:bookmarkEnd w:id="592"/>
      <w:bookmarkEnd w:id="593"/>
    </w:p>
    <w:tbl>
      <w:tblPr>
        <w:tblStyle w:val="28"/>
        <w:tblpPr w:leftFromText="180" w:rightFromText="180" w:vertAnchor="text" w:horzAnchor="page" w:tblpX="1380" w:tblpY="440"/>
        <w:tblOverlap w:val="never"/>
        <w:tblW w:w="88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833" w:hRule="atLeast"/>
        </w:trPr>
        <w:tc>
          <w:tcPr>
            <w:tcW w:w="8820" w:type="dxa"/>
            <w:shd w:val="clear" w:color="auto" w:fill="FCFEEA"/>
          </w:tcPr>
          <w:p>
            <w:pPr>
              <w:pStyle w:val="2"/>
              <w:jc w:val="center"/>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xml:space="preserve">                                              （正本</w:t>
            </w:r>
            <w:r>
              <w:rPr>
                <w:rFonts w:hint="eastAsia" w:ascii="微软雅黑" w:hAnsi="微软雅黑" w:eastAsia="微软雅黑" w:cs="微软雅黑"/>
                <w:b/>
                <w:bCs/>
                <w:color w:val="000000" w:themeColor="text1"/>
                <w:sz w:val="28"/>
                <w:szCs w:val="28"/>
                <w:highlight w:val="none"/>
                <w:lang w:val="en-US" w:eastAsia="zh-CN"/>
                <w14:textFill>
                  <w14:solidFill>
                    <w14:schemeClr w14:val="tx1"/>
                  </w14:solidFill>
                </w14:textFill>
              </w:rPr>
              <w:t>或</w:t>
            </w:r>
            <w:r>
              <w:rPr>
                <w:rFonts w:hint="eastAsia" w:ascii="微软雅黑" w:hAnsi="微软雅黑" w:eastAsia="微软雅黑" w:cs="微软雅黑"/>
                <w:b/>
                <w:bCs/>
                <w:color w:val="000000" w:themeColor="text1"/>
                <w:sz w:val="28"/>
                <w:szCs w:val="28"/>
                <w:highlight w:val="none"/>
                <w14:textFill>
                  <w14:solidFill>
                    <w14:schemeClr w14:val="tx1"/>
                  </w14:solidFill>
                </w14:textFill>
              </w:rPr>
              <w:t>副本）</w:t>
            </w:r>
          </w:p>
          <w:p>
            <w:pPr>
              <w:pStyle w:val="2"/>
              <w:ind w:firstLine="4202" w:firstLineChars="150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2"/>
              <w:ind w:firstLine="4202" w:firstLineChars="150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pStyle w:val="2"/>
              <w:ind w:firstLine="2521" w:firstLineChars="900"/>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 *** *** *** ***   项目</w:t>
            </w:r>
          </w:p>
          <w:p>
            <w:pPr>
              <w:pStyle w:val="2"/>
              <w:jc w:val="center"/>
              <w:rPr>
                <w:rFonts w:hint="eastAsia" w:ascii="微软雅黑" w:hAnsi="微软雅黑" w:eastAsia="微软雅黑" w:cs="微软雅黑"/>
                <w:b/>
                <w:bCs/>
                <w:color w:val="000000" w:themeColor="text1"/>
                <w:sz w:val="21"/>
                <w:szCs w:val="21"/>
                <w:highlight w:val="none"/>
                <w14:textFill>
                  <w14:solidFill>
                    <w14:schemeClr w14:val="tx1"/>
                  </w14:solidFill>
                </w14:textFill>
              </w:rPr>
            </w:pPr>
          </w:p>
          <w:p>
            <w:pPr>
              <w:pStyle w:val="2"/>
              <w:ind w:firstLine="3152" w:firstLineChars="1500"/>
              <w:rPr>
                <w:rFonts w:hint="eastAsia" w:ascii="微软雅黑" w:hAnsi="微软雅黑" w:eastAsia="微软雅黑" w:cs="微软雅黑"/>
                <w:b/>
                <w:bCs/>
                <w:color w:val="000000" w:themeColor="text1"/>
                <w:sz w:val="21"/>
                <w:szCs w:val="21"/>
                <w:highlight w:val="none"/>
                <w14:textFill>
                  <w14:solidFill>
                    <w14:schemeClr w14:val="tx1"/>
                  </w14:solidFill>
                </w14:textFill>
              </w:rPr>
            </w:pPr>
            <w:r>
              <w:rPr>
                <w:rFonts w:hint="eastAsia" w:ascii="微软雅黑" w:hAnsi="微软雅黑" w:eastAsia="微软雅黑" w:cs="微软雅黑"/>
                <w:b/>
                <w:bCs/>
                <w:color w:val="000000" w:themeColor="text1"/>
                <w:sz w:val="21"/>
                <w:szCs w:val="21"/>
                <w:highlight w:val="none"/>
                <w14:textFill>
                  <w14:solidFill>
                    <w14:schemeClr w14:val="tx1"/>
                  </w14:solidFill>
                </w14:textFill>
              </w:rPr>
              <w:t xml:space="preserve">编号＊＊＊＊＊＊   </w:t>
            </w:r>
            <w:r>
              <w:rPr>
                <w:rFonts w:hint="eastAsia" w:ascii="微软雅黑" w:hAnsi="微软雅黑" w:eastAsia="微软雅黑" w:cs="微软雅黑"/>
                <w:b/>
                <w:bCs/>
                <w:color w:val="000000" w:themeColor="text1"/>
                <w:sz w:val="21"/>
                <w:szCs w:val="21"/>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1"/>
                <w:szCs w:val="21"/>
                <w:highlight w:val="none"/>
                <w14:textFill>
                  <w14:solidFill>
                    <w14:schemeClr w14:val="tx1"/>
                  </w14:solidFill>
                </w14:textFill>
              </w:rPr>
              <w:t>＊＊＊＊＊</w:t>
            </w:r>
          </w:p>
          <w:p>
            <w:pPr>
              <w:pStyle w:val="2"/>
              <w:jc w:val="center"/>
              <w:rPr>
                <w:rFonts w:hint="eastAsia" w:ascii="微软雅黑" w:hAnsi="微软雅黑" w:eastAsia="微软雅黑" w:cs="微软雅黑"/>
                <w:b/>
                <w:bCs/>
                <w:color w:val="000000" w:themeColor="text1"/>
                <w:sz w:val="48"/>
                <w:szCs w:val="48"/>
                <w:highlight w:val="none"/>
                <w14:textFill>
                  <w14:solidFill>
                    <w14:schemeClr w14:val="tx1"/>
                  </w14:solidFill>
                </w14:textFill>
              </w:rPr>
            </w:pPr>
          </w:p>
          <w:p>
            <w:pPr>
              <w:pStyle w:val="2"/>
              <w:jc w:val="center"/>
              <w:rPr>
                <w:rFonts w:hint="eastAsia" w:ascii="微软雅黑" w:hAnsi="微软雅黑" w:eastAsia="微软雅黑" w:cs="微软雅黑"/>
                <w:b/>
                <w:bCs/>
                <w:color w:val="000000" w:themeColor="text1"/>
                <w:sz w:val="48"/>
                <w:szCs w:val="48"/>
                <w:highlight w:val="none"/>
                <w14:textFill>
                  <w14:solidFill>
                    <w14:schemeClr w14:val="tx1"/>
                  </w14:solidFill>
                </w14:textFill>
              </w:rPr>
            </w:pPr>
            <w:r>
              <w:rPr>
                <w:rFonts w:hint="eastAsia" w:ascii="微软雅黑" w:hAnsi="微软雅黑" w:eastAsia="微软雅黑" w:cs="微软雅黑"/>
                <w:b/>
                <w:bCs/>
                <w:color w:val="000000" w:themeColor="text1"/>
                <w:sz w:val="48"/>
                <w:szCs w:val="48"/>
                <w:highlight w:val="none"/>
                <w14:textFill>
                  <w14:solidFill>
                    <w14:schemeClr w14:val="tx1"/>
                  </w14:solidFill>
                </w14:textFill>
              </w:rPr>
              <w:t>投 标 文 件</w:t>
            </w:r>
          </w:p>
          <w:p>
            <w:pPr>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8"/>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8"/>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360" w:lineRule="auto"/>
              <w:ind w:left="176" w:leftChars="84" w:firstLine="840" w:firstLineChars="4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投 标 单位：</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highlight w:val="none"/>
                <w14:textFill>
                  <w14:solidFill>
                    <w14:schemeClr w14:val="tx1"/>
                  </w14:solidFill>
                </w14:textFill>
              </w:rPr>
              <w:t>（公章）</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项目名称：</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项目编号：</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（包号）</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联 系 人：</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    话：</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840" w:firstLineChars="400"/>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地    址  ：  </w:t>
            </w:r>
            <w:r>
              <w:rPr>
                <w:rFonts w:hint="eastAsia" w:ascii="微软雅黑" w:hAnsi="微软雅黑" w:eastAsia="微软雅黑" w:cs="微软雅黑"/>
                <w:color w:val="000000" w:themeColor="text1"/>
                <w:highlight w:val="none"/>
                <w:u w:val="single"/>
                <w14:textFill>
                  <w14:solidFill>
                    <w14:schemeClr w14:val="tx1"/>
                  </w14:solidFill>
                </w14:textFill>
              </w:rPr>
              <w:t xml:space="preserve">                                    </w:t>
            </w:r>
          </w:p>
          <w:p>
            <w:pPr>
              <w:spacing w:line="360" w:lineRule="auto"/>
              <w:ind w:left="176" w:leftChars="84" w:firstLine="960" w:firstLineChars="400"/>
              <w:rPr>
                <w:rFonts w:hint="eastAsia" w:ascii="微软雅黑" w:hAnsi="微软雅黑" w:eastAsia="微软雅黑" w:cs="微软雅黑"/>
                <w:color w:val="000000" w:themeColor="text1"/>
                <w:sz w:val="24"/>
                <w:szCs w:val="24"/>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p>
            <w:pPr>
              <w:jc w:val="center"/>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注：   在202</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3</w:t>
            </w:r>
            <w:r>
              <w:rPr>
                <w:rFonts w:hint="eastAsia" w:ascii="微软雅黑" w:hAnsi="微软雅黑" w:eastAsia="微软雅黑" w:cs="微软雅黑"/>
                <w:b/>
                <w:bCs/>
                <w:color w:val="000000" w:themeColor="text1"/>
                <w:highlight w:val="none"/>
                <w14:textFill>
                  <w14:solidFill>
                    <w14:schemeClr w14:val="tx1"/>
                  </w14:solidFill>
                </w14:textFill>
              </w:rPr>
              <w:t>年   月  日 *午   之前不得启封</w:t>
            </w:r>
          </w:p>
          <w:p>
            <w:pPr>
              <w:jc w:val="center"/>
              <w:rPr>
                <w:rFonts w:hint="eastAsia" w:ascii="微软雅黑" w:hAnsi="微软雅黑" w:eastAsia="微软雅黑" w:cs="微软雅黑"/>
                <w:b/>
                <w:bCs/>
                <w:color w:val="000000" w:themeColor="text1"/>
                <w:highlight w:val="none"/>
                <w14:textFill>
                  <w14:solidFill>
                    <w14:schemeClr w14:val="tx1"/>
                  </w14:solidFill>
                </w14:textFill>
              </w:rPr>
            </w:pPr>
          </w:p>
        </w:tc>
      </w:tr>
    </w:tbl>
    <w:p>
      <w:pPr>
        <w:spacing w:line="240" w:lineRule="atLeast"/>
        <w:rPr>
          <w:rFonts w:hint="eastAsia" w:ascii="微软雅黑" w:hAnsi="微软雅黑" w:eastAsia="微软雅黑" w:cs="微软雅黑"/>
          <w:b/>
          <w:bCs/>
          <w:color w:val="000000" w:themeColor="text1"/>
          <w:sz w:val="30"/>
          <w:szCs w:val="30"/>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br w:type="page"/>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8"/>
        <w:ind w:left="0" w:leftChars="0" w:firstLine="0" w:firstLineChars="0"/>
        <w:rPr>
          <w:rFonts w:hint="eastAsia" w:ascii="微软雅黑" w:hAnsi="微软雅黑" w:eastAsia="微软雅黑" w:cs="微软雅黑"/>
          <w:color w:val="000000" w:themeColor="text1"/>
          <w:highlight w:val="none"/>
          <w14:textFill>
            <w14:solidFill>
              <w14:schemeClr w14:val="tx1"/>
            </w14:solidFill>
          </w14:textFill>
        </w:rPr>
      </w:pPr>
    </w:p>
    <w:p>
      <w:pPr>
        <w:spacing w:line="240" w:lineRule="atLeast"/>
        <w:jc w:val="center"/>
        <w:outlineLvl w:val="0"/>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托克扎克镇4村产业（中草药厂、玫瑰产品研发中心）基础设施配套建设项目</w:t>
      </w: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44"/>
          <w:szCs w:val="44"/>
          <w:highlight w:val="none"/>
          <w14:textFill>
            <w14:solidFill>
              <w14:schemeClr w14:val="tx1"/>
            </w14:solidFill>
          </w14:textFill>
        </w:rPr>
      </w:pPr>
    </w:p>
    <w:p>
      <w:pPr>
        <w:rPr>
          <w:rFonts w:hint="eastAsia"/>
        </w:rPr>
      </w:pP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招</w:t>
      </w: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44"/>
          <w:szCs w:val="44"/>
          <w:highlight w:val="none"/>
          <w14:textFill>
            <w14:solidFill>
              <w14:schemeClr w14:val="tx1"/>
            </w14:solidFill>
          </w14:textFill>
        </w:rPr>
        <w:t>标</w:t>
      </w:r>
      <w:r>
        <w:rPr>
          <w:rFonts w:hint="eastAsia" w:ascii="微软雅黑" w:hAnsi="微软雅黑" w:eastAsia="微软雅黑" w:cs="微软雅黑"/>
          <w:b/>
          <w:bCs/>
          <w:color w:val="000000" w:themeColor="text1"/>
          <w:sz w:val="44"/>
          <w:szCs w:val="4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44"/>
          <w:szCs w:val="44"/>
          <w:highlight w:val="none"/>
          <w14:textFill>
            <w14:solidFill>
              <w14:schemeClr w14:val="tx1"/>
            </w14:solidFill>
          </w14:textFill>
        </w:rPr>
        <w:t>文 件</w:t>
      </w:r>
    </w:p>
    <w:p>
      <w:pPr>
        <w:spacing w:line="240" w:lineRule="atLeast"/>
        <w:jc w:val="cente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
        <w:rPr>
          <w:rFonts w:hint="eastAsia"/>
        </w:rPr>
      </w:pPr>
    </w:p>
    <w:p>
      <w:pPr>
        <w:spacing w:line="240" w:lineRule="atLeast"/>
        <w:jc w:val="center"/>
        <w:rPr>
          <w:rFonts w:hint="eastAsia" w:ascii="微软雅黑" w:hAnsi="微软雅黑" w:eastAsia="微软雅黑" w:cs="微软雅黑"/>
          <w:b/>
          <w:bCs/>
          <w:color w:val="000000" w:themeColor="text1"/>
          <w:sz w:val="32"/>
          <w:szCs w:val="32"/>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40"/>
          <w:szCs w:val="40"/>
          <w:highlight w:val="none"/>
          <w14:textFill>
            <w14:solidFill>
              <w14:schemeClr w14:val="tx1"/>
            </w14:solidFill>
          </w14:textFill>
        </w:rPr>
        <w:t>项目编号：</w:t>
      </w:r>
      <w:r>
        <w:rPr>
          <w:rFonts w:hint="eastAsia" w:ascii="微软雅黑" w:hAnsi="微软雅黑" w:eastAsia="微软雅黑" w:cs="微软雅黑"/>
          <w:b/>
          <w:bCs/>
          <w:color w:val="000000" w:themeColor="text1"/>
          <w:sz w:val="40"/>
          <w:szCs w:val="40"/>
          <w:highlight w:val="none"/>
          <w:lang w:val="en-US" w:eastAsia="zh-CN"/>
          <w14:textFill>
            <w14:solidFill>
              <w14:schemeClr w14:val="tx1"/>
            </w14:solidFill>
          </w14:textFill>
        </w:rPr>
        <w:t>SFXDZFR(GK)2023-15号</w:t>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pStyle w:val="2"/>
        <w:rPr>
          <w:rFonts w:hint="eastAsia"/>
        </w:rPr>
      </w:pPr>
    </w:p>
    <w:p>
      <w:pPr>
        <w:spacing w:line="240" w:lineRule="atLeast"/>
        <w:jc w:val="center"/>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第 二 册</w:t>
      </w: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 xml:space="preserve">  </w:t>
      </w: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ind w:left="1080" w:leftChars="257" w:hanging="540"/>
        <w:rPr>
          <w:rFonts w:hint="eastAsia" w:ascii="微软雅黑" w:hAnsi="微软雅黑" w:eastAsia="微软雅黑" w:cs="微软雅黑"/>
          <w:b/>
          <w:bCs/>
          <w:color w:val="000000" w:themeColor="text1"/>
          <w:sz w:val="28"/>
          <w:szCs w:val="28"/>
          <w:highlight w:val="none"/>
          <w14:textFill>
            <w14:solidFill>
              <w14:schemeClr w14:val="tx1"/>
            </w14:solidFill>
          </w14:textFill>
        </w:rPr>
      </w:pPr>
    </w:p>
    <w:p>
      <w:pPr>
        <w:spacing w:line="240" w:lineRule="atLeast"/>
        <w:jc w:val="both"/>
        <w:rPr>
          <w:rFonts w:hint="eastAsia" w:ascii="微软雅黑" w:hAnsi="微软雅黑" w:eastAsia="微软雅黑" w:cs="微软雅黑"/>
          <w:b/>
          <w:bCs/>
          <w:color w:val="000000" w:themeColor="text1"/>
          <w:sz w:val="52"/>
          <w:szCs w:val="52"/>
          <w:highlight w:val="none"/>
          <w14:textFill>
            <w14:solidFill>
              <w14:schemeClr w14:val="tx1"/>
            </w14:solidFill>
          </w14:textFill>
        </w:rPr>
      </w:pPr>
    </w:p>
    <w:p>
      <w:pPr>
        <w:pStyle w:val="3"/>
        <w:numPr>
          <w:ilvl w:val="0"/>
          <w:numId w:val="8"/>
        </w:numPr>
        <w:tabs>
          <w:tab w:val="left" w:pos="0"/>
        </w:tabs>
        <w:spacing w:before="0" w:after="0" w:line="500" w:lineRule="exact"/>
        <w:rPr>
          <w:rFonts w:hint="eastAsia" w:ascii="微软雅黑" w:hAnsi="微软雅黑" w:eastAsia="微软雅黑" w:cs="微软雅黑"/>
          <w:color w:val="000000" w:themeColor="text1"/>
          <w:highlight w:val="none"/>
          <w14:textFill>
            <w14:solidFill>
              <w14:schemeClr w14:val="tx1"/>
            </w14:solidFill>
          </w14:textFill>
        </w:rPr>
      </w:pPr>
      <w:bookmarkStart w:id="594" w:name="_Toc219175634"/>
      <w:bookmarkStart w:id="595" w:name="_Toc507399902"/>
      <w:bookmarkStart w:id="596" w:name="_Toc218935350"/>
      <w:bookmarkStart w:id="597" w:name="_Toc29715"/>
      <w:bookmarkStart w:id="598" w:name="_Toc216582822"/>
      <w:bookmarkStart w:id="599" w:name="_Toc28765"/>
      <w:bookmarkStart w:id="600" w:name="_Toc16370"/>
      <w:bookmarkStart w:id="601" w:name="_Toc515647829"/>
      <w:bookmarkStart w:id="602" w:name="_Toc30980"/>
      <w:bookmarkStart w:id="603" w:name="_Toc5272"/>
      <w:bookmarkStart w:id="604" w:name="_Toc515647830"/>
      <w:bookmarkStart w:id="605" w:name="_Toc507399903"/>
      <w:bookmarkStart w:id="606" w:name="_Toc31583"/>
      <w:bookmarkStart w:id="607" w:name="_Toc216582823"/>
      <w:bookmarkStart w:id="608" w:name="_Toc10488"/>
      <w:bookmarkStart w:id="609" w:name="_Toc512937850"/>
      <w:r>
        <w:rPr>
          <w:rFonts w:hint="eastAsia" w:ascii="微软雅黑" w:hAnsi="微软雅黑" w:eastAsia="微软雅黑" w:cs="微软雅黑"/>
          <w:color w:val="000000" w:themeColor="text1"/>
          <w:highlight w:val="none"/>
          <w14:textFill>
            <w14:solidFill>
              <w14:schemeClr w14:val="tx1"/>
            </w14:solidFill>
          </w14:textFill>
        </w:rPr>
        <w:t xml:space="preserve"> </w:t>
      </w:r>
      <w:bookmarkStart w:id="610" w:name="_Toc7277"/>
      <w:r>
        <w:rPr>
          <w:rFonts w:hint="eastAsia" w:ascii="微软雅黑" w:hAnsi="微软雅黑" w:eastAsia="微软雅黑" w:cs="微软雅黑"/>
          <w:color w:val="000000" w:themeColor="text1"/>
          <w:highlight w:val="none"/>
          <w14:textFill>
            <w14:solidFill>
              <w14:schemeClr w14:val="tx1"/>
            </w14:solidFill>
          </w14:textFill>
        </w:rPr>
        <w:t>投标邀请</w:t>
      </w:r>
      <w:bookmarkEnd w:id="594"/>
      <w:bookmarkEnd w:id="595"/>
      <w:bookmarkEnd w:id="596"/>
      <w:bookmarkEnd w:id="597"/>
      <w:bookmarkEnd w:id="598"/>
      <w:bookmarkEnd w:id="599"/>
      <w:bookmarkEnd w:id="600"/>
      <w:bookmarkEnd w:id="601"/>
      <w:bookmarkEnd w:id="610"/>
    </w:p>
    <w:bookmarkEnd w:id="602"/>
    <w:p>
      <w:pPr>
        <w:pStyle w:val="3"/>
        <w:keepNext w:val="0"/>
        <w:keepLines w:val="0"/>
        <w:pageBreakBefore w:val="0"/>
        <w:tabs>
          <w:tab w:val="left" w:pos="4947"/>
        </w:tabs>
        <w:kinsoku/>
        <w:wordWrap/>
        <w:overflowPunct/>
        <w:topLinePunct w:val="0"/>
        <w:bidi w:val="0"/>
        <w:spacing w:line="400" w:lineRule="exact"/>
        <w:ind w:right="567"/>
        <w:jc w:val="center"/>
        <w:textAlignment w:val="auto"/>
        <w:outlineLvl w:val="1"/>
        <w:rPr>
          <w:rFonts w:hint="eastAsia" w:ascii="微软雅黑" w:hAnsi="微软雅黑" w:eastAsia="微软雅黑" w:cs="微软雅黑"/>
          <w:i w:val="0"/>
          <w:iCs w:val="0"/>
          <w:caps w:val="0"/>
          <w:color w:val="000000" w:themeColor="text1"/>
          <w:spacing w:val="0"/>
          <w:sz w:val="27"/>
          <w:szCs w:val="27"/>
          <w:highlight w:val="none"/>
          <w:vertAlign w:val="baseline"/>
          <w14:textFill>
            <w14:solidFill>
              <w14:schemeClr w14:val="tx1"/>
            </w14:solidFill>
          </w14:textFill>
        </w:rPr>
      </w:pPr>
      <w:bookmarkStart w:id="611" w:name="_Toc14301"/>
      <w:bookmarkStart w:id="612" w:name="_Toc20104"/>
      <w:bookmarkStart w:id="613" w:name="_Toc10812"/>
      <w:r>
        <w:rPr>
          <w:rFonts w:hint="eastAsia" w:ascii="微软雅黑" w:hAnsi="微软雅黑" w:eastAsia="微软雅黑" w:cs="微软雅黑"/>
          <w:b/>
          <w:color w:val="000000" w:themeColor="text1"/>
          <w:sz w:val="36"/>
          <w:szCs w:val="30"/>
          <w:highlight w:val="none"/>
          <w:lang w:eastAsia="zh-CN"/>
          <w14:textFill>
            <w14:solidFill>
              <w14:schemeClr w14:val="tx1"/>
            </w14:solidFill>
          </w14:textFill>
        </w:rPr>
        <w:t>托克扎克镇4村产业（中草药厂、玫瑰产品研发中心）基础设施配套建设项目公开招标公告</w:t>
      </w:r>
      <w:bookmarkEnd w:id="611"/>
      <w:bookmarkEnd w:id="612"/>
      <w:bookmarkEnd w:id="61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left="0" w:right="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项目概况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right="0"/>
              <w:textAlignment w:val="auto"/>
              <w:rPr>
                <w:rFonts w:hint="eastAsia" w:ascii="微软雅黑" w:hAnsi="微软雅黑" w:eastAsia="微软雅黑" w:cs="微软雅黑"/>
                <w:i w:val="0"/>
                <w:iCs w:val="0"/>
                <w:caps w:val="0"/>
                <w:color w:val="000000" w:themeColor="text1"/>
                <w:spacing w:val="0"/>
                <w:sz w:val="24"/>
                <w:szCs w:val="24"/>
                <w:highlight w:val="none"/>
                <w:vertAlign w:val="baseli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托克扎克镇4村产业（中草药厂、玫瑰产品研发中心）基础设施配套建设项目</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的潜在供应商应在政采云平台（https://www.zcygov.cn/） </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获</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取采购文件，并于</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06月30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（北京时间）前提交响应文件。  </w:t>
            </w:r>
          </w:p>
        </w:tc>
      </w:tr>
    </w:tbl>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jc w:val="left"/>
        <w:textAlignment w:val="auto"/>
        <w:outlineLvl w:val="1"/>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Style w:val="31"/>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一、项目基本情况</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outlineLvl w:val="2"/>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项目编号：</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SFXDZFR(GK)2023-15号</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项目名称：</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托克扎克镇4村产业（中草药厂、玫瑰产品研发中心）基础设施配套建设项目</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采购方式：</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公开招标</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预算金额（元）：</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122.5533万元</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采</w:t>
      </w:r>
      <w:r>
        <w:rPr>
          <w:rFonts w:hint="eastAsia" w:ascii="微软雅黑" w:hAnsi="微软雅黑" w:eastAsia="微软雅黑" w:cs="微软雅黑"/>
          <w:i w:val="0"/>
          <w:iCs w:val="0"/>
          <w:caps w:val="0"/>
          <w:color w:val="auto"/>
          <w:spacing w:val="0"/>
          <w:sz w:val="24"/>
          <w:szCs w:val="24"/>
          <w:highlight w:val="none"/>
          <w:lang w:val="en-US" w:eastAsia="zh-CN"/>
        </w:rPr>
        <w:t>购需求：计划对现有的托克扎克镇4村产业（中草药厂、玫瑰产品研发中心）基础设施进行配套建设，主要用于对新建厂房、配套相关附属设施设备等。（具体数量及规格要求详见招标文件）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outlineLvl w:val="2"/>
        <w:rPr>
          <w:rFonts w:hint="default"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6、资金来源：乡村振兴有效衔接资金</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240" w:firstLineChars="1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本项目（否）接受联合体投标。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二、申请人的资格要求：</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1）具有独立法人资格或是具有独立承担民事责任能力的其它组织（</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法人或者非法人组织的营业执照等证明文件</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jc w:val="both"/>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（在《政府采购投标及履约承诺函》中作出声明）。</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法人投标需提供法人身份证明及身份证复印件，被授权委托人需提供法人授权委托书及身份证复印件；</w:t>
      </w:r>
    </w:p>
    <w:p>
      <w:pPr>
        <w:pStyle w:val="8"/>
        <w:pageBreakBefore w:val="0"/>
        <w:kinsoku/>
        <w:wordWrap/>
        <w:overflowPunct/>
        <w:topLinePunct w:val="0"/>
        <w:bidi w:val="0"/>
        <w:spacing w:line="400" w:lineRule="exact"/>
        <w:textAlignment w:val="auto"/>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t>4)投标单位提供本单位</w:t>
      </w:r>
      <w:bookmarkStart w:id="614" w:name="OLE_LINK1"/>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t>法人或授权委托人</w:t>
      </w:r>
      <w:bookmarkEnd w:id="614"/>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t>依法缴纳近三个月（</w:t>
      </w: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任何一个月</w:t>
      </w:r>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t>）的社保证明单位缴费和个人明细表；</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SA"/>
          <w14:textFill>
            <w14:solidFill>
              <w14:schemeClr w14:val="tx1"/>
            </w14:solidFill>
          </w14:textFill>
        </w:rPr>
        <w:t>5)提供税务部门出具近三个月（任意一个月）的完税证明及无欠税证明、依法免缴的应提供依法免缴的相关证明文件和零申报报表，扫描件；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具有良好的商业信誉和健全的财务会计制度（会计事务所出具的</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2021-2022年度任意一年</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的年度财务审计报告书扫描件或影印件；新办企业</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（营业执照所标注的成立日期距本项目开标日期一年内为新办企业）</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提供银行资信证明扫描件或影印件）；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7)</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投标保证金收据扫描件或银行转款证明扫描件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或支票</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、汇票</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8</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参与政府采购活动前3年内未被列入失信、重大税收违法案件、财政部门禁止参加政府采购活动的承诺书；</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9）提供针对本次项目的反商业贿赂承诺书。</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扫描件</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10）本项目不接受联合体投标（提供非联合体投标承诺函，承诺函格式自拟）；</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三、获取采购文件</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时间：202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12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日至202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16</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日，每天上午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0至1</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0，下午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16:00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至</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20:00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（北京时间，法定节假日除外）</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地点：</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政采云平台（https://www.zcygov.cn/）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（1）线上获取（登录政府采购云平台 → 项目采购 → 获取招标文件）。（2）供应商获取招标文件前应注册成为政府采购云平台正式供应商。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四、</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投标</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文件提交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截止时间：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地点：</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五、</w:t>
      </w: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投标</w:t>
      </w: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文件开启 </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开启时间：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地点：</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政采云平台（https://www.zcygov.cn/）</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六、公告期限</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自本公告发布之日起</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5</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个工作日。</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14:textFill>
            <w14:solidFill>
              <w14:schemeClr w14:val="tx1"/>
            </w14:solidFill>
          </w14:textFill>
        </w:rPr>
        <w:t>七、其他补充事宜</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特别提示：</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1、超过200</w:t>
      </w: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4"/>
          <w:szCs w:val="24"/>
          <w:highlight w:val="none"/>
          <w:lang w:val="en-US" w:eastAsia="zh-CN" w:bidi="ar-SA"/>
          <w14:textFill>
            <w14:solidFill>
              <w14:schemeClr w14:val="tx1"/>
            </w14:solidFill>
          </w14:textFill>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outlineLvl w:val="1"/>
        <w:rPr>
          <w:rStyle w:val="35"/>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b/>
          <w:bCs/>
          <w:i w:val="0"/>
          <w:iCs w:val="0"/>
          <w:caps w:val="0"/>
          <w:color w:val="000000" w:themeColor="text1"/>
          <w:spacing w:val="0"/>
          <w:sz w:val="24"/>
          <w:szCs w:val="24"/>
          <w:highlight w:val="none"/>
          <w:lang w:val="en-US" w:eastAsia="zh-CN"/>
          <w14:textFill>
            <w14:solidFill>
              <w14:schemeClr w14:val="tx1"/>
            </w14:solidFill>
          </w14:textFill>
        </w:rPr>
        <w:t>八、凡对本次招标提出询问，请按以下方式联系</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outlineLvl w:val="2"/>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1.采购人信息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名 称：疏附县托克扎克镇人民政府</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联系人：杜凯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联系方式</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：13179816211</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outlineLvl w:val="2"/>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2.采购代理机构信息</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15" w:name="_Toc17272"/>
      <w:bookmarkStart w:id="616" w:name="_Toc11627"/>
      <w:bookmarkStart w:id="617" w:name="_Toc24709"/>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名    称：</w:t>
      </w:r>
      <w:bookmarkEnd w:id="615"/>
      <w:bookmarkEnd w:id="616"/>
      <w:bookmarkEnd w:id="617"/>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喀什德泽福瑞项目管理有限公司</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18" w:name="_Toc21793"/>
      <w:bookmarkStart w:id="619" w:name="_Toc7142"/>
      <w:bookmarkStart w:id="620" w:name="_Toc31217"/>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地　　址：</w:t>
      </w:r>
      <w:bookmarkEnd w:id="618"/>
      <w:bookmarkEnd w:id="619"/>
      <w:bookmarkEnd w:id="620"/>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新疆喀什地区喀什市恰萨街道雪莲社区健康路106号（三运大厦）1幢4层-右101室</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21" w:name="_Toc21494"/>
      <w:bookmarkStart w:id="622" w:name="_Toc9618"/>
      <w:bookmarkStart w:id="623" w:name="_Toc9353"/>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 系 人：</w:t>
      </w:r>
      <w:bookmarkEnd w:id="621"/>
      <w:bookmarkEnd w:id="622"/>
      <w:bookmarkEnd w:id="623"/>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丁先生</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5"/>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bookmarkStart w:id="624" w:name="_Toc18984"/>
      <w:bookmarkStart w:id="625" w:name="_Toc6311"/>
      <w:bookmarkStart w:id="626" w:name="_Toc9066"/>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联系电话：</w:t>
      </w:r>
      <w:bookmarkEnd w:id="624"/>
      <w:bookmarkEnd w:id="625"/>
      <w:bookmarkEnd w:id="626"/>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19146558336</w:t>
      </w:r>
    </w:p>
    <w:p>
      <w:pPr>
        <w:outlineLvl w:val="9"/>
        <w:rPr>
          <w:color w:val="000000" w:themeColor="text1"/>
          <w:highlight w:val="none"/>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rPr>
          <w:color w:val="000000" w:themeColor="text1"/>
          <w:highlight w:val="none"/>
          <w14:textFill>
            <w14:solidFill>
              <w14:schemeClr w14:val="tx1"/>
            </w14:solidFill>
          </w14:textFill>
        </w:rPr>
      </w:pPr>
    </w:p>
    <w:p>
      <w:pPr>
        <w:pStyle w:val="3"/>
        <w:numPr>
          <w:ilvl w:val="0"/>
          <w:numId w:val="8"/>
        </w:numPr>
        <w:tabs>
          <w:tab w:val="left" w:pos="0"/>
        </w:tabs>
        <w:spacing w:before="0" w:after="0" w:line="240" w:lineRule="atLeast"/>
        <w:rPr>
          <w:rFonts w:hint="eastAsia" w:ascii="微软雅黑" w:hAnsi="微软雅黑" w:eastAsia="微软雅黑" w:cs="微软雅黑"/>
          <w:color w:val="000000" w:themeColor="text1"/>
          <w:highlight w:val="none"/>
          <w14:textFill>
            <w14:solidFill>
              <w14:schemeClr w14:val="tx1"/>
            </w14:solidFill>
          </w14:textFill>
        </w:rPr>
      </w:pPr>
      <w:bookmarkStart w:id="627" w:name="_Toc32195"/>
      <w:r>
        <w:rPr>
          <w:rFonts w:hint="eastAsia" w:ascii="微软雅黑" w:hAnsi="微软雅黑" w:eastAsia="微软雅黑" w:cs="微软雅黑"/>
          <w:color w:val="000000" w:themeColor="text1"/>
          <w:highlight w:val="none"/>
          <w14:textFill>
            <w14:solidFill>
              <w14:schemeClr w14:val="tx1"/>
            </w14:solidFill>
          </w14:textFill>
        </w:rPr>
        <w:t>供应商须知资料表</w:t>
      </w:r>
      <w:bookmarkEnd w:id="603"/>
      <w:bookmarkEnd w:id="604"/>
      <w:bookmarkEnd w:id="605"/>
      <w:bookmarkEnd w:id="606"/>
      <w:bookmarkEnd w:id="607"/>
      <w:bookmarkEnd w:id="608"/>
      <w:bookmarkEnd w:id="627"/>
    </w:p>
    <w:bookmarkEnd w:id="609"/>
    <w:p>
      <w:pPr>
        <w:spacing w:line="240" w:lineRule="atLeast"/>
        <w:ind w:firstLine="360" w:firstLineChars="15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本表是本招标项目的具体资料，是对供应商须知的具体补充和修改，如有矛盾，应以本资料表为准。</w:t>
      </w:r>
    </w:p>
    <w:tbl>
      <w:tblPr>
        <w:tblStyle w:val="28"/>
        <w:tblW w:w="8699"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4"/>
        <w:gridCol w:w="7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4"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条款号</w:t>
            </w:r>
          </w:p>
        </w:tc>
        <w:tc>
          <w:tcPr>
            <w:tcW w:w="7845"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u w:val="none"/>
                <w:lang w:val="en-US"/>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采购人：</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疏附县托克扎克镇人民政府</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u w:val="none"/>
                <w14:textFill>
                  <w14:solidFill>
                    <w14:schemeClr w14:val="tx1"/>
                  </w14:solidFill>
                </w14:textFill>
              </w:rPr>
              <w:t>联系人：</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杜凯</w:t>
            </w:r>
            <w:r>
              <w:rPr>
                <w:rFonts w:hint="eastAsia" w:ascii="微软雅黑" w:hAnsi="微软雅黑" w:eastAsia="微软雅黑" w:cs="微软雅黑"/>
                <w:color w:val="000000" w:themeColor="text1"/>
                <w:sz w:val="24"/>
                <w:szCs w:val="24"/>
                <w:highlight w:val="none"/>
                <w:u w:val="none"/>
                <w14:textFill>
                  <w14:solidFill>
                    <w14:schemeClr w14:val="tx1"/>
                  </w14:solidFill>
                </w14:textFill>
              </w:rPr>
              <w:t xml:space="preserve">      联系电话：</w:t>
            </w:r>
            <w:r>
              <w:rPr>
                <w:rFonts w:hint="eastAsia" w:ascii="微软雅黑" w:hAnsi="微软雅黑" w:eastAsia="微软雅黑" w:cs="微软雅黑"/>
                <w:color w:val="000000" w:themeColor="text1"/>
                <w:sz w:val="24"/>
                <w:szCs w:val="24"/>
                <w:highlight w:val="none"/>
                <w:u w:val="none"/>
                <w:lang w:val="en-US" w:eastAsia="zh-CN"/>
                <w14:textFill>
                  <w14:solidFill>
                    <w14:schemeClr w14:val="tx1"/>
                  </w14:solidFill>
                </w14:textFill>
              </w:rPr>
              <w:t>13179816211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7"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w:t>
            </w:r>
          </w:p>
        </w:tc>
        <w:tc>
          <w:tcPr>
            <w:tcW w:w="7845" w:type="dxa"/>
            <w:vAlign w:val="center"/>
          </w:tcPr>
          <w:p>
            <w:pPr>
              <w:rPr>
                <w:rFonts w:hint="default" w:ascii="微软雅黑" w:hAnsi="微软雅黑" w:eastAsia="微软雅黑" w:cs="微软雅黑"/>
                <w:color w:val="000000" w:themeColor="text1"/>
                <w:sz w:val="24"/>
                <w:highlight w:val="none"/>
                <w:lang w:val="en-US"/>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采购代理机构：</w:t>
            </w:r>
            <w:r>
              <w:rPr>
                <w:rFonts w:hint="eastAsia" w:ascii="微软雅黑" w:hAnsi="微软雅黑" w:eastAsia="微软雅黑" w:cs="微软雅黑"/>
                <w:b w:val="0"/>
                <w:bCs/>
                <w:color w:val="000000" w:themeColor="text1"/>
                <w:kern w:val="2"/>
                <w:sz w:val="24"/>
                <w:szCs w:val="24"/>
                <w:highlight w:val="none"/>
                <w:u w:val="none"/>
                <w:lang w:val="en-US" w:eastAsia="zh-CN" w:bidi="ar-SA"/>
                <w14:textFill>
                  <w14:solidFill>
                    <w14:schemeClr w14:val="tx1"/>
                  </w14:solidFill>
                </w14:textFill>
              </w:rPr>
              <w:t>喀什德泽福瑞项目管理有限公司</w:t>
            </w:r>
          </w:p>
          <w:p>
            <w:pPr>
              <w:rPr>
                <w:rFonts w:ascii="微软雅黑" w:hAnsi="微软雅黑" w:eastAsia="微软雅黑" w:cs="微软雅黑"/>
                <w:color w:val="000000" w:themeColor="text1"/>
                <w:sz w:val="24"/>
                <w:highlight w:val="none"/>
                <w:u w:val="singl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地址：</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新疆喀什地区喀什市恰萨街道雪莲社区健康路106号（三运大厦）1幢4层-右101室</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联系人：</w:t>
            </w:r>
            <w:r>
              <w:rPr>
                <w:rStyle w:val="35"/>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丁先生</w:t>
            </w:r>
            <w:r>
              <w:rPr>
                <w:rFonts w:hint="eastAsia" w:ascii="微软雅黑" w:hAnsi="微软雅黑" w:eastAsia="微软雅黑" w:cs="微软雅黑"/>
                <w:color w:val="000000" w:themeColor="text1"/>
                <w:sz w:val="24"/>
                <w:highlight w:val="none"/>
                <w14:textFill>
                  <w14:solidFill>
                    <w14:schemeClr w14:val="tx1"/>
                  </w14:solidFill>
                </w14:textFill>
              </w:rPr>
              <w:t xml:space="preserve">         联系电话：</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19146558336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合格供应商的其他资格要求：</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1）具有独立法人资格或是具有独立承担民事责任能力的其它组织（法人或者非法人组织的营业执照等证明文件扫描件）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3）法人投标需提供法人身份证明及身份证复印件，被授权委托人需提供法人授权委托书及身份证复印件；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4)投标单位提供本单位法人或授权委托人依法缴纳近三个月（任何一个月）的社保证明单位缴费和个人明细表；</w:t>
            </w:r>
          </w:p>
          <w:p>
            <w:pPr>
              <w:snapToGrid w:val="0"/>
              <w:spacing w:line="300" w:lineRule="exact"/>
              <w:rPr>
                <w:rFonts w:hint="default"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5)提供税务部门出具近三个月（任何一个月）的完税证明，依法免缴的应提供依法免缴的相关证明文件和零申报报表，扫描件；</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6)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p>
            <w:pPr>
              <w:pStyle w:val="8"/>
              <w:ind w:left="0" w:leftChars="0" w:firstLine="0" w:firstLineChars="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7)投标保证金收据扫描件或银行转款证明扫描件或支票扫描件、汇票扫描件；</w:t>
            </w:r>
          </w:p>
          <w:p>
            <w:pPr>
              <w:pStyle w:val="8"/>
              <w:ind w:left="0" w:leftChars="0" w:firstLine="0" w:firstLineChars="0"/>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8）参与政府采购活动前3年内未被列入失信、重大税收违法案件、财政部门禁止参加政府采购活动的书面声明；</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9）提供针对本次项目的反商业贿赂承诺书。</w:t>
            </w:r>
          </w:p>
          <w:p>
            <w:pPr>
              <w:snapToGrid w:val="0"/>
              <w:spacing w:line="300" w:lineRule="exact"/>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10）本项目不接受联合体投标（提供非联合体投标承诺函，承诺函格式自拟）；</w:t>
            </w:r>
          </w:p>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提示：1、“税务部门出具的</w:t>
            </w:r>
            <w:r>
              <w:rPr>
                <w:rFonts w:hint="eastAsia" w:ascii="微软雅黑" w:hAnsi="微软雅黑" w:eastAsia="微软雅黑" w:cs="微软雅黑"/>
                <w:b/>
                <w:bCs/>
                <w:color w:val="000000" w:themeColor="text1"/>
                <w:kern w:val="0"/>
                <w:sz w:val="24"/>
                <w:szCs w:val="24"/>
                <w:highlight w:val="none"/>
                <w:lang w:val="en-US" w:eastAsia="zh-CN" w:bidi="ar-SA"/>
                <w14:textFill>
                  <w14:solidFill>
                    <w14:schemeClr w14:val="tx1"/>
                  </w14:solidFill>
                </w14:textFill>
              </w:rPr>
              <w:t>近三个月（任何一个月）</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的完税证明及无欠税证明”：完税证明中“税种”非养老保险、医疗保险、失业保险、工伤保险和生育保险。请各投标供应商注意！</w:t>
            </w:r>
          </w:p>
          <w:p>
            <w:pPr>
              <w:ind w:firstLine="240" w:firstLineChars="1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val="0"/>
                <w:iCs/>
                <w:color w:val="000000" w:themeColor="text1"/>
                <w:kern w:val="2"/>
                <w:sz w:val="24"/>
                <w:szCs w:val="24"/>
                <w:highlight w:val="none"/>
                <w:lang w:val="en-US" w:eastAsia="zh-CN" w:bidi="ar-SA"/>
                <w14:textFill>
                  <w14:solidFill>
                    <w14:schemeClr w14:val="tx1"/>
                  </w14:solidFill>
                </w14:textFill>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1.3.5   </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是否允许采购进口产品：</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否</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1.3.6</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是否为专门面向中小企业采购：</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否</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是否允许联合体投标：</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1.4.8</w:t>
            </w:r>
          </w:p>
        </w:tc>
        <w:tc>
          <w:tcPr>
            <w:tcW w:w="7845" w:type="dxa"/>
            <w:shd w:val="clear" w:color="auto" w:fill="auto"/>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w:t>
            </w:r>
          </w:p>
        </w:tc>
        <w:tc>
          <w:tcPr>
            <w:tcW w:w="7845" w:type="dxa"/>
            <w:shd w:val="clear" w:color="auto" w:fill="auto"/>
            <w:vAlign w:val="center"/>
          </w:tcPr>
          <w:p>
            <w:pPr>
              <w:pStyle w:val="8"/>
              <w:keepNext w:val="0"/>
              <w:keepLines w:val="0"/>
              <w:pageBreakBefore w:val="0"/>
              <w:widowControl w:val="0"/>
              <w:kinsoku/>
              <w:wordWrap/>
              <w:overflowPunct/>
              <w:topLinePunct w:val="0"/>
              <w:bidi w:val="0"/>
              <w:snapToGrid/>
              <w:spacing w:line="360" w:lineRule="exact"/>
              <w:ind w:firstLine="0"/>
              <w:jc w:val="both"/>
              <w:textAlignment w:val="auto"/>
              <w:rPr>
                <w:rFonts w:hint="default" w:eastAsia="微软雅黑"/>
                <w:color w:val="000000" w:themeColor="text1"/>
                <w:highlight w:val="none"/>
                <w:lang w:val="en-US" w:eastAsia="zh-CN"/>
                <w14:textFill>
                  <w14:solidFill>
                    <w14:schemeClr w14:val="tx1"/>
                  </w14:solidFill>
                </w14:textFill>
              </w:rPr>
            </w:pPr>
            <w:r>
              <w:rPr>
                <w:rFonts w:hint="eastAsia" w:eastAsia="微软雅黑"/>
                <w:b/>
                <w:bCs/>
                <w:color w:val="000000" w:themeColor="text1"/>
                <w:highlight w:val="none"/>
                <w:lang w:val="en-US" w:eastAsia="zh-CN"/>
                <w14:textFill>
                  <w14:solidFill>
                    <w14:schemeClr w14:val="tx1"/>
                  </w14:solidFill>
                </w14:textFill>
              </w:rPr>
              <w:t>预算金额：</w:t>
            </w: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122.5533</w:t>
            </w:r>
            <w:r>
              <w:rPr>
                <w:rFonts w:hint="eastAsia" w:eastAsia="微软雅黑"/>
                <w:b/>
                <w:bCs/>
                <w:color w:val="000000" w:themeColor="text1"/>
                <w:highlight w:val="none"/>
                <w:lang w:val="en-US" w:eastAsia="zh-CN"/>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投标保证金形式：</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保函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电汇  </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支票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投标保证金金额：</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20000元 （贰万元整）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保证金收款人：</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单位名称：喀什德泽福瑞项目管理有限公司</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开户行： 中国农业银行股份有限公司喀什健康路(兵团)支行</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账号：30783601040004085</w:t>
            </w:r>
          </w:p>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联系人：丁先生   联系电话：19146558336</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（电汇时请在汇款备注栏注明项目名称，并注明是投标保证金，否则视为无效投标保证金。） </w:t>
            </w:r>
            <w:r>
              <w:rPr>
                <w:rFonts w:hint="eastAsia" w:ascii="微软雅黑" w:hAnsi="微软雅黑" w:eastAsia="微软雅黑" w:cs="微软雅黑"/>
                <w:b/>
                <w:bCs/>
                <w:color w:val="00B0F0"/>
                <w:sz w:val="24"/>
                <w:u w:val="single"/>
              </w:rPr>
              <w:t>到账截止时间：202</w:t>
            </w:r>
            <w:r>
              <w:rPr>
                <w:rFonts w:hint="eastAsia" w:ascii="微软雅黑" w:hAnsi="微软雅黑" w:eastAsia="微软雅黑" w:cs="微软雅黑"/>
                <w:b/>
                <w:bCs/>
                <w:color w:val="00B0F0"/>
                <w:sz w:val="24"/>
                <w:u w:val="single"/>
                <w:lang w:val="en-US" w:eastAsia="zh-CN"/>
              </w:rPr>
              <w:t>3</w:t>
            </w:r>
            <w:r>
              <w:rPr>
                <w:rFonts w:hint="eastAsia" w:ascii="微软雅黑" w:hAnsi="微软雅黑" w:eastAsia="微软雅黑" w:cs="微软雅黑"/>
                <w:b/>
                <w:bCs/>
                <w:color w:val="00B0F0"/>
                <w:sz w:val="24"/>
                <w:u w:val="single"/>
              </w:rPr>
              <w:t>年</w:t>
            </w:r>
            <w:r>
              <w:rPr>
                <w:rFonts w:hint="eastAsia" w:ascii="微软雅黑" w:hAnsi="微软雅黑" w:eastAsia="微软雅黑" w:cs="微软雅黑"/>
                <w:b/>
                <w:bCs/>
                <w:color w:val="00B0F0"/>
                <w:sz w:val="24"/>
                <w:u w:val="single"/>
                <w:lang w:val="en-US" w:eastAsia="zh-CN"/>
              </w:rPr>
              <w:t>06</w:t>
            </w:r>
            <w:r>
              <w:rPr>
                <w:rFonts w:hint="eastAsia" w:ascii="微软雅黑" w:hAnsi="微软雅黑" w:eastAsia="微软雅黑" w:cs="微软雅黑"/>
                <w:b/>
                <w:bCs/>
                <w:color w:val="00B0F0"/>
                <w:sz w:val="24"/>
                <w:u w:val="single"/>
              </w:rPr>
              <w:t>月</w:t>
            </w:r>
            <w:r>
              <w:rPr>
                <w:rFonts w:hint="eastAsia" w:ascii="微软雅黑" w:hAnsi="微软雅黑" w:eastAsia="微软雅黑" w:cs="微软雅黑"/>
                <w:b/>
                <w:bCs/>
                <w:color w:val="00B0F0"/>
                <w:sz w:val="24"/>
                <w:u w:val="single"/>
                <w:lang w:val="en-US" w:eastAsia="zh-CN"/>
              </w:rPr>
              <w:t>29</w:t>
            </w:r>
            <w:r>
              <w:rPr>
                <w:rFonts w:hint="eastAsia" w:ascii="微软雅黑" w:hAnsi="微软雅黑" w:eastAsia="微软雅黑" w:cs="微软雅黑"/>
                <w:b/>
                <w:bCs/>
                <w:color w:val="00B0F0"/>
                <w:sz w:val="24"/>
                <w:u w:val="single"/>
              </w:rPr>
              <w:t>日</w:t>
            </w:r>
            <w:r>
              <w:rPr>
                <w:rFonts w:hint="eastAsia" w:ascii="微软雅黑" w:hAnsi="微软雅黑" w:eastAsia="微软雅黑" w:cs="微软雅黑"/>
                <w:b/>
                <w:bCs/>
                <w:color w:val="00B0F0"/>
                <w:sz w:val="24"/>
                <w:u w:val="single"/>
                <w:lang w:val="en-US" w:eastAsia="zh-CN"/>
              </w:rPr>
              <w:t>18</w:t>
            </w:r>
            <w:r>
              <w:rPr>
                <w:rFonts w:hint="eastAsia" w:ascii="微软雅黑" w:hAnsi="微软雅黑" w:eastAsia="微软雅黑" w:cs="微软雅黑"/>
                <w:b/>
                <w:bCs/>
                <w:color w:val="00B0F0"/>
                <w:sz w:val="24"/>
                <w:u w:val="single"/>
              </w:rPr>
              <w:t>:00（北京时间）。</w:t>
            </w: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A:缴纳保证金要求：供应商向银行办理保证金汇（转）款时，应在用途栏（备注栏）注明项目名称及</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（如有），并注明是投标保证金字样，如填写字数有要求可简写项目名称与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包号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B：退保证金：</w:t>
            </w:r>
          </w:p>
          <w:p>
            <w:pPr>
              <w:keepNext w:val="0"/>
              <w:keepLines w:val="0"/>
              <w:pageBreakBefore w:val="0"/>
              <w:widowControl w:val="0"/>
              <w:numPr>
                <w:ilvl w:val="0"/>
                <w:numId w:val="9"/>
              </w:numPr>
              <w:kinsoku/>
              <w:wordWrap/>
              <w:overflowPunct/>
              <w:topLinePunct w:val="0"/>
              <w:bidi w:val="0"/>
              <w:snapToGrid/>
              <w:spacing w:line="360" w:lineRule="exact"/>
              <w:textAlignment w:val="auto"/>
              <w:rPr>
                <w:rFonts w:hint="eastAsia" w:ascii="微软雅黑" w:hAnsi="微软雅黑" w:eastAsia="微软雅黑" w:cs="微软雅黑"/>
                <w:b/>
                <w:bCs/>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未中标供应商的投标保证金：中标公告公示期结束后</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，未中标供应商</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须在5个工作日内将纸质版投标文件送至或邮寄至代理机构备案，投标文件收到后</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供应商需办理</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相应</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手续</w:t>
            </w:r>
            <w:r>
              <w:rPr>
                <w:rFonts w:hint="eastAsia" w:ascii="微软雅黑" w:hAnsi="微软雅黑" w:eastAsia="微软雅黑" w:cs="微软雅黑"/>
                <w:b/>
                <w:bCs/>
                <w:color w:val="000000" w:themeColor="text1"/>
                <w:sz w:val="24"/>
                <w:szCs w:val="24"/>
                <w:highlight w:val="none"/>
                <w:u w:val="singl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u w:val="single"/>
                <w:lang w:val="en-US" w:eastAsia="zh-CN"/>
                <w14:textFill>
                  <w14:solidFill>
                    <w14:schemeClr w14:val="tx1"/>
                  </w14:solidFill>
                </w14:textFill>
              </w:rPr>
              <w:t>与代理机构联系</w:t>
            </w:r>
            <w:r>
              <w:rPr>
                <w:rFonts w:hint="eastAsia" w:ascii="微软雅黑" w:hAnsi="微软雅黑" w:eastAsia="微软雅黑" w:cs="微软雅黑"/>
                <w:b/>
                <w:bCs/>
                <w:color w:val="000000" w:themeColor="text1"/>
                <w:sz w:val="24"/>
                <w:szCs w:val="24"/>
                <w:highlight w:val="none"/>
                <w:u w:val="singl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u w:val="none"/>
                <w:lang w:val="en-US" w:eastAsia="zh-CN"/>
                <w14:textFill>
                  <w14:solidFill>
                    <w14:schemeClr w14:val="tx1"/>
                  </w14:solidFill>
                </w14:textFill>
              </w:rPr>
              <w:t>手续收到后</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将在3个工作日内</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原账户</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退回投标保证金</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（2）中标供应商的保证金</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中标公告公示期结束后，中标供应商须在5个工作日内将纸质版投标文件送至或邮寄至代理机构备案，并</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在</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3日内与</w:t>
            </w:r>
            <w:r>
              <w:rPr>
                <w:rFonts w:hint="eastAsia" w:ascii="微软雅黑" w:hAnsi="微软雅黑" w:eastAsia="微软雅黑" w:cs="微软雅黑"/>
                <w:b/>
                <w:bCs/>
                <w:color w:val="000000" w:themeColor="text1"/>
                <w:sz w:val="24"/>
                <w:szCs w:val="24"/>
                <w:highlight w:val="none"/>
                <w14:textFill>
                  <w14:solidFill>
                    <w14:schemeClr w14:val="tx1"/>
                  </w14:solidFill>
                </w14:textFill>
              </w:rPr>
              <w:t>采购人签订</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采购</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合同，</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将采购</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合同扫描件</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发送至652248906@qq.com邮箱</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采购合同收到货</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投标有效期：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14.1</w:t>
            </w:r>
          </w:p>
        </w:tc>
        <w:tc>
          <w:tcPr>
            <w:tcW w:w="7845" w:type="dxa"/>
            <w:vAlign w:val="center"/>
          </w:tcPr>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（2）本项目实行网上投标，采用电子投标文件(供应商须使用CA加密设备通过政采云电子投标客户端制作投标文件)。若供应商参与投标，自行承担投标一切费用。</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（3）各供应商应在开标前应确保成为新疆政府采购网正式注册入库供应商，并完成CA数字证书申领。因未注册入库、未办理CA数字证书等原因造成无法投标或投标失败等后果由供应商自行承担。</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（5）供应商在开标时须使用制作加密电子投标文件所使用的CA锁及电脑，电脑须提前配置好浏览器（建议使用谷歌浏览器），以便开标时解锁。</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（8）各供应商</w:t>
            </w:r>
            <w:r>
              <w:rPr>
                <w:rFonts w:hint="eastAsia" w:ascii="微软雅黑" w:hAnsi="微软雅黑" w:eastAsia="微软雅黑" w:cs="微软雅黑"/>
                <w:color w:val="000000" w:themeColor="text1"/>
                <w:highlight w:val="none"/>
                <w14:textFill>
                  <w14:solidFill>
                    <w14:schemeClr w14:val="tx1"/>
                  </w14:solidFill>
                </w14:textFill>
              </w:rPr>
              <w:t>须在投标截止时间前完成在系统上递交电子</w:t>
            </w:r>
            <w:r>
              <w:rPr>
                <w:rFonts w:hint="eastAsia" w:ascii="微软雅黑" w:hAnsi="微软雅黑" w:eastAsia="微软雅黑" w:cs="微软雅黑"/>
                <w:color w:val="000000" w:themeColor="text1"/>
                <w:highlight w:val="none"/>
                <w:lang w:val="en-US"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投标供应商</w:t>
            </w:r>
            <w:r>
              <w:rPr>
                <w:rFonts w:hint="eastAsia" w:ascii="微软雅黑" w:hAnsi="微软雅黑" w:eastAsia="微软雅黑" w:cs="微软雅黑"/>
                <w:color w:val="000000" w:themeColor="text1"/>
                <w:highlight w:val="none"/>
                <w14:textFill>
                  <w14:solidFill>
                    <w14:schemeClr w14:val="tx1"/>
                  </w14:solidFill>
                </w14:textFill>
              </w:rPr>
              <w:t>的电子</w:t>
            </w:r>
            <w:r>
              <w:rPr>
                <w:rFonts w:hint="eastAsia" w:ascii="微软雅黑" w:hAnsi="微软雅黑" w:eastAsia="微软雅黑" w:cs="微软雅黑"/>
                <w:color w:val="000000" w:themeColor="text1"/>
                <w:highlight w:val="none"/>
                <w:lang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000000" w:themeColor="text1"/>
                <w:highlight w:val="none"/>
                <w:lang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9</w:t>
            </w: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pStyle w:val="8"/>
              <w:keepNext w:val="0"/>
              <w:keepLines w:val="0"/>
              <w:pageBreakBefore w:val="0"/>
              <w:widowControl w:val="0"/>
              <w:kinsoku/>
              <w:wordWrap/>
              <w:overflowPunct/>
              <w:topLinePunct w:val="0"/>
              <w:bidi w:val="0"/>
              <w:snapToGrid/>
              <w:spacing w:line="360" w:lineRule="exact"/>
              <w:jc w:val="both"/>
              <w:textAlignment w:val="auto"/>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（10）</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所有投标供应商应在中标公告公示期结束后5个工作日内将纸质版投标文件送至或邮寄至代理机构备案，纸质版投标文件</w:t>
            </w:r>
            <w:r>
              <w:rPr>
                <w:rFonts w:hint="eastAsia" w:ascii="微软雅黑" w:hAnsi="微软雅黑" w:eastAsia="微软雅黑" w:cs="微软雅黑"/>
                <w:b/>
                <w:bCs/>
                <w:color w:val="000000" w:themeColor="text1"/>
                <w:highlight w:val="none"/>
                <w14:textFill>
                  <w14:solidFill>
                    <w14:schemeClr w14:val="tx1"/>
                  </w14:solidFill>
                </w14:textFill>
              </w:rPr>
              <w:t>包括“</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开标一览表</w:t>
            </w:r>
            <w:r>
              <w:rPr>
                <w:rFonts w:hint="eastAsia" w:ascii="微软雅黑" w:hAnsi="微软雅黑" w:eastAsia="微软雅黑" w:cs="微软雅黑"/>
                <w:b/>
                <w:bCs/>
                <w:color w:val="000000" w:themeColor="text1"/>
                <w:highlight w:val="none"/>
                <w14:textFill>
                  <w14:solidFill>
                    <w14:schemeClr w14:val="tx1"/>
                  </w14:solidFill>
                </w14:textFill>
              </w:rPr>
              <w:t>及资格证明文件”和“商务及技术文件”两部分，两部分合订成一册递交。</w:t>
            </w: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未按时递交纸质版投标文件的将影响投标保证金退还。</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递交数量</w:t>
            </w:r>
            <w:r>
              <w:rPr>
                <w:rFonts w:hint="eastAsia" w:ascii="微软雅黑" w:hAnsi="微软雅黑" w:eastAsia="微软雅黑" w:cs="微软雅黑"/>
                <w:color w:val="000000" w:themeColor="text1"/>
                <w:highlight w:val="none"/>
                <w:lang w:val="en-US" w:eastAsia="zh-CN"/>
                <w14:textFill>
                  <w14:solidFill>
                    <w14:schemeClr w14:val="tx1"/>
                  </w14:solidFill>
                </w14:textFill>
              </w:rPr>
              <w:t>：</w:t>
            </w:r>
            <w:r>
              <w:rPr>
                <w:rFonts w:hint="eastAsia" w:ascii="微软雅黑" w:hAnsi="微软雅黑" w:eastAsia="微软雅黑" w:cs="微软雅黑"/>
                <w:color w:val="000000" w:themeColor="text1"/>
                <w:highlight w:val="none"/>
                <w14:textFill>
                  <w14:solidFill>
                    <w14:schemeClr w14:val="tx1"/>
                  </w14:solidFill>
                </w14:textFill>
              </w:rPr>
              <w:t>正本：壹份、副本：</w:t>
            </w:r>
            <w:r>
              <w:rPr>
                <w:rFonts w:hint="eastAsia" w:ascii="微软雅黑" w:hAnsi="微软雅黑" w:eastAsia="微软雅黑" w:cs="微软雅黑"/>
                <w:color w:val="000000" w:themeColor="text1"/>
                <w:highlight w:val="none"/>
                <w:lang w:val="en-US" w:eastAsia="zh-CN"/>
                <w14:textFill>
                  <w14:solidFill>
                    <w14:schemeClr w14:val="tx1"/>
                  </w14:solidFill>
                </w14:textFill>
              </w:rPr>
              <w:t>贰份</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以正本为准，副本可以是正本的复印件）</w:t>
            </w:r>
            <w:r>
              <w:rPr>
                <w:rFonts w:hint="eastAsia" w:ascii="微软雅黑" w:hAnsi="微软雅黑" w:eastAsia="微软雅黑" w:cs="微软雅黑"/>
                <w:color w:val="000000" w:themeColor="text1"/>
                <w:highlight w:val="none"/>
                <w14:textFill>
                  <w14:solidFill>
                    <w14:schemeClr w14:val="tx1"/>
                  </w14:solidFill>
                </w14:textFill>
              </w:rPr>
              <w:t>电子文档1份</w:t>
            </w:r>
            <w:r>
              <w:rPr>
                <w:rFonts w:hint="eastAsia" w:ascii="微软雅黑" w:hAnsi="微软雅黑" w:eastAsia="微软雅黑" w:cs="微软雅黑"/>
                <w:color w:val="000000" w:themeColor="text1"/>
                <w:highlight w:val="none"/>
                <w:lang w:eastAsia="zh-CN"/>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PDF格式及Word格式</w:t>
            </w:r>
            <w:r>
              <w:rPr>
                <w:rFonts w:hint="eastAsia" w:ascii="微软雅黑" w:hAnsi="微软雅黑" w:eastAsia="微软雅黑" w:cs="微软雅黑"/>
                <w:color w:val="000000" w:themeColor="text1"/>
                <w:highlight w:val="none"/>
                <w:lang w:eastAsia="zh-CN"/>
                <w14:textFill>
                  <w14:solidFill>
                    <w14:schemeClr w14:val="tx1"/>
                  </w14:solidFill>
                </w14:textFill>
              </w:rPr>
              <w:t>）</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lang w:val="en-US" w:eastAsia="zh-CN"/>
                <w14:textFill>
                  <w14:solidFill>
                    <w14:schemeClr w14:val="tx1"/>
                  </w14:solidFill>
                </w14:textFill>
              </w:rPr>
            </w:pPr>
            <w:bookmarkStart w:id="628" w:name="_Toc14647"/>
            <w:r>
              <w:rPr>
                <w:rFonts w:hint="eastAsia" w:ascii="微软雅黑" w:hAnsi="微软雅黑" w:eastAsia="微软雅黑" w:cs="微软雅黑"/>
                <w:b/>
                <w:bCs/>
                <w:color w:val="000000" w:themeColor="text1"/>
                <w:highlight w:val="none"/>
                <w:lang w:val="en-US" w:eastAsia="zh-CN"/>
                <w14:textFill>
                  <w14:solidFill>
                    <w14:schemeClr w14:val="tx1"/>
                  </w14:solidFill>
                </w14:textFill>
              </w:rPr>
              <w:t>纸质投标文件</w:t>
            </w:r>
            <w:r>
              <w:rPr>
                <w:rFonts w:hint="eastAsia" w:ascii="微软雅黑" w:hAnsi="微软雅黑" w:eastAsia="微软雅黑" w:cs="微软雅黑"/>
                <w:b/>
                <w:bCs/>
                <w:color w:val="000000" w:themeColor="text1"/>
                <w:highlight w:val="none"/>
                <w14:textFill>
                  <w14:solidFill>
                    <w14:schemeClr w14:val="tx1"/>
                  </w14:solidFill>
                </w14:textFill>
              </w:rPr>
              <w:t>的签署及规定</w:t>
            </w:r>
            <w:r>
              <w:rPr>
                <w:rFonts w:hint="eastAsia" w:ascii="微软雅黑" w:hAnsi="微软雅黑" w:eastAsia="微软雅黑" w:cs="微软雅黑"/>
                <w:b/>
                <w:bCs/>
                <w:color w:val="000000" w:themeColor="text1"/>
                <w:highlight w:val="none"/>
                <w:lang w:eastAsia="zh-CN"/>
                <w14:textFill>
                  <w14:solidFill>
                    <w14:schemeClr w14:val="tx1"/>
                  </w14:solidFill>
                </w14:textFill>
              </w:rPr>
              <w:t>：</w:t>
            </w:r>
            <w:bookmarkEnd w:id="628"/>
            <w:r>
              <w:rPr>
                <w:rFonts w:hint="eastAsia" w:ascii="微软雅黑" w:hAnsi="微软雅黑" w:eastAsia="微软雅黑" w:cs="微软雅黑"/>
                <w:color w:val="000000" w:themeColor="text1"/>
                <w:highlight w:val="none"/>
                <w:lang w:val="en-US" w:eastAsia="zh-CN"/>
                <w14:textFill>
                  <w14:solidFill>
                    <w14:schemeClr w14:val="tx1"/>
                  </w14:solidFill>
                </w14:textFill>
              </w:rPr>
              <w:t>投标文件</w:t>
            </w:r>
            <w:r>
              <w:rPr>
                <w:rFonts w:hint="eastAsia" w:ascii="微软雅黑" w:hAnsi="微软雅黑" w:eastAsia="微软雅黑" w:cs="微软雅黑"/>
                <w:color w:val="000000" w:themeColor="text1"/>
                <w:highlight w:val="none"/>
                <w14:textFill>
                  <w14:solidFill>
                    <w14:schemeClr w14:val="tx1"/>
                  </w14:solidFill>
                </w14:textFill>
              </w:rPr>
              <w:t>的正</w:t>
            </w:r>
            <w:r>
              <w:rPr>
                <w:rFonts w:hint="eastAsia" w:ascii="微软雅黑" w:hAnsi="微软雅黑" w:eastAsia="微软雅黑" w:cs="微软雅黑"/>
                <w:color w:val="000000" w:themeColor="text1"/>
                <w:highlight w:val="none"/>
                <w:lang w:val="en-US" w:eastAsia="zh-CN"/>
                <w14:textFill>
                  <w14:solidFill>
                    <w14:schemeClr w14:val="tx1"/>
                  </w14:solidFill>
                </w14:textFill>
              </w:rPr>
              <w:t>副本</w:t>
            </w:r>
            <w:r>
              <w:rPr>
                <w:rFonts w:hint="eastAsia" w:ascii="微软雅黑" w:hAnsi="微软雅黑" w:eastAsia="微软雅黑" w:cs="微软雅黑"/>
                <w:color w:val="000000" w:themeColor="text1"/>
                <w:highlight w:val="none"/>
                <w14:textFill>
                  <w14:solidFill>
                    <w14:schemeClr w14:val="tx1"/>
                  </w14:solidFill>
                </w14:textFill>
              </w:rPr>
              <w:t>需打印或用不褪色墨水书写，并由</w:t>
            </w:r>
            <w:r>
              <w:rPr>
                <w:rFonts w:hint="eastAsia" w:ascii="微软雅黑" w:hAnsi="微软雅黑" w:eastAsia="微软雅黑" w:cs="微软雅黑"/>
                <w:color w:val="000000" w:themeColor="text1"/>
                <w:highlight w:val="none"/>
                <w:lang w:eastAsia="zh-CN"/>
                <w14:textFill>
                  <w14:solidFill>
                    <w14:schemeClr w14:val="tx1"/>
                  </w14:solidFill>
                </w14:textFill>
              </w:rPr>
              <w:t>供应</w:t>
            </w:r>
            <w:r>
              <w:rPr>
                <w:rFonts w:hint="eastAsia" w:ascii="微软雅黑" w:hAnsi="微软雅黑" w:eastAsia="微软雅黑" w:cs="微软雅黑"/>
                <w:color w:val="000000" w:themeColor="text1"/>
                <w:highlight w:val="none"/>
                <w:lang w:val="en-US" w:eastAsia="zh-CN"/>
                <w14:textFill>
                  <w14:solidFill>
                    <w14:schemeClr w14:val="tx1"/>
                  </w14:solidFill>
                </w14:textFill>
              </w:rPr>
              <w:t>商的法定代表人或经其正式委托代理人按招标文件规定在投标文件上签字或盖章，并加盖单位印章。</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（11）解密时长为30分钟。</w:t>
            </w:r>
          </w:p>
          <w:p>
            <w:pPr>
              <w:pStyle w:val="8"/>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lang w:val="en-US" w:eastAsia="zh-CN"/>
                <w14:textFill>
                  <w14:solidFill>
                    <w14:schemeClr w14:val="tx1"/>
                  </w14:solidFill>
                </w14:textFill>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投标截止时间：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18.1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开标时间：</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202</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06</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 xml:space="preserve">日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0</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开标地点：</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评标方法：适用</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综合评分法　</w:t>
            </w:r>
            <w:r>
              <w:rPr>
                <w:rFonts w:hint="eastAsia" w:ascii="微软雅黑" w:hAnsi="微软雅黑" w:eastAsia="微软雅黑" w:cs="微软雅黑"/>
                <w:color w:val="000000" w:themeColor="text1"/>
                <w:sz w:val="24"/>
                <w:szCs w:val="24"/>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推荐中标候选供应商的数量：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招标人是否委托评标委员会直接确定中标人：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履约保证金金额：合同总价的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color w:val="000000" w:themeColor="text1"/>
                <w:sz w:val="24"/>
                <w:szCs w:val="24"/>
                <w:highlight w:val="none"/>
                <w:u w:val="singl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履约保证金形式：□保函  □电汇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提交履约保证金的时间：签订合同前 </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5  </w:t>
            </w:r>
            <w:r>
              <w:rPr>
                <w:rFonts w:hint="eastAsia" w:ascii="微软雅黑" w:hAnsi="微软雅黑" w:eastAsia="微软雅黑" w:cs="微软雅黑"/>
                <w:color w:val="000000" w:themeColor="text1"/>
                <w:sz w:val="24"/>
                <w:szCs w:val="24"/>
                <w:highlight w:val="none"/>
                <w14:textFill>
                  <w14:solidFill>
                    <w14:schemeClr w14:val="tx1"/>
                  </w14:solidFill>
                </w14:textFill>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3"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中标服务费：根据发改委价格[2015]299文件</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auto"/>
                <w:sz w:val="24"/>
                <w:szCs w:val="24"/>
                <w:highlight w:val="none"/>
                <w:lang w:val="en-US" w:eastAsia="zh-CN"/>
              </w:rPr>
              <w:t>本项目服务费按照差额定律累进计费方式计算收取。</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标准如下：</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成交金额100万元以下的部分,货物类采购费率1.50%,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成交金额100万元至500万元的部分,货物类采购费率1.10%,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成交金额500万元至1000万元的部分,货物类采购费率0.80%。</w:t>
            </w:r>
          </w:p>
          <w:p>
            <w:pPr>
              <w:keepNext w:val="0"/>
              <w:keepLines w:val="0"/>
              <w:pageBreakBefore w:val="0"/>
              <w:widowControl w:val="0"/>
              <w:kinsoku/>
              <w:wordWrap/>
              <w:overflowPunct/>
              <w:topLinePunct w:val="0"/>
              <w:bidi w:val="0"/>
              <w:snapToGrid/>
              <w:spacing w:line="360" w:lineRule="exact"/>
              <w:textAlignment w:val="auto"/>
              <w:rPr>
                <w:rFonts w:hint="default" w:eastAsia="微软雅黑"/>
                <w:b/>
                <w:bCs/>
                <w:color w:val="000000" w:themeColor="text1"/>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（由</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中标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供应商支付</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支付形式：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支付时间：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本项目是否属于信用担保试点范围：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否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i/>
                <w:iCs/>
                <w:color w:val="000000" w:themeColor="text1"/>
                <w:sz w:val="24"/>
                <w:szCs w:val="24"/>
                <w:highlight w:val="none"/>
                <w14:textFill>
                  <w14:solidFill>
                    <w14:schemeClr w14:val="tx1"/>
                  </w14:solidFill>
                </w14:textFill>
              </w:rPr>
              <w:t>（是、否）</w:t>
            </w:r>
          </w:p>
        </w:tc>
      </w:tr>
    </w:tbl>
    <w:p>
      <w:pPr>
        <w:pStyle w:val="8"/>
        <w:ind w:left="0" w:leftChars="0" w:firstLine="0" w:firstLineChars="0"/>
        <w:jc w:val="cente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sectPr>
          <w:pgSz w:w="11905" w:h="16838"/>
          <w:pgMar w:top="1440" w:right="1797" w:bottom="1440" w:left="1797" w:header="851" w:footer="992" w:gutter="0"/>
          <w:pgNumType w:fmt="decimal"/>
          <w:cols w:space="0" w:num="1"/>
          <w:rtlGutter w:val="0"/>
          <w:docGrid w:linePitch="312" w:charSpace="0"/>
        </w:sectPr>
      </w:pPr>
    </w:p>
    <w:p>
      <w:pPr>
        <w:rPr>
          <w:rFonts w:hint="eastAsia"/>
          <w:color w:val="000000" w:themeColor="text1"/>
          <w:highlight w:val="none"/>
          <w:lang w:eastAsia="zh-CN"/>
          <w14:textFill>
            <w14:solidFill>
              <w14:schemeClr w14:val="tx1"/>
            </w14:solidFill>
          </w14:textFill>
        </w:rPr>
      </w:pPr>
    </w:p>
    <w:p>
      <w:pPr>
        <w:pStyle w:val="8"/>
        <w:ind w:left="0" w:leftChars="0" w:firstLine="0" w:firstLineChars="0"/>
        <w:jc w:val="cente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color w:val="000000" w:themeColor="text1"/>
          <w:sz w:val="28"/>
          <w:szCs w:val="28"/>
          <w:highlight w:val="none"/>
          <w:lang w:eastAsia="zh-CN"/>
          <w14:textFill>
            <w14:solidFill>
              <w14:schemeClr w14:val="tx1"/>
            </w14:solidFill>
          </w14:textFill>
        </w:rPr>
        <w:t>资格审查表</w:t>
      </w:r>
    </w:p>
    <w:tbl>
      <w:tblPr>
        <w:tblStyle w:val="29"/>
        <w:tblW w:w="14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917"/>
        <w:gridCol w:w="2957"/>
        <w:gridCol w:w="943"/>
        <w:gridCol w:w="1465"/>
        <w:gridCol w:w="1123"/>
        <w:gridCol w:w="1826"/>
        <w:gridCol w:w="823"/>
        <w:gridCol w:w="835"/>
        <w:gridCol w:w="631"/>
        <w:gridCol w:w="669"/>
        <w:gridCol w:w="446"/>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6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2189" w:type="dxa"/>
            <w:gridSpan w:val="1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center"/>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审查项目</w:t>
            </w:r>
          </w:p>
        </w:tc>
        <w:tc>
          <w:tcPr>
            <w:tcW w:w="446"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结论</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jc w:val="both"/>
              <w:textAlignment w:val="auto"/>
              <w:outlineLvl w:val="9"/>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b/>
                <w:bCs/>
                <w:color w:val="000000" w:themeColor="text1"/>
                <w:highlight w:val="none"/>
                <w:u w:val="none"/>
                <w:vertAlign w:val="baseline"/>
                <w:lang w:eastAsia="zh-CN"/>
                <w14:textFill>
                  <w14:solidFill>
                    <w14:schemeClr w14:val="tx1"/>
                  </w14:solidFill>
                </w14:textFill>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46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r>
              <w:rPr>
                <w:rFonts w:hint="eastAsia" w:ascii="微软雅黑" w:hAnsi="微软雅黑" w:eastAsia="微软雅黑" w:cs="微软雅黑"/>
                <w:color w:val="000000" w:themeColor="text1"/>
                <w:highlight w:val="none"/>
                <w:u w:val="none"/>
                <w:vertAlign w:val="baseline"/>
                <w:lang w:val="en-US" w:eastAsia="zh-CN"/>
                <w14:textFill>
                  <w14:solidFill>
                    <w14:schemeClr w14:val="tx1"/>
                  </w14:solidFill>
                </w14:textFill>
              </w:rPr>
              <w:t>供应商</w:t>
            </w:r>
          </w:p>
        </w:tc>
        <w:tc>
          <w:tcPr>
            <w:tcW w:w="917"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具有独立法人资格或是具有独立承担民事责任能力的其它组织（法人或者非法人组织的营业执照等证明文件扫描件）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p>
        </w:tc>
        <w:tc>
          <w:tcPr>
            <w:tcW w:w="2957"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tc>
        <w:tc>
          <w:tcPr>
            <w:tcW w:w="94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法人投标需提供法人身份证明及身份证复印件，被授权委托人需提供法人授权委托书及身份证复印件；</w:t>
            </w:r>
          </w:p>
        </w:tc>
        <w:tc>
          <w:tcPr>
            <w:tcW w:w="146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投标单位提供本单位法人或授权委托人依法缴纳近三个月（任何一个月）的社保证明单位缴费和个人明细表；</w:t>
            </w:r>
          </w:p>
        </w:tc>
        <w:tc>
          <w:tcPr>
            <w:tcW w:w="112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提供税务部门出具近三个月（任何一个月）的完税证明及无欠税证明，依法免缴的应提供依法免缴的相关证明文件和零申报报表，扫描件；</w:t>
            </w:r>
          </w:p>
        </w:tc>
        <w:tc>
          <w:tcPr>
            <w:tcW w:w="1826"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tc>
        <w:tc>
          <w:tcPr>
            <w:tcW w:w="823"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投标保证金收据扫描件或银行转款证明扫描件或支票扫描件、汇票扫描件；</w:t>
            </w:r>
          </w:p>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p>
        </w:tc>
        <w:tc>
          <w:tcPr>
            <w:tcW w:w="835"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参加政府采购活动前3年内在经营活动中没有重大违法记录的书面声明</w:t>
            </w:r>
          </w:p>
        </w:tc>
        <w:tc>
          <w:tcPr>
            <w:tcW w:w="631"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提供针对本次项目的反商业贿赂承诺书</w:t>
            </w:r>
          </w:p>
        </w:tc>
        <w:tc>
          <w:tcPr>
            <w:tcW w:w="669" w:type="dxa"/>
            <w:vAlign w:val="center"/>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本项目不接受联合体投标（提供非联合体投标承诺函，承诺函格式自拟）；</w:t>
            </w:r>
          </w:p>
        </w:tc>
        <w:tc>
          <w:tcPr>
            <w:tcW w:w="446"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p>
        </w:tc>
        <w:tc>
          <w:tcPr>
            <w:tcW w:w="1274" w:type="dxa"/>
          </w:tcPr>
          <w:p>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微软雅黑" w:hAnsi="微软雅黑" w:eastAsia="微软雅黑" w:cs="微软雅黑"/>
                <w:b w:val="0"/>
                <w:bCs w:val="0"/>
                <w:color w:val="000000" w:themeColor="text1"/>
                <w:sz w:val="22"/>
                <w:szCs w:val="22"/>
                <w:highlight w:val="none"/>
                <w:u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6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91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295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94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46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1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82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3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31"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6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4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27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6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91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2957"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94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46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1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82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23"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835"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31"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669"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446"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c>
          <w:tcPr>
            <w:tcW w:w="1274" w:type="dxa"/>
          </w:tcPr>
          <w:p>
            <w:pPr>
              <w:pStyle w:val="5"/>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color w:val="000000" w:themeColor="text1"/>
                <w:highlight w:val="none"/>
                <w:u w:val="none"/>
                <w:vertAlign w:val="baseline"/>
                <w:lang w:eastAsia="zh-CN"/>
                <w14:textFill>
                  <w14:solidFill>
                    <w14:schemeClr w14:val="tx1"/>
                  </w14:solidFill>
                </w14:textFill>
              </w:rPr>
            </w:pPr>
          </w:p>
        </w:tc>
      </w:tr>
    </w:tbl>
    <w:p>
      <w:pPr>
        <w:pStyle w:val="8"/>
        <w:numPr>
          <w:ilvl w:val="0"/>
          <w:numId w:val="0"/>
        </w:numPr>
        <w:ind w:firstLine="240" w:firstLineChars="100"/>
        <w:rPr>
          <w:rFonts w:hint="eastAsia" w:ascii="微软雅黑" w:hAnsi="微软雅黑" w:eastAsia="微软雅黑" w:cs="微软雅黑"/>
          <w:b/>
          <w:bCs/>
          <w:color w:val="000000" w:themeColor="text1"/>
          <w:szCs w:val="24"/>
          <w:highlight w:val="none"/>
          <w14:textFill>
            <w14:solidFill>
              <w14:schemeClr w14:val="tx1"/>
            </w14:solidFill>
          </w14:textFill>
        </w:rPr>
      </w:pPr>
      <w:r>
        <w:rPr>
          <w:rFonts w:hint="eastAsia" w:ascii="微软雅黑" w:hAnsi="微软雅黑" w:eastAsia="微软雅黑" w:cs="微软雅黑"/>
          <w:color w:val="000000" w:themeColor="text1"/>
          <w:highlight w:val="none"/>
          <w:lang w:eastAsia="zh-CN"/>
          <w14:textFill>
            <w14:solidFill>
              <w14:schemeClr w14:val="tx1"/>
            </w14:solidFill>
          </w14:textFill>
        </w:rPr>
        <w:t>提示：</w:t>
      </w:r>
      <w:r>
        <w:rPr>
          <w:rFonts w:hint="eastAsia" w:ascii="微软雅黑" w:hAnsi="微软雅黑" w:eastAsia="微软雅黑" w:cs="微软雅黑"/>
          <w:b/>
          <w:bCs/>
          <w:color w:val="000000" w:themeColor="text1"/>
          <w:kern w:val="2"/>
          <w:sz w:val="22"/>
          <w:szCs w:val="22"/>
          <w:highlight w:val="none"/>
          <w:lang w:val="en-US" w:eastAsia="zh-CN" w:bidi="ar-SA"/>
          <w14:textFill>
            <w14:solidFill>
              <w14:schemeClr w14:val="tx1"/>
            </w14:solidFill>
          </w14:textFill>
        </w:rPr>
        <w:t>提示：1、“税务部门出具近三个月（任何一个月）的完税证明及无欠税证明”：完税证明中“税种”非养老保险、医疗保险、失业保险、工伤保险和生育保险。请各投标供应商注意！</w:t>
      </w:r>
    </w:p>
    <w:p>
      <w:pPr>
        <w:pStyle w:val="5"/>
        <w:outlineLvl w:val="9"/>
        <w:rPr>
          <w:rFonts w:hint="eastAsia" w:ascii="微软雅黑" w:hAnsi="微软雅黑" w:eastAsia="微软雅黑" w:cs="微软雅黑"/>
          <w:color w:val="000000" w:themeColor="text1"/>
          <w:highlight w:val="none"/>
          <w:lang w:eastAsia="zh-CN"/>
          <w14:textFill>
            <w14:solidFill>
              <w14:schemeClr w14:val="tx1"/>
            </w14:solidFill>
          </w14:textFill>
        </w:rPr>
        <w:sectPr>
          <w:pgSz w:w="16838" w:h="11905" w:orient="landscape"/>
          <w:pgMar w:top="1417" w:right="1440" w:bottom="1417" w:left="1440" w:header="851" w:footer="992" w:gutter="0"/>
          <w:pgNumType w:fmt="decimal"/>
          <w:cols w:space="0" w:num="1"/>
          <w:rtlGutter w:val="0"/>
          <w:docGrid w:linePitch="312" w:charSpace="0"/>
        </w:sectPr>
      </w:pPr>
    </w:p>
    <w:p>
      <w:pPr>
        <w:numPr>
          <w:ilvl w:val="0"/>
          <w:numId w:val="8"/>
        </w:numPr>
        <w:spacing w:line="400" w:lineRule="exact"/>
        <w:ind w:left="0" w:leftChars="0" w:firstLine="0" w:firstLineChars="0"/>
        <w:jc w:val="center"/>
        <w:outlineLvl w:val="0"/>
        <w:rPr>
          <w:rFonts w:hint="eastAsia" w:ascii="微软雅黑" w:hAnsi="微软雅黑" w:eastAsia="微软雅黑" w:cs="微软雅黑"/>
          <w:b/>
          <w:bCs/>
          <w:color w:val="000000" w:themeColor="text1"/>
          <w:kern w:val="44"/>
          <w:sz w:val="28"/>
          <w:szCs w:val="28"/>
          <w:highlight w:val="none"/>
          <w14:textFill>
            <w14:solidFill>
              <w14:schemeClr w14:val="tx1"/>
            </w14:solidFill>
          </w14:textFill>
        </w:rPr>
      </w:pPr>
      <w:bookmarkStart w:id="629" w:name="_Toc32205"/>
      <w:r>
        <w:rPr>
          <w:rFonts w:hint="eastAsia" w:ascii="微软雅黑" w:hAnsi="微软雅黑" w:eastAsia="微软雅黑" w:cs="微软雅黑"/>
          <w:b/>
          <w:bCs/>
          <w:color w:val="000000" w:themeColor="text1"/>
          <w:kern w:val="44"/>
          <w:sz w:val="28"/>
          <w:szCs w:val="28"/>
          <w:highlight w:val="none"/>
          <w14:textFill>
            <w14:solidFill>
              <w14:schemeClr w14:val="tx1"/>
            </w14:solidFill>
          </w14:textFill>
        </w:rPr>
        <w:t>货物需求一览表及技术规格</w:t>
      </w:r>
      <w:bookmarkEnd w:id="629"/>
    </w:p>
    <w:p>
      <w:pPr>
        <w:pStyle w:val="22"/>
        <w:numPr>
          <w:ilvl w:val="0"/>
          <w:numId w:val="0"/>
        </w:numPr>
        <w:outlineLvl w:val="1"/>
        <w:rPr>
          <w:rFonts w:hint="default" w:ascii="宋体" w:hAnsi="宋体" w:eastAsia="宋体"/>
          <w:b/>
          <w:color w:val="auto"/>
          <w:szCs w:val="21"/>
          <w:lang w:val="en-US"/>
        </w:rPr>
      </w:pPr>
      <w:bookmarkStart w:id="630" w:name="_Toc28207"/>
      <w:bookmarkStart w:id="631" w:name="_Toc8685"/>
      <w:bookmarkStart w:id="632" w:name="_Toc216582826"/>
      <w:bookmarkStart w:id="633" w:name="_Toc515647832"/>
      <w:bookmarkStart w:id="634" w:name="_Toc11259"/>
      <w:bookmarkStart w:id="635" w:name="_Toc507399907"/>
      <w:bookmarkStart w:id="636" w:name="_Toc218935355"/>
      <w:bookmarkStart w:id="637" w:name="_Toc7971"/>
      <w:bookmarkStart w:id="638" w:name="_Toc32647"/>
      <w:bookmarkStart w:id="639" w:name="_Toc219175639"/>
      <w:r>
        <w:rPr>
          <w:rFonts w:hint="eastAsia" w:ascii="宋体" w:hAnsi="宋体" w:cs="宋体"/>
          <w:b/>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采购需求</w:t>
      </w:r>
      <w:bookmarkEnd w:id="630"/>
      <w:bookmarkEnd w:id="631"/>
    </w:p>
    <w:p>
      <w:pPr>
        <w:pStyle w:val="22"/>
        <w:numPr>
          <w:ilvl w:val="0"/>
          <w:numId w:val="0"/>
        </w:numPr>
        <w:jc w:val="right"/>
        <w:outlineLvl w:val="2"/>
        <w:rPr>
          <w:rFonts w:hint="default" w:ascii="宋体" w:hAnsi="宋体" w:eastAsia="宋体"/>
          <w:b/>
          <w:color w:val="auto"/>
          <w:szCs w:val="21"/>
          <w:lang w:val="en-US" w:eastAsia="zh-CN"/>
        </w:rPr>
      </w:pPr>
      <w:r>
        <w:rPr>
          <w:rFonts w:hint="eastAsia" w:ascii="宋体" w:hAnsi="宋体"/>
          <w:b/>
          <w:color w:val="00B0F0"/>
          <w:sz w:val="20"/>
          <w:szCs w:val="22"/>
          <w:lang w:val="en-US" w:eastAsia="zh-CN"/>
        </w:rPr>
        <w:t>预算金额122.5533万元</w:t>
      </w:r>
    </w:p>
    <w:tbl>
      <w:tblPr>
        <w:tblStyle w:val="28"/>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501"/>
        <w:gridCol w:w="1806"/>
        <w:gridCol w:w="4897"/>
        <w:gridCol w:w="552"/>
        <w:gridCol w:w="441"/>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5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全自动小茶饼机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1、外形尺寸：≥1880×910×1530mm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2、总功率：≤8Kw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3、重量：≥1500Kg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4、工作电压：380V/50Hz（三相五线）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5、台时产量：≥1600-2400饼/h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6、对应模具规格：≥20-50mm（方形、圆形、多边形）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7、进料模式：八斗下料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原机模具规格:25mm小沱茶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另外三套，共计四套模具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5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全自动茶叶棉纸包装机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1、外形尺寸：≥1880*880*1860mm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2、额定电压：220v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3、重量：≥480Kg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4、频率：≥50HZ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5、额定功率：≤2000W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6、对应模具规格：≥30-45mm（圆形）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7、机器产能：≥25-28个/分钟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4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八称三角包内袋包装机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1、效率：≥40-60包/分钟。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2、称头数：8头称，单头称称重精度：±0.2克（具体按实际物料而定）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3、内袋尺寸：140mm、160mm可带线带标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4、电源：220V-50HZ-160W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5、设备尺寸：≥长1500*宽1200*高2400mm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6、重量：260kg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7、采用超声波切断及封口</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4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给袋式包装机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1、效率：≥35-45包/分钟。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2、采用振动盘上料，理料机构分料。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3、物料尺寸范围：≥长15-45mm，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宽15-45mm，厚1mm-4mm ，可根据甲方提供尺寸做特规设计。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3、外袋尺寸： ≥长85mm-130mm，宽50mm-65mm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4、电源：220V-50HZ-1600W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5、设备尺寸：≥长1550mm*宽590mm*高1500mm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6、重量：≥220kg</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19" w:hRule="atLeast"/>
        </w:trPr>
        <w:tc>
          <w:tcPr>
            <w:tcW w:w="501" w:type="dxa"/>
            <w:tcBorders>
              <w:top w:val="single" w:color="000000" w:sz="4" w:space="0"/>
              <w:left w:val="single" w:color="000000" w:sz="4" w:space="0"/>
              <w:bottom w:val="nil"/>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旋转式烘焙机</w:t>
            </w:r>
          </w:p>
        </w:tc>
        <w:tc>
          <w:tcPr>
            <w:tcW w:w="4897"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1、外形尺寸：≥1380x1300x200mm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2、加热元件总功率：≥13.5kw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3、工作电压：380V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4、干燥层数：16层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5、加热元件：电热丝                                                                                                                                                          6、风机功率：≤0.55kw                                                                                                           7、电动机：≥转速1400r/min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8、烘盘拖架驱动旋转电机：≥功率/25w≥转速1250r/min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9、烘盘直径：≥88cm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10、烘盘托架回转转速≥ 6 r/min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11、有效推叶面积 ≥11.0m2</w:t>
            </w:r>
          </w:p>
        </w:tc>
        <w:tc>
          <w:tcPr>
            <w:tcW w:w="552"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nil"/>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空调设备及安装预算清单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变频柜机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 xml:space="preserve">制热量 ≥13500W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效比：定频机能 2.95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功率：最大制冷≥4800W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功率：最大制热≥7100W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内机噪音： ≤50dB(A)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外机噪音： ≤57dB(A)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制冷量： ≥12000W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电辅加热：电辅加热适用面积≥53-88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电压/频率： 380V/50Hz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内机重量 ：≥55kg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外机重量 ：≥102kg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制冷剂 ：R22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内机尺寸：≥宽600mm，高1880mm，深350mm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外机尺寸：≥宽1030mm高1250mm深415mm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匹数：≥5匹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能效等级：≤三级能效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方式：变频/定频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操控方式：遥控器控制及触摸控制</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全直流变频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84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精密空调</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送风方式：风帽送风(上) 前送风)、下前送风。下送风(底部送风)等 多种形式可选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循环风量：≥3200m3/h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总冷量：≥12.5kW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机外余压Pa 可根据需求在0-200Pa范围内调整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空气过滤器标配可清洗式G3过滤器可选配G4过滤器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加湿量：≥3kg/h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机组供电：三相380V /50Hz 3N~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单冷型配电：≥12.7FLA(A)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制冷带电加热型配电：≥21.8FLA(A)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恒温恒湿型配电参数：≥21.8FLA(A)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加湿器进水管接口：G1/2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冷凝水排水管接口：≥19mm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制冷剂液管：≥9mm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制冷剂气管：≥12mm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室内机重量：≥142kg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室内机尺寸：宽*宽*高(mm)≥600x520x1850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室外机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室外机重量：65kg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室外机尺寸：宽*宽*高(mm)≥700x351x1198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恒温、恒湿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空调冷媒管线（冷气、液铜管和橡塑保温管、包扎带）</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专用配套符合国标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空调冷媒管线（冷气、液铜管和橡塑保温管、包扎带）</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专用配套符合国标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8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空调冷媒管线（冷气、液铜管和橡塑保温管、包扎带）</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专用配套符合国标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室外机支架</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专用配套符合国标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新风系统安装清单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28"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新风</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电源</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220V 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档位</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高档</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低档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功率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382</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446</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风量</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排风量800</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600m³/h新风量800 600m³/h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排风静压 </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380</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345Pa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新风静压 </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380</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345Pa</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温度交换效率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制冷</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56</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60%制热69</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71%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换效率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制冷55</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58%</w:t>
            </w:r>
            <w:r>
              <w:rPr>
                <w:rFonts w:hint="eastAsia" w:asciiTheme="minorEastAsia" w:hAnsiTheme="minorEastAsia" w:cstheme="minorEastAsia"/>
                <w:i w:val="0"/>
                <w:iCs w:val="0"/>
                <w:color w:val="00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制热65</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67%</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噪音</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45</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43dB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净重</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100kg</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线控器</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专用配套</w:t>
            </w: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一主要辅材清单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风口</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排风及送风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PVC管</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防雨百叶</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打室外洞</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信号线</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米</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视频监控系统工程设备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28"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枪型摄像机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≥300万像素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1920 × 1080 @ 25 fps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0.0005 Lux @ (F1.0,AGC ON), 0 Lux with light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H.264, Smart264, H.265, Smart265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智能报警: 越界侦测, 区域入侵侦测</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背光补偿, 3D 数字降噪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120 dB 宽动态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萤石云平台接入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柔光灯补光, 最远可达</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30 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IP67</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FFFFFF" w:themeColor="background1"/>
                <w:sz w:val="18"/>
                <w:szCs w:val="18"/>
                <w:u w:val="none"/>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5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交换机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交换机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7个10/100BaseT（X）网口，1个10/100/1000BaseT（X）自适应RJ45接口；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2个1000BaseFX以太网光纤接口，LC接口，支持光纤级联；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单模单纤，传输距离可达20、40、80公里；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支持IEEE802.3、IEEE802.3u、IEEE802.3x网络标准；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存储转发交换方式；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平均无故障时间MTBF≥10万小时；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全金属封闭结构，工作温度范围可以达-30</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70 </w:t>
            </w:r>
            <w:r>
              <w:rPr>
                <w:rStyle w:val="93"/>
                <w:rFonts w:hint="eastAsia" w:asciiTheme="minorEastAsia" w:hAnsiTheme="minorEastAsia" w:eastAsiaTheme="minorEastAsia" w:cstheme="minorEastAsia"/>
                <w:sz w:val="18"/>
                <w:szCs w:val="18"/>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工业级设计,安装简便、即插即用</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ＡＣ电源</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12V</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汇聚箱</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公安专用</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摄像机支架</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专用配套</w:t>
            </w:r>
            <w:r>
              <w:rPr>
                <w:rFonts w:hint="eastAsia" w:asciiTheme="minorEastAsia" w:hAnsiTheme="minorEastAsia" w:eastAsiaTheme="minorEastAsia" w:cstheme="minorEastAsia"/>
                <w:i w:val="0"/>
                <w:iCs w:val="0"/>
                <w:color w:val="000000"/>
                <w:kern w:val="0"/>
                <w:sz w:val="18"/>
                <w:szCs w:val="18"/>
                <w:u w:val="none"/>
                <w:lang w:val="en-US" w:eastAsia="zh-CN" w:bidi="ar"/>
              </w:rPr>
              <w:t>螺杆支架</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二、中心设备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80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网络硬盘录像机</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·可接驳符合ONVIF、RTSP标准及众多主流厂商的网络摄像机；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·支持最高</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1200W高清网络视频的预览、存储与回放；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·支持H.265、H.264编码前端自适应接入；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·支持IPC集中管理，包括IPC参数配置、信息的导入/导出和升级等功能；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·支持2个HDMI和2个VGA同时输出，其中HDMI1支持4K高清分辨率输出；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·便捷的UI操作界面，支持一键开启录像功能；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·支持海康Smart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·支持即时回放功能，在预览画面下对指定通道的当前录像进行回放，并且不影响其他通道预览；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·支持最大16路同步回放及多路同步倒放；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·支持标签定义、查询、回放录像文件；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·支持重要录像文件加锁保护功能；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·支持硬盘配额和硬盘盘组两种存储模式，可对不同通道分配不同的录像保存容量或周期；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·支持16个SATA接口，1个eSATA盘库，可用于录像和备份；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·支持RAID0、RAID1、RAID5、RAID6和RAID10；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·双千兆网卡，支持多址设定等应用；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·支持GB28181协议、Ehome协议接入平台；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·支持网络检测（网络流量监控、网络抓包、网络通畅）功能。</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监控专业用硬盘</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7200转8T</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主交换</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24口全千兆</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解码器</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DS-6910网络解码器</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高清线缆</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≥10-15米不等</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标准机柜</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2米机柜</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三、线材部分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8芯超5类线</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2*1.5</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其他配件及辅料</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符合国标</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电视墙支架</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专用定制</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媒介系统工程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4"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模块化单元结构设计，支持灯板、电源、接收卡正面拆卸;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动态引擎算法，识别高亮刺眼画面细节，进行局部亮度降低，观看更柔和，在图像质量提升的情况下，同时降低了功耗;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支持自动除湿，有效保护长时间不用或潮湿环境下的灯珠;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支持通过遥控器控制屏幕菜单，调节亮度、色温、对比度等;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支持通过平板电脑便捷式远程操作;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产品类别：室内小间距全彩LED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像素结构：1R1G1B三合一</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封装方式：SMD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像素间距：</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1.5625mm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像素密度：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409600点/㎡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箱体模组组成：2*4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箱体尺寸：</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600（W）×337.5（H）×50.9（D）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箱体分辨率：384×216</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箱体面积：</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0.2025㎡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箱体重量：</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5.4kg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箱体材质：压铸铝箱体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维护方式：完全前维护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模组尺寸：</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150mm×168.75mm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模组分辨率：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96×108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封装品牌：国产铜线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白平衡亮度：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600 cd/㎡</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色温：3000-10000 K可调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可视角：160°(H)/160°(V)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对比度：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3000：1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色度均匀性：± 0.003Cx，Cy之内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亮度均匀性：≥ 97％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驱动方式：恒流驱动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换帧频率：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60 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刷新率：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3840 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灰度等级：≤16bit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峰值功耗：≤600W/㎡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平均功耗：≤200W/㎡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供电要求：110</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220 VAC ± 15％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点间距为1.5625mm,共需箱体56个(宽4个 高14个)，显示尺寸为2.4*4.725m，分辨率为1536.0*3024.0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69"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控制产品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1)LED全彩显示屏控制器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输入接口：HDMI*2，USB*2，DEBUG*1；ETHERNET*1，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light sensor*1，IR IN*1，AUdio IN*1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输出接口：网口RJ45*8；HDMI*2；AUDIO OUT*1；3D OUT*1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2)带载分辨率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3840*1080@60</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FFC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77"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一般用于箱体产品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2）落地安装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3）屏表面离后墙70cm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4）地面需考虑承重</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通过下拉菜单选择对应的支架，面积为整个正面面积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拼控设备</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基于强大的硬件FPGA系统架构和模块化设计理念，不仅具有纯硬件架构稳定高效的遗传基因，同时可支持各种接口模块进行灵活的个性化组合，维护简单，降低设备故障率。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采用B/S架构，无需安装应用程序，可跨平台、跨系统进行访问及控制，可在Windows、MAC、iOS、Android和Linux环境下支持多用户在线操作，实现信息同步，网页响应速度快，大大提高了现场环境配置的效率，同时支持在线升级固件版本，使用户在PC端即可完成硬件升级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市面常见的HDMI、DVI、DP、VGA、CVBS、SDI和IP输入接口，支持10bit视频源输入和处理，支持4K高清视频输入和输出；支持2种LED拼接发送卡，可实现光口、网口间备份和远距离传输，支持多屏多图层管理，输入输出EDID管理和预监，输入源名称修改，BKG和OSD设置等操作，可为您带来丰富的画面构造体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插卡式结构设计，灵活配置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多屏幕管理，集中控制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多样化显示，视觉丰富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Web控制，操作便捷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多重监测及备份设计，稳定可靠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机箱高度：2U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信号采样质量：RGB4:4:4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业务板卡混插：不支持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业务板槽位数：最大支持4输入2输出槽位安装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整机拼接能力：8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热插拔：支持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机箱屏幕：支持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电视墙数量：8个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电视墙规模：</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2600万点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虚拟分屏：支持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开窗数量：32个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单口画面分割数：1/4/6/8/9/16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工作湿度：0--80％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工作温度：0℃--＋45℃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产品尺寸（宽×高×深）：</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482.6mm（宽）*529.8mm（高）*88.1mm（深）</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重量：15.6KG（净重）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配件：1*电源线、1*RJ45网线、1*接地线、1*HDMI线、1*快速指南、1*合格证、1*安全手册、1*致用户信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996"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拼控设备</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基于强大的硬件FPGA系统架构和模块化设计理念，不仅具有纯硬件架构稳定高效的遗传基因，同时可支持各种接口模块进行灵活的个性化组合，维护简单，降低设备故障率。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市面常见的HDMI、DVI、DP、VGA、CVBS、SDI和IP输入接口，支持10bit视频源输入和处理，支持4K高清视频输入和输出；支持2种LED拼接发送卡，可实现光口、网口间备份和远距离传输，支持多屏多图层管理，输入输出EDID管理和预监，输入源名称修改，BKG和OSD设置等操作，可为您带来丰富的画面构造体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采用B/S架构，无需安装应用程序，可跨平台、跨系统进行访问及控制，可在Windows、MAC、iOS、Android和Linux环境下支持多用户在线操作，实现信息同步，网页响应速度快，大大提高了现场环境配置的效率，同时支持在线升级固件版本，使用户在PC端即可完成硬件升级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插卡式结构设计，灵活配置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多屏幕管理，集中控制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多样化显示，视觉丰富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多重监测及备份设计，稳定可靠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Web控制，操作便捷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视频输入接口类型：HDMI</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视频输入接口数：4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视频输入分辨率：HDMI1.3</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极限宽度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2560（2560×972@60Hz），极限高度 2560（884×2560@60Hz）。,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HDMI1.4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极限宽度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3840（3840×1124@60Hz），极限高度</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4095（1014×4095@60Hz）。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61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拼控设备</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基于强大的硬件FPGA系统架构和模块化设计理念，不仅具有纯硬件架构稳定高效的遗传基因，同时可支持各种接口模块进行灵活的个性化组合，维护简单，降低设备故障率。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市面常见的HDMI、DVI、DP、VGA、CVBS、SDI和IP输入接口，支持10bit视频源输入和处理，支持4K高清视频输入和输出；支持2种LED拼接发送卡，可实现光口、网口间备份和远距离传输，支持多屏多图层管理，输入输出EDID管理和预监，输入源名称修改，BKG和OSD设置等操作，可为您带来丰富的画面构造体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采用B/S架构，无需安装应用程序，可跨平台、跨系统进行访问及控制，可在Windows、MAC、iOS、Android和Linux环境下支持多用户在线操作，实现信息同步，网页响应速度快，大大提高了现场环境配置的效率，同时支持在线升级固件版本，使用户在PC端即可完成硬件升级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插卡式结构设计，灵活配置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多屏幕管理，集中控制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多样化显示，视觉丰富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多重监测及备份设计，稳定可靠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Web控制，操作便捷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视频输出接口类型：HDMI</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视频输出接口数：4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视频输出分辨率：单链路输出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单路最大输出分辨率为</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2048×1152@60Hz。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双链路输出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单路最大输出分辨率为</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40962160@30Hz/3840×1080@60Hz。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42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控制产品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r>
              <w:rPr>
                <w:rFonts w:hint="eastAsia" w:asciiTheme="minorEastAsia" w:hAnsiTheme="minorEastAsia" w:cstheme="minorEastAsia"/>
                <w:i w:val="0"/>
                <w:iCs w:val="0"/>
                <w:color w:val="000000"/>
                <w:sz w:val="18"/>
                <w:szCs w:val="18"/>
                <w:u w:val="none"/>
                <w:lang w:val="en-US" w:eastAsia="zh-CN"/>
              </w:rPr>
              <w:t>配套产品</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也可选用收费版的showos，ShowOS简化版物料：400102675 支持U盘 crm 下单（不用走JKN软件下单流程），SPS简化版链接：https://spsonline.hikvision.com/#/softwareInfo/cartInfo?itemCode=400102675&amp;saleVersion=1.1.1&amp;softProductId=InfoCom%20ShowOS%20Std 如需其他功能（语音、分布式、KVM等）或定制，申请ShowOS标准版(400102430)或ShowOS企业版(400102151)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61"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类型：</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20KW配电柜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 控制：</w:t>
            </w:r>
            <w:r>
              <w:rPr>
                <w:rFonts w:hint="eastAsia" w:asciiTheme="minorEastAsia" w:hAnsiTheme="minorEastAsia" w:cstheme="minorEastAsia"/>
                <w:i w:val="0"/>
                <w:iCs w:val="0"/>
                <w:color w:val="000000"/>
                <w:kern w:val="0"/>
                <w:sz w:val="18"/>
                <w:szCs w:val="18"/>
                <w:u w:val="none"/>
                <w:lang w:val="en-US" w:eastAsia="zh-CN" w:bidi="ar"/>
              </w:rPr>
              <w:t>国标</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PLC控制器，网络远程控制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3）元器件：</w:t>
            </w:r>
            <w:r>
              <w:rPr>
                <w:rFonts w:hint="eastAsia" w:asciiTheme="minorEastAsia" w:hAnsiTheme="minorEastAsia" w:cstheme="minorEastAsia"/>
                <w:i w:val="0"/>
                <w:iCs w:val="0"/>
                <w:color w:val="000000"/>
                <w:kern w:val="0"/>
                <w:sz w:val="18"/>
                <w:szCs w:val="18"/>
                <w:u w:val="none"/>
                <w:lang w:val="en-US" w:eastAsia="zh-CN" w:bidi="ar"/>
              </w:rPr>
              <w:t>国标</w:t>
            </w:r>
            <w:r>
              <w:rPr>
                <w:rFonts w:hint="eastAsia" w:asciiTheme="minorEastAsia" w:hAnsiTheme="minorEastAsia" w:eastAsiaTheme="minorEastAsia" w:cstheme="minorEastAsia"/>
                <w:i w:val="0"/>
                <w:iCs w:val="0"/>
                <w:color w:val="000000"/>
                <w:kern w:val="0"/>
                <w:sz w:val="18"/>
                <w:szCs w:val="18"/>
                <w:u w:val="none"/>
                <w:lang w:val="en-US" w:eastAsia="zh-CN" w:bidi="ar"/>
              </w:rPr>
              <w:t>断路器，</w:t>
            </w:r>
            <w:r>
              <w:rPr>
                <w:rFonts w:hint="eastAsia" w:asciiTheme="minorEastAsia" w:hAnsiTheme="minorEastAsia" w:cstheme="minorEastAsia"/>
                <w:i w:val="0"/>
                <w:iCs w:val="0"/>
                <w:color w:val="000000"/>
                <w:kern w:val="0"/>
                <w:sz w:val="18"/>
                <w:szCs w:val="18"/>
                <w:u w:val="none"/>
                <w:lang w:val="en-US" w:eastAsia="zh-CN" w:bidi="ar"/>
              </w:rPr>
              <w:t>国标</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接触器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 输入电压：380V，三相五线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5）输出电压：220V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6）输出回路：6个单相回路</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通过下拉菜单选择对应的配电柜，后面两位数字代表功率，LED屏1平方按照1KW计算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928"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HDMI电缆</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4.5m,黑色,仅限国内使用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端子镀金，耐氧化，阻抗小，信号传输更稳定。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即插即用，无需驱动程序。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环保加厚外被，耐磨不易破裂，经久耐用。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产品经过多项专业测试，有品质保证。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产品特性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接口类型：HDMI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视频版本：HDMI 1.3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支持最大分辨率：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1080P 60Hz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线缆类型（音视频线）：铜缆</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根</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线缆的数量和发送卡的数量一致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传输产品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符合国标</w:t>
            </w:r>
            <w:r>
              <w:rPr>
                <w:rFonts w:hint="eastAsia" w:asciiTheme="minorEastAsia" w:hAnsiTheme="minorEastAsia" w:cstheme="minorEastAsia"/>
                <w:i w:val="0"/>
                <w:iCs w:val="0"/>
                <w:color w:val="000000"/>
                <w:sz w:val="18"/>
                <w:szCs w:val="18"/>
                <w:u w:val="none"/>
                <w:lang w:val="en-US" w:eastAsia="zh-CN"/>
              </w:rPr>
              <w:t>配套产品</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用于发送卡联网调试，网口数与发送卡数量一致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87"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传输产品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无氧铜线芯，导体纯度高，导电性强。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在满足国标直流电阻的基础上，加大导体截面积，线缆阻抗更低，更少发热，更省电。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环保绝缘、护被，耐磨耐拉伸，抗潮防冻，抵抗各种恶劣气候，可靠耐用。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线芯同心度高，绝缘和护套厚度均匀，防止击穿，符合国家3C认证，全力保障用电安全。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适用于家庭、酒店、城市建设、工程装修、监控供电、音响布线、道闸供电等应用场景。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产品特性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线缆类型（电源线）：RVV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导体类型：无氧铜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护套类型：PVC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线缆芯数：3芯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标称截面积：</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2.5mm²</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默认标配提供10m，超过10m需要下单时备注，最长只能提供20m，超过需要客户自己购买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5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传输产品</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超5类网线 Cat5e非屏蔽双绞线 LSZH(低烟无卤)防火等级 24AWG 工作温度为-20~60℃ 标准：符合ISO/IEC 11801、TIA-568-C.2、GB/T18015.5要求 所用材料符合RoHS要求并通过符合IEC60332-1标准的LSZH防火等级认证 性能指标优于现行5e类线缆100MHz标准； 标准装箱长度:305m±1.5m；线缆颜色:白色； 芯线规格:24AWG无氧铜；线缆结构：4对8芯双绞线每芯均有颜色区分外皮印有厂商标识及电缆编码有撕裂绳；</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默认标配提供10m，超过10m需要下单时备注，最长只能提供30m，超过需要客户自己购买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19"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本产品是一款优质的前导式专业音箱，8寸单元×1，号角式高音单元×1,高性能驱动高音，声音细腻，中高频清晰,语音表现优秀 ，扬声器单元 8寸低音×34芯驱动高音；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2，整体高密度中纤板,采用高强度细颗粒涂装；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3，额定功率</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100W，最大功率150W；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4，有效频率范围：35Hz</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18kHz ；阻抗，8Ω；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5，灵敏度 （1kHz,1米）：93dB（1W/1M）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6，成品 产品尺寸 ：</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420(L)×270 (W)×300(H)mm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7，包装尺寸1Pcs： 470(L)×310(W)×330(H)mm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8，产品净重 </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10kg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9，产品包装后重量 </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11.8kg</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078"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采用国际极先进D类功率放大器，具有高效节能、重量轻、体积小、功率大、带载能力强等特点。 技术参数 输出额定功率：240W/500W/800W/1200W/1500W/2000W 电源：AC220V 输出模式：定压输出100V±5% 灵敏度：0dB 频响：20～20KHz 信噪比：&gt;85dB 效率：&gt;90% 谐波失真：THD≤1%（1/8额定功率） 工作湿度：20%～80%相对湿度 工作温度：-10～60度 尺寸：483x342x90（mm）1路平衡XLR输入，1路非平衡RCA输入，1路平衡XLR输出，1路非平衡RCA输出，可级联到下一级功放。设有音量调节功能。设有先进短路、过热、过载保护功能。线路设有限幅功能，可预防功放输出过大保护喇叭。支持多种指示灯显示(电源、信号、削峰、保护LED指示灯)。采用风机强制散热结构，可以让机器长期时间工作。具有市电波动保护功能，支持过压保护，欠压保护。输出额定功率：1200W电源：AC220V输出模式：定压输出100V±5%频响：20～20KHz信噪比：&gt;85dB效率：&gt;90%谐波失真：THD≤1%（1/8额定功率）工作湿度：20%～80%工作温度：-10～60度尺寸：483x342x90（mm）</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1，采用32位高性能DSP和AD/DA，24位/48K采样纯数字的专业前级效果器；拥有10组用户参数存储和调用;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2，LCD彩色高分辨率中英文显示；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3，双模蓝牙，播放高品质音乐，同时可控制手机安卓APP</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3，双模蓝牙，播放高品质音乐，同时可控制手机安卓APP</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4，U盘音乐播放功能，支持MP3/WMA/WAV/FLAC/APE多种格式;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，LCD彩色高分辨率中英文显示；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6</w:t>
            </w:r>
            <w:r>
              <w:rPr>
                <w:rFonts w:hint="eastAsia" w:asciiTheme="minorEastAsia" w:hAnsiTheme="minorEastAsia" w:eastAsiaTheme="minorEastAsia" w:cstheme="minorEastAsia"/>
                <w:i w:val="0"/>
                <w:iCs w:val="0"/>
                <w:color w:val="000000"/>
                <w:kern w:val="0"/>
                <w:sz w:val="18"/>
                <w:szCs w:val="18"/>
                <w:u w:val="none"/>
                <w:lang w:val="en-US" w:eastAsia="zh-CN" w:bidi="ar"/>
              </w:rPr>
              <w:t>，光纤数字音频输入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7</w:t>
            </w:r>
            <w:r>
              <w:rPr>
                <w:rFonts w:hint="eastAsia" w:asciiTheme="minorEastAsia" w:hAnsiTheme="minorEastAsia" w:eastAsiaTheme="minorEastAsia" w:cstheme="minorEastAsia"/>
                <w:i w:val="0"/>
                <w:iCs w:val="0"/>
                <w:color w:val="000000"/>
                <w:kern w:val="0"/>
                <w:sz w:val="18"/>
                <w:szCs w:val="18"/>
                <w:u w:val="none"/>
                <w:lang w:val="en-US" w:eastAsia="zh-CN" w:bidi="ar"/>
              </w:rPr>
              <w:t>，双模蓝牙，播放高品质音乐，同时可控制手机安卓APP；</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8</w:t>
            </w:r>
            <w:r>
              <w:rPr>
                <w:rFonts w:hint="eastAsia" w:asciiTheme="minorEastAsia" w:hAnsiTheme="minorEastAsia" w:eastAsiaTheme="minorEastAsia" w:cstheme="minorEastAsia"/>
                <w:i w:val="0"/>
                <w:iCs w:val="0"/>
                <w:color w:val="000000"/>
                <w:kern w:val="0"/>
                <w:sz w:val="18"/>
                <w:szCs w:val="18"/>
                <w:u w:val="none"/>
                <w:lang w:val="en-US" w:eastAsia="zh-CN" w:bidi="ar"/>
              </w:rPr>
              <w:t>，光纤数字音频输入；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9</w:t>
            </w:r>
            <w:r>
              <w:rPr>
                <w:rFonts w:hint="eastAsia" w:asciiTheme="minorEastAsia" w:hAnsiTheme="minorEastAsia" w:eastAsiaTheme="minorEastAsia" w:cstheme="minorEastAsia"/>
                <w:i w:val="0"/>
                <w:iCs w:val="0"/>
                <w:color w:val="000000"/>
                <w:kern w:val="0"/>
                <w:sz w:val="18"/>
                <w:szCs w:val="18"/>
                <w:u w:val="none"/>
                <w:lang w:val="en-US" w:eastAsia="zh-CN" w:bidi="ar"/>
              </w:rPr>
              <w:t>，AB组麦克风，双路独立5段参量均衡;独特的麦克风反馈拟制算法，有4级强度可调;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10，</w:t>
            </w:r>
            <w:r>
              <w:rPr>
                <w:rFonts w:hint="eastAsia" w:asciiTheme="minorEastAsia" w:hAnsiTheme="minorEastAsia" w:eastAsiaTheme="minorEastAsia" w:cstheme="minorEastAsia"/>
                <w:i w:val="0"/>
                <w:iCs w:val="0"/>
                <w:color w:val="000000"/>
                <w:kern w:val="0"/>
                <w:sz w:val="18"/>
                <w:szCs w:val="18"/>
                <w:u w:val="none"/>
                <w:lang w:val="en-US" w:eastAsia="zh-CN" w:bidi="ar"/>
              </w:rPr>
              <w:t>专业演唱的回音效果和混响效果；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11，</w:t>
            </w:r>
            <w:r>
              <w:rPr>
                <w:rFonts w:hint="eastAsia" w:asciiTheme="minorEastAsia" w:hAnsiTheme="minorEastAsia" w:eastAsiaTheme="minorEastAsia" w:cstheme="minorEastAsia"/>
                <w:i w:val="0"/>
                <w:iCs w:val="0"/>
                <w:color w:val="000000"/>
                <w:kern w:val="0"/>
                <w:sz w:val="18"/>
                <w:szCs w:val="18"/>
                <w:u w:val="none"/>
                <w:lang w:val="en-US" w:eastAsia="zh-CN" w:bidi="ar"/>
              </w:rPr>
              <w:t>音乐变调功能， 唱歌模式/热舞模式/自动模式；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cstheme="minorEastAsia"/>
                <w:i w:val="0"/>
                <w:iCs w:val="0"/>
                <w:color w:val="000000"/>
                <w:kern w:val="0"/>
                <w:sz w:val="18"/>
                <w:szCs w:val="18"/>
                <w:u w:val="none"/>
                <w:lang w:val="en-US" w:eastAsia="zh-CN" w:bidi="ar"/>
              </w:rPr>
              <w:t>12</w:t>
            </w:r>
            <w:r>
              <w:rPr>
                <w:rFonts w:hint="eastAsia" w:asciiTheme="minorEastAsia" w:hAnsiTheme="minorEastAsia" w:eastAsiaTheme="minorEastAsia" w:cstheme="minorEastAsia"/>
                <w:i w:val="0"/>
                <w:iCs w:val="0"/>
                <w:color w:val="000000"/>
                <w:kern w:val="0"/>
                <w:sz w:val="18"/>
                <w:szCs w:val="18"/>
                <w:u w:val="none"/>
                <w:lang w:val="en-US" w:eastAsia="zh-CN" w:bidi="ar"/>
              </w:rPr>
              <w:t>，输出通道都可以独立输出;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3</w:t>
            </w:r>
            <w:r>
              <w:rPr>
                <w:rFonts w:hint="eastAsia" w:asciiTheme="minorEastAsia" w:hAnsiTheme="minorEastAsia" w:eastAsiaTheme="minorEastAsia" w:cstheme="minorEastAsia"/>
                <w:i w:val="0"/>
                <w:iCs w:val="0"/>
                <w:color w:val="000000"/>
                <w:kern w:val="0"/>
                <w:sz w:val="18"/>
                <w:szCs w:val="18"/>
                <w:u w:val="none"/>
                <w:lang w:val="en-US" w:eastAsia="zh-CN" w:bidi="ar"/>
              </w:rPr>
              <w:t>，管理者、用户和初级模式，密码管理；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000000"/>
                <w:kern w:val="0"/>
                <w:sz w:val="18"/>
                <w:szCs w:val="18"/>
                <w:u w:val="none"/>
                <w:lang w:val="en-US" w:eastAsia="zh-CN" w:bidi="ar"/>
              </w:rPr>
              <w:t>，开关电源实现宽电源工作（85—250V，50/60HZ），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5</w:t>
            </w:r>
            <w:r>
              <w:rPr>
                <w:rFonts w:hint="eastAsia" w:asciiTheme="minorEastAsia" w:hAnsiTheme="minorEastAsia" w:eastAsiaTheme="minorEastAsia" w:cstheme="minorEastAsia"/>
                <w:i w:val="0"/>
                <w:iCs w:val="0"/>
                <w:color w:val="000000"/>
                <w:kern w:val="0"/>
                <w:sz w:val="18"/>
                <w:szCs w:val="18"/>
                <w:u w:val="none"/>
                <w:lang w:val="en-US" w:eastAsia="zh-CN" w:bidi="ar"/>
              </w:rPr>
              <w:t>，免驱动USB接口连接，实时通过PC软件控制全部参数。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cstheme="minorEastAsia"/>
                <w:i w:val="0"/>
                <w:iCs w:val="0"/>
                <w:color w:val="000000"/>
                <w:kern w:val="0"/>
                <w:sz w:val="18"/>
                <w:szCs w:val="18"/>
                <w:u w:val="none"/>
                <w:lang w:val="en-US" w:eastAsia="zh-CN" w:bidi="ar"/>
              </w:rPr>
              <w:t>6</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，具备VOD点歌控制接口RS232，具备无线红外遥控功能; </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19"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1，2路主输出，2路REC输出，1路效果输出，1路monitor输出，1路立体声耳机输出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2，8路单声道输入通道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3，DSP效果模块可供选择，一种为可调时间的21种效果模式，一种为全参数可调的和可提供参数固化的效果模式；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4，智能化显示面板精确显示各类数据，方便调节；</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5，输入通道三段均衡，输出通道双七段均衡；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6，频率响应：20Hz-20KHz(±1dB)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7，产品尺寸（宽x深x高）：</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387.5mmx389.7mmx80.3mm 净重：</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5.6K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8，净重：</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5.6KG</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11"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Style w:val="94"/>
                <w:rFonts w:hint="eastAsia" w:asciiTheme="minorEastAsia" w:hAnsiTheme="minorEastAsia" w:eastAsiaTheme="minorEastAsia" w:cstheme="minorEastAsia"/>
                <w:sz w:val="18"/>
                <w:szCs w:val="18"/>
                <w:lang w:val="en-US" w:eastAsia="zh-CN" w:bidi="ar"/>
              </w:rPr>
              <w:t>96KHz采样频率，32-bit DSP处理器，24-bit A/D及D/A转换可通过面板的BYPASS/ON按键切换工作模式为直通或抑制全自动窄带陷波式反馈抑制每通道独立12个固定滤波器和12个动态滤波器,可通过“系统”键来设定固定或动态滤波器的个数提供模拟输入输出或数字AES 3, 光纤，同轴输入输出。可通过面板液晶上显示的48个啸叫点显示灯,显示当前啸叫点个数带有压缩,限幅,噪声门功能，单机提供30组设备数据存储,存储压缩,限幅,噪声门的参数。关机后可保存关机前的啸叫抑制状态.可通过面板的“系统”键来设定密码锁定面板操作的部分或全部功能，以防止非相关人员的操作破坏机器的工作状态采用液晶屏和段码彩色液晶显示输出的精确数字电平表提供模拟输入输出或数字AES 3, 光纤，同轴输入输出。</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52"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扩声系统</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1、额定输出电压：交流220V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2、额定输出电流：</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3、可控制电源：10路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4、单路客定输出电源：</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30A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5、时序间隔2-3秒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6、带3C国标三扁插头和6平方</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150CM长的电源线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7、带USB，手机充电。</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02" w:hRule="atLeast"/>
        </w:trPr>
        <w:tc>
          <w:tcPr>
            <w:tcW w:w="945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智能水暖电锅炉机组（电采暖）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产品参数</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005" w:hRule="atLeast"/>
        </w:trPr>
        <w:tc>
          <w:tcPr>
            <w:tcW w:w="50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智能锅炉</w:t>
            </w:r>
          </w:p>
        </w:tc>
        <w:tc>
          <w:tcPr>
            <w:tcW w:w="48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额定功率：≥150KW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额定电流：≥151.5A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额定电压：AC380V～50Hz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额定电源：三相四线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电源线经（铜芯线）：≥30mm2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空气开关额定电流：≥200A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电表电流：≥200A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出水温度调节：30-80℃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最高工作压力：≥0.3MPa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防水等级：≥IP×4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外形尺寸：≥1500 mm×750 mm× 750 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进出口尺寸：DN50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电线/电表/空开：75mm㎡/200A/200A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适用于采暖面积：&lt;1500㎡（根据房屋保暖情况）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工作模式（PLC微电脑变频恒温控制系统）： 定时编程模式（24小时），设定模式24小时，节能模式8*24小时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发热体：3D集成极速加热器（三维成型、合金铝体造）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加热原理：加热元件是将管状电热元件弯曲,成三维迂回型和不锈钢水路共同进入模具，用优质金属铝材料为外壳压铸而成的，它能和被加热体紧密贴合，是一种低温循环流动的“活水”加热原理，高效热分部均匀的加热器，热点与冷点均匀，.热效率高达98%，不结水垢、不腐蚀、不爆管、真正水电分离、长寿命等优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安全性能以及使用寿命：具有多重保护，过压保护、超温保护、干烧保护、防漏电保护、防冻保护、循环水路流量监控多种安全保护。当特殊情况出现时，自动启动各相应的安全保护装置，系统每5分钟进行一次.漏电检测，彻底解决了安全隐患。</w:t>
            </w:r>
          </w:p>
        </w:tc>
        <w:tc>
          <w:tcPr>
            <w:tcW w:w="55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4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台</w:t>
            </w:r>
          </w:p>
        </w:tc>
        <w:tc>
          <w:tcPr>
            <w:tcW w:w="126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p>
        </w:tc>
      </w:tr>
    </w:tbl>
    <w:p>
      <w:pPr>
        <w:pStyle w:val="22"/>
        <w:numPr>
          <w:ilvl w:val="0"/>
          <w:numId w:val="0"/>
        </w:numPr>
        <w:outlineLvl w:val="9"/>
        <w:rPr>
          <w:rFonts w:hint="default" w:ascii="宋体" w:hAnsi="宋体" w:eastAsia="宋体"/>
          <w:b/>
          <w:color w:val="auto"/>
          <w:szCs w:val="21"/>
          <w:lang w:val="en-US"/>
        </w:rPr>
      </w:pPr>
    </w:p>
    <w:p>
      <w:pPr>
        <w:keepNext w:val="0"/>
        <w:keepLines w:val="0"/>
        <w:pageBreakBefore w:val="0"/>
        <w:kinsoku/>
        <w:wordWrap/>
        <w:overflowPunct/>
        <w:topLinePunct w:val="0"/>
        <w:bidi w:val="0"/>
        <w:spacing w:line="440" w:lineRule="exact"/>
        <w:outlineLvl w:val="9"/>
        <w:rPr>
          <w:rFonts w:hint="eastAsia" w:ascii="宋体" w:hAnsi="宋体" w:eastAsia="宋体" w:cs="宋体"/>
          <w:b/>
          <w:bCs/>
          <w:color w:val="000000" w:themeColor="text1"/>
          <w:sz w:val="24"/>
          <w:szCs w:val="24"/>
          <w:highlight w:val="none"/>
          <w14:textFill>
            <w14:solidFill>
              <w14:schemeClr w14:val="tx1"/>
            </w14:solidFill>
          </w14:textFill>
        </w:rPr>
        <w:sectPr>
          <w:footerReference r:id="rId7" w:type="default"/>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bookmarkStart w:id="640" w:name="_Toc6390"/>
      <w:bookmarkStart w:id="641" w:name="_Toc15992"/>
    </w:p>
    <w:p>
      <w:pPr>
        <w:keepNext w:val="0"/>
        <w:keepLines w:val="0"/>
        <w:pageBreakBefore w:val="0"/>
        <w:kinsoku/>
        <w:wordWrap/>
        <w:overflowPunct/>
        <w:topLinePunct w:val="0"/>
        <w:bidi w:val="0"/>
        <w:spacing w:line="440" w:lineRule="exact"/>
        <w:outlineLvl w:val="1"/>
        <w:rPr>
          <w:rFonts w:hint="eastAsia" w:ascii="宋体" w:hAnsi="宋体" w:eastAsia="宋体" w:cs="宋体"/>
          <w:b/>
          <w:sz w:val="28"/>
          <w:szCs w:val="28"/>
        </w:rPr>
      </w:pPr>
      <w:r>
        <w:rPr>
          <w:rFonts w:hint="eastAsia" w:ascii="宋体" w:hAnsi="宋体" w:eastAsia="宋体" w:cs="宋体"/>
          <w:b/>
          <w:bCs/>
          <w:color w:val="000000" w:themeColor="text1"/>
          <w:sz w:val="24"/>
          <w:szCs w:val="24"/>
          <w:highlight w:val="none"/>
          <w14:textFill>
            <w14:solidFill>
              <w14:schemeClr w14:val="tx1"/>
            </w14:solidFill>
          </w14:textFill>
        </w:rPr>
        <w:t>二、项目其他要求：</w:t>
      </w:r>
      <w:bookmarkEnd w:id="640"/>
      <w:bookmarkEnd w:id="641"/>
    </w:p>
    <w:p>
      <w:pPr>
        <w:spacing w:line="288" w:lineRule="auto"/>
        <w:jc w:val="center"/>
        <w:rPr>
          <w:rFonts w:hint="eastAsia" w:ascii="仿宋" w:hAnsi="仿宋" w:eastAsia="仿宋" w:cs="仿宋"/>
          <w:sz w:val="28"/>
          <w:szCs w:val="28"/>
        </w:rPr>
      </w:pPr>
      <w:r>
        <w:rPr>
          <w:rFonts w:hint="eastAsia" w:ascii="仿宋" w:hAnsi="仿宋" w:eastAsia="仿宋" w:cs="仿宋"/>
          <w:b/>
          <w:sz w:val="28"/>
          <w:szCs w:val="28"/>
        </w:rPr>
        <w:t>技术规格及要求</w:t>
      </w:r>
    </w:p>
    <w:p>
      <w:pPr>
        <w:spacing w:line="288" w:lineRule="auto"/>
        <w:jc w:val="center"/>
        <w:rPr>
          <w:rFonts w:hint="eastAsia" w:ascii="仿宋" w:hAnsi="仿宋" w:eastAsia="仿宋" w:cs="仿宋"/>
          <w:b/>
          <w:sz w:val="28"/>
          <w:szCs w:val="28"/>
        </w:rPr>
      </w:pPr>
      <w:r>
        <w:rPr>
          <w:rFonts w:hint="eastAsia" w:ascii="仿宋" w:hAnsi="仿宋" w:eastAsia="仿宋" w:cs="仿宋"/>
          <w:b/>
          <w:sz w:val="28"/>
          <w:szCs w:val="28"/>
        </w:rPr>
        <w:t>说　　明</w:t>
      </w:r>
    </w:p>
    <w:p>
      <w:pPr>
        <w:snapToGrid w:val="0"/>
        <w:spacing w:line="380" w:lineRule="exact"/>
        <w:ind w:firstLine="422" w:firstLineChars="200"/>
        <w:textAlignment w:val="center"/>
        <w:outlineLvl w:val="2"/>
        <w:rPr>
          <w:rFonts w:hint="eastAsia" w:eastAsia="宋体" w:cs="仿宋_GB2312"/>
          <w:b/>
          <w:szCs w:val="21"/>
        </w:rPr>
      </w:pPr>
      <w:r>
        <w:rPr>
          <w:rFonts w:hint="eastAsia" w:eastAsia="宋体" w:cs="仿宋_GB2312"/>
          <w:b/>
          <w:szCs w:val="21"/>
        </w:rPr>
        <w:t>1、所招产品的质量要求</w:t>
      </w:r>
    </w:p>
    <w:p>
      <w:pPr>
        <w:snapToGrid w:val="0"/>
        <w:spacing w:line="380" w:lineRule="exact"/>
        <w:ind w:firstLine="420" w:firstLineChars="200"/>
        <w:textAlignment w:val="center"/>
        <w:rPr>
          <w:rFonts w:hint="eastAsia" w:eastAsia="宋体" w:cs="仿宋_GB2312"/>
          <w:szCs w:val="21"/>
        </w:rPr>
      </w:pPr>
      <w:r>
        <w:rPr>
          <w:rFonts w:hint="eastAsia" w:eastAsia="宋体" w:cs="仿宋_GB2312"/>
          <w:szCs w:val="21"/>
        </w:rPr>
        <w:t>提供主要所投产品的技术支持文件，必须为所投产品制造商官方公开发行的技术资料，内容应完整明确(包括详细的技术参数描述、配置情况说明等)。</w:t>
      </w:r>
    </w:p>
    <w:p>
      <w:pPr>
        <w:snapToGrid w:val="0"/>
        <w:spacing w:line="380" w:lineRule="exact"/>
        <w:ind w:firstLine="420" w:firstLineChars="200"/>
        <w:textAlignment w:val="center"/>
        <w:rPr>
          <w:rFonts w:hint="eastAsia" w:eastAsia="宋体" w:cs="仿宋_GB2312"/>
          <w:szCs w:val="21"/>
        </w:rPr>
      </w:pPr>
      <w:r>
        <w:rPr>
          <w:rFonts w:hint="eastAsia" w:eastAsia="宋体" w:cs="仿宋_GB2312"/>
          <w:szCs w:val="21"/>
        </w:rPr>
        <w:t>投标商在制作投标文件时，根据自己所投货物实际指标来撰写响应于招标文件要求的指标。</w:t>
      </w:r>
    </w:p>
    <w:p>
      <w:pPr>
        <w:snapToGrid w:val="0"/>
        <w:spacing w:line="380" w:lineRule="exact"/>
        <w:ind w:firstLine="422" w:firstLineChars="200"/>
        <w:textAlignment w:val="center"/>
        <w:outlineLvl w:val="2"/>
        <w:rPr>
          <w:rFonts w:hint="eastAsia" w:ascii="Times New Roman" w:hAnsi="Times New Roman" w:eastAsia="宋体" w:cs="仿宋_GB2312"/>
          <w:color w:val="FF0000"/>
          <w:szCs w:val="21"/>
          <w:lang w:val="en-US" w:eastAsia="zh-CN"/>
        </w:rPr>
      </w:pPr>
      <w:r>
        <w:rPr>
          <w:rFonts w:hint="eastAsia" w:cs="仿宋_GB2312"/>
          <w:b/>
          <w:bCs/>
          <w:szCs w:val="21"/>
          <w:lang w:val="en-US" w:eastAsia="zh-CN"/>
        </w:rPr>
        <w:t>2</w:t>
      </w:r>
      <w:r>
        <w:rPr>
          <w:rFonts w:hint="eastAsia" w:ascii="Times New Roman" w:hAnsi="Times New Roman" w:eastAsia="宋体" w:cs="仿宋_GB2312"/>
          <w:b/>
          <w:bCs/>
          <w:szCs w:val="21"/>
          <w:lang w:val="en-US" w:eastAsia="zh-CN"/>
        </w:rPr>
        <w:t>、交货期：</w:t>
      </w:r>
      <w:r>
        <w:rPr>
          <w:rFonts w:hint="eastAsia" w:ascii="Times New Roman" w:hAnsi="Times New Roman" w:eastAsia="宋体" w:cs="仿宋_GB2312"/>
          <w:szCs w:val="21"/>
          <w:lang w:val="en-US" w:eastAsia="zh-CN"/>
        </w:rPr>
        <w:t>签订合同后</w:t>
      </w:r>
      <w:r>
        <w:rPr>
          <w:rFonts w:hint="eastAsia" w:cs="仿宋_GB2312"/>
          <w:szCs w:val="21"/>
          <w:lang w:val="en-US" w:eastAsia="zh-CN"/>
        </w:rPr>
        <w:t>20</w:t>
      </w:r>
      <w:r>
        <w:rPr>
          <w:rFonts w:hint="eastAsia" w:ascii="Times New Roman" w:hAnsi="Times New Roman" w:eastAsia="宋体" w:cs="仿宋_GB2312"/>
          <w:szCs w:val="21"/>
          <w:lang w:val="en-US" w:eastAsia="zh-CN"/>
        </w:rPr>
        <w:t>日内完成供货并安装调试完毕。</w:t>
      </w:r>
    </w:p>
    <w:p>
      <w:pPr>
        <w:snapToGrid w:val="0"/>
        <w:spacing w:line="380" w:lineRule="exact"/>
        <w:ind w:firstLine="422" w:firstLineChars="200"/>
        <w:textAlignment w:val="center"/>
        <w:rPr>
          <w:rFonts w:hint="eastAsia" w:ascii="Times New Roman" w:hAnsi="Times New Roman" w:eastAsia="宋体" w:cs="仿宋_GB2312"/>
          <w:szCs w:val="21"/>
          <w:lang w:eastAsia="zh-CN"/>
        </w:rPr>
      </w:pPr>
      <w:r>
        <w:rPr>
          <w:rFonts w:hint="eastAsia" w:cs="仿宋_GB2312"/>
          <w:b/>
          <w:bCs/>
          <w:szCs w:val="21"/>
          <w:lang w:val="en-US" w:eastAsia="zh-CN"/>
        </w:rPr>
        <w:t>3</w:t>
      </w:r>
      <w:r>
        <w:rPr>
          <w:rFonts w:hint="eastAsia" w:ascii="Times New Roman" w:hAnsi="Times New Roman" w:eastAsia="宋体" w:cs="仿宋_GB2312"/>
          <w:b/>
          <w:bCs/>
          <w:szCs w:val="21"/>
          <w:lang w:val="en-US" w:eastAsia="zh-CN"/>
        </w:rPr>
        <w:t>、质保期:</w:t>
      </w:r>
      <w:r>
        <w:rPr>
          <w:rFonts w:hint="eastAsia" w:ascii="Times New Roman" w:hAnsi="Times New Roman" w:eastAsia="宋体" w:cs="仿宋_GB2312"/>
          <w:szCs w:val="21"/>
          <w:lang w:val="en-US" w:eastAsia="zh-CN"/>
        </w:rPr>
        <w:t>全部设备</w:t>
      </w:r>
      <w:r>
        <w:rPr>
          <w:rFonts w:hint="eastAsia" w:cs="仿宋_GB2312"/>
          <w:szCs w:val="21"/>
          <w:lang w:val="en-US" w:eastAsia="zh-CN"/>
        </w:rPr>
        <w:t>及产品要求免费</w:t>
      </w:r>
      <w:r>
        <w:rPr>
          <w:rFonts w:hint="eastAsia" w:ascii="Times New Roman" w:hAnsi="Times New Roman" w:eastAsia="宋体" w:cs="仿宋_GB2312"/>
          <w:szCs w:val="21"/>
        </w:rPr>
        <w:t>质保期</w:t>
      </w:r>
      <w:r>
        <w:rPr>
          <w:rFonts w:hint="eastAsia" w:cs="仿宋_GB2312"/>
          <w:b/>
          <w:bCs/>
          <w:color w:val="FF0000"/>
          <w:szCs w:val="21"/>
          <w:lang w:val="en-US" w:eastAsia="zh-CN"/>
        </w:rPr>
        <w:t>1</w:t>
      </w:r>
      <w:r>
        <w:rPr>
          <w:rFonts w:hint="eastAsia" w:ascii="Times New Roman" w:hAnsi="Times New Roman" w:eastAsia="宋体" w:cs="仿宋_GB2312"/>
          <w:b/>
          <w:bCs/>
          <w:color w:val="FF0000"/>
          <w:szCs w:val="21"/>
        </w:rPr>
        <w:t>年</w:t>
      </w:r>
      <w:r>
        <w:rPr>
          <w:rFonts w:hint="eastAsia" w:cs="仿宋_GB2312"/>
          <w:szCs w:val="21"/>
          <w:lang w:val="en-US" w:eastAsia="zh-CN"/>
        </w:rPr>
        <w:t>并</w:t>
      </w:r>
      <w:r>
        <w:rPr>
          <w:rFonts w:hint="eastAsia" w:ascii="Times New Roman" w:hAnsi="Times New Roman" w:eastAsia="宋体" w:cs="仿宋_GB2312"/>
          <w:szCs w:val="21"/>
        </w:rPr>
        <w:t>提供免费售后服务</w:t>
      </w:r>
      <w:r>
        <w:rPr>
          <w:rFonts w:hint="eastAsia" w:cs="仿宋_GB2312"/>
          <w:b/>
          <w:bCs/>
          <w:color w:val="FF0000"/>
          <w:szCs w:val="21"/>
          <w:lang w:val="en-US" w:eastAsia="zh-CN"/>
        </w:rPr>
        <w:t>1</w:t>
      </w:r>
      <w:r>
        <w:rPr>
          <w:rFonts w:hint="eastAsia" w:eastAsia="宋体" w:cs="仿宋_GB2312"/>
          <w:b/>
          <w:bCs/>
          <w:color w:val="FF0000"/>
          <w:szCs w:val="21"/>
          <w:lang w:val="en-US" w:eastAsia="zh-CN"/>
        </w:rPr>
        <w:t>年</w:t>
      </w:r>
      <w:r>
        <w:rPr>
          <w:rFonts w:hint="eastAsia" w:ascii="Times New Roman" w:hAnsi="Times New Roman" w:eastAsia="宋体" w:cs="仿宋_GB2312"/>
          <w:szCs w:val="21"/>
          <w:lang w:eastAsia="zh-CN"/>
        </w:rPr>
        <w:t>。</w:t>
      </w:r>
    </w:p>
    <w:p>
      <w:pPr>
        <w:snapToGrid w:val="0"/>
        <w:spacing w:line="380" w:lineRule="exact"/>
        <w:ind w:firstLine="422" w:firstLineChars="200"/>
        <w:textAlignment w:val="center"/>
        <w:rPr>
          <w:rFonts w:hint="eastAsia" w:ascii="仿宋" w:hAnsi="仿宋" w:eastAsia="宋体" w:cs="仿宋"/>
          <w:szCs w:val="21"/>
          <w:lang w:eastAsia="zh-CN"/>
        </w:rPr>
      </w:pPr>
      <w:r>
        <w:rPr>
          <w:rFonts w:hint="eastAsia" w:cs="仿宋_GB2312"/>
          <w:b/>
          <w:bCs/>
          <w:szCs w:val="21"/>
          <w:lang w:val="en-US" w:eastAsia="zh-CN"/>
        </w:rPr>
        <w:t>4</w:t>
      </w:r>
      <w:r>
        <w:rPr>
          <w:rFonts w:hint="eastAsia" w:ascii="Times New Roman" w:hAnsi="Times New Roman" w:eastAsia="宋体" w:cs="仿宋_GB2312"/>
          <w:b/>
          <w:bCs/>
          <w:szCs w:val="21"/>
          <w:lang w:val="en-US" w:eastAsia="zh-CN"/>
        </w:rPr>
        <w:t>、交货地点：</w:t>
      </w:r>
      <w:r>
        <w:rPr>
          <w:rFonts w:hint="eastAsia" w:cs="仿宋_GB2312"/>
          <w:szCs w:val="21"/>
        </w:rPr>
        <w:t>甲方</w:t>
      </w:r>
      <w:r>
        <w:rPr>
          <w:rFonts w:hint="eastAsia" w:cs="仿宋_GB2312"/>
          <w:szCs w:val="21"/>
          <w:lang w:val="en-US" w:eastAsia="zh-CN"/>
        </w:rPr>
        <w:t>指定地点</w:t>
      </w:r>
      <w:r>
        <w:rPr>
          <w:rFonts w:hint="eastAsia" w:cs="仿宋_GB2312"/>
          <w:szCs w:val="21"/>
          <w:lang w:eastAsia="zh-CN"/>
        </w:rPr>
        <w:t>。</w:t>
      </w:r>
    </w:p>
    <w:p>
      <w:pPr>
        <w:pStyle w:val="8"/>
        <w:keepNext w:val="0"/>
        <w:keepLines w:val="0"/>
        <w:pageBreakBefore w:val="0"/>
        <w:kinsoku/>
        <w:wordWrap/>
        <w:overflowPunct/>
        <w:topLinePunct w:val="0"/>
        <w:bidi w:val="0"/>
        <w:spacing w:line="440" w:lineRule="exact"/>
        <w:ind w:left="0" w:leftChars="0" w:firstLine="442" w:firstLineChars="200"/>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hAnsi="宋体" w:cs="宋体"/>
          <w:b/>
          <w:bCs/>
          <w:color w:val="000000" w:themeColor="text1"/>
          <w:sz w:val="22"/>
          <w:szCs w:val="22"/>
          <w:highlight w:val="none"/>
          <w:lang w:val="en-US" w:eastAsia="zh-CN"/>
          <w14:textFill>
            <w14:solidFill>
              <w14:schemeClr w14:val="tx1"/>
            </w14:solidFill>
          </w14:textFill>
        </w:rPr>
        <w:t>5</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、售后服务：</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（1）产品厂家或供应商须到采购单位提供的现场免费安装、调试设备，进行操作试验，直至运行正常，为仪器操作人员提供操作及维护培训。在质保期内出现故障时，中标供应商在接到故障报修电话后，</w:t>
      </w:r>
      <w:r>
        <w:rPr>
          <w:rFonts w:hint="eastAsia"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lang w:val="en-US" w:eastAsia="zh-CN"/>
          <w14:textFill>
            <w14:solidFill>
              <w14:schemeClr w14:val="tx1"/>
            </w14:solidFill>
          </w14:textFill>
        </w:rPr>
        <w:t>小时内必须赶到现场解决故障。</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（2）为保证设备的正常运行，须提供7*24小时的售后服务，并附上联系方式。</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（3）在质保期内，派遣维修或技术人员不少于2人，巡访设备使用单位，协助并指导运维人员进行日常维护保养工作，并与直接使用人交流设备使用相关事宜。</w:t>
      </w:r>
    </w:p>
    <w:p>
      <w:pPr>
        <w:keepNext w:val="0"/>
        <w:keepLines w:val="0"/>
        <w:pageBreakBefore w:val="0"/>
        <w:kinsoku/>
        <w:wordWrap/>
        <w:overflowPunct/>
        <w:topLinePunct w:val="0"/>
        <w:bidi w:val="0"/>
        <w:spacing w:line="440" w:lineRule="exact"/>
        <w:ind w:firstLine="440" w:firstLineChars="200"/>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（4）拟定设备使用培训计划，要求现场培训不少于2次，每次培训不少于</w:t>
      </w:r>
      <w:r>
        <w:rPr>
          <w:rFonts w:hint="eastAsia" w:ascii="宋体" w:hAnsi="宋体" w:cs="宋体"/>
          <w:b w:val="0"/>
          <w:bCs/>
          <w:color w:val="000000" w:themeColor="text1"/>
          <w:sz w:val="22"/>
          <w:szCs w:val="22"/>
          <w:highlight w:val="none"/>
          <w:lang w:val="en-US" w:eastAsia="zh-CN"/>
          <w14:textFill>
            <w14:solidFill>
              <w14:schemeClr w14:val="tx1"/>
            </w14:solidFill>
          </w14:textFill>
        </w:rPr>
        <w:t>10</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人，保证设备操作人员熟练使用设备</w:t>
      </w: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w:t>
      </w:r>
    </w:p>
    <w:p>
      <w:pPr>
        <w:keepNext w:val="0"/>
        <w:keepLines w:val="0"/>
        <w:pageBreakBefore w:val="0"/>
        <w:kinsoku/>
        <w:wordWrap/>
        <w:overflowPunct/>
        <w:topLinePunct w:val="0"/>
        <w:bidi w:val="0"/>
        <w:spacing w:line="440" w:lineRule="exact"/>
        <w:ind w:firstLine="440" w:firstLineChars="200"/>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（5）安排每年设备巡检不少于</w:t>
      </w:r>
      <w:r>
        <w:rPr>
          <w:rFonts w:hint="eastAsia" w:ascii="宋体" w:hAnsi="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次，以保证所投设备在项目使用地正常运转。</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（6）供应商必须积极配采购人共同参与项目验收。主动向采购单位有关技术人员在使用现场提供全套技术指导及培训。</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（7）供应商应派相关技术人员到现场进行指导安装，解决安装过程中的相关问题。</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（9）如有未尽事宜或收到服务需求不合要求情况，可双方协商决定，但决定权在购买方，购买方有权利退回所购买产品。</w:t>
      </w:r>
    </w:p>
    <w:p>
      <w:pPr>
        <w:pStyle w:val="9"/>
        <w:ind w:firstLine="440" w:firstLineChars="200"/>
        <w:outlineLvl w:val="3"/>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（11）所投设备须为原厂生产、全新、未使用过的设备。</w:t>
      </w:r>
    </w:p>
    <w:p>
      <w:pPr>
        <w:pStyle w:val="8"/>
        <w:keepNext w:val="0"/>
        <w:keepLines w:val="0"/>
        <w:pageBreakBefore w:val="0"/>
        <w:kinsoku/>
        <w:wordWrap/>
        <w:overflowPunct/>
        <w:topLinePunct w:val="0"/>
        <w:bidi w:val="0"/>
        <w:spacing w:line="440" w:lineRule="exact"/>
        <w:ind w:left="0" w:leftChars="0" w:firstLine="442" w:firstLineChars="200"/>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7、实施方案及培训方案</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8"/>
        <w:keepNext w:val="0"/>
        <w:keepLines w:val="0"/>
        <w:pageBreakBefore w:val="0"/>
        <w:kinsoku/>
        <w:wordWrap/>
        <w:overflowPunct/>
        <w:topLinePunct w:val="0"/>
        <w:bidi w:val="0"/>
        <w:spacing w:line="440" w:lineRule="exact"/>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8、采购标的的验收标准：</w:t>
      </w:r>
    </w:p>
    <w:p>
      <w:pPr>
        <w:pStyle w:val="8"/>
        <w:keepNext w:val="0"/>
        <w:keepLines w:val="0"/>
        <w:pageBreakBefore w:val="0"/>
        <w:kinsoku/>
        <w:wordWrap/>
        <w:overflowPunct/>
        <w:topLinePunct w:val="0"/>
        <w:bidi w:val="0"/>
        <w:spacing w:line="440" w:lineRule="exac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验收主体：</w:t>
      </w:r>
      <w:r>
        <w:rPr>
          <w:rFonts w:hint="eastAsia" w:hAnsi="宋体" w:cs="宋体"/>
          <w:color w:val="000000" w:themeColor="text1"/>
          <w:sz w:val="22"/>
          <w:szCs w:val="22"/>
          <w:highlight w:val="none"/>
          <w:lang w:val="en-US" w:eastAsia="zh-CN"/>
          <w14:textFill>
            <w14:solidFill>
              <w14:schemeClr w14:val="tx1"/>
            </w14:solidFill>
          </w14:textFill>
        </w:rPr>
        <w:t>疏附县托克扎克镇人民政府</w:t>
      </w:r>
      <w:r>
        <w:rPr>
          <w:rFonts w:hint="eastAsia" w:ascii="宋体" w:hAnsi="宋体" w:eastAsia="宋体" w:cs="宋体"/>
          <w:color w:val="000000" w:themeColor="text1"/>
          <w:sz w:val="22"/>
          <w:szCs w:val="22"/>
          <w:highlight w:val="none"/>
          <w:lang w:val="en-US" w:eastAsia="zh-CN"/>
          <w14:textFill>
            <w14:solidFill>
              <w14:schemeClr w14:val="tx1"/>
            </w14:solidFill>
          </w14:textFill>
        </w:rPr>
        <w:t>组织验收</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验收时间：供货安装调试完毕</w:t>
      </w:r>
    </w:p>
    <w:p>
      <w:pPr>
        <w:pStyle w:val="8"/>
        <w:keepNext w:val="0"/>
        <w:keepLines w:val="0"/>
        <w:pageBreakBefore w:val="0"/>
        <w:kinsoku/>
        <w:wordWrap/>
        <w:overflowPunct/>
        <w:topLinePunct w:val="0"/>
        <w:bidi w:val="0"/>
        <w:spacing w:line="440" w:lineRule="exact"/>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验收内容：所购买所有产品设备</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验收标准：卖方应派工程技术人员到达现场，在买方技术人员在场的情况下开箱清点货物，组织安装调试，供应商按期供货并安装调试完毕后，需要</w:t>
      </w:r>
      <w:r>
        <w:rPr>
          <w:rFonts w:hint="eastAsia" w:hAnsi="宋体" w:cs="宋体"/>
          <w:color w:val="000000" w:themeColor="text1"/>
          <w:sz w:val="22"/>
          <w:szCs w:val="22"/>
          <w:highlight w:val="none"/>
          <w:lang w:val="en-US" w:eastAsia="zh-CN"/>
          <w14:textFill>
            <w14:solidFill>
              <w14:schemeClr w14:val="tx1"/>
            </w14:solidFill>
          </w14:textFill>
        </w:rPr>
        <w:t>疏附县托克扎克镇人民政府</w:t>
      </w:r>
      <w:r>
        <w:rPr>
          <w:rFonts w:hint="eastAsia" w:ascii="宋体" w:hAnsi="宋体" w:eastAsia="宋体" w:cs="宋体"/>
          <w:color w:val="000000" w:themeColor="text1"/>
          <w:sz w:val="22"/>
          <w:szCs w:val="22"/>
          <w:highlight w:val="none"/>
          <w:lang w:val="en-US" w:eastAsia="zh-CN"/>
          <w14:textFill>
            <w14:solidFill>
              <w14:schemeClr w14:val="tx1"/>
            </w14:solidFill>
          </w14:textFill>
        </w:rPr>
        <w:t>有关人员验收。</w:t>
      </w:r>
      <w:r>
        <w:rPr>
          <w:rFonts w:hint="eastAsia" w:hAnsi="宋体" w:cs="宋体"/>
          <w:color w:val="000000" w:themeColor="text1"/>
          <w:sz w:val="22"/>
          <w:szCs w:val="22"/>
          <w:highlight w:val="none"/>
          <w:lang w:val="en-US" w:eastAsia="zh-CN"/>
          <w14:textFill>
            <w14:solidFill>
              <w14:schemeClr w14:val="tx1"/>
            </w14:solidFill>
          </w14:textFill>
        </w:rPr>
        <w:t>疏附县托克扎克镇人民政府</w:t>
      </w:r>
      <w:r>
        <w:rPr>
          <w:rFonts w:hint="eastAsia" w:ascii="宋体" w:hAnsi="宋体" w:eastAsia="宋体" w:cs="宋体"/>
          <w:color w:val="000000" w:themeColor="text1"/>
          <w:sz w:val="22"/>
          <w:szCs w:val="22"/>
          <w:highlight w:val="none"/>
          <w:lang w:val="en-US" w:eastAsia="zh-CN"/>
          <w14:textFill>
            <w14:solidFill>
              <w14:schemeClr w14:val="tx1"/>
            </w14:solidFill>
          </w14:textFill>
        </w:rPr>
        <w:t>有关人员认为不合格，可以退换货物。</w:t>
      </w:r>
    </w:p>
    <w:p>
      <w:pPr>
        <w:pStyle w:val="8"/>
        <w:keepNext w:val="0"/>
        <w:keepLines w:val="0"/>
        <w:pageBreakBefore w:val="0"/>
        <w:kinsoku/>
        <w:wordWrap/>
        <w:overflowPunct/>
        <w:topLinePunct w:val="0"/>
        <w:bidi w:val="0"/>
        <w:spacing w:line="440" w:lineRule="exact"/>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没有按时提供货物或者提供不合格货物等原因影响我</w:t>
      </w:r>
      <w:r>
        <w:rPr>
          <w:rFonts w:hint="eastAsia" w:hAnsi="宋体" w:cs="宋体"/>
          <w:color w:val="000000" w:themeColor="text1"/>
          <w:sz w:val="22"/>
          <w:szCs w:val="22"/>
          <w:highlight w:val="none"/>
          <w:lang w:val="en-US" w:eastAsia="zh-CN"/>
          <w14:textFill>
            <w14:solidFill>
              <w14:schemeClr w14:val="tx1"/>
            </w14:solidFill>
          </w14:textFill>
        </w:rPr>
        <w:t>疏附县托克扎克镇人民政府</w:t>
      </w:r>
      <w:r>
        <w:rPr>
          <w:rFonts w:hint="eastAsia" w:ascii="宋体" w:hAnsi="宋体" w:eastAsia="宋体" w:cs="宋体"/>
          <w:color w:val="000000" w:themeColor="text1"/>
          <w:sz w:val="22"/>
          <w:szCs w:val="22"/>
          <w:highlight w:val="none"/>
          <w:lang w:val="en-US" w:eastAsia="zh-CN"/>
          <w14:textFill>
            <w14:solidFill>
              <w14:schemeClr w14:val="tx1"/>
            </w14:solidFill>
          </w14:textFill>
        </w:rPr>
        <w:t>正常工作开展，供货商承担我</w:t>
      </w:r>
      <w:r>
        <w:rPr>
          <w:rFonts w:hint="eastAsia" w:hAnsi="宋体" w:cs="宋体"/>
          <w:color w:val="000000" w:themeColor="text1"/>
          <w:sz w:val="22"/>
          <w:szCs w:val="22"/>
          <w:highlight w:val="none"/>
          <w:lang w:val="en-US" w:eastAsia="zh-CN"/>
          <w14:textFill>
            <w14:solidFill>
              <w14:schemeClr w14:val="tx1"/>
            </w14:solidFill>
          </w14:textFill>
        </w:rPr>
        <w:t>疏附县托克扎克镇人民政府</w:t>
      </w:r>
      <w:r>
        <w:rPr>
          <w:rFonts w:hint="eastAsia" w:ascii="宋体" w:hAnsi="宋体" w:eastAsia="宋体" w:cs="宋体"/>
          <w:color w:val="000000" w:themeColor="text1"/>
          <w:sz w:val="22"/>
          <w:szCs w:val="22"/>
          <w:highlight w:val="none"/>
          <w:lang w:val="en-US" w:eastAsia="zh-CN"/>
          <w14:textFill>
            <w14:solidFill>
              <w14:schemeClr w14:val="tx1"/>
            </w14:solidFill>
          </w14:textFill>
        </w:rPr>
        <w:t>的一切损失。</w:t>
      </w:r>
    </w:p>
    <w:p>
      <w:pPr>
        <w:ind w:firstLine="442" w:firstLineChars="200"/>
        <w:outlineLvl w:val="2"/>
        <w:rPr>
          <w:rFonts w:hint="default"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t>9、其他要求：</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（1）无论招标文件中或采购合同中是否要求，供应商所投货物均应符合国家强制性标准及地方强制性标准。</w:t>
      </w:r>
    </w:p>
    <w:p>
      <w:pPr>
        <w:pStyle w:val="8"/>
        <w:keepNext w:val="0"/>
        <w:keepLines w:val="0"/>
        <w:pageBreakBefore w:val="0"/>
        <w:kinsoku/>
        <w:wordWrap/>
        <w:overflowPunct/>
        <w:topLinePunct w:val="0"/>
        <w:bidi w:val="0"/>
        <w:spacing w:line="440" w:lineRule="exact"/>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（2）供应商所供的货物和设备需由甲方抽样，并送至第三方机构检验；本次投标价格，包含运费、税费、装卸费、第三方检验费等所有相关费用。</w:t>
      </w:r>
    </w:p>
    <w:p>
      <w:pPr>
        <w:pStyle w:val="8"/>
        <w:keepNext w:val="0"/>
        <w:keepLines w:val="0"/>
        <w:pageBreakBefore w:val="0"/>
        <w:kinsoku/>
        <w:wordWrap/>
        <w:overflowPunct/>
        <w:topLinePunct w:val="0"/>
        <w:bidi w:val="0"/>
        <w:spacing w:line="440" w:lineRule="exact"/>
        <w:rPr>
          <w:rFonts w:hint="default" w:ascii="宋体" w:hAnsi="宋体" w:eastAsia="宋体" w:cs="宋体"/>
          <w:color w:val="000000" w:themeColor="text1"/>
          <w:sz w:val="22"/>
          <w:szCs w:val="22"/>
          <w:highlight w:val="none"/>
          <w:lang w:val="en-US" w:eastAsia="zh-CN"/>
          <w14:textFill>
            <w14:solidFill>
              <w14:schemeClr w14:val="tx1"/>
            </w14:solidFill>
          </w14:textFill>
        </w:rPr>
      </w:pPr>
    </w:p>
    <w:p>
      <w:pPr>
        <w:pStyle w:val="9"/>
        <w:rPr>
          <w:rFonts w:hint="default"/>
          <w:lang w:val="en-US" w:eastAsia="zh-CN"/>
        </w:rPr>
        <w:sectPr>
          <w:pgSz w:w="11907" w:h="16840"/>
          <w:pgMar w:top="1440" w:right="1247" w:bottom="1361" w:left="1247" w:header="851" w:footer="850" w:gutter="0"/>
          <w:pgBorders>
            <w:top w:val="none" w:sz="0" w:space="0"/>
            <w:left w:val="none" w:sz="0" w:space="0"/>
            <w:bottom w:val="none" w:sz="0" w:space="0"/>
            <w:right w:val="none" w:sz="0" w:space="0"/>
          </w:pgBorders>
          <w:pgNumType w:fmt="decimal"/>
          <w:cols w:space="720" w:num="1"/>
          <w:rtlGutter w:val="0"/>
          <w:docGrid w:linePitch="462" w:charSpace="0"/>
        </w:sectPr>
      </w:pPr>
    </w:p>
    <w:p>
      <w:pPr>
        <w:jc w:val="center"/>
        <w:outlineLvl w:val="0"/>
        <w:rPr>
          <w:rFonts w:hint="eastAsia" w:ascii="微软雅黑" w:hAnsi="微软雅黑" w:eastAsia="微软雅黑" w:cs="微软雅黑"/>
          <w:color w:val="000000" w:themeColor="text1"/>
          <w:sz w:val="32"/>
          <w:szCs w:val="32"/>
          <w:highlight w:val="none"/>
          <w14:textFill>
            <w14:solidFill>
              <w14:schemeClr w14:val="tx1"/>
            </w14:solidFill>
          </w14:textFill>
        </w:rPr>
      </w:pPr>
      <w:bookmarkStart w:id="642" w:name="_Toc20607"/>
      <w:r>
        <w:rPr>
          <w:rStyle w:val="38"/>
          <w:rFonts w:hint="eastAsia" w:ascii="微软雅黑" w:hAnsi="微软雅黑" w:eastAsia="微软雅黑" w:cs="微软雅黑"/>
          <w:color w:val="000000" w:themeColor="text1"/>
          <w:sz w:val="32"/>
          <w:szCs w:val="32"/>
          <w:highlight w:val="none"/>
          <w14:textFill>
            <w14:solidFill>
              <w14:schemeClr w14:val="tx1"/>
            </w14:solidFill>
          </w14:textFill>
        </w:rPr>
        <w:t>第6章  评标方法和标准</w:t>
      </w:r>
      <w:bookmarkEnd w:id="632"/>
      <w:bookmarkEnd w:id="633"/>
      <w:bookmarkEnd w:id="634"/>
      <w:bookmarkEnd w:id="635"/>
      <w:bookmarkEnd w:id="636"/>
      <w:bookmarkEnd w:id="637"/>
      <w:bookmarkEnd w:id="638"/>
      <w:bookmarkEnd w:id="639"/>
      <w:bookmarkEnd w:id="642"/>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本项目将按照招标文件第一章供应商须知中“五 开标及评标”、“六 确定中标”及本章的规定评标。</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注：1.投标无效的情形：</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（1）单位负责人为同一人或者存在直接控股、管理关系的不同供应商，其相关投标将被认定为投标无效。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（2）若供应商须知资料表中未写明允许采购进口产品，如供应商所投产品为进口产品，其投标将被认定为投标无效。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（3）为本项目提供过整体设计、规范编制或者项目管理、监理、检测等服务的供应商，不得再参加本项目上述服务以外的其他采购活动。否则其投标将被认定为投标无效。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供应商在投标过程中不得向采购人提供、给予任何有价值的物品，影响其正常决策行为。一经发现，其将被认定为投标无效。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（4）供应商报价超过招标文件规定的预算金额或者分项、分包最高限价的，其投标将被认定为投标无效。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（6）供应商应当对所投分包招标文件中“货物需求”所列的所有内容进行投标，如仅响应某一包中的部分内容，其该包投标将被认定为投标无效。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（7）供应商未按本须知第12.1和12.3条规定提交投标保证金的，其投标将被认定为投标无效。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（9）供应商所报的各分项投标单价在合同履行过程中是固定不变的，不得以任何理由予以变更。任何包含价格调整要求的投标，其投标将被认定为投标无效。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（10）投标应在供应商须知资料表中规定时间内保持有效。投标有效期不满足要求的投标，其投标将被认定为投标无效。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（11）所有投标文件采用不可拆装的胶订方式装订，否则其投标将被认定为投标无效。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（12）采购人或采购代理机构将在开标前1个工作日至投标截止后1小时的期间内查询供应商的信用记录。供应商存在不良信用记录的，其投标将被认定为投标无效。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outlineLvl w:val="1"/>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（15）如发现下列情况之一的，其投标将被认定为投标无效：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2.根据《政府采购促进中小企业发展管理办法》（财库[2020]46号）、《财政部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、《关于进一步加大政府采购支持中小企业力度的通知》（财库〔2022〕19号）</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10%-20%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后参与</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。对于同时属于小微企业、监狱企业或残疾人福利性单位的，不重复进行投标报价扣除。</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3.联合协议中约定，</w:t>
      </w:r>
      <w:r>
        <w:rPr>
          <w:rFonts w:hint="eastAsia" w:ascii="微软雅黑" w:hAnsi="微软雅黑" w:eastAsia="微软雅黑" w:cs="微软雅黑"/>
          <w:color w:val="000000" w:themeColor="text1"/>
          <w:sz w:val="24"/>
          <w:szCs w:val="24"/>
          <w:highlight w:val="none"/>
          <w14:textFill>
            <w14:solidFill>
              <w14:schemeClr w14:val="tx1"/>
            </w14:solidFill>
          </w14:textFill>
        </w:rPr>
        <w:t>小型、微型企业和监狱企业的协议合同金额占到联合体协议合同总金额</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40</w:t>
      </w:r>
      <w:r>
        <w:rPr>
          <w:rFonts w:hint="eastAsia" w:ascii="微软雅黑" w:hAnsi="微软雅黑" w:eastAsia="微软雅黑" w:cs="微软雅黑"/>
          <w:color w:val="000000" w:themeColor="text1"/>
          <w:sz w:val="24"/>
          <w:szCs w:val="24"/>
          <w:highlight w:val="none"/>
          <w14:textFill>
            <w14:solidFill>
              <w14:schemeClr w14:val="tx1"/>
            </w14:solidFill>
          </w14:textFill>
        </w:rPr>
        <w:t>%以上的，可给予联合体</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4%~6%</w:t>
      </w:r>
      <w:r>
        <w:rPr>
          <w:rFonts w:hint="eastAsia" w:ascii="微软雅黑" w:hAnsi="微软雅黑" w:eastAsia="微软雅黑" w:cs="微软雅黑"/>
          <w:color w:val="000000" w:themeColor="text1"/>
          <w:sz w:val="24"/>
          <w:szCs w:val="24"/>
          <w:highlight w:val="none"/>
          <w14:textFill>
            <w14:solidFill>
              <w14:schemeClr w14:val="tx1"/>
            </w14:solidFill>
          </w14:textFill>
        </w:rPr>
        <w:t>的价格扣除。（本项目不适用）</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联合体各方均为小型、微型企业和监狱企业的，联合体视同为小型、微型企业和监狱企业。</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4.供应商所投产品如被列入财政部与国家主管部门颁发的节能产品目录或环境标志产品目录或无线局域网产品目录，</w:t>
      </w:r>
      <w:r>
        <w:rPr>
          <w:rFonts w:hint="eastAsia" w:ascii="微软雅黑" w:hAnsi="微软雅黑" w:eastAsia="微软雅黑" w:cs="微软雅黑"/>
          <w:color w:val="000000" w:themeColor="text1"/>
          <w:sz w:val="24"/>
          <w:szCs w:val="24"/>
          <w:highlight w:val="none"/>
          <w14:textFill>
            <w14:solidFill>
              <w14:schemeClr w14:val="tx1"/>
            </w14:solidFill>
          </w14:textFill>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5.如采购人所采购产品为政府强制采购的节能产品，供应商所投产品的品牌及型号必须为清单中有效期内产品并提供证明文件，否则其投标将被认定为投标无效。</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6.对创新产品或创新性企业的优惠措施为：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       </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7.开标：</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（1）供应商按照须知资料表中规定的开标时间和地点，在规定时间内上传投标文件。</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（2）在开标前，工作人员收取所有参会人员的手机，主持人宣读开标纪律。</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（3）开标时，由代理机构对供应商的投标文件进行解密，</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解密时间为30分钟。</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outlineLvl w:val="1"/>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（4）由代理机构开启报价，所有投标供应商签字确认。</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（5）采购人或采购代理机构登录政采云平台对投标供应商的资格证明材料进行审查。</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8.评标：</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（1）评标办法：</w:t>
      </w:r>
      <w:r>
        <w:rPr>
          <w:rFonts w:hint="eastAsia" w:ascii="微软雅黑" w:hAnsi="微软雅黑" w:eastAsia="微软雅黑" w:cs="微软雅黑"/>
          <w:b/>
          <w:bCs w:val="0"/>
          <w:color w:val="000000" w:themeColor="text1"/>
          <w:sz w:val="24"/>
          <w:szCs w:val="24"/>
          <w:highlight w:val="none"/>
          <w:lang w:val="en-US" w:eastAsia="zh-CN"/>
          <w14:textFill>
            <w14:solidFill>
              <w14:schemeClr w14:val="tx1"/>
            </w14:solidFill>
          </w14:textFill>
        </w:rPr>
        <w:t>本项目</w:t>
      </w:r>
      <w:r>
        <w:rPr>
          <w:rFonts w:hint="eastAsia" w:ascii="微软雅黑" w:hAnsi="微软雅黑" w:eastAsia="微软雅黑" w:cs="微软雅黑"/>
          <w:b/>
          <w:bCs w:val="0"/>
          <w:color w:val="000000" w:themeColor="text1"/>
          <w:sz w:val="24"/>
          <w:szCs w:val="24"/>
          <w:highlight w:val="none"/>
          <w14:textFill>
            <w14:solidFill>
              <w14:schemeClr w14:val="tx1"/>
            </w14:solidFill>
          </w14:textFill>
        </w:rPr>
        <w:t>采用综合评分法</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lang w:val="en-US" w:eastAsia="zh-CN"/>
          <w14:textFill>
            <w14:solidFill>
              <w14:schemeClr w14:val="tx1"/>
            </w14:solidFill>
          </w14:textFill>
        </w:rPr>
        <w:t>供应商的</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投标文件满足招标文件全部实质性要求，且按照</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color w:val="000000" w:themeColor="text1"/>
          <w:sz w:val="24"/>
          <w:szCs w:val="24"/>
          <w:highlight w:val="none"/>
          <w14:textFill>
            <w14:solidFill>
              <w14:schemeClr w14:val="tx1"/>
            </w14:solidFill>
          </w14:textFill>
        </w:rPr>
        <w:t>得分最高的投标人为中标候选人的评标方法。</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4"/>
          <w:szCs w:val="24"/>
          <w:highlight w:val="none"/>
          <w:lang w:val="en-US" w:eastAsia="zh-CN"/>
          <w14:textFill>
            <w14:solidFill>
              <w14:schemeClr w14:val="tx1"/>
            </w14:solidFill>
          </w14:textFill>
        </w:rPr>
        <w:t>具体评分细则详见综合评分表</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（2）评标专家来源：《中华人民共和国政府采购法》、《中华人民共和国政府采购法实施条例》及本项目本级和上级财政部门的有关规定依法在政采云平台随机抽取5人，组成评标小组，负责评标工作。</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（其中业主</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代表0</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名、随机抽取专家</w:t>
      </w:r>
      <w:r>
        <w:rPr>
          <w:rFonts w:hint="eastAsia" w:ascii="微软雅黑" w:hAnsi="微软雅黑" w:eastAsia="微软雅黑" w:cs="微软雅黑"/>
          <w:b/>
          <w:bCs/>
          <w:color w:val="000000" w:themeColor="text1"/>
          <w:sz w:val="22"/>
          <w:szCs w:val="22"/>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2"/>
          <w:szCs w:val="22"/>
          <w:highlight w:val="none"/>
          <w14:textFill>
            <w14:solidFill>
              <w14:schemeClr w14:val="tx1"/>
            </w14:solidFill>
          </w14:textFill>
        </w:rPr>
        <w:t>名）</w:t>
      </w:r>
    </w:p>
    <w:p>
      <w:pPr>
        <w:pStyle w:val="8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val="0"/>
          <w:bCs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val="0"/>
          <w:i w:val="0"/>
          <w:caps w:val="0"/>
          <w:color w:val="000000" w:themeColor="text1"/>
          <w:spacing w:val="0"/>
          <w:w w:val="100"/>
          <w:sz w:val="24"/>
          <w:szCs w:val="24"/>
          <w:highlight w:val="none"/>
          <w:lang w:val="en-US" w:eastAsia="zh-CN"/>
          <w14:textFill>
            <w14:solidFill>
              <w14:schemeClr w14:val="tx1"/>
            </w14:solidFill>
          </w14:textFill>
        </w:rPr>
        <w:t>（3）</w:t>
      </w: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评标前</w:t>
      </w:r>
      <w:r>
        <w:rPr>
          <w:rFonts w:hint="eastAsia" w:ascii="微软雅黑" w:hAnsi="微软雅黑" w:eastAsia="微软雅黑" w:cs="微软雅黑"/>
          <w:b w:val="0"/>
          <w:i w:val="0"/>
          <w:caps w:val="0"/>
          <w:color w:val="000000" w:themeColor="text1"/>
          <w:spacing w:val="0"/>
          <w:w w:val="100"/>
          <w:sz w:val="24"/>
          <w:szCs w:val="24"/>
          <w:highlight w:val="none"/>
          <w:lang w:val="en-US" w:eastAsia="zh-CN"/>
          <w14:textFill>
            <w14:solidFill>
              <w14:schemeClr w14:val="tx1"/>
            </w14:solidFill>
          </w14:textFill>
        </w:rPr>
        <w:t>，工作人员收取所有参会人员的手机，主持人宣读评标纪律。</w:t>
      </w:r>
    </w:p>
    <w:p>
      <w:pPr>
        <w:pStyle w:val="82"/>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1"/>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（4）本次评标工作纪律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①</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评</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委员会成员要严格遵守</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时间，主动出具身份证明，遵守</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工作纪律和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回避的相关规定。在</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工作并向财政部门报告。</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pP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②</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委员会成员和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工作有关人员不得干预或者影响正常</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工作，不得明示或者暗示其倾向性、引导性意见，不得修改或细化采购文件确定的</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程序、</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方法、</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因素和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资料。</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结果汇总完成后，采购人、采购代理机构和</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委员会均不得修改</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结果或者要求重新</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，但资格性检查认定错误、分值汇总计算错误、分项评分超出评分标准范围、客观分评分不一致、经</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委员会一致认定评分畸高、畸低的情形除外。出现上述除外情形的，</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委员会应当现场修改</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结果，并在</w:t>
      </w:r>
      <w:r>
        <w:rPr>
          <w:rFonts w:hint="eastAsia" w:ascii="微软雅黑" w:hAnsi="微软雅黑" w:eastAsia="微软雅黑" w:cs="微软雅黑"/>
          <w:b w:val="0"/>
          <w:bCs w:val="0"/>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b w:val="0"/>
          <w:bCs w:val="0"/>
          <w:color w:val="000000" w:themeColor="text1"/>
          <w:sz w:val="24"/>
          <w:szCs w:val="24"/>
          <w:highlight w:val="none"/>
          <w14:textFill>
            <w14:solidFill>
              <w14:schemeClr w14:val="tx1"/>
            </w14:solidFill>
          </w14:textFill>
        </w:rPr>
        <w:t>报告中明确记载。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1"/>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（5）</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评标专家</w:t>
      </w:r>
      <w:r>
        <w:rPr>
          <w:rFonts w:hint="eastAsia" w:ascii="微软雅黑" w:hAnsi="微软雅黑" w:eastAsia="微软雅黑" w:cs="微软雅黑"/>
          <w:b/>
          <w:bCs/>
          <w:color w:val="000000" w:themeColor="text1"/>
          <w:kern w:val="0"/>
          <w:sz w:val="24"/>
          <w:szCs w:val="24"/>
          <w:highlight w:val="none"/>
          <w14:textFill>
            <w14:solidFill>
              <w14:schemeClr w14:val="tx1"/>
            </w14:solidFill>
          </w14:textFill>
        </w:rPr>
        <w:t>与供应商有下列利害关系之一的人员，应当回避</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1）参加采购活动前3年内与供应商存在劳动关系；</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2）参加采购活动前3年内担任供应商的董事、监事；</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3）参加采购活动前3年内是供应商的控股股东或者实际控制人；</w:t>
      </w:r>
    </w:p>
    <w:p>
      <w:pPr>
        <w:pStyle w:val="82"/>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4）与供应商的法定代表人或者负责人有夫妻、直系血亲、三代以内旁系血亲或者近姻亲关系。</w:t>
      </w:r>
    </w:p>
    <w:p>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240" w:firstLineChars="100"/>
        <w:jc w:val="both"/>
        <w:textAlignment w:val="baseline"/>
        <w:outlineLvl w:val="1"/>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pPr>
      <w:r>
        <w:rPr>
          <w:rFonts w:hint="eastAsia" w:ascii="微软雅黑" w:hAnsi="微软雅黑" w:eastAsia="微软雅黑" w:cs="微软雅黑"/>
          <w:b/>
          <w:bCs/>
          <w:i w:val="0"/>
          <w:caps w:val="0"/>
          <w:color w:val="000000" w:themeColor="text1"/>
          <w:spacing w:val="0"/>
          <w:w w:val="100"/>
          <w:sz w:val="24"/>
          <w:szCs w:val="24"/>
          <w:highlight w:val="none"/>
          <w:lang w:val="en-US" w:eastAsia="zh-CN"/>
          <w14:textFill>
            <w14:solidFill>
              <w14:schemeClr w14:val="tx1"/>
            </w14:solidFill>
          </w14:textFill>
        </w:rPr>
        <w:t>（6）保密要求：</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采购人、采购代理机构确保</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评标</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活动在严格保密的情况下进行。在采购结果确定前，采购人、采购代理机构对</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评标</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委员会名单保密。</w:t>
      </w:r>
      <w:r>
        <w:rPr>
          <w:rFonts w:hint="eastAsia" w:ascii="微软雅黑" w:hAnsi="微软雅黑" w:eastAsia="微软雅黑" w:cs="微软雅黑"/>
          <w:color w:val="000000" w:themeColor="text1"/>
          <w:sz w:val="24"/>
          <w:szCs w:val="24"/>
          <w:highlight w:val="none"/>
          <w14:textFill>
            <w14:solidFill>
              <w14:schemeClr w14:val="tx1"/>
            </w14:solidFill>
          </w14:textFill>
        </w:rPr>
        <w:t>与评标工作无关的人员不得进入评标现场</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标。有关人员须对评标情况以及在评标过程中获悉的国家秘密、商业秘密负有保密责任</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）采购人或采购代理机构依据法律法规和招标文件中规定的内容，对投标人的投标文件进行资格性审查。</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8</w:t>
      </w:r>
      <w:r>
        <w:rPr>
          <w:rFonts w:hint="eastAsia" w:ascii="微软雅黑" w:hAnsi="微软雅黑" w:eastAsia="微软雅黑" w:cs="微软雅黑"/>
          <w:color w:val="000000" w:themeColor="text1"/>
          <w:sz w:val="24"/>
          <w:szCs w:val="24"/>
          <w:highlight w:val="none"/>
          <w14:textFill>
            <w14:solidFill>
              <w14:schemeClr w14:val="tx1"/>
            </w14:solidFill>
          </w14:textFill>
        </w:rPr>
        <w:t>）未通过资格审查的投标人不进入评标；通过资格审查的投标人少于不足三家的，不得评标。</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）符合性审查是指依据招标文件的规定，从投标文件的有效性和完整性对招标文件的响应程度进行审查，以确定是否对招标文件的实质性要求做出响应。</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10</w:t>
      </w:r>
      <w:r>
        <w:rPr>
          <w:rFonts w:hint="eastAsia" w:ascii="微软雅黑" w:hAnsi="微软雅黑" w:eastAsia="微软雅黑" w:cs="微软雅黑"/>
          <w:color w:val="000000" w:themeColor="text1"/>
          <w:sz w:val="24"/>
          <w:szCs w:val="24"/>
          <w:highlight w:val="none"/>
          <w14:textFill>
            <w14:solidFill>
              <w14:schemeClr w14:val="tx1"/>
            </w14:solidFill>
          </w14:textFill>
        </w:rPr>
        <w:t>）经符合性审查合格的投标文件，评标委员会将根据招标文件确定的评标方法和标准，对其技术部分和商务部分作进一步的比较和评价。</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w:t>
      </w:r>
      <w:r>
        <w:rPr>
          <w:rFonts w:hint="eastAsia" w:ascii="微软雅黑" w:hAnsi="微软雅黑" w:eastAsia="微软雅黑" w:cs="微软雅黑"/>
          <w:color w:val="000000" w:themeColor="text1"/>
          <w:sz w:val="24"/>
          <w:szCs w:val="24"/>
          <w:highlight w:val="none"/>
          <w14:textFill>
            <w14:solidFill>
              <w14:schemeClr w14:val="tx1"/>
            </w14:solidFill>
          </w14:textFill>
        </w:rPr>
        <w:t>）评标严格按照招标文件的要求和条件进行：综合评分法，是指投标文件满足招标文件全部实质性要求，且按照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得分最高的投标人为中标候选人的评标方法。</w:t>
      </w:r>
    </w:p>
    <w:p>
      <w:pPr>
        <w:pStyle w:val="2"/>
        <w:keepNext w:val="0"/>
        <w:keepLines w:val="0"/>
        <w:pageBreakBefore w:val="0"/>
        <w:widowControl w:val="0"/>
        <w:tabs>
          <w:tab w:val="clear" w:pos="567"/>
        </w:tabs>
        <w:kinsoku/>
        <w:wordWrap/>
        <w:overflowPunct/>
        <w:topLinePunct w:val="0"/>
        <w:autoSpaceDE/>
        <w:autoSpaceDN/>
        <w:bidi w:val="0"/>
        <w:adjustRightInd/>
        <w:snapToGrid/>
        <w:spacing w:before="0" w:line="480" w:lineRule="exact"/>
        <w:ind w:firstLine="540" w:firstLineChars="225"/>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同品牌处理办法：</w:t>
      </w:r>
      <w:r>
        <w:rPr>
          <w:rFonts w:hint="eastAsia" w:ascii="微软雅黑" w:hAnsi="微软雅黑" w:eastAsia="微软雅黑" w:cs="微软雅黑"/>
          <w:color w:val="000000" w:themeColor="text1"/>
          <w:sz w:val="24"/>
          <w:szCs w:val="24"/>
          <w:highlight w:val="none"/>
          <w14:textFill>
            <w14:solidFill>
              <w14:schemeClr w14:val="tx1"/>
            </w14:solidFill>
          </w14:textFill>
        </w:rPr>
        <w:t>提供相同品牌产品且通过资格审查、符合性审查的不同供应商参加同一合同项下投标的，按一家供应商计算，</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后得分最高的同品牌供应商获得中标人推荐资格;</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2"/>
        <w:rPr>
          <w:rFonts w:hint="eastAsia" w:ascii="微软雅黑" w:hAnsi="微软雅黑" w:eastAsia="微软雅黑" w:cs="微软雅黑"/>
          <w:b/>
          <w:bCs/>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2"/>
          <w:sz w:val="24"/>
          <w:szCs w:val="24"/>
          <w:highlight w:val="none"/>
          <w:lang w:val="en-US" w:eastAsia="zh-CN" w:bidi="ar-SA"/>
          <w14:textFill>
            <w14:solidFill>
              <w14:schemeClr w14:val="tx1"/>
            </w14:solidFill>
          </w14:textFill>
        </w:rPr>
        <w:t>9.答疑：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（2）供应商的澄清、说明或者补正应当采用书面形式，并加盖公章，或者由法定代表人或其授权的代表签字。供应商的澄清、说明或者补正不得超出投标文件的范围或者改变投标文件的实质性内容。</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1</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.定标：</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（1）评标委员会推荐中标候选供应商的数量为3家。采购人不委托评标委员会直接确定中标人。</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（2）采购代理机构在评标结束后2个工作日内将评标报告送采购人。</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因素的量化指标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评标</w:t>
      </w:r>
      <w:r>
        <w:rPr>
          <w:rFonts w:hint="eastAsia" w:ascii="微软雅黑" w:hAnsi="微软雅黑" w:eastAsia="微软雅黑" w:cs="微软雅黑"/>
          <w:color w:val="000000" w:themeColor="text1"/>
          <w:sz w:val="24"/>
          <w:szCs w:val="24"/>
          <w:highlight w:val="none"/>
          <w14:textFill>
            <w14:solidFill>
              <w14:schemeClr w14:val="tx1"/>
            </w14:solidFill>
          </w14:textFill>
        </w:rPr>
        <w:t>得分最高的供应商为排名第一的中标候选人。</w:t>
      </w:r>
    </w:p>
    <w:p>
      <w:pPr>
        <w:pStyle w:val="2"/>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（4）采购人在收到评标报告5个工作日内未按评标报告推荐的中标候选人顺序确定中标人，又不能说明合法理由的，视同按评标报告推荐的顺序确定排名第一的中标候选人为中标人。</w:t>
      </w:r>
    </w:p>
    <w:p>
      <w:pPr>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643" w:name="_Toc21250"/>
      <w:bookmarkStart w:id="644" w:name="_Toc19633"/>
      <w:bookmarkStart w:id="645" w:name="_Toc22779"/>
      <w:bookmarkStart w:id="646" w:name="_Toc3470"/>
      <w:bookmarkStart w:id="647" w:name="_Toc18194"/>
      <w:bookmarkStart w:id="648" w:name="_Toc15389"/>
      <w:bookmarkStart w:id="649" w:name="_Toc13647"/>
      <w:bookmarkStart w:id="650" w:name="_Toc12716"/>
      <w:bookmarkStart w:id="651" w:name="_Toc25776"/>
      <w:bookmarkStart w:id="652" w:name="_Toc25224"/>
      <w:bookmarkStart w:id="653" w:name="_Toc1545"/>
      <w:bookmarkStart w:id="654" w:name="_Toc14552"/>
      <w:bookmarkStart w:id="655" w:name="_Toc18687"/>
      <w:bookmarkStart w:id="656" w:name="_Toc26572"/>
      <w:bookmarkStart w:id="657" w:name="_Toc28942"/>
      <w:bookmarkStart w:id="658" w:name="_Toc27829"/>
      <w:bookmarkStart w:id="659" w:name="_Toc12438"/>
      <w:bookmarkStart w:id="660" w:name="_Toc7251"/>
      <w:bookmarkStart w:id="661" w:name="_Toc1126"/>
      <w:bookmarkStart w:id="662" w:name="_Toc32167"/>
      <w:bookmarkStart w:id="663" w:name="_Toc13711"/>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p>
    <w:p>
      <w:pPr>
        <w:spacing w:line="300" w:lineRule="auto"/>
        <w:jc w:val="center"/>
        <w:outlineLvl w:val="9"/>
        <w:rPr>
          <w:rFonts w:hint="eastAsia" w:ascii="微软雅黑" w:hAnsi="微软雅黑" w:eastAsia="微软雅黑" w:cs="微软雅黑"/>
          <w:b/>
          <w:bCs/>
          <w:color w:val="000000" w:themeColor="text1"/>
          <w:sz w:val="22"/>
          <w:szCs w:val="22"/>
          <w:highlight w:val="none"/>
          <w14:textFill>
            <w14:solidFill>
              <w14:schemeClr w14:val="tx1"/>
            </w14:solidFill>
          </w14:textFill>
        </w:rPr>
      </w:pPr>
    </w:p>
    <w:p>
      <w:pPr>
        <w:spacing w:line="300" w:lineRule="auto"/>
        <w:jc w:val="center"/>
        <w:outlineLvl w:val="1"/>
        <w:rPr>
          <w:rFonts w:hint="eastAsia" w:ascii="微软雅黑" w:hAnsi="微软雅黑" w:eastAsia="微软雅黑" w:cs="微软雅黑"/>
          <w:b/>
          <w:bCs/>
          <w:color w:val="000000" w:themeColor="text1"/>
          <w:sz w:val="22"/>
          <w:szCs w:val="22"/>
          <w:highlight w:val="none"/>
          <w14:textFill>
            <w14:solidFill>
              <w14:schemeClr w14:val="tx1"/>
            </w14:solidFill>
          </w14:textFill>
        </w:rPr>
      </w:pPr>
      <w:bookmarkStart w:id="664" w:name="_Toc7225"/>
      <w:bookmarkStart w:id="665" w:name="_Toc14837"/>
      <w:r>
        <w:rPr>
          <w:rFonts w:hint="eastAsia" w:ascii="微软雅黑" w:hAnsi="微软雅黑" w:eastAsia="微软雅黑" w:cs="微软雅黑"/>
          <w:b/>
          <w:bCs/>
          <w:color w:val="000000" w:themeColor="text1"/>
          <w:sz w:val="22"/>
          <w:szCs w:val="22"/>
          <w:highlight w:val="none"/>
          <w14:textFill>
            <w14:solidFill>
              <w14:schemeClr w14:val="tx1"/>
            </w14:solidFill>
          </w14:textFill>
        </w:rPr>
        <w:t>初步评审—资格性审查表</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tbl>
      <w:tblPr>
        <w:tblStyle w:val="28"/>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序号</w:t>
            </w:r>
          </w:p>
        </w:tc>
        <w:tc>
          <w:tcPr>
            <w:tcW w:w="6534" w:type="dxa"/>
            <w:vMerge w:val="restart"/>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评审内容</w:t>
            </w:r>
          </w:p>
        </w:tc>
        <w:tc>
          <w:tcPr>
            <w:tcW w:w="2533" w:type="dxa"/>
            <w:gridSpan w:val="3"/>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p>
        </w:tc>
        <w:tc>
          <w:tcPr>
            <w:tcW w:w="6534" w:type="dxa"/>
            <w:vMerge w:val="continue"/>
            <w:vAlign w:val="center"/>
          </w:tcPr>
          <w:p>
            <w:pPr>
              <w:spacing w:line="400" w:lineRule="exact"/>
              <w:rPr>
                <w:rFonts w:hint="eastAsia" w:ascii="微软雅黑" w:hAnsi="微软雅黑" w:eastAsia="微软雅黑" w:cs="微软雅黑"/>
                <w:b/>
                <w:bCs/>
                <w:color w:val="000000" w:themeColor="text1"/>
                <w:sz w:val="22"/>
                <w:szCs w:val="22"/>
                <w:highlight w:val="none"/>
                <w14:textFill>
                  <w14:solidFill>
                    <w14:schemeClr w14:val="tx1"/>
                  </w14:solidFill>
                </w14:textFill>
              </w:rPr>
            </w:pPr>
          </w:p>
        </w:tc>
        <w:tc>
          <w:tcPr>
            <w:tcW w:w="883"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c>
          <w:tcPr>
            <w:tcW w:w="833"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c>
          <w:tcPr>
            <w:tcW w:w="817" w:type="dxa"/>
            <w:vAlign w:val="center"/>
          </w:tcPr>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是否</w:t>
            </w:r>
          </w:p>
          <w:p>
            <w:pPr>
              <w:spacing w:line="400" w:lineRule="exact"/>
              <w:jc w:val="center"/>
              <w:rPr>
                <w:rFonts w:hint="eastAsia" w:ascii="微软雅黑" w:hAnsi="微软雅黑" w:eastAsia="微软雅黑" w:cs="微软雅黑"/>
                <w:b/>
                <w:bCs/>
                <w:color w:val="000000" w:themeColor="text1"/>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具有独立法人资格或是具有独立承担民事责任能力的其它组织（法人或者非法人组织的营业执照等证明文件扫描件）</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3</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法人投标需提供法人身份证明及身份证复印件，被授权委托人需提供法人授权委托书及身份证复印件；</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4</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投标单位提供本单位法人或授权委托人依法缴纳近三个月（任何一个月）的社保证明和单位缴费及个人缴费明细表；</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5</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提供税务部门出具近三个月（任何一个月）的完税证明及无欠税证明，依法免缴的应提供依法免缴的相关证明文件和零申报报表，扫描件；</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6</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具有良好的商业信誉和健全的财务会计制度（会计事务所出具的2021-2022年度任意一年的年度财务审计报告书扫描件或影印件；新办企业（营业执照所标注的成立日期距本项目开标日期一年内为新办企业）提供银行资信证明扫描件或影印件）；</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7</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投标保证金收据扫描件或银行转款证明扫描件或支票扫描件、汇票扫描件；</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8</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参加政府采购活动前3年内在经营活动中没有重大违法记录的书面声明；</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9</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提供针对本次项目的反商业贿赂承诺书</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10</w:t>
            </w: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b w:val="0"/>
                <w:bCs w:val="0"/>
                <w:color w:val="000000" w:themeColor="text1"/>
                <w:kern w:val="2"/>
                <w:sz w:val="22"/>
                <w:szCs w:val="22"/>
                <w:highlight w:val="none"/>
                <w:u w:val="none"/>
                <w:vertAlign w:val="baseline"/>
                <w:lang w:val="en-US" w:eastAsia="zh-CN" w:bidi="ar-SA"/>
                <w14:textFill>
                  <w14:solidFill>
                    <w14:schemeClr w14:val="tx1"/>
                  </w14:solidFill>
                </w14:textFill>
              </w:rPr>
              <w:t>本项目不接受联合体投标（提供非联合体投标承诺函，承诺函格式自拟）；</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6534"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结论</w:t>
            </w:r>
          </w:p>
        </w:tc>
        <w:tc>
          <w:tcPr>
            <w:tcW w:w="88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33"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c>
          <w:tcPr>
            <w:tcW w:w="817" w:type="dxa"/>
            <w:vAlign w:val="center"/>
          </w:tcPr>
          <w:p>
            <w:pPr>
              <w:spacing w:line="400" w:lineRule="exact"/>
              <w:rPr>
                <w:rFonts w:hint="eastAsia" w:ascii="微软雅黑" w:hAnsi="微软雅黑" w:eastAsia="微软雅黑" w:cs="微软雅黑"/>
                <w:color w:val="000000" w:themeColor="text1"/>
                <w:sz w:val="22"/>
                <w:szCs w:val="22"/>
                <w:highlight w:val="none"/>
                <w14:textFill>
                  <w14:solidFill>
                    <w14:schemeClr w14:val="tx1"/>
                  </w14:solidFill>
                </w14:textFill>
              </w:rPr>
            </w:pPr>
          </w:p>
        </w:tc>
      </w:tr>
    </w:tbl>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说明：（1）上述各项中用“</w:t>
      </w:r>
      <w:r>
        <w:rPr>
          <w:rFonts w:hint="eastAsia" w:ascii="微软雅黑" w:hAnsi="微软雅黑" w:eastAsia="微软雅黑" w:cs="微软雅黑"/>
          <w:color w:val="000000" w:themeColor="text1"/>
          <w:highlight w:val="none"/>
          <w:lang w:val="en-US" w:eastAsia="zh-CN"/>
          <w14:textFill>
            <w14:solidFill>
              <w14:schemeClr w14:val="tx1"/>
            </w14:solidFill>
          </w14:textFill>
        </w:rPr>
        <w:t>合格</w:t>
      </w:r>
      <w:r>
        <w:rPr>
          <w:rFonts w:hint="eastAsia" w:ascii="微软雅黑" w:hAnsi="微软雅黑" w:eastAsia="微软雅黑" w:cs="微软雅黑"/>
          <w:color w:val="000000" w:themeColor="text1"/>
          <w:highlight w:val="none"/>
          <w14:textFill>
            <w14:solidFill>
              <w14:schemeClr w14:val="tx1"/>
            </w14:solidFill>
          </w14:textFill>
        </w:rPr>
        <w:t>”表示通过，“</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”表示不通过；</w:t>
      </w:r>
    </w:p>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（2）上述各项中如有一项为“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”，则结论为“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不通过</w:t>
      </w:r>
      <w:r>
        <w:rPr>
          <w:rFonts w:hint="eastAsia" w:ascii="微软雅黑" w:hAnsi="微软雅黑" w:eastAsia="微软雅黑" w:cs="微软雅黑"/>
          <w:color w:val="000000" w:themeColor="text1"/>
          <w:highlight w:val="none"/>
          <w14:textFill>
            <w14:solidFill>
              <w14:schemeClr w14:val="tx1"/>
            </w14:solidFill>
          </w14:textFill>
        </w:rPr>
        <w:t>”，表示该投标文件中存在重大偏差，不能通过初步评审；评委对某一分项评审认为不合格时，必须要写明原因。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（3）投标文件最终合格与否，以所有评委的评审意见中少数服从多数为原则定论。</w:t>
      </w:r>
    </w:p>
    <w:p>
      <w:pPr>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未通过资格审查的供应商不进入评标；通过资格审查的供应商少于不足三家的，不得评标。</w:t>
      </w:r>
    </w:p>
    <w:p>
      <w:pPr>
        <w:outlineLvl w:val="9"/>
        <w:rPr>
          <w:rFonts w:hint="eastAsia"/>
          <w:color w:val="000000" w:themeColor="text1"/>
          <w:highlight w:val="none"/>
          <w14:textFill>
            <w14:solidFill>
              <w14:schemeClr w14:val="tx1"/>
            </w14:solidFill>
          </w14:textFill>
        </w:rPr>
      </w:pPr>
    </w:p>
    <w:p>
      <w:pPr>
        <w:pStyle w:val="8"/>
        <w:spacing w:line="300" w:lineRule="auto"/>
        <w:ind w:firstLine="0"/>
        <w:jc w:val="center"/>
        <w:outlineLvl w:val="9"/>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666" w:name="_Toc12096"/>
      <w:bookmarkStart w:id="667" w:name="_Toc946"/>
      <w:bookmarkStart w:id="668" w:name="_Toc1293"/>
      <w:bookmarkStart w:id="669" w:name="_Toc19523"/>
      <w:bookmarkStart w:id="670" w:name="_Toc11487"/>
      <w:bookmarkStart w:id="671" w:name="_Toc14391"/>
      <w:bookmarkStart w:id="672" w:name="_Toc8014"/>
      <w:bookmarkStart w:id="673" w:name="_Toc29061"/>
      <w:bookmarkStart w:id="674" w:name="_Toc11241"/>
      <w:bookmarkStart w:id="675" w:name="_Toc28345"/>
      <w:bookmarkStart w:id="676" w:name="_Toc70"/>
      <w:bookmarkStart w:id="677" w:name="_Toc8628"/>
      <w:bookmarkStart w:id="678" w:name="_Toc4255"/>
      <w:bookmarkStart w:id="679" w:name="_Toc21232"/>
      <w:bookmarkStart w:id="680" w:name="_Toc7343"/>
      <w:bookmarkStart w:id="681" w:name="_Toc23770"/>
      <w:bookmarkStart w:id="682" w:name="_Toc22718"/>
      <w:bookmarkStart w:id="683" w:name="_Toc20635"/>
      <w:bookmarkStart w:id="684" w:name="_Toc24305"/>
      <w:bookmarkStart w:id="685" w:name="_Toc11822"/>
      <w:bookmarkStart w:id="686" w:name="_Toc8771"/>
    </w:p>
    <w:p>
      <w:pPr>
        <w:pStyle w:val="8"/>
        <w:spacing w:line="300" w:lineRule="auto"/>
        <w:ind w:firstLine="0"/>
        <w:jc w:val="center"/>
        <w:outlineLvl w:val="0"/>
        <w:rPr>
          <w:rFonts w:hint="eastAsia" w:ascii="微软雅黑" w:hAnsi="微软雅黑" w:eastAsia="微软雅黑" w:cs="微软雅黑"/>
          <w:b/>
          <w:bCs/>
          <w:color w:val="000000" w:themeColor="text1"/>
          <w:sz w:val="21"/>
          <w:szCs w:val="21"/>
          <w:highlight w:val="none"/>
          <w14:textFill>
            <w14:solidFill>
              <w14:schemeClr w14:val="tx1"/>
            </w14:solidFill>
          </w14:textFill>
        </w:rPr>
      </w:pPr>
      <w:bookmarkStart w:id="687" w:name="_Toc21578"/>
      <w:bookmarkStart w:id="688" w:name="_Toc5960"/>
      <w:r>
        <w:rPr>
          <w:rFonts w:hint="eastAsia" w:ascii="微软雅黑" w:hAnsi="微软雅黑" w:eastAsia="微软雅黑" w:cs="微软雅黑"/>
          <w:b/>
          <w:bCs/>
          <w:color w:val="000000" w:themeColor="text1"/>
          <w:sz w:val="21"/>
          <w:szCs w:val="21"/>
          <w:highlight w:val="none"/>
          <w14:textFill>
            <w14:solidFill>
              <w14:schemeClr w14:val="tx1"/>
            </w14:solidFill>
          </w14:textFill>
        </w:rPr>
        <w:t>初步评审—符合性审查表</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tbl>
      <w:tblPr>
        <w:tblStyle w:val="28"/>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评审内容</w:t>
            </w:r>
          </w:p>
        </w:tc>
        <w:tc>
          <w:tcPr>
            <w:tcW w:w="1637" w:type="dxa"/>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b/>
                <w:bCs/>
                <w:color w:val="000000" w:themeColor="text1"/>
                <w:sz w:val="22"/>
                <w:szCs w:val="22"/>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序号</w:t>
            </w:r>
          </w:p>
        </w:tc>
        <w:tc>
          <w:tcPr>
            <w:tcW w:w="6755"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c>
          <w:tcPr>
            <w:tcW w:w="1637" w:type="dxa"/>
            <w:vAlign w:val="center"/>
          </w:tcPr>
          <w:p>
            <w:pPr>
              <w:spacing w:line="300" w:lineRule="auto"/>
              <w:jc w:val="center"/>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1</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各供应商投标报价未高于预算金额</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2</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3</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投标文件按照招标文件的规定编制、标记及签署盖章的，法定代表人或其授权代表签字（章）和加盖供应商公章的（</w:t>
            </w:r>
            <w:r>
              <w:rPr>
                <w:rFonts w:hint="eastAsia" w:ascii="微软雅黑" w:hAnsi="微软雅黑" w:eastAsia="微软雅黑" w:cs="微软雅黑"/>
                <w:color w:val="000000" w:themeColor="text1"/>
                <w:spacing w:val="-2"/>
                <w:sz w:val="22"/>
                <w:szCs w:val="22"/>
                <w:highlight w:val="none"/>
                <w:lang w:val="en-US" w:eastAsia="zh-CN"/>
                <w14:textFill>
                  <w14:solidFill>
                    <w14:schemeClr w14:val="tx1"/>
                  </w14:solidFill>
                </w14:textFill>
              </w:rPr>
              <w:t>所上传投标文件的</w:t>
            </w: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印章和签字不能为复印件）</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4</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按招标文件规定的格式填写，内容齐全</w:t>
            </w:r>
            <w: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5</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没有采购人不能接受的附加条件的</w:t>
            </w:r>
            <w: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6</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符合招标文件中规定的其他实质性要求</w:t>
            </w:r>
            <w: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t>；</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pacing w:val="-2"/>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7</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000000" w:themeColor="text1"/>
                <w:sz w:val="22"/>
                <w:szCs w:val="22"/>
                <w:highlight w:val="none"/>
                <w:lang w:eastAsia="zh-CN"/>
                <w14:textFill>
                  <w14:solidFill>
                    <w14:schemeClr w14:val="tx1"/>
                  </w14:solidFill>
                </w14:textFill>
              </w:rPr>
            </w:pPr>
            <w:r>
              <w:rPr>
                <w:rFonts w:hint="eastAsia" w:ascii="微软雅黑" w:hAnsi="微软雅黑" w:eastAsia="微软雅黑" w:cs="微软雅黑"/>
                <w:color w:val="000000" w:themeColor="text1"/>
                <w:sz w:val="22"/>
                <w:szCs w:val="22"/>
                <w:highlight w:val="none"/>
                <w:lang w:val="en-US" w:eastAsia="zh-CN"/>
                <w14:textFill>
                  <w14:solidFill>
                    <w14:schemeClr w14:val="tx1"/>
                  </w14:solidFill>
                </w14:textFill>
              </w:rPr>
              <w:t>8</w:t>
            </w:r>
          </w:p>
        </w:tc>
        <w:tc>
          <w:tcPr>
            <w:tcW w:w="6755" w:type="dxa"/>
            <w:vAlign w:val="center"/>
          </w:tcPr>
          <w:p>
            <w:pPr>
              <w:spacing w:line="300" w:lineRule="auto"/>
              <w:jc w:val="left"/>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r>
              <w:rPr>
                <w:rFonts w:hint="eastAsia" w:ascii="微软雅黑" w:hAnsi="微软雅黑" w:eastAsia="微软雅黑" w:cs="微软雅黑"/>
                <w:color w:val="000000" w:themeColor="text1"/>
                <w:spacing w:val="-2"/>
                <w:sz w:val="22"/>
                <w:szCs w:val="22"/>
                <w:highlight w:val="none"/>
                <w14:textFill>
                  <w14:solidFill>
                    <w14:schemeClr w14:val="tx1"/>
                  </w14:solidFill>
                </w14:textFill>
              </w:rPr>
              <w:t>结论：</w:t>
            </w:r>
          </w:p>
        </w:tc>
        <w:tc>
          <w:tcPr>
            <w:tcW w:w="1637" w:type="dxa"/>
            <w:vAlign w:val="center"/>
          </w:tcPr>
          <w:p>
            <w:pPr>
              <w:spacing w:line="300" w:lineRule="auto"/>
              <w:ind w:firstLine="388" w:firstLineChars="180"/>
              <w:rPr>
                <w:rFonts w:hint="eastAsia" w:ascii="微软雅黑" w:hAnsi="微软雅黑" w:eastAsia="微软雅黑" w:cs="微软雅黑"/>
                <w:color w:val="000000" w:themeColor="text1"/>
                <w:spacing w:val="-2"/>
                <w:sz w:val="22"/>
                <w:szCs w:val="22"/>
                <w:highlight w:val="none"/>
                <w14:textFill>
                  <w14:solidFill>
                    <w14:schemeClr w14:val="tx1"/>
                  </w14:solidFill>
                </w14:textFill>
              </w:rPr>
            </w:pPr>
          </w:p>
        </w:tc>
      </w:tr>
    </w:tbl>
    <w:p>
      <w:pPr>
        <w:spacing w:line="300" w:lineRule="auto"/>
        <w:rPr>
          <w:rFonts w:hint="eastAsia" w:ascii="微软雅黑" w:hAnsi="微软雅黑" w:eastAsia="微软雅黑" w:cs="微软雅黑"/>
          <w:color w:val="000000" w:themeColor="text1"/>
          <w:highlight w:val="none"/>
          <w14:textFill>
            <w14:solidFill>
              <w14:schemeClr w14:val="tx1"/>
            </w14:solidFill>
          </w14:textFill>
        </w:rPr>
      </w:pPr>
    </w:p>
    <w:p>
      <w:pPr>
        <w:spacing w:line="300" w:lineRule="auto"/>
        <w:ind w:left="6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说明：</w:t>
      </w:r>
    </w:p>
    <w:p>
      <w:pPr>
        <w:spacing w:line="300" w:lineRule="auto"/>
        <w:ind w:left="60"/>
        <w:outlineLvl w:val="1"/>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（1）上述各项中用“</w:t>
      </w:r>
      <w:r>
        <w:rPr>
          <w:rFonts w:hint="eastAsia" w:ascii="微软雅黑" w:hAnsi="微软雅黑" w:eastAsia="微软雅黑" w:cs="微软雅黑"/>
          <w:color w:val="000000" w:themeColor="text1"/>
          <w:highlight w:val="none"/>
          <w:lang w:val="en-US" w:eastAsia="zh-CN"/>
          <w14:textFill>
            <w14:solidFill>
              <w14:schemeClr w14:val="tx1"/>
            </w14:solidFill>
          </w14:textFill>
        </w:rPr>
        <w:t>合格</w:t>
      </w:r>
      <w:r>
        <w:rPr>
          <w:rFonts w:hint="eastAsia" w:ascii="微软雅黑" w:hAnsi="微软雅黑" w:eastAsia="微软雅黑" w:cs="微软雅黑"/>
          <w:color w:val="000000" w:themeColor="text1"/>
          <w:highlight w:val="none"/>
          <w14:textFill>
            <w14:solidFill>
              <w14:schemeClr w14:val="tx1"/>
            </w14:solidFill>
          </w14:textFill>
        </w:rPr>
        <w:t>”表示</w:t>
      </w:r>
      <w:r>
        <w:rPr>
          <w:rFonts w:hint="eastAsia" w:ascii="微软雅黑" w:hAnsi="微软雅黑" w:eastAsia="微软雅黑" w:cs="微软雅黑"/>
          <w:color w:val="000000" w:themeColor="text1"/>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”表示不</w:t>
      </w:r>
      <w:r>
        <w:rPr>
          <w:rFonts w:hint="eastAsia" w:ascii="微软雅黑" w:hAnsi="微软雅黑" w:eastAsia="微软雅黑" w:cs="微软雅黑"/>
          <w:color w:val="000000" w:themeColor="text1"/>
          <w:highlight w:val="none"/>
          <w:lang w:val="en-US" w:eastAsia="zh-CN"/>
          <w14:textFill>
            <w14:solidFill>
              <w14:schemeClr w14:val="tx1"/>
            </w14:solidFill>
          </w14:textFill>
        </w:rPr>
        <w:t>通过</w:t>
      </w:r>
      <w:r>
        <w:rPr>
          <w:rFonts w:hint="eastAsia" w:ascii="微软雅黑" w:hAnsi="微软雅黑" w:eastAsia="微软雅黑" w:cs="微软雅黑"/>
          <w:color w:val="000000" w:themeColor="text1"/>
          <w:highlight w:val="none"/>
          <w14:textFill>
            <w14:solidFill>
              <w14:schemeClr w14:val="tx1"/>
            </w14:solidFill>
          </w14:textFill>
        </w:rPr>
        <w:t>；</w:t>
      </w:r>
    </w:p>
    <w:p>
      <w:pPr>
        <w:spacing w:line="300" w:lineRule="auto"/>
        <w:ind w:left="689" w:leftChars="28" w:hanging="630" w:hangingChars="3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（2）上述各项中如有一项为“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不合格</w:t>
      </w:r>
      <w:r>
        <w:rPr>
          <w:rFonts w:hint="eastAsia" w:ascii="微软雅黑" w:hAnsi="微软雅黑" w:eastAsia="微软雅黑" w:cs="微软雅黑"/>
          <w:color w:val="000000" w:themeColor="text1"/>
          <w:highlight w:val="none"/>
          <w14:textFill>
            <w14:solidFill>
              <w14:schemeClr w14:val="tx1"/>
            </w14:solidFill>
          </w14:textFill>
        </w:rPr>
        <w:t>”，则结论为“</w:t>
      </w:r>
      <w:r>
        <w:rPr>
          <w:rFonts w:hint="eastAsia" w:ascii="微软雅黑" w:hAnsi="微软雅黑" w:eastAsia="微软雅黑" w:cs="微软雅黑"/>
          <w:color w:val="000000" w:themeColor="text1"/>
          <w:highlight w:val="none"/>
          <w:lang w:val="en-US" w:eastAsia="zh-CN"/>
          <w14:textFill>
            <w14:solidFill>
              <w14:schemeClr w14:val="tx1"/>
            </w14:solidFill>
          </w14:textFill>
        </w:rPr>
        <w:t>不通过</w:t>
      </w:r>
      <w:r>
        <w:rPr>
          <w:rFonts w:hint="eastAsia" w:ascii="微软雅黑" w:hAnsi="微软雅黑" w:eastAsia="微软雅黑" w:cs="微软雅黑"/>
          <w:color w:val="000000" w:themeColor="text1"/>
          <w:highlight w:val="none"/>
          <w14:textFill>
            <w14:solidFill>
              <w14:schemeClr w14:val="tx1"/>
            </w14:solidFill>
          </w14:textFill>
        </w:rPr>
        <w:t>”，表示该投标文件中存在重大偏差，不能通过初步评审；评委对某一分项评审认为不合格时，必须要写明原因。</w:t>
      </w:r>
    </w:p>
    <w:p>
      <w:pPr>
        <w:pStyle w:val="8"/>
        <w:spacing w:line="300" w:lineRule="auto"/>
        <w:ind w:firstLine="0"/>
        <w:jc w:val="both"/>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（3）投标文件最终合格与否，以所有评委的评审意见中少数服从多数为原则定论。</w:t>
      </w:r>
    </w:p>
    <w:p>
      <w:pPr>
        <w:spacing w:line="240" w:lineRule="atLeast"/>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未通过符合性审查的供应商不进入评标；通过符合性审查的供应商少于不足三家的，不得评标。</w:t>
      </w:r>
    </w:p>
    <w:p>
      <w:pPr>
        <w:pStyle w:val="8"/>
        <w:rPr>
          <w:rFonts w:hint="eastAsia" w:ascii="微软雅黑" w:hAnsi="微软雅黑" w:eastAsia="微软雅黑" w:cs="微软雅黑"/>
          <w:b/>
          <w:bCs/>
          <w:color w:val="000000" w:themeColor="text1"/>
          <w:highlight w:val="none"/>
          <w14:textFill>
            <w14:solidFill>
              <w14:schemeClr w14:val="tx1"/>
            </w14:solidFill>
          </w14:textFill>
        </w:rPr>
      </w:pPr>
    </w:p>
    <w:p>
      <w:pPr>
        <w:pStyle w:val="9"/>
        <w:rPr>
          <w:rFonts w:hint="eastAsia" w:ascii="微软雅黑" w:hAnsi="微软雅黑" w:eastAsia="微软雅黑" w:cs="微软雅黑"/>
          <w:b/>
          <w:bCs/>
          <w:color w:val="000000" w:themeColor="text1"/>
          <w:highlight w:val="none"/>
          <w14:textFill>
            <w14:solidFill>
              <w14:schemeClr w14:val="tx1"/>
            </w14:solidFill>
          </w14:textFill>
        </w:rPr>
      </w:pPr>
    </w:p>
    <w:p>
      <w:pPr>
        <w:rPr>
          <w:rFonts w:hint="eastAsia" w:ascii="微软雅黑" w:hAnsi="微软雅黑" w:eastAsia="微软雅黑" w:cs="微软雅黑"/>
          <w:b/>
          <w:bCs/>
          <w:color w:val="000000" w:themeColor="text1"/>
          <w:highlight w:val="none"/>
          <w14:textFill>
            <w14:solidFill>
              <w14:schemeClr w14:val="tx1"/>
            </w14:solidFill>
          </w14:textFill>
        </w:rPr>
      </w:pPr>
    </w:p>
    <w:p>
      <w:pPr>
        <w:outlineLvl w:val="9"/>
        <w:rPr>
          <w:rFonts w:hint="eastAsia"/>
          <w:color w:val="000000" w:themeColor="text1"/>
          <w:highlight w:val="none"/>
          <w14:textFill>
            <w14:solidFill>
              <w14:schemeClr w14:val="tx1"/>
            </w14:solidFill>
          </w14:textFill>
        </w:rPr>
      </w:pPr>
    </w:p>
    <w:p>
      <w:pPr>
        <w:pStyle w:val="8"/>
        <w:rPr>
          <w:rFonts w:hint="eastAsia"/>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2"/>
        <w:rPr>
          <w:rFonts w:hint="eastAsia"/>
          <w:color w:val="000000" w:themeColor="text1"/>
          <w:highlight w:val="none"/>
          <w14:textFill>
            <w14:solidFill>
              <w14:schemeClr w14:val="tx1"/>
            </w14:solidFill>
          </w14:textFill>
        </w:rPr>
      </w:pPr>
    </w:p>
    <w:tbl>
      <w:tblPr>
        <w:tblStyle w:val="28"/>
        <w:tblW w:w="8840" w:type="dxa"/>
        <w:jc w:val="center"/>
        <w:tblLayout w:type="fixed"/>
        <w:tblCellMar>
          <w:top w:w="0" w:type="dxa"/>
          <w:left w:w="108" w:type="dxa"/>
          <w:bottom w:w="0" w:type="dxa"/>
          <w:right w:w="108" w:type="dxa"/>
        </w:tblCellMar>
      </w:tblPr>
      <w:tblGrid>
        <w:gridCol w:w="2924"/>
        <w:gridCol w:w="4481"/>
        <w:gridCol w:w="478"/>
        <w:gridCol w:w="438"/>
        <w:gridCol w:w="519"/>
      </w:tblGrid>
      <w:tr>
        <w:tblPrEx>
          <w:tblCellMar>
            <w:top w:w="0" w:type="dxa"/>
            <w:left w:w="108" w:type="dxa"/>
            <w:bottom w:w="0" w:type="dxa"/>
            <w:right w:w="108" w:type="dxa"/>
          </w:tblCellMar>
        </w:tblPrEx>
        <w:trPr>
          <w:trHeight w:val="582" w:hRule="atLeast"/>
          <w:jc w:val="center"/>
        </w:trPr>
        <w:tc>
          <w:tcPr>
            <w:tcW w:w="884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bCs/>
                <w:color w:val="000000" w:themeColor="text1"/>
                <w:kern w:val="0"/>
                <w:sz w:val="32"/>
                <w:szCs w:val="32"/>
                <w:highlight w:val="none"/>
                <w14:textFill>
                  <w14:solidFill>
                    <w14:schemeClr w14:val="tx1"/>
                  </w14:solidFill>
                </w14:textFill>
              </w:rPr>
              <w:t>商务符合性审查表</w:t>
            </w:r>
          </w:p>
        </w:tc>
      </w:tr>
      <w:tr>
        <w:tblPrEx>
          <w:tblCellMar>
            <w:top w:w="0" w:type="dxa"/>
            <w:left w:w="108" w:type="dxa"/>
            <w:bottom w:w="0" w:type="dxa"/>
            <w:right w:w="108" w:type="dxa"/>
          </w:tblCellMar>
        </w:tblPrEx>
        <w:trPr>
          <w:trHeight w:val="759"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审查事项</w:t>
            </w:r>
          </w:p>
        </w:tc>
        <w:tc>
          <w:tcPr>
            <w:tcW w:w="14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供应商名称及审查情况</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招标文件条款（供应商须知、供应商须知资料表条款号）</w:t>
            </w:r>
          </w:p>
        </w:tc>
        <w:tc>
          <w:tcPr>
            <w:tcW w:w="44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本项目要求</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368"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中小企业投标要求（1.3.6）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联合体投标规（1.4）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不接受</w:t>
            </w:r>
            <w:r>
              <w:rPr>
                <w:rFonts w:hint="eastAsia" w:ascii="微软雅黑" w:hAnsi="微软雅黑" w:eastAsia="微软雅黑" w:cs="微软雅黑"/>
                <w:color w:val="000000" w:themeColor="text1"/>
                <w:kern w:val="0"/>
                <w:sz w:val="22"/>
                <w:szCs w:val="22"/>
                <w:highlight w:val="none"/>
                <w14:textFill>
                  <w14:solidFill>
                    <w14:schemeClr w14:val="tx1"/>
                  </w14:solidFill>
                </w14:textFill>
              </w:rPr>
              <w:t>联合体投标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供应商的关联（1.5）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在同一标包内，单位负责人为非同一人或者不存在直接控股、管理关系的不同供应商。</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未发现影响采购人决策行为（1.5）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供应商在投标过程中未向采购人提供、给予任何有价值的物品，影响其正常决策行为。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满足投标范围的完整性要求（8.1）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供应商对所投分包招标文件中所列的所有内容进行投标。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未包含价格调整要求（11.4）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供应商所报的各分项投标报价在合同履行过程中是固定不变的，不得以任何理由予以变更。</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46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投标保证金（12.1）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符合招标文件要求</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51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投标有效期满足要求（13.1）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自提交投标文件截止之日起</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2"/>
                <w:szCs w:val="22"/>
                <w:highlight w:val="none"/>
                <w:u w:val="single"/>
                <w:lang w:val="en-US" w:eastAsia="zh-CN"/>
                <w14:textFill>
                  <w14:solidFill>
                    <w14:schemeClr w14:val="tx1"/>
                  </w14:solidFill>
                </w14:textFill>
              </w:rPr>
              <w:t>90</w:t>
            </w:r>
            <w:r>
              <w:rPr>
                <w:rFonts w:hint="eastAsia" w:ascii="微软雅黑" w:hAnsi="微软雅黑" w:eastAsia="微软雅黑" w:cs="微软雅黑"/>
                <w:color w:val="000000" w:themeColor="text1"/>
                <w:sz w:val="22"/>
                <w:szCs w:val="22"/>
                <w:highlight w:val="none"/>
                <w:u w:val="single"/>
                <w14:textFill>
                  <w14:solidFill>
                    <w14:schemeClr w14:val="tx1"/>
                  </w14:solidFill>
                </w14:textFill>
              </w:rPr>
              <w:t>日</w:t>
            </w:r>
            <w:r>
              <w:rPr>
                <w:rFonts w:hint="eastAsia" w:ascii="微软雅黑" w:hAnsi="微软雅黑" w:eastAsia="微软雅黑" w:cs="微软雅黑"/>
                <w:color w:val="000000" w:themeColor="text1"/>
                <w:sz w:val="22"/>
                <w:szCs w:val="22"/>
                <w:highlight w:val="none"/>
                <w14:textFill>
                  <w14:solidFill>
                    <w14:schemeClr w14:val="tx1"/>
                  </w14:solidFill>
                </w14:textFill>
              </w:rPr>
              <w:t>历日</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57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投标文件的装订方式（14.3）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所有投标文件采用不可拆装的胶订方式装订</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7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投标文件的签署和盖章符合要求（14.2、14.4）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按照招标文件规定要求签署、盖章。</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接受价格的算术修正（20.3）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投标文件报价出现前后不一致的，应按照招标文件规定的顺序修正。修正后的报价经供应商确认后产生约束力。</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符合强制采购节能产品要求（20.6）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本项目</w:t>
            </w:r>
            <w:r>
              <w:rPr>
                <w:rFonts w:hint="eastAsia" w:ascii="微软雅黑" w:hAnsi="微软雅黑" w:eastAsia="微软雅黑" w:cs="微软雅黑"/>
                <w:i/>
                <w:iCs/>
                <w:color w:val="000000" w:themeColor="text1"/>
                <w:kern w:val="0"/>
                <w:sz w:val="22"/>
                <w:szCs w:val="22"/>
                <w:highlight w:val="none"/>
                <w:u w:val="single"/>
                <w:lang w:val="en-US" w:eastAsia="zh-CN"/>
                <w14:textFill>
                  <w14:solidFill>
                    <w14:schemeClr w14:val="tx1"/>
                  </w14:solidFill>
                </w14:textFill>
              </w:rPr>
              <w:t>不</w:t>
            </w:r>
            <w:r>
              <w:rPr>
                <w:rFonts w:hint="eastAsia" w:ascii="微软雅黑" w:hAnsi="微软雅黑" w:eastAsia="微软雅黑" w:cs="微软雅黑"/>
                <w:i/>
                <w:iCs/>
                <w:color w:val="000000" w:themeColor="text1"/>
                <w:kern w:val="0"/>
                <w:sz w:val="22"/>
                <w:szCs w:val="22"/>
                <w:highlight w:val="none"/>
                <w:u w:val="single"/>
                <w14:textFill>
                  <w14:solidFill>
                    <w14:schemeClr w14:val="tx1"/>
                  </w14:solidFill>
                </w14:textFill>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未发现串通投标（22.2）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未与其他供应商串通投标，或者与招标人串通投标。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报价说明可以接受（22.2）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供应商的报价明显低于其他通过符合性检查供应商的报价，有可能影响履约的，供应商能按照规定证明其报价合理性。</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kern w:val="0"/>
                <w:sz w:val="22"/>
                <w:szCs w:val="22"/>
                <w:highlight w:val="none"/>
                <w14:textFill>
                  <w14:solidFill>
                    <w14:schemeClr w14:val="tx1"/>
                  </w14:solidFill>
                </w14:textFill>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无采购人不能接受的附加条件（22.2）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投标文件未含有采购人不能接受的附加条件。</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r>
        <w:tblPrEx>
          <w:tblCellMar>
            <w:top w:w="0" w:type="dxa"/>
            <w:left w:w="108" w:type="dxa"/>
            <w:bottom w:w="0" w:type="dxa"/>
            <w:right w:w="108" w:type="dxa"/>
          </w:tblCellMar>
        </w:tblPrEx>
        <w:trPr>
          <w:trHeight w:val="378"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000000" w:themeColor="text1"/>
                <w:sz w:val="22"/>
                <w:szCs w:val="22"/>
                <w:highlight w:val="none"/>
                <w14:textFill>
                  <w14:solidFill>
                    <w14:schemeClr w14:val="tx1"/>
                  </w14:solidFill>
                </w14:textFill>
              </w:rPr>
            </w:pPr>
            <w:r>
              <w:rPr>
                <w:rFonts w:hint="eastAsia" w:ascii="微软雅黑" w:hAnsi="微软雅黑" w:eastAsia="微软雅黑" w:cs="微软雅黑"/>
                <w:b/>
                <w:color w:val="000000" w:themeColor="text1"/>
                <w:kern w:val="0"/>
                <w:sz w:val="22"/>
                <w:szCs w:val="22"/>
                <w:highlight w:val="none"/>
                <w14:textFill>
                  <w14:solidFill>
                    <w14:schemeClr w14:val="tx1"/>
                  </w14:solidFill>
                </w14:textFill>
              </w:rPr>
              <w:t>结论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000000" w:themeColor="text1"/>
                <w:kern w:val="0"/>
                <w:sz w:val="22"/>
                <w:szCs w:val="22"/>
                <w:highlight w:val="none"/>
                <w14:textFill>
                  <w14:solidFill>
                    <w14:schemeClr w14:val="tx1"/>
                  </w14:solidFill>
                </w14:textFill>
              </w:rPr>
            </w:pPr>
          </w:p>
        </w:tc>
      </w:tr>
    </w:tbl>
    <w:p>
      <w:pPr>
        <w:jc w:val="center"/>
        <w:rPr>
          <w:rFonts w:hint="eastAsia" w:ascii="微软雅黑" w:hAnsi="微软雅黑" w:eastAsia="微软雅黑" w:cs="微软雅黑"/>
          <w:color w:val="000000" w:themeColor="text1"/>
          <w:highlight w:val="none"/>
          <w14:textFill>
            <w14:solidFill>
              <w14:schemeClr w14:val="tx1"/>
            </w14:solidFill>
          </w14:textFill>
        </w:rPr>
      </w:pPr>
      <w:bookmarkStart w:id="689" w:name="_Toc507399904"/>
      <w:r>
        <w:rPr>
          <w:rFonts w:hint="eastAsia" w:ascii="微软雅黑" w:hAnsi="微软雅黑" w:eastAsia="微软雅黑" w:cs="微软雅黑"/>
          <w:b/>
          <w:bCs/>
          <w:color w:val="000000" w:themeColor="text1"/>
          <w:kern w:val="0"/>
          <w:sz w:val="32"/>
          <w:szCs w:val="32"/>
          <w:highlight w:val="none"/>
          <w14:textFill>
            <w14:solidFill>
              <w14:schemeClr w14:val="tx1"/>
            </w14:solidFill>
          </w14:textFill>
        </w:rPr>
        <w:t>综合评分法评分标准</w:t>
      </w:r>
    </w:p>
    <w:tbl>
      <w:tblPr>
        <w:tblStyle w:val="28"/>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highlight w:val="yellow"/>
              </w:rPr>
            </w:pPr>
            <w:r>
              <w:rPr>
                <w:rFonts w:hint="eastAsia" w:ascii="宋体" w:hAnsi="宋体" w:cs="宋体"/>
                <w:b/>
                <w:kern w:val="0"/>
                <w:sz w:val="20"/>
                <w:szCs w:val="20"/>
                <w:lang w:bidi="ar"/>
              </w:rPr>
              <w:t>评分因素</w:t>
            </w:r>
          </w:p>
        </w:tc>
        <w:tc>
          <w:tcPr>
            <w:tcW w:w="857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cs="宋体"/>
                <w:highlight w:val="yellow"/>
              </w:rPr>
            </w:pPr>
            <w:r>
              <w:rPr>
                <w:rFonts w:hint="eastAsia" w:ascii="宋体" w:hAnsi="宋体" w:cs="宋体"/>
                <w:b/>
                <w:kern w:val="0"/>
                <w:sz w:val="20"/>
                <w:szCs w:val="20"/>
                <w:lang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宋体" w:cs="宋体"/>
                <w:b/>
                <w:kern w:val="0"/>
                <w:sz w:val="18"/>
                <w:szCs w:val="18"/>
                <w:lang w:val="en-US" w:eastAsia="zh-CN" w:bidi="ar"/>
              </w:rPr>
            </w:pPr>
            <w:r>
              <w:rPr>
                <w:rFonts w:hint="eastAsia" w:ascii="仿宋_GB2312" w:hAnsi="仿宋_GB2312" w:eastAsia="宋体" w:cs="宋体"/>
                <w:b/>
                <w:kern w:val="0"/>
                <w:sz w:val="18"/>
                <w:szCs w:val="18"/>
                <w:lang w:val="en-US" w:eastAsia="zh-CN" w:bidi="ar"/>
              </w:rPr>
              <w:t>投标报价</w:t>
            </w:r>
          </w:p>
          <w:p>
            <w:pPr>
              <w:widowControl/>
              <w:jc w:val="center"/>
              <w:textAlignment w:val="center"/>
              <w:rPr>
                <w:rFonts w:ascii="仿宋_GB2312" w:eastAsia="仿宋_GB2312" w:cs="仿宋_GB2312"/>
                <w:b/>
                <w:sz w:val="18"/>
                <w:szCs w:val="18"/>
              </w:rPr>
            </w:pPr>
            <w:r>
              <w:rPr>
                <w:rFonts w:hint="eastAsia" w:ascii="仿宋_GB2312" w:hAnsi="仿宋_GB2312" w:eastAsia="宋体" w:cs="宋体"/>
                <w:b/>
                <w:color w:val="FF0000"/>
                <w:kern w:val="0"/>
                <w:sz w:val="18"/>
                <w:szCs w:val="18"/>
                <w:lang w:val="en-US" w:eastAsia="zh-CN" w:bidi="ar"/>
              </w:rPr>
              <w:t>（30分)</w:t>
            </w:r>
          </w:p>
        </w:tc>
        <w:tc>
          <w:tcPr>
            <w:tcW w:w="8571" w:type="dxa"/>
            <w:tcBorders>
              <w:top w:val="single" w:color="auto" w:sz="4" w:space="0"/>
              <w:left w:val="nil"/>
              <w:bottom w:val="single" w:color="auto" w:sz="4" w:space="0"/>
              <w:right w:val="single" w:color="auto" w:sz="4" w:space="0"/>
            </w:tcBorders>
            <w:noWrap w:val="0"/>
            <w:vAlign w:val="top"/>
          </w:tcPr>
          <w:p>
            <w:pPr>
              <w:widowControl/>
              <w:jc w:val="left"/>
              <w:textAlignment w:val="top"/>
              <w:rPr>
                <w:rFonts w:hint="eastAsia" w:ascii="仿宋_GB2312" w:hAnsi="仿宋_GB2312" w:cs="宋体"/>
                <w:b/>
                <w:kern w:val="0"/>
                <w:sz w:val="18"/>
                <w:szCs w:val="18"/>
                <w:lang w:bidi="ar"/>
              </w:rPr>
            </w:pPr>
            <w:r>
              <w:rPr>
                <w:rFonts w:hint="eastAsia" w:ascii="仿宋_GB2312" w:hAnsi="仿宋_GB2312" w:cs="宋体"/>
                <w:b/>
                <w:kern w:val="0"/>
                <w:sz w:val="18"/>
                <w:szCs w:val="18"/>
                <w:lang w:bidi="ar"/>
              </w:rPr>
              <w:t>各供应商的价格得分的计算公式：</w:t>
            </w:r>
          </w:p>
          <w:p>
            <w:pPr>
              <w:widowControl/>
              <w:jc w:val="left"/>
              <w:textAlignment w:val="top"/>
              <w:rPr>
                <w:rFonts w:hint="eastAsia" w:ascii="仿宋_GB2312" w:hAnsi="仿宋_GB2312" w:eastAsia="宋体" w:cs="宋体"/>
                <w:kern w:val="0"/>
                <w:sz w:val="18"/>
                <w:szCs w:val="18"/>
                <w:lang w:bidi="ar"/>
              </w:rPr>
            </w:pPr>
            <w:r>
              <w:rPr>
                <w:rFonts w:hint="eastAsia" w:ascii="仿宋_GB2312" w:hAnsi="仿宋_GB2312" w:eastAsia="宋体" w:cs="宋体"/>
                <w:kern w:val="0"/>
                <w:sz w:val="18"/>
                <w:szCs w:val="18"/>
                <w:lang w:bidi="ar"/>
              </w:rPr>
              <w:t>满足招标文件</w:t>
            </w:r>
            <w:r>
              <w:rPr>
                <w:rFonts w:hint="eastAsia" w:ascii="仿宋_GB2312" w:hAnsi="仿宋_GB2312" w:eastAsia="宋体" w:cs="宋体"/>
                <w:kern w:val="0"/>
                <w:sz w:val="18"/>
                <w:szCs w:val="18"/>
                <w:lang w:eastAsia="zh-CN" w:bidi="ar"/>
              </w:rPr>
              <w:t>服务要求</w:t>
            </w:r>
            <w:r>
              <w:rPr>
                <w:rFonts w:hint="eastAsia" w:ascii="仿宋_GB2312" w:hAnsi="仿宋_GB2312" w:eastAsia="宋体" w:cs="宋体"/>
                <w:kern w:val="0"/>
                <w:sz w:val="18"/>
                <w:szCs w:val="18"/>
                <w:lang w:bidi="ar"/>
              </w:rPr>
              <w:t>的投标报价中的最低价为评标基准价，按照下列公式计算每个投标人的投标价格得分。</w:t>
            </w:r>
          </w:p>
          <w:p>
            <w:pPr>
              <w:widowControl/>
              <w:jc w:val="left"/>
              <w:textAlignment w:val="top"/>
              <w:rPr>
                <w:rFonts w:ascii="仿宋_GB2312" w:eastAsia="仿宋_GB2312" w:cs="仿宋_GB2312"/>
                <w:kern w:val="0"/>
                <w:sz w:val="16"/>
                <w:szCs w:val="16"/>
              </w:rPr>
            </w:pPr>
            <w:r>
              <w:rPr>
                <w:rFonts w:hint="eastAsia" w:ascii="仿宋_GB2312" w:hAnsi="仿宋_GB2312" w:eastAsia="宋体" w:cs="宋体"/>
                <w:kern w:val="0"/>
                <w:sz w:val="18"/>
                <w:szCs w:val="18"/>
                <w:lang w:bidi="ar"/>
              </w:rPr>
              <w:t>投标报价得分＝（基准价/投标报价）×价格权重×100</w:t>
            </w:r>
            <w:r>
              <w:rPr>
                <w:rFonts w:hint="eastAsia" w:ascii="仿宋_GB2312" w:hAnsi="仿宋_GB2312" w:eastAsia="宋体" w:cs="宋体"/>
                <w:kern w:val="0"/>
                <w:sz w:val="18"/>
                <w:szCs w:val="18"/>
                <w:lang w:val="en-US" w:eastAsia="zh-CN" w:bidi="ar"/>
              </w:rPr>
              <w:t>%</w:t>
            </w:r>
            <w:r>
              <w:rPr>
                <w:rFonts w:hint="eastAsia" w:ascii="仿宋_GB2312" w:hAnsi="仿宋_GB2312" w:eastAsia="宋体" w:cs="宋体"/>
                <w:kern w:val="0"/>
                <w:sz w:val="18"/>
                <w:szCs w:val="18"/>
                <w:lang w:bidi="ar"/>
              </w:rPr>
              <w:t>。计算分数时四舍五入取小数点后两位。由评标委员会负责核准每个合格供应商的价格得分</w:t>
            </w:r>
            <w:r>
              <w:rPr>
                <w:rFonts w:hint="eastAsia" w:ascii="仿宋_GB2312" w:hAnsi="仿宋_GB2312" w:eastAsia="宋体" w:cs="宋体"/>
                <w:kern w:val="0"/>
                <w:sz w:val="18"/>
                <w:szCs w:val="18"/>
                <w:lang w:eastAsia="zh-CN" w:bidi="ar"/>
              </w:rPr>
              <w:t>。</w:t>
            </w:r>
            <w:bookmarkStart w:id="1748" w:name="_GoBack"/>
            <w:bookmarkEnd w:id="17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19"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s="仿宋_GB2312"/>
                <w:b/>
                <w:kern w:val="0"/>
                <w:sz w:val="18"/>
                <w:szCs w:val="18"/>
              </w:rPr>
            </w:pPr>
            <w:r>
              <w:rPr>
                <w:rFonts w:hint="eastAsia" w:ascii="仿宋_GB2312" w:hAnsi="仿宋_GB2312" w:cs="宋体"/>
                <w:b/>
                <w:kern w:val="0"/>
                <w:sz w:val="18"/>
                <w:szCs w:val="18"/>
                <w:lang w:bidi="ar"/>
              </w:rPr>
              <w:t>技术因素</w:t>
            </w:r>
            <w:r>
              <w:rPr>
                <w:rFonts w:hint="eastAsia" w:ascii="仿宋_GB2312" w:hAnsi="仿宋_GB2312" w:cs="宋体"/>
                <w:b/>
                <w:color w:val="FF0000"/>
                <w:kern w:val="0"/>
                <w:sz w:val="18"/>
                <w:szCs w:val="18"/>
                <w:lang w:bidi="ar"/>
              </w:rPr>
              <w:t>（</w:t>
            </w:r>
            <w:r>
              <w:rPr>
                <w:rFonts w:hint="eastAsia" w:ascii="仿宋_GB2312" w:eastAsia="仿宋_GB2312" w:cs="仿宋_GB2312"/>
                <w:b/>
                <w:color w:val="FF0000"/>
                <w:kern w:val="0"/>
                <w:sz w:val="18"/>
                <w:szCs w:val="18"/>
                <w:lang w:val="en-US" w:eastAsia="zh-CN" w:bidi="ar"/>
              </w:rPr>
              <w:t>67</w:t>
            </w:r>
            <w:r>
              <w:rPr>
                <w:rFonts w:hint="eastAsia" w:ascii="仿宋_GB2312" w:hAnsi="仿宋_GB2312" w:cs="宋体"/>
                <w:b/>
                <w:color w:val="FF0000"/>
                <w:kern w:val="0"/>
                <w:sz w:val="18"/>
                <w:szCs w:val="18"/>
                <w:lang w:bidi="ar"/>
              </w:rPr>
              <w:t>分）</w:t>
            </w:r>
          </w:p>
        </w:tc>
        <w:tc>
          <w:tcPr>
            <w:tcW w:w="8571" w:type="dxa"/>
            <w:tcBorders>
              <w:top w:val="single" w:color="auto" w:sz="4" w:space="0"/>
              <w:left w:val="nil"/>
              <w:bottom w:val="single" w:color="auto" w:sz="4" w:space="0"/>
              <w:right w:val="single" w:color="auto" w:sz="4" w:space="0"/>
            </w:tcBorders>
            <w:noWrap w:val="0"/>
            <w:vAlign w:val="top"/>
          </w:tcPr>
          <w:p>
            <w:pPr>
              <w:widowControl/>
              <w:jc w:val="left"/>
              <w:textAlignment w:val="top"/>
              <w:rPr>
                <w:rFonts w:hint="eastAsia" w:ascii="仿宋_GB2312" w:eastAsia="宋体" w:cs="仿宋_GB2312"/>
                <w:kern w:val="0"/>
                <w:sz w:val="16"/>
                <w:szCs w:val="16"/>
                <w:lang w:eastAsia="zh-CN"/>
              </w:rPr>
            </w:pPr>
            <w:r>
              <w:rPr>
                <w:rFonts w:ascii="仿宋_GB2312" w:eastAsia="仿宋_GB2312" w:cs="仿宋_GB2312"/>
                <w:b/>
                <w:kern w:val="0"/>
                <w:sz w:val="18"/>
                <w:szCs w:val="18"/>
                <w:lang w:bidi="ar"/>
              </w:rPr>
              <w:t>1</w:t>
            </w:r>
            <w:r>
              <w:rPr>
                <w:rFonts w:hint="eastAsia" w:ascii="仿宋_GB2312" w:hAnsi="仿宋_GB2312" w:cs="宋体"/>
                <w:b/>
                <w:kern w:val="0"/>
                <w:sz w:val="18"/>
                <w:szCs w:val="18"/>
                <w:lang w:bidi="ar"/>
              </w:rPr>
              <w:t>、对招标文件标的清单技术要求的响应程度（满分</w:t>
            </w:r>
            <w:r>
              <w:rPr>
                <w:rFonts w:hint="eastAsia" w:ascii="仿宋_GB2312" w:eastAsia="仿宋_GB2312" w:cs="仿宋_GB2312"/>
                <w:b/>
                <w:kern w:val="0"/>
                <w:sz w:val="18"/>
                <w:szCs w:val="18"/>
                <w:lang w:val="en-US" w:eastAsia="zh-CN" w:bidi="ar"/>
              </w:rPr>
              <w:t>27</w:t>
            </w:r>
            <w:r>
              <w:rPr>
                <w:rFonts w:hint="eastAsia" w:ascii="仿宋_GB2312" w:hAnsi="仿宋_GB2312" w:cs="宋体"/>
                <w:b/>
                <w:kern w:val="0"/>
                <w:sz w:val="18"/>
                <w:szCs w:val="18"/>
                <w:lang w:bidi="ar"/>
              </w:rPr>
              <w:t>分）：</w:t>
            </w:r>
            <w:r>
              <w:rPr>
                <w:rFonts w:hint="eastAsia" w:ascii="宋体" w:hAnsi="宋体" w:eastAsia="宋体" w:cs="宋体"/>
                <w:kern w:val="0"/>
                <w:sz w:val="18"/>
                <w:szCs w:val="18"/>
                <w:lang w:bidi="ar"/>
              </w:rPr>
              <w:t xml:space="preserve">以招标文件的技术参数要求为基准，提供详细技术偏离表。评审专家根据供应商所投产品的配置与性能指标响应程度打分，完全满足招标要求的得 </w:t>
            </w:r>
            <w:r>
              <w:rPr>
                <w:rFonts w:hint="eastAsia" w:ascii="宋体" w:hAnsi="宋体" w:cs="宋体"/>
                <w:kern w:val="0"/>
                <w:sz w:val="18"/>
                <w:szCs w:val="18"/>
                <w:lang w:val="en-US" w:eastAsia="zh-CN" w:bidi="ar"/>
              </w:rPr>
              <w:t>27</w:t>
            </w:r>
            <w:r>
              <w:rPr>
                <w:rFonts w:hint="eastAsia" w:ascii="宋体" w:hAnsi="宋体" w:eastAsia="宋体" w:cs="宋体"/>
                <w:kern w:val="0"/>
                <w:sz w:val="18"/>
                <w:szCs w:val="18"/>
                <w:lang w:bidi="ar"/>
              </w:rPr>
              <w:t xml:space="preserve"> 分，参数中每有一项负偏离扣 </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bidi="ar"/>
              </w:rPr>
              <w:t xml:space="preserve"> 分，直至扣完为止。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jc w:val="center"/>
              <w:rPr>
                <w:rFonts w:ascii="Calibri" w:hAnsi="Calibri" w:cs="Calibri"/>
                <w:szCs w:val="22"/>
              </w:rPr>
            </w:pPr>
          </w:p>
        </w:tc>
        <w:tc>
          <w:tcPr>
            <w:tcW w:w="8571" w:type="dxa"/>
            <w:tcBorders>
              <w:top w:val="single" w:color="auto" w:sz="4" w:space="0"/>
              <w:left w:val="nil"/>
              <w:bottom w:val="single" w:color="auto" w:sz="4" w:space="0"/>
              <w:right w:val="single" w:color="auto" w:sz="4" w:space="0"/>
            </w:tcBorders>
            <w:noWrap w:val="0"/>
            <w:vAlign w:val="top"/>
          </w:tcPr>
          <w:p>
            <w:pPr>
              <w:widowControl/>
              <w:jc w:val="left"/>
              <w:textAlignment w:val="top"/>
              <w:rPr>
                <w:rFonts w:ascii="仿宋_GB2312" w:eastAsia="仿宋_GB2312" w:cs="仿宋_GB2312"/>
                <w:b/>
                <w:kern w:val="0"/>
                <w:sz w:val="18"/>
                <w:szCs w:val="18"/>
              </w:rPr>
            </w:pPr>
            <w:r>
              <w:rPr>
                <w:rFonts w:hint="eastAsia" w:ascii="仿宋_GB2312" w:eastAsia="仿宋_GB2312" w:cs="仿宋_GB2312"/>
                <w:b/>
                <w:kern w:val="0"/>
                <w:sz w:val="18"/>
                <w:szCs w:val="18"/>
                <w:lang w:val="en-US" w:eastAsia="zh-CN" w:bidi="ar"/>
              </w:rPr>
              <w:t>2</w:t>
            </w:r>
            <w:r>
              <w:rPr>
                <w:rFonts w:hint="eastAsia" w:ascii="仿宋_GB2312" w:hAnsi="仿宋_GB2312" w:cs="宋体"/>
                <w:b/>
                <w:kern w:val="0"/>
                <w:sz w:val="18"/>
                <w:szCs w:val="18"/>
                <w:lang w:bidi="ar"/>
              </w:rPr>
              <w:t>、项目实施方案（满分</w:t>
            </w:r>
            <w:r>
              <w:rPr>
                <w:rFonts w:hint="eastAsia" w:ascii="仿宋_GB2312" w:eastAsia="仿宋_GB2312" w:cs="仿宋_GB2312"/>
                <w:b/>
                <w:kern w:val="0"/>
                <w:sz w:val="18"/>
                <w:szCs w:val="18"/>
                <w:lang w:val="en-US" w:eastAsia="zh-CN" w:bidi="ar"/>
              </w:rPr>
              <w:t>12</w:t>
            </w:r>
            <w:r>
              <w:rPr>
                <w:rFonts w:hint="eastAsia" w:ascii="仿宋_GB2312" w:hAnsi="仿宋_GB2312" w:cs="宋体"/>
                <w:b/>
                <w:kern w:val="0"/>
                <w:sz w:val="18"/>
                <w:szCs w:val="18"/>
                <w:lang w:bidi="ar"/>
              </w:rPr>
              <w:t>分）：</w:t>
            </w:r>
          </w:p>
          <w:p>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根据供应商提供的设备质量保证措施、供货安装、项目实施安全措施、突发事件处理措施、各个阶段时间安排进行打分。</w:t>
            </w:r>
          </w:p>
          <w:p>
            <w:pPr>
              <w:rPr>
                <w:rFonts w:hint="eastAsia" w:ascii="宋体" w:hAnsi="宋体" w:eastAsia="宋体" w:cs="宋体"/>
                <w:kern w:val="0"/>
                <w:sz w:val="18"/>
                <w:szCs w:val="18"/>
                <w:lang w:bidi="ar"/>
              </w:rPr>
            </w:pPr>
            <w:r>
              <w:rPr>
                <w:rFonts w:hint="eastAsia" w:ascii="宋体" w:hAnsi="宋体" w:eastAsia="宋体" w:cs="宋体"/>
                <w:kern w:val="0"/>
                <w:sz w:val="18"/>
                <w:szCs w:val="18"/>
                <w:lang w:val="en-US" w:eastAsia="zh-CN" w:bidi="ar"/>
              </w:rPr>
              <w:t>1、</w:t>
            </w:r>
            <w:r>
              <w:rPr>
                <w:rFonts w:hint="eastAsia" w:ascii="宋体" w:hAnsi="宋体" w:eastAsia="宋体" w:cs="宋体"/>
                <w:kern w:val="0"/>
                <w:sz w:val="18"/>
                <w:szCs w:val="18"/>
                <w:lang w:bidi="ar"/>
              </w:rPr>
              <w:t>整体实施方案贴合本项目实际情况，内容全面，科学合理，其中各项计划能紧密联系，保证本项目顺利实施，切实可行的，得1</w:t>
            </w:r>
            <w:r>
              <w:rPr>
                <w:rFonts w:hint="eastAsia" w:ascii="宋体" w:hAnsi="宋体" w:cs="宋体"/>
                <w:kern w:val="0"/>
                <w:sz w:val="18"/>
                <w:szCs w:val="18"/>
                <w:lang w:val="en-US" w:eastAsia="zh-CN" w:bidi="ar"/>
              </w:rPr>
              <w:t>2</w:t>
            </w:r>
            <w:r>
              <w:rPr>
                <w:rFonts w:hint="eastAsia" w:ascii="宋体" w:hAnsi="宋体" w:eastAsia="宋体" w:cs="宋体"/>
                <w:kern w:val="0"/>
                <w:sz w:val="18"/>
                <w:szCs w:val="18"/>
                <w:lang w:bidi="ar"/>
              </w:rPr>
              <w:t>分；</w:t>
            </w:r>
          </w:p>
          <w:p>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2、整体实施方案不够贴合本项目实际情况，科学合理性一般，其中各项计划不能紧密联系，不能切实保障本项目顺利实施的，切实可行性一般的，得</w:t>
            </w:r>
            <w:r>
              <w:rPr>
                <w:rFonts w:hint="eastAsia" w:ascii="宋体" w:hAnsi="宋体" w:cs="宋体"/>
                <w:kern w:val="0"/>
                <w:sz w:val="18"/>
                <w:szCs w:val="18"/>
                <w:lang w:val="en-US" w:eastAsia="zh-CN" w:bidi="ar"/>
              </w:rPr>
              <w:t>8</w:t>
            </w:r>
            <w:r>
              <w:rPr>
                <w:rFonts w:hint="eastAsia" w:ascii="宋体" w:hAnsi="宋体" w:eastAsia="宋体" w:cs="宋体"/>
                <w:kern w:val="0"/>
                <w:sz w:val="18"/>
                <w:szCs w:val="18"/>
                <w:lang w:bidi="ar"/>
              </w:rPr>
              <w:t>分；</w:t>
            </w:r>
          </w:p>
          <w:p>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 xml:space="preserve">3、整体实施方案不贴合本项目实际情况，科学合理性差，其中各项计划无联系，不能保障本项目顺利实施的，切实可行性差的，得 </w:t>
            </w:r>
            <w:r>
              <w:rPr>
                <w:rFonts w:hint="eastAsia" w:ascii="宋体" w:hAnsi="宋体" w:cs="宋体"/>
                <w:kern w:val="0"/>
                <w:sz w:val="18"/>
                <w:szCs w:val="18"/>
                <w:lang w:val="en-US" w:eastAsia="zh-CN" w:bidi="ar"/>
              </w:rPr>
              <w:t>4</w:t>
            </w:r>
            <w:r>
              <w:rPr>
                <w:rFonts w:hint="eastAsia" w:ascii="宋体" w:hAnsi="宋体" w:eastAsia="宋体" w:cs="宋体"/>
                <w:kern w:val="0"/>
                <w:sz w:val="18"/>
                <w:szCs w:val="18"/>
                <w:lang w:bidi="ar"/>
              </w:rPr>
              <w:t>分。</w:t>
            </w:r>
          </w:p>
          <w:p>
            <w:pPr>
              <w:rPr>
                <w:rFonts w:ascii="仿宋_GB2312" w:eastAsia="仿宋_GB2312" w:cs="仿宋_GB2312"/>
                <w:kern w:val="0"/>
                <w:sz w:val="16"/>
                <w:szCs w:val="16"/>
              </w:rPr>
            </w:pPr>
            <w:r>
              <w:rPr>
                <w:rFonts w:hint="eastAsia" w:ascii="宋体" w:hAnsi="宋体" w:eastAsia="宋体" w:cs="宋体"/>
                <w:kern w:val="0"/>
                <w:sz w:val="18"/>
                <w:szCs w:val="18"/>
                <w:lang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jc w:val="center"/>
              <w:rPr>
                <w:rFonts w:ascii="Calibri" w:hAnsi="Calibri" w:cs="Calibri"/>
                <w:szCs w:val="22"/>
              </w:rPr>
            </w:pPr>
          </w:p>
        </w:tc>
        <w:tc>
          <w:tcPr>
            <w:tcW w:w="8571" w:type="dxa"/>
            <w:tcBorders>
              <w:top w:val="single" w:color="auto" w:sz="4" w:space="0"/>
              <w:left w:val="nil"/>
              <w:bottom w:val="single" w:color="auto" w:sz="4" w:space="0"/>
              <w:right w:val="single" w:color="auto" w:sz="4" w:space="0"/>
            </w:tcBorders>
            <w:noWrap w:val="0"/>
            <w:vAlign w:val="top"/>
          </w:tcPr>
          <w:p>
            <w:pPr>
              <w:rPr>
                <w:rFonts w:ascii="仿宋_GB2312" w:eastAsia="仿宋_GB2312" w:cs="仿宋_GB2312"/>
                <w:b/>
                <w:sz w:val="18"/>
                <w:szCs w:val="18"/>
              </w:rPr>
            </w:pPr>
            <w:r>
              <w:rPr>
                <w:rFonts w:hint="eastAsia" w:ascii="仿宋_GB2312" w:eastAsia="仿宋_GB2312" w:cs="仿宋_GB2312"/>
                <w:b/>
                <w:sz w:val="18"/>
                <w:szCs w:val="18"/>
                <w:lang w:val="en-US" w:eastAsia="zh-CN" w:bidi="ar"/>
              </w:rPr>
              <w:t>3</w:t>
            </w:r>
            <w:r>
              <w:rPr>
                <w:rFonts w:hint="eastAsia" w:ascii="仿宋_GB2312" w:hAnsi="仿宋_GB2312" w:cs="宋体"/>
                <w:b/>
                <w:sz w:val="18"/>
                <w:szCs w:val="18"/>
                <w:lang w:bidi="ar"/>
              </w:rPr>
              <w:t>、保证措施及售后服务（</w:t>
            </w:r>
            <w:r>
              <w:rPr>
                <w:rFonts w:hint="eastAsia" w:ascii="仿宋_GB2312" w:hAnsi="仿宋_GB2312" w:cs="宋体"/>
                <w:b/>
                <w:kern w:val="0"/>
                <w:sz w:val="18"/>
                <w:szCs w:val="18"/>
                <w:lang w:bidi="ar"/>
              </w:rPr>
              <w:t>满分</w:t>
            </w:r>
            <w:r>
              <w:rPr>
                <w:rFonts w:hint="eastAsia" w:ascii="仿宋_GB2312" w:eastAsia="仿宋_GB2312" w:cs="仿宋_GB2312"/>
                <w:b/>
                <w:kern w:val="0"/>
                <w:sz w:val="18"/>
                <w:szCs w:val="18"/>
                <w:lang w:val="en-US" w:eastAsia="zh-CN" w:bidi="ar"/>
              </w:rPr>
              <w:t>15</w:t>
            </w:r>
            <w:r>
              <w:rPr>
                <w:rFonts w:hint="eastAsia" w:ascii="仿宋_GB2312" w:hAnsi="仿宋_GB2312" w:cs="宋体"/>
                <w:b/>
                <w:kern w:val="0"/>
                <w:sz w:val="18"/>
                <w:szCs w:val="18"/>
                <w:lang w:bidi="ar"/>
              </w:rPr>
              <w:t>分）：</w:t>
            </w:r>
          </w:p>
          <w:p>
            <w:pP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（1）产品生产厂家供货商售后服务体系完善，供货方能够保证采购放完全掌握设备正常使用和基础维护，有完整的培训计划，售后服务充分满足采购方要求，售后服务体系完备合理；</w:t>
            </w:r>
            <w:r>
              <w:rPr>
                <w:rFonts w:hint="eastAsia" w:ascii="宋体" w:hAnsi="宋体" w:eastAsia="宋体" w:cs="宋体"/>
                <w:kern w:val="0"/>
                <w:sz w:val="18"/>
                <w:szCs w:val="18"/>
                <w:lang w:val="en-US" w:eastAsia="zh-CN" w:bidi="ar"/>
              </w:rPr>
              <w:t>详细</w:t>
            </w:r>
            <w:r>
              <w:rPr>
                <w:rFonts w:hint="eastAsia" w:ascii="宋体" w:hAnsi="宋体" w:eastAsia="宋体" w:cs="宋体"/>
                <w:kern w:val="0"/>
                <w:sz w:val="18"/>
                <w:szCs w:val="18"/>
                <w:lang w:bidi="ar"/>
              </w:rPr>
              <w:t>科学</w:t>
            </w:r>
            <w:r>
              <w:rPr>
                <w:rFonts w:hint="eastAsia" w:ascii="宋体" w:hAnsi="宋体" w:eastAsia="宋体" w:cs="宋体"/>
                <w:kern w:val="0"/>
                <w:sz w:val="18"/>
                <w:szCs w:val="18"/>
                <w:lang w:val="en-US" w:eastAsia="zh-CN" w:bidi="ar"/>
              </w:rPr>
              <w:t>合理</w:t>
            </w:r>
            <w:r>
              <w:rPr>
                <w:rFonts w:hint="eastAsia" w:ascii="宋体" w:hAnsi="宋体" w:cs="宋体"/>
                <w:kern w:val="0"/>
                <w:sz w:val="18"/>
                <w:szCs w:val="18"/>
                <w:lang w:val="en-US" w:eastAsia="zh-CN" w:bidi="ar"/>
              </w:rPr>
              <w:t>的，切实</w:t>
            </w:r>
            <w:r>
              <w:rPr>
                <w:rFonts w:hint="eastAsia" w:ascii="宋体" w:hAnsi="宋体" w:eastAsia="宋体" w:cs="宋体"/>
                <w:kern w:val="0"/>
                <w:sz w:val="18"/>
                <w:szCs w:val="18"/>
                <w:lang w:val="en-US" w:eastAsia="zh-CN" w:bidi="ar"/>
              </w:rPr>
              <w:t>可行</w:t>
            </w:r>
            <w:r>
              <w:rPr>
                <w:rFonts w:hint="eastAsia" w:ascii="宋体" w:hAnsi="宋体" w:cs="宋体"/>
                <w:kern w:val="0"/>
                <w:sz w:val="18"/>
                <w:szCs w:val="18"/>
                <w:lang w:val="en-US" w:eastAsia="zh-CN" w:bidi="ar"/>
              </w:rPr>
              <w:t>的</w:t>
            </w:r>
            <w:r>
              <w:rPr>
                <w:rFonts w:hint="eastAsia" w:ascii="宋体" w:hAnsi="宋体" w:eastAsia="宋体" w:cs="宋体"/>
                <w:kern w:val="0"/>
                <w:sz w:val="18"/>
                <w:szCs w:val="18"/>
                <w:lang w:bidi="ar"/>
              </w:rPr>
              <w:t>得</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bidi="ar"/>
              </w:rPr>
              <w:t>-</w:t>
            </w:r>
            <w:r>
              <w:rPr>
                <w:rFonts w:hint="eastAsia" w:ascii="宋体" w:hAnsi="宋体" w:cs="宋体"/>
                <w:kern w:val="0"/>
                <w:sz w:val="18"/>
                <w:szCs w:val="18"/>
                <w:lang w:val="en-US" w:eastAsia="zh-CN" w:bidi="ar"/>
              </w:rPr>
              <w:t>5</w:t>
            </w:r>
            <w:r>
              <w:rPr>
                <w:rFonts w:hint="eastAsia" w:ascii="宋体" w:hAnsi="宋体" w:eastAsia="宋体" w:cs="宋体"/>
                <w:kern w:val="0"/>
                <w:sz w:val="18"/>
                <w:szCs w:val="18"/>
                <w:lang w:bidi="ar"/>
              </w:rPr>
              <w:t>分，科学</w:t>
            </w:r>
            <w:r>
              <w:rPr>
                <w:rFonts w:hint="eastAsia" w:ascii="宋体" w:hAnsi="宋体" w:eastAsia="宋体" w:cs="宋体"/>
                <w:kern w:val="0"/>
                <w:sz w:val="18"/>
                <w:szCs w:val="18"/>
                <w:lang w:val="en-US" w:eastAsia="zh-CN" w:bidi="ar"/>
              </w:rPr>
              <w:t>合理</w:t>
            </w:r>
            <w:r>
              <w:rPr>
                <w:rFonts w:hint="eastAsia" w:ascii="宋体" w:hAnsi="宋体" w:cs="宋体"/>
                <w:kern w:val="0"/>
                <w:sz w:val="18"/>
                <w:szCs w:val="18"/>
                <w:lang w:val="en-US" w:eastAsia="zh-CN" w:bidi="ar"/>
              </w:rPr>
              <w:t>性</w:t>
            </w:r>
            <w:r>
              <w:rPr>
                <w:rFonts w:hint="eastAsia" w:ascii="宋体" w:hAnsi="宋体" w:eastAsia="宋体" w:cs="宋体"/>
                <w:kern w:val="0"/>
                <w:sz w:val="18"/>
                <w:szCs w:val="18"/>
                <w:lang w:val="en-US" w:eastAsia="zh-CN" w:bidi="ar"/>
              </w:rPr>
              <w:t>不详细一般</w:t>
            </w:r>
            <w:r>
              <w:rPr>
                <w:rFonts w:hint="eastAsia" w:ascii="宋体" w:hAnsi="宋体" w:cs="宋体"/>
                <w:kern w:val="0"/>
                <w:sz w:val="18"/>
                <w:szCs w:val="18"/>
                <w:lang w:val="en-US" w:eastAsia="zh-CN" w:bidi="ar"/>
              </w:rPr>
              <w:t>的，</w:t>
            </w:r>
            <w:r>
              <w:rPr>
                <w:rFonts w:hint="eastAsia" w:ascii="宋体" w:hAnsi="宋体" w:eastAsia="宋体" w:cs="宋体"/>
                <w:kern w:val="0"/>
                <w:sz w:val="18"/>
                <w:szCs w:val="18"/>
                <w:lang w:bidi="ar"/>
              </w:rPr>
              <w:t>切实可行性一般的得1-</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bidi="ar"/>
              </w:rPr>
              <w:t>分，</w:t>
            </w:r>
            <w:r>
              <w:rPr>
                <w:rFonts w:hint="eastAsia" w:ascii="宋体" w:hAnsi="宋体" w:eastAsia="宋体" w:cs="宋体"/>
                <w:kern w:val="0"/>
                <w:sz w:val="18"/>
                <w:szCs w:val="18"/>
                <w:lang w:val="en-US" w:eastAsia="zh-CN" w:bidi="ar"/>
              </w:rPr>
              <w:t>未提供得 0 分</w:t>
            </w:r>
            <w:r>
              <w:rPr>
                <w:rFonts w:hint="eastAsia" w:ascii="宋体" w:hAnsi="宋体" w:eastAsia="宋体" w:cs="宋体"/>
                <w:kern w:val="0"/>
                <w:sz w:val="18"/>
                <w:szCs w:val="18"/>
                <w:lang w:bidi="ar"/>
              </w:rPr>
              <w:t>；（满分</w:t>
            </w:r>
            <w:r>
              <w:rPr>
                <w:rFonts w:hint="eastAsia" w:ascii="宋体" w:hAnsi="宋体" w:cs="宋体"/>
                <w:kern w:val="0"/>
                <w:sz w:val="18"/>
                <w:szCs w:val="18"/>
                <w:lang w:val="en-US" w:eastAsia="zh-CN" w:bidi="ar"/>
              </w:rPr>
              <w:t>5</w:t>
            </w:r>
            <w:r>
              <w:rPr>
                <w:rFonts w:hint="eastAsia" w:ascii="宋体" w:hAnsi="宋体" w:eastAsia="宋体" w:cs="宋体"/>
                <w:kern w:val="0"/>
                <w:sz w:val="18"/>
                <w:szCs w:val="18"/>
                <w:lang w:bidi="ar"/>
              </w:rPr>
              <w:t>分）</w:t>
            </w:r>
          </w:p>
          <w:p>
            <w:pP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bidi="ar"/>
              </w:rPr>
              <w:t>（2）服务</w:t>
            </w:r>
            <w:r>
              <w:rPr>
                <w:rFonts w:hint="eastAsia" w:ascii="宋体" w:hAnsi="宋体" w:eastAsia="宋体" w:cs="宋体"/>
                <w:kern w:val="0"/>
                <w:sz w:val="18"/>
                <w:szCs w:val="18"/>
                <w:lang w:val="en-US" w:eastAsia="zh-CN" w:bidi="ar"/>
              </w:rPr>
              <w:t>响应</w:t>
            </w:r>
            <w:r>
              <w:rPr>
                <w:rFonts w:hint="eastAsia" w:ascii="宋体" w:hAnsi="宋体" w:eastAsia="宋体" w:cs="宋体"/>
                <w:kern w:val="0"/>
                <w:sz w:val="18"/>
                <w:szCs w:val="18"/>
                <w:lang w:bidi="ar"/>
              </w:rPr>
              <w:t>：接到故障电话后</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bidi="ar"/>
              </w:rPr>
              <w:t>小时内能抵达现场并解除故障得</w:t>
            </w:r>
            <w:r>
              <w:rPr>
                <w:rFonts w:hint="eastAsia" w:ascii="宋体" w:hAnsi="宋体" w:eastAsia="宋体" w:cs="宋体"/>
                <w:kern w:val="0"/>
                <w:sz w:val="18"/>
                <w:szCs w:val="18"/>
                <w:lang w:val="en-US" w:eastAsia="zh-CN" w:bidi="ar"/>
              </w:rPr>
              <w:t>2</w:t>
            </w:r>
            <w:r>
              <w:rPr>
                <w:rFonts w:hint="eastAsia" w:ascii="宋体" w:hAnsi="宋体" w:eastAsia="宋体" w:cs="宋体"/>
                <w:kern w:val="0"/>
                <w:sz w:val="18"/>
                <w:szCs w:val="18"/>
                <w:lang w:bidi="ar"/>
              </w:rPr>
              <w:t>分；</w:t>
            </w:r>
            <w:r>
              <w:rPr>
                <w:rFonts w:hint="eastAsia" w:ascii="宋体" w:hAnsi="宋体" w:cs="宋体"/>
                <w:kern w:val="0"/>
                <w:sz w:val="18"/>
                <w:szCs w:val="18"/>
                <w:lang w:val="en-US" w:eastAsia="zh-CN" w:bidi="ar"/>
              </w:rPr>
              <w:t>5</w:t>
            </w:r>
            <w:r>
              <w:rPr>
                <w:rFonts w:hint="eastAsia" w:ascii="宋体" w:hAnsi="宋体" w:eastAsia="宋体" w:cs="宋体"/>
                <w:kern w:val="0"/>
                <w:sz w:val="18"/>
                <w:szCs w:val="18"/>
                <w:lang w:bidi="ar"/>
              </w:rPr>
              <w:t>小时内抵达现场并解除故障得1分；其余情形不得分；（满分2分）</w:t>
            </w:r>
          </w:p>
          <w:p>
            <w:pPr>
              <w:keepNext w:val="0"/>
              <w:keepLines w:val="0"/>
              <w:widowControl/>
              <w:suppressLineNumbers w:val="0"/>
              <w:jc w:val="left"/>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）提供货物包退包换承诺书，综合评分，范围0-1分（满分1分）</w:t>
            </w:r>
          </w:p>
          <w:p>
            <w:pP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bidi="ar"/>
              </w:rPr>
              <w:t>（</w:t>
            </w:r>
            <w:r>
              <w:rPr>
                <w:rFonts w:hint="eastAsia" w:ascii="宋体" w:hAnsi="宋体" w:cs="宋体"/>
                <w:kern w:val="0"/>
                <w:sz w:val="18"/>
                <w:szCs w:val="18"/>
                <w:lang w:val="en-US" w:eastAsia="zh-CN" w:bidi="ar"/>
              </w:rPr>
              <w:t>4</w:t>
            </w: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提供违约处罚承诺书，综合评分，范围0-1分（满分1分）</w:t>
            </w:r>
          </w:p>
          <w:p>
            <w:pPr>
              <w:rPr>
                <w:rFonts w:ascii="仿宋_GB2312" w:eastAsia="仿宋_GB2312" w:cs="仿宋_GB2312"/>
                <w:kern w:val="0"/>
                <w:sz w:val="16"/>
                <w:szCs w:val="16"/>
              </w:rPr>
            </w:pPr>
            <w:r>
              <w:rPr>
                <w:rFonts w:hint="eastAsia" w:ascii="宋体" w:hAnsi="宋体" w:eastAsia="宋体" w:cs="宋体"/>
                <w:kern w:val="0"/>
                <w:sz w:val="18"/>
                <w:szCs w:val="18"/>
                <w:lang w:val="en-US" w:eastAsia="zh-CN" w:bidi="ar"/>
              </w:rPr>
              <w:t>（</w:t>
            </w:r>
            <w:r>
              <w:rPr>
                <w:rFonts w:hint="eastAsia" w:ascii="宋体" w:hAnsi="宋体" w:cs="宋体"/>
                <w:kern w:val="0"/>
                <w:sz w:val="18"/>
                <w:szCs w:val="18"/>
                <w:lang w:val="en-US" w:eastAsia="zh-CN" w:bidi="ar"/>
              </w:rPr>
              <w:t>5</w:t>
            </w:r>
            <w:r>
              <w:rPr>
                <w:rFonts w:hint="eastAsia" w:ascii="宋体" w:hAnsi="宋体" w:eastAsia="宋体" w:cs="宋体"/>
                <w:kern w:val="0"/>
                <w:sz w:val="18"/>
                <w:szCs w:val="18"/>
                <w:lang w:val="en-US" w:eastAsia="zh-CN" w:bidi="ar"/>
              </w:rPr>
              <w:t>）提供针对本项目人员投入方案，综合评分，范围0-1分（满分1分）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jc w:val="center"/>
              <w:rPr>
                <w:rFonts w:ascii="Calibri" w:hAnsi="Calibri" w:cs="Calibri"/>
                <w:szCs w:val="22"/>
              </w:rPr>
            </w:pPr>
          </w:p>
        </w:tc>
        <w:tc>
          <w:tcPr>
            <w:tcW w:w="8571" w:type="dxa"/>
            <w:tcBorders>
              <w:top w:val="single" w:color="auto" w:sz="4" w:space="0"/>
              <w:left w:val="nil"/>
              <w:bottom w:val="single" w:color="auto" w:sz="4" w:space="0"/>
              <w:right w:val="single" w:color="auto" w:sz="4" w:space="0"/>
            </w:tcBorders>
            <w:noWrap w:val="0"/>
            <w:vAlign w:val="top"/>
          </w:tcPr>
          <w:p>
            <w:pPr>
              <w:rPr>
                <w:rFonts w:hint="eastAsia" w:ascii="仿宋_GB2312" w:hAnsi="仿宋_GB2312" w:cs="宋体"/>
                <w:b/>
                <w:sz w:val="18"/>
                <w:szCs w:val="18"/>
                <w:lang w:bidi="ar"/>
              </w:rPr>
            </w:pPr>
            <w:r>
              <w:rPr>
                <w:rFonts w:hint="eastAsia" w:ascii="仿宋_GB2312" w:hAnsi="仿宋_GB2312" w:cs="宋体"/>
                <w:b/>
                <w:sz w:val="18"/>
                <w:szCs w:val="18"/>
                <w:lang w:val="en-US" w:eastAsia="zh-CN" w:bidi="ar"/>
              </w:rPr>
              <w:t>4、技术服务能力</w:t>
            </w:r>
            <w:r>
              <w:rPr>
                <w:rFonts w:hint="eastAsia" w:ascii="仿宋_GB2312" w:hAnsi="仿宋_GB2312" w:cs="宋体"/>
                <w:b/>
                <w:sz w:val="18"/>
                <w:szCs w:val="18"/>
                <w:lang w:bidi="ar"/>
              </w:rPr>
              <w:t>（</w:t>
            </w:r>
            <w:r>
              <w:rPr>
                <w:rFonts w:hint="eastAsia" w:ascii="仿宋_GB2312" w:hAnsi="仿宋_GB2312" w:cs="宋体"/>
                <w:b/>
                <w:kern w:val="0"/>
                <w:sz w:val="18"/>
                <w:szCs w:val="18"/>
                <w:lang w:bidi="ar"/>
              </w:rPr>
              <w:t>满分</w:t>
            </w:r>
            <w:r>
              <w:rPr>
                <w:rFonts w:hint="eastAsia" w:ascii="仿宋_GB2312" w:eastAsia="仿宋_GB2312" w:cs="仿宋_GB2312"/>
                <w:b/>
                <w:kern w:val="0"/>
                <w:sz w:val="18"/>
                <w:szCs w:val="18"/>
                <w:lang w:val="en-US" w:eastAsia="zh-CN" w:bidi="ar"/>
              </w:rPr>
              <w:t>8</w:t>
            </w:r>
            <w:r>
              <w:rPr>
                <w:rFonts w:hint="eastAsia" w:ascii="仿宋_GB2312" w:hAnsi="仿宋_GB2312" w:cs="宋体"/>
                <w:b/>
                <w:kern w:val="0"/>
                <w:sz w:val="18"/>
                <w:szCs w:val="18"/>
                <w:lang w:bidi="ar"/>
              </w:rPr>
              <w:t>分）：</w:t>
            </w:r>
          </w:p>
          <w:p>
            <w:pP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bidi="ar"/>
              </w:rPr>
              <w:t>（1）</w:t>
            </w:r>
            <w:r>
              <w:rPr>
                <w:rFonts w:hint="eastAsia" w:ascii="宋体" w:hAnsi="宋体" w:eastAsia="宋体" w:cs="宋体"/>
                <w:kern w:val="0"/>
                <w:sz w:val="18"/>
                <w:szCs w:val="18"/>
                <w:lang w:val="en-US" w:eastAsia="zh-CN" w:bidi="ar"/>
              </w:rPr>
              <w:t xml:space="preserve">供应商在项目实施地区有固定售后服务网点得 </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分（满分</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 xml:space="preserve">分）； </w:t>
            </w:r>
          </w:p>
          <w:p>
            <w:pP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2</w:t>
            </w:r>
            <w:r>
              <w:rPr>
                <w:rFonts w:hint="eastAsia" w:ascii="宋体" w:hAnsi="宋体" w:eastAsia="宋体" w:cs="宋体"/>
                <w:kern w:val="0"/>
                <w:sz w:val="18"/>
                <w:szCs w:val="18"/>
                <w:lang w:bidi="ar"/>
              </w:rPr>
              <w:t>）</w:t>
            </w:r>
            <w:r>
              <w:rPr>
                <w:rFonts w:hint="eastAsia" w:ascii="宋体" w:hAnsi="宋体" w:eastAsia="宋体" w:cs="宋体"/>
                <w:kern w:val="0"/>
                <w:sz w:val="18"/>
                <w:szCs w:val="18"/>
                <w:lang w:val="en-US" w:eastAsia="zh-CN" w:bidi="ar"/>
              </w:rPr>
              <w:t xml:space="preserve">供应商在疆内有固定售后服务网点得 </w:t>
            </w:r>
            <w:r>
              <w:rPr>
                <w:rFonts w:hint="eastAsia" w:ascii="宋体" w:hAnsi="宋体" w:cs="宋体"/>
                <w:kern w:val="0"/>
                <w:sz w:val="18"/>
                <w:szCs w:val="18"/>
                <w:lang w:val="en-US" w:eastAsia="zh-CN" w:bidi="ar"/>
              </w:rPr>
              <w:t>1</w:t>
            </w:r>
            <w:r>
              <w:rPr>
                <w:rFonts w:hint="eastAsia" w:ascii="宋体" w:hAnsi="宋体" w:eastAsia="宋体" w:cs="宋体"/>
                <w:kern w:val="0"/>
                <w:sz w:val="18"/>
                <w:szCs w:val="18"/>
                <w:lang w:val="en-US" w:eastAsia="zh-CN" w:bidi="ar"/>
              </w:rPr>
              <w:t xml:space="preserve"> 分（满分</w:t>
            </w:r>
            <w:r>
              <w:rPr>
                <w:rFonts w:hint="eastAsia" w:ascii="宋体" w:hAnsi="宋体" w:cs="宋体"/>
                <w:kern w:val="0"/>
                <w:sz w:val="18"/>
                <w:szCs w:val="18"/>
                <w:lang w:val="en-US" w:eastAsia="zh-CN" w:bidi="ar"/>
              </w:rPr>
              <w:t>1</w:t>
            </w:r>
            <w:r>
              <w:rPr>
                <w:rFonts w:hint="eastAsia" w:ascii="宋体" w:hAnsi="宋体" w:eastAsia="宋体" w:cs="宋体"/>
                <w:kern w:val="0"/>
                <w:sz w:val="18"/>
                <w:szCs w:val="18"/>
                <w:lang w:val="en-US" w:eastAsia="zh-CN" w:bidi="ar"/>
              </w:rPr>
              <w:t xml:space="preserve">分）； </w:t>
            </w:r>
          </w:p>
          <w:p>
            <w:pPr>
              <w:rPr>
                <w:rFonts w:hint="eastAsia" w:ascii="宋体" w:hAnsi="宋体" w:eastAsia="宋体" w:cs="宋体"/>
                <w:kern w:val="0"/>
                <w:sz w:val="18"/>
                <w:szCs w:val="18"/>
                <w:lang w:val="en-US" w:eastAsia="zh-CN" w:bidi="ar"/>
              </w:rPr>
            </w:pPr>
            <w:r>
              <w:rPr>
                <w:rFonts w:hint="eastAsia" w:ascii="宋体" w:hAnsi="宋体" w:eastAsia="宋体" w:cs="宋体"/>
                <w:b/>
                <w:bCs/>
                <w:kern w:val="0"/>
                <w:sz w:val="18"/>
                <w:szCs w:val="18"/>
                <w:lang w:val="en-US" w:eastAsia="zh-CN" w:bidi="ar"/>
              </w:rPr>
              <w:t>（须提供房屋购买合同或租赁合同）</w:t>
            </w:r>
            <w:r>
              <w:rPr>
                <w:rFonts w:hint="eastAsia" w:ascii="宋体" w:hAnsi="宋体" w:eastAsia="宋体" w:cs="宋体"/>
                <w:kern w:val="0"/>
                <w:sz w:val="18"/>
                <w:szCs w:val="18"/>
                <w:lang w:val="en-US" w:eastAsia="zh-CN" w:bidi="ar"/>
              </w:rPr>
              <w:t>不提供此项不得分</w:t>
            </w:r>
          </w:p>
          <w:p>
            <w:pPr>
              <w:rPr>
                <w:rFonts w:hint="eastAsia"/>
                <w:lang w:val="en-US" w:eastAsia="zh-CN"/>
              </w:rPr>
            </w:pPr>
            <w:r>
              <w:rPr>
                <w:rFonts w:hint="eastAsia" w:ascii="宋体" w:hAnsi="宋体" w:eastAsia="宋体" w:cs="宋体"/>
                <w:kern w:val="0"/>
                <w:sz w:val="18"/>
                <w:szCs w:val="18"/>
                <w:lang w:val="en-US" w:eastAsia="zh-CN" w:bidi="ar"/>
              </w:rPr>
              <w:t>（</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）供货商拟投入本项目技术人员每增加1人得1分（满分</w:t>
            </w:r>
            <w:r>
              <w:rPr>
                <w:rFonts w:hint="eastAsia" w:ascii="宋体" w:hAnsi="宋体" w:cs="宋体"/>
                <w:kern w:val="0"/>
                <w:sz w:val="18"/>
                <w:szCs w:val="18"/>
                <w:lang w:val="en-US" w:eastAsia="zh-CN" w:bidi="ar"/>
              </w:rPr>
              <w:t>4</w:t>
            </w:r>
            <w:r>
              <w:rPr>
                <w:rFonts w:hint="eastAsia" w:ascii="宋体" w:hAnsi="宋体" w:eastAsia="宋体" w:cs="宋体"/>
                <w:kern w:val="0"/>
                <w:sz w:val="18"/>
                <w:szCs w:val="18"/>
                <w:lang w:val="en-US" w:eastAsia="zh-CN" w:bidi="ar"/>
              </w:rPr>
              <w:t>分）</w:t>
            </w:r>
            <w:r>
              <w:rPr>
                <w:rFonts w:hint="eastAsia" w:ascii="宋体" w:hAnsi="宋体" w:eastAsia="宋体" w:cs="宋体"/>
                <w:b/>
                <w:bCs/>
                <w:kern w:val="0"/>
                <w:sz w:val="18"/>
                <w:szCs w:val="18"/>
                <w:lang w:val="en-US" w:eastAsia="zh-CN" w:bidi="ar"/>
              </w:rPr>
              <w:t>（需提供人员名单及人员相关</w:t>
            </w:r>
            <w:r>
              <w:rPr>
                <w:rFonts w:hint="eastAsia" w:ascii="宋体" w:hAnsi="宋体" w:cs="宋体"/>
                <w:b/>
                <w:bCs/>
                <w:kern w:val="0"/>
                <w:sz w:val="18"/>
                <w:szCs w:val="18"/>
                <w:lang w:val="en-US" w:eastAsia="zh-CN" w:bidi="ar"/>
              </w:rPr>
              <w:t>技术</w:t>
            </w:r>
            <w:r>
              <w:rPr>
                <w:rFonts w:hint="eastAsia" w:ascii="宋体" w:hAnsi="宋体" w:eastAsia="宋体" w:cs="宋体"/>
                <w:b/>
                <w:bCs/>
                <w:kern w:val="0"/>
                <w:sz w:val="18"/>
                <w:szCs w:val="18"/>
                <w:lang w:val="en-US" w:eastAsia="zh-CN" w:bidi="ar"/>
              </w:rPr>
              <w:t>证件）</w:t>
            </w:r>
            <w:r>
              <w:rPr>
                <w:rFonts w:hint="eastAsia" w:ascii="宋体" w:hAnsi="宋体" w:eastAsia="宋体" w:cs="宋体"/>
                <w:kern w:val="0"/>
                <w:sz w:val="18"/>
                <w:szCs w:val="18"/>
                <w:lang w:val="en-US" w:eastAsia="zh-CN" w:bidi="ar"/>
              </w:rPr>
              <w:t>未提供的此项不得分。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1119" w:type="dxa"/>
            <w:vMerge w:val="continue"/>
            <w:tcBorders>
              <w:top w:val="nil"/>
              <w:left w:val="single" w:color="auto" w:sz="4" w:space="0"/>
              <w:bottom w:val="single" w:color="auto" w:sz="4" w:space="0"/>
              <w:right w:val="single" w:color="auto" w:sz="4" w:space="0"/>
            </w:tcBorders>
            <w:noWrap w:val="0"/>
            <w:vAlign w:val="center"/>
          </w:tcPr>
          <w:p>
            <w:pPr>
              <w:jc w:val="center"/>
              <w:rPr>
                <w:rFonts w:ascii="Calibri" w:hAnsi="Calibri" w:cs="Calibri"/>
                <w:szCs w:val="22"/>
              </w:rPr>
            </w:pPr>
          </w:p>
        </w:tc>
        <w:tc>
          <w:tcPr>
            <w:tcW w:w="8571" w:type="dxa"/>
            <w:tcBorders>
              <w:top w:val="single" w:color="auto" w:sz="4" w:space="0"/>
              <w:left w:val="nil"/>
              <w:bottom w:val="single" w:color="auto" w:sz="4" w:space="0"/>
              <w:right w:val="single" w:color="auto" w:sz="4" w:space="0"/>
            </w:tcBorders>
            <w:noWrap w:val="0"/>
            <w:vAlign w:val="top"/>
          </w:tcPr>
          <w:p>
            <w:pPr>
              <w:numPr>
                <w:ilvl w:val="0"/>
                <w:numId w:val="0"/>
              </w:numPr>
              <w:rPr>
                <w:rFonts w:hint="eastAsia" w:ascii="仿宋_GB2312" w:hAnsi="仿宋_GB2312" w:cs="宋体"/>
                <w:b/>
                <w:kern w:val="0"/>
                <w:sz w:val="18"/>
                <w:szCs w:val="18"/>
                <w:lang w:bidi="ar"/>
              </w:rPr>
            </w:pPr>
            <w:r>
              <w:rPr>
                <w:rFonts w:hint="eastAsia" w:ascii="仿宋_GB2312" w:hAnsi="仿宋_GB2312" w:cs="宋体"/>
                <w:b/>
                <w:kern w:val="0"/>
                <w:sz w:val="18"/>
                <w:szCs w:val="18"/>
                <w:lang w:val="en-US" w:eastAsia="zh-CN" w:bidi="ar"/>
              </w:rPr>
              <w:t>5</w:t>
            </w:r>
            <w:r>
              <w:rPr>
                <w:rFonts w:hint="eastAsia" w:ascii="仿宋_GB2312" w:hAnsi="仿宋_GB2312" w:eastAsia="宋体" w:cs="宋体"/>
                <w:b/>
                <w:kern w:val="0"/>
                <w:sz w:val="18"/>
                <w:szCs w:val="18"/>
                <w:lang w:val="en-US" w:eastAsia="zh-CN" w:bidi="ar"/>
              </w:rPr>
              <w:t>、安装、调试及设备应用验证方案</w:t>
            </w:r>
            <w:r>
              <w:rPr>
                <w:rFonts w:hint="eastAsia" w:ascii="仿宋_GB2312" w:hAnsi="仿宋_GB2312" w:cs="宋体"/>
                <w:b/>
                <w:sz w:val="18"/>
                <w:szCs w:val="18"/>
                <w:lang w:bidi="ar"/>
              </w:rPr>
              <w:t>（</w:t>
            </w:r>
            <w:r>
              <w:rPr>
                <w:rFonts w:hint="eastAsia" w:ascii="仿宋_GB2312" w:hAnsi="仿宋_GB2312" w:cs="宋体"/>
                <w:b/>
                <w:kern w:val="0"/>
                <w:sz w:val="18"/>
                <w:szCs w:val="18"/>
                <w:lang w:bidi="ar"/>
              </w:rPr>
              <w:t>满分</w:t>
            </w:r>
            <w:r>
              <w:rPr>
                <w:rFonts w:hint="eastAsia" w:ascii="仿宋_GB2312" w:eastAsia="仿宋_GB2312" w:cs="仿宋_GB2312"/>
                <w:b/>
                <w:kern w:val="0"/>
                <w:sz w:val="18"/>
                <w:szCs w:val="18"/>
                <w:lang w:val="en-US" w:eastAsia="zh-CN" w:bidi="ar"/>
              </w:rPr>
              <w:t>5</w:t>
            </w:r>
            <w:r>
              <w:rPr>
                <w:rFonts w:hint="eastAsia" w:ascii="仿宋_GB2312" w:hAnsi="仿宋_GB2312" w:cs="宋体"/>
                <w:b/>
                <w:kern w:val="0"/>
                <w:sz w:val="18"/>
                <w:szCs w:val="18"/>
                <w:lang w:bidi="ar"/>
              </w:rPr>
              <w:t>分）：</w:t>
            </w:r>
          </w:p>
          <w:p>
            <w:pPr>
              <w:rPr>
                <w:rFonts w:hint="eastAsia" w:ascii="仿宋_GB2312" w:hAnsi="仿宋_GB2312" w:eastAsia="宋体" w:cs="宋体"/>
                <w:sz w:val="18"/>
                <w:szCs w:val="18"/>
                <w:lang w:val="en-US" w:eastAsia="zh-CN" w:bidi="ar"/>
              </w:rPr>
            </w:pPr>
            <w:r>
              <w:rPr>
                <w:rFonts w:hint="eastAsia" w:ascii="仿宋_GB2312" w:hAnsi="仿宋_GB2312" w:eastAsia="宋体" w:cs="宋体"/>
                <w:sz w:val="18"/>
                <w:szCs w:val="18"/>
                <w:lang w:val="en-US" w:eastAsia="zh-CN" w:bidi="ar"/>
              </w:rPr>
              <w:t>根据投标人的安装、调试方案及所要求的设备应用方案，由评委综合评分：</w:t>
            </w:r>
          </w:p>
          <w:p>
            <w:pPr>
              <w:rPr>
                <w:rFonts w:hint="eastAsia" w:ascii="仿宋_GB2312" w:hAnsi="仿宋_GB2312" w:eastAsia="宋体" w:cs="宋体"/>
                <w:sz w:val="18"/>
                <w:szCs w:val="18"/>
                <w:lang w:val="en-US" w:eastAsia="zh-CN" w:bidi="ar"/>
              </w:rPr>
            </w:pPr>
            <w:r>
              <w:rPr>
                <w:rFonts w:hint="eastAsia" w:ascii="仿宋_GB2312" w:hAnsi="仿宋_GB2312" w:eastAsia="宋体" w:cs="宋体"/>
                <w:sz w:val="18"/>
                <w:szCs w:val="18"/>
                <w:lang w:val="en-US" w:eastAsia="zh-CN" w:bidi="ar"/>
              </w:rPr>
              <w:t>1）能根据本项目实际情况提出方案，且安装调试方案科学、合理、安装程序与进度保障措施完善的得 5 分；</w:t>
            </w:r>
          </w:p>
          <w:p>
            <w:pPr>
              <w:rPr>
                <w:rFonts w:hint="eastAsia" w:ascii="仿宋_GB2312" w:hAnsi="仿宋_GB2312" w:eastAsia="宋体" w:cs="宋体"/>
                <w:sz w:val="18"/>
                <w:szCs w:val="18"/>
                <w:lang w:val="en-US" w:eastAsia="zh-CN" w:bidi="ar"/>
              </w:rPr>
            </w:pPr>
            <w:r>
              <w:rPr>
                <w:rFonts w:hint="eastAsia" w:ascii="仿宋_GB2312" w:hAnsi="仿宋_GB2312" w:eastAsia="宋体" w:cs="宋体"/>
                <w:sz w:val="18"/>
                <w:szCs w:val="18"/>
                <w:lang w:val="en-US" w:eastAsia="zh-CN" w:bidi="ar"/>
              </w:rPr>
              <w:t xml:space="preserve">2）安装调试方案基本可行、具备安装程序与进度保障措施的得 3 分； </w:t>
            </w:r>
          </w:p>
          <w:p>
            <w:pPr>
              <w:rPr>
                <w:rFonts w:hint="eastAsia" w:ascii="仿宋_GB2312" w:hAnsi="仿宋_GB2312" w:eastAsia="宋体" w:cs="宋体"/>
                <w:sz w:val="18"/>
                <w:szCs w:val="18"/>
                <w:lang w:val="en-US" w:eastAsia="zh-CN" w:bidi="ar"/>
              </w:rPr>
            </w:pPr>
            <w:r>
              <w:rPr>
                <w:rFonts w:hint="eastAsia" w:ascii="仿宋_GB2312" w:hAnsi="仿宋_GB2312" w:eastAsia="宋体" w:cs="宋体"/>
                <w:sz w:val="18"/>
                <w:szCs w:val="18"/>
                <w:lang w:val="en-US" w:eastAsia="zh-CN" w:bidi="ar"/>
              </w:rPr>
              <w:t>3）安装调试方案不完善、安装程序与进度保障措施考虑不周全的得 1 分；</w:t>
            </w:r>
          </w:p>
          <w:p>
            <w:pPr>
              <w:rPr>
                <w:rFonts w:hint="eastAsia" w:ascii="仿宋_GB2312" w:hAnsi="仿宋_GB2312" w:cs="宋体"/>
                <w:sz w:val="18"/>
                <w:szCs w:val="18"/>
                <w:lang w:bidi="ar"/>
              </w:rPr>
            </w:pPr>
            <w:r>
              <w:rPr>
                <w:rFonts w:hint="eastAsia" w:ascii="仿宋_GB2312" w:hAnsi="仿宋_GB2312" w:eastAsia="宋体" w:cs="宋体"/>
                <w:sz w:val="18"/>
                <w:szCs w:val="18"/>
                <w:lang w:val="en-US" w:eastAsia="zh-CN"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19" w:type="dxa"/>
            <w:vMerge w:val="restart"/>
            <w:tcBorders>
              <w:top w:val="nil"/>
              <w:left w:val="single" w:color="auto" w:sz="4" w:space="0"/>
              <w:right w:val="single" w:color="auto" w:sz="4" w:space="0"/>
            </w:tcBorders>
            <w:noWrap w:val="0"/>
            <w:vAlign w:val="center"/>
          </w:tcPr>
          <w:p>
            <w:pPr>
              <w:widowControl/>
              <w:jc w:val="center"/>
              <w:textAlignment w:val="center"/>
              <w:rPr>
                <w:rFonts w:hint="eastAsia" w:ascii="仿宋_GB2312" w:hAnsi="仿宋_GB2312" w:cs="宋体"/>
                <w:b/>
                <w:kern w:val="0"/>
                <w:sz w:val="18"/>
                <w:szCs w:val="18"/>
                <w:lang w:bidi="ar"/>
              </w:rPr>
            </w:pPr>
            <w:r>
              <w:rPr>
                <w:rFonts w:hint="eastAsia" w:ascii="仿宋_GB2312" w:hAnsi="仿宋_GB2312" w:cs="宋体"/>
                <w:b/>
                <w:kern w:val="0"/>
                <w:sz w:val="18"/>
                <w:szCs w:val="18"/>
                <w:lang w:bidi="ar"/>
              </w:rPr>
              <w:t>商务因素</w:t>
            </w:r>
          </w:p>
          <w:p>
            <w:pPr>
              <w:widowControl/>
              <w:jc w:val="center"/>
              <w:textAlignment w:val="center"/>
              <w:rPr>
                <w:rFonts w:ascii="仿宋_GB2312" w:eastAsia="仿宋_GB2312" w:cs="仿宋_GB2312"/>
                <w:b/>
                <w:kern w:val="0"/>
                <w:sz w:val="18"/>
                <w:szCs w:val="18"/>
              </w:rPr>
            </w:pPr>
            <w:r>
              <w:rPr>
                <w:rFonts w:hint="eastAsia" w:ascii="仿宋_GB2312" w:hAnsi="仿宋_GB2312" w:cs="宋体"/>
                <w:b/>
                <w:color w:val="FF0000"/>
                <w:kern w:val="0"/>
                <w:sz w:val="18"/>
                <w:szCs w:val="18"/>
                <w:lang w:bidi="ar"/>
              </w:rPr>
              <w:t>（</w:t>
            </w:r>
            <w:r>
              <w:rPr>
                <w:rFonts w:hint="eastAsia" w:ascii="仿宋_GB2312" w:eastAsia="仿宋_GB2312" w:cs="仿宋_GB2312"/>
                <w:b/>
                <w:color w:val="FF0000"/>
                <w:kern w:val="0"/>
                <w:sz w:val="18"/>
                <w:szCs w:val="18"/>
                <w:lang w:val="en-US" w:eastAsia="zh-CN" w:bidi="ar"/>
              </w:rPr>
              <w:t>3</w:t>
            </w:r>
            <w:r>
              <w:rPr>
                <w:rFonts w:hint="eastAsia" w:ascii="仿宋_GB2312" w:hAnsi="仿宋_GB2312" w:cs="宋体"/>
                <w:b/>
                <w:color w:val="FF0000"/>
                <w:kern w:val="0"/>
                <w:sz w:val="18"/>
                <w:szCs w:val="18"/>
                <w:lang w:bidi="ar"/>
              </w:rPr>
              <w:t>分）</w:t>
            </w:r>
          </w:p>
        </w:tc>
        <w:tc>
          <w:tcPr>
            <w:tcW w:w="8571" w:type="dxa"/>
            <w:tcBorders>
              <w:top w:val="single" w:color="auto" w:sz="4" w:space="0"/>
              <w:left w:val="nil"/>
              <w:bottom w:val="single" w:color="auto" w:sz="4" w:space="0"/>
              <w:right w:val="single" w:color="auto" w:sz="4" w:space="0"/>
            </w:tcBorders>
            <w:noWrap w:val="0"/>
            <w:vAlign w:val="top"/>
          </w:tcPr>
          <w:p>
            <w:pPr>
              <w:rPr>
                <w:rFonts w:hint="eastAsia"/>
              </w:rPr>
            </w:pPr>
            <w:r>
              <w:rPr>
                <w:rFonts w:hint="eastAsia" w:ascii="宋体" w:hAnsi="宋体" w:cs="宋体"/>
                <w:b/>
                <w:kern w:val="0"/>
                <w:sz w:val="18"/>
                <w:szCs w:val="18"/>
                <w:lang w:val="en-US" w:eastAsia="zh-CN" w:bidi="ar"/>
              </w:rPr>
              <w:t>1</w:t>
            </w:r>
            <w:r>
              <w:rPr>
                <w:rFonts w:hint="eastAsia" w:ascii="宋体" w:hAnsi="宋体" w:eastAsia="宋体" w:cs="宋体"/>
                <w:b/>
                <w:kern w:val="0"/>
                <w:sz w:val="18"/>
                <w:szCs w:val="18"/>
                <w:lang w:val="en-US" w:eastAsia="zh-CN" w:bidi="ar"/>
              </w:rPr>
              <w:t>、标函质量（满分</w:t>
            </w:r>
            <w:r>
              <w:rPr>
                <w:rFonts w:hint="eastAsia" w:ascii="宋体" w:hAnsi="宋体" w:cs="宋体"/>
                <w:b/>
                <w:kern w:val="0"/>
                <w:sz w:val="18"/>
                <w:szCs w:val="18"/>
                <w:lang w:val="en-US" w:eastAsia="zh-CN" w:bidi="ar"/>
              </w:rPr>
              <w:t>1</w:t>
            </w:r>
            <w:r>
              <w:rPr>
                <w:rFonts w:hint="eastAsia" w:ascii="宋体" w:hAnsi="宋体" w:eastAsia="宋体" w:cs="宋体"/>
                <w:b/>
                <w:kern w:val="0"/>
                <w:sz w:val="18"/>
                <w:szCs w:val="18"/>
                <w:lang w:val="en-US" w:eastAsia="zh-CN" w:bidi="ar"/>
              </w:rPr>
              <w:t>分）：</w:t>
            </w:r>
            <w:r>
              <w:rPr>
                <w:rFonts w:hint="eastAsia" w:ascii="宋体" w:hAnsi="宋体" w:eastAsia="宋体" w:cs="宋体"/>
                <w:kern w:val="0"/>
                <w:sz w:val="18"/>
                <w:szCs w:val="18"/>
                <w:lang w:val="en-US" w:eastAsia="zh-CN" w:bidi="ar"/>
              </w:rPr>
              <w:t>投标企业上传的相关资料齐全、规范、目录清晰准确、评审内容便于查找，编制内容完整、齐全、叙述严谨；优的得1分，良的得0.5分，一般的不得分。由评委横向对比打分。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119" w:type="dxa"/>
            <w:vMerge w:val="continue"/>
            <w:tcBorders>
              <w:left w:val="single" w:color="auto" w:sz="4" w:space="0"/>
              <w:right w:val="single" w:color="auto" w:sz="4" w:space="0"/>
            </w:tcBorders>
            <w:noWrap w:val="0"/>
            <w:vAlign w:val="center"/>
          </w:tcPr>
          <w:p>
            <w:pPr>
              <w:widowControl/>
              <w:jc w:val="center"/>
              <w:textAlignment w:val="center"/>
              <w:rPr>
                <w:rFonts w:hint="eastAsia" w:ascii="仿宋_GB2312" w:hAnsi="仿宋_GB2312" w:cs="宋体"/>
                <w:b/>
                <w:color w:val="FF0000"/>
                <w:kern w:val="0"/>
                <w:sz w:val="18"/>
                <w:szCs w:val="18"/>
                <w:lang w:bidi="ar"/>
              </w:rPr>
            </w:pPr>
            <w:bookmarkStart w:id="690" w:name="_Toc997"/>
            <w:bookmarkStart w:id="691" w:name="_Toc11667"/>
            <w:bookmarkStart w:id="692" w:name="_Toc10296"/>
            <w:bookmarkStart w:id="693" w:name="_Toc25236"/>
            <w:bookmarkStart w:id="694" w:name="_Toc16427"/>
            <w:bookmarkStart w:id="695" w:name="_Toc27374"/>
            <w:bookmarkStart w:id="696" w:name="_Toc8709"/>
            <w:bookmarkStart w:id="697" w:name="_Toc20321"/>
            <w:bookmarkStart w:id="698" w:name="_Toc21397"/>
            <w:bookmarkStart w:id="699" w:name="_Toc18037"/>
            <w:bookmarkStart w:id="700" w:name="_Toc14078"/>
            <w:bookmarkStart w:id="701" w:name="_Toc30135"/>
            <w:bookmarkStart w:id="702" w:name="_Toc20854"/>
            <w:bookmarkStart w:id="703" w:name="_Toc11428"/>
            <w:bookmarkStart w:id="704" w:name="_Toc14344"/>
            <w:bookmarkStart w:id="705" w:name="_Toc5580"/>
            <w:bookmarkStart w:id="706" w:name="_Toc29605"/>
            <w:bookmarkStart w:id="707" w:name="_Toc2497"/>
            <w:bookmarkStart w:id="708" w:name="_Toc21588"/>
          </w:p>
        </w:tc>
        <w:tc>
          <w:tcPr>
            <w:tcW w:w="8571" w:type="dxa"/>
            <w:tcBorders>
              <w:top w:val="single" w:color="auto" w:sz="4" w:space="0"/>
              <w:left w:val="nil"/>
              <w:bottom w:val="single" w:color="auto" w:sz="4" w:space="0"/>
              <w:right w:val="single" w:color="auto" w:sz="4" w:space="0"/>
            </w:tcBorders>
            <w:noWrap w:val="0"/>
            <w:vAlign w:val="top"/>
          </w:tcPr>
          <w:p>
            <w:pPr>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2、质保售后服务期（满分</w:t>
            </w:r>
            <w:r>
              <w:rPr>
                <w:rFonts w:hint="eastAsia" w:ascii="宋体" w:hAnsi="宋体" w:cs="宋体"/>
                <w:b/>
                <w:kern w:val="0"/>
                <w:sz w:val="18"/>
                <w:szCs w:val="18"/>
                <w:lang w:val="en-US" w:eastAsia="zh-CN" w:bidi="ar"/>
              </w:rPr>
              <w:t>2</w:t>
            </w:r>
            <w:r>
              <w:rPr>
                <w:rFonts w:hint="eastAsia" w:ascii="宋体" w:hAnsi="宋体" w:eastAsia="宋体" w:cs="宋体"/>
                <w:b/>
                <w:kern w:val="0"/>
                <w:sz w:val="18"/>
                <w:szCs w:val="18"/>
                <w:lang w:val="en-US" w:eastAsia="zh-CN" w:bidi="ar"/>
              </w:rPr>
              <w:t>分）</w:t>
            </w:r>
            <w:r>
              <w:rPr>
                <w:rFonts w:hint="eastAsia" w:ascii="宋体" w:hAnsi="宋体" w:eastAsia="宋体" w:cs="宋体"/>
                <w:kern w:val="0"/>
                <w:sz w:val="18"/>
                <w:szCs w:val="18"/>
                <w:lang w:val="en-US" w:eastAsia="zh-CN" w:bidi="ar"/>
              </w:rPr>
              <w:t>：质保</w:t>
            </w:r>
            <w:r>
              <w:rPr>
                <w:rFonts w:hint="eastAsia" w:ascii="宋体" w:hAnsi="宋体" w:cs="宋体"/>
                <w:kern w:val="0"/>
                <w:sz w:val="18"/>
                <w:szCs w:val="18"/>
                <w:lang w:val="en-US" w:eastAsia="zh-CN" w:bidi="ar"/>
              </w:rPr>
              <w:t>售后服务</w:t>
            </w:r>
            <w:r>
              <w:rPr>
                <w:rFonts w:hint="eastAsia" w:ascii="宋体" w:hAnsi="宋体" w:eastAsia="宋体" w:cs="宋体"/>
                <w:kern w:val="0"/>
                <w:sz w:val="18"/>
                <w:szCs w:val="18"/>
                <w:lang w:val="en-US" w:eastAsia="zh-CN" w:bidi="ar"/>
              </w:rPr>
              <w:t>期每增加1年得</w:t>
            </w:r>
            <w:r>
              <w:rPr>
                <w:rFonts w:hint="eastAsia" w:ascii="宋体" w:hAnsi="宋体" w:cs="宋体"/>
                <w:kern w:val="0"/>
                <w:sz w:val="18"/>
                <w:szCs w:val="18"/>
                <w:lang w:val="en-US" w:eastAsia="zh-CN" w:bidi="ar"/>
              </w:rPr>
              <w:t>2</w:t>
            </w:r>
            <w:r>
              <w:rPr>
                <w:rFonts w:hint="eastAsia" w:ascii="宋体" w:hAnsi="宋体" w:eastAsia="宋体" w:cs="宋体"/>
                <w:kern w:val="0"/>
                <w:sz w:val="18"/>
                <w:szCs w:val="18"/>
                <w:lang w:val="en-US" w:eastAsia="zh-CN" w:bidi="ar"/>
              </w:rPr>
              <w:t>分</w:t>
            </w:r>
            <w:r>
              <w:rPr>
                <w:rFonts w:hint="eastAsia" w:ascii="宋体" w:hAnsi="宋体" w:cs="宋体"/>
                <w:kern w:val="0"/>
                <w:sz w:val="18"/>
                <w:szCs w:val="18"/>
                <w:lang w:val="en-US" w:eastAsia="zh-CN" w:bidi="ar"/>
              </w:rPr>
              <w:t>.</w:t>
            </w:r>
            <w:r>
              <w:rPr>
                <w:rFonts w:hint="eastAsia" w:ascii="宋体" w:hAnsi="宋体" w:eastAsia="宋体" w:cs="宋体"/>
                <w:kern w:val="0"/>
                <w:sz w:val="18"/>
                <w:szCs w:val="18"/>
                <w:lang w:val="en-US" w:eastAsia="zh-CN" w:bidi="ar"/>
              </w:rPr>
              <w:t>（满分</w:t>
            </w:r>
            <w:r>
              <w:rPr>
                <w:rFonts w:hint="eastAsia" w:ascii="宋体" w:hAnsi="宋体" w:cs="宋体"/>
                <w:kern w:val="0"/>
                <w:sz w:val="18"/>
                <w:szCs w:val="18"/>
                <w:lang w:val="en-US" w:eastAsia="zh-CN" w:bidi="ar"/>
              </w:rPr>
              <w:t>2</w:t>
            </w:r>
            <w:r>
              <w:rPr>
                <w:rFonts w:hint="eastAsia" w:ascii="宋体" w:hAnsi="宋体" w:eastAsia="宋体" w:cs="宋体"/>
                <w:kern w:val="0"/>
                <w:sz w:val="18"/>
                <w:szCs w:val="18"/>
                <w:lang w:val="en-US" w:eastAsia="zh-CN" w:bidi="ar"/>
              </w:rPr>
              <w:t>分）</w:t>
            </w:r>
          </w:p>
        </w:tc>
      </w:tr>
    </w:tbl>
    <w:p>
      <w:pPr>
        <w:spacing w:line="240" w:lineRule="atLeast"/>
        <w:jc w:val="both"/>
        <w:outlineLvl w:val="9"/>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outlineLvl w:val="9"/>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outlineLvl w:val="9"/>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spacing w:line="240" w:lineRule="atLeast"/>
        <w:jc w:val="center"/>
        <w:outlineLvl w:val="9"/>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7"/>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
        <w:rPr>
          <w:rFonts w:hint="eastAsia"/>
        </w:rPr>
      </w:pPr>
    </w:p>
    <w:p>
      <w:pPr>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pStyle w:val="27"/>
        <w:rPr>
          <w:rFonts w:hint="eastAsia" w:ascii="微软雅黑" w:hAnsi="微软雅黑" w:eastAsia="微软雅黑" w:cs="微软雅黑"/>
          <w:b/>
          <w:bCs/>
          <w:color w:val="000000" w:themeColor="text1"/>
          <w:sz w:val="40"/>
          <w:szCs w:val="40"/>
          <w:highlight w:val="none"/>
          <w14:textFill>
            <w14:solidFill>
              <w14:schemeClr w14:val="tx1"/>
            </w14:solidFill>
          </w14:textFill>
        </w:rPr>
      </w:pPr>
    </w:p>
    <w:p>
      <w:pPr>
        <w:rPr>
          <w:rFonts w:hint="eastAsia"/>
        </w:rPr>
      </w:pPr>
    </w:p>
    <w:p>
      <w:pPr>
        <w:spacing w:line="240" w:lineRule="atLeast"/>
        <w:jc w:val="center"/>
        <w:outlineLvl w:val="0"/>
        <w:rPr>
          <w:rFonts w:hint="eastAsia" w:ascii="微软雅黑" w:hAnsi="微软雅黑" w:eastAsia="微软雅黑" w:cs="微软雅黑"/>
          <w:b/>
          <w:bCs/>
          <w:color w:val="000000" w:themeColor="text1"/>
          <w:sz w:val="40"/>
          <w:szCs w:val="40"/>
          <w:highlight w:val="none"/>
          <w14:textFill>
            <w14:solidFill>
              <w14:schemeClr w14:val="tx1"/>
            </w14:solidFill>
          </w14:textFill>
        </w:rPr>
      </w:pPr>
      <w:bookmarkStart w:id="709" w:name="_Toc5225"/>
      <w:bookmarkStart w:id="710" w:name="_Toc14411"/>
      <w:r>
        <w:rPr>
          <w:rFonts w:hint="eastAsia" w:ascii="微软雅黑" w:hAnsi="微软雅黑" w:eastAsia="微软雅黑" w:cs="微软雅黑"/>
          <w:b/>
          <w:bCs/>
          <w:color w:val="000000" w:themeColor="text1"/>
          <w:sz w:val="40"/>
          <w:szCs w:val="40"/>
          <w:highlight w:val="none"/>
          <w14:textFill>
            <w14:solidFill>
              <w14:schemeClr w14:val="tx1"/>
            </w14:solidFill>
          </w14:textFill>
        </w:rPr>
        <w:t>第三 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spacing w:line="240" w:lineRule="atLeast"/>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bCs/>
          <w:color w:val="000000" w:themeColor="text1"/>
          <w:sz w:val="52"/>
          <w:szCs w:val="52"/>
          <w:highlight w:val="none"/>
          <w14:textFill>
            <w14:solidFill>
              <w14:schemeClr w14:val="tx1"/>
            </w14:solidFill>
          </w14:textFill>
        </w:rPr>
      </w:pPr>
    </w:p>
    <w:p>
      <w:pPr>
        <w:spacing w:line="240" w:lineRule="atLeast"/>
        <w:ind w:left="1080" w:leftChars="257" w:hanging="540"/>
        <w:jc w:val="center"/>
        <w:rPr>
          <w:rFonts w:hint="eastAsia" w:ascii="微软雅黑" w:hAnsi="微软雅黑" w:eastAsia="微软雅黑" w:cs="微软雅黑"/>
          <w:b/>
          <w:bCs/>
          <w:color w:val="000000" w:themeColor="text1"/>
          <w:sz w:val="52"/>
          <w:szCs w:val="52"/>
          <w:highlight w:val="none"/>
          <w14:textFill>
            <w14:solidFill>
              <w14:schemeClr w14:val="tx1"/>
            </w14:solidFill>
          </w14:textFill>
        </w:rPr>
      </w:pPr>
    </w:p>
    <w:p>
      <w:pPr>
        <w:spacing w:line="240" w:lineRule="atLeast"/>
        <w:rPr>
          <w:rFonts w:hint="eastAsia" w:ascii="微软雅黑" w:hAnsi="微软雅黑" w:eastAsia="微软雅黑" w:cs="微软雅黑"/>
          <w:b/>
          <w:bCs/>
          <w:color w:val="000000" w:themeColor="text1"/>
          <w:sz w:val="52"/>
          <w:szCs w:val="52"/>
          <w:highlight w:val="none"/>
          <w14:textFill>
            <w14:solidFill>
              <w14:schemeClr w14:val="tx1"/>
            </w14:solidFill>
          </w14:textFill>
        </w:rPr>
        <w:sectPr>
          <w:headerReference r:id="rId8" w:type="default"/>
          <w:footerReference r:id="rId9" w:type="default"/>
          <w:pgSz w:w="11905" w:h="16838"/>
          <w:pgMar w:top="1440" w:right="1080" w:bottom="1440" w:left="1080" w:header="851" w:footer="992" w:gutter="0"/>
          <w:pgNumType w:fmt="decimal"/>
          <w:cols w:space="0" w:num="1"/>
          <w:rtlGutter w:val="0"/>
          <w:docGrid w:linePitch="462" w:charSpace="0"/>
        </w:sectPr>
      </w:pPr>
    </w:p>
    <w:bookmarkEnd w:id="689"/>
    <w:p>
      <w:pPr>
        <w:pStyle w:val="3"/>
        <w:rPr>
          <w:rFonts w:hint="eastAsia" w:ascii="微软雅黑" w:hAnsi="微软雅黑" w:eastAsia="微软雅黑" w:cs="微软雅黑"/>
          <w:color w:val="000000" w:themeColor="text1"/>
          <w:highlight w:val="none"/>
          <w14:textFill>
            <w14:solidFill>
              <w14:schemeClr w14:val="tx1"/>
            </w14:solidFill>
          </w14:textFill>
        </w:rPr>
      </w:pPr>
      <w:bookmarkStart w:id="711" w:name="_Toc515647833"/>
      <w:bookmarkStart w:id="712" w:name="_Toc12089"/>
      <w:bookmarkStart w:id="713" w:name="_Toc4796"/>
      <w:bookmarkStart w:id="714" w:name="_Toc3549"/>
      <w:bookmarkStart w:id="715" w:name="_Toc6865"/>
      <w:r>
        <w:rPr>
          <w:rFonts w:hint="eastAsia" w:ascii="微软雅黑" w:hAnsi="微软雅黑" w:eastAsia="微软雅黑" w:cs="微软雅黑"/>
          <w:color w:val="000000" w:themeColor="text1"/>
          <w:highlight w:val="none"/>
          <w14:textFill>
            <w14:solidFill>
              <w14:schemeClr w14:val="tx1"/>
            </w14:solidFill>
          </w14:textFill>
        </w:rPr>
        <w:t>第7章 政府采购合同</w:t>
      </w:r>
      <w:bookmarkEnd w:id="711"/>
      <w:bookmarkEnd w:id="712"/>
      <w:bookmarkEnd w:id="713"/>
      <w:bookmarkEnd w:id="714"/>
      <w:bookmarkEnd w:id="715"/>
      <w:bookmarkStart w:id="716" w:name="_Hlt487972895"/>
      <w:bookmarkEnd w:id="716"/>
      <w:bookmarkStart w:id="717" w:name="_Toc487900382"/>
      <w:bookmarkStart w:id="718" w:name="_Toc216513788"/>
    </w:p>
    <w:bookmarkEnd w:id="717"/>
    <w:bookmarkEnd w:id="718"/>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合同编号：   </w:t>
      </w:r>
      <w:r>
        <w:rPr>
          <w:rFonts w:hint="eastAsia" w:ascii="微软雅黑" w:hAnsi="微软雅黑" w:eastAsia="微软雅黑" w:cs="微软雅黑"/>
          <w:color w:val="000000" w:themeColor="text1"/>
          <w:highlight w:val="none"/>
          <w14:textFill>
            <w14:solidFill>
              <w14:schemeClr w14:val="tx1"/>
            </w14:solidFill>
          </w14:textFill>
        </w:rPr>
        <w:t xml:space="preserve">        </w:t>
      </w: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spacing w:line="500" w:lineRule="exact"/>
        <w:jc w:val="center"/>
        <w:outlineLvl w:val="1"/>
        <w:rPr>
          <w:rFonts w:hint="eastAsia" w:ascii="微软雅黑" w:hAnsi="微软雅黑" w:eastAsia="微软雅黑" w:cs="微软雅黑"/>
          <w:b/>
          <w:bCs/>
          <w:color w:val="000000" w:themeColor="text1"/>
          <w:sz w:val="44"/>
          <w:szCs w:val="44"/>
          <w:highlight w:val="none"/>
          <w14:textFill>
            <w14:solidFill>
              <w14:schemeClr w14:val="tx1"/>
            </w14:solidFill>
          </w14:textFill>
        </w:rPr>
      </w:pPr>
      <w:r>
        <w:rPr>
          <w:rFonts w:hint="eastAsia" w:ascii="微软雅黑" w:hAnsi="微软雅黑" w:eastAsia="微软雅黑" w:cs="微软雅黑"/>
          <w:b/>
          <w:bCs/>
          <w:color w:val="000000" w:themeColor="text1"/>
          <w:sz w:val="44"/>
          <w:szCs w:val="44"/>
          <w:highlight w:val="none"/>
          <w14:textFill>
            <w14:solidFill>
              <w14:schemeClr w14:val="tx1"/>
            </w14:solidFill>
          </w14:textFill>
        </w:rPr>
        <w:t>政府采购合同参考范本</w:t>
      </w:r>
    </w:p>
    <w:p>
      <w:pPr>
        <w:spacing w:line="500" w:lineRule="exact"/>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（货物类）</w:t>
      </w: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36"/>
        <w:spacing w:line="360" w:lineRule="exact"/>
        <w:ind w:firstLine="0"/>
        <w:jc w:val="center"/>
        <w:outlineLvl w:val="1"/>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第一部分 合同书</w:t>
      </w:r>
    </w:p>
    <w:p>
      <w:pPr>
        <w:rPr>
          <w:rFonts w:hint="eastAsia" w:ascii="微软雅黑" w:hAnsi="微软雅黑" w:eastAsia="微软雅黑" w:cs="微软雅黑"/>
          <w:color w:val="000000" w:themeColor="text1"/>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项目名称：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pStyle w:val="53"/>
        <w:spacing w:before="120" w:line="360" w:lineRule="exact"/>
        <w:rPr>
          <w:rFonts w:hint="eastAsia" w:ascii="微软雅黑" w:hAnsi="微软雅黑" w:eastAsia="微软雅黑" w:cs="微软雅黑"/>
          <w:color w:val="000000" w:themeColor="text1"/>
          <w:highlight w:val="none"/>
          <w14:textFill>
            <w14:solidFill>
              <w14:schemeClr w14:val="tx1"/>
            </w14:solidFill>
          </w14:textFill>
        </w:rPr>
      </w:pPr>
    </w:p>
    <w:p>
      <w:pPr>
        <w:pStyle w:val="53"/>
        <w:spacing w:before="120" w:line="360" w:lineRule="exact"/>
        <w:rPr>
          <w:rFonts w:hint="eastAsia" w:ascii="微软雅黑" w:hAnsi="微软雅黑" w:eastAsia="微软雅黑" w:cs="微软雅黑"/>
          <w:color w:val="000000" w:themeColor="text1"/>
          <w:highlight w:val="none"/>
          <w14:textFill>
            <w14:solidFill>
              <w14:schemeClr w14:val="tx1"/>
            </w14:solidFill>
          </w14:textFill>
        </w:rPr>
      </w:pPr>
    </w:p>
    <w:p>
      <w:pPr>
        <w:spacing w:line="360" w:lineRule="exact"/>
        <w:rPr>
          <w:rFonts w:hint="eastAsia" w:ascii="微软雅黑" w:hAnsi="微软雅黑" w:eastAsia="微软雅黑" w:cs="微软雅黑"/>
          <w:color w:val="000000" w:themeColor="text1"/>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甲方：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left="96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乙方：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firstLine="960" w:firstLineChars="40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签订地：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p>
    <w:p>
      <w:pPr>
        <w:spacing w:before="120" w:line="36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p>
    <w:p>
      <w:pPr>
        <w:spacing w:before="120" w:line="360" w:lineRule="exact"/>
        <w:ind w:firstLine="960" w:firstLineChars="400"/>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签订日期：</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日</w:t>
      </w:r>
    </w:p>
    <w:p>
      <w:pPr>
        <w:autoSpaceDE w:val="0"/>
        <w:autoSpaceDN w:val="0"/>
        <w:adjustRightInd w:val="0"/>
        <w:spacing w:line="360" w:lineRule="exact"/>
        <w:ind w:firstLine="640"/>
        <w:jc w:val="center"/>
        <w:rPr>
          <w:rFonts w:hint="eastAsia" w:ascii="微软雅黑" w:hAnsi="微软雅黑" w:eastAsia="微软雅黑" w:cs="微软雅黑"/>
          <w:color w:val="000000" w:themeColor="text1"/>
          <w:sz w:val="24"/>
          <w:szCs w:val="24"/>
          <w:highlight w:val="none"/>
          <w14:textFill>
            <w14:solidFill>
              <w14:schemeClr w14:val="tx1"/>
            </w14:solidFill>
          </w14:textFill>
        </w:rPr>
        <w:sectPr>
          <w:footerReference r:id="rId10" w:type="default"/>
          <w:pgSz w:w="11905" w:h="16838"/>
          <w:pgMar w:top="1440" w:right="1797" w:bottom="1440" w:left="1797"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719" w:name="_Toc2659"/>
      <w:bookmarkStart w:id="720" w:name="_Toc2232"/>
      <w:bookmarkStart w:id="721" w:name="_Toc26721"/>
      <w:bookmarkStart w:id="722" w:name="_Toc3029"/>
      <w:bookmarkStart w:id="723" w:name="_Toc1846"/>
      <w:bookmarkStart w:id="724" w:name="_Toc24059"/>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年</w:t>
      </w:r>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月</w:t>
      </w:r>
      <w:r>
        <w:rPr>
          <w:rFonts w:hint="eastAsia" w:ascii="微软雅黑" w:hAnsi="微软雅黑" w:eastAsia="微软雅黑" w:cs="微软雅黑"/>
          <w:color w:val="000000" w:themeColor="text1"/>
          <w:sz w:val="24"/>
          <w:szCs w:val="24"/>
          <w:highlight w:val="none"/>
          <w:u w:val="singl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日</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（采购人名称）   </w:t>
      </w:r>
      <w:r>
        <w:rPr>
          <w:rFonts w:hint="eastAsia" w:ascii="微软雅黑" w:hAnsi="微软雅黑" w:eastAsia="微软雅黑" w:cs="微软雅黑"/>
          <w:color w:val="000000" w:themeColor="text1"/>
          <w:sz w:val="24"/>
          <w:szCs w:val="24"/>
          <w:highlight w:val="none"/>
          <w14:textFill>
            <w14:solidFill>
              <w14:schemeClr w14:val="tx1"/>
            </w14:solidFill>
          </w14:textFill>
        </w:rPr>
        <w:t>以</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（政府采购方式）  </w:t>
      </w:r>
      <w:r>
        <w:rPr>
          <w:rFonts w:hint="eastAsia" w:ascii="微软雅黑" w:hAnsi="微软雅黑" w:eastAsia="微软雅黑" w:cs="微软雅黑"/>
          <w:color w:val="000000" w:themeColor="text1"/>
          <w:sz w:val="24"/>
          <w:szCs w:val="24"/>
          <w:highlight w:val="none"/>
          <w14:textFill>
            <w14:solidFill>
              <w14:schemeClr w14:val="tx1"/>
            </w14:solidFill>
          </w14:textFill>
        </w:rPr>
        <w:t>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（同前页项目名称）   </w:t>
      </w:r>
      <w:r>
        <w:rPr>
          <w:rFonts w:hint="eastAsia" w:ascii="微软雅黑" w:hAnsi="微软雅黑" w:eastAsia="微软雅黑" w:cs="微软雅黑"/>
          <w:color w:val="000000" w:themeColor="text1"/>
          <w:sz w:val="24"/>
          <w:szCs w:val="24"/>
          <w:highlight w:val="none"/>
          <w14:textFill>
            <w14:solidFill>
              <w14:schemeClr w14:val="tx1"/>
            </w14:solidFill>
          </w14:textFill>
        </w:rPr>
        <w:t>项目进行了采购。经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（相关评定主体名称）   </w:t>
      </w:r>
      <w:r>
        <w:rPr>
          <w:rFonts w:hint="eastAsia" w:ascii="微软雅黑" w:hAnsi="微软雅黑" w:eastAsia="微软雅黑" w:cs="微软雅黑"/>
          <w:color w:val="000000" w:themeColor="text1"/>
          <w:sz w:val="24"/>
          <w:szCs w:val="24"/>
          <w:highlight w:val="none"/>
          <w14:textFill>
            <w14:solidFill>
              <w14:schemeClr w14:val="tx1"/>
            </w14:solidFill>
          </w14:textFill>
        </w:rPr>
        <w:t>评定，</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（中标供应商名称）</w:t>
      </w:r>
      <w:r>
        <w:rPr>
          <w:rFonts w:hint="eastAsia" w:ascii="微软雅黑" w:hAnsi="微软雅黑" w:eastAsia="微软雅黑" w:cs="微软雅黑"/>
          <w:color w:val="000000" w:themeColor="text1"/>
          <w:sz w:val="24"/>
          <w:szCs w:val="24"/>
          <w:highlight w:val="none"/>
          <w14:textFill>
            <w14:solidFill>
              <w14:schemeClr w14:val="tx1"/>
            </w14:solidFill>
          </w14:textFill>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（采购人名称）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(以下简称：甲方)和</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（中标供应商名称）   </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(以下简称：乙方)协商一致，约定以下合同</w:t>
      </w:r>
      <w:r>
        <w:rPr>
          <w:rFonts w:hint="eastAsia" w:ascii="微软雅黑" w:hAnsi="微软雅黑" w:eastAsia="微软雅黑" w:cs="微软雅黑"/>
          <w:color w:val="000000" w:themeColor="text1"/>
          <w:sz w:val="24"/>
          <w:szCs w:val="24"/>
          <w:highlight w:val="none"/>
          <w14:textFill>
            <w14:solidFill>
              <w14:schemeClr w14:val="tx1"/>
            </w14:solidFill>
          </w14:textFill>
        </w:rPr>
        <w:t>条款，以兹共同遵守、全面履行。</w:t>
      </w:r>
    </w:p>
    <w:bookmarkEnd w:id="719"/>
    <w:bookmarkEnd w:id="720"/>
    <w:bookmarkEnd w:id="721"/>
    <w:bookmarkEnd w:id="722"/>
    <w:bookmarkEnd w:id="723"/>
    <w:bookmarkEnd w:id="724"/>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25" w:name="_Toc2048"/>
      <w:bookmarkStart w:id="726" w:name="_Toc1060"/>
      <w:bookmarkStart w:id="727" w:name="_Toc16137"/>
      <w:bookmarkStart w:id="728" w:name="_Toc21976"/>
      <w:bookmarkStart w:id="729" w:name="_Toc1740"/>
      <w:bookmarkStart w:id="730" w:name="_Toc4751"/>
      <w:bookmarkStart w:id="731" w:name="_Toc30575"/>
      <w:bookmarkStart w:id="732" w:name="_Toc18247"/>
      <w:bookmarkStart w:id="733" w:name="_Toc31438"/>
      <w:bookmarkStart w:id="734" w:name="_Toc29751"/>
      <w:bookmarkStart w:id="735" w:name="_Toc416"/>
      <w:bookmarkStart w:id="736" w:name="_Toc25352"/>
      <w:bookmarkStart w:id="737" w:name="_Toc15812"/>
      <w:bookmarkStart w:id="738" w:name="_Toc14986"/>
      <w:bookmarkStart w:id="739" w:name="_Toc21386"/>
      <w:bookmarkStart w:id="740" w:name="_Toc27963"/>
      <w:bookmarkStart w:id="741" w:name="_Toc6038"/>
      <w:bookmarkStart w:id="742" w:name="_Toc29481"/>
      <w:bookmarkStart w:id="743" w:name="_Toc4498"/>
      <w:bookmarkStart w:id="744" w:name="_Toc28090"/>
      <w:bookmarkStart w:id="745" w:name="_Toc14766"/>
      <w:bookmarkStart w:id="746" w:name="_Toc24186"/>
      <w:bookmarkStart w:id="747" w:name="_Toc967"/>
      <w:bookmarkStart w:id="748" w:name="_Toc2992"/>
      <w:bookmarkStart w:id="749" w:name="_Toc27428"/>
      <w:bookmarkStart w:id="750" w:name="_Toc10455"/>
      <w:r>
        <w:rPr>
          <w:rFonts w:hint="eastAsia" w:ascii="微软雅黑" w:hAnsi="微软雅黑" w:eastAsia="微软雅黑" w:cs="微软雅黑"/>
          <w:b/>
          <w:bCs/>
          <w:color w:val="000000" w:themeColor="text1"/>
          <w:sz w:val="24"/>
          <w:szCs w:val="24"/>
          <w:highlight w:val="none"/>
          <w14:textFill>
            <w14:solidFill>
              <w14:schemeClr w14:val="tx1"/>
            </w14:solidFill>
          </w14:textFill>
        </w:rPr>
        <w:t>1.1 合同组成部分</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1.1.1 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1.1.2 中标通知书；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1.1.3 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1.1.4 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1.1.5 其他相关采购文件。</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51" w:name="_Toc2579"/>
      <w:bookmarkStart w:id="752" w:name="_Toc4735"/>
      <w:bookmarkStart w:id="753" w:name="_Toc10465"/>
      <w:bookmarkStart w:id="754" w:name="_Toc13138"/>
      <w:bookmarkStart w:id="755" w:name="_Toc31616"/>
      <w:bookmarkStart w:id="756" w:name="_Toc24413"/>
      <w:bookmarkStart w:id="757" w:name="_Toc25402"/>
      <w:bookmarkStart w:id="758" w:name="_Toc7977"/>
      <w:bookmarkStart w:id="759" w:name="_Toc32674"/>
      <w:bookmarkStart w:id="760" w:name="_Toc9006"/>
      <w:bookmarkStart w:id="761" w:name="_Toc31638"/>
      <w:bookmarkStart w:id="762" w:name="_Toc19432"/>
      <w:bookmarkStart w:id="763" w:name="_Toc21295"/>
      <w:bookmarkStart w:id="764" w:name="_Toc21149"/>
      <w:bookmarkStart w:id="765" w:name="_Toc25735"/>
      <w:bookmarkStart w:id="766" w:name="_Toc17543"/>
      <w:bookmarkStart w:id="767" w:name="_Toc11238"/>
      <w:bookmarkStart w:id="768" w:name="_Toc27318"/>
      <w:bookmarkStart w:id="769" w:name="_Toc19593"/>
      <w:bookmarkStart w:id="770" w:name="_Toc24564"/>
      <w:bookmarkStart w:id="771" w:name="_Toc21217"/>
      <w:bookmarkStart w:id="772" w:name="_Toc18558"/>
      <w:bookmarkStart w:id="773" w:name="_Toc1636"/>
      <w:bookmarkStart w:id="774" w:name="_Toc31632"/>
      <w:bookmarkStart w:id="775" w:name="_Toc14235"/>
      <w:bookmarkStart w:id="776" w:name="_Toc21690"/>
      <w:bookmarkStart w:id="777" w:name="_Toc15345"/>
      <w:bookmarkStart w:id="778" w:name="_Toc8631"/>
      <w:bookmarkStart w:id="779" w:name="_Toc5906"/>
      <w:bookmarkStart w:id="780" w:name="_Toc24300"/>
      <w:bookmarkStart w:id="781" w:name="_Toc27126"/>
      <w:bookmarkStart w:id="782" w:name="_Toc1446"/>
      <w:r>
        <w:rPr>
          <w:rFonts w:hint="eastAsia" w:ascii="微软雅黑" w:hAnsi="微软雅黑" w:eastAsia="微软雅黑" w:cs="微软雅黑"/>
          <w:b/>
          <w:bCs/>
          <w:color w:val="000000" w:themeColor="text1"/>
          <w:sz w:val="24"/>
          <w:szCs w:val="24"/>
          <w:highlight w:val="none"/>
          <w14:textFill>
            <w14:solidFill>
              <w14:schemeClr w14:val="tx1"/>
            </w14:solidFill>
          </w14:textFill>
        </w:rPr>
        <w:t>1.2 货物</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1.2.1 货物名称：</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1.2.2 货物数量：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1.2.3 货物质量：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783" w:name="_Toc8386"/>
      <w:bookmarkStart w:id="784" w:name="_Toc9579"/>
      <w:bookmarkStart w:id="785" w:name="_Toc13898"/>
      <w:bookmarkStart w:id="786" w:name="_Toc29540"/>
      <w:bookmarkStart w:id="787" w:name="_Toc23292"/>
      <w:bookmarkStart w:id="788" w:name="_Toc12266"/>
      <w:bookmarkStart w:id="789" w:name="_Toc21631"/>
      <w:bookmarkStart w:id="790" w:name="_Toc16998"/>
      <w:bookmarkStart w:id="791" w:name="_Toc1267"/>
      <w:bookmarkStart w:id="792" w:name="_Toc21551"/>
      <w:bookmarkStart w:id="793" w:name="_Toc19682"/>
      <w:bookmarkStart w:id="794" w:name="_Toc1528"/>
      <w:bookmarkStart w:id="795" w:name="_Toc27282"/>
      <w:bookmarkStart w:id="796" w:name="_Toc2897"/>
      <w:bookmarkStart w:id="797" w:name="_Toc633"/>
      <w:bookmarkStart w:id="798" w:name="_Toc21040"/>
      <w:bookmarkStart w:id="799" w:name="_Toc9586"/>
      <w:bookmarkStart w:id="800" w:name="_Toc3756"/>
      <w:bookmarkStart w:id="801" w:name="_Toc9271"/>
      <w:bookmarkStart w:id="802" w:name="_Toc18883"/>
      <w:bookmarkStart w:id="803" w:name="_Toc30667"/>
      <w:bookmarkStart w:id="804" w:name="_Toc7263"/>
      <w:bookmarkStart w:id="805" w:name="_Toc9364"/>
      <w:bookmarkStart w:id="806" w:name="_Toc25368"/>
      <w:bookmarkStart w:id="807" w:name="_Toc31994"/>
      <w:bookmarkStart w:id="808" w:name="_Toc11045"/>
      <w:bookmarkStart w:id="809" w:name="_Toc6581"/>
      <w:bookmarkStart w:id="810" w:name="_Toc30755"/>
      <w:bookmarkStart w:id="811" w:name="_Toc10942"/>
      <w:bookmarkStart w:id="812" w:name="_Toc11463"/>
      <w:bookmarkStart w:id="813" w:name="_Toc19116"/>
      <w:bookmarkStart w:id="814" w:name="_Toc26967"/>
      <w:r>
        <w:rPr>
          <w:rFonts w:hint="eastAsia" w:ascii="微软雅黑" w:hAnsi="微软雅黑" w:eastAsia="微软雅黑" w:cs="微软雅黑"/>
          <w:b/>
          <w:bCs/>
          <w:color w:val="000000" w:themeColor="text1"/>
          <w:sz w:val="24"/>
          <w:szCs w:val="24"/>
          <w:highlight w:val="none"/>
          <w14:textFill>
            <w14:solidFill>
              <w14:schemeClr w14:val="tx1"/>
            </w14:solidFill>
          </w14:textFill>
        </w:rPr>
        <w:t>1.3 价款</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本合同总价为：￥</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元（大写：</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分项价格：</w:t>
      </w:r>
    </w:p>
    <w:tbl>
      <w:tblPr>
        <w:tblStyle w:val="2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序号</w:t>
            </w: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分项名称</w:t>
            </w:r>
          </w:p>
        </w:tc>
        <w:tc>
          <w:tcPr>
            <w:tcW w:w="2803" w:type="dxa"/>
            <w:vAlign w:val="center"/>
          </w:tcPr>
          <w:p>
            <w:pPr>
              <w:pStyle w:val="54"/>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3738"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14:textFill>
                  <w14:solidFill>
                    <w14:schemeClr w14:val="tx1"/>
                  </w14:solidFill>
                </w14:textFill>
              </w:rPr>
              <w:t>总价</w:t>
            </w:r>
          </w:p>
        </w:tc>
        <w:tc>
          <w:tcPr>
            <w:tcW w:w="2803" w:type="dxa"/>
            <w:vAlign w:val="center"/>
          </w:tcPr>
          <w:p>
            <w:pPr>
              <w:pStyle w:val="54"/>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000000" w:themeColor="text1"/>
                <w:kern w:val="2"/>
                <w:sz w:val="24"/>
                <w:szCs w:val="24"/>
                <w:highlight w:val="none"/>
                <w14:textFill>
                  <w14:solidFill>
                    <w14:schemeClr w14:val="tx1"/>
                  </w14:solidFill>
                </w14:textFill>
              </w:rPr>
            </w:pPr>
          </w:p>
        </w:tc>
      </w:tr>
    </w:tbl>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15" w:name="_Toc21349"/>
      <w:bookmarkStart w:id="816" w:name="_Toc22618"/>
      <w:bookmarkStart w:id="817" w:name="_Toc44"/>
      <w:bookmarkStart w:id="818" w:name="_Toc28773"/>
      <w:bookmarkStart w:id="819" w:name="_Toc5736"/>
      <w:bookmarkStart w:id="820" w:name="_Toc27817"/>
      <w:bookmarkStart w:id="821" w:name="_Toc26470"/>
      <w:bookmarkStart w:id="822" w:name="_Toc7801"/>
      <w:bookmarkStart w:id="823" w:name="_Toc8933"/>
      <w:bookmarkStart w:id="824" w:name="_Toc17184"/>
      <w:bookmarkStart w:id="825" w:name="_Toc10086"/>
      <w:bookmarkStart w:id="826" w:name="_Toc12781"/>
      <w:bookmarkStart w:id="827" w:name="_Toc30437"/>
      <w:bookmarkStart w:id="828" w:name="_Toc673"/>
      <w:bookmarkStart w:id="829" w:name="_Toc10340"/>
      <w:bookmarkStart w:id="830" w:name="_Toc2285"/>
      <w:bookmarkStart w:id="831" w:name="_Toc4585"/>
      <w:bookmarkStart w:id="832" w:name="_Toc26112"/>
      <w:bookmarkStart w:id="833" w:name="_Toc21854"/>
      <w:bookmarkStart w:id="834" w:name="_Toc7458"/>
      <w:bookmarkStart w:id="835" w:name="_Toc27654"/>
      <w:bookmarkStart w:id="836" w:name="_Toc19093"/>
      <w:bookmarkStart w:id="837" w:name="_Toc29742"/>
      <w:bookmarkStart w:id="838" w:name="_Toc30643"/>
      <w:bookmarkStart w:id="839" w:name="_Toc24781"/>
      <w:bookmarkStart w:id="840" w:name="_Toc21977"/>
      <w:bookmarkStart w:id="841" w:name="_Toc27811"/>
      <w:bookmarkStart w:id="842" w:name="_Toc1814"/>
      <w:bookmarkStart w:id="843" w:name="_Toc30507"/>
      <w:bookmarkStart w:id="844" w:name="_Toc7087"/>
      <w:bookmarkStart w:id="845" w:name="_Toc21104"/>
      <w:r>
        <w:rPr>
          <w:rFonts w:hint="eastAsia" w:ascii="微软雅黑" w:hAnsi="微软雅黑" w:eastAsia="微软雅黑" w:cs="微软雅黑"/>
          <w:b/>
          <w:bCs/>
          <w:color w:val="000000" w:themeColor="text1"/>
          <w:sz w:val="24"/>
          <w:szCs w:val="24"/>
          <w:highlight w:val="none"/>
          <w14:textFill>
            <w14:solidFill>
              <w14:schemeClr w14:val="tx1"/>
            </w14:solidFill>
          </w14:textFill>
        </w:rPr>
        <w:t>1.4 付款方式和发票开具方式</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1.4.1 付款方式：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1.4.2 发票开具方式：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46" w:name="_Toc9478"/>
      <w:bookmarkStart w:id="847" w:name="_Toc25278"/>
      <w:bookmarkStart w:id="848" w:name="_Toc32332"/>
      <w:bookmarkStart w:id="849" w:name="_Toc10276"/>
      <w:bookmarkStart w:id="850" w:name="_Toc17179"/>
      <w:bookmarkStart w:id="851" w:name="_Toc32641"/>
      <w:bookmarkStart w:id="852" w:name="_Toc2846"/>
      <w:bookmarkStart w:id="853" w:name="_Toc11682"/>
      <w:bookmarkStart w:id="854" w:name="_Toc4501"/>
      <w:bookmarkStart w:id="855" w:name="_Toc2750"/>
      <w:bookmarkStart w:id="856" w:name="_Toc2519"/>
      <w:bookmarkStart w:id="857" w:name="_Toc23862"/>
      <w:bookmarkStart w:id="858" w:name="_Toc30447"/>
      <w:bookmarkStart w:id="859" w:name="_Toc1964"/>
      <w:bookmarkStart w:id="860" w:name="_Toc6388"/>
      <w:bookmarkStart w:id="861" w:name="_Toc17448"/>
      <w:bookmarkStart w:id="862" w:name="_Toc19304"/>
      <w:bookmarkStart w:id="863" w:name="_Toc4377"/>
      <w:bookmarkStart w:id="864" w:name="_Toc25427"/>
      <w:bookmarkStart w:id="865" w:name="_Toc30563"/>
      <w:bookmarkStart w:id="866" w:name="_Toc29386"/>
      <w:bookmarkStart w:id="867" w:name="_Toc19978"/>
      <w:bookmarkStart w:id="868" w:name="_Toc22861"/>
      <w:bookmarkStart w:id="869" w:name="_Toc13703"/>
      <w:bookmarkStart w:id="870" w:name="_Toc13284"/>
      <w:bookmarkStart w:id="871" w:name="_Toc2852"/>
      <w:bookmarkStart w:id="872" w:name="_Toc2083"/>
      <w:bookmarkStart w:id="873" w:name="_Toc26187"/>
      <w:bookmarkStart w:id="874" w:name="_Toc32071"/>
      <w:bookmarkStart w:id="875" w:name="_Toc4058"/>
      <w:bookmarkStart w:id="876" w:name="_Toc16823"/>
      <w:bookmarkStart w:id="877" w:name="_Toc30894"/>
      <w:r>
        <w:rPr>
          <w:rFonts w:hint="eastAsia" w:ascii="微软雅黑" w:hAnsi="微软雅黑" w:eastAsia="微软雅黑" w:cs="微软雅黑"/>
          <w:b/>
          <w:bCs/>
          <w:color w:val="000000" w:themeColor="text1"/>
          <w:sz w:val="24"/>
          <w:szCs w:val="24"/>
          <w:highlight w:val="none"/>
          <w14:textFill>
            <w14:solidFill>
              <w14:schemeClr w14:val="tx1"/>
            </w14:solidFill>
          </w14:textFill>
        </w:rPr>
        <w:t>1.5 货物交付期限、地点和方式</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1.5.1 交付期限：</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1.5.2 交付地点：</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1.5.3 交付方式：</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878" w:name="_Toc11237"/>
      <w:bookmarkStart w:id="879" w:name="_Toc30591"/>
      <w:bookmarkStart w:id="880" w:name="_Toc25443"/>
      <w:bookmarkStart w:id="881" w:name="_Toc29903"/>
      <w:bookmarkStart w:id="882" w:name="_Toc12679"/>
      <w:bookmarkStart w:id="883" w:name="_Toc19554"/>
      <w:bookmarkStart w:id="884" w:name="_Toc21423"/>
      <w:bookmarkStart w:id="885" w:name="_Toc7088"/>
      <w:bookmarkStart w:id="886" w:name="_Toc12629"/>
      <w:bookmarkStart w:id="887" w:name="_Toc27250"/>
      <w:bookmarkStart w:id="888" w:name="_Toc20863"/>
      <w:bookmarkStart w:id="889" w:name="_Toc26850"/>
      <w:bookmarkStart w:id="890" w:name="_Toc29769"/>
      <w:bookmarkStart w:id="891" w:name="_Toc10320"/>
      <w:bookmarkStart w:id="892" w:name="_Toc12988"/>
      <w:bookmarkStart w:id="893" w:name="_Toc1892"/>
      <w:bookmarkStart w:id="894" w:name="_Toc21406"/>
      <w:bookmarkStart w:id="895" w:name="_Toc27247"/>
      <w:bookmarkStart w:id="896" w:name="_Toc28455"/>
      <w:bookmarkStart w:id="897" w:name="_Toc6841"/>
      <w:bookmarkStart w:id="898" w:name="_Toc12424"/>
      <w:bookmarkStart w:id="899" w:name="_Toc15865"/>
      <w:bookmarkStart w:id="900" w:name="_Toc8569"/>
      <w:bookmarkStart w:id="901" w:name="_Toc8754"/>
      <w:bookmarkStart w:id="902" w:name="_Toc1835"/>
      <w:bookmarkStart w:id="903" w:name="_Toc10321"/>
      <w:bookmarkStart w:id="904" w:name="_Toc17642"/>
      <w:bookmarkStart w:id="905" w:name="_Toc12753"/>
      <w:bookmarkStart w:id="906" w:name="_Toc13569"/>
      <w:bookmarkStart w:id="907" w:name="_Toc27319"/>
      <w:bookmarkStart w:id="908" w:name="_Toc4190"/>
      <w:bookmarkStart w:id="909" w:name="_Toc13854"/>
      <w:r>
        <w:rPr>
          <w:rFonts w:hint="eastAsia" w:ascii="微软雅黑" w:hAnsi="微软雅黑" w:eastAsia="微软雅黑" w:cs="微软雅黑"/>
          <w:b/>
          <w:bCs/>
          <w:color w:val="000000" w:themeColor="text1"/>
          <w:sz w:val="24"/>
          <w:szCs w:val="24"/>
          <w:highlight w:val="none"/>
          <w14:textFill>
            <w14:solidFill>
              <w14:schemeClr w14:val="tx1"/>
            </w14:solidFill>
          </w14:textFill>
        </w:rPr>
        <w:t>1.6 违约责任</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%计算，最高限额为本合同总价的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%计算，最高限额为本合同总价的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10" w:name="_Toc23654"/>
      <w:bookmarkStart w:id="911" w:name="_Toc27927"/>
      <w:bookmarkStart w:id="912" w:name="_Toc5482"/>
      <w:bookmarkStart w:id="913" w:name="_Toc8966"/>
      <w:bookmarkStart w:id="914" w:name="_Toc13028"/>
      <w:bookmarkStart w:id="915" w:name="_Toc29338"/>
      <w:bookmarkStart w:id="916" w:name="_Toc9202"/>
      <w:bookmarkStart w:id="917" w:name="_Toc3403"/>
      <w:bookmarkStart w:id="918" w:name="_Toc16021"/>
      <w:bookmarkStart w:id="919" w:name="_Toc20610"/>
      <w:bookmarkStart w:id="920" w:name="_Toc19011"/>
      <w:bookmarkStart w:id="921" w:name="_Toc18652"/>
      <w:bookmarkStart w:id="922" w:name="_Toc12178"/>
      <w:bookmarkStart w:id="923" w:name="_Toc31145"/>
      <w:bookmarkStart w:id="924" w:name="_Toc25915"/>
      <w:bookmarkStart w:id="925" w:name="_Toc24393"/>
      <w:bookmarkStart w:id="926" w:name="_Toc6344"/>
      <w:bookmarkStart w:id="927" w:name="_Toc19374"/>
      <w:bookmarkStart w:id="928" w:name="_Toc15746"/>
      <w:bookmarkStart w:id="929" w:name="_Toc27762"/>
      <w:bookmarkStart w:id="930" w:name="_Toc15583"/>
      <w:bookmarkStart w:id="931" w:name="_Toc12021"/>
      <w:bookmarkStart w:id="932" w:name="_Toc7216"/>
      <w:bookmarkStart w:id="933" w:name="_Toc13430"/>
      <w:bookmarkStart w:id="934" w:name="_Toc16341"/>
      <w:bookmarkStart w:id="935" w:name="_Toc28375"/>
      <w:bookmarkStart w:id="936" w:name="_Toc24352"/>
      <w:bookmarkStart w:id="937" w:name="_Toc8914"/>
      <w:bookmarkStart w:id="938" w:name="_Toc21643"/>
      <w:bookmarkStart w:id="939" w:name="_Toc22341"/>
      <w:bookmarkStart w:id="940" w:name="_Toc29755"/>
      <w:bookmarkStart w:id="941" w:name="_Toc20497"/>
      <w:r>
        <w:rPr>
          <w:rFonts w:hint="eastAsia" w:ascii="微软雅黑" w:hAnsi="微软雅黑" w:eastAsia="微软雅黑" w:cs="微软雅黑"/>
          <w:b/>
          <w:bCs/>
          <w:color w:val="000000" w:themeColor="text1"/>
          <w:sz w:val="24"/>
          <w:szCs w:val="24"/>
          <w:highlight w:val="none"/>
          <w14:textFill>
            <w14:solidFill>
              <w14:schemeClr w14:val="tx1"/>
            </w14:solidFill>
          </w14:textFill>
        </w:rPr>
        <w:t>1.7 合同争议的解决</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1.7.1 将争议提交</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1.7.2 向</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000000" w:themeColor="text1"/>
          <w:sz w:val="24"/>
          <w:szCs w:val="24"/>
          <w:highlight w:val="none"/>
          <w14:textFill>
            <w14:solidFill>
              <w14:schemeClr w14:val="tx1"/>
            </w14:solidFill>
          </w14:textFill>
        </w:rPr>
        <w:t>人民法院起诉。</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42" w:name="_Toc12946"/>
      <w:bookmarkStart w:id="943" w:name="_Toc7245"/>
      <w:bookmarkStart w:id="944" w:name="_Toc5077"/>
      <w:bookmarkStart w:id="945" w:name="_Toc518"/>
      <w:bookmarkStart w:id="946" w:name="_Toc8564"/>
      <w:bookmarkStart w:id="947" w:name="_Toc17113"/>
      <w:bookmarkStart w:id="948" w:name="_Toc32578"/>
      <w:bookmarkStart w:id="949" w:name="_Toc5982"/>
      <w:bookmarkStart w:id="950" w:name="_Toc9329"/>
      <w:bookmarkStart w:id="951" w:name="_Toc12774"/>
      <w:bookmarkStart w:id="952" w:name="_Toc6411"/>
      <w:bookmarkStart w:id="953" w:name="_Toc10255"/>
      <w:bookmarkStart w:id="954" w:name="_Toc28520"/>
      <w:bookmarkStart w:id="955" w:name="_Toc17760"/>
      <w:bookmarkStart w:id="956" w:name="_Toc11173"/>
      <w:bookmarkStart w:id="957" w:name="_Toc16410"/>
      <w:bookmarkStart w:id="958" w:name="_Toc29292"/>
      <w:bookmarkStart w:id="959" w:name="_Toc10429"/>
      <w:bookmarkStart w:id="960" w:name="_Toc6964"/>
      <w:bookmarkStart w:id="961" w:name="_Toc4516"/>
      <w:bookmarkStart w:id="962" w:name="_Toc15322"/>
      <w:bookmarkStart w:id="963" w:name="_Toc14796"/>
      <w:bookmarkStart w:id="964" w:name="_Toc2901"/>
      <w:bookmarkStart w:id="965" w:name="_Toc1647"/>
      <w:bookmarkStart w:id="966" w:name="_Toc20305"/>
      <w:bookmarkStart w:id="967" w:name="_Toc20192"/>
      <w:bookmarkStart w:id="968" w:name="_Toc8975"/>
      <w:bookmarkStart w:id="969" w:name="_Toc10043"/>
      <w:bookmarkStart w:id="970" w:name="_Toc496"/>
      <w:bookmarkStart w:id="971" w:name="_Toc30260"/>
      <w:bookmarkStart w:id="972" w:name="_Toc2894"/>
      <w:bookmarkStart w:id="973" w:name="_Toc26231"/>
      <w:r>
        <w:rPr>
          <w:rFonts w:hint="eastAsia" w:ascii="微软雅黑" w:hAnsi="微软雅黑" w:eastAsia="微软雅黑" w:cs="微软雅黑"/>
          <w:b/>
          <w:bCs/>
          <w:color w:val="000000" w:themeColor="text1"/>
          <w:sz w:val="24"/>
          <w:szCs w:val="24"/>
          <w:highlight w:val="none"/>
          <w14:textFill>
            <w14:solidFill>
              <w14:schemeClr w14:val="tx1"/>
            </w14:solidFill>
          </w14:textFill>
        </w:rPr>
        <w:t>1.8 合同生效</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zh-CN"/>
          <w14:textFill>
            <w14:solidFill>
              <w14:schemeClr w14:val="tx1"/>
            </w14:solidFill>
          </w14:textFill>
        </w:rPr>
        <w:t>甲方</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lang w:val="zh-CN"/>
          <w14:textFill>
            <w14:solidFill>
              <w14:schemeClr w14:val="tx1"/>
            </w14:solidFill>
          </w14:textFill>
        </w:rPr>
        <w:t xml:space="preserve">      乙方</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住所：                                   住所：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法定代表人或                             法定代表人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联系人：                                 联系人：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约定送达地址：                           约定送达地址：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邮政编码：                               邮政编码：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电话:                                    电话: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lang w:val="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传真:                                    传真:</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电子邮箱：                               电子邮箱：</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开户银行：                               开户银行：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开户名称：                               开户名称：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开户账号：</w:t>
      </w:r>
      <w:r>
        <w:rPr>
          <w:rFonts w:hint="eastAsia" w:ascii="微软雅黑" w:hAnsi="微软雅黑" w:eastAsia="微软雅黑" w:cs="微软雅黑"/>
          <w:color w:val="000000" w:themeColor="text1"/>
          <w:sz w:val="24"/>
          <w:szCs w:val="24"/>
          <w:highlight w:val="none"/>
          <w:lang w:val="zh-CN"/>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开户账号：</w:t>
      </w:r>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bookmarkStart w:id="974" w:name="_Toc331685783"/>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36"/>
        <w:keepNext w:val="0"/>
        <w:keepLines w:val="0"/>
        <w:pageBreakBefore w:val="0"/>
        <w:kinsoku/>
        <w:wordWrap/>
        <w:overflowPunct/>
        <w:topLinePunct w:val="0"/>
        <w:bidi w:val="0"/>
        <w:snapToGrid/>
        <w:spacing w:line="400" w:lineRule="exact"/>
        <w:ind w:firstLine="200"/>
        <w:jc w:val="center"/>
        <w:textAlignment w:val="auto"/>
        <w:outlineLvl w:val="1"/>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第二部分 合同一般条款</w:t>
      </w:r>
      <w:bookmarkEnd w:id="974"/>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975" w:name="_Toc23997"/>
      <w:bookmarkStart w:id="976" w:name="_Ref467379205"/>
      <w:bookmarkStart w:id="977" w:name="_Toc259093669"/>
      <w:bookmarkStart w:id="978" w:name="_Toc25035"/>
      <w:bookmarkStart w:id="979" w:name="_Toc25689"/>
      <w:bookmarkStart w:id="980" w:name="_Ref467378463"/>
      <w:bookmarkStart w:id="981" w:name="_Toc279701240"/>
      <w:bookmarkStart w:id="982" w:name="_Toc31417"/>
      <w:bookmarkStart w:id="983" w:name="_Toc487900349"/>
      <w:bookmarkStart w:id="984" w:name="_Toc32624"/>
      <w:bookmarkStart w:id="985" w:name="_Toc26415"/>
      <w:bookmarkStart w:id="986" w:name="_Toc19614"/>
      <w:bookmarkStart w:id="987" w:name="_Toc29659"/>
      <w:bookmarkStart w:id="988" w:name="_Toc28865"/>
      <w:bookmarkStart w:id="989" w:name="_Toc4945"/>
      <w:bookmarkStart w:id="990" w:name="_Toc2034"/>
      <w:bookmarkStart w:id="991" w:name="_Ref467379109"/>
      <w:bookmarkStart w:id="992" w:name="_Toc510"/>
      <w:bookmarkStart w:id="993" w:name="_Toc10245"/>
      <w:bookmarkStart w:id="994" w:name="_Ref467379094"/>
      <w:bookmarkStart w:id="995" w:name="_Toc17718"/>
      <w:bookmarkStart w:id="996" w:name="_Toc2854"/>
      <w:bookmarkStart w:id="997" w:name="_Toc14827"/>
      <w:bookmarkStart w:id="998" w:name="_Toc15647"/>
      <w:bookmarkStart w:id="999" w:name="_Toc3091"/>
      <w:bookmarkStart w:id="1000" w:name="_Toc20709"/>
      <w:bookmarkStart w:id="1001" w:name="_Ref467379101"/>
      <w:bookmarkStart w:id="1002" w:name="_Ref467379225"/>
      <w:bookmarkStart w:id="1003" w:name="_Toc18089"/>
      <w:bookmarkStart w:id="1004" w:name="_Toc26015"/>
      <w:bookmarkStart w:id="1005" w:name="_Toc21840"/>
      <w:bookmarkStart w:id="1006" w:name="_Toc16917"/>
      <w:bookmarkStart w:id="1007" w:name="_Toc26936"/>
      <w:bookmarkStart w:id="1008" w:name="_Toc25554"/>
      <w:bookmarkStart w:id="1009" w:name="_Toc25060"/>
      <w:bookmarkStart w:id="1010" w:name="_Toc28763"/>
      <w:bookmarkStart w:id="1011" w:name="_Ref467379195"/>
      <w:bookmarkStart w:id="1012" w:name="_Toc20160"/>
      <w:bookmarkStart w:id="1013" w:name="_Toc28347"/>
      <w:bookmarkStart w:id="1014" w:name="_Toc10572"/>
      <w:bookmarkStart w:id="1015" w:name="_Ref467378404"/>
      <w:bookmarkStart w:id="1016" w:name="_Toc28547"/>
      <w:bookmarkStart w:id="1017" w:name="_Ref467378499"/>
      <w:bookmarkStart w:id="1018" w:name="_Ref467379214"/>
      <w:bookmarkStart w:id="1019" w:name="_Toc5579"/>
      <w:r>
        <w:rPr>
          <w:rFonts w:hint="eastAsia" w:ascii="微软雅黑" w:hAnsi="微软雅黑" w:eastAsia="微软雅黑" w:cs="微软雅黑"/>
          <w:b/>
          <w:bCs/>
          <w:color w:val="000000" w:themeColor="text1"/>
          <w:sz w:val="24"/>
          <w:szCs w:val="24"/>
          <w:highlight w:val="none"/>
          <w14:textFill>
            <w14:solidFill>
              <w14:schemeClr w14:val="tx1"/>
            </w14:solidFill>
          </w14:textFill>
        </w:rPr>
        <w:t>2.1 定义</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0" w:name="_Ref467378840"/>
      <w:r>
        <w:rPr>
          <w:rFonts w:hint="eastAsia" w:ascii="微软雅黑" w:hAnsi="微软雅黑" w:eastAsia="微软雅黑" w:cs="微软雅黑"/>
          <w:color w:val="000000" w:themeColor="text1"/>
          <w:sz w:val="24"/>
          <w:szCs w:val="24"/>
          <w:highlight w:val="none"/>
          <w14:textFill>
            <w14:solidFill>
              <w14:schemeClr w14:val="tx1"/>
            </w14:solidFill>
          </w14:textFill>
        </w:rPr>
        <w:t>2.1.4 “甲方”系指与中标供应商签署合同的采购人</w:t>
      </w:r>
      <w:bookmarkEnd w:id="1020"/>
      <w:r>
        <w:rPr>
          <w:rFonts w:hint="eastAsia" w:ascii="微软雅黑" w:hAnsi="微软雅黑" w:eastAsia="微软雅黑" w:cs="微软雅黑"/>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1" w:name="_Ref467379400"/>
      <w:r>
        <w:rPr>
          <w:rFonts w:hint="eastAsia" w:ascii="微软雅黑" w:hAnsi="微软雅黑" w:eastAsia="微软雅黑" w:cs="微软雅黑"/>
          <w:color w:val="000000" w:themeColor="text1"/>
          <w:sz w:val="24"/>
          <w:szCs w:val="24"/>
          <w:highlight w:val="none"/>
          <w14:textFill>
            <w14:solidFill>
              <w14:schemeClr w14:val="tx1"/>
            </w14:solidFill>
          </w14:textFill>
        </w:rPr>
        <w:t>2.1.5 “乙方”系指根据合同约定交付货物的中标供应商</w:t>
      </w:r>
      <w:bookmarkEnd w:id="1021"/>
      <w:r>
        <w:rPr>
          <w:rFonts w:hint="eastAsia" w:ascii="微软雅黑" w:hAnsi="微软雅黑" w:eastAsia="微软雅黑" w:cs="微软雅黑"/>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022" w:name="_Ref467379436"/>
      <w:r>
        <w:rPr>
          <w:rFonts w:hint="eastAsia" w:ascii="微软雅黑" w:hAnsi="微软雅黑" w:eastAsia="微软雅黑" w:cs="微软雅黑"/>
          <w:color w:val="000000" w:themeColor="text1"/>
          <w:sz w:val="24"/>
          <w:szCs w:val="24"/>
          <w:highlight w:val="none"/>
          <w14:textFill>
            <w14:solidFill>
              <w14:schemeClr w14:val="tx1"/>
            </w14:solidFill>
          </w14:textFill>
        </w:rPr>
        <w:t>2.1.6 “现场”系指合同约定货物将要运至或者安装的地点。</w:t>
      </w:r>
      <w:bookmarkEnd w:id="1022"/>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23" w:name="_Toc8687"/>
      <w:bookmarkStart w:id="1024" w:name="_Toc13336"/>
      <w:bookmarkStart w:id="1025" w:name="_Toc24792"/>
      <w:bookmarkStart w:id="1026" w:name="_Toc3949"/>
      <w:bookmarkStart w:id="1027" w:name="_Toc29206"/>
      <w:bookmarkStart w:id="1028" w:name="_Toc1183"/>
      <w:bookmarkStart w:id="1029" w:name="_Toc23689"/>
      <w:bookmarkStart w:id="1030" w:name="_Toc31414"/>
      <w:bookmarkStart w:id="1031" w:name="_Toc24322"/>
      <w:bookmarkStart w:id="1032" w:name="_Toc7048"/>
      <w:bookmarkStart w:id="1033" w:name="_Toc22104"/>
      <w:bookmarkStart w:id="1034" w:name="_Toc1447"/>
      <w:bookmarkStart w:id="1035" w:name="_Toc17151"/>
      <w:bookmarkStart w:id="1036" w:name="_Toc259093670"/>
      <w:bookmarkStart w:id="1037" w:name="_Toc23702"/>
      <w:bookmarkStart w:id="1038" w:name="_Toc7416"/>
      <w:bookmarkStart w:id="1039" w:name="_Toc25266"/>
      <w:bookmarkStart w:id="1040" w:name="_Toc19892"/>
      <w:bookmarkStart w:id="1041" w:name="_Toc25336"/>
      <w:bookmarkStart w:id="1042" w:name="_Toc11142"/>
      <w:bookmarkStart w:id="1043" w:name="_Toc22769"/>
      <w:bookmarkStart w:id="1044" w:name="_Toc25269"/>
      <w:bookmarkStart w:id="1045" w:name="_Toc487900350"/>
      <w:bookmarkStart w:id="1046" w:name="_Toc24523"/>
      <w:bookmarkStart w:id="1047" w:name="_Toc27635"/>
      <w:bookmarkStart w:id="1048" w:name="_Toc15285"/>
      <w:bookmarkStart w:id="1049" w:name="_Toc279701241"/>
      <w:bookmarkStart w:id="1050" w:name="_Toc32504"/>
      <w:bookmarkStart w:id="1051" w:name="_Toc15269"/>
      <w:bookmarkStart w:id="1052" w:name="_Toc24670"/>
      <w:bookmarkStart w:id="1053" w:name="_Toc1352"/>
      <w:bookmarkStart w:id="1054" w:name="_Toc3193"/>
      <w:bookmarkStart w:id="1055" w:name="_Toc1221"/>
      <w:bookmarkStart w:id="1056" w:name="_Toc22122"/>
      <w:bookmarkStart w:id="1057" w:name="_Toc5592"/>
      <w:r>
        <w:rPr>
          <w:rFonts w:hint="eastAsia" w:ascii="微软雅黑" w:hAnsi="微软雅黑" w:eastAsia="微软雅黑" w:cs="微软雅黑"/>
          <w:b/>
          <w:bCs/>
          <w:color w:val="000000" w:themeColor="text1"/>
          <w:sz w:val="24"/>
          <w:szCs w:val="24"/>
          <w:highlight w:val="none"/>
          <w14:textFill>
            <w14:solidFill>
              <w14:schemeClr w14:val="tx1"/>
            </w14:solidFill>
          </w14:textFill>
        </w:rPr>
        <w:t>2.2 技术规范</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58" w:name="_Toc1649"/>
      <w:bookmarkStart w:id="1059" w:name="_Toc30552"/>
      <w:bookmarkStart w:id="1060" w:name="_Toc988"/>
      <w:bookmarkStart w:id="1061" w:name="_Toc20988"/>
      <w:bookmarkStart w:id="1062" w:name="_Toc4029"/>
      <w:bookmarkStart w:id="1063" w:name="_Toc6121"/>
      <w:bookmarkStart w:id="1064" w:name="_Toc23649"/>
      <w:bookmarkStart w:id="1065" w:name="_Toc487900351"/>
      <w:bookmarkStart w:id="1066" w:name="_Toc3854"/>
      <w:bookmarkStart w:id="1067" w:name="_Toc7722"/>
      <w:bookmarkStart w:id="1068" w:name="_Toc30700"/>
      <w:bookmarkStart w:id="1069" w:name="_Toc6835"/>
      <w:bookmarkStart w:id="1070" w:name="_Toc4277"/>
      <w:bookmarkStart w:id="1071" w:name="_Toc18842"/>
      <w:bookmarkStart w:id="1072" w:name="_Toc18758"/>
      <w:bookmarkStart w:id="1073" w:name="_Toc20130"/>
      <w:bookmarkStart w:id="1074" w:name="_Toc9829"/>
      <w:bookmarkStart w:id="1075" w:name="_Toc10461"/>
      <w:bookmarkStart w:id="1076" w:name="_Toc28662"/>
      <w:bookmarkStart w:id="1077" w:name="_Toc31634"/>
      <w:bookmarkStart w:id="1078" w:name="_Toc27853"/>
      <w:bookmarkStart w:id="1079" w:name="_Toc26928"/>
      <w:bookmarkStart w:id="1080" w:name="_Toc14632"/>
      <w:bookmarkStart w:id="1081" w:name="_Toc864"/>
      <w:bookmarkStart w:id="1082" w:name="_Toc32048"/>
      <w:bookmarkStart w:id="1083" w:name="_Toc23791"/>
      <w:bookmarkStart w:id="1084" w:name="_Toc259093671"/>
      <w:bookmarkStart w:id="1085" w:name="_Toc24537"/>
      <w:bookmarkStart w:id="1086" w:name="_Toc22279"/>
      <w:bookmarkStart w:id="1087" w:name="_Toc28946"/>
      <w:bookmarkStart w:id="1088" w:name="_Toc279701242"/>
      <w:bookmarkStart w:id="1089" w:name="_Toc4916"/>
      <w:bookmarkStart w:id="1090" w:name="_Toc17383"/>
      <w:bookmarkStart w:id="1091" w:name="_Toc975"/>
      <w:bookmarkStart w:id="1092" w:name="_Toc15733"/>
      <w:r>
        <w:rPr>
          <w:rFonts w:hint="eastAsia" w:ascii="微软雅黑" w:hAnsi="微软雅黑" w:eastAsia="微软雅黑" w:cs="微软雅黑"/>
          <w:b/>
          <w:bCs/>
          <w:color w:val="000000" w:themeColor="text1"/>
          <w:sz w:val="24"/>
          <w:szCs w:val="24"/>
          <w:highlight w:val="none"/>
          <w14:textFill>
            <w14:solidFill>
              <w14:schemeClr w14:val="tx1"/>
            </w14:solidFill>
          </w14:textFill>
        </w:rPr>
        <w:t>2.3 知识产权</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2.3.2具有知识产权的计算机软件等货物的知识产权归属，详见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093" w:name="_Toc10970"/>
      <w:bookmarkStart w:id="1094" w:name="_Toc20620"/>
      <w:bookmarkStart w:id="1095" w:name="_Toc13341"/>
      <w:bookmarkStart w:id="1096" w:name="_Toc17080"/>
      <w:bookmarkStart w:id="1097" w:name="_Toc8795"/>
      <w:bookmarkStart w:id="1098" w:name="_Toc21468"/>
      <w:bookmarkStart w:id="1099" w:name="_Toc10397"/>
      <w:bookmarkStart w:id="1100" w:name="_Toc6781"/>
      <w:bookmarkStart w:id="1101" w:name="_Toc18554"/>
      <w:bookmarkStart w:id="1102" w:name="_Toc4194"/>
      <w:bookmarkStart w:id="1103" w:name="_Toc11453"/>
      <w:bookmarkStart w:id="1104" w:name="_Toc10546"/>
      <w:bookmarkStart w:id="1105" w:name="_Toc12874"/>
      <w:bookmarkStart w:id="1106" w:name="_Toc12219"/>
      <w:bookmarkStart w:id="1107" w:name="_Toc28170"/>
      <w:bookmarkStart w:id="1108" w:name="_Toc28714"/>
      <w:bookmarkStart w:id="1109" w:name="_Toc9172"/>
      <w:bookmarkStart w:id="1110" w:name="_Toc11932"/>
      <w:bookmarkStart w:id="1111" w:name="_Toc5395"/>
      <w:bookmarkStart w:id="1112" w:name="_Toc23105"/>
      <w:bookmarkStart w:id="1113" w:name="_Toc19638"/>
      <w:bookmarkStart w:id="1114" w:name="_Toc29149"/>
      <w:bookmarkStart w:id="1115" w:name="_Toc24384"/>
      <w:bookmarkStart w:id="1116" w:name="_Toc9470"/>
      <w:bookmarkStart w:id="1117" w:name="_Toc3486"/>
      <w:bookmarkStart w:id="1118" w:name="_Toc25767"/>
      <w:bookmarkStart w:id="1119" w:name="_Toc1877"/>
      <w:bookmarkStart w:id="1120" w:name="_Toc455"/>
      <w:bookmarkStart w:id="1121" w:name="_Toc26731"/>
      <w:bookmarkStart w:id="1122" w:name="_Toc2585"/>
      <w:bookmarkStart w:id="1123" w:name="_Toc1945"/>
      <w:bookmarkStart w:id="1124" w:name="_Toc25749"/>
      <w:r>
        <w:rPr>
          <w:rFonts w:hint="eastAsia" w:ascii="微软雅黑" w:hAnsi="微软雅黑" w:eastAsia="微软雅黑" w:cs="微软雅黑"/>
          <w:b/>
          <w:bCs/>
          <w:color w:val="000000" w:themeColor="text1"/>
          <w:sz w:val="24"/>
          <w:szCs w:val="24"/>
          <w:highlight w:val="none"/>
          <w14:textFill>
            <w14:solidFill>
              <w14:schemeClr w14:val="tx1"/>
            </w14:solidFill>
          </w14:textFill>
        </w:rPr>
        <w:t>2.4 包装和装运</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2.4.1除</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2.4.2 装运货物的要求和通知，详见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125" w:name="_Toc487900354"/>
      <w:bookmarkStart w:id="1126" w:name="_Ref467379536"/>
      <w:bookmarkStart w:id="1127" w:name="_Toc279701245"/>
      <w:bookmarkStart w:id="1128" w:name="_Toc259093674"/>
      <w:bookmarkStart w:id="1129" w:name="_Ref467378541"/>
      <w:bookmarkStart w:id="1130" w:name="_Ref467379542"/>
      <w:bookmarkStart w:id="1131" w:name="_Ref467379527"/>
      <w:bookmarkStart w:id="1132" w:name="_Ref467378591"/>
      <w:bookmarkStart w:id="1133" w:name="_Toc14100"/>
      <w:bookmarkStart w:id="1134" w:name="_Toc19074"/>
      <w:bookmarkStart w:id="1135" w:name="_Toc7299"/>
      <w:bookmarkStart w:id="1136" w:name="_Toc21410"/>
      <w:bookmarkStart w:id="1137" w:name="_Toc30272"/>
      <w:bookmarkStart w:id="1138" w:name="_Toc28998"/>
      <w:bookmarkStart w:id="1139" w:name="_Toc7379"/>
      <w:bookmarkStart w:id="1140" w:name="_Toc17434"/>
      <w:bookmarkStart w:id="1141" w:name="_Toc2815"/>
      <w:bookmarkStart w:id="1142" w:name="_Toc31437"/>
      <w:bookmarkStart w:id="1143" w:name="_Toc24299"/>
      <w:bookmarkStart w:id="1144" w:name="_Toc2039"/>
      <w:bookmarkStart w:id="1145" w:name="_Toc26182"/>
      <w:bookmarkStart w:id="1146" w:name="_Toc14170"/>
      <w:bookmarkStart w:id="1147" w:name="_Toc21198"/>
      <w:bookmarkStart w:id="1148" w:name="_Toc28937"/>
      <w:bookmarkStart w:id="1149" w:name="_Toc5927"/>
      <w:bookmarkStart w:id="1150" w:name="_Toc530"/>
      <w:bookmarkStart w:id="1151" w:name="_Toc30516"/>
      <w:bookmarkStart w:id="1152" w:name="_Toc12428"/>
      <w:bookmarkStart w:id="1153" w:name="_Toc20866"/>
      <w:bookmarkStart w:id="1154" w:name="_Toc8552"/>
      <w:bookmarkStart w:id="1155" w:name="_Toc4831"/>
      <w:bookmarkStart w:id="1156" w:name="_Toc1580"/>
      <w:bookmarkStart w:id="1157" w:name="_Toc28324"/>
      <w:bookmarkStart w:id="1158" w:name="_Toc31359"/>
      <w:bookmarkStart w:id="1159" w:name="_Toc18307"/>
      <w:bookmarkStart w:id="1160" w:name="_Toc30291"/>
      <w:bookmarkStart w:id="1161" w:name="_Toc24935"/>
      <w:bookmarkStart w:id="1162" w:name="_Toc18515"/>
      <w:bookmarkStart w:id="1163" w:name="_Toc15512"/>
      <w:bookmarkStart w:id="1164" w:name="_Toc10209"/>
      <w:r>
        <w:rPr>
          <w:rFonts w:hint="eastAsia" w:ascii="微软雅黑" w:hAnsi="微软雅黑" w:eastAsia="微软雅黑" w:cs="微软雅黑"/>
          <w:b/>
          <w:bCs/>
          <w:color w:val="000000" w:themeColor="text1"/>
          <w:sz w:val="24"/>
          <w:szCs w:val="24"/>
          <w:highlight w:val="none"/>
          <w14:textFill>
            <w14:solidFill>
              <w14:schemeClr w14:val="tx1"/>
            </w14:solidFill>
          </w14:textFill>
        </w:rPr>
        <w:t>2.</w:t>
      </w:r>
      <w:bookmarkEnd w:id="1125"/>
      <w:bookmarkEnd w:id="1126"/>
      <w:bookmarkEnd w:id="1127"/>
      <w:bookmarkEnd w:id="1128"/>
      <w:bookmarkEnd w:id="1129"/>
      <w:bookmarkEnd w:id="1130"/>
      <w:bookmarkEnd w:id="1131"/>
      <w:bookmarkEnd w:id="1132"/>
      <w:r>
        <w:rPr>
          <w:rFonts w:hint="eastAsia" w:ascii="微软雅黑" w:hAnsi="微软雅黑" w:eastAsia="微软雅黑" w:cs="微软雅黑"/>
          <w:b/>
          <w:bCs/>
          <w:color w:val="000000" w:themeColor="text1"/>
          <w:sz w:val="24"/>
          <w:szCs w:val="24"/>
          <w:highlight w:val="none"/>
          <w14:textFill>
            <w14:solidFill>
              <w14:schemeClr w14:val="tx1"/>
            </w14:solidFill>
          </w14:textFill>
        </w:rPr>
        <w:t>5 履约检查和问题反馈</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165" w:name="_Ref467379657"/>
      <w:r>
        <w:rPr>
          <w:rFonts w:hint="eastAsia" w:ascii="微软雅黑" w:hAnsi="微软雅黑" w:eastAsia="微软雅黑" w:cs="微软雅黑"/>
          <w:color w:val="000000" w:themeColor="text1"/>
          <w:sz w:val="24"/>
          <w:szCs w:val="24"/>
          <w:highlight w:val="none"/>
          <w14:textFill>
            <w14:solidFill>
              <w14:schemeClr w14:val="tx1"/>
            </w14:solidFill>
          </w14:textFill>
        </w:rPr>
        <w:t>2.5.1</w:t>
      </w:r>
      <w:bookmarkEnd w:id="1165"/>
      <w:bookmarkStart w:id="1166" w:name="_Toc186431854"/>
      <w:bookmarkStart w:id="1167" w:name="_Ref467379793"/>
      <w:bookmarkStart w:id="1168" w:name="_Toc279701247"/>
      <w:bookmarkStart w:id="1169" w:name="_Toc487900357"/>
      <w:bookmarkStart w:id="1170" w:name="_Ref467379807"/>
      <w:bookmarkStart w:id="1171" w:name="_Toc259093676"/>
      <w:r>
        <w:rPr>
          <w:rFonts w:hint="eastAsia" w:ascii="微软雅黑" w:hAnsi="微软雅黑" w:eastAsia="微软雅黑" w:cs="微软雅黑"/>
          <w:color w:val="000000" w:themeColor="text1"/>
          <w:sz w:val="24"/>
          <w:szCs w:val="24"/>
          <w:highlight w:val="none"/>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2.5.2 合同履行期间，甲方有权将履行过程中出现的问题反馈给乙方，双方当事人应以书面形式约定需要完善和改进的内容</w:t>
      </w:r>
      <w:bookmarkEnd w:id="1166"/>
      <w:bookmarkStart w:id="1172" w:name="_Toc186431855"/>
      <w:r>
        <w:rPr>
          <w:rFonts w:hint="eastAsia" w:ascii="微软雅黑" w:hAnsi="微软雅黑" w:eastAsia="微软雅黑" w:cs="微软雅黑"/>
          <w:color w:val="000000" w:themeColor="text1"/>
          <w:sz w:val="24"/>
          <w:szCs w:val="24"/>
          <w:highlight w:val="none"/>
          <w14:textFill>
            <w14:solidFill>
              <w14:schemeClr w14:val="tx1"/>
            </w14:solidFill>
          </w14:textFill>
        </w:rPr>
        <w:t>。</w:t>
      </w:r>
    </w:p>
    <w:bookmarkEnd w:id="1172"/>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173" w:name="_Toc5363"/>
      <w:bookmarkStart w:id="1174" w:name="_Toc30354"/>
      <w:bookmarkStart w:id="1175" w:name="_Toc23261"/>
      <w:bookmarkStart w:id="1176" w:name="_Toc17283"/>
      <w:bookmarkStart w:id="1177" w:name="_Toc27802"/>
      <w:bookmarkStart w:id="1178" w:name="_Toc26298"/>
      <w:bookmarkStart w:id="1179" w:name="_Toc7836"/>
      <w:bookmarkStart w:id="1180" w:name="_Toc12025"/>
      <w:bookmarkStart w:id="1181" w:name="_Toc5304"/>
      <w:bookmarkStart w:id="1182" w:name="_Toc12360"/>
      <w:bookmarkStart w:id="1183" w:name="_Toc31564"/>
      <w:bookmarkStart w:id="1184" w:name="_Toc31520"/>
      <w:bookmarkStart w:id="1185" w:name="_Toc10470"/>
      <w:bookmarkStart w:id="1186" w:name="_Toc18294"/>
      <w:bookmarkStart w:id="1187" w:name="_Toc28142"/>
      <w:bookmarkStart w:id="1188" w:name="_Toc32034"/>
      <w:bookmarkStart w:id="1189" w:name="_Toc2067"/>
      <w:bookmarkStart w:id="1190" w:name="_Toc22499"/>
      <w:bookmarkStart w:id="1191" w:name="_Toc234"/>
      <w:bookmarkStart w:id="1192" w:name="_Toc12377"/>
      <w:bookmarkStart w:id="1193" w:name="_Toc28451"/>
      <w:bookmarkStart w:id="1194" w:name="_Toc10980"/>
      <w:bookmarkStart w:id="1195" w:name="_Toc26232"/>
      <w:bookmarkStart w:id="1196" w:name="_Toc582"/>
      <w:bookmarkStart w:id="1197" w:name="_Toc15854"/>
      <w:bookmarkStart w:id="1198" w:name="_Toc8058"/>
      <w:bookmarkStart w:id="1199" w:name="_Toc9092"/>
      <w:bookmarkStart w:id="1200" w:name="_Toc3518"/>
      <w:bookmarkStart w:id="1201" w:name="_Toc10704"/>
      <w:bookmarkStart w:id="1202" w:name="_Toc11522"/>
      <w:bookmarkStart w:id="1203" w:name="_Toc19219"/>
      <w:bookmarkStart w:id="1204" w:name="_Toc26245"/>
      <w:r>
        <w:rPr>
          <w:rFonts w:hint="eastAsia" w:ascii="微软雅黑" w:hAnsi="微软雅黑" w:eastAsia="微软雅黑" w:cs="微软雅黑"/>
          <w:b/>
          <w:bCs/>
          <w:color w:val="000000" w:themeColor="text1"/>
          <w:sz w:val="24"/>
          <w:szCs w:val="24"/>
          <w:highlight w:val="none"/>
          <w14:textFill>
            <w14:solidFill>
              <w14:schemeClr w14:val="tx1"/>
            </w14:solidFill>
          </w14:textFill>
        </w:rPr>
        <w:t>2.6 结算方式和付款条件</w:t>
      </w:r>
      <w:bookmarkEnd w:id="1167"/>
      <w:bookmarkEnd w:id="1168"/>
      <w:bookmarkEnd w:id="1169"/>
      <w:bookmarkEnd w:id="1170"/>
      <w:bookmarkEnd w:id="1171"/>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05" w:name="_Ref467379863"/>
      <w:bookmarkStart w:id="1206" w:name="_Ref467379852"/>
      <w:bookmarkStart w:id="1207" w:name="_Toc259093677"/>
      <w:bookmarkStart w:id="1208" w:name="_Toc487900358"/>
      <w:bookmarkStart w:id="1209" w:name="_Ref467379923"/>
      <w:bookmarkStart w:id="1210" w:name="_Toc279701248"/>
      <w:bookmarkStart w:id="1211" w:name="_Toc8272"/>
      <w:bookmarkStart w:id="1212" w:name="_Toc24083"/>
      <w:bookmarkStart w:id="1213" w:name="_Toc12608"/>
      <w:bookmarkStart w:id="1214" w:name="_Toc28781"/>
      <w:bookmarkStart w:id="1215" w:name="_Toc9845"/>
      <w:bookmarkStart w:id="1216" w:name="_Toc31971"/>
      <w:bookmarkStart w:id="1217" w:name="_Toc10114"/>
      <w:bookmarkStart w:id="1218" w:name="_Toc25277"/>
      <w:bookmarkStart w:id="1219" w:name="_Toc14491"/>
      <w:bookmarkStart w:id="1220" w:name="_Toc17136"/>
      <w:bookmarkStart w:id="1221" w:name="_Toc31128"/>
      <w:bookmarkStart w:id="1222" w:name="_Toc17051"/>
      <w:bookmarkStart w:id="1223" w:name="_Toc11236"/>
      <w:bookmarkStart w:id="1224" w:name="_Toc16110"/>
      <w:bookmarkStart w:id="1225" w:name="_Toc3333"/>
      <w:bookmarkStart w:id="1226" w:name="_Toc13023"/>
      <w:bookmarkStart w:id="1227" w:name="_Toc7000"/>
      <w:bookmarkStart w:id="1228" w:name="_Toc29616"/>
      <w:bookmarkStart w:id="1229" w:name="_Toc1646"/>
      <w:bookmarkStart w:id="1230" w:name="_Toc14432"/>
      <w:bookmarkStart w:id="1231" w:name="_Toc1200"/>
      <w:bookmarkStart w:id="1232" w:name="_Toc11615"/>
      <w:bookmarkStart w:id="1233" w:name="_Toc3225"/>
      <w:bookmarkStart w:id="1234" w:name="_Toc2550"/>
      <w:bookmarkStart w:id="1235" w:name="_Toc6635"/>
      <w:bookmarkStart w:id="1236" w:name="_Toc14939"/>
      <w:bookmarkStart w:id="1237" w:name="_Toc17607"/>
      <w:bookmarkStart w:id="1238" w:name="_Toc31305"/>
      <w:bookmarkStart w:id="1239" w:name="_Toc22229"/>
      <w:bookmarkStart w:id="1240" w:name="_Toc29030"/>
      <w:bookmarkStart w:id="1241" w:name="_Toc23170"/>
      <w:bookmarkStart w:id="1242" w:name="_Toc774"/>
      <w:r>
        <w:rPr>
          <w:rFonts w:hint="eastAsia" w:ascii="微软雅黑" w:hAnsi="微软雅黑" w:eastAsia="微软雅黑" w:cs="微软雅黑"/>
          <w:b/>
          <w:bCs/>
          <w:color w:val="000000" w:themeColor="text1"/>
          <w:sz w:val="24"/>
          <w:szCs w:val="24"/>
          <w:highlight w:val="none"/>
          <w14:textFill>
            <w14:solidFill>
              <w14:schemeClr w14:val="tx1"/>
            </w14:solidFill>
          </w14:textFill>
        </w:rPr>
        <w:t>2.7 技术资料</w:t>
      </w:r>
      <w:bookmarkEnd w:id="1205"/>
      <w:bookmarkEnd w:id="1206"/>
      <w:bookmarkEnd w:id="1207"/>
      <w:bookmarkEnd w:id="1208"/>
      <w:bookmarkEnd w:id="1209"/>
      <w:bookmarkEnd w:id="1210"/>
      <w:r>
        <w:rPr>
          <w:rFonts w:hint="eastAsia" w:ascii="微软雅黑" w:hAnsi="微软雅黑" w:eastAsia="微软雅黑" w:cs="微软雅黑"/>
          <w:b/>
          <w:bCs/>
          <w:color w:val="000000" w:themeColor="text1"/>
          <w:sz w:val="24"/>
          <w:szCs w:val="24"/>
          <w:highlight w:val="none"/>
          <w14:textFill>
            <w14:solidFill>
              <w14:schemeClr w14:val="tx1"/>
            </w14:solidFill>
          </w14:textFill>
        </w:rPr>
        <w:t>和保密义务</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2.7.2 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43" w:name="_Toc23081"/>
      <w:bookmarkStart w:id="1244" w:name="_Toc7860"/>
      <w:bookmarkStart w:id="1245" w:name="_Toc31496"/>
      <w:bookmarkStart w:id="1246" w:name="_Toc9561"/>
      <w:bookmarkStart w:id="1247" w:name="_Toc27453"/>
      <w:bookmarkStart w:id="1248" w:name="_Toc21267"/>
      <w:bookmarkStart w:id="1249" w:name="_Toc8288"/>
      <w:bookmarkStart w:id="1250" w:name="_Toc11328"/>
      <w:bookmarkStart w:id="1251" w:name="_Toc5556"/>
      <w:bookmarkStart w:id="1252" w:name="_Toc24654"/>
      <w:bookmarkStart w:id="1253" w:name="_Toc20641"/>
      <w:bookmarkStart w:id="1254" w:name="_Toc11530"/>
      <w:bookmarkStart w:id="1255" w:name="_Toc4779"/>
      <w:bookmarkStart w:id="1256" w:name="_Toc16190"/>
      <w:bookmarkStart w:id="1257" w:name="_Toc5200"/>
      <w:bookmarkStart w:id="1258" w:name="_Toc30503"/>
      <w:bookmarkStart w:id="1259" w:name="_Toc18551"/>
      <w:bookmarkStart w:id="1260" w:name="_Toc122"/>
      <w:bookmarkStart w:id="1261" w:name="_Toc14045"/>
      <w:bookmarkStart w:id="1262" w:name="_Toc25676"/>
      <w:bookmarkStart w:id="1263" w:name="_Toc3156"/>
      <w:bookmarkStart w:id="1264" w:name="_Toc7771"/>
      <w:bookmarkStart w:id="1265" w:name="_Toc3282"/>
      <w:bookmarkStart w:id="1266" w:name="_Toc10326"/>
      <w:bookmarkStart w:id="1267" w:name="_Toc30167"/>
      <w:bookmarkStart w:id="1268" w:name="_Toc26425"/>
      <w:bookmarkStart w:id="1269" w:name="_Toc19659"/>
      <w:bookmarkStart w:id="1270" w:name="_Toc18231"/>
      <w:bookmarkStart w:id="1271" w:name="_Toc30477"/>
      <w:bookmarkStart w:id="1272" w:name="_Toc21164"/>
      <w:r>
        <w:rPr>
          <w:rFonts w:hint="eastAsia" w:ascii="微软雅黑" w:hAnsi="微软雅黑" w:eastAsia="微软雅黑" w:cs="微软雅黑"/>
          <w:b/>
          <w:bCs/>
          <w:color w:val="000000" w:themeColor="text1"/>
          <w:sz w:val="24"/>
          <w:szCs w:val="24"/>
          <w:highlight w:val="none"/>
          <w14:textFill>
            <w14:solidFill>
              <w14:schemeClr w14:val="tx1"/>
            </w14:solidFill>
          </w14:textFill>
        </w:rPr>
        <w:t>2.8 质量保证</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273" w:name="_Toc27806"/>
      <w:bookmarkStart w:id="1274" w:name="_Toc14663"/>
      <w:bookmarkStart w:id="1275" w:name="_Toc17030"/>
      <w:bookmarkStart w:id="1276" w:name="_Toc23172"/>
      <w:bookmarkStart w:id="1277" w:name="_Toc10150"/>
      <w:bookmarkStart w:id="1278" w:name="_Toc28147"/>
      <w:bookmarkStart w:id="1279" w:name="_Toc12966"/>
      <w:bookmarkStart w:id="1280" w:name="_Toc812"/>
      <w:bookmarkStart w:id="1281" w:name="_Toc17244"/>
      <w:bookmarkStart w:id="1282" w:name="_Toc31920"/>
      <w:bookmarkStart w:id="1283" w:name="_Toc12408"/>
      <w:bookmarkStart w:id="1284" w:name="_Toc20747"/>
      <w:bookmarkStart w:id="1285" w:name="_Toc17497"/>
      <w:bookmarkStart w:id="1286" w:name="_Toc13410"/>
      <w:bookmarkStart w:id="1287" w:name="_Toc7569"/>
      <w:bookmarkStart w:id="1288" w:name="_Toc15929"/>
      <w:bookmarkStart w:id="1289" w:name="_Toc801"/>
      <w:bookmarkStart w:id="1290" w:name="_Toc27238"/>
      <w:bookmarkStart w:id="1291" w:name="_Toc13812"/>
      <w:bookmarkStart w:id="1292" w:name="_Toc15408"/>
      <w:bookmarkStart w:id="1293" w:name="_Toc12010"/>
      <w:bookmarkStart w:id="1294" w:name="_Toc22016"/>
      <w:bookmarkStart w:id="1295" w:name="_Toc21330"/>
      <w:bookmarkStart w:id="1296" w:name="_Toc25529"/>
      <w:bookmarkStart w:id="1297" w:name="_Toc14596"/>
      <w:bookmarkStart w:id="1298" w:name="_Toc26555"/>
      <w:bookmarkStart w:id="1299" w:name="_Toc16040"/>
      <w:bookmarkStart w:id="1300" w:name="_Toc22833"/>
      <w:bookmarkStart w:id="1301" w:name="_Toc3300"/>
      <w:bookmarkStart w:id="1302" w:name="_Toc27234"/>
      <w:bookmarkStart w:id="1303" w:name="_Toc279701252"/>
      <w:bookmarkStart w:id="1304" w:name="_Toc487900362"/>
      <w:bookmarkStart w:id="1305" w:name="_Toc259093681"/>
      <w:r>
        <w:rPr>
          <w:rFonts w:hint="eastAsia" w:ascii="微软雅黑" w:hAnsi="微软雅黑" w:eastAsia="微软雅黑" w:cs="微软雅黑"/>
          <w:b/>
          <w:bCs/>
          <w:color w:val="000000" w:themeColor="text1"/>
          <w:sz w:val="24"/>
          <w:szCs w:val="24"/>
          <w:highlight w:val="none"/>
          <w14:textFill>
            <w14:solidFill>
              <w14:schemeClr w14:val="tx1"/>
            </w14:solidFill>
          </w14:textFill>
        </w:rPr>
        <w:t>2.9 货物的风险负担</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货物或者在途货物或者交付给第一承运人后的货物毁损、灭失的风险负担详见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06" w:name="_Toc5196"/>
      <w:bookmarkStart w:id="1307" w:name="_Toc24830"/>
      <w:bookmarkStart w:id="1308" w:name="_Toc29837"/>
      <w:bookmarkStart w:id="1309" w:name="_Toc11599"/>
      <w:bookmarkStart w:id="1310" w:name="_Toc566"/>
      <w:bookmarkStart w:id="1311" w:name="_Toc26567"/>
      <w:bookmarkStart w:id="1312" w:name="_Toc6602"/>
      <w:bookmarkStart w:id="1313" w:name="_Toc22674"/>
      <w:bookmarkStart w:id="1314" w:name="_Toc2"/>
      <w:bookmarkStart w:id="1315" w:name="_Toc14055"/>
      <w:bookmarkStart w:id="1316" w:name="_Toc15616"/>
      <w:bookmarkStart w:id="1317" w:name="_Toc10676"/>
      <w:bookmarkStart w:id="1318" w:name="_Toc15972"/>
      <w:bookmarkStart w:id="1319" w:name="_Toc25663"/>
      <w:bookmarkStart w:id="1320" w:name="_Toc17699"/>
      <w:bookmarkStart w:id="1321" w:name="_Toc19684"/>
      <w:bookmarkStart w:id="1322" w:name="_Toc29192"/>
      <w:bookmarkStart w:id="1323" w:name="_Toc14698"/>
      <w:bookmarkStart w:id="1324" w:name="_Toc7986"/>
      <w:bookmarkStart w:id="1325" w:name="_Toc5876"/>
      <w:bookmarkStart w:id="1326" w:name="_Toc1299"/>
      <w:bookmarkStart w:id="1327" w:name="_Toc15310"/>
      <w:bookmarkStart w:id="1328" w:name="_Toc15465"/>
      <w:bookmarkStart w:id="1329" w:name="_Toc16001"/>
      <w:bookmarkStart w:id="1330" w:name="_Toc20457"/>
      <w:bookmarkStart w:id="1331" w:name="_Toc20938"/>
      <w:bookmarkStart w:id="1332" w:name="_Toc11963"/>
      <w:bookmarkStart w:id="1333" w:name="_Toc17555"/>
      <w:bookmarkStart w:id="1334" w:name="_Toc1494"/>
      <w:bookmarkStart w:id="1335" w:name="_Toc15112"/>
      <w:r>
        <w:rPr>
          <w:rFonts w:hint="eastAsia" w:ascii="微软雅黑" w:hAnsi="微软雅黑" w:eastAsia="微软雅黑" w:cs="微软雅黑"/>
          <w:b/>
          <w:bCs/>
          <w:color w:val="000000" w:themeColor="text1"/>
          <w:sz w:val="24"/>
          <w:szCs w:val="24"/>
          <w:highlight w:val="none"/>
          <w14:textFill>
            <w14:solidFill>
              <w14:schemeClr w14:val="tx1"/>
            </w14:solidFill>
          </w14:textFill>
        </w:rPr>
        <w:t>2.10 延迟交货</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36" w:name="_Toc21567"/>
      <w:bookmarkStart w:id="1337" w:name="_Toc20266"/>
      <w:bookmarkStart w:id="1338" w:name="_Toc12175"/>
      <w:bookmarkStart w:id="1339" w:name="_Toc17237"/>
      <w:bookmarkStart w:id="1340" w:name="_Toc9194"/>
      <w:bookmarkStart w:id="1341" w:name="_Toc29381"/>
      <w:bookmarkStart w:id="1342" w:name="_Toc26004"/>
      <w:bookmarkStart w:id="1343" w:name="_Toc29075"/>
      <w:bookmarkStart w:id="1344" w:name="_Toc31403"/>
      <w:bookmarkStart w:id="1345" w:name="_Toc19434"/>
      <w:bookmarkStart w:id="1346" w:name="_Toc16810"/>
      <w:bookmarkStart w:id="1347" w:name="_Toc9706"/>
      <w:bookmarkStart w:id="1348" w:name="_Toc7502"/>
      <w:bookmarkStart w:id="1349" w:name="_Toc26357"/>
      <w:bookmarkStart w:id="1350" w:name="_Toc7444"/>
      <w:bookmarkStart w:id="1351" w:name="_Toc4586"/>
      <w:bookmarkStart w:id="1352" w:name="_Toc19951"/>
      <w:bookmarkStart w:id="1353" w:name="_Toc2860"/>
      <w:bookmarkStart w:id="1354" w:name="_Toc23198"/>
      <w:bookmarkStart w:id="1355" w:name="_Toc3064"/>
      <w:bookmarkStart w:id="1356" w:name="_Toc14851"/>
      <w:bookmarkStart w:id="1357" w:name="_Toc10956"/>
      <w:bookmarkStart w:id="1358" w:name="_Toc15143"/>
      <w:bookmarkStart w:id="1359" w:name="_Toc16528"/>
      <w:bookmarkStart w:id="1360" w:name="_Toc25717"/>
      <w:bookmarkStart w:id="1361" w:name="_Toc18704"/>
      <w:bookmarkStart w:id="1362" w:name="_Toc4551"/>
      <w:bookmarkStart w:id="1363" w:name="_Toc8441"/>
      <w:bookmarkStart w:id="1364" w:name="_Toc507"/>
      <w:bookmarkStart w:id="1365" w:name="_Toc8126"/>
      <w:bookmarkStart w:id="1366" w:name="_Toc259093683"/>
      <w:bookmarkStart w:id="1367" w:name="_Ref467378121"/>
      <w:bookmarkStart w:id="1368" w:name="_Toc279701254"/>
      <w:bookmarkStart w:id="1369" w:name="_Toc487900364"/>
      <w:r>
        <w:rPr>
          <w:rFonts w:hint="eastAsia" w:ascii="微软雅黑" w:hAnsi="微软雅黑" w:eastAsia="微软雅黑" w:cs="微软雅黑"/>
          <w:b/>
          <w:bCs/>
          <w:color w:val="000000" w:themeColor="text1"/>
          <w:sz w:val="24"/>
          <w:szCs w:val="24"/>
          <w:highlight w:val="none"/>
          <w14:textFill>
            <w14:solidFill>
              <w14:schemeClr w14:val="tx1"/>
            </w14:solidFill>
          </w14:textFill>
        </w:rPr>
        <w:t>2.11 合同变更</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1370" w:name="_Toc487900369"/>
      <w:bookmarkStart w:id="1371" w:name="_Toc259093688"/>
      <w:bookmarkStart w:id="1372" w:name="_Toc279701259"/>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373" w:name="_Toc3825"/>
      <w:bookmarkStart w:id="1374" w:name="_Toc8679"/>
      <w:bookmarkStart w:id="1375" w:name="_Toc31419"/>
      <w:bookmarkStart w:id="1376" w:name="_Toc32003"/>
      <w:bookmarkStart w:id="1377" w:name="_Toc32581"/>
      <w:bookmarkStart w:id="1378" w:name="_Toc3928"/>
      <w:bookmarkStart w:id="1379" w:name="_Toc21753"/>
      <w:bookmarkStart w:id="1380" w:name="_Toc19380"/>
      <w:bookmarkStart w:id="1381" w:name="_Toc30397"/>
      <w:bookmarkStart w:id="1382" w:name="_Toc14895"/>
      <w:bookmarkStart w:id="1383" w:name="_Toc11626"/>
      <w:bookmarkStart w:id="1384" w:name="_Toc10366"/>
      <w:bookmarkStart w:id="1385" w:name="_Toc27772"/>
      <w:bookmarkStart w:id="1386" w:name="_Toc22955"/>
      <w:bookmarkStart w:id="1387" w:name="_Toc29045"/>
      <w:bookmarkStart w:id="1388" w:name="_Toc17486"/>
      <w:bookmarkStart w:id="1389" w:name="_Toc15237"/>
      <w:bookmarkStart w:id="1390" w:name="_Toc3931"/>
      <w:bookmarkStart w:id="1391" w:name="_Toc3062"/>
      <w:bookmarkStart w:id="1392" w:name="_Toc24850"/>
      <w:bookmarkStart w:id="1393" w:name="_Toc26224"/>
      <w:bookmarkStart w:id="1394" w:name="_Toc23079"/>
      <w:bookmarkStart w:id="1395" w:name="_Toc26864"/>
      <w:bookmarkStart w:id="1396" w:name="_Toc2157"/>
      <w:bookmarkStart w:id="1397" w:name="_Toc24511"/>
      <w:bookmarkStart w:id="1398" w:name="_Toc18316"/>
      <w:bookmarkStart w:id="1399" w:name="_Toc12164"/>
      <w:bookmarkStart w:id="1400" w:name="_Toc10537"/>
      <w:bookmarkStart w:id="1401" w:name="_Toc32309"/>
      <w:bookmarkStart w:id="1402" w:name="_Toc25508"/>
      <w:bookmarkStart w:id="1403" w:name="_Toc9320"/>
      <w:bookmarkStart w:id="1404" w:name="_Toc6051"/>
      <w:r>
        <w:rPr>
          <w:rFonts w:hint="eastAsia" w:ascii="微软雅黑" w:hAnsi="微软雅黑" w:eastAsia="微软雅黑" w:cs="微软雅黑"/>
          <w:b/>
          <w:bCs/>
          <w:color w:val="000000" w:themeColor="text1"/>
          <w:sz w:val="24"/>
          <w:szCs w:val="24"/>
          <w:highlight w:val="none"/>
          <w14:textFill>
            <w14:solidFill>
              <w14:schemeClr w14:val="tx1"/>
            </w14:solidFill>
          </w14:textFill>
        </w:rPr>
        <w:t>2.12 合同转让</w:t>
      </w:r>
      <w:bookmarkEnd w:id="1370"/>
      <w:bookmarkEnd w:id="1371"/>
      <w:bookmarkEnd w:id="1372"/>
      <w:r>
        <w:rPr>
          <w:rFonts w:hint="eastAsia" w:ascii="微软雅黑" w:hAnsi="微软雅黑" w:eastAsia="微软雅黑" w:cs="微软雅黑"/>
          <w:b/>
          <w:bCs/>
          <w:color w:val="000000" w:themeColor="text1"/>
          <w:sz w:val="24"/>
          <w:szCs w:val="24"/>
          <w:highlight w:val="none"/>
          <w14:textFill>
            <w14:solidFill>
              <w14:schemeClr w14:val="tx1"/>
            </w14:solidFill>
          </w14:textFill>
        </w:rPr>
        <w:t>和分包</w:t>
      </w:r>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05" w:name="_Toc8114"/>
      <w:bookmarkStart w:id="1406" w:name="_Toc13557"/>
      <w:bookmarkStart w:id="1407" w:name="_Toc14564"/>
      <w:bookmarkStart w:id="1408" w:name="_Toc13566"/>
      <w:bookmarkStart w:id="1409" w:name="_Toc16508"/>
      <w:bookmarkStart w:id="1410" w:name="_Toc4097"/>
      <w:bookmarkStart w:id="1411" w:name="_Toc5484"/>
      <w:bookmarkStart w:id="1412" w:name="_Toc10688"/>
      <w:bookmarkStart w:id="1413" w:name="_Toc3177"/>
      <w:bookmarkStart w:id="1414" w:name="_Toc18272"/>
      <w:bookmarkStart w:id="1415" w:name="_Toc14066"/>
      <w:bookmarkStart w:id="1416" w:name="_Toc2586"/>
      <w:bookmarkStart w:id="1417" w:name="_Toc32426"/>
      <w:bookmarkStart w:id="1418" w:name="_Toc7077"/>
      <w:bookmarkStart w:id="1419" w:name="_Toc31984"/>
      <w:bookmarkStart w:id="1420" w:name="_Toc15741"/>
      <w:bookmarkStart w:id="1421" w:name="_Toc19407"/>
      <w:bookmarkStart w:id="1422" w:name="_Toc3533"/>
      <w:bookmarkStart w:id="1423" w:name="_Toc24741"/>
      <w:bookmarkStart w:id="1424" w:name="_Toc32580"/>
      <w:bookmarkStart w:id="1425" w:name="_Toc14752"/>
      <w:bookmarkStart w:id="1426" w:name="_Toc12165"/>
      <w:bookmarkStart w:id="1427" w:name="_Toc22326"/>
      <w:bookmarkStart w:id="1428" w:name="_Toc11104"/>
      <w:bookmarkStart w:id="1429" w:name="_Toc12809"/>
      <w:bookmarkStart w:id="1430" w:name="_Toc6414"/>
      <w:bookmarkStart w:id="1431" w:name="_Toc19750"/>
      <w:bookmarkStart w:id="1432" w:name="_Toc32515"/>
      <w:bookmarkStart w:id="1433" w:name="_Toc16893"/>
      <w:bookmarkStart w:id="1434" w:name="_Toc21030"/>
      <w:bookmarkStart w:id="1435" w:name="_Toc4540"/>
      <w:bookmarkStart w:id="1436" w:name="_Toc17498"/>
      <w:r>
        <w:rPr>
          <w:rFonts w:hint="eastAsia" w:ascii="微软雅黑" w:hAnsi="微软雅黑" w:eastAsia="微软雅黑" w:cs="微软雅黑"/>
          <w:b/>
          <w:bCs/>
          <w:color w:val="000000" w:themeColor="text1"/>
          <w:sz w:val="24"/>
          <w:szCs w:val="24"/>
          <w:highlight w:val="none"/>
          <w14:textFill>
            <w14:solidFill>
              <w14:schemeClr w14:val="tx1"/>
            </w14:solidFill>
          </w14:textFill>
        </w:rPr>
        <w:t>2.13 不可抗力</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2.13.2 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2.13.3 因不可抗力致使合同有变更必要的，双方当事人应在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2.13.4受不可抗力影响的一方在不可抗力发生后，应在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约定时间内以书面形式通知对方当事人，并在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约定时间内，将有关部门出具的证明文件送达对方当事人。</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37" w:name="_Toc16506"/>
      <w:bookmarkStart w:id="1438" w:name="_Toc28117"/>
      <w:bookmarkStart w:id="1439" w:name="_Toc13151"/>
      <w:bookmarkStart w:id="1440" w:name="_Toc12959"/>
      <w:bookmarkStart w:id="1441" w:name="_Toc20375"/>
      <w:bookmarkStart w:id="1442" w:name="_Toc11876"/>
      <w:bookmarkStart w:id="1443" w:name="_Toc24010"/>
      <w:bookmarkStart w:id="1444" w:name="_Toc4006"/>
      <w:bookmarkStart w:id="1445" w:name="_Toc31597"/>
      <w:bookmarkStart w:id="1446" w:name="_Toc25124"/>
      <w:bookmarkStart w:id="1447" w:name="_Toc1957"/>
      <w:bookmarkStart w:id="1448" w:name="_Toc19677"/>
      <w:bookmarkStart w:id="1449" w:name="_Toc4395"/>
      <w:bookmarkStart w:id="1450" w:name="_Toc10528"/>
      <w:bookmarkStart w:id="1451" w:name="_Toc30676"/>
      <w:bookmarkStart w:id="1452" w:name="_Toc11423"/>
      <w:bookmarkStart w:id="1453" w:name="_Toc5884"/>
      <w:bookmarkStart w:id="1454" w:name="_Toc22812"/>
      <w:bookmarkStart w:id="1455" w:name="_Toc6047"/>
      <w:bookmarkStart w:id="1456" w:name="_Toc1584"/>
      <w:bookmarkStart w:id="1457" w:name="_Toc279701255"/>
      <w:bookmarkStart w:id="1458" w:name="_Toc6969"/>
      <w:bookmarkStart w:id="1459" w:name="_Toc7145"/>
      <w:bookmarkStart w:id="1460" w:name="_Toc7175"/>
      <w:bookmarkStart w:id="1461" w:name="_Toc16229"/>
      <w:bookmarkStart w:id="1462" w:name="_Toc259093684"/>
      <w:bookmarkStart w:id="1463" w:name="_Toc689"/>
      <w:bookmarkStart w:id="1464" w:name="_Toc6676"/>
      <w:bookmarkStart w:id="1465" w:name="_Toc11875"/>
      <w:bookmarkStart w:id="1466" w:name="_Toc13910"/>
      <w:bookmarkStart w:id="1467" w:name="_Toc32764"/>
      <w:bookmarkStart w:id="1468" w:name="_Toc487900365"/>
      <w:bookmarkStart w:id="1469" w:name="_Toc26085"/>
      <w:bookmarkStart w:id="1470" w:name="_Toc28340"/>
      <w:bookmarkStart w:id="1471" w:name="_Toc6288"/>
      <w:r>
        <w:rPr>
          <w:rFonts w:hint="eastAsia" w:ascii="微软雅黑" w:hAnsi="微软雅黑" w:eastAsia="微软雅黑" w:cs="微软雅黑"/>
          <w:b/>
          <w:bCs/>
          <w:color w:val="000000" w:themeColor="text1"/>
          <w:sz w:val="24"/>
          <w:szCs w:val="24"/>
          <w:highlight w:val="none"/>
          <w14:textFill>
            <w14:solidFill>
              <w14:schemeClr w14:val="tx1"/>
            </w14:solidFill>
          </w14:textFill>
        </w:rPr>
        <w:t>2.14 税费</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与合同有关的一切税费，均按照中华人民共和国法律的相关规定。</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472" w:name="_Toc20594"/>
      <w:bookmarkStart w:id="1473" w:name="_Toc25260"/>
      <w:bookmarkStart w:id="1474" w:name="_Toc7102"/>
      <w:bookmarkStart w:id="1475" w:name="_Toc13488"/>
      <w:bookmarkStart w:id="1476" w:name="_Toc4812"/>
      <w:bookmarkStart w:id="1477" w:name="_Toc23266"/>
      <w:bookmarkStart w:id="1478" w:name="_Toc15256"/>
      <w:bookmarkStart w:id="1479" w:name="_Toc23872"/>
      <w:bookmarkStart w:id="1480" w:name="_Toc13626"/>
      <w:bookmarkStart w:id="1481" w:name="_Toc21290"/>
      <w:bookmarkStart w:id="1482" w:name="_Toc29993"/>
      <w:bookmarkStart w:id="1483" w:name="_Toc14403"/>
      <w:bookmarkStart w:id="1484" w:name="_Toc26719"/>
      <w:bookmarkStart w:id="1485" w:name="_Toc515"/>
      <w:bookmarkStart w:id="1486" w:name="_Toc279701258"/>
      <w:bookmarkStart w:id="1487" w:name="_Toc11308"/>
      <w:bookmarkStart w:id="1488" w:name="_Toc2772"/>
      <w:bookmarkStart w:id="1489" w:name="_Toc12141"/>
      <w:bookmarkStart w:id="1490" w:name="_Toc8934"/>
      <w:bookmarkStart w:id="1491" w:name="_Toc259093687"/>
      <w:bookmarkStart w:id="1492" w:name="_Toc25055"/>
      <w:bookmarkStart w:id="1493" w:name="_Toc27541"/>
      <w:bookmarkStart w:id="1494" w:name="_Toc8298"/>
      <w:bookmarkStart w:id="1495" w:name="_Toc7117"/>
      <w:bookmarkStart w:id="1496" w:name="_Toc16959"/>
      <w:bookmarkStart w:id="1497" w:name="_Toc17523"/>
      <w:bookmarkStart w:id="1498" w:name="_Toc25845"/>
      <w:bookmarkStart w:id="1499" w:name="_Toc23510"/>
      <w:bookmarkStart w:id="1500" w:name="_Toc487900368"/>
      <w:bookmarkStart w:id="1501" w:name="_Toc15527"/>
      <w:bookmarkStart w:id="1502" w:name="_Toc24862"/>
      <w:bookmarkStart w:id="1503" w:name="_Toc22239"/>
      <w:bookmarkStart w:id="1504" w:name="_Toc29869"/>
      <w:bookmarkStart w:id="1505" w:name="_Toc18401"/>
      <w:bookmarkStart w:id="1506" w:name="_Toc8496"/>
      <w:r>
        <w:rPr>
          <w:rFonts w:hint="eastAsia" w:ascii="微软雅黑" w:hAnsi="微软雅黑" w:eastAsia="微软雅黑" w:cs="微软雅黑"/>
          <w:b/>
          <w:bCs/>
          <w:color w:val="000000" w:themeColor="text1"/>
          <w:sz w:val="24"/>
          <w:szCs w:val="24"/>
          <w:highlight w:val="none"/>
          <w14:textFill>
            <w14:solidFill>
              <w14:schemeClr w14:val="tx1"/>
            </w14:solidFill>
          </w14:textFill>
        </w:rPr>
        <w:t>2.15 乙方破产</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07" w:name="_Toc32508"/>
      <w:bookmarkStart w:id="1508" w:name="_Toc9318"/>
      <w:bookmarkStart w:id="1509" w:name="_Toc16990"/>
      <w:bookmarkStart w:id="1510" w:name="_Toc1303"/>
      <w:bookmarkStart w:id="1511" w:name="_Toc2910"/>
      <w:bookmarkStart w:id="1512" w:name="_Toc23040"/>
      <w:bookmarkStart w:id="1513" w:name="_Toc9893"/>
      <w:bookmarkStart w:id="1514" w:name="_Toc29333"/>
      <w:bookmarkStart w:id="1515" w:name="_Toc25273"/>
      <w:bookmarkStart w:id="1516" w:name="_Toc29764"/>
      <w:bookmarkStart w:id="1517" w:name="_Toc818"/>
      <w:bookmarkStart w:id="1518" w:name="_Toc4013"/>
      <w:bookmarkStart w:id="1519" w:name="_Toc110"/>
      <w:bookmarkStart w:id="1520" w:name="_Toc3991"/>
      <w:bookmarkStart w:id="1521" w:name="_Toc23355"/>
      <w:bookmarkStart w:id="1522" w:name="_Toc6134"/>
      <w:bookmarkStart w:id="1523" w:name="_Toc24066"/>
      <w:bookmarkStart w:id="1524" w:name="_Toc1942"/>
      <w:bookmarkStart w:id="1525" w:name="_Toc31639"/>
      <w:bookmarkStart w:id="1526" w:name="_Toc24867"/>
      <w:bookmarkStart w:id="1527" w:name="_Toc21321"/>
      <w:bookmarkStart w:id="1528" w:name="_Toc12420"/>
      <w:bookmarkStart w:id="1529" w:name="_Toc15605"/>
      <w:bookmarkStart w:id="1530" w:name="_Toc4227"/>
      <w:bookmarkStart w:id="1531" w:name="_Toc12606"/>
      <w:bookmarkStart w:id="1532" w:name="_Toc15387"/>
      <w:bookmarkStart w:id="1533" w:name="_Toc24976"/>
      <w:bookmarkStart w:id="1534" w:name="_Toc27106"/>
      <w:bookmarkStart w:id="1535" w:name="_Toc15445"/>
      <w:bookmarkStart w:id="1536" w:name="_Toc30362"/>
      <w:bookmarkStart w:id="1537" w:name="_Toc32399"/>
      <w:bookmarkStart w:id="1538" w:name="_Toc26255"/>
      <w:r>
        <w:rPr>
          <w:rFonts w:hint="eastAsia" w:ascii="微软雅黑" w:hAnsi="微软雅黑" w:eastAsia="微软雅黑" w:cs="微软雅黑"/>
          <w:b/>
          <w:bCs/>
          <w:color w:val="000000" w:themeColor="text1"/>
          <w:sz w:val="24"/>
          <w:szCs w:val="24"/>
          <w:highlight w:val="none"/>
          <w14:textFill>
            <w14:solidFill>
              <w14:schemeClr w14:val="tx1"/>
            </w14:solidFill>
          </w14:textFill>
        </w:rPr>
        <w:t>2.16 合同中止、终止</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2.16.1 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39" w:name="_Toc25516"/>
      <w:bookmarkStart w:id="1540" w:name="_Toc19755"/>
      <w:bookmarkStart w:id="1541" w:name="_Toc13848"/>
      <w:bookmarkStart w:id="1542" w:name="_Toc2491"/>
      <w:bookmarkStart w:id="1543" w:name="_Toc23870"/>
      <w:bookmarkStart w:id="1544" w:name="_Toc20145"/>
      <w:bookmarkStart w:id="1545" w:name="_Toc6596"/>
      <w:bookmarkStart w:id="1546" w:name="_Toc31577"/>
      <w:bookmarkStart w:id="1547" w:name="_Toc1125"/>
      <w:bookmarkStart w:id="1548" w:name="_Toc5648"/>
      <w:bookmarkStart w:id="1549" w:name="_Toc21636"/>
      <w:bookmarkStart w:id="1550" w:name="_Toc14890"/>
      <w:bookmarkStart w:id="1551" w:name="_Toc26464"/>
      <w:bookmarkStart w:id="1552" w:name="_Toc25358"/>
      <w:bookmarkStart w:id="1553" w:name="_Toc6704"/>
      <w:bookmarkStart w:id="1554" w:name="_Toc30133"/>
      <w:bookmarkStart w:id="1555" w:name="_Toc28303"/>
      <w:bookmarkStart w:id="1556" w:name="_Toc11658"/>
      <w:bookmarkStart w:id="1557" w:name="_Toc25183"/>
      <w:bookmarkStart w:id="1558" w:name="_Toc30476"/>
      <w:bookmarkStart w:id="1559" w:name="_Toc14563"/>
      <w:bookmarkStart w:id="1560" w:name="_Toc28047"/>
      <w:bookmarkStart w:id="1561" w:name="_Toc24731"/>
      <w:bookmarkStart w:id="1562" w:name="_Toc26299"/>
      <w:bookmarkStart w:id="1563" w:name="_Toc11637"/>
      <w:bookmarkStart w:id="1564" w:name="_Toc25230"/>
      <w:bookmarkStart w:id="1565" w:name="_Toc29952"/>
      <w:bookmarkStart w:id="1566" w:name="_Toc4111"/>
      <w:bookmarkStart w:id="1567" w:name="_Toc13150"/>
      <w:bookmarkStart w:id="1568" w:name="_Toc25710"/>
      <w:bookmarkStart w:id="1569" w:name="_Toc19486"/>
      <w:bookmarkStart w:id="1570" w:name="_Toc30958"/>
      <w:r>
        <w:rPr>
          <w:rFonts w:hint="eastAsia" w:ascii="微软雅黑" w:hAnsi="微软雅黑" w:eastAsia="微软雅黑" w:cs="微软雅黑"/>
          <w:b/>
          <w:bCs/>
          <w:color w:val="000000" w:themeColor="text1"/>
          <w:sz w:val="24"/>
          <w:szCs w:val="24"/>
          <w:highlight w:val="none"/>
          <w14:textFill>
            <w14:solidFill>
              <w14:schemeClr w14:val="tx1"/>
            </w14:solidFill>
          </w14:textFill>
        </w:rPr>
        <w:t>2.17 检验和验收</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2.17.3 检验和验收标准、程序等具体内容以及前述验收书的效力详见</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i/>
          <w:iCs/>
          <w:color w:val="000000" w:themeColor="text1"/>
          <w:sz w:val="24"/>
          <w:szCs w:val="24"/>
          <w:highlight w:val="none"/>
          <w14:textFill>
            <w14:solidFill>
              <w14:schemeClr w14:val="tx1"/>
            </w14:solidFill>
          </w14:textFill>
        </w:rPr>
        <w:t>。</w:t>
      </w:r>
    </w:p>
    <w:bookmarkEnd w:id="1366"/>
    <w:bookmarkEnd w:id="1367"/>
    <w:bookmarkEnd w:id="1368"/>
    <w:bookmarkEnd w:id="1369"/>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571" w:name="_Toc259093690"/>
      <w:bookmarkStart w:id="1572" w:name="_Toc279701261"/>
      <w:bookmarkStart w:id="1573" w:name="_Toc487900371"/>
      <w:bookmarkStart w:id="1574" w:name="_Toc31945"/>
      <w:bookmarkStart w:id="1575" w:name="_Toc7641"/>
      <w:bookmarkStart w:id="1576" w:name="_Toc23633"/>
      <w:bookmarkStart w:id="1577" w:name="_Toc22021"/>
      <w:bookmarkStart w:id="1578" w:name="_Toc324"/>
      <w:bookmarkStart w:id="1579" w:name="_Toc8125"/>
      <w:bookmarkStart w:id="1580" w:name="_Toc13220"/>
      <w:bookmarkStart w:id="1581" w:name="_Toc28373"/>
      <w:bookmarkStart w:id="1582" w:name="_Toc9266"/>
      <w:bookmarkStart w:id="1583" w:name="_Toc25076"/>
      <w:bookmarkStart w:id="1584" w:name="_Toc20557"/>
      <w:bookmarkStart w:id="1585" w:name="_Toc10130"/>
      <w:bookmarkStart w:id="1586" w:name="_Toc14242"/>
      <w:bookmarkStart w:id="1587" w:name="_Toc725"/>
      <w:bookmarkStart w:id="1588" w:name="_Toc12493"/>
      <w:bookmarkStart w:id="1589" w:name="_Toc17270"/>
      <w:bookmarkStart w:id="1590" w:name="_Toc4983"/>
      <w:bookmarkStart w:id="1591" w:name="_Toc26823"/>
      <w:bookmarkStart w:id="1592" w:name="_Toc11284"/>
      <w:bookmarkStart w:id="1593" w:name="_Toc26892"/>
      <w:bookmarkStart w:id="1594" w:name="_Toc8096"/>
      <w:bookmarkStart w:id="1595" w:name="_Toc7660"/>
      <w:bookmarkStart w:id="1596" w:name="_Toc14665"/>
      <w:bookmarkStart w:id="1597" w:name="_Toc29267"/>
      <w:bookmarkStart w:id="1598" w:name="_Toc25182"/>
      <w:bookmarkStart w:id="1599" w:name="_Toc27621"/>
      <w:bookmarkStart w:id="1600" w:name="_Toc19604"/>
      <w:bookmarkStart w:id="1601" w:name="_Toc25692"/>
      <w:bookmarkStart w:id="1602" w:name="_Toc12804"/>
      <w:bookmarkStart w:id="1603" w:name="_Toc17313"/>
      <w:bookmarkStart w:id="1604" w:name="_Toc7113"/>
      <w:bookmarkStart w:id="1605" w:name="_Toc15037"/>
      <w:r>
        <w:rPr>
          <w:rFonts w:hint="eastAsia" w:ascii="微软雅黑" w:hAnsi="微软雅黑" w:eastAsia="微软雅黑" w:cs="微软雅黑"/>
          <w:b/>
          <w:bCs/>
          <w:color w:val="000000" w:themeColor="text1"/>
          <w:sz w:val="24"/>
          <w:szCs w:val="24"/>
          <w:highlight w:val="none"/>
          <w14:textFill>
            <w14:solidFill>
              <w14:schemeClr w14:val="tx1"/>
            </w14:solidFill>
          </w14:textFill>
        </w:rPr>
        <w:t>2.18 通知</w:t>
      </w:r>
      <w:bookmarkEnd w:id="1571"/>
      <w:bookmarkEnd w:id="1572"/>
      <w:bookmarkEnd w:id="1573"/>
      <w:r>
        <w:rPr>
          <w:rFonts w:hint="eastAsia" w:ascii="微软雅黑" w:hAnsi="微软雅黑" w:eastAsia="微软雅黑" w:cs="微软雅黑"/>
          <w:b/>
          <w:bCs/>
          <w:color w:val="000000" w:themeColor="text1"/>
          <w:sz w:val="24"/>
          <w:szCs w:val="24"/>
          <w:highlight w:val="none"/>
          <w14:textFill>
            <w14:solidFill>
              <w14:schemeClr w14:val="tx1"/>
            </w14:solidFill>
          </w14:textFill>
        </w:rPr>
        <w:t>和送达</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606" w:name="_Toc3135"/>
      <w:bookmarkStart w:id="1607" w:name="_Toc6698"/>
      <w:bookmarkStart w:id="1608" w:name="_Toc259093691"/>
      <w:bookmarkStart w:id="1609" w:name="_Toc279701262"/>
      <w:bookmarkStart w:id="1610" w:name="_Toc487900372"/>
      <w:r>
        <w:rPr>
          <w:rFonts w:hint="eastAsia" w:ascii="微软雅黑" w:hAnsi="微软雅黑" w:eastAsia="微软雅黑" w:cs="微软雅黑"/>
          <w:color w:val="000000" w:themeColor="text1"/>
          <w:sz w:val="24"/>
          <w:szCs w:val="24"/>
          <w:highlight w:val="none"/>
          <w14:textFill>
            <w14:solidFill>
              <w14:schemeClr w14:val="tx1"/>
            </w14:solidFill>
          </w14:textFill>
        </w:rPr>
        <w:t>2.18.1 任何一方因履行合同而以合同第一部分尾部所列明的</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发出的所有通知、文件、材料，均视为已向对方当事人送达；任何一方变更上述送达方式或者地址的，应于</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个工作日内书面通知对方当事人，在对方当事人收到有关变更通知之前，变更前的约定送达方式或者地址仍视为有效。</w:t>
      </w:r>
      <w:bookmarkEnd w:id="1606"/>
      <w:bookmarkEnd w:id="160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611" w:name="_Toc23128"/>
      <w:bookmarkStart w:id="1612" w:name="_Toc23294"/>
      <w:r>
        <w:rPr>
          <w:rFonts w:hint="eastAsia" w:ascii="微软雅黑" w:hAnsi="微软雅黑" w:eastAsia="微软雅黑" w:cs="微软雅黑"/>
          <w:color w:val="000000" w:themeColor="text1"/>
          <w:sz w:val="24"/>
          <w:szCs w:val="24"/>
          <w:highlight w:val="none"/>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11"/>
      <w:bookmarkEnd w:id="1612"/>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13" w:name="_Toc25392"/>
      <w:bookmarkStart w:id="1614" w:name="_Toc12722"/>
      <w:bookmarkStart w:id="1615" w:name="_Toc30497"/>
      <w:bookmarkStart w:id="1616" w:name="_Toc2623"/>
      <w:bookmarkStart w:id="1617" w:name="_Toc9371"/>
      <w:bookmarkStart w:id="1618" w:name="_Toc7224"/>
      <w:bookmarkStart w:id="1619" w:name="_Toc29312"/>
      <w:bookmarkStart w:id="1620" w:name="_Toc20309"/>
      <w:bookmarkStart w:id="1621" w:name="_Toc21923"/>
      <w:bookmarkStart w:id="1622" w:name="_Toc12721"/>
      <w:bookmarkStart w:id="1623" w:name="_Toc2100"/>
      <w:bookmarkStart w:id="1624" w:name="_Toc30599"/>
      <w:bookmarkStart w:id="1625" w:name="_Toc20837"/>
      <w:bookmarkStart w:id="1626" w:name="_Toc7942"/>
      <w:bookmarkStart w:id="1627" w:name="_Toc18621"/>
      <w:bookmarkStart w:id="1628" w:name="_Toc4241"/>
      <w:bookmarkStart w:id="1629" w:name="_Toc18540"/>
      <w:bookmarkStart w:id="1630" w:name="_Toc15273"/>
      <w:bookmarkStart w:id="1631" w:name="_Toc20914"/>
      <w:bookmarkStart w:id="1632" w:name="_Toc27399"/>
      <w:bookmarkStart w:id="1633" w:name="_Toc31861"/>
      <w:bookmarkStart w:id="1634" w:name="_Toc24265"/>
      <w:bookmarkStart w:id="1635" w:name="_Toc10932"/>
      <w:bookmarkStart w:id="1636" w:name="_Toc31392"/>
      <w:bookmarkStart w:id="1637" w:name="_Toc11892"/>
      <w:bookmarkStart w:id="1638" w:name="_Toc21464"/>
      <w:bookmarkStart w:id="1639" w:name="_Toc14810"/>
      <w:bookmarkStart w:id="1640" w:name="_Toc32386"/>
      <w:bookmarkStart w:id="1641" w:name="_Toc4747"/>
      <w:bookmarkStart w:id="1642" w:name="_Toc27038"/>
      <w:bookmarkStart w:id="1643" w:name="_Toc5141"/>
      <w:bookmarkStart w:id="1644" w:name="_Toc4355"/>
      <w:r>
        <w:rPr>
          <w:rFonts w:hint="eastAsia" w:ascii="微软雅黑" w:hAnsi="微软雅黑" w:eastAsia="微软雅黑" w:cs="微软雅黑"/>
          <w:b/>
          <w:bCs/>
          <w:color w:val="000000" w:themeColor="text1"/>
          <w:sz w:val="24"/>
          <w:szCs w:val="24"/>
          <w:highlight w:val="none"/>
          <w14:textFill>
            <w14:solidFill>
              <w14:schemeClr w14:val="tx1"/>
            </w14:solidFill>
          </w14:textFill>
        </w:rPr>
        <w:t>2.19 计量单位</w:t>
      </w:r>
      <w:bookmarkEnd w:id="1608"/>
      <w:bookmarkEnd w:id="1609"/>
      <w:bookmarkEnd w:id="1610"/>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除技术规范中另有规定外,合同的计量单位均使用国家法定计量单位。</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45" w:name="_Toc1728"/>
      <w:bookmarkStart w:id="1646" w:name="_Toc13131"/>
      <w:bookmarkStart w:id="1647" w:name="_Toc16663"/>
      <w:bookmarkStart w:id="1648" w:name="_Toc32236"/>
      <w:bookmarkStart w:id="1649" w:name="_Toc28784"/>
      <w:bookmarkStart w:id="1650" w:name="_Toc16880"/>
      <w:bookmarkStart w:id="1651" w:name="_Toc20624"/>
      <w:bookmarkStart w:id="1652" w:name="_Toc27589"/>
      <w:bookmarkStart w:id="1653" w:name="_Toc18634"/>
      <w:bookmarkStart w:id="1654" w:name="_Toc11130"/>
      <w:bookmarkStart w:id="1655" w:name="_Toc5796"/>
      <w:bookmarkStart w:id="1656" w:name="_Toc17517"/>
      <w:bookmarkStart w:id="1657" w:name="_Toc32583"/>
      <w:bookmarkStart w:id="1658" w:name="_Toc9178"/>
      <w:bookmarkStart w:id="1659" w:name="_Toc487900373"/>
      <w:bookmarkStart w:id="1660" w:name="_Toc13041"/>
      <w:bookmarkStart w:id="1661" w:name="_Toc15589"/>
      <w:bookmarkStart w:id="1662" w:name="_Toc15040"/>
      <w:bookmarkStart w:id="1663" w:name="_Toc12582"/>
      <w:bookmarkStart w:id="1664" w:name="_Toc18567"/>
      <w:bookmarkStart w:id="1665" w:name="_Toc12773"/>
      <w:bookmarkStart w:id="1666" w:name="_Toc15288"/>
      <w:bookmarkStart w:id="1667" w:name="_Toc20921"/>
      <w:bookmarkStart w:id="1668" w:name="_Toc259093692"/>
      <w:bookmarkStart w:id="1669" w:name="_Toc6555"/>
      <w:bookmarkStart w:id="1670" w:name="_Toc17294"/>
      <w:bookmarkStart w:id="1671" w:name="_Toc10830"/>
      <w:bookmarkStart w:id="1672" w:name="_Toc10330"/>
      <w:bookmarkStart w:id="1673" w:name="_Toc15868"/>
      <w:bookmarkStart w:id="1674" w:name="_Toc13514"/>
      <w:bookmarkStart w:id="1675" w:name="_Toc15261"/>
      <w:bookmarkStart w:id="1676" w:name="_Toc15428"/>
      <w:bookmarkStart w:id="1677" w:name="_Toc19154"/>
      <w:bookmarkStart w:id="1678" w:name="_Toc9626"/>
      <w:bookmarkStart w:id="1679" w:name="_Toc279701263"/>
      <w:r>
        <w:rPr>
          <w:rFonts w:hint="eastAsia" w:ascii="微软雅黑" w:hAnsi="微软雅黑" w:eastAsia="微软雅黑" w:cs="微软雅黑"/>
          <w:b/>
          <w:bCs/>
          <w:color w:val="000000" w:themeColor="text1"/>
          <w:sz w:val="24"/>
          <w:szCs w:val="24"/>
          <w:highlight w:val="none"/>
          <w14:textFill>
            <w14:solidFill>
              <w14:schemeClr w14:val="tx1"/>
            </w14:solidFill>
          </w14:textFill>
        </w:rPr>
        <w:t>2.20 合同使用的文字和适用的法律</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2.20.1 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2.20.2 合同适用中华人民共和国法律。</w:t>
      </w:r>
    </w:p>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680" w:name="_Toc259093693"/>
      <w:bookmarkStart w:id="1681" w:name="_Toc638"/>
      <w:bookmarkStart w:id="1682" w:name="_Toc25551"/>
      <w:bookmarkStart w:id="1683" w:name="_Toc7541"/>
      <w:bookmarkStart w:id="1684" w:name="_Toc3148"/>
      <w:bookmarkStart w:id="1685" w:name="_Toc8602"/>
      <w:bookmarkStart w:id="1686" w:name="_Toc11628"/>
      <w:bookmarkStart w:id="1687" w:name="_Toc14964"/>
      <w:bookmarkStart w:id="1688" w:name="_Toc14308"/>
      <w:bookmarkStart w:id="1689" w:name="_Toc20963"/>
      <w:bookmarkStart w:id="1690" w:name="_Toc5571"/>
      <w:bookmarkStart w:id="1691" w:name="_Toc16176"/>
      <w:bookmarkStart w:id="1692" w:name="_Toc13925"/>
      <w:bookmarkStart w:id="1693" w:name="_Toc31421"/>
      <w:bookmarkStart w:id="1694" w:name="_Toc18845"/>
      <w:bookmarkStart w:id="1695" w:name="_Toc22858"/>
      <w:bookmarkStart w:id="1696" w:name="_Toc29073"/>
      <w:bookmarkStart w:id="1697" w:name="_Toc16673"/>
      <w:bookmarkStart w:id="1698" w:name="_Toc20231"/>
      <w:bookmarkStart w:id="1699" w:name="_Toc3838"/>
      <w:bookmarkStart w:id="1700" w:name="_Toc32497"/>
      <w:bookmarkStart w:id="1701" w:name="_Toc9739"/>
      <w:bookmarkStart w:id="1702" w:name="_Toc30675"/>
      <w:bookmarkStart w:id="1703" w:name="_Toc6864"/>
      <w:bookmarkStart w:id="1704" w:name="_Toc30511"/>
      <w:bookmarkStart w:id="1705" w:name="_Toc12004"/>
      <w:bookmarkStart w:id="1706" w:name="_Toc5000"/>
      <w:bookmarkStart w:id="1707" w:name="_Toc279701264"/>
      <w:bookmarkStart w:id="1708" w:name="_Toc1670"/>
      <w:bookmarkStart w:id="1709" w:name="_Toc15434"/>
      <w:bookmarkStart w:id="1710" w:name="_Toc28767"/>
      <w:bookmarkStart w:id="1711" w:name="_Toc31790"/>
      <w:bookmarkStart w:id="1712" w:name="_Toc16778"/>
      <w:bookmarkStart w:id="1713" w:name="_Toc26372"/>
      <w:bookmarkStart w:id="1714" w:name="_Toc487900374"/>
      <w:r>
        <w:rPr>
          <w:rFonts w:hint="eastAsia" w:ascii="微软雅黑" w:hAnsi="微软雅黑" w:eastAsia="微软雅黑" w:cs="微软雅黑"/>
          <w:b/>
          <w:bCs/>
          <w:color w:val="000000" w:themeColor="text1"/>
          <w:sz w:val="24"/>
          <w:szCs w:val="24"/>
          <w:highlight w:val="none"/>
          <w14:textFill>
            <w14:solidFill>
              <w14:schemeClr w14:val="tx1"/>
            </w14:solidFill>
          </w14:textFill>
        </w:rPr>
        <w:t>2.21 履约保证金</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2.21.1 采购文件要求乙方提交履约保证金的，乙方应按</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2.21.2  履约保证金在</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约定期间内或者货物质量保证期内不予退还或者应完全有效，前述约定期间届满或者货物质量保证期届满之日起</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14"/>
    <w:p>
      <w:pPr>
        <w:keepNext w:val="0"/>
        <w:keepLines w:val="0"/>
        <w:pageBreakBefore w:val="0"/>
        <w:kinsoku/>
        <w:wordWrap/>
        <w:overflowPunct/>
        <w:topLinePunct w:val="0"/>
        <w:bidi w:val="0"/>
        <w:snapToGrid/>
        <w:spacing w:line="400" w:lineRule="exact"/>
        <w:ind w:firstLine="480" w:firstLineChars="200"/>
        <w:textAlignment w:val="auto"/>
        <w:outlineLvl w:val="2"/>
        <w:rPr>
          <w:rFonts w:hint="eastAsia" w:ascii="微软雅黑" w:hAnsi="微软雅黑" w:eastAsia="微软雅黑" w:cs="微软雅黑"/>
          <w:b/>
          <w:bCs/>
          <w:color w:val="000000" w:themeColor="text1"/>
          <w:sz w:val="24"/>
          <w:szCs w:val="24"/>
          <w:highlight w:val="none"/>
          <w14:textFill>
            <w14:solidFill>
              <w14:schemeClr w14:val="tx1"/>
            </w14:solidFill>
          </w14:textFill>
        </w:rPr>
      </w:pPr>
      <w:bookmarkStart w:id="1715" w:name="_Toc24807"/>
      <w:bookmarkStart w:id="1716" w:name="_Toc19890"/>
      <w:bookmarkStart w:id="1717" w:name="_Toc23163"/>
      <w:bookmarkStart w:id="1718" w:name="_Toc12034"/>
      <w:bookmarkStart w:id="1719" w:name="_Toc14001"/>
      <w:bookmarkStart w:id="1720" w:name="_Toc10801"/>
      <w:bookmarkStart w:id="1721" w:name="_Toc11103"/>
      <w:bookmarkStart w:id="1722" w:name="_Toc25636"/>
      <w:bookmarkStart w:id="1723" w:name="_Toc3595"/>
      <w:bookmarkStart w:id="1724" w:name="_Toc26595"/>
      <w:bookmarkStart w:id="1725" w:name="_Toc24006"/>
      <w:bookmarkStart w:id="1726" w:name="_Toc17310"/>
      <w:bookmarkStart w:id="1727" w:name="_Toc14217"/>
      <w:bookmarkStart w:id="1728" w:name="_Toc28525"/>
      <w:bookmarkStart w:id="1729" w:name="_Toc30847"/>
      <w:bookmarkStart w:id="1730" w:name="_Toc6325"/>
      <w:bookmarkStart w:id="1731" w:name="_Toc8495"/>
      <w:bookmarkStart w:id="1732" w:name="_Toc21772"/>
      <w:bookmarkStart w:id="1733" w:name="_Toc22496"/>
      <w:bookmarkStart w:id="1734" w:name="_Toc25691"/>
      <w:bookmarkStart w:id="1735" w:name="_Toc30496"/>
      <w:bookmarkStart w:id="1736" w:name="_Toc16450"/>
      <w:bookmarkStart w:id="1737" w:name="_Toc20802"/>
      <w:bookmarkStart w:id="1738" w:name="_Toc27563"/>
      <w:bookmarkStart w:id="1739" w:name="_Toc32754"/>
      <w:bookmarkStart w:id="1740" w:name="_Toc22821"/>
      <w:bookmarkStart w:id="1741" w:name="_Toc16431"/>
      <w:bookmarkStart w:id="1742" w:name="_Toc6885"/>
      <w:bookmarkStart w:id="1743" w:name="_Toc8867"/>
      <w:bookmarkStart w:id="1744" w:name="_Toc32408"/>
      <w:bookmarkStart w:id="1745" w:name="_Toc2720"/>
      <w:bookmarkStart w:id="1746" w:name="_Toc28555"/>
      <w:r>
        <w:rPr>
          <w:rFonts w:hint="eastAsia" w:ascii="微软雅黑" w:hAnsi="微软雅黑" w:eastAsia="微软雅黑" w:cs="微软雅黑"/>
          <w:b/>
          <w:bCs/>
          <w:color w:val="000000" w:themeColor="text1"/>
          <w:sz w:val="24"/>
          <w:szCs w:val="24"/>
          <w:highlight w:val="none"/>
          <w14:textFill>
            <w14:solidFill>
              <w14:schemeClr w14:val="tx1"/>
            </w14:solidFill>
          </w14:textFill>
        </w:rPr>
        <w:t>2.22 合同份数</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合同份数按</w:t>
      </w:r>
      <w:r>
        <w:rPr>
          <w:rFonts w:hint="eastAsia" w:ascii="微软雅黑" w:hAnsi="微软雅黑" w:eastAsia="微软雅黑" w:cs="微软雅黑"/>
          <w:b/>
          <w:bCs/>
          <w:i/>
          <w:iCs/>
          <w:color w:val="000000" w:themeColor="text1"/>
          <w:sz w:val="24"/>
          <w:szCs w:val="24"/>
          <w:highlight w:val="none"/>
          <w:u w:val="single"/>
          <w14:textFill>
            <w14:solidFill>
              <w14:schemeClr w14:val="tx1"/>
            </w14:solidFill>
          </w14:textFill>
        </w:rPr>
        <w:t>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规定，每份均具有同等法律效力。</w:t>
      </w:r>
      <w:bookmarkStart w:id="1747" w:name="_Toc331685784"/>
    </w:p>
    <w:p>
      <w:pPr>
        <w:pStyle w:val="36"/>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000000" w:themeColor="text1"/>
          <w:highlight w:val="none"/>
          <w14:textFill>
            <w14:solidFill>
              <w14:schemeClr w14:val="tx1"/>
            </w14:solidFill>
          </w14:textFill>
        </w:rPr>
      </w:pPr>
    </w:p>
    <w:p>
      <w:pPr>
        <w:pStyle w:val="36"/>
        <w:keepNext w:val="0"/>
        <w:keepLines w:val="0"/>
        <w:pageBreakBefore w:val="0"/>
        <w:kinsoku/>
        <w:wordWrap/>
        <w:overflowPunct/>
        <w:topLinePunct w:val="0"/>
        <w:bidi w:val="0"/>
        <w:snapToGrid/>
        <w:spacing w:line="400" w:lineRule="exact"/>
        <w:ind w:firstLine="0"/>
        <w:jc w:val="center"/>
        <w:textAlignment w:val="auto"/>
        <w:outlineLvl w:val="1"/>
        <w:rPr>
          <w:rFonts w:hint="eastAsia" w:ascii="微软雅黑" w:hAnsi="微软雅黑" w:eastAsia="微软雅黑" w:cs="微软雅黑"/>
          <w:b/>
          <w:bCs/>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第三部分  合同专用条款</w:t>
      </w:r>
      <w:bookmarkEnd w:id="174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条款号</w:t>
            </w:r>
          </w:p>
        </w:tc>
        <w:tc>
          <w:tcPr>
            <w:tcW w:w="7633" w:type="dxa"/>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pPr>
        <w:pStyle w:val="8"/>
        <w:keepNext w:val="0"/>
        <w:keepLines w:val="0"/>
        <w:pageBreakBefore w:val="0"/>
        <w:kinsoku/>
        <w:wordWrap/>
        <w:overflowPunct/>
        <w:topLinePunct w:val="0"/>
        <w:bidi w:val="0"/>
        <w:snapToGrid/>
        <w:spacing w:line="400" w:lineRule="exact"/>
        <w:ind w:firstLine="0"/>
        <w:textAlignment w:val="auto"/>
        <w:rPr>
          <w:rFonts w:hint="eastAsia" w:ascii="微软雅黑" w:hAnsi="微软雅黑" w:eastAsia="微软雅黑" w:cs="微软雅黑"/>
          <w:color w:val="000000" w:themeColor="text1"/>
          <w:sz w:val="28"/>
          <w:szCs w:val="28"/>
          <w:highlight w:val="none"/>
          <w14:textFill>
            <w14:solidFill>
              <w14:schemeClr w14:val="tx1"/>
            </w14:solidFill>
          </w14:textFill>
        </w:rPr>
      </w:pPr>
      <w:r>
        <w:rPr>
          <w:rFonts w:hint="eastAsia" w:ascii="微软雅黑" w:hAnsi="微软雅黑" w:eastAsia="微软雅黑" w:cs="微软雅黑"/>
          <w:color w:val="000000" w:themeColor="text1"/>
          <w:sz w:val="28"/>
          <w:szCs w:val="28"/>
          <w:highlight w:val="none"/>
          <w14:textFill>
            <w14:solidFill>
              <w14:schemeClr w14:val="tx1"/>
            </w14:solidFill>
          </w14:textFill>
        </w:rPr>
        <w:t xml:space="preserve"> </w:t>
      </w:r>
    </w:p>
    <w:p>
      <w:pPr>
        <w:rPr>
          <w:rFonts w:hint="eastAsia" w:ascii="微软雅黑" w:hAnsi="微软雅黑" w:eastAsia="微软雅黑" w:cs="微软雅黑"/>
          <w:color w:val="000000" w:themeColor="text1"/>
          <w:highlight w:val="none"/>
          <w14:textFill>
            <w14:solidFill>
              <w14:schemeClr w14:val="tx1"/>
            </w14:solidFill>
          </w14:textFill>
        </w:rPr>
      </w:pPr>
    </w:p>
    <w:sectPr>
      <w:headerReference r:id="rId11" w:type="default"/>
      <w:footerReference r:id="rId12"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59</w:t>
                    </w:r>
                    <w:r>
                      <w:fldChar w:fldCharType="end"/>
                    </w:r>
                  </w:p>
                </w:txbxContent>
              </v:textbox>
            </v:shape>
          </w:pict>
        </mc:Fallback>
      </mc:AlternateContent>
    </w:r>
  </w:p>
  <w:p>
    <w:pPr>
      <w:pStyle w:val="18"/>
      <w:ind w:right="360"/>
      <w:jc w:val="center"/>
      <w:rPr>
        <w:rFonts w:hint="eastAsia" w:eastAsia="宋体" w:cs="Times New Roman"/>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eastAsia="宋体" w:cs="Times New Roman"/>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670AA"/>
    <w:multiLevelType w:val="singleLevel"/>
    <w:tmpl w:val="DC3670AA"/>
    <w:lvl w:ilvl="0" w:tentative="0">
      <w:start w:val="1"/>
      <w:numFmt w:val="decimal"/>
      <w:suff w:val="nothing"/>
      <w:lvlText w:val="（%1）"/>
      <w:lvlJc w:val="left"/>
    </w:lvl>
  </w:abstractNum>
  <w:abstractNum w:abstractNumId="1">
    <w:nsid w:val="DF61DB45"/>
    <w:multiLevelType w:val="singleLevel"/>
    <w:tmpl w:val="DF61DB45"/>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0000004"/>
    <w:multiLevelType w:val="multilevel"/>
    <w:tmpl w:val="00000004"/>
    <w:lvl w:ilvl="0" w:tentative="0">
      <w:start w:val="1"/>
      <w:numFmt w:val="decimal"/>
      <w:lvlText w:val="%1"/>
      <w:lvlJc w:val="left"/>
      <w:pPr>
        <w:ind w:left="432" w:hanging="432"/>
      </w:pPr>
    </w:lvl>
    <w:lvl w:ilvl="1" w:tentative="0">
      <w:start w:val="1"/>
      <w:numFmt w:val="decimal"/>
      <w:pStyle w:val="51"/>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00000007"/>
    <w:multiLevelType w:val="singleLevel"/>
    <w:tmpl w:val="00000007"/>
    <w:lvl w:ilvl="0" w:tentative="0">
      <w:start w:val="2"/>
      <w:numFmt w:val="decimal"/>
      <w:suff w:val="nothing"/>
      <w:lvlText w:val="%1、"/>
      <w:lvlJc w:val="left"/>
    </w:lvl>
  </w:abstractNum>
  <w:num w:numId="1">
    <w:abstractNumId w:val="5"/>
  </w:num>
  <w:num w:numId="2">
    <w:abstractNumId w:val="3"/>
  </w:num>
  <w:num w:numId="3">
    <w:abstractNumId w:val="4"/>
  </w:num>
  <w:num w:numId="4">
    <w:abstractNumId w:val="2"/>
  </w:num>
  <w:num w:numId="5">
    <w:abstractNumId w:val="8"/>
  </w:num>
  <w:num w:numId="6">
    <w:abstractNumId w:val="1"/>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ZTE0MDUwY2IwNmZjNTljYjI2MGU3ZDU1NmQwZTAifQ=="/>
  </w:docVars>
  <w:rsids>
    <w:rsidRoot w:val="009E3562"/>
    <w:rsid w:val="00005227"/>
    <w:rsid w:val="00192D87"/>
    <w:rsid w:val="001A2968"/>
    <w:rsid w:val="00295551"/>
    <w:rsid w:val="00343638"/>
    <w:rsid w:val="00370F52"/>
    <w:rsid w:val="005F0884"/>
    <w:rsid w:val="0091476F"/>
    <w:rsid w:val="009E3562"/>
    <w:rsid w:val="00C71A2A"/>
    <w:rsid w:val="00CF5F16"/>
    <w:rsid w:val="00EA7B92"/>
    <w:rsid w:val="00F90906"/>
    <w:rsid w:val="01576085"/>
    <w:rsid w:val="018F4C90"/>
    <w:rsid w:val="01DF215D"/>
    <w:rsid w:val="0250093A"/>
    <w:rsid w:val="027D7DB2"/>
    <w:rsid w:val="02890B17"/>
    <w:rsid w:val="02E94832"/>
    <w:rsid w:val="02FC6355"/>
    <w:rsid w:val="03870314"/>
    <w:rsid w:val="03D6122D"/>
    <w:rsid w:val="03F948B5"/>
    <w:rsid w:val="04144940"/>
    <w:rsid w:val="04814D63"/>
    <w:rsid w:val="04D04C03"/>
    <w:rsid w:val="054C0A87"/>
    <w:rsid w:val="05641FFC"/>
    <w:rsid w:val="056728BF"/>
    <w:rsid w:val="057F6DC9"/>
    <w:rsid w:val="06295921"/>
    <w:rsid w:val="06427327"/>
    <w:rsid w:val="06626C3B"/>
    <w:rsid w:val="06C34665"/>
    <w:rsid w:val="07346D3B"/>
    <w:rsid w:val="07AD102A"/>
    <w:rsid w:val="08674B68"/>
    <w:rsid w:val="089C7A4F"/>
    <w:rsid w:val="08CF2B0E"/>
    <w:rsid w:val="08E051AF"/>
    <w:rsid w:val="09802CAB"/>
    <w:rsid w:val="09DC639D"/>
    <w:rsid w:val="0A4417D2"/>
    <w:rsid w:val="0A710906"/>
    <w:rsid w:val="0AA23046"/>
    <w:rsid w:val="0AA25F3E"/>
    <w:rsid w:val="0AAB1187"/>
    <w:rsid w:val="0ABB2743"/>
    <w:rsid w:val="0B001FFB"/>
    <w:rsid w:val="0B5C7E51"/>
    <w:rsid w:val="0B9776CB"/>
    <w:rsid w:val="0C2423A5"/>
    <w:rsid w:val="0C5E1E2E"/>
    <w:rsid w:val="0C885D90"/>
    <w:rsid w:val="0CD013BE"/>
    <w:rsid w:val="0CE1125A"/>
    <w:rsid w:val="0D4955C8"/>
    <w:rsid w:val="0D590500"/>
    <w:rsid w:val="0D620B5F"/>
    <w:rsid w:val="0D714E77"/>
    <w:rsid w:val="0DAC718C"/>
    <w:rsid w:val="0DDA54E4"/>
    <w:rsid w:val="0E701472"/>
    <w:rsid w:val="0EC27D1A"/>
    <w:rsid w:val="0EF81A51"/>
    <w:rsid w:val="0F4F3198"/>
    <w:rsid w:val="0F915F0B"/>
    <w:rsid w:val="0FA979D6"/>
    <w:rsid w:val="0FC131F2"/>
    <w:rsid w:val="0FD92567"/>
    <w:rsid w:val="10515172"/>
    <w:rsid w:val="106C0B1D"/>
    <w:rsid w:val="10853D99"/>
    <w:rsid w:val="10C35769"/>
    <w:rsid w:val="10F31B71"/>
    <w:rsid w:val="11167C0B"/>
    <w:rsid w:val="113203A8"/>
    <w:rsid w:val="11B85885"/>
    <w:rsid w:val="11BF7BAA"/>
    <w:rsid w:val="12590F79"/>
    <w:rsid w:val="127C427C"/>
    <w:rsid w:val="12A83266"/>
    <w:rsid w:val="12AB4B7C"/>
    <w:rsid w:val="136C4530"/>
    <w:rsid w:val="142676D5"/>
    <w:rsid w:val="14425626"/>
    <w:rsid w:val="145036D2"/>
    <w:rsid w:val="147A4287"/>
    <w:rsid w:val="14AA3FB4"/>
    <w:rsid w:val="157B3678"/>
    <w:rsid w:val="15F174F4"/>
    <w:rsid w:val="169842AD"/>
    <w:rsid w:val="16DA6555"/>
    <w:rsid w:val="16E6693F"/>
    <w:rsid w:val="170D12E4"/>
    <w:rsid w:val="17183EC8"/>
    <w:rsid w:val="174D6D27"/>
    <w:rsid w:val="177F71E9"/>
    <w:rsid w:val="17A13D78"/>
    <w:rsid w:val="17A16E37"/>
    <w:rsid w:val="17B70CD6"/>
    <w:rsid w:val="18000173"/>
    <w:rsid w:val="18A112AB"/>
    <w:rsid w:val="18F9373F"/>
    <w:rsid w:val="19464ECF"/>
    <w:rsid w:val="19AC425C"/>
    <w:rsid w:val="1A247436"/>
    <w:rsid w:val="1A2A20F6"/>
    <w:rsid w:val="1A683196"/>
    <w:rsid w:val="1ACE7386"/>
    <w:rsid w:val="1AE33019"/>
    <w:rsid w:val="1B0943CF"/>
    <w:rsid w:val="1B1F6599"/>
    <w:rsid w:val="1BA65FD2"/>
    <w:rsid w:val="1BA70E62"/>
    <w:rsid w:val="1BD46449"/>
    <w:rsid w:val="1BF86C40"/>
    <w:rsid w:val="1BFD3E68"/>
    <w:rsid w:val="1C16002F"/>
    <w:rsid w:val="1CE41EDC"/>
    <w:rsid w:val="1CE96399"/>
    <w:rsid w:val="1D1B04E9"/>
    <w:rsid w:val="1D1B55EF"/>
    <w:rsid w:val="1D3F320D"/>
    <w:rsid w:val="1D521E73"/>
    <w:rsid w:val="1D6848BB"/>
    <w:rsid w:val="1E3F1AF9"/>
    <w:rsid w:val="1E4638FF"/>
    <w:rsid w:val="1E904780"/>
    <w:rsid w:val="1EAE650C"/>
    <w:rsid w:val="1ED60FA2"/>
    <w:rsid w:val="1F28633A"/>
    <w:rsid w:val="1F2D6C6D"/>
    <w:rsid w:val="1F54471C"/>
    <w:rsid w:val="1F5B5969"/>
    <w:rsid w:val="1F691AD6"/>
    <w:rsid w:val="1FBF0E43"/>
    <w:rsid w:val="1FF13FC9"/>
    <w:rsid w:val="1FF60F6F"/>
    <w:rsid w:val="2012202A"/>
    <w:rsid w:val="205D1405"/>
    <w:rsid w:val="20C462AC"/>
    <w:rsid w:val="210A47C4"/>
    <w:rsid w:val="2123393D"/>
    <w:rsid w:val="212B46A7"/>
    <w:rsid w:val="215D163E"/>
    <w:rsid w:val="21785D96"/>
    <w:rsid w:val="21861BE1"/>
    <w:rsid w:val="218A6C15"/>
    <w:rsid w:val="21A46D1F"/>
    <w:rsid w:val="21DD3C67"/>
    <w:rsid w:val="226C414C"/>
    <w:rsid w:val="227C7DB0"/>
    <w:rsid w:val="22E374E9"/>
    <w:rsid w:val="23473B40"/>
    <w:rsid w:val="23AE3412"/>
    <w:rsid w:val="24474FE4"/>
    <w:rsid w:val="24731CA2"/>
    <w:rsid w:val="24785781"/>
    <w:rsid w:val="24835AAE"/>
    <w:rsid w:val="24910197"/>
    <w:rsid w:val="24B816AA"/>
    <w:rsid w:val="24C446EB"/>
    <w:rsid w:val="251E1CB7"/>
    <w:rsid w:val="256C2605"/>
    <w:rsid w:val="25AB07BE"/>
    <w:rsid w:val="25BC57A4"/>
    <w:rsid w:val="25C02408"/>
    <w:rsid w:val="25C662F0"/>
    <w:rsid w:val="261B419B"/>
    <w:rsid w:val="26720A84"/>
    <w:rsid w:val="26920BFA"/>
    <w:rsid w:val="26A45A66"/>
    <w:rsid w:val="26B27891"/>
    <w:rsid w:val="26C33638"/>
    <w:rsid w:val="26D7485F"/>
    <w:rsid w:val="26E208D5"/>
    <w:rsid w:val="271A33B1"/>
    <w:rsid w:val="276A23F6"/>
    <w:rsid w:val="27C43035"/>
    <w:rsid w:val="27E10833"/>
    <w:rsid w:val="27ED7221"/>
    <w:rsid w:val="286A45E6"/>
    <w:rsid w:val="28C71961"/>
    <w:rsid w:val="28D13F35"/>
    <w:rsid w:val="293105A3"/>
    <w:rsid w:val="29635370"/>
    <w:rsid w:val="296D02FE"/>
    <w:rsid w:val="29A547A1"/>
    <w:rsid w:val="29E206D6"/>
    <w:rsid w:val="2A737D5F"/>
    <w:rsid w:val="2A9E18CF"/>
    <w:rsid w:val="2AB1389D"/>
    <w:rsid w:val="2AF8432B"/>
    <w:rsid w:val="2AFD56B7"/>
    <w:rsid w:val="2B42718D"/>
    <w:rsid w:val="2B473E11"/>
    <w:rsid w:val="2BA76EDC"/>
    <w:rsid w:val="2BD20E89"/>
    <w:rsid w:val="2BDA24ED"/>
    <w:rsid w:val="2C0548D3"/>
    <w:rsid w:val="2C2E232E"/>
    <w:rsid w:val="2C5B1C91"/>
    <w:rsid w:val="2C773904"/>
    <w:rsid w:val="2C9A2A5D"/>
    <w:rsid w:val="2CE30D90"/>
    <w:rsid w:val="2D2263A5"/>
    <w:rsid w:val="2D4259F2"/>
    <w:rsid w:val="2D5978E6"/>
    <w:rsid w:val="2D7A31B7"/>
    <w:rsid w:val="2DB16EB6"/>
    <w:rsid w:val="2DEA08B9"/>
    <w:rsid w:val="2DF06959"/>
    <w:rsid w:val="2E5C3FC8"/>
    <w:rsid w:val="2ECB48AC"/>
    <w:rsid w:val="2EDA2C3C"/>
    <w:rsid w:val="2F080E4C"/>
    <w:rsid w:val="2FAB5D78"/>
    <w:rsid w:val="30332B06"/>
    <w:rsid w:val="305F519B"/>
    <w:rsid w:val="30816B47"/>
    <w:rsid w:val="309B5E73"/>
    <w:rsid w:val="30D970F4"/>
    <w:rsid w:val="312D43C1"/>
    <w:rsid w:val="31567137"/>
    <w:rsid w:val="31631A21"/>
    <w:rsid w:val="31724D32"/>
    <w:rsid w:val="31923D9C"/>
    <w:rsid w:val="31CD3300"/>
    <w:rsid w:val="31D46B78"/>
    <w:rsid w:val="322602DB"/>
    <w:rsid w:val="3238199A"/>
    <w:rsid w:val="326D5FCA"/>
    <w:rsid w:val="32A468C7"/>
    <w:rsid w:val="33161F7E"/>
    <w:rsid w:val="332A1ECC"/>
    <w:rsid w:val="33542A8B"/>
    <w:rsid w:val="337E053C"/>
    <w:rsid w:val="33A819B6"/>
    <w:rsid w:val="33C76B74"/>
    <w:rsid w:val="347546FF"/>
    <w:rsid w:val="348E2A01"/>
    <w:rsid w:val="34D5148D"/>
    <w:rsid w:val="34F77BF5"/>
    <w:rsid w:val="34F82605"/>
    <w:rsid w:val="35074A1D"/>
    <w:rsid w:val="357B2CD4"/>
    <w:rsid w:val="36160D32"/>
    <w:rsid w:val="365433E3"/>
    <w:rsid w:val="3655409D"/>
    <w:rsid w:val="366C6D72"/>
    <w:rsid w:val="367E17E2"/>
    <w:rsid w:val="369325DB"/>
    <w:rsid w:val="36A24542"/>
    <w:rsid w:val="36C54E3E"/>
    <w:rsid w:val="37307C06"/>
    <w:rsid w:val="37AA6F86"/>
    <w:rsid w:val="37B10DBF"/>
    <w:rsid w:val="37D57B6F"/>
    <w:rsid w:val="37E30714"/>
    <w:rsid w:val="37EA1B02"/>
    <w:rsid w:val="38440D4F"/>
    <w:rsid w:val="389911FA"/>
    <w:rsid w:val="38B95F6F"/>
    <w:rsid w:val="390A7133"/>
    <w:rsid w:val="390F2A18"/>
    <w:rsid w:val="39447F64"/>
    <w:rsid w:val="39493501"/>
    <w:rsid w:val="394E1896"/>
    <w:rsid w:val="39565AB7"/>
    <w:rsid w:val="39A52687"/>
    <w:rsid w:val="39AD2802"/>
    <w:rsid w:val="39B12C24"/>
    <w:rsid w:val="39C63892"/>
    <w:rsid w:val="39CC339E"/>
    <w:rsid w:val="3A136AC4"/>
    <w:rsid w:val="3A7C2944"/>
    <w:rsid w:val="3A825089"/>
    <w:rsid w:val="3AB30EA3"/>
    <w:rsid w:val="3B135A0E"/>
    <w:rsid w:val="3B3111D6"/>
    <w:rsid w:val="3B3534BD"/>
    <w:rsid w:val="3BD52D04"/>
    <w:rsid w:val="3BF051DE"/>
    <w:rsid w:val="3C39455E"/>
    <w:rsid w:val="3C774D93"/>
    <w:rsid w:val="3CD712D4"/>
    <w:rsid w:val="3CEB5B57"/>
    <w:rsid w:val="3CF3708A"/>
    <w:rsid w:val="3D4049CD"/>
    <w:rsid w:val="3DAE02C2"/>
    <w:rsid w:val="3DB021B2"/>
    <w:rsid w:val="3DC542F7"/>
    <w:rsid w:val="3DDF4E6B"/>
    <w:rsid w:val="3E104487"/>
    <w:rsid w:val="3E3068D7"/>
    <w:rsid w:val="3E3909F2"/>
    <w:rsid w:val="3E3935EE"/>
    <w:rsid w:val="3E5A3CE1"/>
    <w:rsid w:val="3E9D6408"/>
    <w:rsid w:val="3EB92D70"/>
    <w:rsid w:val="3F0E5E15"/>
    <w:rsid w:val="3F1D4625"/>
    <w:rsid w:val="3F3506CB"/>
    <w:rsid w:val="3FAB163D"/>
    <w:rsid w:val="40075C59"/>
    <w:rsid w:val="4024470B"/>
    <w:rsid w:val="4062685E"/>
    <w:rsid w:val="40AC67CF"/>
    <w:rsid w:val="40B22A86"/>
    <w:rsid w:val="40BB3B4D"/>
    <w:rsid w:val="4135116F"/>
    <w:rsid w:val="41540B2E"/>
    <w:rsid w:val="415D5357"/>
    <w:rsid w:val="41887598"/>
    <w:rsid w:val="41C01E85"/>
    <w:rsid w:val="41EE7295"/>
    <w:rsid w:val="41FB36A0"/>
    <w:rsid w:val="4221518F"/>
    <w:rsid w:val="43064C45"/>
    <w:rsid w:val="43364990"/>
    <w:rsid w:val="433A140F"/>
    <w:rsid w:val="435A0517"/>
    <w:rsid w:val="43F619AE"/>
    <w:rsid w:val="43FF7CCC"/>
    <w:rsid w:val="44BA6EFA"/>
    <w:rsid w:val="45444809"/>
    <w:rsid w:val="454D712B"/>
    <w:rsid w:val="45505AB1"/>
    <w:rsid w:val="45890463"/>
    <w:rsid w:val="45C647A2"/>
    <w:rsid w:val="45D72F87"/>
    <w:rsid w:val="45E5704A"/>
    <w:rsid w:val="45EE5D64"/>
    <w:rsid w:val="46270F3A"/>
    <w:rsid w:val="463F2E10"/>
    <w:rsid w:val="466D60A8"/>
    <w:rsid w:val="46BC4D06"/>
    <w:rsid w:val="475A75DA"/>
    <w:rsid w:val="476B0337"/>
    <w:rsid w:val="48145DD7"/>
    <w:rsid w:val="494A555C"/>
    <w:rsid w:val="49740D11"/>
    <w:rsid w:val="497A134E"/>
    <w:rsid w:val="497C01C9"/>
    <w:rsid w:val="49857991"/>
    <w:rsid w:val="49E70113"/>
    <w:rsid w:val="4A653DFE"/>
    <w:rsid w:val="4B230F7F"/>
    <w:rsid w:val="4B3B18FD"/>
    <w:rsid w:val="4B4546C2"/>
    <w:rsid w:val="4B775925"/>
    <w:rsid w:val="4BD47F04"/>
    <w:rsid w:val="4C2957E8"/>
    <w:rsid w:val="4CC76612"/>
    <w:rsid w:val="4CF31F9B"/>
    <w:rsid w:val="4CF44D67"/>
    <w:rsid w:val="4CFA3B7A"/>
    <w:rsid w:val="4D7C0647"/>
    <w:rsid w:val="4D7C530C"/>
    <w:rsid w:val="4DA727EE"/>
    <w:rsid w:val="4DE07676"/>
    <w:rsid w:val="4DFA15AC"/>
    <w:rsid w:val="4E3C476F"/>
    <w:rsid w:val="4E58551B"/>
    <w:rsid w:val="4EE44B34"/>
    <w:rsid w:val="4F7C44A6"/>
    <w:rsid w:val="4FA72771"/>
    <w:rsid w:val="4FBF20BC"/>
    <w:rsid w:val="4FD23C92"/>
    <w:rsid w:val="50043E9A"/>
    <w:rsid w:val="506955BC"/>
    <w:rsid w:val="5084320D"/>
    <w:rsid w:val="50AA2519"/>
    <w:rsid w:val="50F86FCF"/>
    <w:rsid w:val="51062B9C"/>
    <w:rsid w:val="517570AB"/>
    <w:rsid w:val="51922CE9"/>
    <w:rsid w:val="51D569BB"/>
    <w:rsid w:val="52467C77"/>
    <w:rsid w:val="52EA4E4F"/>
    <w:rsid w:val="533D65C8"/>
    <w:rsid w:val="536B2631"/>
    <w:rsid w:val="53E517D8"/>
    <w:rsid w:val="540C2BB9"/>
    <w:rsid w:val="540F33E4"/>
    <w:rsid w:val="54104C1C"/>
    <w:rsid w:val="541903E8"/>
    <w:rsid w:val="559B2B89"/>
    <w:rsid w:val="55CA71B9"/>
    <w:rsid w:val="55CB1251"/>
    <w:rsid w:val="55DF5E59"/>
    <w:rsid w:val="57362868"/>
    <w:rsid w:val="57825F9E"/>
    <w:rsid w:val="579E5991"/>
    <w:rsid w:val="5813309A"/>
    <w:rsid w:val="58313DF7"/>
    <w:rsid w:val="58357612"/>
    <w:rsid w:val="588B5A03"/>
    <w:rsid w:val="58B86286"/>
    <w:rsid w:val="58F42B1B"/>
    <w:rsid w:val="595124C8"/>
    <w:rsid w:val="599B2597"/>
    <w:rsid w:val="5A8A05E6"/>
    <w:rsid w:val="5AC316C5"/>
    <w:rsid w:val="5ADA57C9"/>
    <w:rsid w:val="5AE64A95"/>
    <w:rsid w:val="5B37559B"/>
    <w:rsid w:val="5B6360D8"/>
    <w:rsid w:val="5B7E79F8"/>
    <w:rsid w:val="5B977B3E"/>
    <w:rsid w:val="5BBE3726"/>
    <w:rsid w:val="5BC50F0C"/>
    <w:rsid w:val="5BD479D9"/>
    <w:rsid w:val="5BD54C15"/>
    <w:rsid w:val="5BDE39BF"/>
    <w:rsid w:val="5BED655E"/>
    <w:rsid w:val="5C594399"/>
    <w:rsid w:val="5C5C5033"/>
    <w:rsid w:val="5C970359"/>
    <w:rsid w:val="5CA152C9"/>
    <w:rsid w:val="5D21480B"/>
    <w:rsid w:val="5D4A6D8C"/>
    <w:rsid w:val="5D50269A"/>
    <w:rsid w:val="5D5615C2"/>
    <w:rsid w:val="5D6D4FFA"/>
    <w:rsid w:val="5E72750C"/>
    <w:rsid w:val="5E781EA8"/>
    <w:rsid w:val="5E7975CE"/>
    <w:rsid w:val="5FE34CE5"/>
    <w:rsid w:val="602B1D4B"/>
    <w:rsid w:val="60314360"/>
    <w:rsid w:val="6045450E"/>
    <w:rsid w:val="60655BC8"/>
    <w:rsid w:val="60C443F1"/>
    <w:rsid w:val="61EC6E71"/>
    <w:rsid w:val="62623041"/>
    <w:rsid w:val="627A0B11"/>
    <w:rsid w:val="62F73A40"/>
    <w:rsid w:val="630B65D4"/>
    <w:rsid w:val="63404E3C"/>
    <w:rsid w:val="634C24C3"/>
    <w:rsid w:val="636619A6"/>
    <w:rsid w:val="63683A9F"/>
    <w:rsid w:val="641960BC"/>
    <w:rsid w:val="64403ED8"/>
    <w:rsid w:val="64421BCC"/>
    <w:rsid w:val="64581217"/>
    <w:rsid w:val="64B92960"/>
    <w:rsid w:val="64DA64D4"/>
    <w:rsid w:val="64DF4596"/>
    <w:rsid w:val="64E21E2A"/>
    <w:rsid w:val="651C031C"/>
    <w:rsid w:val="65685739"/>
    <w:rsid w:val="65CB604B"/>
    <w:rsid w:val="65CD0D2C"/>
    <w:rsid w:val="65E55410"/>
    <w:rsid w:val="65EA5DE5"/>
    <w:rsid w:val="6621033E"/>
    <w:rsid w:val="66B03AB8"/>
    <w:rsid w:val="66EB4947"/>
    <w:rsid w:val="670342B7"/>
    <w:rsid w:val="672C3CCB"/>
    <w:rsid w:val="67306E97"/>
    <w:rsid w:val="673803E9"/>
    <w:rsid w:val="673B1886"/>
    <w:rsid w:val="67DE1B6A"/>
    <w:rsid w:val="68110D0F"/>
    <w:rsid w:val="69303AFB"/>
    <w:rsid w:val="69617D6C"/>
    <w:rsid w:val="699B3A79"/>
    <w:rsid w:val="69ED78DB"/>
    <w:rsid w:val="6A880126"/>
    <w:rsid w:val="6ACB77BB"/>
    <w:rsid w:val="6AED1F2C"/>
    <w:rsid w:val="6B1D10B5"/>
    <w:rsid w:val="6B715133"/>
    <w:rsid w:val="6B7E6624"/>
    <w:rsid w:val="6BBC674B"/>
    <w:rsid w:val="6BBD3420"/>
    <w:rsid w:val="6C76202F"/>
    <w:rsid w:val="6C876B6C"/>
    <w:rsid w:val="6C894229"/>
    <w:rsid w:val="6CAD51ED"/>
    <w:rsid w:val="6CC009D0"/>
    <w:rsid w:val="6CCA3E19"/>
    <w:rsid w:val="6CF71037"/>
    <w:rsid w:val="6CFC3CA5"/>
    <w:rsid w:val="6D465A44"/>
    <w:rsid w:val="6D492E60"/>
    <w:rsid w:val="6D565F99"/>
    <w:rsid w:val="6DF553B2"/>
    <w:rsid w:val="6DFA3429"/>
    <w:rsid w:val="6E267689"/>
    <w:rsid w:val="6E7973B3"/>
    <w:rsid w:val="6E8403F6"/>
    <w:rsid w:val="6E841887"/>
    <w:rsid w:val="6E9206DD"/>
    <w:rsid w:val="6ED93EE9"/>
    <w:rsid w:val="6F267B88"/>
    <w:rsid w:val="6FD32E86"/>
    <w:rsid w:val="70855382"/>
    <w:rsid w:val="70A3417B"/>
    <w:rsid w:val="70B7739F"/>
    <w:rsid w:val="70E7131E"/>
    <w:rsid w:val="711B4AA0"/>
    <w:rsid w:val="712F4EED"/>
    <w:rsid w:val="71CA0A17"/>
    <w:rsid w:val="7202642B"/>
    <w:rsid w:val="72145E3A"/>
    <w:rsid w:val="72360220"/>
    <w:rsid w:val="728D0BDD"/>
    <w:rsid w:val="737364B4"/>
    <w:rsid w:val="73824B1D"/>
    <w:rsid w:val="738E04AD"/>
    <w:rsid w:val="740909E8"/>
    <w:rsid w:val="7426743E"/>
    <w:rsid w:val="74CE61C9"/>
    <w:rsid w:val="750278D7"/>
    <w:rsid w:val="75340B91"/>
    <w:rsid w:val="75667113"/>
    <w:rsid w:val="757A50EF"/>
    <w:rsid w:val="758B119A"/>
    <w:rsid w:val="75C30938"/>
    <w:rsid w:val="75E67159"/>
    <w:rsid w:val="761B0991"/>
    <w:rsid w:val="76364D93"/>
    <w:rsid w:val="763C357C"/>
    <w:rsid w:val="766A4BC9"/>
    <w:rsid w:val="76FC1F1B"/>
    <w:rsid w:val="777D5F77"/>
    <w:rsid w:val="77E70419"/>
    <w:rsid w:val="780A6E6F"/>
    <w:rsid w:val="784352B7"/>
    <w:rsid w:val="78501572"/>
    <w:rsid w:val="787F376C"/>
    <w:rsid w:val="78FA022F"/>
    <w:rsid w:val="78FD6A86"/>
    <w:rsid w:val="791C4226"/>
    <w:rsid w:val="794C77CC"/>
    <w:rsid w:val="7A0C2F65"/>
    <w:rsid w:val="7A1A45DD"/>
    <w:rsid w:val="7A4A706D"/>
    <w:rsid w:val="7A736940"/>
    <w:rsid w:val="7A98418F"/>
    <w:rsid w:val="7AC77031"/>
    <w:rsid w:val="7B0A7CBC"/>
    <w:rsid w:val="7B1A486E"/>
    <w:rsid w:val="7B8E7EEC"/>
    <w:rsid w:val="7BA26033"/>
    <w:rsid w:val="7C084414"/>
    <w:rsid w:val="7C800FB1"/>
    <w:rsid w:val="7CEB65C0"/>
    <w:rsid w:val="7D137721"/>
    <w:rsid w:val="7D3923AB"/>
    <w:rsid w:val="7D7171F6"/>
    <w:rsid w:val="7D8501F0"/>
    <w:rsid w:val="7D8A0907"/>
    <w:rsid w:val="7DA119B4"/>
    <w:rsid w:val="7DAF065D"/>
    <w:rsid w:val="7DB677E5"/>
    <w:rsid w:val="7DCD1E14"/>
    <w:rsid w:val="7E354D13"/>
    <w:rsid w:val="7E635CC6"/>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5"/>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8"/>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4">
    <w:name w:val="heading 2"/>
    <w:basedOn w:val="1"/>
    <w:next w:val="1"/>
    <w:link w:val="39"/>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5">
    <w:name w:val="heading 3"/>
    <w:basedOn w:val="1"/>
    <w:next w:val="1"/>
    <w:link w:val="40"/>
    <w:qFormat/>
    <w:uiPriority w:val="99"/>
    <w:pPr>
      <w:spacing w:before="360" w:after="120"/>
      <w:jc w:val="left"/>
      <w:outlineLvl w:val="2"/>
    </w:pPr>
    <w:rPr>
      <w:rFonts w:ascii="宋体" w:cs="宋体"/>
      <w:b/>
      <w:bCs/>
      <w:sz w:val="24"/>
      <w:szCs w:val="24"/>
      <w:u w:val="single"/>
    </w:rPr>
  </w:style>
  <w:style w:type="paragraph" w:styleId="6">
    <w:name w:val="heading 4"/>
    <w:basedOn w:val="1"/>
    <w:next w:val="1"/>
    <w:link w:val="41"/>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7">
    <w:name w:val="heading 5"/>
    <w:basedOn w:val="1"/>
    <w:next w:val="1"/>
    <w:link w:val="42"/>
    <w:qFormat/>
    <w:uiPriority w:val="99"/>
    <w:pPr>
      <w:keepNext/>
      <w:keepLines/>
      <w:spacing w:line="372"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qFormat/>
    <w:uiPriority w:val="99"/>
    <w:pPr>
      <w:tabs>
        <w:tab w:val="left" w:pos="567"/>
      </w:tabs>
      <w:spacing w:before="120" w:line="22" w:lineRule="atLeast"/>
    </w:pPr>
    <w:rPr>
      <w:rFonts w:ascii="宋体" w:hAnsi="宋体" w:cs="宋体"/>
      <w:sz w:val="24"/>
      <w:szCs w:val="24"/>
    </w:rPr>
  </w:style>
  <w:style w:type="paragraph" w:styleId="8">
    <w:name w:val="Normal Indent"/>
    <w:basedOn w:val="1"/>
    <w:next w:val="9"/>
    <w:qFormat/>
    <w:uiPriority w:val="99"/>
    <w:pPr>
      <w:autoSpaceDE w:val="0"/>
      <w:autoSpaceDN w:val="0"/>
      <w:adjustRightInd w:val="0"/>
      <w:ind w:firstLine="420"/>
      <w:jc w:val="left"/>
    </w:pPr>
    <w:rPr>
      <w:rFonts w:ascii="宋体" w:cs="宋体"/>
      <w:kern w:val="0"/>
      <w:sz w:val="24"/>
      <w:szCs w:val="24"/>
    </w:rPr>
  </w:style>
  <w:style w:type="paragraph" w:styleId="9">
    <w:name w:val="toa heading"/>
    <w:basedOn w:val="1"/>
    <w:next w:val="1"/>
    <w:qFormat/>
    <w:uiPriority w:val="99"/>
    <w:pPr>
      <w:spacing w:before="120"/>
    </w:pPr>
    <w:rPr>
      <w:rFonts w:ascii="Cambria" w:hAnsi="Cambria" w:cs="Cambria"/>
      <w:sz w:val="24"/>
      <w:szCs w:val="24"/>
    </w:rPr>
  </w:style>
  <w:style w:type="paragraph" w:styleId="10">
    <w:name w:val="annotation text"/>
    <w:basedOn w:val="1"/>
    <w:qFormat/>
    <w:uiPriority w:val="0"/>
    <w:rPr>
      <w:sz w:val="20"/>
      <w:szCs w:val="20"/>
    </w:rPr>
  </w:style>
  <w:style w:type="paragraph" w:styleId="11">
    <w:name w:val="Body Text Indent"/>
    <w:basedOn w:val="1"/>
    <w:next w:val="12"/>
    <w:link w:val="44"/>
    <w:qFormat/>
    <w:uiPriority w:val="99"/>
    <w:pPr>
      <w:spacing w:line="360" w:lineRule="auto"/>
      <w:ind w:firstLine="570"/>
    </w:pPr>
    <w:rPr>
      <w:sz w:val="24"/>
      <w:szCs w:val="24"/>
    </w:rPr>
  </w:style>
  <w:style w:type="paragraph" w:styleId="12">
    <w:name w:val="toc 5"/>
    <w:basedOn w:val="1"/>
    <w:next w:val="1"/>
    <w:qFormat/>
    <w:uiPriority w:val="0"/>
    <w:pPr>
      <w:ind w:left="840"/>
    </w:pPr>
    <w:rPr>
      <w:rFonts w:ascii="Calibri" w:hAnsi="Calibri"/>
      <w:sz w:val="18"/>
      <w:szCs w:val="18"/>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99"/>
    <w:pPr>
      <w:ind w:left="840" w:leftChars="400"/>
    </w:pPr>
  </w:style>
  <w:style w:type="paragraph" w:styleId="15">
    <w:name w:val="Plain Text"/>
    <w:basedOn w:val="1"/>
    <w:link w:val="45"/>
    <w:qFormat/>
    <w:uiPriority w:val="99"/>
    <w:rPr>
      <w:rFonts w:ascii="宋体" w:hAnsi="Courier New" w:cs="宋体"/>
    </w:rPr>
  </w:style>
  <w:style w:type="paragraph" w:styleId="16">
    <w:name w:val="Date"/>
    <w:basedOn w:val="1"/>
    <w:next w:val="1"/>
    <w:qFormat/>
    <w:uiPriority w:val="0"/>
    <w:rPr>
      <w:szCs w:val="20"/>
    </w:rPr>
  </w:style>
  <w:style w:type="paragraph" w:styleId="17">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8">
    <w:name w:val="footer"/>
    <w:basedOn w:val="1"/>
    <w:link w:val="46"/>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style>
  <w:style w:type="paragraph" w:styleId="22">
    <w:name w:val="footnote text"/>
    <w:basedOn w:val="1"/>
    <w:link w:val="48"/>
    <w:qFormat/>
    <w:uiPriority w:val="99"/>
    <w:pPr>
      <w:snapToGrid w:val="0"/>
      <w:jc w:val="left"/>
    </w:pPr>
    <w:rPr>
      <w:sz w:val="18"/>
      <w:szCs w:val="18"/>
    </w:rPr>
  </w:style>
  <w:style w:type="paragraph" w:styleId="23">
    <w:name w:val="toc 2"/>
    <w:basedOn w:val="1"/>
    <w:next w:val="1"/>
    <w:qFormat/>
    <w:uiPriority w:val="99"/>
    <w:pPr>
      <w:ind w:left="420" w:leftChars="200"/>
    </w:pPr>
  </w:style>
  <w:style w:type="paragraph" w:styleId="24">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5">
    <w:name w:val="Title"/>
    <w:basedOn w:val="13"/>
    <w:next w:val="1"/>
    <w:qFormat/>
    <w:uiPriority w:val="10"/>
    <w:pPr>
      <w:spacing w:before="240" w:after="60"/>
      <w:jc w:val="center"/>
      <w:outlineLvl w:val="0"/>
    </w:pPr>
    <w:rPr>
      <w:rFonts w:ascii="Cambria" w:hAnsi="Cambria" w:eastAsia="宋体" w:cs="Times New Roman"/>
      <w:b/>
      <w:bCs/>
      <w:sz w:val="32"/>
      <w:szCs w:val="32"/>
    </w:rPr>
  </w:style>
  <w:style w:type="paragraph" w:styleId="26">
    <w:name w:val="Body Text First Indent"/>
    <w:basedOn w:val="2"/>
    <w:next w:val="1"/>
    <w:link w:val="49"/>
    <w:qFormat/>
    <w:uiPriority w:val="99"/>
    <w:pPr>
      <w:autoSpaceDE w:val="0"/>
      <w:autoSpaceDN w:val="0"/>
      <w:adjustRightInd w:val="0"/>
      <w:spacing w:line="312" w:lineRule="atLeast"/>
      <w:ind w:firstLine="420"/>
    </w:pPr>
    <w:rPr>
      <w:kern w:val="0"/>
    </w:rPr>
  </w:style>
  <w:style w:type="paragraph" w:styleId="27">
    <w:name w:val="Body Text First Indent 2"/>
    <w:basedOn w:val="11"/>
    <w:next w:val="1"/>
    <w:link w:val="50"/>
    <w:qFormat/>
    <w:uiPriority w:val="99"/>
    <w:pPr>
      <w:ind w:firstLine="420" w:firstLineChars="200"/>
    </w:p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qFormat/>
    <w:uiPriority w:val="99"/>
    <w:rPr>
      <w:rFonts w:ascii="Times New Roman" w:hAnsi="Times New Roman" w:eastAsia="宋体" w:cs="Times New Roman"/>
    </w:rPr>
  </w:style>
  <w:style w:type="character" w:styleId="33">
    <w:name w:val="Hyperlink"/>
    <w:basedOn w:val="30"/>
    <w:qFormat/>
    <w:uiPriority w:val="99"/>
    <w:rPr>
      <w:color w:val="0000FF"/>
      <w:u w:val="single"/>
    </w:rPr>
  </w:style>
  <w:style w:type="character" w:styleId="34">
    <w:name w:val="annotation reference"/>
    <w:qFormat/>
    <w:uiPriority w:val="0"/>
    <w:rPr>
      <w:sz w:val="16"/>
      <w:szCs w:val="16"/>
    </w:rPr>
  </w:style>
  <w:style w:type="character" w:styleId="35">
    <w:name w:val="HTML Sample"/>
    <w:basedOn w:val="30"/>
    <w:semiHidden/>
    <w:unhideWhenUsed/>
    <w:qFormat/>
    <w:uiPriority w:val="99"/>
    <w:rPr>
      <w:rFonts w:ascii="Courier New" w:hAnsi="Courier New"/>
    </w:rPr>
  </w:style>
  <w:style w:type="paragraph" w:customStyle="1" w:styleId="36">
    <w:name w:val="正文缩进1"/>
    <w:basedOn w:val="1"/>
    <w:next w:val="11"/>
    <w:qFormat/>
    <w:uiPriority w:val="99"/>
    <w:pPr>
      <w:autoSpaceDE w:val="0"/>
      <w:autoSpaceDN w:val="0"/>
      <w:adjustRightInd w:val="0"/>
      <w:ind w:firstLine="420"/>
      <w:jc w:val="left"/>
    </w:pPr>
    <w:rPr>
      <w:rFonts w:ascii="宋体" w:cs="宋体"/>
      <w:kern w:val="0"/>
      <w:sz w:val="24"/>
      <w:szCs w:val="24"/>
    </w:rPr>
  </w:style>
  <w:style w:type="character" w:customStyle="1" w:styleId="37">
    <w:name w:val="默认段落字体1"/>
    <w:qFormat/>
    <w:uiPriority w:val="99"/>
  </w:style>
  <w:style w:type="character" w:customStyle="1" w:styleId="38">
    <w:name w:val="标题 1 字符"/>
    <w:basedOn w:val="30"/>
    <w:link w:val="3"/>
    <w:qFormat/>
    <w:uiPriority w:val="99"/>
    <w:rPr>
      <w:rFonts w:ascii="宋体" w:hAnsi="Times New Roman" w:eastAsia="宋体" w:cs="宋体"/>
      <w:b/>
      <w:bCs/>
      <w:kern w:val="44"/>
      <w:sz w:val="20"/>
      <w:szCs w:val="20"/>
    </w:rPr>
  </w:style>
  <w:style w:type="character" w:customStyle="1" w:styleId="39">
    <w:name w:val="标题 2 字符"/>
    <w:basedOn w:val="30"/>
    <w:link w:val="4"/>
    <w:qFormat/>
    <w:uiPriority w:val="99"/>
    <w:rPr>
      <w:rFonts w:ascii="Cambria" w:hAnsi="Cambria" w:eastAsia="宋体" w:cs="Cambria"/>
      <w:b/>
      <w:bCs/>
      <w:sz w:val="32"/>
      <w:szCs w:val="32"/>
    </w:rPr>
  </w:style>
  <w:style w:type="character" w:customStyle="1" w:styleId="40">
    <w:name w:val="标题 3 字符"/>
    <w:basedOn w:val="30"/>
    <w:link w:val="5"/>
    <w:qFormat/>
    <w:uiPriority w:val="99"/>
    <w:rPr>
      <w:b/>
      <w:bCs/>
      <w:sz w:val="32"/>
      <w:szCs w:val="32"/>
    </w:rPr>
  </w:style>
  <w:style w:type="character" w:customStyle="1" w:styleId="41">
    <w:name w:val="标题 4 字符"/>
    <w:basedOn w:val="30"/>
    <w:link w:val="6"/>
    <w:qFormat/>
    <w:uiPriority w:val="99"/>
    <w:rPr>
      <w:rFonts w:ascii="Cambria" w:hAnsi="Cambria" w:eastAsia="宋体" w:cs="Cambria"/>
      <w:b/>
      <w:bCs/>
      <w:sz w:val="28"/>
      <w:szCs w:val="28"/>
    </w:rPr>
  </w:style>
  <w:style w:type="character" w:customStyle="1" w:styleId="42">
    <w:name w:val="标题 5 字符"/>
    <w:basedOn w:val="30"/>
    <w:link w:val="7"/>
    <w:qFormat/>
    <w:uiPriority w:val="99"/>
    <w:rPr>
      <w:b/>
      <w:bCs/>
      <w:sz w:val="28"/>
      <w:szCs w:val="28"/>
    </w:rPr>
  </w:style>
  <w:style w:type="character" w:customStyle="1" w:styleId="43">
    <w:name w:val="正文文本 字符"/>
    <w:basedOn w:val="30"/>
    <w:link w:val="2"/>
    <w:qFormat/>
    <w:uiPriority w:val="99"/>
    <w:rPr>
      <w:sz w:val="21"/>
      <w:szCs w:val="21"/>
    </w:rPr>
  </w:style>
  <w:style w:type="character" w:customStyle="1" w:styleId="44">
    <w:name w:val="正文文本缩进 字符"/>
    <w:basedOn w:val="30"/>
    <w:link w:val="11"/>
    <w:qFormat/>
    <w:uiPriority w:val="99"/>
    <w:rPr>
      <w:sz w:val="21"/>
      <w:szCs w:val="21"/>
    </w:rPr>
  </w:style>
  <w:style w:type="character" w:customStyle="1" w:styleId="45">
    <w:name w:val="纯文本 字符"/>
    <w:basedOn w:val="30"/>
    <w:link w:val="15"/>
    <w:qFormat/>
    <w:uiPriority w:val="99"/>
    <w:rPr>
      <w:rFonts w:ascii="宋体" w:hAnsi="Courier New" w:cs="宋体"/>
      <w:sz w:val="21"/>
      <w:szCs w:val="21"/>
    </w:rPr>
  </w:style>
  <w:style w:type="character" w:customStyle="1" w:styleId="46">
    <w:name w:val="页脚 字符"/>
    <w:basedOn w:val="30"/>
    <w:link w:val="18"/>
    <w:qFormat/>
    <w:uiPriority w:val="99"/>
    <w:rPr>
      <w:sz w:val="18"/>
      <w:szCs w:val="18"/>
    </w:rPr>
  </w:style>
  <w:style w:type="character" w:customStyle="1" w:styleId="47">
    <w:name w:val="页眉 字符"/>
    <w:basedOn w:val="30"/>
    <w:link w:val="20"/>
    <w:qFormat/>
    <w:uiPriority w:val="99"/>
    <w:rPr>
      <w:sz w:val="18"/>
      <w:szCs w:val="18"/>
    </w:rPr>
  </w:style>
  <w:style w:type="character" w:customStyle="1" w:styleId="48">
    <w:name w:val="脚注文本 字符"/>
    <w:basedOn w:val="30"/>
    <w:link w:val="22"/>
    <w:qFormat/>
    <w:uiPriority w:val="99"/>
    <w:rPr>
      <w:sz w:val="18"/>
      <w:szCs w:val="18"/>
    </w:rPr>
  </w:style>
  <w:style w:type="character" w:customStyle="1" w:styleId="49">
    <w:name w:val="正文文本首行缩进 字符"/>
    <w:basedOn w:val="43"/>
    <w:link w:val="26"/>
    <w:qFormat/>
    <w:uiPriority w:val="99"/>
    <w:rPr>
      <w:sz w:val="21"/>
      <w:szCs w:val="21"/>
    </w:rPr>
  </w:style>
  <w:style w:type="character" w:customStyle="1" w:styleId="50">
    <w:name w:val="正文文本首行缩进 2 字符"/>
    <w:basedOn w:val="44"/>
    <w:link w:val="27"/>
    <w:qFormat/>
    <w:uiPriority w:val="99"/>
    <w:rPr>
      <w:sz w:val="21"/>
      <w:szCs w:val="21"/>
    </w:rPr>
  </w:style>
  <w:style w:type="paragraph" w:customStyle="1" w:styleId="51">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2">
    <w:name w:val="Default"/>
    <w:basedOn w:val="25"/>
    <w:next w:val="3"/>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3">
    <w:name w:val="索引 11"/>
    <w:basedOn w:val="1"/>
    <w:next w:val="1"/>
    <w:qFormat/>
    <w:uiPriority w:val="99"/>
    <w:pPr>
      <w:spacing w:line="360" w:lineRule="auto"/>
    </w:pPr>
    <w:rPr>
      <w:rFonts w:ascii="仿宋_GB2312" w:eastAsia="仿宋_GB2312" w:cs="仿宋_GB2312"/>
      <w:sz w:val="24"/>
      <w:szCs w:val="24"/>
    </w:rPr>
  </w:style>
  <w:style w:type="paragraph" w:customStyle="1" w:styleId="54">
    <w:name w:val="纯文本1"/>
    <w:basedOn w:val="1"/>
    <w:qFormat/>
    <w:uiPriority w:val="99"/>
    <w:rPr>
      <w:rFonts w:ascii="宋体" w:hAnsi="Courier New" w:cs="宋体"/>
      <w:kern w:val="0"/>
      <w:sz w:val="20"/>
      <w:szCs w:val="20"/>
    </w:rPr>
  </w:style>
  <w:style w:type="character" w:customStyle="1" w:styleId="55">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56">
    <w:name w:val="UserStyle_44"/>
    <w:basedOn w:val="1"/>
    <w:qFormat/>
    <w:uiPriority w:val="99"/>
    <w:pPr>
      <w:spacing w:before="120" w:after="120" w:line="360" w:lineRule="auto"/>
      <w:jc w:val="center"/>
    </w:pPr>
    <w:rPr>
      <w:rFonts w:eastAsia="仿宋_GB2312"/>
      <w:b/>
      <w:bCs/>
      <w:sz w:val="24"/>
      <w:szCs w:val="24"/>
    </w:rPr>
  </w:style>
  <w:style w:type="paragraph" w:customStyle="1" w:styleId="57">
    <w:name w:val="NormalIndent"/>
    <w:basedOn w:val="1"/>
    <w:qFormat/>
    <w:uiPriority w:val="99"/>
    <w:pPr>
      <w:ind w:firstLine="420"/>
      <w:jc w:val="left"/>
    </w:pPr>
    <w:rPr>
      <w:rFonts w:ascii="宋体" w:cs="宋体"/>
      <w:kern w:val="0"/>
      <w:sz w:val="24"/>
      <w:szCs w:val="24"/>
    </w:rPr>
  </w:style>
  <w:style w:type="paragraph" w:customStyle="1" w:styleId="58">
    <w:name w:val="图例"/>
    <w:basedOn w:val="1"/>
    <w:qFormat/>
    <w:uiPriority w:val="99"/>
    <w:pPr>
      <w:spacing w:before="120" w:after="120" w:line="360" w:lineRule="auto"/>
      <w:jc w:val="center"/>
    </w:pPr>
    <w:rPr>
      <w:rFonts w:eastAsia="仿宋_GB2312"/>
      <w:b/>
      <w:bCs/>
      <w:sz w:val="24"/>
      <w:szCs w:val="24"/>
    </w:rPr>
  </w:style>
  <w:style w:type="character" w:customStyle="1" w:styleId="59">
    <w:name w:val="font11"/>
    <w:basedOn w:val="30"/>
    <w:qFormat/>
    <w:uiPriority w:val="99"/>
    <w:rPr>
      <w:rFonts w:ascii="宋体" w:hAnsi="宋体" w:eastAsia="宋体" w:cs="宋体"/>
      <w:color w:val="FF0000"/>
      <w:sz w:val="16"/>
      <w:szCs w:val="16"/>
      <w:u w:val="none"/>
    </w:rPr>
  </w:style>
  <w:style w:type="character" w:customStyle="1" w:styleId="60">
    <w:name w:val="font21"/>
    <w:basedOn w:val="30"/>
    <w:qFormat/>
    <w:uiPriority w:val="99"/>
    <w:rPr>
      <w:rFonts w:ascii="宋体" w:hAnsi="宋体" w:eastAsia="宋体" w:cs="宋体"/>
      <w:color w:val="000000"/>
      <w:sz w:val="16"/>
      <w:szCs w:val="16"/>
      <w:u w:val="none"/>
    </w:rPr>
  </w:style>
  <w:style w:type="character" w:customStyle="1" w:styleId="61">
    <w:name w:val="style23"/>
    <w:basedOn w:val="30"/>
    <w:qFormat/>
    <w:uiPriority w:val="99"/>
  </w:style>
  <w:style w:type="paragraph" w:customStyle="1" w:styleId="62">
    <w:name w:val="表格文字"/>
    <w:basedOn w:val="1"/>
    <w:qFormat/>
    <w:uiPriority w:val="99"/>
    <w:pPr>
      <w:spacing w:before="25" w:after="25"/>
      <w:jc w:val="left"/>
    </w:pPr>
    <w:rPr>
      <w:spacing w:val="10"/>
      <w:kern w:val="0"/>
      <w:sz w:val="24"/>
      <w:szCs w:val="24"/>
    </w:rPr>
  </w:style>
  <w:style w:type="paragraph" w:styleId="63">
    <w:name w:val="List Paragraph"/>
    <w:basedOn w:val="1"/>
    <w:qFormat/>
    <w:uiPriority w:val="99"/>
    <w:pPr>
      <w:ind w:firstLine="420" w:firstLineChars="200"/>
    </w:pPr>
  </w:style>
  <w:style w:type="character" w:customStyle="1" w:styleId="64">
    <w:name w:val="font01"/>
    <w:basedOn w:val="30"/>
    <w:qFormat/>
    <w:uiPriority w:val="99"/>
    <w:rPr>
      <w:rFonts w:ascii="宋体" w:hAnsi="宋体" w:eastAsia="宋体" w:cs="宋体"/>
      <w:color w:val="000000"/>
      <w:sz w:val="22"/>
      <w:szCs w:val="22"/>
      <w:u w:val="none"/>
    </w:rPr>
  </w:style>
  <w:style w:type="character" w:customStyle="1" w:styleId="65">
    <w:name w:val="font71"/>
    <w:basedOn w:val="30"/>
    <w:qFormat/>
    <w:uiPriority w:val="99"/>
    <w:rPr>
      <w:rFonts w:ascii="Arial" w:hAnsi="Arial" w:cs="Arial"/>
      <w:color w:val="000000"/>
      <w:sz w:val="22"/>
      <w:szCs w:val="22"/>
      <w:u w:val="none"/>
    </w:rPr>
  </w:style>
  <w:style w:type="character" w:customStyle="1" w:styleId="66">
    <w:name w:val="font81"/>
    <w:basedOn w:val="30"/>
    <w:qFormat/>
    <w:uiPriority w:val="99"/>
    <w:rPr>
      <w:rFonts w:ascii="Calibri" w:hAnsi="Calibri" w:cs="Calibri"/>
      <w:color w:val="000000"/>
      <w:sz w:val="22"/>
      <w:szCs w:val="22"/>
      <w:u w:val="none"/>
    </w:rPr>
  </w:style>
  <w:style w:type="character" w:customStyle="1" w:styleId="67">
    <w:name w:val="font91"/>
    <w:basedOn w:val="30"/>
    <w:qFormat/>
    <w:uiPriority w:val="99"/>
    <w:rPr>
      <w:rFonts w:ascii="宋体" w:hAnsi="宋体" w:eastAsia="宋体" w:cs="宋体"/>
      <w:color w:val="FF0000"/>
      <w:sz w:val="22"/>
      <w:szCs w:val="22"/>
      <w:u w:val="none"/>
    </w:rPr>
  </w:style>
  <w:style w:type="paragraph" w:customStyle="1" w:styleId="68">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9">
    <w:name w:val="Table Normal1"/>
    <w:qFormat/>
    <w:uiPriority w:val="99"/>
    <w:tblPr>
      <w:tblCellMar>
        <w:top w:w="0" w:type="dxa"/>
        <w:left w:w="0" w:type="dxa"/>
        <w:bottom w:w="0" w:type="dxa"/>
        <w:right w:w="0" w:type="dxa"/>
      </w:tblCellMar>
    </w:tblPr>
  </w:style>
  <w:style w:type="character" w:customStyle="1" w:styleId="70">
    <w:name w:val="font31"/>
    <w:basedOn w:val="30"/>
    <w:qFormat/>
    <w:uiPriority w:val="99"/>
    <w:rPr>
      <w:rFonts w:ascii="宋体" w:hAnsi="宋体" w:eastAsia="宋体" w:cs="宋体"/>
      <w:color w:val="000000"/>
      <w:sz w:val="22"/>
      <w:szCs w:val="22"/>
      <w:u w:val="none"/>
    </w:rPr>
  </w:style>
  <w:style w:type="character" w:customStyle="1" w:styleId="71">
    <w:name w:val="font101"/>
    <w:basedOn w:val="30"/>
    <w:qFormat/>
    <w:uiPriority w:val="99"/>
    <w:rPr>
      <w:rFonts w:ascii="Calibri" w:hAnsi="Calibri" w:cs="Calibri"/>
      <w:color w:val="000000"/>
      <w:sz w:val="22"/>
      <w:szCs w:val="22"/>
      <w:u w:val="none"/>
    </w:rPr>
  </w:style>
  <w:style w:type="character" w:customStyle="1" w:styleId="72">
    <w:name w:val="font41"/>
    <w:basedOn w:val="30"/>
    <w:qFormat/>
    <w:uiPriority w:val="99"/>
    <w:rPr>
      <w:rFonts w:ascii="宋体" w:hAnsi="宋体" w:eastAsia="宋体" w:cs="宋体"/>
      <w:color w:val="000000"/>
      <w:sz w:val="22"/>
      <w:szCs w:val="22"/>
      <w:u w:val="none"/>
    </w:rPr>
  </w:style>
  <w:style w:type="character" w:customStyle="1" w:styleId="73">
    <w:name w:val="font51"/>
    <w:basedOn w:val="30"/>
    <w:qFormat/>
    <w:uiPriority w:val="99"/>
    <w:rPr>
      <w:rFonts w:ascii="宋体" w:hAnsi="宋体" w:eastAsia="宋体" w:cs="宋体"/>
      <w:color w:val="000000"/>
      <w:sz w:val="22"/>
      <w:szCs w:val="22"/>
      <w:u w:val="none"/>
    </w:rPr>
  </w:style>
  <w:style w:type="character" w:customStyle="1" w:styleId="74">
    <w:name w:val="font61"/>
    <w:basedOn w:val="30"/>
    <w:qFormat/>
    <w:uiPriority w:val="99"/>
    <w:rPr>
      <w:rFonts w:ascii="宋体" w:hAnsi="宋体" w:eastAsia="宋体" w:cs="宋体"/>
      <w:color w:val="000000"/>
      <w:sz w:val="22"/>
      <w:szCs w:val="22"/>
      <w:u w:val="none"/>
      <w:vertAlign w:val="superscript"/>
    </w:rPr>
  </w:style>
  <w:style w:type="paragraph" w:customStyle="1" w:styleId="75">
    <w:name w:val="列出段落1"/>
    <w:basedOn w:val="1"/>
    <w:qFormat/>
    <w:uiPriority w:val="99"/>
    <w:pPr>
      <w:ind w:firstLine="420" w:firstLineChars="200"/>
    </w:pPr>
  </w:style>
  <w:style w:type="paragraph" w:customStyle="1" w:styleId="76">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7">
    <w:name w:val="正文文本 21"/>
    <w:basedOn w:val="76"/>
    <w:qFormat/>
    <w:uiPriority w:val="0"/>
    <w:rPr>
      <w:rFonts w:ascii="SimSun;宋体" w:hAnsi="SimSun;宋体"/>
      <w:color w:val="000000"/>
      <w:sz w:val="28"/>
    </w:rPr>
  </w:style>
  <w:style w:type="paragraph" w:customStyle="1" w:styleId="78">
    <w:name w:val="列出段落11"/>
    <w:basedOn w:val="1"/>
    <w:next w:val="75"/>
    <w:qFormat/>
    <w:uiPriority w:val="34"/>
    <w:pPr>
      <w:ind w:firstLine="420" w:firstLineChars="200"/>
    </w:pPr>
  </w:style>
  <w:style w:type="character" w:customStyle="1" w:styleId="79">
    <w:name w:val="明显参考1"/>
    <w:basedOn w:val="30"/>
    <w:qFormat/>
    <w:uiPriority w:val="32"/>
    <w:rPr>
      <w:b/>
      <w:bCs/>
      <w:smallCaps/>
      <w:color w:val="C0504D"/>
      <w:spacing w:val="5"/>
      <w:u w:val="single"/>
    </w:rPr>
  </w:style>
  <w:style w:type="paragraph" w:customStyle="1" w:styleId="80">
    <w:name w:val="列表段落1"/>
    <w:basedOn w:val="1"/>
    <w:qFormat/>
    <w:uiPriority w:val="34"/>
    <w:pPr>
      <w:ind w:firstLine="420" w:firstLineChars="200"/>
    </w:pPr>
  </w:style>
  <w:style w:type="paragraph" w:customStyle="1" w:styleId="81">
    <w:name w:val="_Style 5"/>
    <w:basedOn w:val="1"/>
    <w:next w:val="63"/>
    <w:qFormat/>
    <w:uiPriority w:val="34"/>
    <w:pPr>
      <w:ind w:firstLine="420" w:firstLineChars="200"/>
    </w:pPr>
  </w:style>
  <w:style w:type="paragraph" w:customStyle="1" w:styleId="82">
    <w:name w:val="List Paragraph1"/>
    <w:basedOn w:val="1"/>
    <w:qFormat/>
    <w:uiPriority w:val="0"/>
    <w:pPr>
      <w:ind w:firstLine="420" w:firstLineChars="200"/>
    </w:pPr>
  </w:style>
  <w:style w:type="paragraph" w:customStyle="1" w:styleId="8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84">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5">
    <w:name w:val="Anrede1IhrZeichen"/>
    <w:qFormat/>
    <w:uiPriority w:val="0"/>
    <w:rPr>
      <w:rFonts w:ascii="Arial" w:hAnsi="Arial"/>
      <w:sz w:val="20"/>
    </w:rPr>
  </w:style>
  <w:style w:type="paragraph" w:customStyle="1" w:styleId="86">
    <w:name w:val="样式1"/>
    <w:basedOn w:val="4"/>
    <w:qFormat/>
    <w:uiPriority w:val="0"/>
    <w:pPr>
      <w:spacing w:before="100" w:beforeAutospacing="1" w:after="100" w:afterAutospacing="1"/>
      <w:ind w:left="1710" w:right="100" w:rightChars="100"/>
    </w:pPr>
    <w:rPr>
      <w:sz w:val="21"/>
    </w:rPr>
  </w:style>
  <w:style w:type="paragraph" w:customStyle="1" w:styleId="87">
    <w:name w:val="_Style 1"/>
    <w:basedOn w:val="1"/>
    <w:qFormat/>
    <w:uiPriority w:val="99"/>
    <w:pPr>
      <w:ind w:firstLine="420" w:firstLineChars="200"/>
    </w:pPr>
  </w:style>
  <w:style w:type="paragraph" w:customStyle="1" w:styleId="88">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0">
    <w:name w:val="Body text|1"/>
    <w:basedOn w:val="1"/>
    <w:qFormat/>
    <w:uiPriority w:val="0"/>
    <w:pPr>
      <w:spacing w:line="276" w:lineRule="auto"/>
    </w:pPr>
    <w:rPr>
      <w:sz w:val="19"/>
      <w:szCs w:val="19"/>
    </w:rPr>
  </w:style>
  <w:style w:type="paragraph" w:customStyle="1" w:styleId="91">
    <w:name w:val="Body text|2"/>
    <w:basedOn w:val="1"/>
    <w:qFormat/>
    <w:uiPriority w:val="0"/>
    <w:pPr>
      <w:spacing w:line="314" w:lineRule="exact"/>
    </w:pPr>
    <w:rPr>
      <w:rFonts w:ascii="宋体" w:hAnsi="宋体" w:eastAsia="宋体" w:cs="宋体"/>
      <w:sz w:val="20"/>
      <w:szCs w:val="20"/>
      <w:lang w:val="zh-TW" w:eastAsia="zh-TW" w:bidi="zh-TW"/>
    </w:rPr>
  </w:style>
  <w:style w:type="paragraph" w:customStyle="1" w:styleId="92">
    <w:name w:val="WPS Plain"/>
    <w:qFormat/>
    <w:uiPriority w:val="0"/>
    <w:rPr>
      <w:rFonts w:ascii="Times New Roman" w:hAnsi="Times New Roman" w:eastAsia="宋体" w:cs="Times New Roman"/>
      <w:sz w:val="20"/>
      <w:lang w:val="en-US" w:eastAsia="zh-CN" w:bidi="ar-SA"/>
    </w:rPr>
  </w:style>
  <w:style w:type="character" w:customStyle="1" w:styleId="93">
    <w:name w:val="font211"/>
    <w:basedOn w:val="30"/>
    <w:qFormat/>
    <w:uiPriority w:val="0"/>
    <w:rPr>
      <w:rFonts w:hint="default" w:ascii="Times New Roman" w:hAnsi="Times New Roman" w:cs="Times New Roman"/>
      <w:color w:val="000000"/>
      <w:sz w:val="22"/>
      <w:szCs w:val="22"/>
      <w:u w:val="none"/>
    </w:rPr>
  </w:style>
  <w:style w:type="character" w:customStyle="1" w:styleId="94">
    <w:name w:val="font181"/>
    <w:basedOn w:val="30"/>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74</Pages>
  <Words>45977</Words>
  <Characters>50852</Characters>
  <Lines>465</Lines>
  <Paragraphs>131</Paragraphs>
  <TotalTime>8</TotalTime>
  <ScaleCrop>false</ScaleCrop>
  <LinksUpToDate>false</LinksUpToDate>
  <CharactersWithSpaces>56156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花</cp:lastModifiedBy>
  <cp:lastPrinted>2023-03-29T09:42:00Z</cp:lastPrinted>
  <dcterms:modified xsi:type="dcterms:W3CDTF">2023-06-14T09:06:07Z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B2309C7A85A642ACB702A2B10A74217C_13</vt:lpwstr>
  </property>
</Properties>
</file>