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r>
        <w:rPr>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r>
        <w:rPr>
          <w:rFonts w:hint="eastAsia" w:ascii="仿宋_GB2312" w:eastAsia="仿宋_GB2312"/>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4381500</wp:posOffset>
                </wp:positionH>
                <wp:positionV relativeFrom="paragraph">
                  <wp:posOffset>288925</wp:posOffset>
                </wp:positionV>
                <wp:extent cx="1640205" cy="525780"/>
                <wp:effectExtent l="7620" t="8255" r="9525" b="18415"/>
                <wp:wrapNone/>
                <wp:docPr id="1" name="文本框 1"/>
                <wp:cNvGraphicFramePr/>
                <a:graphic xmlns:a="http://schemas.openxmlformats.org/drawingml/2006/main">
                  <a:graphicData uri="http://schemas.microsoft.com/office/word/2010/wordprocessingShape">
                    <wps:wsp>
                      <wps:cNvSpPr txBox="1"/>
                      <wps:spPr>
                        <a:xfrm>
                          <a:off x="0" y="0"/>
                          <a:ext cx="1640205" cy="52578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rPr>
                                <w:sz w:val="44"/>
                                <w:szCs w:val="44"/>
                              </w:rPr>
                            </w:pPr>
                            <w:r>
                              <w:rPr>
                                <w:rFonts w:hint="eastAsia" w:ascii="仿宋" w:hAnsi="仿宋" w:eastAsia="仿宋" w:cs="仿宋"/>
                                <w:sz w:val="44"/>
                                <w:szCs w:val="44"/>
                              </w:rPr>
                              <w:t>公开招标</w:t>
                            </w:r>
                          </w:p>
                        </w:txbxContent>
                      </wps:txbx>
                      <wps:bodyPr upright="1"/>
                    </wps:wsp>
                  </a:graphicData>
                </a:graphic>
              </wp:anchor>
            </w:drawing>
          </mc:Choice>
          <mc:Fallback>
            <w:pict>
              <v:shape id="_x0000_s1026" o:spid="_x0000_s1026" o:spt="202" type="#_x0000_t202" style="position:absolute;left:0pt;margin-left:345pt;margin-top:22.75pt;height:41.4pt;width:129.15pt;z-index:251661312;mso-width-relative:page;mso-height-relative:page;" fillcolor="#FFFFFF" filled="t" stroked="t" coordsize="21600,21600" o:gfxdata="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NM9f9gAAAAKAQAADwAAAAAAAAABACAA&#10;AAAiAAAAZHJzL2Rvd25yZXYueG1sUEsBAhQAFAAAAAgAh07iQEhPXXRGAgAAvgQAAA4AAAAAAAAA&#10;AQAgAAAAJwEAAGRycy9lMm9Eb2MueG1sUEsFBgAAAAAGAAYAWQEAAN8FAAAAAA==&#10;">
                <v:fill type="gradient" on="t" color2="#FFFFFF" angle="90" focus="100%" focussize="0,0">
                  <o:fill type="gradientUnscaled" v:ext="backwardCompatible"/>
                </v:fill>
                <v:stroke weight="1.25pt" color="#739CC3" joinstyle="miter"/>
                <v:imagedata o:title=""/>
                <o:lock v:ext="edit" aspectratio="f"/>
                <v:textbox>
                  <w:txbxContent>
                    <w:p>
                      <w:pPr>
                        <w:jc w:val="center"/>
                        <w:rPr>
                          <w:sz w:val="44"/>
                          <w:szCs w:val="44"/>
                        </w:rPr>
                      </w:pPr>
                      <w:r>
                        <w:rPr>
                          <w:rFonts w:hint="eastAsia" w:ascii="仿宋" w:hAnsi="仿宋" w:eastAsia="仿宋" w:cs="仿宋"/>
                          <w:sz w:val="44"/>
                          <w:szCs w:val="44"/>
                        </w:rPr>
                        <w:t>公开招标</w:t>
                      </w:r>
                    </w:p>
                  </w:txbxContent>
                </v:textbox>
              </v:shape>
            </w:pict>
          </mc:Fallback>
        </mc:AlternateContent>
      </w:r>
    </w:p>
    <w:p>
      <w:pPr>
        <w:rPr>
          <w:color w:val="auto"/>
          <w:highlight w:val="none"/>
        </w:rPr>
      </w:pPr>
    </w:p>
    <w:p>
      <w:pPr>
        <w:rPr>
          <w:color w:val="auto"/>
          <w:highlight w:val="none"/>
        </w:rPr>
      </w:pPr>
    </w:p>
    <w:p>
      <w:pPr>
        <w:rPr>
          <w:color w:val="auto"/>
          <w:highlight w:val="none"/>
        </w:rPr>
      </w:pPr>
    </w:p>
    <w:p>
      <w:pPr>
        <w:jc w:val="center"/>
        <w:rPr>
          <w:rFonts w:eastAsia="方正楷体简体"/>
          <w:b/>
          <w:color w:val="auto"/>
          <w:sz w:val="52"/>
          <w:highlight w:val="none"/>
        </w:rPr>
      </w:pPr>
    </w:p>
    <w:p>
      <w:pPr>
        <w:jc w:val="center"/>
        <w:rPr>
          <w:rFonts w:eastAsia="方正楷体简体"/>
          <w:b/>
          <w:color w:val="auto"/>
          <w:sz w:val="52"/>
          <w:highlight w:val="none"/>
        </w:rPr>
      </w:pPr>
    </w:p>
    <w:p>
      <w:pPr>
        <w:jc w:val="center"/>
        <w:rPr>
          <w:rFonts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pPr>
        <w:rPr>
          <w:rFonts w:ascii="仿宋" w:hAnsi="仿宋" w:eastAsia="仿宋"/>
          <w:color w:val="auto"/>
          <w:sz w:val="48"/>
          <w:highlight w:val="none"/>
        </w:rPr>
      </w:pPr>
    </w:p>
    <w:p>
      <w:pPr>
        <w:rPr>
          <w:rFonts w:ascii="仿宋" w:hAnsi="仿宋" w:eastAsia="仿宋"/>
          <w:color w:val="auto"/>
          <w:sz w:val="48"/>
          <w:highlight w:val="none"/>
        </w:rPr>
      </w:pPr>
    </w:p>
    <w:p>
      <w:pPr>
        <w:pStyle w:val="41"/>
        <w:ind w:left="2337" w:leftChars="539" w:hanging="1206" w:hangingChars="335"/>
        <w:rPr>
          <w:rFonts w:ascii="仿宋" w:hAnsi="仿宋" w:eastAsia="仿宋"/>
          <w:color w:val="auto"/>
          <w:sz w:val="36"/>
          <w:szCs w:val="36"/>
          <w:highlight w:val="none"/>
        </w:rPr>
      </w:pPr>
      <w:r>
        <w:rPr>
          <w:rFonts w:hint="eastAsia" w:ascii="仿宋" w:hAnsi="仿宋" w:eastAsia="仿宋"/>
          <w:color w:val="auto"/>
          <w:sz w:val="36"/>
          <w:szCs w:val="36"/>
          <w:highlight w:val="none"/>
        </w:rPr>
        <w:t>项目编号：2341xzjk005</w:t>
      </w:r>
    </w:p>
    <w:p>
      <w:pPr>
        <w:pStyle w:val="41"/>
        <w:ind w:left="2693" w:leftChars="539" w:hanging="1562" w:hangingChars="434"/>
        <w:rPr>
          <w:rFonts w:ascii="仿宋" w:hAnsi="仿宋" w:eastAsia="仿宋"/>
          <w:color w:val="auto"/>
          <w:sz w:val="36"/>
          <w:szCs w:val="36"/>
          <w:highlight w:val="none"/>
        </w:rPr>
      </w:pPr>
      <w:r>
        <w:rPr>
          <w:rFonts w:hint="eastAsia" w:ascii="仿宋" w:hAnsi="仿宋" w:eastAsia="仿宋"/>
          <w:color w:val="auto"/>
          <w:sz w:val="36"/>
          <w:szCs w:val="36"/>
          <w:highlight w:val="none"/>
        </w:rPr>
        <w:t>项目名称：新疆医科大学第一附属医院昌吉分院医院信息系统建设服务项目</w:t>
      </w:r>
    </w:p>
    <w:p>
      <w:pPr>
        <w:pStyle w:val="41"/>
        <w:ind w:left="2337" w:leftChars="539" w:hanging="1206" w:hangingChars="335"/>
        <w:rPr>
          <w:rFonts w:ascii="仿宋" w:hAnsi="仿宋" w:eastAsia="仿宋"/>
          <w:color w:val="auto"/>
          <w:sz w:val="36"/>
          <w:szCs w:val="36"/>
          <w:highlight w:val="none"/>
        </w:rPr>
      </w:pPr>
    </w:p>
    <w:p>
      <w:pPr>
        <w:jc w:val="right"/>
        <w:rPr>
          <w:rFonts w:ascii="仿宋" w:hAnsi="仿宋" w:eastAsia="仿宋"/>
          <w:color w:val="auto"/>
          <w:sz w:val="40"/>
          <w:highlight w:val="none"/>
        </w:rPr>
      </w:pPr>
    </w:p>
    <w:p>
      <w:pPr>
        <w:rPr>
          <w:rFonts w:ascii="仿宋" w:hAnsi="仿宋" w:eastAsia="仿宋"/>
          <w:color w:val="auto"/>
          <w:sz w:val="40"/>
          <w:highlight w:val="none"/>
        </w:rPr>
      </w:pPr>
    </w:p>
    <w:p>
      <w:pPr>
        <w:pStyle w:val="10"/>
        <w:rPr>
          <w:color w:val="auto"/>
          <w:highlight w:val="none"/>
        </w:rPr>
      </w:pPr>
    </w:p>
    <w:p>
      <w:pPr>
        <w:pStyle w:val="41"/>
        <w:ind w:left="2203" w:leftChars="539" w:hanging="1072" w:hangingChars="335"/>
        <w:rPr>
          <w:rFonts w:ascii="仿宋" w:hAnsi="仿宋" w:eastAsia="仿宋"/>
          <w:color w:val="auto"/>
          <w:sz w:val="32"/>
          <w:szCs w:val="32"/>
          <w:highlight w:val="none"/>
        </w:rPr>
      </w:pPr>
    </w:p>
    <w:p>
      <w:pPr>
        <w:jc w:val="center"/>
        <w:rPr>
          <w:rFonts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新疆新之建工程咨询有限公司</w:t>
      </w:r>
    </w:p>
    <w:p>
      <w:pPr>
        <w:jc w:val="center"/>
        <w:rPr>
          <w:rFonts w:ascii="仿宋" w:hAnsi="仿宋" w:eastAsia="仿宋"/>
          <w:b/>
          <w:color w:val="auto"/>
          <w:sz w:val="44"/>
          <w:szCs w:val="44"/>
          <w:highlight w:val="none"/>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auto"/>
          <w:sz w:val="32"/>
          <w:szCs w:val="32"/>
          <w:highlight w:val="none"/>
        </w:rPr>
        <w:t>2023年06月</w:t>
      </w:r>
    </w:p>
    <w:p>
      <w:pPr>
        <w:tabs>
          <w:tab w:val="left" w:pos="2700"/>
        </w:tabs>
        <w:spacing w:before="624" w:beforeLines="200" w:line="360" w:lineRule="atLeast"/>
        <w:rPr>
          <w:rFonts w:ascii="仿宋" w:hAnsi="仿宋" w:eastAsia="仿宋"/>
          <w:b/>
          <w:color w:val="auto"/>
          <w:sz w:val="44"/>
          <w:szCs w:val="44"/>
          <w:highlight w:val="none"/>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624" w:beforeLines="200" w:line="360" w:lineRule="atLeast"/>
        <w:jc w:val="center"/>
        <w:rPr>
          <w:rFonts w:ascii="仿宋" w:hAnsi="仿宋" w:eastAsia="仿宋"/>
          <w:color w:val="auto"/>
          <w:sz w:val="44"/>
          <w:szCs w:val="44"/>
          <w:highlight w:val="none"/>
        </w:rPr>
      </w:pPr>
      <w:r>
        <w:rPr>
          <w:rFonts w:hint="eastAsia" w:ascii="仿宋" w:hAnsi="仿宋" w:eastAsia="仿宋"/>
          <w:b/>
          <w:color w:val="auto"/>
          <w:sz w:val="44"/>
          <w:szCs w:val="44"/>
          <w:highlight w:val="none"/>
        </w:rPr>
        <w:t>目    录</w:t>
      </w:r>
    </w:p>
    <w:p>
      <w:pPr>
        <w:pStyle w:val="22"/>
        <w:tabs>
          <w:tab w:val="right" w:leader="dot" w:pos="9288"/>
        </w:tabs>
        <w:ind w:firstLine="416" w:firstLineChars="139"/>
        <w:rPr>
          <w:rFonts w:ascii="仿宋" w:hAnsi="仿宋" w:eastAsia="仿宋"/>
          <w:b w:val="0"/>
          <w:bCs w:val="0"/>
          <w:caps w:val="0"/>
          <w:color w:val="auto"/>
          <w:sz w:val="30"/>
          <w:szCs w:val="30"/>
          <w:highlight w:val="none"/>
        </w:rPr>
      </w:pPr>
      <w:r>
        <w:rPr>
          <w:rFonts w:hint="eastAsia" w:ascii="仿宋" w:hAnsi="仿宋" w:eastAsia="仿宋"/>
          <w:b w:val="0"/>
          <w:color w:val="auto"/>
          <w:sz w:val="30"/>
          <w:szCs w:val="30"/>
          <w:highlight w:val="none"/>
        </w:rPr>
        <w:fldChar w:fldCharType="begin"/>
      </w:r>
      <w:r>
        <w:rPr>
          <w:rFonts w:hint="eastAsia" w:ascii="仿宋" w:hAnsi="仿宋" w:eastAsia="仿宋"/>
          <w:b w:val="0"/>
          <w:color w:val="auto"/>
          <w:sz w:val="30"/>
          <w:szCs w:val="30"/>
          <w:highlight w:val="none"/>
        </w:rPr>
        <w:instrText xml:space="preserve"> TOC \o "1-3" \h \z \u </w:instrText>
      </w:r>
      <w:r>
        <w:rPr>
          <w:rFonts w:hint="eastAsia" w:ascii="仿宋" w:hAnsi="仿宋" w:eastAsia="仿宋"/>
          <w:b w:val="0"/>
          <w:color w:val="auto"/>
          <w:sz w:val="30"/>
          <w:szCs w:val="30"/>
          <w:highlight w:val="none"/>
        </w:rPr>
        <w:fldChar w:fldCharType="separate"/>
      </w:r>
      <w:r>
        <w:rPr>
          <w:color w:val="auto"/>
          <w:highlight w:val="none"/>
        </w:rPr>
        <w:fldChar w:fldCharType="begin"/>
      </w:r>
      <w:r>
        <w:rPr>
          <w:color w:val="auto"/>
          <w:highlight w:val="none"/>
        </w:rPr>
        <w:instrText xml:space="preserve"> HYPERLINK \l "_Toc5987693" </w:instrText>
      </w:r>
      <w:r>
        <w:rPr>
          <w:color w:val="auto"/>
          <w:highlight w:val="none"/>
        </w:rPr>
        <w:fldChar w:fldCharType="separate"/>
      </w:r>
      <w:r>
        <w:rPr>
          <w:rStyle w:val="34"/>
          <w:rFonts w:hint="eastAsia" w:ascii="仿宋" w:hAnsi="仿宋" w:eastAsia="仿宋"/>
          <w:b w:val="0"/>
          <w:color w:val="auto"/>
          <w:sz w:val="30"/>
          <w:szCs w:val="30"/>
          <w:highlight w:val="none"/>
        </w:rPr>
        <w:t>投标须知前附表</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begin"/>
      </w:r>
      <w:r>
        <w:rPr>
          <w:rFonts w:ascii="仿宋" w:hAnsi="仿宋" w:eastAsia="仿宋"/>
          <w:b w:val="0"/>
          <w:color w:val="auto"/>
          <w:sz w:val="30"/>
          <w:szCs w:val="30"/>
          <w:highlight w:val="none"/>
        </w:rPr>
        <w:instrText xml:space="preserve"> PAGEREF _Toc5987693 \h </w:instrText>
      </w:r>
      <w:r>
        <w:rPr>
          <w:rFonts w:ascii="仿宋" w:hAnsi="仿宋" w:eastAsia="仿宋"/>
          <w:b w:val="0"/>
          <w:color w:val="auto"/>
          <w:sz w:val="30"/>
          <w:szCs w:val="30"/>
          <w:highlight w:val="none"/>
        </w:rPr>
        <w:fldChar w:fldCharType="separate"/>
      </w:r>
      <w:r>
        <w:rPr>
          <w:rFonts w:ascii="仿宋" w:hAnsi="仿宋" w:eastAsia="仿宋"/>
          <w:b w:val="0"/>
          <w:color w:val="auto"/>
          <w:sz w:val="30"/>
          <w:szCs w:val="30"/>
          <w:highlight w:val="none"/>
        </w:rPr>
        <w:t>1</w:t>
      </w:r>
      <w:r>
        <w:rPr>
          <w:rFonts w:ascii="仿宋" w:hAnsi="仿宋" w:eastAsia="仿宋"/>
          <w:b w:val="0"/>
          <w:color w:val="auto"/>
          <w:sz w:val="30"/>
          <w:szCs w:val="30"/>
          <w:highlight w:val="none"/>
        </w:rPr>
        <w:fldChar w:fldCharType="end"/>
      </w:r>
      <w:r>
        <w:rPr>
          <w:rFonts w:ascii="仿宋" w:hAnsi="仿宋" w:eastAsia="仿宋"/>
          <w:b w:val="0"/>
          <w:color w:val="auto"/>
          <w:sz w:val="30"/>
          <w:szCs w:val="30"/>
          <w:highlight w:val="none"/>
        </w:rPr>
        <w:fldChar w:fldCharType="end"/>
      </w:r>
    </w:p>
    <w:p>
      <w:pPr>
        <w:pStyle w:val="22"/>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"_Toc5987694" </w:instrText>
      </w:r>
      <w:r>
        <w:rPr>
          <w:color w:val="auto"/>
          <w:highlight w:val="none"/>
        </w:rPr>
        <w:fldChar w:fldCharType="separate"/>
      </w:r>
      <w:r>
        <w:rPr>
          <w:rStyle w:val="34"/>
          <w:rFonts w:hint="eastAsia" w:ascii="仿宋" w:hAnsi="仿宋" w:eastAsia="仿宋"/>
          <w:b w:val="0"/>
          <w:color w:val="auto"/>
          <w:sz w:val="30"/>
          <w:szCs w:val="30"/>
          <w:highlight w:val="none"/>
        </w:rPr>
        <w:t>第一章招标公告</w:t>
      </w:r>
      <w:r>
        <w:rPr>
          <w:rFonts w:ascii="仿宋" w:hAnsi="仿宋" w:eastAsia="仿宋"/>
          <w:b w:val="0"/>
          <w:color w:val="auto"/>
          <w:sz w:val="30"/>
          <w:szCs w:val="30"/>
          <w:highlight w:val="none"/>
        </w:rPr>
        <w:tab/>
      </w:r>
      <w:r>
        <w:rPr>
          <w:rFonts w:hint="eastAsia" w:ascii="仿宋" w:hAnsi="仿宋" w:eastAsia="仿宋"/>
          <w:b w:val="0"/>
          <w:color w:val="auto"/>
          <w:sz w:val="30"/>
          <w:szCs w:val="30"/>
          <w:highlight w:val="none"/>
        </w:rPr>
        <w:t>5</w:t>
      </w:r>
      <w:r>
        <w:rPr>
          <w:rFonts w:hint="eastAsia" w:ascii="仿宋" w:hAnsi="仿宋" w:eastAsia="仿宋"/>
          <w:b w:val="0"/>
          <w:color w:val="auto"/>
          <w:sz w:val="30"/>
          <w:szCs w:val="30"/>
          <w:highlight w:val="none"/>
        </w:rPr>
        <w:fldChar w:fldCharType="end"/>
      </w:r>
    </w:p>
    <w:p>
      <w:pPr>
        <w:pStyle w:val="22"/>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"_Toc5987695" </w:instrText>
      </w:r>
      <w:r>
        <w:rPr>
          <w:color w:val="auto"/>
          <w:highlight w:val="none"/>
        </w:rPr>
        <w:fldChar w:fldCharType="separate"/>
      </w:r>
      <w:r>
        <w:rPr>
          <w:rStyle w:val="34"/>
          <w:rFonts w:hint="eastAsia" w:ascii="仿宋" w:hAnsi="仿宋" w:eastAsia="仿宋"/>
          <w:b w:val="0"/>
          <w:color w:val="auto"/>
          <w:sz w:val="30"/>
          <w:szCs w:val="30"/>
          <w:highlight w:val="none"/>
        </w:rPr>
        <w:t>第二章投标须知</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12</w:t>
      </w:r>
    </w:p>
    <w:p>
      <w:pPr>
        <w:pStyle w:val="22"/>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"_Toc5987696" </w:instrText>
      </w:r>
      <w:r>
        <w:rPr>
          <w:color w:val="auto"/>
          <w:highlight w:val="none"/>
        </w:rPr>
        <w:fldChar w:fldCharType="separate"/>
      </w:r>
      <w:r>
        <w:rPr>
          <w:rStyle w:val="34"/>
          <w:rFonts w:hint="eastAsia" w:ascii="仿宋" w:hAnsi="仿宋" w:eastAsia="仿宋"/>
          <w:b w:val="0"/>
          <w:color w:val="auto"/>
          <w:sz w:val="30"/>
          <w:szCs w:val="30"/>
          <w:highlight w:val="none"/>
        </w:rPr>
        <w:t>第三章招标内容及技术要求</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30</w:t>
      </w:r>
    </w:p>
    <w:p>
      <w:pPr>
        <w:pStyle w:val="22"/>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"_Toc5987697" </w:instrText>
      </w:r>
      <w:r>
        <w:rPr>
          <w:color w:val="auto"/>
          <w:highlight w:val="none"/>
        </w:rPr>
        <w:fldChar w:fldCharType="separate"/>
      </w:r>
      <w:r>
        <w:rPr>
          <w:rStyle w:val="34"/>
          <w:rFonts w:hint="eastAsia" w:ascii="仿宋" w:hAnsi="仿宋" w:eastAsia="仿宋"/>
          <w:b w:val="0"/>
          <w:color w:val="auto"/>
          <w:sz w:val="30"/>
          <w:szCs w:val="30"/>
          <w:highlight w:val="none"/>
        </w:rPr>
        <w:t>第四章合同主要条款</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137</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30"/>
          <w:szCs w:val="30"/>
          <w:highlight w:val="none"/>
        </w:rPr>
        <w:fldChar w:fldCharType="end"/>
      </w:r>
      <w:r>
        <w:rPr>
          <w:rFonts w:hint="eastAsia" w:ascii="仿宋" w:hAnsi="仿宋" w:eastAsia="仿宋"/>
          <w:color w:val="auto"/>
          <w:sz w:val="28"/>
          <w:highlight w:val="none"/>
        </w:rPr>
        <w:t>附件：（投标书格式）</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附件七 投标产品名称、数量、规格明细报价表</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商务所有条款偏离表</w:t>
      </w:r>
    </w:p>
    <w:p>
      <w:pPr>
        <w:pStyle w:val="42"/>
        <w:spacing w:line="540" w:lineRule="exact"/>
        <w:ind w:firstLine="560"/>
        <w:rPr>
          <w:rFonts w:hint="eastAsia" w:ascii="仿宋" w:hAnsi="仿宋" w:eastAsia="仿宋"/>
          <w:color w:val="auto"/>
          <w:sz w:val="28"/>
          <w:highlight w:val="none"/>
          <w:lang w:eastAsia="zh-CN"/>
        </w:rPr>
      </w:pPr>
      <w:r>
        <w:rPr>
          <w:rFonts w:hint="eastAsia" w:ascii="仿宋" w:hAnsi="仿宋" w:eastAsia="仿宋"/>
          <w:color w:val="auto"/>
          <w:sz w:val="28"/>
          <w:highlight w:val="none"/>
        </w:rPr>
        <w:t xml:space="preserve">附件十 </w:t>
      </w:r>
      <w:r>
        <w:rPr>
          <w:rFonts w:hint="eastAsia" w:ascii="仿宋" w:hAnsi="仿宋" w:eastAsia="仿宋"/>
          <w:color w:val="auto"/>
          <w:sz w:val="28"/>
          <w:highlight w:val="none"/>
          <w:lang w:eastAsia="zh-CN"/>
        </w:rPr>
        <w:t>近五年同类项目案例表</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附件十一 中小企业声明函(工程、服务)</w:t>
      </w:r>
    </w:p>
    <w:p>
      <w:pPr>
        <w:tabs>
          <w:tab w:val="left" w:pos="6262"/>
        </w:tabs>
        <w:spacing w:line="480" w:lineRule="auto"/>
        <w:ind w:firstLine="560" w:firstLineChars="200"/>
        <w:rPr>
          <w:rFonts w:ascii="仿宋" w:hAnsi="仿宋" w:eastAsia="仿宋"/>
          <w:color w:val="auto"/>
          <w:sz w:val="28"/>
          <w:highlight w:val="none"/>
        </w:rPr>
      </w:pPr>
    </w:p>
    <w:p>
      <w:pPr>
        <w:snapToGrid w:val="0"/>
        <w:spacing w:line="360" w:lineRule="auto"/>
        <w:ind w:firstLine="561"/>
        <w:rPr>
          <w:rFonts w:ascii="仿宋" w:hAnsi="仿宋" w:eastAsia="仿宋"/>
          <w:color w:val="auto"/>
          <w:sz w:val="28"/>
          <w:highlight w:val="none"/>
        </w:rPr>
      </w:pPr>
    </w:p>
    <w:p>
      <w:pPr>
        <w:pStyle w:val="4"/>
        <w:rPr>
          <w:rFonts w:ascii="仿宋" w:hAnsi="仿宋" w:eastAsia="仿宋" w:cs="宋体"/>
          <w:color w:val="auto"/>
          <w:kern w:val="0"/>
          <w:sz w:val="28"/>
          <w:szCs w:val="28"/>
          <w:highlight w:val="none"/>
        </w:rPr>
      </w:pPr>
    </w:p>
    <w:p>
      <w:pPr>
        <w:pStyle w:val="4"/>
        <w:ind w:left="0" w:firstLine="0"/>
        <w:rPr>
          <w:rFonts w:ascii="仿宋" w:hAnsi="仿宋" w:eastAsia="仿宋"/>
          <w:color w:val="auto"/>
          <w:sz w:val="36"/>
          <w:highlight w:val="none"/>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pPr>
        <w:pStyle w:val="4"/>
        <w:ind w:left="0" w:firstLine="0"/>
        <w:rPr>
          <w:rFonts w:ascii="仿宋" w:hAnsi="仿宋" w:eastAsia="仿宋"/>
          <w:color w:val="auto"/>
          <w:sz w:val="36"/>
          <w:highlight w:val="none"/>
        </w:rPr>
      </w:pPr>
      <w:r>
        <w:rPr>
          <w:rFonts w:hint="eastAsia" w:ascii="仿宋" w:hAnsi="仿宋" w:eastAsia="仿宋"/>
          <w:color w:val="auto"/>
          <w:sz w:val="36"/>
          <w:highlight w:val="none"/>
        </w:rPr>
        <w:t>投标须知前附表</w:t>
      </w:r>
      <w:bookmarkEnd w:id="0"/>
    </w:p>
    <w:tbl>
      <w:tblPr>
        <w:tblStyle w:val="28"/>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tcMar>
              <w:top w:w="57" w:type="dxa"/>
              <w:bottom w:w="57" w:type="dxa"/>
            </w:tcMar>
            <w:vAlign w:val="center"/>
          </w:tcPr>
          <w:p>
            <w:pPr>
              <w:pStyle w:val="41"/>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9099" w:type="dxa"/>
            <w:tcMar>
              <w:top w:w="57" w:type="dxa"/>
              <w:bottom w:w="57" w:type="dxa"/>
            </w:tcMar>
            <w:vAlign w:val="center"/>
          </w:tcPr>
          <w:p>
            <w:pPr>
              <w:pStyle w:val="41"/>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9099" w:type="dxa"/>
            <w:tcBorders>
              <w:bottom w:val="single" w:color="auto" w:sz="4" w:space="0"/>
            </w:tcBorders>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项目名称：新疆医科大学第一附属医院昌吉分院医院信息系统建设服务项目</w:t>
            </w:r>
          </w:p>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项目编号：2341xzjk005</w:t>
            </w:r>
          </w:p>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招标内容：医院信息系统建设服务1项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项目采购预算：1000万元；</w:t>
            </w:r>
          </w:p>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s="仿宋"/>
                <w:b/>
                <w:color w:val="auto"/>
                <w:kern w:val="0"/>
                <w:sz w:val="24"/>
                <w:szCs w:val="24"/>
                <w:highlight w:val="none"/>
              </w:rPr>
              <w:t>投标人投标报价不得高于各包设备的预算单价及预算总价，否则其投标将被否决。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采购人：新疆医科大学第一附属医院昌吉分院</w:t>
            </w:r>
          </w:p>
          <w:p>
            <w:pPr>
              <w:pStyle w:val="41"/>
              <w:spacing w:line="420" w:lineRule="exact"/>
              <w:ind w:firstLine="0" w:firstLineChars="0"/>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联系电话：0994-8185645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采购代理机构：新疆新之建工程咨询有限公司。</w:t>
            </w:r>
          </w:p>
          <w:p>
            <w:pPr>
              <w:pStyle w:val="41"/>
              <w:spacing w:line="420" w:lineRule="exact"/>
              <w:ind w:firstLine="0" w:firstLineChars="0"/>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保证金金额：20000元；须以网银转账的形式由供应商的基本账户汇出，需备注项目编号、项目名称（或项目简称）及包号，于投标文件上传截止时间前交至招标代理机构指定账户（以实际到账时间为准，逾期无效），公示期结束后予以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pPr>
              <w:pStyle w:val="42"/>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6</w:t>
            </w:r>
          </w:p>
        </w:tc>
        <w:tc>
          <w:tcPr>
            <w:tcW w:w="9099" w:type="dxa"/>
            <w:tcMar>
              <w:top w:w="57" w:type="dxa"/>
              <w:bottom w:w="57" w:type="dxa"/>
            </w:tcMar>
            <w:vAlign w:val="center"/>
          </w:tcPr>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资格要求：</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1、满足《中华人民共和国政府采购法》第二十二条规定。</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2、落实政府采购政策需满足的资格要求：</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2.2、监狱企业及残疾人福利性单位视同小型、微型企业，享受预留份额、评审中价格扣除等政府采购促进中小企业发展的政府采购政策。</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3、有效的工商营业执照副本、税务登记证副本、组织机构代码证副本或“三证合一”的营业执照副本。</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2"/>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w:t>
            </w:r>
          </w:p>
          <w:p>
            <w:pPr>
              <w:pStyle w:val="42"/>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7、本项目不接受联合体投标。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pPr>
              <w:pStyle w:val="42"/>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7</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8</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投标截止时间：2023年</w:t>
            </w:r>
            <w:r>
              <w:rPr>
                <w:rFonts w:hint="eastAsia" w:ascii="仿宋" w:hAnsi="仿宋" w:eastAsia="仿宋"/>
                <w:color w:val="auto"/>
                <w:sz w:val="24"/>
                <w:szCs w:val="24"/>
                <w:highlight w:val="none"/>
                <w:lang w:val="en-US" w:eastAsia="zh-CN"/>
              </w:rPr>
              <w:t>07</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03</w:t>
            </w:r>
            <w:r>
              <w:rPr>
                <w:rFonts w:hint="eastAsia" w:ascii="仿宋" w:hAnsi="仿宋" w:eastAsia="仿宋"/>
                <w:color w:val="auto"/>
                <w:sz w:val="24"/>
                <w:szCs w:val="24"/>
                <w:highlight w:val="none"/>
              </w:rPr>
              <w:t>日11:00（北京时间）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投标文件上传至：</w:t>
            </w:r>
            <w:r>
              <w:rPr>
                <w:rFonts w:hint="eastAsia" w:ascii="仿宋" w:hAnsi="仿宋" w:eastAsia="仿宋" w:cs="仿宋"/>
                <w:color w:val="auto"/>
                <w:sz w:val="24"/>
                <w:szCs w:val="24"/>
                <w:highlight w:val="none"/>
              </w:rPr>
              <w:t>政采云平台http://www.zcygov.cn，</w:t>
            </w:r>
            <w:r>
              <w:rPr>
                <w:rFonts w:hint="eastAsia" w:ascii="仿宋" w:hAnsi="仿宋" w:eastAsia="仿宋"/>
                <w:color w:val="auto"/>
                <w:sz w:val="24"/>
                <w:szCs w:val="24"/>
                <w:highlight w:val="none"/>
              </w:rPr>
              <w:t>逾期上传的投标文件将被拒收。</w:t>
            </w:r>
          </w:p>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如果因投标文件较大，无法上传到政采云平台，供应商可以书面形式在开标截止时间前，以纸质版形式把技术支持资料密封后送达开标现场。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11</w:t>
            </w:r>
          </w:p>
        </w:tc>
        <w:tc>
          <w:tcPr>
            <w:tcW w:w="9099" w:type="dxa"/>
            <w:tcMar>
              <w:top w:w="57" w:type="dxa"/>
              <w:bottom w:w="57" w:type="dxa"/>
            </w:tcMar>
            <w:vAlign w:val="center"/>
          </w:tcPr>
          <w:p>
            <w:pPr>
              <w:pStyle w:val="41"/>
              <w:spacing w:line="420" w:lineRule="exact"/>
              <w:ind w:firstLine="0" w:firstLineChars="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投标文件的数目：电子版一套。</w:t>
            </w:r>
          </w:p>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s="仿宋"/>
                <w:b/>
                <w:bCs/>
                <w:color w:val="auto"/>
                <w:sz w:val="24"/>
                <w:szCs w:val="24"/>
                <w:highlight w:val="none"/>
              </w:rPr>
              <w:t>供应商开标时必须自行配备带有音频、视讯功能的电脑以及CA，供应商可自主通过新疆CA申领渠道“新疆政务通”申请政采云平台可使用的CA设备，如原有兵团或公共资源使用的CA，可与新疆CA联系，申请增加电子证书即可，无需重复申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12</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开标时间：2023年</w:t>
            </w:r>
            <w:r>
              <w:rPr>
                <w:rFonts w:hint="eastAsia" w:ascii="仿宋" w:hAnsi="仿宋" w:eastAsia="仿宋"/>
                <w:color w:val="auto"/>
                <w:sz w:val="24"/>
                <w:szCs w:val="24"/>
                <w:highlight w:val="none"/>
                <w:lang w:val="en-US" w:eastAsia="zh-CN"/>
              </w:rPr>
              <w:t>07</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03</w:t>
            </w:r>
            <w:r>
              <w:rPr>
                <w:rFonts w:hint="eastAsia" w:ascii="仿宋" w:hAnsi="仿宋" w:eastAsia="仿宋"/>
                <w:color w:val="auto"/>
                <w:sz w:val="24"/>
                <w:szCs w:val="24"/>
                <w:highlight w:val="none"/>
              </w:rPr>
              <w:t>日11:00（北京时间），逾期上传的投标文件将被拒收。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13</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开标地点：</w:t>
            </w:r>
            <w:r>
              <w:rPr>
                <w:rFonts w:hint="eastAsia" w:ascii="仿宋" w:hAnsi="仿宋" w:eastAsia="仿宋" w:cs="仿宋"/>
                <w:color w:val="auto"/>
                <w:sz w:val="24"/>
                <w:szCs w:val="24"/>
                <w:highlight w:val="none"/>
              </w:rPr>
              <w:t>政采云平台https：//www.zcygov.cn/（供应商网上使用CA锁远程操作开标；并确保网络环境流畅，否则代理机构不负任何责任。）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14</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15</w:t>
            </w:r>
          </w:p>
        </w:tc>
        <w:tc>
          <w:tcPr>
            <w:tcW w:w="9099" w:type="dxa"/>
            <w:tcMar>
              <w:top w:w="57" w:type="dxa"/>
              <w:bottom w:w="57" w:type="dxa"/>
            </w:tcMar>
            <w:vAlign w:val="center"/>
          </w:tcPr>
          <w:p>
            <w:pPr>
              <w:pStyle w:val="42"/>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交货期（项目工期）：120个工作日。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16</w:t>
            </w:r>
          </w:p>
        </w:tc>
        <w:tc>
          <w:tcPr>
            <w:tcW w:w="9099" w:type="dxa"/>
            <w:tcMar>
              <w:top w:w="57" w:type="dxa"/>
              <w:bottom w:w="57" w:type="dxa"/>
            </w:tcMar>
            <w:vAlign w:val="center"/>
          </w:tcPr>
          <w:p>
            <w:pPr>
              <w:pStyle w:val="42"/>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付款方式：采购合同签订后，软件基础环境搭建到位后付款30%，软件全部调测、培训到位并正常运行、验收后,付款60%，免费服务期结束后付款剩余10%（免费服务器原则不低于2年，免费服务期指软件验收后约定的免费服务期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pPr>
              <w:pStyle w:val="41"/>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17</w:t>
            </w:r>
          </w:p>
        </w:tc>
        <w:tc>
          <w:tcPr>
            <w:tcW w:w="9099" w:type="dxa"/>
            <w:tcMar>
              <w:top w:w="57" w:type="dxa"/>
              <w:bottom w:w="57" w:type="dxa"/>
            </w:tcMar>
            <w:vAlign w:val="center"/>
          </w:tcPr>
          <w:p>
            <w:pPr>
              <w:pStyle w:val="42"/>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免费服务期：≥</w:t>
            </w:r>
            <w:r>
              <w:rPr>
                <w:rFonts w:hint="eastAsia" w:ascii="仿宋" w:hAnsi="仿宋" w:eastAsia="仿宋"/>
                <w:color w:val="auto"/>
                <w:szCs w:val="24"/>
                <w:highlight w:val="none"/>
                <w:lang w:val="en-US" w:eastAsia="zh-CN"/>
              </w:rPr>
              <w:t>3</w:t>
            </w:r>
            <w:r>
              <w:rPr>
                <w:rFonts w:hint="eastAsia" w:ascii="仿宋" w:hAnsi="仿宋" w:eastAsia="仿宋"/>
                <w:color w:val="auto"/>
                <w:szCs w:val="24"/>
                <w:highlight w:val="none"/>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pPr>
              <w:spacing w:line="420" w:lineRule="exact"/>
              <w:ind w:firstLine="120" w:firstLineChars="5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18</w:t>
            </w:r>
          </w:p>
        </w:tc>
        <w:tc>
          <w:tcPr>
            <w:tcW w:w="9099" w:type="dxa"/>
            <w:tcMar>
              <w:top w:w="57" w:type="dxa"/>
              <w:bottom w:w="57" w:type="dxa"/>
            </w:tcMar>
            <w:vAlign w:val="center"/>
          </w:tcPr>
          <w:p>
            <w:pPr>
              <w:pStyle w:val="42"/>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免费保修期：附属硬件≥3年。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pPr>
              <w:spacing w:line="420" w:lineRule="exact"/>
              <w:ind w:firstLine="120" w:firstLineChars="5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19</w:t>
            </w:r>
          </w:p>
        </w:tc>
        <w:tc>
          <w:tcPr>
            <w:tcW w:w="9099" w:type="dxa"/>
            <w:tcMar>
              <w:top w:w="57" w:type="dxa"/>
              <w:bottom w:w="57" w:type="dxa"/>
            </w:tcMar>
            <w:vAlign w:val="center"/>
          </w:tcPr>
          <w:p>
            <w:pPr>
              <w:pStyle w:val="42"/>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b/>
                <w:color w:val="auto"/>
                <w:szCs w:val="24"/>
                <w:highlight w:val="none"/>
              </w:rPr>
              <w:t>政府采购强制采购：</w:t>
            </w:r>
            <w:r>
              <w:rPr>
                <w:rFonts w:hint="eastAsia" w:ascii="仿宋" w:hAnsi="仿宋" w:eastAsia="仿宋" w:cs="仿宋_GB2312"/>
                <w:color w:val="auto"/>
                <w:szCs w:val="24"/>
                <w:highlight w:val="none"/>
              </w:rPr>
              <w:t>(1)标记符号的节能产品；(2)其他。</w:t>
            </w:r>
          </w:p>
          <w:p>
            <w:pPr>
              <w:pStyle w:val="42"/>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采购最新一期《节能产品政府采购清单》的产品。</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b/>
                <w:color w:val="auto"/>
                <w:szCs w:val="24"/>
                <w:highlight w:val="none"/>
              </w:rPr>
              <w:t>政府采购优先采购：</w:t>
            </w:r>
            <w:r>
              <w:rPr>
                <w:rFonts w:hint="eastAsia" w:ascii="仿宋" w:hAnsi="仿宋" w:eastAsia="仿宋" w:cs="仿宋_GB2312"/>
                <w:color w:val="auto"/>
                <w:szCs w:val="24"/>
                <w:highlight w:val="none"/>
              </w:rPr>
              <w:t>(1)非标记符号的节能产品；(2)环境标志产品；</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采购产品为《节能产品政府采购清单》(最新期)内非标记符号的节能产品及《环境标志产品政府采购清单》(最新期)内的产品：</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7" w:hRule="atLeast"/>
          <w:jc w:val="center"/>
        </w:trPr>
        <w:tc>
          <w:tcPr>
            <w:tcW w:w="824" w:type="dxa"/>
            <w:tcMar>
              <w:top w:w="57" w:type="dxa"/>
              <w:bottom w:w="57" w:type="dxa"/>
            </w:tcMar>
            <w:vAlign w:val="center"/>
          </w:tcPr>
          <w:p>
            <w:pPr>
              <w:spacing w:line="420" w:lineRule="exact"/>
              <w:ind w:firstLine="120" w:firstLineChars="5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20</w:t>
            </w:r>
          </w:p>
        </w:tc>
        <w:tc>
          <w:tcPr>
            <w:tcW w:w="9099" w:type="dxa"/>
            <w:tcMar>
              <w:top w:w="57" w:type="dxa"/>
              <w:bottom w:w="57" w:type="dxa"/>
            </w:tcMar>
            <w:vAlign w:val="center"/>
          </w:tcPr>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特别提示：</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42"/>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4、本项目具体扣除比例为10%。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pPr>
              <w:spacing w:line="420" w:lineRule="exact"/>
              <w:ind w:firstLine="120" w:firstLineChars="5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21</w:t>
            </w:r>
          </w:p>
        </w:tc>
        <w:tc>
          <w:tcPr>
            <w:tcW w:w="9099" w:type="dxa"/>
            <w:tcMar>
              <w:top w:w="57" w:type="dxa"/>
              <w:bottom w:w="57" w:type="dxa"/>
            </w:tcMar>
            <w:vAlign w:val="center"/>
          </w:tcPr>
          <w:p>
            <w:pPr>
              <w:pStyle w:val="42"/>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rPr>
              <w:t>供应商须仔细阅读本招标文件的所有条款：</w:t>
            </w:r>
          </w:p>
          <w:p>
            <w:pPr>
              <w:pStyle w:val="42"/>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rPr>
              <w:t>1、供应商应对字体置黑的条款、注有“投标无效”字样的条款、以及商务条款中加注“*”号的条款引起重视，如不满足此类条款的规定，其后果由供应商自行承担。</w:t>
            </w:r>
          </w:p>
          <w:p>
            <w:pPr>
              <w:pStyle w:val="42"/>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rPr>
              <w:t>2、技术参数中“*”号项不是废标项，是重要技术参数。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pPr>
              <w:spacing w:line="420" w:lineRule="exact"/>
              <w:ind w:firstLine="120" w:firstLineChars="5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22</w:t>
            </w:r>
          </w:p>
        </w:tc>
        <w:tc>
          <w:tcPr>
            <w:tcW w:w="9099" w:type="dxa"/>
            <w:tcMar>
              <w:top w:w="57" w:type="dxa"/>
              <w:bottom w:w="57" w:type="dxa"/>
            </w:tcMar>
            <w:vAlign w:val="center"/>
          </w:tcPr>
          <w:p>
            <w:pPr>
              <w:pStyle w:val="42"/>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pPr>
              <w:spacing w:line="420" w:lineRule="exact"/>
              <w:ind w:firstLine="120" w:firstLineChars="5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23</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824" w:type="dxa"/>
            <w:tcMar>
              <w:top w:w="57" w:type="dxa"/>
              <w:bottom w:w="57" w:type="dxa"/>
            </w:tcMar>
            <w:vAlign w:val="center"/>
          </w:tcPr>
          <w:p>
            <w:pPr>
              <w:spacing w:line="420" w:lineRule="exact"/>
              <w:ind w:firstLine="120" w:firstLineChars="5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24</w:t>
            </w:r>
          </w:p>
        </w:tc>
        <w:tc>
          <w:tcPr>
            <w:tcW w:w="9099" w:type="dxa"/>
            <w:tcMar>
              <w:top w:w="57" w:type="dxa"/>
              <w:bottom w:w="57" w:type="dxa"/>
            </w:tcMar>
            <w:vAlign w:val="center"/>
          </w:tcPr>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银行信息：</w:t>
            </w:r>
          </w:p>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账户名称：新疆新之建工程咨询有限公司</w:t>
            </w:r>
          </w:p>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开户行名称：中国银行乌鲁木齐市青年路支行</w:t>
            </w:r>
          </w:p>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账      号：107673584569</w:t>
            </w:r>
          </w:p>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行      号：104881006022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pPr>
              <w:spacing w:line="420" w:lineRule="exact"/>
              <w:ind w:firstLine="120" w:firstLineChars="5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25</w:t>
            </w:r>
          </w:p>
        </w:tc>
        <w:tc>
          <w:tcPr>
            <w:tcW w:w="9099" w:type="dxa"/>
            <w:tcMar>
              <w:top w:w="57" w:type="dxa"/>
              <w:bottom w:w="57" w:type="dxa"/>
            </w:tcMar>
            <w:vAlign w:val="center"/>
          </w:tcPr>
          <w:p>
            <w:pPr>
              <w:pStyle w:val="41"/>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公证费：500元，由中标单位支付。</w:t>
            </w:r>
          </w:p>
          <w:p>
            <w:pPr>
              <w:pStyle w:val="41"/>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公证单位：新疆维吾尔自治区乌鲁木齐西域公证处</w:t>
            </w:r>
          </w:p>
          <w:p>
            <w:pPr>
              <w:pStyle w:val="41"/>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联系人：张女士</w:t>
            </w:r>
          </w:p>
          <w:p>
            <w:pPr>
              <w:pStyle w:val="41"/>
              <w:spacing w:line="420" w:lineRule="exact"/>
              <w:ind w:firstLine="0" w:firstLineChars="0"/>
              <w:rPr>
                <w:rFonts w:ascii="仿宋" w:hAnsi="仿宋" w:eastAsia="仿宋"/>
                <w:color w:val="auto"/>
                <w:sz w:val="24"/>
                <w:szCs w:val="24"/>
                <w:highlight w:val="none"/>
              </w:rPr>
            </w:pPr>
            <w:r>
              <w:rPr>
                <w:rFonts w:hint="eastAsia" w:ascii="仿宋" w:hAnsi="仿宋" w:eastAsia="仿宋" w:cs="仿宋"/>
                <w:color w:val="auto"/>
                <w:sz w:val="24"/>
                <w:szCs w:val="24"/>
                <w:highlight w:val="none"/>
              </w:rPr>
              <w:t>联系电话：0991-2358326</w:t>
            </w:r>
          </w:p>
        </w:tc>
      </w:tr>
    </w:tbl>
    <w:p>
      <w:pPr>
        <w:pStyle w:val="42"/>
        <w:snapToGrid w:val="0"/>
        <w:spacing w:line="312" w:lineRule="auto"/>
        <w:ind w:firstLine="560"/>
        <w:jc w:val="center"/>
        <w:rPr>
          <w:rFonts w:ascii="仿宋" w:hAnsi="仿宋" w:eastAsia="仿宋" w:cs="仿宋"/>
          <w:b/>
          <w:color w:val="auto"/>
          <w:sz w:val="36"/>
          <w:szCs w:val="36"/>
          <w:highlight w:val="none"/>
        </w:rPr>
      </w:pPr>
      <w:r>
        <w:rPr>
          <w:rFonts w:hint="eastAsia" w:ascii="仿宋" w:hAnsi="仿宋" w:eastAsia="仿宋"/>
          <w:color w:val="auto"/>
          <w:sz w:val="31"/>
          <w:highlight w:val="none"/>
        </w:rPr>
        <w:br w:type="page"/>
      </w:r>
      <w:bookmarkStart w:id="1" w:name="_Toc5987695"/>
      <w:bookmarkStart w:id="2" w:name="_Toc5896489"/>
      <w:bookmarkStart w:id="3" w:name="_Toc399523005"/>
      <w:r>
        <w:rPr>
          <w:rFonts w:hint="eastAsia" w:ascii="仿宋" w:hAnsi="仿宋" w:eastAsia="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p>
    <w:p>
      <w:pPr>
        <w:pStyle w:val="24"/>
        <w:spacing w:before="75" w:beforeAutospacing="0" w:after="75" w:afterAutospacing="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pStyle w:val="24"/>
        <w:wordWrap w:val="0"/>
        <w:spacing w:before="75" w:beforeAutospacing="0" w:after="75" w:afterAutospacing="0"/>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新疆医科大学第一附属医院昌吉分院医院信息系统建设服务项目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获取（下载）招标文件，并于2023年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rPr>
        <w:t>日11:00时（北京时间）前递交（上传）投标文件。</w:t>
      </w:r>
    </w:p>
    <w:p>
      <w:pPr>
        <w:pStyle w:val="42"/>
        <w:spacing w:line="540" w:lineRule="exact"/>
        <w:ind w:firstLine="560"/>
        <w:jc w:val="both"/>
        <w:rPr>
          <w:rFonts w:ascii="仿宋" w:hAnsi="仿宋" w:eastAsia="仿宋"/>
          <w:b/>
          <w:color w:val="auto"/>
          <w:sz w:val="28"/>
          <w:highlight w:val="none"/>
        </w:rPr>
      </w:pPr>
      <w:r>
        <w:rPr>
          <w:rStyle w:val="31"/>
          <w:rFonts w:hint="eastAsia" w:ascii="仿宋" w:hAnsi="仿宋" w:eastAsia="仿宋" w:cs="仿宋"/>
          <w:color w:val="auto"/>
          <w:sz w:val="28"/>
          <w:szCs w:val="28"/>
          <w:highlight w:val="none"/>
        </w:rPr>
        <w:t>一、</w:t>
      </w:r>
      <w:r>
        <w:rPr>
          <w:rFonts w:hint="eastAsia" w:ascii="仿宋" w:hAnsi="仿宋" w:eastAsia="仿宋"/>
          <w:b/>
          <w:color w:val="auto"/>
          <w:sz w:val="28"/>
          <w:highlight w:val="none"/>
        </w:rPr>
        <w:t>项目基本情况</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项目编号：2341xzjk005</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项目名称：新疆医科大学第一附属医院昌吉分院医院信息系统建设服务项目</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采购方式：公开招标</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预算金额（元）：10000000.00</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最高限价（元）：/</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采购需求：</w:t>
      </w:r>
    </w:p>
    <w:p>
      <w:pPr>
        <w:pStyle w:val="42"/>
        <w:spacing w:line="540" w:lineRule="exact"/>
        <w:ind w:firstLine="560"/>
        <w:jc w:val="both"/>
        <w:rPr>
          <w:rFonts w:ascii="仿宋" w:hAnsi="仿宋" w:eastAsia="仿宋"/>
          <w:color w:val="auto"/>
          <w:sz w:val="28"/>
          <w:highlight w:val="none"/>
        </w:rPr>
      </w:pP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标项一：</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标项名称：医院信息系统建设服务</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数量：1项</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预算金额（元）：10000000.00</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简要规格描述</w:t>
      </w:r>
      <w:r>
        <w:rPr>
          <w:rFonts w:ascii="仿宋" w:hAnsi="仿宋" w:eastAsia="仿宋" w:cs="仿宋"/>
          <w:color w:val="auto"/>
          <w:sz w:val="27"/>
          <w:szCs w:val="27"/>
          <w:highlight w:val="none"/>
        </w:rPr>
        <w:t>或项目基本概况介绍、用途</w:t>
      </w:r>
      <w:r>
        <w:rPr>
          <w:rFonts w:hint="eastAsia" w:ascii="仿宋" w:hAnsi="仿宋" w:eastAsia="仿宋"/>
          <w:color w:val="auto"/>
          <w:sz w:val="28"/>
          <w:highlight w:val="none"/>
        </w:rPr>
        <w:t>：具体采购要求详见招标文件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备注：</w:t>
      </w:r>
    </w:p>
    <w:p>
      <w:pPr>
        <w:pStyle w:val="42"/>
        <w:spacing w:line="540" w:lineRule="exact"/>
        <w:ind w:firstLine="560"/>
        <w:jc w:val="both"/>
        <w:rPr>
          <w:rFonts w:ascii="仿宋" w:hAnsi="仿宋" w:eastAsia="仿宋"/>
          <w:color w:val="auto"/>
          <w:sz w:val="28"/>
          <w:highlight w:val="none"/>
        </w:rPr>
      </w:pP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合同履约期限：120个工作日。</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本项目不接受联合体投标。</w:t>
      </w:r>
    </w:p>
    <w:p>
      <w:pPr>
        <w:pStyle w:val="42"/>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二、申请人的资格要求：</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（1）满足《中华人民共和国政府采购法》第二十二条规定；</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（2）落实政府采购政策需满足的资格要求：</w:t>
      </w:r>
    </w:p>
    <w:p>
      <w:pPr>
        <w:pStyle w:val="42"/>
        <w:spacing w:line="540" w:lineRule="exact"/>
        <w:ind w:firstLine="560"/>
        <w:jc w:val="both"/>
        <w:rPr>
          <w:rFonts w:ascii="仿宋" w:hAnsi="仿宋" w:eastAsia="仿宋"/>
          <w:color w:val="auto"/>
          <w:sz w:val="28"/>
          <w:highlight w:val="none"/>
        </w:rPr>
      </w:pPr>
      <w:r>
        <w:rPr>
          <w:rFonts w:ascii="Calibri" w:hAnsi="Calibri" w:eastAsia="仿宋" w:cs="Calibri"/>
          <w:color w:val="auto"/>
          <w:sz w:val="28"/>
          <w:highlight w:val="none"/>
        </w:rPr>
        <w:t>①</w:t>
      </w:r>
      <w:r>
        <w:rPr>
          <w:rFonts w:hint="eastAsia" w:ascii="仿宋" w:hAnsi="仿宋" w:eastAsia="仿宋"/>
          <w:color w:val="auto"/>
          <w:sz w:val="28"/>
          <w:highlight w:val="none"/>
        </w:rPr>
        <w:t>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42"/>
        <w:spacing w:line="540" w:lineRule="exact"/>
        <w:ind w:firstLine="560"/>
        <w:jc w:val="both"/>
        <w:rPr>
          <w:rFonts w:ascii="仿宋" w:hAnsi="仿宋" w:eastAsia="仿宋"/>
          <w:color w:val="auto"/>
          <w:sz w:val="28"/>
          <w:highlight w:val="none"/>
        </w:rPr>
      </w:pPr>
      <w:r>
        <w:rPr>
          <w:rFonts w:ascii="Calibri" w:hAnsi="Calibri" w:eastAsia="仿宋" w:cs="Calibri"/>
          <w:color w:val="auto"/>
          <w:sz w:val="28"/>
          <w:highlight w:val="none"/>
        </w:rPr>
        <w:t>②</w:t>
      </w:r>
      <w:r>
        <w:rPr>
          <w:rFonts w:hint="eastAsia" w:ascii="仿宋" w:hAnsi="仿宋" w:eastAsia="仿宋"/>
          <w:color w:val="auto"/>
          <w:sz w:val="28"/>
          <w:highlight w:val="none"/>
        </w:rPr>
        <w:t>监狱企业及残疾人福利性单位视同小型、微型企业，享受预留份额、评审中价格扣除等政府采购促进中小企业发展的政府采购政策。</w:t>
      </w:r>
    </w:p>
    <w:p>
      <w:pPr>
        <w:pStyle w:val="42"/>
        <w:spacing w:line="540" w:lineRule="exact"/>
        <w:ind w:firstLine="560"/>
        <w:jc w:val="both"/>
        <w:rPr>
          <w:rFonts w:ascii="Calibri" w:hAnsi="Calibri" w:eastAsia="仿宋" w:cs="Calibri"/>
          <w:color w:val="auto"/>
          <w:sz w:val="28"/>
          <w:highlight w:val="none"/>
        </w:rPr>
      </w:pPr>
      <w:r>
        <w:rPr>
          <w:rFonts w:ascii="Calibri" w:hAnsi="Calibri" w:eastAsia="仿宋" w:cs="Calibri"/>
          <w:color w:val="auto"/>
          <w:sz w:val="28"/>
          <w:highlight w:val="none"/>
        </w:rPr>
        <w:t>③</w:t>
      </w:r>
      <w:r>
        <w:rPr>
          <w:rFonts w:hint="eastAsia" w:ascii="Calibri" w:hAnsi="Calibri" w:eastAsia="仿宋" w:cs="Calibri"/>
          <w:color w:val="auto"/>
          <w:sz w:val="28"/>
          <w:highlight w:val="none"/>
        </w:rPr>
        <w:t>中华人民共和国财政部、中华人民共和国工业和信息化部《政府采购促进中小企业发展管理办法》（财库〔2020〕46号）文件、《关于落实好政府采购支持中小企业发展的通知》（新财购〔2022〕22号）文件的规定。</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（3）有效的工商营业执照副本、税务登记证副本、组织机构代码证副本或“三证合一”的营业执照副本。</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（4）法定代表人投标需提供法定代表人证明书（原件）及法定代表人身份证（原件），委托代理人投标需提供法定代表人授权委托书（原件）及委托代理人身份证（原件）。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2"/>
        <w:wordWrap w:val="0"/>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（6）投标人在“信用中国”（www.creditchina.gov.cn）未被列入重大税收违法失信主体、“中国执行信息公开网”（http://zxgk.court.gov.cn/）未被列入失信被执行人、“中国政府采购网”（www</w:t>
      </w:r>
      <w:bookmarkStart w:id="45" w:name="_GoBack"/>
      <w:bookmarkEnd w:id="45"/>
      <w:r>
        <w:rPr>
          <w:rFonts w:hint="eastAsia" w:ascii="仿宋" w:hAnsi="仿宋" w:eastAsia="仿宋"/>
          <w:color w:val="auto"/>
          <w:sz w:val="28"/>
          <w:highlight w:val="none"/>
        </w:rPr>
        <w:t>.ccgp.gov.cn）网站上未被列入政府采购严重违法失信行为记录名单。</w:t>
      </w:r>
    </w:p>
    <w:p>
      <w:pPr>
        <w:pStyle w:val="42"/>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三、获取招标文件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时间：2023年</w:t>
      </w:r>
      <w:r>
        <w:rPr>
          <w:rFonts w:hint="eastAsia" w:ascii="仿宋" w:hAnsi="仿宋" w:eastAsia="仿宋"/>
          <w:color w:val="auto"/>
          <w:sz w:val="28"/>
          <w:highlight w:val="none"/>
          <w:lang w:val="en-US" w:eastAsia="zh-CN"/>
        </w:rPr>
        <w:t>06</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12</w:t>
      </w:r>
      <w:r>
        <w:rPr>
          <w:rFonts w:hint="eastAsia" w:ascii="仿宋" w:hAnsi="仿宋" w:eastAsia="仿宋"/>
          <w:color w:val="auto"/>
          <w:sz w:val="28"/>
          <w:highlight w:val="none"/>
        </w:rPr>
        <w:t>日至2023年</w:t>
      </w:r>
      <w:r>
        <w:rPr>
          <w:rFonts w:hint="eastAsia" w:ascii="仿宋" w:hAnsi="仿宋" w:eastAsia="仿宋"/>
          <w:color w:val="auto"/>
          <w:sz w:val="28"/>
          <w:highlight w:val="none"/>
          <w:lang w:val="en-US" w:eastAsia="zh-CN"/>
        </w:rPr>
        <w:t>06</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19</w:t>
      </w:r>
      <w:r>
        <w:rPr>
          <w:rFonts w:hint="eastAsia" w:ascii="仿宋" w:hAnsi="仿宋" w:eastAsia="仿宋"/>
          <w:color w:val="auto"/>
          <w:sz w:val="28"/>
          <w:highlight w:val="none"/>
        </w:rPr>
        <w:t>日，每天上午10:</w:t>
      </w:r>
      <w:r>
        <w:rPr>
          <w:rFonts w:ascii="仿宋" w:hAnsi="仿宋" w:eastAsia="仿宋"/>
          <w:color w:val="auto"/>
          <w:sz w:val="28"/>
          <w:highlight w:val="none"/>
        </w:rPr>
        <w:t>0</w:t>
      </w:r>
      <w:r>
        <w:rPr>
          <w:rFonts w:hint="eastAsia" w:ascii="仿宋" w:hAnsi="仿宋" w:eastAsia="仿宋"/>
          <w:color w:val="auto"/>
          <w:sz w:val="28"/>
          <w:highlight w:val="none"/>
        </w:rPr>
        <w:t>0至13:00，下午15:30至18:</w:t>
      </w:r>
      <w:r>
        <w:rPr>
          <w:rFonts w:ascii="仿宋" w:hAnsi="仿宋" w:eastAsia="仿宋"/>
          <w:color w:val="auto"/>
          <w:sz w:val="28"/>
          <w:highlight w:val="none"/>
        </w:rPr>
        <w:t>0</w:t>
      </w:r>
      <w:r>
        <w:rPr>
          <w:rFonts w:hint="eastAsia" w:ascii="仿宋" w:hAnsi="仿宋" w:eastAsia="仿宋"/>
          <w:color w:val="auto"/>
          <w:sz w:val="28"/>
          <w:highlight w:val="none"/>
        </w:rPr>
        <w:t>0（北京时间，法定节假日除外）</w:t>
      </w:r>
    </w:p>
    <w:p>
      <w:pPr>
        <w:pStyle w:val="42"/>
        <w:spacing w:line="540" w:lineRule="exact"/>
        <w:ind w:firstLine="560"/>
        <w:jc w:val="both"/>
        <w:rPr>
          <w:rFonts w:ascii="仿宋" w:hAnsi="仿宋" w:eastAsia="仿宋" w:cs="仿宋"/>
          <w:color w:val="auto"/>
          <w:sz w:val="28"/>
          <w:highlight w:val="none"/>
        </w:rPr>
      </w:pPr>
      <w:r>
        <w:rPr>
          <w:rFonts w:hint="eastAsia" w:ascii="仿宋" w:hAnsi="仿宋" w:eastAsia="仿宋"/>
          <w:color w:val="auto"/>
          <w:sz w:val="28"/>
          <w:highlight w:val="none"/>
        </w:rPr>
        <w:t>地点：</w:t>
      </w:r>
      <w:r>
        <w:rPr>
          <w:rFonts w:hint="eastAsia" w:ascii="仿宋" w:hAnsi="仿宋" w:eastAsia="仿宋" w:cs="仿宋"/>
          <w:color w:val="auto"/>
          <w:sz w:val="28"/>
          <w:highlight w:val="none"/>
        </w:rPr>
        <w:t>供应商登录政采云平台https://www.zcygov.cn/在线申请获取采购文件（进入“项目采购”应用，在获取采购文件菜单中选择项目，申请获取采购文件）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方式：</w:t>
      </w:r>
      <w:r>
        <w:rPr>
          <w:rFonts w:hint="eastAsia" w:ascii="仿宋" w:hAnsi="仿宋" w:eastAsia="仿宋" w:cs="仿宋"/>
          <w:color w:val="auto"/>
          <w:sz w:val="28"/>
          <w:highlight w:val="none"/>
        </w:rPr>
        <w:t>线上获取。</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售价（元）：</w:t>
      </w:r>
      <w:r>
        <w:rPr>
          <w:rFonts w:hint="eastAsia" w:ascii="仿宋" w:hAnsi="仿宋" w:eastAsia="仿宋" w:cs="仿宋"/>
          <w:color w:val="auto"/>
          <w:sz w:val="28"/>
          <w:highlight w:val="none"/>
        </w:rPr>
        <w:t>0元/份。</w:t>
      </w:r>
    </w:p>
    <w:p>
      <w:pPr>
        <w:pStyle w:val="42"/>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四、提交投标文件截止时间、开标时间和地点</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提交投标文件截止时间：2023年</w:t>
      </w:r>
      <w:r>
        <w:rPr>
          <w:rFonts w:hint="eastAsia" w:ascii="仿宋" w:hAnsi="仿宋" w:eastAsia="仿宋"/>
          <w:color w:val="auto"/>
          <w:sz w:val="28"/>
          <w:highlight w:val="none"/>
          <w:lang w:val="en-US" w:eastAsia="zh-CN"/>
        </w:rPr>
        <w:t>07</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03</w:t>
      </w:r>
      <w:r>
        <w:rPr>
          <w:rFonts w:hint="eastAsia" w:ascii="仿宋" w:hAnsi="仿宋" w:eastAsia="仿宋"/>
          <w:color w:val="auto"/>
          <w:sz w:val="28"/>
          <w:highlight w:val="none"/>
        </w:rPr>
        <w:t>日11:00（北京时间）</w:t>
      </w:r>
    </w:p>
    <w:p>
      <w:pPr>
        <w:pStyle w:val="42"/>
        <w:spacing w:line="540" w:lineRule="exact"/>
        <w:ind w:firstLine="560"/>
        <w:jc w:val="both"/>
        <w:rPr>
          <w:rFonts w:ascii="仿宋" w:hAnsi="仿宋" w:eastAsia="仿宋" w:cs="仿宋"/>
          <w:color w:val="auto"/>
          <w:sz w:val="28"/>
          <w:highlight w:val="none"/>
        </w:rPr>
      </w:pPr>
      <w:r>
        <w:rPr>
          <w:rFonts w:hint="eastAsia" w:ascii="仿宋" w:hAnsi="仿宋" w:eastAsia="仿宋"/>
          <w:color w:val="auto"/>
          <w:sz w:val="28"/>
          <w:highlight w:val="none"/>
        </w:rPr>
        <w:t>投标地点：政采云</w:t>
      </w:r>
      <w:r>
        <w:rPr>
          <w:rFonts w:hint="eastAsia" w:ascii="仿宋" w:hAnsi="仿宋" w:eastAsia="仿宋" w:cs="仿宋"/>
          <w:color w:val="auto"/>
          <w:sz w:val="28"/>
          <w:highlight w:val="none"/>
        </w:rPr>
        <w:t>www.zcygov.cn，逾期上传的投标文件将被拒收。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开标时间：2023年</w:t>
      </w:r>
      <w:r>
        <w:rPr>
          <w:rFonts w:hint="eastAsia" w:ascii="仿宋" w:hAnsi="仿宋" w:eastAsia="仿宋"/>
          <w:color w:val="auto"/>
          <w:sz w:val="28"/>
          <w:highlight w:val="none"/>
          <w:lang w:val="en-US" w:eastAsia="zh-CN"/>
        </w:rPr>
        <w:t>07</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03</w:t>
      </w:r>
      <w:r>
        <w:rPr>
          <w:rFonts w:hint="eastAsia" w:ascii="仿宋" w:hAnsi="仿宋" w:eastAsia="仿宋"/>
          <w:color w:val="auto"/>
          <w:sz w:val="28"/>
          <w:highlight w:val="none"/>
        </w:rPr>
        <w:t>日11:00（北京时间）</w:t>
      </w:r>
    </w:p>
    <w:p>
      <w:pPr>
        <w:pStyle w:val="42"/>
        <w:spacing w:line="540" w:lineRule="exact"/>
        <w:ind w:firstLine="560"/>
        <w:jc w:val="both"/>
        <w:rPr>
          <w:rFonts w:ascii="仿宋" w:hAnsi="仿宋" w:eastAsia="仿宋" w:cs="仿宋"/>
          <w:color w:val="auto"/>
          <w:sz w:val="28"/>
          <w:highlight w:val="none"/>
        </w:rPr>
      </w:pPr>
      <w:r>
        <w:rPr>
          <w:rFonts w:hint="eastAsia" w:ascii="仿宋" w:hAnsi="仿宋" w:eastAsia="仿宋"/>
          <w:color w:val="auto"/>
          <w:sz w:val="28"/>
          <w:highlight w:val="none"/>
        </w:rPr>
        <w:t>开标地点：政采云</w:t>
      </w:r>
      <w:r>
        <w:rPr>
          <w:rFonts w:hint="eastAsia" w:ascii="仿宋" w:hAnsi="仿宋" w:eastAsia="仿宋" w:cs="仿宋"/>
          <w:color w:val="auto"/>
          <w:sz w:val="28"/>
          <w:highlight w:val="none"/>
        </w:rPr>
        <w:t>www.zcygov.cn，逾期上传的投标文件将被拒收。</w:t>
      </w:r>
    </w:p>
    <w:p>
      <w:pPr>
        <w:pStyle w:val="42"/>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五、公告期限</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自本公告发布之日起5个工作日。</w:t>
      </w:r>
    </w:p>
    <w:p>
      <w:pPr>
        <w:pStyle w:val="42"/>
        <w:numPr>
          <w:ilvl w:val="0"/>
          <w:numId w:val="1"/>
        </w:numPr>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其他补充事宜</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1、本项目实行网上投标，采用电子投标文件，若供应商参与投标，自行承担投标一切费用。</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3、供应商开标时无需到达现场，远程解密，开标。</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4、未办理CA的供应商可自主通过新疆CA申领渠道“新疆政务通”申请政采云平台可使用的CA设备，如原有兵团或公共资源使用的CA，可与新疆CA联系，申请增加电子证书即可，无需重复申领。</w:t>
      </w:r>
    </w:p>
    <w:p>
      <w:pPr>
        <w:pStyle w:val="42"/>
        <w:wordWrap w:val="0"/>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5、供应商将政采云电子交易客户端下载、安装完成后，可通过账号密码或CA登录客户端进行投标文件制作。在使用政采云响应客户端时，建议使用WIN7及以上操作系统。客户端请至新疆政府采购网（http://www.ccgp-xinjiang.gov.cn/）下载专区查看，如有问题可拨打政采云客户服务热线95763进行咨询。</w:t>
      </w:r>
    </w:p>
    <w:p>
      <w:pPr>
        <w:pStyle w:val="42"/>
        <w:spacing w:line="52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特别提示：</w:t>
      </w:r>
    </w:p>
    <w:p>
      <w:pPr>
        <w:pStyle w:val="42"/>
        <w:spacing w:line="52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pPr>
        <w:pStyle w:val="42"/>
        <w:spacing w:line="52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42"/>
        <w:spacing w:line="520" w:lineRule="exact"/>
        <w:ind w:firstLine="561"/>
        <w:jc w:val="both"/>
        <w:rPr>
          <w:rFonts w:ascii="仿宋" w:hAnsi="仿宋" w:eastAsia="仿宋"/>
          <w:b/>
          <w:bCs/>
          <w:color w:val="auto"/>
          <w:sz w:val="28"/>
          <w:highlight w:val="none"/>
        </w:rPr>
      </w:pPr>
      <w:r>
        <w:rPr>
          <w:rFonts w:hint="eastAsia" w:ascii="仿宋" w:hAnsi="仿宋" w:eastAsia="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42"/>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七、对本次采购提出询问，请按以下方式联系</w:t>
      </w:r>
    </w:p>
    <w:p>
      <w:pPr>
        <w:pStyle w:val="42"/>
        <w:spacing w:line="46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1.采购人信息</w:t>
      </w:r>
    </w:p>
    <w:p>
      <w:pPr>
        <w:pStyle w:val="42"/>
        <w:spacing w:line="46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名 称：</w:t>
      </w:r>
      <w:r>
        <w:rPr>
          <w:rFonts w:hint="eastAsia" w:ascii="仿宋" w:hAnsi="仿宋" w:eastAsia="仿宋" w:cs="仿宋"/>
          <w:color w:val="auto"/>
          <w:sz w:val="27"/>
          <w:szCs w:val="27"/>
          <w:highlight w:val="none"/>
        </w:rPr>
        <w:t>新疆医科大学第一附属医院昌吉分院</w:t>
      </w:r>
    </w:p>
    <w:p>
      <w:pPr>
        <w:pStyle w:val="42"/>
        <w:spacing w:line="46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地 址：昌吉回族自治州昌吉市青年南路743号</w:t>
      </w:r>
    </w:p>
    <w:p>
      <w:pPr>
        <w:pStyle w:val="42"/>
        <w:spacing w:line="46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联系电话：</w:t>
      </w:r>
      <w:r>
        <w:rPr>
          <w:rFonts w:hint="eastAsia" w:ascii="仿宋" w:hAnsi="仿宋" w:eastAsia="仿宋" w:cs="仿宋"/>
          <w:color w:val="auto"/>
          <w:sz w:val="27"/>
          <w:szCs w:val="27"/>
          <w:highlight w:val="none"/>
        </w:rPr>
        <w:t>0994-8185645</w:t>
      </w:r>
    </w:p>
    <w:p>
      <w:pPr>
        <w:pStyle w:val="42"/>
        <w:spacing w:line="500" w:lineRule="exact"/>
        <w:ind w:firstLine="561"/>
        <w:jc w:val="both"/>
        <w:rPr>
          <w:rFonts w:ascii="仿宋" w:hAnsi="仿宋" w:eastAsia="仿宋"/>
          <w:color w:val="auto"/>
          <w:sz w:val="28"/>
          <w:highlight w:val="none"/>
        </w:rPr>
      </w:pPr>
    </w:p>
    <w:p>
      <w:pPr>
        <w:pStyle w:val="42"/>
        <w:spacing w:line="46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2.采购代理机构信息</w:t>
      </w:r>
    </w:p>
    <w:p>
      <w:pPr>
        <w:pStyle w:val="42"/>
        <w:spacing w:line="46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名 称：新疆新之建工程咨询有限公司</w:t>
      </w:r>
    </w:p>
    <w:p>
      <w:pPr>
        <w:pStyle w:val="42"/>
        <w:spacing w:line="46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地 址：新疆乌鲁木齐市沙依巴克区公园北街162号文苑综合楼七楼</w:t>
      </w:r>
    </w:p>
    <w:p>
      <w:pPr>
        <w:pStyle w:val="42"/>
        <w:spacing w:line="46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项目联系人：吴坤  李雪  刘硕</w:t>
      </w:r>
    </w:p>
    <w:p>
      <w:pPr>
        <w:pStyle w:val="42"/>
        <w:spacing w:line="500" w:lineRule="exact"/>
        <w:ind w:firstLine="561"/>
        <w:jc w:val="both"/>
        <w:rPr>
          <w:rFonts w:eastAsia="仿宋"/>
          <w:color w:val="auto"/>
          <w:highlight w:val="none"/>
        </w:rPr>
      </w:pPr>
      <w:r>
        <w:rPr>
          <w:rFonts w:hint="eastAsia" w:ascii="仿宋" w:hAnsi="仿宋" w:eastAsia="仿宋"/>
          <w:color w:val="auto"/>
          <w:sz w:val="28"/>
          <w:highlight w:val="none"/>
        </w:rPr>
        <w:t xml:space="preserve">联系方式：0991-8852519 </w:t>
      </w:r>
    </w:p>
    <w:p>
      <w:pPr>
        <w:rPr>
          <w:rFonts w:ascii="仿宋" w:hAnsi="仿宋" w:eastAsia="仿宋"/>
          <w:b/>
          <w:bCs/>
          <w:color w:val="auto"/>
          <w:sz w:val="36"/>
          <w:highlight w:val="none"/>
        </w:rPr>
      </w:pPr>
      <w:r>
        <w:rPr>
          <w:rFonts w:hint="eastAsia" w:ascii="仿宋" w:hAnsi="仿宋" w:eastAsia="仿宋"/>
          <w:b/>
          <w:bCs/>
          <w:color w:val="auto"/>
          <w:sz w:val="36"/>
          <w:highlight w:val="none"/>
        </w:rPr>
        <w:br w:type="page"/>
      </w:r>
    </w:p>
    <w:p>
      <w:pPr>
        <w:pStyle w:val="42"/>
        <w:snapToGrid w:val="0"/>
        <w:spacing w:line="312" w:lineRule="auto"/>
        <w:ind w:firstLine="720" w:firstLineChars="200"/>
        <w:jc w:val="center"/>
        <w:rPr>
          <w:rFonts w:ascii="仿宋" w:hAnsi="仿宋" w:eastAsia="仿宋"/>
          <w:b/>
          <w:bCs/>
          <w:color w:val="auto"/>
          <w:sz w:val="36"/>
          <w:highlight w:val="none"/>
        </w:rPr>
      </w:pPr>
      <w:r>
        <w:rPr>
          <w:rFonts w:hint="eastAsia" w:ascii="仿宋" w:hAnsi="仿宋" w:eastAsia="仿宋"/>
          <w:b/>
          <w:bCs/>
          <w:color w:val="auto"/>
          <w:sz w:val="36"/>
          <w:highlight w:val="none"/>
        </w:rPr>
        <w:t>第二章  投 标 须 知</w:t>
      </w:r>
      <w:bookmarkEnd w:id="1"/>
      <w:bookmarkEnd w:id="2"/>
    </w:p>
    <w:p>
      <w:pPr>
        <w:pStyle w:val="43"/>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一、总 则</w:t>
      </w:r>
    </w:p>
    <w:p>
      <w:pPr>
        <w:pStyle w:val="42"/>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 合格的供应商</w:t>
      </w:r>
    </w:p>
    <w:p>
      <w:pPr>
        <w:pStyle w:val="42"/>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42"/>
        <w:spacing w:line="54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1.2 凡参加投标的制造商必须具有国际或国内相应的招标货物制造资质等级，信誉可靠，且应具有履行本招标文件规定的有关义务的能力。</w:t>
      </w:r>
    </w:p>
    <w:p>
      <w:pPr>
        <w:pStyle w:val="42"/>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1.3 供应商在本次招标活动中，必须遵循《中华人民共和国政府采购法》及其实施条例（658号令）、《政府采购货物和服务招标投标管理办法》（财政部87号令）的规定。</w:t>
      </w:r>
    </w:p>
    <w:p>
      <w:pPr>
        <w:pStyle w:val="42"/>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1.4 本项目不接受联合体投标。</w:t>
      </w:r>
    </w:p>
    <w:p>
      <w:pPr>
        <w:pStyle w:val="42"/>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1.5 不符合1.1、1.2、1.3、1.4条款规定的供应商，其投标将被拒绝。</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 定义</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2.1“采购代理机构”系指新疆新之建工程咨询有限公司。</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2.2“供应商”系指向采购代理机构提交投标文件的货物制造商、经销商。</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2.3“货物”系指卖方按合同要求，须向买方提供的设计文件、货物、机械、材料、备品、手册及其他技术资料和材料。</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2.4“服务”系指按合同规定卖方须承担的运输、装卸、安装调试、技术协助、培训和交付使用后质保期内应履行的义务及售后服务等其他类似的义务。</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2.5“卖方”系指提供合同货物和服务的经济实体。本次招标指有关中标人。</w:t>
      </w:r>
    </w:p>
    <w:p>
      <w:pPr>
        <w:pStyle w:val="42"/>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2.6“买方”系指购买货物和服务的单位，即为本次招标的采购人。</w:t>
      </w:r>
    </w:p>
    <w:p>
      <w:pPr>
        <w:pStyle w:val="42"/>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2.7“节能产品”或者“环保产品”是指财政部发布的《节能产品政府采购清单》或者《环境标志产品政府采购清单》的产品。</w:t>
      </w:r>
    </w:p>
    <w:p>
      <w:pPr>
        <w:pStyle w:val="42"/>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42"/>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 其他要求</w:t>
      </w:r>
    </w:p>
    <w:p>
      <w:pPr>
        <w:pStyle w:val="42"/>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3.1 供应商应自行承担所有与本次招标投标有关的费用，而不论投标的结果如何。</w:t>
      </w:r>
    </w:p>
    <w:p>
      <w:pPr>
        <w:pStyle w:val="42"/>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 政府采购政策支持</w:t>
      </w:r>
    </w:p>
    <w:p>
      <w:pPr>
        <w:pStyle w:val="42"/>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42"/>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3.2.2 同一项目中部分产品属于优先采购政策的，评审时只对该部分产品的报价实行价格优惠。</w:t>
      </w:r>
    </w:p>
    <w:p>
      <w:pPr>
        <w:pStyle w:val="42"/>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3.2.3 为推进政府采购诚信体系建设，供应商在签署相关承诺，提供相关信息前，应认真阅读财政部门相关政策规定。</w:t>
      </w:r>
    </w:p>
    <w:p>
      <w:pPr>
        <w:pStyle w:val="43"/>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二、 招 标 文 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 招标文件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4.1 招标文件用以阐明所需货物和服务、招标投标程序和合同条款。包括：</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投标须知前附表</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第一章  招标公告</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第二章  投标须知</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第三章  招标内容及技术要求</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第四章  合同主要条款</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附件：（投标书格式）</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附件七 投标产品名称、数量、规格明细报价表</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商务所有条款偏离表</w:t>
      </w:r>
    </w:p>
    <w:p>
      <w:pPr>
        <w:pStyle w:val="42"/>
        <w:spacing w:line="540" w:lineRule="exact"/>
        <w:ind w:firstLine="560"/>
        <w:rPr>
          <w:rFonts w:hint="eastAsia" w:ascii="仿宋" w:hAnsi="仿宋" w:eastAsia="仿宋"/>
          <w:color w:val="auto"/>
          <w:sz w:val="28"/>
          <w:highlight w:val="none"/>
          <w:lang w:eastAsia="zh-CN"/>
        </w:rPr>
      </w:pPr>
      <w:r>
        <w:rPr>
          <w:rFonts w:hint="eastAsia" w:ascii="仿宋" w:hAnsi="仿宋" w:eastAsia="仿宋"/>
          <w:color w:val="auto"/>
          <w:sz w:val="28"/>
          <w:highlight w:val="none"/>
        </w:rPr>
        <w:t xml:space="preserve">附件十 </w:t>
      </w:r>
      <w:r>
        <w:rPr>
          <w:rFonts w:hint="eastAsia" w:ascii="仿宋" w:hAnsi="仿宋" w:eastAsia="仿宋"/>
          <w:color w:val="auto"/>
          <w:sz w:val="28"/>
          <w:highlight w:val="none"/>
          <w:lang w:eastAsia="zh-CN"/>
        </w:rPr>
        <w:t>近五年同类项目案例表</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附件十一 中小企业声明函(工程、服务)</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 招标文件的澄清和修改</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pPr>
        <w:pStyle w:val="43"/>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三、投标文件的编制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 投标文件的编写</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6.1 供应商应仔细阅读招标文件，了解招标文件的要求，并在充分理解招标文件提出的货物技术规范、服务和商务条款后的基础上制作投标文件。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 投标的语言及计量单位</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7.2 投标文件中所使用的计量单位除招标文件中有特殊规定外，一律使用法定计量单位。</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 投标文件构成</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8.1.1 资格证明文件(以下文件必须在有效期内)</w:t>
      </w:r>
    </w:p>
    <w:p>
      <w:pPr>
        <w:pStyle w:val="41"/>
        <w:spacing w:line="500" w:lineRule="exact"/>
        <w:ind w:firstLine="562"/>
        <w:rPr>
          <w:rFonts w:ascii="仿宋" w:hAnsi="仿宋" w:eastAsia="仿宋"/>
          <w:b/>
          <w:color w:val="auto"/>
          <w:highlight w:val="none"/>
        </w:rPr>
      </w:pPr>
      <w:r>
        <w:rPr>
          <w:rFonts w:hint="eastAsia" w:ascii="仿宋" w:hAnsi="仿宋" w:eastAsia="仿宋"/>
          <w:b/>
          <w:color w:val="auto"/>
          <w:highlight w:val="none"/>
        </w:rPr>
        <w:t>(1)供应商须具有有效的工商营业执照副本、税务登记证副本、组织机构代码证副本或“三证合一”的营业执照副本。</w:t>
      </w:r>
    </w:p>
    <w:p>
      <w:pPr>
        <w:pStyle w:val="41"/>
        <w:spacing w:line="500" w:lineRule="exact"/>
        <w:ind w:firstLine="562"/>
        <w:rPr>
          <w:rFonts w:ascii="仿宋" w:hAnsi="仿宋" w:eastAsia="仿宋"/>
          <w:b/>
          <w:color w:val="auto"/>
          <w:highlight w:val="none"/>
        </w:rPr>
      </w:pPr>
      <w:r>
        <w:rPr>
          <w:rFonts w:hint="eastAsia" w:ascii="仿宋" w:hAnsi="仿宋" w:eastAsia="仿宋"/>
          <w:b/>
          <w:color w:val="auto"/>
          <w:highlight w:val="none"/>
        </w:rPr>
        <w:t>(2)</w:t>
      </w:r>
      <w:r>
        <w:rPr>
          <w:rFonts w:hint="eastAsia" w:ascii="仿宋" w:hAnsi="仿宋" w:eastAsia="仿宋" w:cs="仿宋"/>
          <w:b/>
          <w:color w:val="auto"/>
          <w:highlight w:val="none"/>
        </w:rPr>
        <w:t>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b/>
          <w:color w:val="auto"/>
          <w:highlight w:val="none"/>
        </w:rPr>
        <w:t>。</w:t>
      </w:r>
    </w:p>
    <w:p>
      <w:pPr>
        <w:pStyle w:val="41"/>
        <w:spacing w:line="520" w:lineRule="exact"/>
        <w:ind w:firstLine="562"/>
        <w:rPr>
          <w:rFonts w:ascii="仿宋" w:hAnsi="仿宋" w:eastAsia="仿宋"/>
          <w:b/>
          <w:color w:val="auto"/>
          <w:highlight w:val="none"/>
        </w:rPr>
      </w:pPr>
      <w:r>
        <w:rPr>
          <w:rFonts w:hint="eastAsia" w:ascii="仿宋" w:hAnsi="仿宋" w:eastAsia="仿宋"/>
          <w:b/>
          <w:color w:val="auto"/>
          <w:highlight w:val="none"/>
        </w:rPr>
        <w:t>(</w:t>
      </w:r>
      <w:r>
        <w:rPr>
          <w:rFonts w:hint="eastAsia" w:ascii="仿宋" w:hAnsi="仿宋" w:eastAsia="仿宋"/>
          <w:b/>
          <w:color w:val="auto"/>
          <w:highlight w:val="none"/>
          <w:lang w:val="en-US" w:eastAsia="zh-CN"/>
        </w:rPr>
        <w:t>3</w:t>
      </w:r>
      <w:r>
        <w:rPr>
          <w:rFonts w:hint="eastAsia" w:ascii="仿宋" w:hAnsi="仿宋" w:eastAsia="仿宋"/>
          <w:b/>
          <w:color w:val="auto"/>
          <w:highlight w:val="none"/>
        </w:rPr>
        <w:t>)</w:t>
      </w:r>
      <w:r>
        <w:rPr>
          <w:rFonts w:hint="eastAsia" w:ascii="仿宋" w:hAnsi="仿宋" w:eastAsia="仿宋" w:cs="仿宋"/>
          <w:b/>
          <w:bCs/>
          <w:color w:val="auto"/>
          <w:highlight w:val="none"/>
        </w:rPr>
        <w:t>供应商“信用中国”网站(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pPr>
        <w:pStyle w:val="41"/>
        <w:spacing w:line="500" w:lineRule="exact"/>
        <w:ind w:firstLine="562"/>
        <w:rPr>
          <w:rFonts w:ascii="仿宋" w:hAnsi="仿宋" w:eastAsia="仿宋"/>
          <w:b/>
          <w:color w:val="auto"/>
          <w:highlight w:val="none"/>
        </w:rPr>
      </w:pPr>
      <w:r>
        <w:rPr>
          <w:rFonts w:hint="eastAsia" w:ascii="仿宋" w:hAnsi="仿宋" w:eastAsia="仿宋"/>
          <w:b/>
          <w:color w:val="auto"/>
          <w:highlight w:val="none"/>
        </w:rPr>
        <w:t>(</w:t>
      </w:r>
      <w:r>
        <w:rPr>
          <w:rFonts w:hint="eastAsia" w:ascii="仿宋" w:hAnsi="仿宋" w:eastAsia="仿宋"/>
          <w:b/>
          <w:color w:val="auto"/>
          <w:highlight w:val="none"/>
          <w:lang w:val="en-US" w:eastAsia="zh-CN"/>
        </w:rPr>
        <w:t>4</w:t>
      </w:r>
      <w:r>
        <w:rPr>
          <w:rFonts w:hint="eastAsia" w:ascii="仿宋" w:hAnsi="仿宋" w:eastAsia="仿宋"/>
          <w:b/>
          <w:color w:val="auto"/>
          <w:highlight w:val="none"/>
        </w:rPr>
        <w:t>)投标保证金（被采购代理机构认可的缴纳凭证）。</w:t>
      </w:r>
    </w:p>
    <w:p>
      <w:pPr>
        <w:pStyle w:val="41"/>
        <w:spacing w:line="520" w:lineRule="exact"/>
        <w:ind w:firstLine="560"/>
        <w:rPr>
          <w:rFonts w:ascii="仿宋" w:hAnsi="仿宋" w:eastAsia="仿宋"/>
          <w:bCs/>
          <w:color w:val="auto"/>
          <w:highlight w:val="none"/>
        </w:rPr>
      </w:pPr>
      <w:r>
        <w:rPr>
          <w:rFonts w:hint="eastAsia" w:ascii="仿宋" w:hAnsi="仿宋" w:eastAsia="仿宋"/>
          <w:bCs/>
          <w:color w:val="auto"/>
          <w:highlight w:val="none"/>
        </w:rPr>
        <w:t>(</w:t>
      </w:r>
      <w:r>
        <w:rPr>
          <w:rFonts w:hint="eastAsia" w:ascii="仿宋" w:hAnsi="仿宋" w:eastAsia="仿宋"/>
          <w:bCs/>
          <w:color w:val="auto"/>
          <w:highlight w:val="none"/>
          <w:lang w:val="en-US" w:eastAsia="zh-CN"/>
        </w:rPr>
        <w:t>5</w:t>
      </w:r>
      <w:r>
        <w:rPr>
          <w:rFonts w:hint="eastAsia" w:ascii="仿宋" w:hAnsi="仿宋" w:eastAsia="仿宋"/>
          <w:bCs/>
          <w:color w:val="auto"/>
          <w:highlight w:val="none"/>
        </w:rPr>
        <w:t>)参加政府采购活动近三年内在经营活动中没有重大违法记录的书面声明。</w:t>
      </w:r>
    </w:p>
    <w:p>
      <w:pPr>
        <w:pStyle w:val="42"/>
        <w:spacing w:line="520" w:lineRule="exact"/>
        <w:ind w:firstLine="562"/>
        <w:jc w:val="both"/>
        <w:rPr>
          <w:rFonts w:ascii="仿宋" w:hAnsi="仿宋" w:eastAsia="仿宋"/>
          <w:color w:val="auto"/>
          <w:sz w:val="28"/>
          <w:highlight w:val="none"/>
        </w:rPr>
      </w:pPr>
      <w:r>
        <w:rPr>
          <w:rFonts w:hint="eastAsia" w:ascii="仿宋" w:hAnsi="仿宋" w:eastAsia="仿宋"/>
          <w:bCs/>
          <w:color w:val="auto"/>
          <w:sz w:val="28"/>
          <w:szCs w:val="21"/>
          <w:highlight w:val="none"/>
        </w:rPr>
        <w:t>(</w:t>
      </w:r>
      <w:r>
        <w:rPr>
          <w:rFonts w:hint="eastAsia" w:ascii="仿宋" w:hAnsi="仿宋" w:eastAsia="仿宋"/>
          <w:bCs/>
          <w:color w:val="auto"/>
          <w:sz w:val="28"/>
          <w:szCs w:val="21"/>
          <w:highlight w:val="none"/>
          <w:lang w:val="en-US" w:eastAsia="zh-CN"/>
        </w:rPr>
        <w:t>6</w:t>
      </w:r>
      <w:r>
        <w:rPr>
          <w:rFonts w:hint="eastAsia" w:ascii="仿宋" w:hAnsi="仿宋" w:eastAsia="仿宋"/>
          <w:bCs/>
          <w:color w:val="auto"/>
          <w:sz w:val="28"/>
          <w:szCs w:val="21"/>
          <w:highlight w:val="none"/>
        </w:rPr>
        <w:t>)</w:t>
      </w:r>
      <w:r>
        <w:rPr>
          <w:rFonts w:hint="eastAsia" w:ascii="仿宋" w:hAnsi="仿宋" w:eastAsia="仿宋"/>
          <w:color w:val="auto"/>
          <w:sz w:val="28"/>
          <w:highlight w:val="none"/>
        </w:rPr>
        <w:t>供应商认为有必要提供的声明及文件资料。</w:t>
      </w:r>
    </w:p>
    <w:p>
      <w:pPr>
        <w:pStyle w:val="42"/>
        <w:spacing w:line="540" w:lineRule="exact"/>
        <w:ind w:firstLine="562"/>
        <w:jc w:val="both"/>
        <w:rPr>
          <w:rFonts w:ascii="仿宋" w:hAnsi="仿宋" w:eastAsia="仿宋"/>
          <w:b/>
          <w:color w:val="auto"/>
          <w:sz w:val="28"/>
          <w:highlight w:val="none"/>
        </w:rPr>
      </w:pPr>
      <w:r>
        <w:rPr>
          <w:rFonts w:hint="eastAsia" w:ascii="仿宋" w:hAnsi="仿宋" w:eastAsia="仿宋"/>
          <w:color w:val="auto"/>
          <w:sz w:val="28"/>
          <w:highlight w:val="none"/>
        </w:rPr>
        <w:t>8.1.2 商务投标书</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b/>
          <w:color w:val="auto"/>
          <w:sz w:val="28"/>
          <w:highlight w:val="none"/>
        </w:rPr>
        <w:t>(1) 投标书</w:t>
      </w:r>
    </w:p>
    <w:p>
      <w:pPr>
        <w:pStyle w:val="42"/>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 开标一览表</w:t>
      </w:r>
    </w:p>
    <w:p>
      <w:pPr>
        <w:pStyle w:val="42"/>
        <w:spacing w:line="540" w:lineRule="exact"/>
        <w:ind w:firstLine="562" w:firstLineChars="201"/>
        <w:jc w:val="both"/>
        <w:rPr>
          <w:rFonts w:ascii="仿宋" w:hAnsi="仿宋" w:eastAsia="仿宋"/>
          <w:b/>
          <w:color w:val="auto"/>
          <w:sz w:val="28"/>
          <w:highlight w:val="none"/>
        </w:rPr>
      </w:pPr>
      <w:r>
        <w:rPr>
          <w:rFonts w:hint="eastAsia" w:ascii="仿宋" w:hAnsi="仿宋" w:eastAsia="仿宋"/>
          <w:b/>
          <w:color w:val="auto"/>
          <w:sz w:val="28"/>
          <w:highlight w:val="none"/>
        </w:rPr>
        <w:t>(3) 投标产品名称、数量、规格明细报价表</w:t>
      </w:r>
    </w:p>
    <w:p>
      <w:pPr>
        <w:pStyle w:val="42"/>
        <w:spacing w:line="540" w:lineRule="exact"/>
        <w:ind w:firstLine="548" w:firstLineChars="196"/>
        <w:jc w:val="both"/>
        <w:rPr>
          <w:rFonts w:ascii="仿宋" w:hAnsi="仿宋" w:eastAsia="仿宋"/>
          <w:b/>
          <w:color w:val="auto"/>
          <w:sz w:val="28"/>
          <w:highlight w:val="none"/>
        </w:rPr>
      </w:pPr>
      <w:r>
        <w:rPr>
          <w:rFonts w:hint="eastAsia" w:ascii="仿宋" w:hAnsi="仿宋" w:eastAsia="仿宋"/>
          <w:b/>
          <w:color w:val="auto"/>
          <w:sz w:val="28"/>
          <w:highlight w:val="none"/>
        </w:rPr>
        <w:t>(4) 商务所有条款偏离表</w:t>
      </w:r>
    </w:p>
    <w:p>
      <w:pPr>
        <w:pStyle w:val="42"/>
        <w:spacing w:line="540" w:lineRule="exact"/>
        <w:ind w:firstLine="548" w:firstLineChars="196"/>
        <w:jc w:val="both"/>
        <w:rPr>
          <w:rFonts w:ascii="仿宋" w:hAnsi="仿宋" w:eastAsia="仿宋"/>
          <w:color w:val="auto"/>
          <w:sz w:val="28"/>
          <w:highlight w:val="none"/>
        </w:rPr>
      </w:pPr>
      <w:r>
        <w:rPr>
          <w:rFonts w:hint="eastAsia" w:ascii="仿宋" w:hAnsi="仿宋" w:eastAsia="仿宋"/>
          <w:color w:val="auto"/>
          <w:sz w:val="28"/>
          <w:highlight w:val="none"/>
        </w:rPr>
        <w:t xml:space="preserve">(5) </w:t>
      </w:r>
      <w:r>
        <w:rPr>
          <w:rFonts w:hint="eastAsia" w:ascii="仿宋" w:hAnsi="仿宋" w:eastAsia="仿宋"/>
          <w:color w:val="auto"/>
          <w:sz w:val="28"/>
          <w:highlight w:val="none"/>
          <w:lang w:eastAsia="zh-CN"/>
        </w:rPr>
        <w:t>近五年同类项目案例表</w:t>
      </w:r>
    </w:p>
    <w:p>
      <w:pPr>
        <w:pStyle w:val="42"/>
        <w:spacing w:line="540" w:lineRule="exact"/>
        <w:ind w:firstLine="548" w:firstLineChars="196"/>
        <w:jc w:val="both"/>
        <w:rPr>
          <w:rFonts w:ascii="仿宋" w:hAnsi="仿宋" w:eastAsia="仿宋"/>
          <w:b/>
          <w:color w:val="auto"/>
          <w:sz w:val="28"/>
          <w:highlight w:val="none"/>
        </w:rPr>
      </w:pPr>
      <w:r>
        <w:rPr>
          <w:rFonts w:hint="eastAsia" w:ascii="仿宋" w:hAnsi="仿宋" w:eastAsia="仿宋"/>
          <w:b/>
          <w:color w:val="auto"/>
          <w:sz w:val="28"/>
          <w:highlight w:val="none"/>
        </w:rPr>
        <w:t>(6) 售后服务承诺书及培训计划</w:t>
      </w:r>
    </w:p>
    <w:p>
      <w:pPr>
        <w:pStyle w:val="41"/>
        <w:spacing w:line="520" w:lineRule="exact"/>
        <w:ind w:firstLine="560"/>
        <w:rPr>
          <w:rFonts w:ascii="仿宋" w:hAnsi="仿宋" w:eastAsia="仿宋"/>
          <w:color w:val="auto"/>
          <w:highlight w:val="none"/>
        </w:rPr>
      </w:pPr>
      <w:r>
        <w:rPr>
          <w:rFonts w:hint="eastAsia" w:ascii="仿宋" w:hAnsi="仿宋" w:eastAsia="仿宋"/>
          <w:color w:val="auto"/>
          <w:highlight w:val="none"/>
        </w:rPr>
        <w:t>(7) 若为进口产品（含主要配件），货到验收时须提供</w:t>
      </w:r>
      <w:r>
        <w:rPr>
          <w:rFonts w:hint="eastAsia" w:ascii="仿宋" w:hAnsi="仿宋" w:eastAsia="仿宋"/>
          <w:color w:val="auto"/>
          <w:szCs w:val="21"/>
          <w:highlight w:val="none"/>
        </w:rPr>
        <w:t>报关单等相关材料，开箱验收时必须有海关人员在现场；</w:t>
      </w:r>
      <w:r>
        <w:rPr>
          <w:rFonts w:hint="eastAsia" w:ascii="仿宋" w:hAnsi="仿宋" w:eastAsia="仿宋"/>
          <w:color w:val="auto"/>
          <w:highlight w:val="none"/>
        </w:rPr>
        <w:t>所需的进口机电证（如需要），报关、商检、计量等相关事宜，由供应商负责办理，相关费用由供应商承担。</w:t>
      </w:r>
    </w:p>
    <w:p>
      <w:pPr>
        <w:pStyle w:val="41"/>
        <w:ind w:firstLine="560"/>
        <w:rPr>
          <w:rFonts w:ascii="仿宋" w:hAnsi="仿宋" w:eastAsia="仿宋"/>
          <w:color w:val="auto"/>
          <w:highlight w:val="none"/>
        </w:rPr>
      </w:pPr>
      <w:r>
        <w:rPr>
          <w:rFonts w:hint="eastAsia" w:ascii="仿宋" w:hAnsi="仿宋" w:eastAsia="仿宋"/>
          <w:color w:val="auto"/>
          <w:highlight w:val="none"/>
        </w:rPr>
        <w:t>(8) 供应商认为有必要提供的声明及文件资料。</w:t>
      </w:r>
    </w:p>
    <w:p>
      <w:pPr>
        <w:pStyle w:val="42"/>
        <w:spacing w:line="540" w:lineRule="exact"/>
        <w:ind w:firstLine="56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8.1.3 技术投标书</w:t>
      </w:r>
    </w:p>
    <w:p>
      <w:pPr>
        <w:pStyle w:val="42"/>
        <w:snapToGrid w:val="0"/>
        <w:spacing w:line="540" w:lineRule="exact"/>
        <w:ind w:firstLine="560" w:firstLineChars="200"/>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 xml:space="preserve">(1) </w:t>
      </w:r>
      <w:r>
        <w:rPr>
          <w:rFonts w:hint="eastAsia" w:ascii="仿宋" w:hAnsi="仿宋" w:eastAsia="仿宋" w:cs="仿宋"/>
          <w:b/>
          <w:color w:val="auto"/>
          <w:sz w:val="28"/>
          <w:szCs w:val="28"/>
          <w:highlight w:val="none"/>
        </w:rPr>
        <w:t>技术规格偏离表（供应商须对第三章所有技术参数条款逐条列明是否响应，如有偏离，须一一列明）。</w:t>
      </w:r>
    </w:p>
    <w:p>
      <w:pPr>
        <w:pStyle w:val="42"/>
        <w:snapToGrid w:val="0"/>
        <w:spacing w:line="5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(2)供应商认为有必要提供的声明及完整文件或支持资料。</w:t>
      </w:r>
    </w:p>
    <w:p>
      <w:pPr>
        <w:pStyle w:val="42"/>
        <w:snapToGrid w:val="0"/>
        <w:spacing w:line="54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(3)投标人对招标文件必须做一一对应的响应。</w:t>
      </w:r>
    </w:p>
    <w:p>
      <w:pPr>
        <w:pStyle w:val="42"/>
        <w:wordWrap w:val="0"/>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8.2 第8.1.1条中第(1)(2)(3)(4)项、第8.1.2条中第(1)(2)(3)(4)(6)项、第8.1.3条中第(1)</w:t>
      </w:r>
      <w:r>
        <w:rPr>
          <w:rFonts w:ascii="仿宋" w:hAnsi="仿宋" w:eastAsia="仿宋"/>
          <w:b/>
          <w:color w:val="auto"/>
          <w:sz w:val="28"/>
          <w:highlight w:val="none"/>
        </w:rPr>
        <w:t>(</w:t>
      </w:r>
      <w:r>
        <w:rPr>
          <w:rFonts w:hint="eastAsia" w:ascii="仿宋" w:hAnsi="仿宋" w:eastAsia="仿宋"/>
          <w:b/>
          <w:color w:val="auto"/>
          <w:sz w:val="28"/>
          <w:highlight w:val="none"/>
        </w:rPr>
        <w:t>3</w:t>
      </w:r>
      <w:r>
        <w:rPr>
          <w:rFonts w:ascii="仿宋" w:hAnsi="仿宋" w:eastAsia="仿宋"/>
          <w:b/>
          <w:color w:val="auto"/>
          <w:sz w:val="28"/>
          <w:highlight w:val="none"/>
        </w:rPr>
        <w:t>)</w:t>
      </w:r>
      <w:r>
        <w:rPr>
          <w:rFonts w:hint="eastAsia" w:ascii="仿宋" w:hAnsi="仿宋" w:eastAsia="仿宋"/>
          <w:b/>
          <w:color w:val="auto"/>
          <w:sz w:val="28"/>
          <w:highlight w:val="none"/>
        </w:rPr>
        <w:t>项为必备项，供应商在投标文件中必须提供有关材料，如果缺项，或不符合要求，将导致投标无效。</w:t>
      </w:r>
    </w:p>
    <w:p>
      <w:pPr>
        <w:pStyle w:val="42"/>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8.3 供应商在投标中违反国家有关法律法规的强制性规定的，其投标按未满足招标文件实质性要求处理。</w:t>
      </w:r>
    </w:p>
    <w:p>
      <w:pPr>
        <w:pStyle w:val="42"/>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 投标书格式</w:t>
      </w:r>
    </w:p>
    <w:p>
      <w:pPr>
        <w:pStyle w:val="42"/>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9.1 供应商应按招标文件提供的格式完整地填写所提供的货物、服务、数量及价格。</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 投标报价</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pPr>
        <w:pStyle w:val="42"/>
        <w:spacing w:line="540" w:lineRule="exact"/>
        <w:ind w:firstLine="567"/>
        <w:jc w:val="both"/>
        <w:rPr>
          <w:rFonts w:ascii="仿宋" w:hAnsi="仿宋" w:eastAsia="仿宋"/>
          <w:b/>
          <w:color w:val="auto"/>
          <w:sz w:val="28"/>
          <w:highlight w:val="none"/>
        </w:rPr>
      </w:pPr>
      <w:r>
        <w:rPr>
          <w:rFonts w:hint="eastAsia" w:ascii="仿宋" w:hAnsi="仿宋" w:eastAsia="仿宋"/>
          <w:b/>
          <w:color w:val="auto"/>
          <w:sz w:val="28"/>
          <w:highlight w:val="none"/>
        </w:rPr>
        <w:t>10.2 本标针对每种货物只接受一个报价，不接受备选方案，但不拒绝优惠声明，优惠声明需在《开标一览表》备注中填写。</w:t>
      </w:r>
    </w:p>
    <w:p>
      <w:pPr>
        <w:pStyle w:val="42"/>
        <w:spacing w:line="540" w:lineRule="exact"/>
        <w:ind w:firstLine="562"/>
        <w:rPr>
          <w:rFonts w:ascii="仿宋" w:hAnsi="仿宋" w:eastAsia="仿宋"/>
          <w:color w:val="auto"/>
          <w:sz w:val="28"/>
          <w:highlight w:val="none"/>
        </w:rPr>
      </w:pPr>
      <w:r>
        <w:rPr>
          <w:rFonts w:hint="eastAsia" w:ascii="仿宋" w:hAnsi="仿宋" w:eastAsia="仿宋"/>
          <w:color w:val="auto"/>
          <w:sz w:val="28"/>
          <w:highlight w:val="none"/>
        </w:rPr>
        <w:t>10.3 供应商应按招标文件的要求对有关设计、货物及其配套服务的全部内容进行报价。投标报价应包括：</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10.3.1 外购、外协、配套件、原材料及功能设计生产制造、检验、油漆、包装、保险、利税、管理、备品备件、专用工具、运杂、安装调试、人员培训等费用。</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10.3.2 招标文件中特别要求的零、备件费用。</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10.3.3 分项报价明细表中特别要求的安装、调试、运输及培训费用。</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10.3.4 所需的进口机电证（如需要），报关、商检、计量等相关事宜，由供应商负责办理，费用由供应商承担。</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 投标货币</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11.1 本次投标货币为人民币。</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 证明供应商合格和资格的文件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12.1 按照第8条规定，供应商应提交证明其有资格参加投标和一旦其投标被接受则有能力履行合同的文件，并作为其投标文件的一部分。</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12.2 供应商应填写并提交招标文件所要求的资格证明类文件。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 证明货物的合格性和符合招标文件规定的文件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13.1 按照第8条规定，供应商应提交招标文件要求的货物及其服务的合格性及符合招标文件规定的证明文件。证明文件可以是手册、图纸和资料，并作为投标文件的一部分。</w:t>
      </w:r>
    </w:p>
    <w:p>
      <w:pPr>
        <w:pStyle w:val="42"/>
        <w:spacing w:line="540" w:lineRule="exact"/>
        <w:ind w:firstLine="560"/>
        <w:rPr>
          <w:rFonts w:ascii="仿宋" w:hAnsi="仿宋" w:eastAsia="仿宋"/>
          <w:b/>
          <w:color w:val="auto"/>
          <w:sz w:val="28"/>
          <w:highlight w:val="none"/>
        </w:rPr>
      </w:pPr>
      <w:r>
        <w:rPr>
          <w:rFonts w:hint="eastAsia" w:ascii="仿宋" w:hAnsi="仿宋" w:eastAsia="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b/>
          <w:color w:val="auto"/>
          <w:sz w:val="28"/>
          <w:highlight w:val="none"/>
        </w:rPr>
        <w:t>并将不能响应之处在招标文件所附的“技术规格偏离表”和“商务所有条款偏离表”中一一列出。</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13.3 证明货物的合格性和符合招标文件规定的文件应包括下列内容：</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13.3.1 投标货物的试(检)验报告、鉴定证书（复印件）；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13.3.2 执行的制造、验收标准；</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13.3.3 荣获产品质量、生产管理等方面的荣誉证书（复印件）；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13.3.4 有关的产品样册、手册、图纸和资料；</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13.3.5 供应商认为有必要提供的其它证明文件；</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 投标文件的有效期</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14.1 投标文件从实际开标之日起</w:t>
      </w:r>
      <w:r>
        <w:rPr>
          <w:rFonts w:hint="eastAsia" w:ascii="仿宋" w:hAnsi="仿宋" w:eastAsia="仿宋"/>
          <w:color w:val="auto"/>
          <w:sz w:val="28"/>
          <w:highlight w:val="none"/>
          <w:u w:val="single"/>
        </w:rPr>
        <w:t xml:space="preserve"> 90 </w:t>
      </w:r>
      <w:r>
        <w:rPr>
          <w:rFonts w:hint="eastAsia" w:ascii="仿宋" w:hAnsi="仿宋" w:eastAsia="仿宋"/>
          <w:color w:val="auto"/>
          <w:sz w:val="28"/>
          <w:highlight w:val="none"/>
        </w:rPr>
        <w:t>天内有效。</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14.2 在特殊情况下，在原投标有效期届满之前，采购代理机构可与投标单位协商延长投标文件的有效期，并经投标方确认。</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15. 投标文件的书写要求及签署。</w:t>
      </w:r>
    </w:p>
    <w:p>
      <w:pPr>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15.1 投标文件的书写应清楚工整，修改处应由供应商授权代表签字或盖章。</w:t>
      </w:r>
    </w:p>
    <w:p>
      <w:pPr>
        <w:pStyle w:val="42"/>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pPr>
        <w:pStyle w:val="42"/>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15.3 投标文件应由企业法人或法人授权代表在所有规定签章处逐一签署及加盖单位的公章。</w:t>
      </w:r>
    </w:p>
    <w:p>
      <w:pPr>
        <w:pStyle w:val="42"/>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15.4 如果虚假应标将会导致废标，并将虚假应标投标公司及生产厂家上报政府采购部门并列入黑名单。</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 投标保证金</w:t>
      </w:r>
    </w:p>
    <w:p>
      <w:pPr>
        <w:pStyle w:val="41"/>
        <w:spacing w:line="540" w:lineRule="exact"/>
        <w:ind w:firstLine="560"/>
        <w:rPr>
          <w:rFonts w:ascii="仿宋" w:hAnsi="仿宋" w:eastAsia="仿宋"/>
          <w:color w:val="auto"/>
          <w:highlight w:val="none"/>
        </w:rPr>
      </w:pPr>
      <w:r>
        <w:rPr>
          <w:rFonts w:hint="eastAsia" w:ascii="仿宋" w:hAnsi="仿宋" w:eastAsia="仿宋"/>
          <w:color w:val="auto"/>
          <w:highlight w:val="none"/>
        </w:rPr>
        <w:t>16.1 投标保证金金</w:t>
      </w:r>
      <w:r>
        <w:rPr>
          <w:rFonts w:hint="eastAsia" w:ascii="仿宋" w:hAnsi="仿宋" w:eastAsia="仿宋"/>
          <w:color w:val="auto"/>
          <w:szCs w:val="22"/>
          <w:highlight w:val="none"/>
        </w:rPr>
        <w:t>额</w:t>
      </w:r>
      <w:r>
        <w:rPr>
          <w:rFonts w:hint="eastAsia" w:ascii="仿宋" w:hAnsi="仿宋" w:eastAsia="仿宋"/>
          <w:color w:val="auto"/>
          <w:highlight w:val="none"/>
        </w:rPr>
        <w:t>：按照投标须知前附表第5条规定金额缴纳；须以网银转账的形式由供应商的基本账户汇出，需备注项目编号、项目名称（或项目简称）及包号，于投标文件提交截止时间前交至招标代理机构指定账户（以实际到账时间为准，逾期无效），公示期结束后予以退还。</w:t>
      </w:r>
    </w:p>
    <w:p>
      <w:pPr>
        <w:pStyle w:val="41"/>
        <w:spacing w:line="540" w:lineRule="exact"/>
        <w:ind w:firstLine="560"/>
        <w:rPr>
          <w:rFonts w:ascii="仿宋" w:hAnsi="仿宋" w:eastAsia="仿宋"/>
          <w:color w:val="auto"/>
          <w:highlight w:val="none"/>
        </w:rPr>
      </w:pPr>
      <w:r>
        <w:rPr>
          <w:rFonts w:hint="eastAsia" w:ascii="仿宋" w:hAnsi="仿宋" w:eastAsia="仿宋"/>
          <w:color w:val="auto"/>
          <w:highlight w:val="none"/>
        </w:rPr>
        <w:t>16.2 投标保证金用于保护本次招标免受供应商的违规、违约行为而引起的风险。</w:t>
      </w:r>
    </w:p>
    <w:p>
      <w:pPr>
        <w:pStyle w:val="42"/>
        <w:snapToGrid w:val="0"/>
        <w:spacing w:line="520" w:lineRule="exact"/>
        <w:ind w:firstLine="567"/>
        <w:jc w:val="both"/>
        <w:rPr>
          <w:rFonts w:ascii="仿宋" w:hAnsi="仿宋" w:eastAsia="仿宋"/>
          <w:b/>
          <w:color w:val="auto"/>
          <w:sz w:val="28"/>
          <w:highlight w:val="none"/>
        </w:rPr>
      </w:pPr>
      <w:r>
        <w:rPr>
          <w:rFonts w:hint="eastAsia" w:ascii="仿宋" w:hAnsi="仿宋" w:eastAsia="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highlight w:val="none"/>
        </w:rPr>
        <w:t>对未按要求提交投标保证金的，其投标无效。</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16.4 投标保证金的退还</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在该项目评标公示期满后，新疆新之建工程咨询有限公司收到由供应商提供的以下资料后五个工作日内退还：</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1）打印并加盖供应商公章的账户信息：</w:t>
      </w:r>
      <w:r>
        <w:rPr>
          <w:rFonts w:hint="eastAsia" w:ascii="仿宋" w:hAnsi="仿宋" w:eastAsia="仿宋"/>
          <w:b/>
          <w:color w:val="auto"/>
          <w:sz w:val="28"/>
          <w:highlight w:val="none"/>
        </w:rPr>
        <w:t>行名、行号、户名、账号；</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2）加盖投标人财务公章的第二联复写收据原件，收据中需写明项目名称及项目编号。</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3）金额各公司根据实际情况填写。</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注：请各投标供应商，开标结束后将以上资料递交至招标代理机构，如未中标，将按照法定规定期限予以退还。</w:t>
      </w:r>
    </w:p>
    <w:p>
      <w:pPr>
        <w:pStyle w:val="42"/>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16.5 发生以下情况投标保证金可能被没收：</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16.5.1 如果供应商在投标有效期内撤销投标；</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16.5.2 如果供应商串通投标的；</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16.5.3 如果中标人未能做到：</w:t>
      </w:r>
    </w:p>
    <w:p>
      <w:pPr>
        <w:pStyle w:val="41"/>
        <w:spacing w:line="540" w:lineRule="exact"/>
        <w:ind w:firstLine="560"/>
        <w:rPr>
          <w:rFonts w:ascii="仿宋" w:hAnsi="仿宋" w:eastAsia="仿宋"/>
          <w:color w:val="auto"/>
          <w:highlight w:val="none"/>
        </w:rPr>
      </w:pPr>
      <w:r>
        <w:rPr>
          <w:rFonts w:hint="eastAsia" w:ascii="仿宋" w:hAnsi="仿宋" w:eastAsia="仿宋"/>
          <w:color w:val="auto"/>
          <w:highlight w:val="none"/>
        </w:rPr>
        <w:t>a. 按29条规定签定合同；</w:t>
      </w:r>
    </w:p>
    <w:p>
      <w:pPr>
        <w:pStyle w:val="41"/>
        <w:spacing w:line="540" w:lineRule="exact"/>
        <w:ind w:firstLine="560"/>
        <w:rPr>
          <w:rFonts w:ascii="仿宋" w:hAnsi="仿宋" w:eastAsia="仿宋"/>
          <w:color w:val="auto"/>
          <w:highlight w:val="none"/>
        </w:rPr>
      </w:pPr>
      <w:r>
        <w:rPr>
          <w:rFonts w:hint="eastAsia" w:ascii="仿宋" w:hAnsi="仿宋" w:eastAsia="仿宋"/>
          <w:color w:val="auto"/>
          <w:highlight w:val="none"/>
        </w:rPr>
        <w:t>b. 第32条有关缴纳中标服务费的规定；</w:t>
      </w:r>
    </w:p>
    <w:p>
      <w:pPr>
        <w:pStyle w:val="43"/>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四、投标文件的上传</w:t>
      </w:r>
    </w:p>
    <w:p>
      <w:pPr>
        <w:spacing w:line="50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18. 投标文件上传的截止日期</w:t>
      </w:r>
    </w:p>
    <w:p>
      <w:pPr>
        <w:pStyle w:val="42"/>
        <w:spacing w:line="540" w:lineRule="exact"/>
        <w:ind w:firstLine="560" w:firstLineChars="200"/>
        <w:jc w:val="both"/>
        <w:rPr>
          <w:rFonts w:ascii="仿宋" w:hAnsi="仿宋" w:eastAsia="仿宋"/>
          <w:color w:val="auto"/>
          <w:sz w:val="28"/>
          <w:highlight w:val="none"/>
          <w:u w:val="single"/>
        </w:rPr>
      </w:pPr>
      <w:r>
        <w:rPr>
          <w:rFonts w:hint="eastAsia" w:ascii="仿宋" w:hAnsi="仿宋" w:eastAsia="仿宋"/>
          <w:color w:val="auto"/>
          <w:sz w:val="28"/>
          <w:highlight w:val="none"/>
        </w:rPr>
        <w:t>18.1 供应商必须在《投标须知前附表》中规定的时间之前将投标文件上传到规定的地点。</w:t>
      </w:r>
    </w:p>
    <w:p>
      <w:pPr>
        <w:pStyle w:val="42"/>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olor w:val="auto"/>
          <w:sz w:val="28"/>
          <w:highlight w:val="none"/>
        </w:rPr>
        <w:t>18.2 超过招标文件规定的投标截止时间上传的投标文件将不予接受。</w:t>
      </w:r>
    </w:p>
    <w:p>
      <w:pPr>
        <w:pStyle w:val="42"/>
        <w:spacing w:line="540" w:lineRule="exact"/>
        <w:ind w:firstLine="560" w:firstLineChars="200"/>
        <w:jc w:val="both"/>
        <w:rPr>
          <w:rFonts w:ascii="仿宋" w:hAnsi="仿宋" w:eastAsia="仿宋" w:cs="仿宋"/>
          <w:b/>
          <w:bCs/>
          <w:color w:val="auto"/>
          <w:sz w:val="28"/>
          <w:highlight w:val="none"/>
        </w:rPr>
      </w:pPr>
      <w:r>
        <w:rPr>
          <w:rFonts w:ascii="仿宋" w:hAnsi="仿宋" w:eastAsia="仿宋" w:cs="仿宋"/>
          <w:b/>
          <w:bCs/>
          <w:color w:val="auto"/>
          <w:sz w:val="28"/>
          <w:highlight w:val="none"/>
        </w:rPr>
        <w:t>18.</w:t>
      </w:r>
      <w:r>
        <w:rPr>
          <w:rFonts w:hint="eastAsia" w:ascii="仿宋" w:hAnsi="仿宋" w:eastAsia="仿宋" w:cs="仿宋"/>
          <w:b/>
          <w:bCs/>
          <w:color w:val="auto"/>
          <w:sz w:val="28"/>
          <w:highlight w:val="none"/>
        </w:rPr>
        <w:t xml:space="preserve">3 </w:t>
      </w:r>
      <w:r>
        <w:rPr>
          <w:rFonts w:ascii="仿宋" w:hAnsi="仿宋" w:eastAsia="仿宋" w:cs="仿宋"/>
          <w:b/>
          <w:bCs/>
          <w:color w:val="auto"/>
          <w:sz w:val="28"/>
          <w:highlight w:val="none"/>
        </w:rPr>
        <w:t>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b/>
          <w:bCs/>
          <w:color w:val="auto"/>
          <w:sz w:val="28"/>
          <w:highlight w:val="none"/>
        </w:rPr>
        <w:t>投标</w:t>
      </w:r>
      <w:r>
        <w:rPr>
          <w:rFonts w:ascii="仿宋" w:hAnsi="仿宋" w:eastAsia="仿宋" w:cs="仿宋"/>
          <w:b/>
          <w:bCs/>
          <w:color w:val="auto"/>
          <w:sz w:val="28"/>
          <w:highlight w:val="none"/>
        </w:rPr>
        <w:t>文件，采购代理机构不对其后果负责。</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 投标文件的修改、撤回和撤销</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19.1.</w:t>
      </w:r>
      <w:r>
        <w:rPr>
          <w:rFonts w:ascii="仿宋" w:hAnsi="仿宋" w:eastAsia="仿宋"/>
          <w:color w:val="auto"/>
          <w:sz w:val="28"/>
          <w:highlight w:val="none"/>
        </w:rPr>
        <w:t>提交</w:t>
      </w:r>
      <w:r>
        <w:rPr>
          <w:rFonts w:hint="eastAsia" w:ascii="仿宋" w:hAnsi="仿宋" w:eastAsia="仿宋"/>
          <w:color w:val="auto"/>
          <w:sz w:val="28"/>
          <w:highlight w:val="none"/>
        </w:rPr>
        <w:t>投标</w:t>
      </w:r>
      <w:r>
        <w:rPr>
          <w:rFonts w:ascii="仿宋" w:hAnsi="仿宋" w:eastAsia="仿宋"/>
          <w:color w:val="auto"/>
          <w:sz w:val="28"/>
          <w:highlight w:val="none"/>
        </w:rPr>
        <w:t>文件截止时间前，供应商可以通过电子交易平台对所提交</w:t>
      </w:r>
      <w:r>
        <w:rPr>
          <w:rFonts w:hint="eastAsia" w:ascii="仿宋" w:hAnsi="仿宋" w:eastAsia="仿宋"/>
          <w:color w:val="auto"/>
          <w:sz w:val="28"/>
          <w:highlight w:val="none"/>
        </w:rPr>
        <w:t>（上传）</w:t>
      </w:r>
      <w:r>
        <w:rPr>
          <w:rFonts w:ascii="仿宋" w:hAnsi="仿宋" w:eastAsia="仿宋"/>
          <w:color w:val="auto"/>
          <w:sz w:val="28"/>
          <w:highlight w:val="none"/>
        </w:rPr>
        <w:t>的</w:t>
      </w:r>
      <w:r>
        <w:rPr>
          <w:rFonts w:hint="eastAsia" w:ascii="仿宋" w:hAnsi="仿宋" w:eastAsia="仿宋"/>
          <w:color w:val="auto"/>
          <w:sz w:val="28"/>
          <w:highlight w:val="none"/>
        </w:rPr>
        <w:t>投标</w:t>
      </w:r>
      <w:r>
        <w:rPr>
          <w:rFonts w:ascii="仿宋" w:hAnsi="仿宋" w:eastAsia="仿宋"/>
          <w:color w:val="auto"/>
          <w:sz w:val="28"/>
          <w:highlight w:val="none"/>
        </w:rPr>
        <w:t>文件进行补充、修改或者撤回。</w:t>
      </w:r>
    </w:p>
    <w:p>
      <w:pPr>
        <w:pStyle w:val="4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19.2 供应商不得在投标截止时间起至投标文件有效期满前撤销投标文件，否则其投标保证金将被没收。</w:t>
      </w:r>
    </w:p>
    <w:p>
      <w:pPr>
        <w:pStyle w:val="44"/>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20.有下列情形之一的，视为供应商串通投标，其投标无效：</w:t>
      </w:r>
    </w:p>
    <w:p>
      <w:pPr>
        <w:pStyle w:val="44"/>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⑴ 不同供应商的投标文件由同一单位或者个人编制;</w:t>
      </w:r>
    </w:p>
    <w:p>
      <w:pPr>
        <w:pStyle w:val="44"/>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⑵ 不同供应商委托同一单位或者个人办理投标事宜;</w:t>
      </w:r>
    </w:p>
    <w:p>
      <w:pPr>
        <w:pStyle w:val="44"/>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⑶ 不同供应商的投标文件载明的项目管理成员或者联系人员为同一人;</w:t>
      </w:r>
    </w:p>
    <w:p>
      <w:pPr>
        <w:pStyle w:val="44"/>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⑷ 不同供应商的投标文件异常一致或者投标报价呈规律性差异;</w:t>
      </w:r>
    </w:p>
    <w:p>
      <w:pPr>
        <w:pStyle w:val="44"/>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⑸ 不同供应商的投标文件相互混装;</w:t>
      </w:r>
    </w:p>
    <w:p>
      <w:pPr>
        <w:pStyle w:val="44"/>
        <w:spacing w:line="540" w:lineRule="exact"/>
        <w:ind w:firstLine="560"/>
        <w:jc w:val="both"/>
        <w:rPr>
          <w:rFonts w:ascii="仿宋" w:hAnsi="仿宋" w:eastAsia="仿宋"/>
          <w:b/>
          <w:color w:val="auto"/>
          <w:sz w:val="23"/>
          <w:szCs w:val="23"/>
          <w:highlight w:val="none"/>
        </w:rPr>
      </w:pPr>
      <w:r>
        <w:rPr>
          <w:rFonts w:hint="eastAsia" w:ascii="仿宋" w:hAnsi="仿宋" w:eastAsia="仿宋"/>
          <w:b/>
          <w:color w:val="auto"/>
          <w:sz w:val="28"/>
          <w:highlight w:val="none"/>
        </w:rPr>
        <w:t>⑹ 不同供应商的投标保证金从同一单位或者个人的账户转出</w:t>
      </w:r>
      <w:r>
        <w:rPr>
          <w:rFonts w:hint="eastAsia" w:ascii="仿宋" w:hAnsi="仿宋" w:eastAsia="仿宋"/>
          <w:b/>
          <w:color w:val="auto"/>
          <w:sz w:val="23"/>
          <w:szCs w:val="23"/>
          <w:highlight w:val="none"/>
        </w:rPr>
        <w:t>。</w:t>
      </w:r>
    </w:p>
    <w:p>
      <w:pPr>
        <w:pStyle w:val="43"/>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五、开标</w:t>
      </w:r>
    </w:p>
    <w:p>
      <w:pPr>
        <w:pStyle w:val="4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 开标</w:t>
      </w:r>
    </w:p>
    <w:p>
      <w:pPr>
        <w:pStyle w:val="42"/>
        <w:spacing w:line="540" w:lineRule="exact"/>
        <w:ind w:left="1" w:firstLine="562" w:firstLineChars="201"/>
        <w:jc w:val="both"/>
        <w:rPr>
          <w:rFonts w:ascii="仿宋" w:hAnsi="仿宋" w:eastAsia="仿宋"/>
          <w:color w:val="auto"/>
          <w:sz w:val="28"/>
          <w:highlight w:val="none"/>
          <w:u w:val="single"/>
        </w:rPr>
      </w:pPr>
      <w:r>
        <w:rPr>
          <w:rFonts w:hint="eastAsia" w:ascii="仿宋" w:hAnsi="仿宋" w:eastAsia="仿宋"/>
          <w:color w:val="auto"/>
          <w:sz w:val="28"/>
          <w:highlight w:val="none"/>
        </w:rPr>
        <w:t>21.1 除非采购代理机构另外书面通知，本项目将按本招标文件《投标须知前附表》中规定的时间和地点开标。</w:t>
      </w:r>
    </w:p>
    <w:p>
      <w:pPr>
        <w:pStyle w:val="42"/>
        <w:spacing w:line="540" w:lineRule="exact"/>
        <w:ind w:firstLine="560" w:firstLineChars="200"/>
        <w:jc w:val="both"/>
        <w:rPr>
          <w:rFonts w:ascii="仿宋_GB2312" w:hAnsi="仿宋_GB2312" w:eastAsia="仿宋_GB2312" w:cs="仿宋_GB2312"/>
          <w:color w:val="auto"/>
          <w:sz w:val="28"/>
          <w:highlight w:val="none"/>
        </w:rPr>
      </w:pPr>
      <w:r>
        <w:rPr>
          <w:rFonts w:hint="eastAsia" w:ascii="仿宋_GB2312" w:hAnsi="仿宋_GB2312" w:eastAsia="仿宋_GB2312" w:cs="仿宋_GB2312"/>
          <w:b/>
          <w:bCs/>
          <w:color w:val="auto"/>
          <w:sz w:val="28"/>
          <w:highlight w:val="none"/>
        </w:rPr>
        <w:t>21.2 开标时，采购人对其资格进行审查。资格审查不合格的，其投标无效</w:t>
      </w:r>
      <w:r>
        <w:rPr>
          <w:rFonts w:hint="eastAsia" w:ascii="仿宋_GB2312" w:hAnsi="仿宋_GB2312" w:eastAsia="仿宋_GB2312" w:cs="仿宋_GB2312"/>
          <w:color w:val="auto"/>
          <w:sz w:val="28"/>
          <w:highlight w:val="none"/>
        </w:rPr>
        <w:t xml:space="preserve">。 </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21.3 供应商上传的开标一览表均记录在案，并经各供应商代表、和监标人员签字，作为各供应商投标文件的组成部分。</w:t>
      </w:r>
    </w:p>
    <w:p>
      <w:pPr>
        <w:pStyle w:val="43"/>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六、资格审查</w:t>
      </w:r>
    </w:p>
    <w:p>
      <w:pPr>
        <w:pStyle w:val="42"/>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22. 资格审查</w:t>
      </w:r>
    </w:p>
    <w:p>
      <w:pPr>
        <w:pStyle w:val="42"/>
        <w:spacing w:line="540" w:lineRule="exact"/>
        <w:ind w:firstLine="561"/>
        <w:rPr>
          <w:rFonts w:ascii="仿宋" w:hAnsi="仿宋" w:eastAsia="仿宋"/>
          <w:b/>
          <w:color w:val="auto"/>
          <w:sz w:val="28"/>
          <w:highlight w:val="none"/>
        </w:rPr>
      </w:pPr>
      <w:r>
        <w:rPr>
          <w:rFonts w:hint="eastAsia" w:ascii="仿宋" w:hAnsi="仿宋" w:eastAsia="仿宋"/>
          <w:b/>
          <w:color w:val="auto"/>
          <w:sz w:val="28"/>
          <w:highlight w:val="none"/>
        </w:rPr>
        <w:t>22.1 开标时，采购人按照本章第8.1.1条中第1-</w:t>
      </w:r>
      <w:r>
        <w:rPr>
          <w:rFonts w:hint="eastAsia" w:ascii="仿宋" w:hAnsi="仿宋" w:eastAsia="仿宋"/>
          <w:b/>
          <w:color w:val="auto"/>
          <w:sz w:val="28"/>
          <w:highlight w:val="none"/>
          <w:lang w:val="en-US" w:eastAsia="zh-CN"/>
        </w:rPr>
        <w:t>4</w:t>
      </w:r>
      <w:r>
        <w:rPr>
          <w:rFonts w:hint="eastAsia" w:ascii="仿宋" w:hAnsi="仿宋" w:eastAsia="仿宋"/>
          <w:b/>
          <w:color w:val="auto"/>
          <w:sz w:val="28"/>
          <w:highlight w:val="none"/>
        </w:rPr>
        <w:t>项规定的内容对各供应商的投标文件进行资格审查。资格审查不合格的，其投标无效。</w:t>
      </w:r>
    </w:p>
    <w:p>
      <w:pPr>
        <w:pStyle w:val="42"/>
        <w:spacing w:line="540" w:lineRule="exact"/>
        <w:ind w:firstLine="561"/>
        <w:rPr>
          <w:rFonts w:ascii="仿宋" w:hAnsi="仿宋" w:eastAsia="仿宋"/>
          <w:b/>
          <w:color w:val="auto"/>
          <w:sz w:val="28"/>
          <w:highlight w:val="none"/>
        </w:rPr>
      </w:pPr>
      <w:r>
        <w:rPr>
          <w:rFonts w:hint="eastAsia" w:ascii="仿宋" w:hAnsi="仿宋" w:eastAsia="仿宋"/>
          <w:color w:val="auto"/>
          <w:sz w:val="28"/>
          <w:highlight w:val="none"/>
        </w:rPr>
        <w:t>22.2 合格供应商不足三家的，不进行评标。</w:t>
      </w:r>
    </w:p>
    <w:p>
      <w:pPr>
        <w:pStyle w:val="43"/>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七、评标和定标</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 评标原则</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23.1 本项目的评标遵循公平、公正、科学、择优的原则。</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23.3 不徇私情，不明招暗定。</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23.4 资格审查合格的供应商，均有同等机会参加竞争。</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23.5 评标人员不得私自泄露评标内容，不得进行旨在影响评标结果公正、公平的任何活动。</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 评标方法</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24.2 评标的依据为招标文件和投标文件。根据相关法律法规的规定，评标委员会不以任何外部证据作为其评标的依据或标准。</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24.3 评标过程将严格保密。开标后直到授予中标人合同止，凡是属于审查、澄清、评价和比较的有关评标资料以及授标建议等均不得向供应商或其他无关的人员透露。</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24.4 在评标的整个过程中，供应商所进行的旨在影响评标结果的活动，可能导致其投标被拒绝，或者被取消中标资格。</w:t>
      </w:r>
    </w:p>
    <w:p>
      <w:pPr>
        <w:pStyle w:val="42"/>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24.5 本次招标采用综合评分法进行评标。评标分符合性审查和详细评审两个阶段。</w:t>
      </w:r>
    </w:p>
    <w:p>
      <w:pPr>
        <w:pStyle w:val="58"/>
        <w:spacing w:line="540" w:lineRule="exact"/>
        <w:ind w:firstLine="562"/>
        <w:jc w:val="both"/>
        <w:rPr>
          <w:rStyle w:val="56"/>
          <w:rFonts w:ascii="仿宋" w:hAnsi="仿宋" w:eastAsia="仿宋"/>
          <w:b/>
          <w:color w:val="auto"/>
          <w:sz w:val="28"/>
          <w:highlight w:val="none"/>
        </w:rPr>
      </w:pPr>
      <w:r>
        <w:rPr>
          <w:rStyle w:val="56"/>
          <w:rFonts w:ascii="仿宋" w:hAnsi="仿宋" w:eastAsia="仿宋"/>
          <w:b/>
          <w:color w:val="auto"/>
          <w:sz w:val="28"/>
          <w:highlight w:val="none"/>
        </w:rPr>
        <w:t>24.5.1 只有通过符合性审查的</w:t>
      </w:r>
      <w:r>
        <w:rPr>
          <w:rStyle w:val="56"/>
          <w:rFonts w:hint="eastAsia" w:ascii="仿宋" w:hAnsi="仿宋" w:eastAsia="仿宋"/>
          <w:b/>
          <w:color w:val="auto"/>
          <w:sz w:val="28"/>
          <w:highlight w:val="none"/>
        </w:rPr>
        <w:t>投标</w:t>
      </w:r>
      <w:r>
        <w:rPr>
          <w:rStyle w:val="56"/>
          <w:rFonts w:ascii="仿宋" w:hAnsi="仿宋" w:eastAsia="仿宋"/>
          <w:b/>
          <w:color w:val="auto"/>
          <w:sz w:val="28"/>
          <w:highlight w:val="none"/>
        </w:rPr>
        <w:t>文件才可进入详细评审阶段。</w:t>
      </w:r>
    </w:p>
    <w:p>
      <w:pPr>
        <w:pStyle w:val="42"/>
        <w:spacing w:line="540" w:lineRule="exact"/>
        <w:ind w:firstLine="562"/>
        <w:jc w:val="both"/>
        <w:rPr>
          <w:rFonts w:ascii="仿宋" w:hAnsi="仿宋" w:eastAsia="仿宋"/>
          <w:color w:val="auto"/>
          <w:sz w:val="28"/>
          <w:highlight w:val="none"/>
        </w:rPr>
      </w:pPr>
      <w:r>
        <w:rPr>
          <w:rStyle w:val="56"/>
          <w:rFonts w:ascii="仿宋" w:hAnsi="仿宋" w:eastAsia="仿宋"/>
          <w:b/>
          <w:color w:val="auto"/>
          <w:sz w:val="28"/>
          <w:highlight w:val="none"/>
        </w:rPr>
        <w:t>24.5.2 详细评审分为商务评审和技术评审</w:t>
      </w:r>
      <w:r>
        <w:rPr>
          <w:rStyle w:val="56"/>
          <w:rFonts w:hint="eastAsia" w:ascii="仿宋" w:hAnsi="仿宋" w:eastAsia="仿宋"/>
          <w:b/>
          <w:color w:val="auto"/>
          <w:sz w:val="28"/>
          <w:highlight w:val="none"/>
        </w:rPr>
        <w:t>两</w:t>
      </w:r>
      <w:r>
        <w:rPr>
          <w:rStyle w:val="56"/>
          <w:rFonts w:ascii="仿宋" w:hAnsi="仿宋" w:eastAsia="仿宋"/>
          <w:b/>
          <w:color w:val="auto"/>
          <w:sz w:val="28"/>
          <w:highlight w:val="none"/>
        </w:rPr>
        <w:t>个部分。</w:t>
      </w:r>
    </w:p>
    <w:p>
      <w:pPr>
        <w:pStyle w:val="42"/>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24.6 符合性审查</w:t>
      </w:r>
    </w:p>
    <w:p>
      <w:pPr>
        <w:pStyle w:val="42"/>
        <w:spacing w:line="540" w:lineRule="exact"/>
        <w:ind w:firstLine="560"/>
        <w:jc w:val="both"/>
        <w:rPr>
          <w:rFonts w:ascii="仿宋" w:hAnsi="仿宋" w:eastAsia="仿宋"/>
          <w:b/>
          <w:color w:val="auto"/>
          <w:sz w:val="28"/>
          <w:highlight w:val="none"/>
        </w:rPr>
      </w:pPr>
      <w:r>
        <w:rPr>
          <w:rFonts w:hint="eastAsia" w:ascii="仿宋" w:hAnsi="仿宋" w:eastAsia="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highlight w:val="none"/>
        </w:rPr>
        <w:t>与招标文件有重大偏离的投标文件将被拒绝，投标无效。具体评审内容系指：</w:t>
      </w:r>
    </w:p>
    <w:p>
      <w:pPr>
        <w:pStyle w:val="58"/>
        <w:spacing w:line="540" w:lineRule="exact"/>
        <w:ind w:firstLine="560"/>
        <w:jc w:val="both"/>
        <w:rPr>
          <w:rStyle w:val="56"/>
          <w:rFonts w:ascii="仿宋" w:hAnsi="仿宋" w:eastAsia="仿宋"/>
          <w:b/>
          <w:color w:val="auto"/>
          <w:kern w:val="0"/>
          <w:sz w:val="28"/>
          <w:highlight w:val="none"/>
        </w:rPr>
      </w:pPr>
      <w:r>
        <w:rPr>
          <w:rStyle w:val="56"/>
          <w:rFonts w:ascii="仿宋" w:hAnsi="仿宋" w:eastAsia="仿宋"/>
          <w:b/>
          <w:color w:val="auto"/>
          <w:kern w:val="0"/>
          <w:sz w:val="28"/>
          <w:highlight w:val="none"/>
        </w:rPr>
        <w:t xml:space="preserve">24.6.1 </w:t>
      </w:r>
      <w:r>
        <w:rPr>
          <w:rStyle w:val="56"/>
          <w:rFonts w:hint="eastAsia" w:ascii="仿宋" w:hAnsi="仿宋" w:eastAsia="仿宋"/>
          <w:b/>
          <w:color w:val="auto"/>
          <w:kern w:val="0"/>
          <w:sz w:val="28"/>
          <w:highlight w:val="none"/>
        </w:rPr>
        <w:t>投标</w:t>
      </w:r>
      <w:r>
        <w:rPr>
          <w:rStyle w:val="56"/>
          <w:rFonts w:ascii="仿宋" w:hAnsi="仿宋" w:eastAsia="仿宋"/>
          <w:b/>
          <w:color w:val="auto"/>
          <w:kern w:val="0"/>
          <w:sz w:val="28"/>
          <w:highlight w:val="none"/>
        </w:rPr>
        <w:t>文件组成不完整，主要内容未能按</w:t>
      </w:r>
      <w:r>
        <w:rPr>
          <w:rStyle w:val="56"/>
          <w:rFonts w:hint="eastAsia" w:ascii="仿宋" w:hAnsi="仿宋" w:eastAsia="仿宋"/>
          <w:b/>
          <w:color w:val="auto"/>
          <w:kern w:val="0"/>
          <w:sz w:val="28"/>
          <w:highlight w:val="none"/>
        </w:rPr>
        <w:t>招标</w:t>
      </w:r>
      <w:r>
        <w:rPr>
          <w:rStyle w:val="56"/>
          <w:rFonts w:ascii="仿宋" w:hAnsi="仿宋" w:eastAsia="仿宋"/>
          <w:b/>
          <w:color w:val="auto"/>
          <w:kern w:val="0"/>
          <w:sz w:val="28"/>
          <w:highlight w:val="none"/>
        </w:rPr>
        <w:t>文件规定的内容、格式填写、</w:t>
      </w:r>
      <w:r>
        <w:rPr>
          <w:rStyle w:val="56"/>
          <w:rFonts w:hint="eastAsia" w:ascii="仿宋" w:hAnsi="仿宋" w:eastAsia="仿宋"/>
          <w:b/>
          <w:color w:val="auto"/>
          <w:kern w:val="0"/>
          <w:sz w:val="28"/>
          <w:highlight w:val="none"/>
        </w:rPr>
        <w:t>上传</w:t>
      </w:r>
      <w:r>
        <w:rPr>
          <w:rStyle w:val="56"/>
          <w:rFonts w:ascii="仿宋" w:hAnsi="仿宋" w:eastAsia="仿宋"/>
          <w:b/>
          <w:color w:val="auto"/>
          <w:kern w:val="0"/>
          <w:sz w:val="28"/>
          <w:highlight w:val="none"/>
        </w:rPr>
        <w:t>；</w:t>
      </w:r>
    </w:p>
    <w:p>
      <w:pPr>
        <w:pStyle w:val="58"/>
        <w:spacing w:line="540" w:lineRule="exact"/>
        <w:ind w:firstLine="560"/>
        <w:jc w:val="both"/>
        <w:rPr>
          <w:rStyle w:val="56"/>
          <w:rFonts w:ascii="仿宋" w:hAnsi="仿宋" w:eastAsia="仿宋"/>
          <w:b/>
          <w:color w:val="auto"/>
          <w:kern w:val="0"/>
          <w:sz w:val="28"/>
          <w:highlight w:val="none"/>
        </w:rPr>
      </w:pPr>
      <w:r>
        <w:rPr>
          <w:rStyle w:val="56"/>
          <w:rFonts w:ascii="仿宋" w:hAnsi="仿宋" w:eastAsia="仿宋"/>
          <w:b/>
          <w:color w:val="auto"/>
          <w:kern w:val="0"/>
          <w:sz w:val="28"/>
          <w:highlight w:val="none"/>
        </w:rPr>
        <w:t xml:space="preserve">24.6.2 </w:t>
      </w:r>
      <w:r>
        <w:rPr>
          <w:rStyle w:val="56"/>
          <w:rFonts w:hint="eastAsia" w:ascii="仿宋" w:hAnsi="仿宋" w:eastAsia="仿宋"/>
          <w:b/>
          <w:color w:val="auto"/>
          <w:kern w:val="0"/>
          <w:sz w:val="28"/>
          <w:highlight w:val="none"/>
        </w:rPr>
        <w:t>投标</w:t>
      </w:r>
      <w:r>
        <w:rPr>
          <w:rStyle w:val="56"/>
          <w:rFonts w:ascii="仿宋" w:hAnsi="仿宋" w:eastAsia="仿宋"/>
          <w:b/>
          <w:color w:val="auto"/>
          <w:kern w:val="0"/>
          <w:sz w:val="28"/>
          <w:highlight w:val="none"/>
        </w:rPr>
        <w:t>文件的有效期不满足</w:t>
      </w:r>
      <w:r>
        <w:rPr>
          <w:rStyle w:val="56"/>
          <w:rFonts w:hint="eastAsia" w:ascii="仿宋" w:hAnsi="仿宋" w:eastAsia="仿宋"/>
          <w:b/>
          <w:color w:val="auto"/>
          <w:kern w:val="0"/>
          <w:sz w:val="28"/>
          <w:highlight w:val="none"/>
        </w:rPr>
        <w:t>招标</w:t>
      </w:r>
      <w:r>
        <w:rPr>
          <w:rStyle w:val="56"/>
          <w:rFonts w:ascii="仿宋" w:hAnsi="仿宋" w:eastAsia="仿宋"/>
          <w:b/>
          <w:color w:val="auto"/>
          <w:kern w:val="0"/>
          <w:sz w:val="28"/>
          <w:highlight w:val="none"/>
        </w:rPr>
        <w:t>文件的规定；</w:t>
      </w:r>
    </w:p>
    <w:p>
      <w:pPr>
        <w:pStyle w:val="58"/>
        <w:spacing w:line="540" w:lineRule="exact"/>
        <w:ind w:firstLine="560"/>
        <w:jc w:val="both"/>
        <w:rPr>
          <w:rStyle w:val="56"/>
          <w:rFonts w:ascii="仿宋" w:hAnsi="仿宋" w:eastAsia="仿宋"/>
          <w:b/>
          <w:color w:val="auto"/>
          <w:kern w:val="0"/>
          <w:sz w:val="28"/>
          <w:highlight w:val="none"/>
        </w:rPr>
      </w:pPr>
      <w:r>
        <w:rPr>
          <w:rStyle w:val="56"/>
          <w:rFonts w:ascii="仿宋" w:hAnsi="仿宋" w:eastAsia="仿宋"/>
          <w:b/>
          <w:color w:val="auto"/>
          <w:kern w:val="0"/>
          <w:sz w:val="28"/>
          <w:highlight w:val="none"/>
        </w:rPr>
        <w:t xml:space="preserve">24.6.3 </w:t>
      </w:r>
      <w:r>
        <w:rPr>
          <w:rStyle w:val="56"/>
          <w:rFonts w:hint="eastAsia" w:ascii="仿宋" w:hAnsi="仿宋" w:eastAsia="仿宋"/>
          <w:b/>
          <w:color w:val="auto"/>
          <w:kern w:val="0"/>
          <w:sz w:val="28"/>
          <w:highlight w:val="none"/>
        </w:rPr>
        <w:t>投标</w:t>
      </w:r>
      <w:r>
        <w:rPr>
          <w:rStyle w:val="56"/>
          <w:rFonts w:ascii="仿宋" w:hAnsi="仿宋" w:eastAsia="仿宋"/>
          <w:b/>
          <w:color w:val="auto"/>
          <w:kern w:val="0"/>
          <w:sz w:val="28"/>
          <w:highlight w:val="none"/>
        </w:rPr>
        <w:t>代表授权书未能由法定代表人签署</w:t>
      </w:r>
      <w:r>
        <w:rPr>
          <w:rStyle w:val="56"/>
          <w:rFonts w:ascii="仿宋" w:hAnsi="仿宋" w:eastAsia="仿宋"/>
          <w:b/>
          <w:color w:val="auto"/>
          <w:kern w:val="0"/>
          <w:sz w:val="28"/>
          <w:highlight w:val="none"/>
          <w:lang w:val="zh-CN"/>
        </w:rPr>
        <w:t>并加盖公章</w:t>
      </w:r>
      <w:r>
        <w:rPr>
          <w:rStyle w:val="56"/>
          <w:rFonts w:ascii="仿宋" w:hAnsi="仿宋" w:eastAsia="仿宋"/>
          <w:b/>
          <w:color w:val="auto"/>
          <w:kern w:val="0"/>
          <w:sz w:val="28"/>
          <w:highlight w:val="none"/>
        </w:rPr>
        <w:t>；</w:t>
      </w:r>
    </w:p>
    <w:p>
      <w:pPr>
        <w:pStyle w:val="58"/>
        <w:spacing w:line="540" w:lineRule="exact"/>
        <w:ind w:firstLine="560" w:firstLineChars="200"/>
        <w:jc w:val="both"/>
        <w:rPr>
          <w:rStyle w:val="56"/>
          <w:rFonts w:ascii="仿宋" w:hAnsi="仿宋" w:eastAsia="仿宋"/>
          <w:b/>
          <w:color w:val="auto"/>
          <w:sz w:val="28"/>
          <w:highlight w:val="none"/>
        </w:rPr>
      </w:pPr>
      <w:r>
        <w:rPr>
          <w:rStyle w:val="56"/>
          <w:rFonts w:ascii="仿宋" w:hAnsi="仿宋" w:eastAsia="仿宋"/>
          <w:b/>
          <w:color w:val="auto"/>
          <w:sz w:val="28"/>
          <w:highlight w:val="none"/>
        </w:rPr>
        <w:t xml:space="preserve">24.6.4 </w:t>
      </w:r>
      <w:r>
        <w:rPr>
          <w:rStyle w:val="56"/>
          <w:rFonts w:hint="eastAsia" w:ascii="仿宋" w:hAnsi="仿宋" w:eastAsia="仿宋"/>
          <w:b/>
          <w:color w:val="auto"/>
          <w:sz w:val="28"/>
          <w:highlight w:val="none"/>
        </w:rPr>
        <w:t>投标</w:t>
      </w:r>
      <w:r>
        <w:rPr>
          <w:rStyle w:val="56"/>
          <w:rFonts w:ascii="仿宋" w:hAnsi="仿宋" w:eastAsia="仿宋"/>
          <w:b/>
          <w:color w:val="auto"/>
          <w:sz w:val="28"/>
          <w:highlight w:val="none"/>
        </w:rPr>
        <w:t>文件没有按照规定在应由企业法人或法人授权代表在所有规定签章处逐一签署及加盖单位公章的；</w:t>
      </w:r>
    </w:p>
    <w:p>
      <w:pPr>
        <w:pStyle w:val="58"/>
        <w:spacing w:line="540" w:lineRule="exact"/>
        <w:ind w:firstLine="560" w:firstLineChars="200"/>
        <w:jc w:val="both"/>
        <w:rPr>
          <w:rStyle w:val="56"/>
          <w:rFonts w:ascii="仿宋" w:hAnsi="仿宋" w:eastAsia="仿宋"/>
          <w:b/>
          <w:color w:val="auto"/>
          <w:kern w:val="0"/>
          <w:sz w:val="28"/>
          <w:highlight w:val="none"/>
        </w:rPr>
      </w:pPr>
      <w:r>
        <w:rPr>
          <w:rStyle w:val="56"/>
          <w:rFonts w:ascii="仿宋" w:hAnsi="仿宋" w:eastAsia="仿宋"/>
          <w:b/>
          <w:color w:val="auto"/>
          <w:kern w:val="0"/>
          <w:sz w:val="28"/>
          <w:highlight w:val="none"/>
        </w:rPr>
        <w:t xml:space="preserve">24.6.5 </w:t>
      </w:r>
      <w:r>
        <w:rPr>
          <w:rStyle w:val="56"/>
          <w:rFonts w:hint="eastAsia" w:ascii="仿宋" w:hAnsi="仿宋" w:eastAsia="仿宋"/>
          <w:b/>
          <w:color w:val="auto"/>
          <w:kern w:val="0"/>
          <w:sz w:val="28"/>
          <w:highlight w:val="none"/>
        </w:rPr>
        <w:t>投标</w:t>
      </w:r>
      <w:r>
        <w:rPr>
          <w:rStyle w:val="56"/>
          <w:rFonts w:ascii="仿宋" w:hAnsi="仿宋" w:eastAsia="仿宋"/>
          <w:b/>
          <w:color w:val="auto"/>
          <w:kern w:val="0"/>
          <w:sz w:val="28"/>
          <w:highlight w:val="none"/>
        </w:rPr>
        <w:t>文件针对同一种货物出现了两个或两个以上的报价；</w:t>
      </w:r>
    </w:p>
    <w:p>
      <w:pPr>
        <w:pStyle w:val="58"/>
        <w:spacing w:line="540" w:lineRule="exact"/>
        <w:ind w:left="558" w:leftChars="266"/>
        <w:jc w:val="both"/>
        <w:rPr>
          <w:rStyle w:val="56"/>
          <w:rFonts w:ascii="仿宋" w:hAnsi="仿宋" w:eastAsia="仿宋"/>
          <w:b/>
          <w:color w:val="auto"/>
          <w:kern w:val="0"/>
          <w:sz w:val="28"/>
          <w:highlight w:val="none"/>
        </w:rPr>
      </w:pPr>
      <w:r>
        <w:rPr>
          <w:rStyle w:val="56"/>
          <w:rFonts w:ascii="仿宋" w:hAnsi="仿宋" w:eastAsia="仿宋"/>
          <w:b/>
          <w:color w:val="auto"/>
          <w:kern w:val="0"/>
          <w:sz w:val="28"/>
          <w:highlight w:val="none"/>
        </w:rPr>
        <w:t>24.6.6 明显不符合</w:t>
      </w:r>
      <w:r>
        <w:rPr>
          <w:rStyle w:val="56"/>
          <w:rFonts w:hint="eastAsia" w:ascii="仿宋" w:hAnsi="仿宋" w:eastAsia="仿宋"/>
          <w:b/>
          <w:color w:val="auto"/>
          <w:kern w:val="0"/>
          <w:sz w:val="28"/>
          <w:highlight w:val="none"/>
        </w:rPr>
        <w:t>招标</w:t>
      </w:r>
      <w:r>
        <w:rPr>
          <w:rStyle w:val="56"/>
          <w:rFonts w:ascii="仿宋" w:hAnsi="仿宋" w:eastAsia="仿宋"/>
          <w:b/>
          <w:color w:val="auto"/>
          <w:kern w:val="0"/>
          <w:sz w:val="28"/>
          <w:highlight w:val="none"/>
        </w:rPr>
        <w:t>文件关于对</w:t>
      </w:r>
      <w:r>
        <w:rPr>
          <w:rStyle w:val="56"/>
          <w:rFonts w:hint="eastAsia" w:ascii="仿宋" w:hAnsi="仿宋" w:eastAsia="仿宋"/>
          <w:b/>
          <w:color w:val="auto"/>
          <w:kern w:val="0"/>
          <w:sz w:val="28"/>
          <w:highlight w:val="none"/>
        </w:rPr>
        <w:t>招标</w:t>
      </w:r>
      <w:r>
        <w:rPr>
          <w:rStyle w:val="56"/>
          <w:rFonts w:ascii="仿宋" w:hAnsi="仿宋" w:eastAsia="仿宋"/>
          <w:b/>
          <w:color w:val="auto"/>
          <w:kern w:val="0"/>
          <w:sz w:val="28"/>
          <w:highlight w:val="none"/>
        </w:rPr>
        <w:t>货物技术规格和标准的要求；</w:t>
      </w:r>
    </w:p>
    <w:p>
      <w:pPr>
        <w:pStyle w:val="58"/>
        <w:spacing w:line="540" w:lineRule="exact"/>
        <w:ind w:left="558" w:leftChars="266"/>
        <w:jc w:val="both"/>
        <w:rPr>
          <w:rStyle w:val="56"/>
          <w:rFonts w:ascii="仿宋" w:hAnsi="仿宋" w:eastAsia="仿宋"/>
          <w:b/>
          <w:color w:val="auto"/>
          <w:kern w:val="0"/>
          <w:sz w:val="28"/>
          <w:highlight w:val="none"/>
        </w:rPr>
      </w:pPr>
      <w:r>
        <w:rPr>
          <w:rStyle w:val="56"/>
          <w:rFonts w:ascii="仿宋" w:hAnsi="仿宋" w:eastAsia="仿宋"/>
          <w:b/>
          <w:color w:val="auto"/>
          <w:kern w:val="0"/>
          <w:sz w:val="28"/>
          <w:highlight w:val="none"/>
        </w:rPr>
        <w:t xml:space="preserve">24.6.7 </w:t>
      </w:r>
      <w:r>
        <w:rPr>
          <w:rStyle w:val="56"/>
          <w:rFonts w:hint="eastAsia" w:ascii="仿宋" w:hAnsi="仿宋" w:eastAsia="仿宋"/>
          <w:b/>
          <w:color w:val="auto"/>
          <w:kern w:val="0"/>
          <w:sz w:val="28"/>
          <w:highlight w:val="none"/>
        </w:rPr>
        <w:t>投标</w:t>
      </w:r>
      <w:r>
        <w:rPr>
          <w:rStyle w:val="56"/>
          <w:rFonts w:ascii="仿宋" w:hAnsi="仿宋" w:eastAsia="仿宋"/>
          <w:b/>
          <w:color w:val="auto"/>
          <w:kern w:val="0"/>
          <w:sz w:val="28"/>
          <w:highlight w:val="none"/>
        </w:rPr>
        <w:t>文件载明的</w:t>
      </w:r>
      <w:r>
        <w:rPr>
          <w:rStyle w:val="56"/>
          <w:rFonts w:hint="eastAsia" w:ascii="仿宋" w:hAnsi="仿宋" w:eastAsia="仿宋"/>
          <w:b/>
          <w:color w:val="auto"/>
          <w:kern w:val="0"/>
          <w:sz w:val="28"/>
          <w:highlight w:val="none"/>
        </w:rPr>
        <w:t>投标交货期</w:t>
      </w:r>
      <w:r>
        <w:rPr>
          <w:rStyle w:val="56"/>
          <w:rFonts w:ascii="仿宋" w:hAnsi="仿宋" w:eastAsia="仿宋"/>
          <w:b/>
          <w:color w:val="auto"/>
          <w:kern w:val="0"/>
          <w:sz w:val="28"/>
          <w:highlight w:val="none"/>
        </w:rPr>
        <w:t>限</w:t>
      </w:r>
      <w:r>
        <w:rPr>
          <w:rStyle w:val="56"/>
          <w:rFonts w:hint="eastAsia" w:ascii="仿宋" w:hAnsi="仿宋" w:eastAsia="仿宋"/>
          <w:b/>
          <w:color w:val="auto"/>
          <w:kern w:val="0"/>
          <w:sz w:val="28"/>
          <w:highlight w:val="none"/>
        </w:rPr>
        <w:t>（项目工期）</w:t>
      </w:r>
      <w:r>
        <w:rPr>
          <w:rStyle w:val="56"/>
          <w:rFonts w:ascii="仿宋" w:hAnsi="仿宋" w:eastAsia="仿宋"/>
          <w:b/>
          <w:color w:val="auto"/>
          <w:kern w:val="0"/>
          <w:sz w:val="28"/>
          <w:highlight w:val="none"/>
        </w:rPr>
        <w:t>超过</w:t>
      </w:r>
      <w:r>
        <w:rPr>
          <w:rStyle w:val="56"/>
          <w:rFonts w:hint="eastAsia" w:ascii="仿宋" w:hAnsi="仿宋" w:eastAsia="仿宋"/>
          <w:b/>
          <w:color w:val="auto"/>
          <w:kern w:val="0"/>
          <w:sz w:val="28"/>
          <w:highlight w:val="none"/>
        </w:rPr>
        <w:t>招标</w:t>
      </w:r>
      <w:r>
        <w:rPr>
          <w:rStyle w:val="56"/>
          <w:rFonts w:ascii="仿宋" w:hAnsi="仿宋" w:eastAsia="仿宋"/>
          <w:b/>
          <w:color w:val="auto"/>
          <w:kern w:val="0"/>
          <w:sz w:val="28"/>
          <w:highlight w:val="none"/>
        </w:rPr>
        <w:t>文件规定的期限；</w:t>
      </w:r>
    </w:p>
    <w:p>
      <w:pPr>
        <w:pStyle w:val="58"/>
        <w:spacing w:line="540" w:lineRule="exact"/>
        <w:ind w:left="558" w:leftChars="266"/>
        <w:jc w:val="both"/>
        <w:rPr>
          <w:rStyle w:val="56"/>
          <w:rFonts w:ascii="仿宋" w:hAnsi="仿宋" w:eastAsia="仿宋"/>
          <w:b/>
          <w:color w:val="auto"/>
          <w:kern w:val="0"/>
          <w:sz w:val="28"/>
          <w:highlight w:val="none"/>
        </w:rPr>
      </w:pPr>
      <w:r>
        <w:rPr>
          <w:rStyle w:val="56"/>
          <w:rFonts w:ascii="仿宋" w:hAnsi="仿宋" w:eastAsia="仿宋"/>
          <w:b/>
          <w:color w:val="auto"/>
          <w:kern w:val="0"/>
          <w:sz w:val="28"/>
          <w:highlight w:val="none"/>
        </w:rPr>
        <w:t xml:space="preserve">24.6.8 </w:t>
      </w:r>
      <w:r>
        <w:rPr>
          <w:rStyle w:val="56"/>
          <w:rFonts w:hint="eastAsia" w:ascii="仿宋" w:hAnsi="仿宋" w:eastAsia="仿宋"/>
          <w:b/>
          <w:color w:val="auto"/>
          <w:kern w:val="0"/>
          <w:sz w:val="28"/>
          <w:highlight w:val="none"/>
        </w:rPr>
        <w:t>投标</w:t>
      </w:r>
      <w:r>
        <w:rPr>
          <w:rStyle w:val="56"/>
          <w:rFonts w:ascii="仿宋" w:hAnsi="仿宋" w:eastAsia="仿宋"/>
          <w:b/>
          <w:color w:val="auto"/>
          <w:kern w:val="0"/>
          <w:sz w:val="28"/>
          <w:highlight w:val="none"/>
        </w:rPr>
        <w:t>文件载明的供货范围、货物包装方式、检验标准和方法等不</w:t>
      </w:r>
    </w:p>
    <w:p>
      <w:pPr>
        <w:pStyle w:val="58"/>
        <w:spacing w:line="540" w:lineRule="exact"/>
        <w:jc w:val="both"/>
        <w:rPr>
          <w:rStyle w:val="56"/>
          <w:rFonts w:ascii="仿宋" w:hAnsi="仿宋" w:eastAsia="仿宋"/>
          <w:b/>
          <w:color w:val="auto"/>
          <w:kern w:val="0"/>
          <w:sz w:val="28"/>
          <w:highlight w:val="none"/>
        </w:rPr>
      </w:pPr>
      <w:r>
        <w:rPr>
          <w:rStyle w:val="56"/>
          <w:rFonts w:ascii="仿宋" w:hAnsi="仿宋" w:eastAsia="仿宋"/>
          <w:b/>
          <w:color w:val="auto"/>
          <w:kern w:val="0"/>
          <w:sz w:val="28"/>
          <w:highlight w:val="none"/>
        </w:rPr>
        <w:t>符合</w:t>
      </w:r>
      <w:r>
        <w:rPr>
          <w:rStyle w:val="56"/>
          <w:rFonts w:hint="eastAsia" w:ascii="仿宋" w:hAnsi="仿宋" w:eastAsia="仿宋"/>
          <w:b/>
          <w:color w:val="auto"/>
          <w:kern w:val="0"/>
          <w:sz w:val="28"/>
          <w:highlight w:val="none"/>
        </w:rPr>
        <w:t>招标</w:t>
      </w:r>
      <w:r>
        <w:rPr>
          <w:rStyle w:val="56"/>
          <w:rFonts w:ascii="仿宋" w:hAnsi="仿宋" w:eastAsia="仿宋"/>
          <w:b/>
          <w:color w:val="auto"/>
          <w:kern w:val="0"/>
          <w:sz w:val="28"/>
          <w:highlight w:val="none"/>
        </w:rPr>
        <w:t>文件的要求；</w:t>
      </w:r>
    </w:p>
    <w:p>
      <w:pPr>
        <w:pStyle w:val="58"/>
        <w:spacing w:line="540" w:lineRule="exact"/>
        <w:ind w:firstLine="560"/>
        <w:jc w:val="both"/>
        <w:rPr>
          <w:rStyle w:val="56"/>
          <w:rFonts w:ascii="仿宋" w:hAnsi="仿宋" w:eastAsia="仿宋"/>
          <w:b/>
          <w:color w:val="auto"/>
          <w:sz w:val="28"/>
          <w:highlight w:val="none"/>
        </w:rPr>
      </w:pPr>
      <w:r>
        <w:rPr>
          <w:rStyle w:val="56"/>
          <w:rFonts w:ascii="仿宋" w:hAnsi="仿宋" w:eastAsia="仿宋"/>
          <w:b/>
          <w:color w:val="auto"/>
          <w:sz w:val="28"/>
          <w:highlight w:val="none"/>
        </w:rPr>
        <w:t>24.6.9 供应商的报价超过预算价或最高限价；</w:t>
      </w:r>
    </w:p>
    <w:p>
      <w:pPr>
        <w:pStyle w:val="58"/>
        <w:spacing w:line="540" w:lineRule="exact"/>
        <w:ind w:firstLine="560"/>
        <w:jc w:val="both"/>
        <w:rPr>
          <w:rStyle w:val="56"/>
          <w:rFonts w:ascii="仿宋" w:hAnsi="仿宋" w:eastAsia="仿宋"/>
          <w:b/>
          <w:color w:val="auto"/>
          <w:kern w:val="0"/>
          <w:sz w:val="28"/>
          <w:highlight w:val="none"/>
        </w:rPr>
      </w:pPr>
      <w:r>
        <w:rPr>
          <w:rStyle w:val="56"/>
          <w:rFonts w:ascii="仿宋" w:hAnsi="仿宋" w:eastAsia="仿宋"/>
          <w:b/>
          <w:color w:val="auto"/>
          <w:kern w:val="0"/>
          <w:sz w:val="28"/>
          <w:highlight w:val="none"/>
        </w:rPr>
        <w:t xml:space="preserve">24.6.10 </w:t>
      </w:r>
      <w:r>
        <w:rPr>
          <w:rStyle w:val="56"/>
          <w:rFonts w:hint="eastAsia" w:ascii="仿宋" w:hAnsi="仿宋" w:eastAsia="仿宋"/>
          <w:b/>
          <w:color w:val="auto"/>
          <w:kern w:val="0"/>
          <w:sz w:val="28"/>
          <w:highlight w:val="none"/>
        </w:rPr>
        <w:t>投标</w:t>
      </w:r>
      <w:r>
        <w:rPr>
          <w:rStyle w:val="56"/>
          <w:rFonts w:ascii="仿宋" w:hAnsi="仿宋" w:eastAsia="仿宋"/>
          <w:b/>
          <w:color w:val="auto"/>
          <w:kern w:val="0"/>
          <w:sz w:val="28"/>
          <w:highlight w:val="none"/>
        </w:rPr>
        <w:t>文件含有采购人不能接受的附加条件；</w:t>
      </w:r>
    </w:p>
    <w:p>
      <w:pPr>
        <w:pStyle w:val="58"/>
        <w:spacing w:line="540" w:lineRule="exact"/>
        <w:ind w:firstLine="560"/>
        <w:jc w:val="both"/>
        <w:rPr>
          <w:rStyle w:val="56"/>
          <w:rFonts w:ascii="仿宋" w:hAnsi="仿宋" w:eastAsia="仿宋"/>
          <w:b/>
          <w:color w:val="auto"/>
          <w:kern w:val="0"/>
          <w:sz w:val="28"/>
          <w:highlight w:val="none"/>
        </w:rPr>
      </w:pPr>
      <w:r>
        <w:rPr>
          <w:rStyle w:val="56"/>
          <w:rFonts w:ascii="仿宋" w:hAnsi="仿宋" w:eastAsia="仿宋"/>
          <w:b/>
          <w:color w:val="auto"/>
          <w:kern w:val="0"/>
          <w:sz w:val="28"/>
          <w:highlight w:val="none"/>
        </w:rPr>
        <w:t>24.6.11 没有实质性响应招标文件（商务条款）规定的；</w:t>
      </w:r>
    </w:p>
    <w:p>
      <w:pPr>
        <w:pStyle w:val="58"/>
        <w:spacing w:line="540" w:lineRule="exact"/>
        <w:ind w:firstLine="560"/>
        <w:jc w:val="both"/>
        <w:rPr>
          <w:rStyle w:val="56"/>
          <w:rFonts w:ascii="仿宋" w:hAnsi="仿宋" w:eastAsia="仿宋"/>
          <w:b/>
          <w:color w:val="auto"/>
          <w:kern w:val="0"/>
          <w:sz w:val="28"/>
          <w:highlight w:val="none"/>
        </w:rPr>
      </w:pPr>
      <w:r>
        <w:rPr>
          <w:rStyle w:val="56"/>
          <w:rFonts w:ascii="仿宋" w:hAnsi="仿宋" w:eastAsia="仿宋"/>
          <w:b/>
          <w:color w:val="auto"/>
          <w:kern w:val="0"/>
          <w:sz w:val="28"/>
          <w:highlight w:val="none"/>
        </w:rPr>
        <w:t>24.6.12</w:t>
      </w:r>
      <w:r>
        <w:rPr>
          <w:rStyle w:val="56"/>
          <w:rFonts w:hint="eastAsia" w:ascii="仿宋" w:hAnsi="仿宋" w:eastAsia="仿宋"/>
          <w:b/>
          <w:color w:val="auto"/>
          <w:kern w:val="0"/>
          <w:sz w:val="28"/>
          <w:highlight w:val="none"/>
        </w:rPr>
        <w:t xml:space="preserve"> </w:t>
      </w:r>
      <w:r>
        <w:rPr>
          <w:rStyle w:val="56"/>
          <w:rFonts w:ascii="仿宋" w:hAnsi="仿宋" w:eastAsia="仿宋"/>
          <w:b/>
          <w:color w:val="auto"/>
          <w:kern w:val="0"/>
          <w:sz w:val="28"/>
          <w:highlight w:val="none"/>
        </w:rPr>
        <w:t>不符合法律、法规和招标文件中规定的其他实质性要求。</w:t>
      </w:r>
    </w:p>
    <w:p>
      <w:pPr>
        <w:pStyle w:val="41"/>
        <w:spacing w:line="540" w:lineRule="exact"/>
        <w:ind w:firstLine="560"/>
        <w:rPr>
          <w:rFonts w:ascii="仿宋" w:hAnsi="仿宋" w:eastAsia="仿宋"/>
          <w:color w:val="auto"/>
          <w:highlight w:val="none"/>
        </w:rPr>
      </w:pPr>
      <w:r>
        <w:rPr>
          <w:rFonts w:hint="eastAsia" w:ascii="仿宋" w:hAnsi="仿宋" w:eastAsia="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pPr>
        <w:pStyle w:val="24"/>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24.7.1 投标文件中开标一览表内容与投标文件中相应内容不一致的，以开标一览表为准；</w:t>
      </w:r>
    </w:p>
    <w:p>
      <w:pPr>
        <w:pStyle w:val="24"/>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24.7.2 投标文件的大写金额和小写金额不一致的，以大写金额为准；</w:t>
      </w:r>
    </w:p>
    <w:p>
      <w:pPr>
        <w:pStyle w:val="24"/>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24.7.3 单价金额小数点或者百分比有明显错位的，以开标一览表的总价为准，并修改单价；</w:t>
      </w:r>
    </w:p>
    <w:p>
      <w:pPr>
        <w:pStyle w:val="24"/>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24.7.4 总价金额与按单价汇总金额不一致的，以单价金额计算结果为准。</w:t>
      </w:r>
    </w:p>
    <w:p>
      <w:pPr>
        <w:pStyle w:val="24"/>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24.7.5 同时出现两种以上不一致的，按照上述规定的顺序修正。</w:t>
      </w:r>
      <w:r>
        <w:rPr>
          <w:rFonts w:hint="eastAsia" w:ascii="仿宋" w:hAnsi="仿宋" w:eastAsia="仿宋"/>
          <w:b/>
          <w:color w:val="auto"/>
          <w:sz w:val="28"/>
          <w:highlight w:val="none"/>
        </w:rPr>
        <w:t>修正后的报价须供应商确认，如果供应商拒绝确认，其投标无效。</w:t>
      </w:r>
    </w:p>
    <w:p>
      <w:pPr>
        <w:pStyle w:val="24"/>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24.7.6 对不同文字文本投标文件的解释发生异议的，以中文文本为准。</w:t>
      </w:r>
    </w:p>
    <w:p>
      <w:pPr>
        <w:pStyle w:val="24"/>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24.7.7 评标委员会将拒绝被定为实质上非响应性的投标，供应商不能通过修正或撤销不符之处而使其投标成为响应性投标。</w:t>
      </w:r>
    </w:p>
    <w:p>
      <w:pPr>
        <w:pStyle w:val="24"/>
        <w:spacing w:before="0" w:beforeAutospacing="0" w:after="0" w:afterAutospacing="0" w:line="540" w:lineRule="exact"/>
        <w:ind w:firstLine="560" w:firstLineChars="200"/>
        <w:rPr>
          <w:rFonts w:ascii="仿宋" w:hAnsi="仿宋" w:eastAsia="仿宋"/>
          <w:b/>
          <w:color w:val="auto"/>
          <w:sz w:val="28"/>
          <w:highlight w:val="none"/>
        </w:rPr>
      </w:pPr>
      <w:r>
        <w:rPr>
          <w:rFonts w:hint="eastAsia" w:ascii="仿宋" w:hAnsi="仿宋" w:eastAsia="仿宋"/>
          <w:color w:val="auto"/>
          <w:sz w:val="28"/>
          <w:highlight w:val="none"/>
        </w:rPr>
        <w:t>24.7.8 评标委员会将允许投标中有微小的不正规、不一致或不规则，而该微小之处不构成重大偏离。</w:t>
      </w:r>
    </w:p>
    <w:p>
      <w:pPr>
        <w:pStyle w:val="45"/>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 详细评审</w:t>
      </w:r>
    </w:p>
    <w:p>
      <w:pPr>
        <w:pStyle w:val="45"/>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45"/>
        <w:spacing w:line="540" w:lineRule="exact"/>
        <w:ind w:firstLine="562"/>
        <w:jc w:val="left"/>
        <w:rPr>
          <w:rFonts w:ascii="仿宋" w:hAnsi="仿宋" w:eastAsia="仿宋"/>
          <w:color w:val="auto"/>
          <w:sz w:val="28"/>
          <w:highlight w:val="none"/>
        </w:rPr>
      </w:pPr>
      <w:r>
        <w:rPr>
          <w:rFonts w:hint="eastAsia" w:ascii="仿宋" w:hAnsi="仿宋" w:eastAsia="仿宋"/>
          <w:color w:val="auto"/>
          <w:sz w:val="28"/>
          <w:highlight w:val="none"/>
        </w:rPr>
        <w:t>24.8.2 评标委员会将对下述评审因素进行量化，并根据评委会每个成员对投标文件的评审和理解进行打分，满分为100分。商务部分权重占29%，其中价格满分为10分，商务条件满分为19分；技术部分权重占71%，满分为71分。供应商两部分的分值相加，即为该供应商的综合评估分。</w:t>
      </w:r>
    </w:p>
    <w:p>
      <w:pPr>
        <w:pStyle w:val="45"/>
        <w:spacing w:line="540" w:lineRule="exact"/>
        <w:ind w:firstLine="562"/>
        <w:jc w:val="both"/>
        <w:rPr>
          <w:rFonts w:ascii="仿宋" w:hAnsi="仿宋" w:eastAsia="仿宋"/>
          <w:color w:val="auto"/>
          <w:sz w:val="28"/>
          <w:highlight w:val="none"/>
        </w:rPr>
      </w:pPr>
      <w:r>
        <w:rPr>
          <w:rFonts w:hint="eastAsia" w:ascii="仿宋" w:hAnsi="仿宋" w:eastAsia="仿宋"/>
          <w:color w:val="auto"/>
          <w:sz w:val="28"/>
          <w:highlight w:val="none"/>
        </w:rPr>
        <w:t>具体分值见下表：</w:t>
      </w:r>
    </w:p>
    <w:p>
      <w:pPr>
        <w:pStyle w:val="45"/>
        <w:spacing w:line="540" w:lineRule="exact"/>
        <w:ind w:firstLine="562"/>
        <w:jc w:val="both"/>
        <w:rPr>
          <w:rFonts w:ascii="仿宋" w:hAnsi="仿宋" w:eastAsia="仿宋"/>
          <w:color w:val="auto"/>
          <w:sz w:val="28"/>
          <w:highlight w:val="none"/>
        </w:rPr>
      </w:pPr>
      <w:r>
        <w:rPr>
          <w:rFonts w:hint="eastAsia" w:ascii="仿宋" w:hAnsi="仿宋" w:eastAsia="仿宋"/>
          <w:color w:val="auto"/>
          <w:sz w:val="28"/>
          <w:highlight w:val="none"/>
        </w:rPr>
        <w:t>A、商务部分（29分）</w:t>
      </w:r>
    </w:p>
    <w:tbl>
      <w:tblPr>
        <w:tblStyle w:val="28"/>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2210"/>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blHeader/>
          <w:jc w:val="center"/>
        </w:trPr>
        <w:tc>
          <w:tcPr>
            <w:tcW w:w="1268" w:type="dxa"/>
            <w:vAlign w:val="center"/>
          </w:tcPr>
          <w:p>
            <w:pPr>
              <w:pStyle w:val="45"/>
              <w:ind w:firstLine="0" w:firstLineChars="0"/>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价格部分</w:t>
            </w:r>
          </w:p>
          <w:p>
            <w:pPr>
              <w:pStyle w:val="45"/>
              <w:ind w:firstLine="0" w:firstLineChars="0"/>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（10分）</w:t>
            </w:r>
          </w:p>
        </w:tc>
        <w:tc>
          <w:tcPr>
            <w:tcW w:w="2210" w:type="dxa"/>
            <w:vAlign w:val="center"/>
          </w:tcPr>
          <w:p>
            <w:pPr>
              <w:pStyle w:val="45"/>
              <w:ind w:firstLine="0" w:firstLineChars="0"/>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价格部分（10分）</w:t>
            </w:r>
          </w:p>
        </w:tc>
        <w:tc>
          <w:tcPr>
            <w:tcW w:w="6195" w:type="dxa"/>
            <w:vAlign w:val="center"/>
          </w:tcPr>
          <w:p>
            <w:pPr>
              <w:pStyle w:val="45"/>
              <w:spacing w:line="276" w:lineRule="auto"/>
              <w:ind w:firstLine="0" w:firstLineChars="0"/>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以满足招标文件要求且投标价格最低的投标报价为评标基准价，其价格分为满分10分，其他投标人的价格分按照下列公式计算：投标报价得分=（评标基准价/投标报价）×10*100%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blHeader/>
          <w:jc w:val="center"/>
        </w:trPr>
        <w:tc>
          <w:tcPr>
            <w:tcW w:w="1268" w:type="dxa"/>
            <w:vMerge w:val="restart"/>
            <w:vAlign w:val="center"/>
          </w:tcPr>
          <w:p>
            <w:pPr>
              <w:pStyle w:val="45"/>
              <w:spacing w:line="240" w:lineRule="auto"/>
              <w:ind w:firstLine="0" w:firstLineChars="0"/>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商务条件（19分）</w:t>
            </w:r>
          </w:p>
        </w:tc>
        <w:tc>
          <w:tcPr>
            <w:tcW w:w="2210" w:type="dxa"/>
            <w:vAlign w:val="center"/>
          </w:tcPr>
          <w:p>
            <w:pPr>
              <w:pStyle w:val="45"/>
              <w:spacing w:line="240" w:lineRule="auto"/>
              <w:ind w:firstLine="0" w:firstLineChars="0"/>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供应商系统异构集成能力</w:t>
            </w:r>
          </w:p>
          <w:p>
            <w:pPr>
              <w:pStyle w:val="45"/>
              <w:spacing w:line="240" w:lineRule="auto"/>
              <w:ind w:firstLine="0" w:firstLineChars="0"/>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（5分）</w:t>
            </w:r>
          </w:p>
        </w:tc>
        <w:tc>
          <w:tcPr>
            <w:tcW w:w="6195" w:type="dxa"/>
            <w:vAlign w:val="center"/>
          </w:tcPr>
          <w:p>
            <w:pPr>
              <w:pStyle w:val="45"/>
              <w:spacing w:line="240" w:lineRule="auto"/>
              <w:ind w:firstLine="0" w:firstLineChars="0"/>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投标人</w:t>
            </w:r>
            <w:r>
              <w:rPr>
                <w:rFonts w:ascii="仿宋" w:hAnsi="仿宋" w:eastAsia="仿宋" w:cs="仿宋"/>
                <w:b w:val="0"/>
                <w:color w:val="auto"/>
                <w:sz w:val="24"/>
                <w:szCs w:val="24"/>
                <w:highlight w:val="none"/>
              </w:rPr>
              <w:t>具有与非自有 HIS系统深度集成能力。</w:t>
            </w:r>
            <w:r>
              <w:rPr>
                <w:rFonts w:hint="eastAsia" w:ascii="仿宋" w:hAnsi="仿宋" w:eastAsia="仿宋" w:cs="仿宋"/>
                <w:b w:val="0"/>
                <w:color w:val="auto"/>
                <w:sz w:val="24"/>
                <w:szCs w:val="24"/>
                <w:highlight w:val="none"/>
              </w:rPr>
              <w:t>供应商</w:t>
            </w:r>
            <w:r>
              <w:rPr>
                <w:rFonts w:ascii="仿宋" w:hAnsi="仿宋" w:eastAsia="仿宋" w:cs="仿宋"/>
                <w:b w:val="0"/>
                <w:color w:val="auto"/>
                <w:sz w:val="24"/>
                <w:szCs w:val="24"/>
                <w:highlight w:val="none"/>
              </w:rPr>
              <w:t>集成平台</w:t>
            </w:r>
            <w:r>
              <w:rPr>
                <w:rFonts w:hint="eastAsia" w:ascii="仿宋" w:hAnsi="仿宋" w:eastAsia="仿宋" w:cs="仿宋"/>
                <w:b w:val="0"/>
                <w:color w:val="auto"/>
                <w:sz w:val="24"/>
                <w:szCs w:val="24"/>
                <w:highlight w:val="none"/>
              </w:rPr>
              <w:t>产品</w:t>
            </w:r>
            <w:r>
              <w:rPr>
                <w:rFonts w:ascii="仿宋" w:hAnsi="仿宋" w:eastAsia="仿宋" w:cs="仿宋"/>
                <w:b w:val="0"/>
                <w:color w:val="auto"/>
                <w:sz w:val="24"/>
                <w:szCs w:val="24"/>
                <w:highlight w:val="none"/>
              </w:rPr>
              <w:t>具有与HIS产品（非</w:t>
            </w:r>
            <w:r>
              <w:rPr>
                <w:rFonts w:hint="eastAsia" w:ascii="仿宋" w:hAnsi="仿宋" w:eastAsia="仿宋" w:cs="仿宋"/>
                <w:b w:val="0"/>
                <w:color w:val="auto"/>
                <w:sz w:val="24"/>
                <w:szCs w:val="24"/>
                <w:highlight w:val="none"/>
              </w:rPr>
              <w:t>供应商</w:t>
            </w:r>
            <w:r>
              <w:rPr>
                <w:rFonts w:ascii="仿宋" w:hAnsi="仿宋" w:eastAsia="仿宋" w:cs="仿宋"/>
                <w:b w:val="0"/>
                <w:color w:val="auto"/>
                <w:sz w:val="24"/>
                <w:szCs w:val="24"/>
                <w:highlight w:val="none"/>
              </w:rPr>
              <w:t>自有HIS系统）的集成案例的每个得1分，满分为5分。</w:t>
            </w:r>
          </w:p>
          <w:p>
            <w:pPr>
              <w:pStyle w:val="45"/>
              <w:spacing w:line="240" w:lineRule="auto"/>
              <w:ind w:firstLine="0" w:firstLineChars="0"/>
              <w:jc w:val="both"/>
              <w:outlineLvl w:val="0"/>
              <w:rPr>
                <w:rFonts w:hint="eastAsia" w:ascii="仿宋" w:hAnsi="仿宋" w:eastAsia="仿宋" w:cs="仿宋"/>
                <w:b w:val="0"/>
                <w:color w:val="auto"/>
                <w:sz w:val="24"/>
                <w:szCs w:val="24"/>
                <w:highlight w:val="none"/>
                <w:lang w:eastAsia="zh-CN"/>
              </w:rPr>
            </w:pPr>
            <w:r>
              <w:rPr>
                <w:rFonts w:ascii="仿宋" w:hAnsi="仿宋" w:eastAsia="仿宋" w:cs="仿宋"/>
                <w:b w:val="0"/>
                <w:color w:val="auto"/>
                <w:sz w:val="24"/>
                <w:szCs w:val="24"/>
                <w:highlight w:val="none"/>
              </w:rPr>
              <w:t>案例须</w:t>
            </w:r>
            <w:r>
              <w:rPr>
                <w:rFonts w:hint="eastAsia" w:ascii="仿宋" w:hAnsi="仿宋" w:eastAsia="仿宋" w:cs="仿宋"/>
                <w:b w:val="0"/>
                <w:color w:val="auto"/>
                <w:sz w:val="24"/>
                <w:szCs w:val="24"/>
                <w:highlight w:val="none"/>
              </w:rPr>
              <w:t>提供集成平台项目合同</w:t>
            </w:r>
            <w:r>
              <w:rPr>
                <w:rFonts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rPr>
              <w:t>未提供不得分</w:t>
            </w:r>
            <w:r>
              <w:rPr>
                <w:rFonts w:hint="eastAsia" w:ascii="仿宋" w:hAnsi="仿宋" w:eastAsia="仿宋" w:cs="仿宋"/>
                <w:b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268" w:type="dxa"/>
            <w:vMerge w:val="continue"/>
            <w:vAlign w:val="center"/>
          </w:tcPr>
          <w:p>
            <w:pPr>
              <w:pStyle w:val="45"/>
              <w:spacing w:line="240" w:lineRule="auto"/>
              <w:ind w:firstLine="480"/>
              <w:outlineLvl w:val="0"/>
              <w:rPr>
                <w:rFonts w:ascii="仿宋" w:hAnsi="仿宋" w:eastAsia="仿宋" w:cs="仿宋"/>
                <w:b w:val="0"/>
                <w:color w:val="auto"/>
                <w:sz w:val="24"/>
                <w:szCs w:val="24"/>
                <w:highlight w:val="none"/>
              </w:rPr>
            </w:pPr>
          </w:p>
        </w:tc>
        <w:tc>
          <w:tcPr>
            <w:tcW w:w="2210" w:type="dxa"/>
            <w:vMerge w:val="restart"/>
            <w:vAlign w:val="center"/>
          </w:tcPr>
          <w:p>
            <w:pPr>
              <w:pStyle w:val="45"/>
              <w:spacing w:line="240" w:lineRule="auto"/>
              <w:ind w:firstLine="0" w:firstLineChars="0"/>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所投产品互联互通符合情况</w:t>
            </w:r>
          </w:p>
          <w:p>
            <w:pPr>
              <w:pStyle w:val="45"/>
              <w:spacing w:line="240" w:lineRule="auto"/>
              <w:ind w:firstLine="0" w:firstLineChars="0"/>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（14分）</w:t>
            </w:r>
          </w:p>
        </w:tc>
        <w:tc>
          <w:tcPr>
            <w:tcW w:w="6195" w:type="dxa"/>
            <w:vAlign w:val="center"/>
          </w:tcPr>
          <w:p>
            <w:pPr>
              <w:pStyle w:val="45"/>
              <w:numPr>
                <w:ilvl w:val="255"/>
                <w:numId w:val="0"/>
              </w:numPr>
              <w:spacing w:line="240" w:lineRule="auto"/>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1.为保障医院后期互联互通规划，投标人应具备通过国家医疗健康信息互联互通标准化成熟度四级甲等及以上测评的能力，投标商需提供自2018年</w:t>
            </w:r>
            <w:r>
              <w:rPr>
                <w:rFonts w:hint="eastAsia" w:ascii="仿宋" w:hAnsi="仿宋" w:eastAsia="仿宋" w:cs="仿宋"/>
                <w:b w:val="0"/>
                <w:color w:val="auto"/>
                <w:sz w:val="24"/>
                <w:szCs w:val="24"/>
                <w:highlight w:val="none"/>
                <w:lang w:val="en-US" w:eastAsia="zh-CN"/>
              </w:rPr>
              <w:t>至今</w:t>
            </w:r>
            <w:r>
              <w:rPr>
                <w:rFonts w:hint="eastAsia" w:ascii="仿宋" w:hAnsi="仿宋" w:eastAsia="仿宋" w:cs="仿宋"/>
                <w:b w:val="0"/>
                <w:color w:val="auto"/>
                <w:sz w:val="24"/>
                <w:szCs w:val="24"/>
                <w:highlight w:val="none"/>
              </w:rPr>
              <w:t>通过（</w:t>
            </w:r>
            <w:r>
              <w:rPr>
                <w:rFonts w:hint="eastAsia" w:ascii="仿宋" w:hAnsi="仿宋" w:eastAsia="仿宋" w:cs="仿宋"/>
                <w:b w:val="0"/>
                <w:color w:val="auto"/>
                <w:sz w:val="24"/>
                <w:szCs w:val="24"/>
                <w:highlight w:val="none"/>
                <w:lang w:val="en-US" w:eastAsia="zh-CN"/>
              </w:rPr>
              <w:t>以</w:t>
            </w:r>
            <w:r>
              <w:rPr>
                <w:rFonts w:hint="eastAsia" w:ascii="仿宋" w:hAnsi="仿宋" w:eastAsia="仿宋" w:cs="仿宋"/>
                <w:b w:val="0"/>
                <w:color w:val="auto"/>
                <w:sz w:val="24"/>
                <w:szCs w:val="24"/>
                <w:highlight w:val="none"/>
              </w:rPr>
              <w:t>国家公示测评结果为依据）国家医疗健康信息互联互通成熟度四级甲等及以上测评案例。</w:t>
            </w:r>
          </w:p>
          <w:p>
            <w:pPr>
              <w:pStyle w:val="45"/>
              <w:numPr>
                <w:ilvl w:val="255"/>
                <w:numId w:val="0"/>
              </w:numPr>
              <w:spacing w:line="240" w:lineRule="auto"/>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每提供一个五乙的得2分；</w:t>
            </w:r>
          </w:p>
          <w:p>
            <w:pPr>
              <w:pStyle w:val="45"/>
              <w:numPr>
                <w:ilvl w:val="255"/>
                <w:numId w:val="0"/>
              </w:numPr>
              <w:spacing w:line="240" w:lineRule="auto"/>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每提供一个四甲的得1分；</w:t>
            </w:r>
          </w:p>
          <w:p>
            <w:pPr>
              <w:pStyle w:val="45"/>
              <w:numPr>
                <w:ilvl w:val="255"/>
                <w:numId w:val="0"/>
              </w:numPr>
              <w:spacing w:line="240" w:lineRule="auto"/>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最高得10分。</w:t>
            </w:r>
          </w:p>
          <w:p>
            <w:pPr>
              <w:pStyle w:val="45"/>
              <w:spacing w:line="240" w:lineRule="auto"/>
              <w:ind w:firstLine="0" w:firstLineChars="0"/>
              <w:jc w:val="both"/>
              <w:outlineLvl w:val="0"/>
              <w:rPr>
                <w:rFonts w:hint="eastAsia" w:ascii="仿宋" w:hAnsi="仿宋" w:eastAsia="仿宋" w:cs="仿宋"/>
                <w:b w:val="0"/>
                <w:color w:val="auto"/>
                <w:sz w:val="24"/>
                <w:szCs w:val="24"/>
                <w:highlight w:val="none"/>
                <w:lang w:eastAsia="zh-CN"/>
              </w:rPr>
            </w:pPr>
            <w:r>
              <w:rPr>
                <w:rFonts w:hint="eastAsia" w:ascii="仿宋" w:hAnsi="仿宋" w:eastAsia="仿宋" w:cs="仿宋"/>
                <w:b w:val="0"/>
                <w:color w:val="auto"/>
                <w:sz w:val="24"/>
                <w:szCs w:val="24"/>
                <w:highlight w:val="none"/>
              </w:rPr>
              <w:t>评审依据：提供集成平台项目合同原件扫描件并加盖公章</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中标通知书及</w:t>
            </w:r>
            <w:r>
              <w:rPr>
                <w:rFonts w:hint="eastAsia" w:ascii="仿宋" w:hAnsi="仿宋" w:eastAsia="仿宋" w:cs="仿宋"/>
                <w:b w:val="0"/>
                <w:color w:val="auto"/>
                <w:sz w:val="24"/>
                <w:szCs w:val="24"/>
                <w:highlight w:val="none"/>
              </w:rPr>
              <w:t>2018年</w:t>
            </w:r>
            <w:r>
              <w:rPr>
                <w:rFonts w:hint="eastAsia" w:ascii="仿宋" w:hAnsi="仿宋" w:eastAsia="仿宋" w:cs="仿宋"/>
                <w:b w:val="0"/>
                <w:color w:val="auto"/>
                <w:sz w:val="24"/>
                <w:szCs w:val="24"/>
                <w:highlight w:val="none"/>
                <w:lang w:val="en-US" w:eastAsia="zh-CN"/>
              </w:rPr>
              <w:t>至今</w:t>
            </w:r>
            <w:r>
              <w:rPr>
                <w:rFonts w:hint="eastAsia" w:ascii="仿宋" w:hAnsi="仿宋" w:eastAsia="仿宋" w:cs="仿宋"/>
                <w:b w:val="0"/>
                <w:color w:val="auto"/>
                <w:sz w:val="24"/>
                <w:szCs w:val="24"/>
                <w:highlight w:val="none"/>
              </w:rPr>
              <w:t>通过国家医疗健康信息互联互通标准化成熟度四级甲等及以上评测相关证明材料并加盖公章（国家卫生健康委官方网站截图或授牌照片截图）</w:t>
            </w:r>
            <w:r>
              <w:rPr>
                <w:rFonts w:hint="eastAsia" w:ascii="仿宋" w:hAnsi="仿宋" w:eastAsia="仿宋" w:cs="仿宋"/>
                <w:b w:val="0"/>
                <w:color w:val="auto"/>
                <w:sz w:val="24"/>
                <w:szCs w:val="24"/>
                <w:highlight w:val="none"/>
                <w:lang w:eastAsia="zh-CN"/>
              </w:rPr>
              <w:t>。</w:t>
            </w:r>
          </w:p>
          <w:p>
            <w:pPr>
              <w:pStyle w:val="45"/>
              <w:spacing w:line="240" w:lineRule="auto"/>
              <w:ind w:firstLine="0" w:firstLineChars="0"/>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未提供佐证材料或者提供材料不全的不加分。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blHeader/>
          <w:jc w:val="center"/>
        </w:trPr>
        <w:tc>
          <w:tcPr>
            <w:tcW w:w="1268" w:type="dxa"/>
            <w:vMerge w:val="continue"/>
            <w:vAlign w:val="center"/>
          </w:tcPr>
          <w:p>
            <w:pPr>
              <w:pStyle w:val="45"/>
              <w:spacing w:line="240" w:lineRule="auto"/>
              <w:ind w:firstLine="480"/>
              <w:outlineLvl w:val="0"/>
              <w:rPr>
                <w:rFonts w:ascii="仿宋" w:hAnsi="仿宋" w:eastAsia="仿宋" w:cs="仿宋"/>
                <w:b w:val="0"/>
                <w:color w:val="auto"/>
                <w:sz w:val="24"/>
                <w:szCs w:val="24"/>
                <w:highlight w:val="none"/>
              </w:rPr>
            </w:pPr>
          </w:p>
        </w:tc>
        <w:tc>
          <w:tcPr>
            <w:tcW w:w="2210" w:type="dxa"/>
            <w:vMerge w:val="continue"/>
            <w:vAlign w:val="center"/>
          </w:tcPr>
          <w:p>
            <w:pPr>
              <w:pStyle w:val="45"/>
              <w:spacing w:line="240" w:lineRule="auto"/>
              <w:ind w:firstLine="480"/>
              <w:outlineLvl w:val="0"/>
              <w:rPr>
                <w:rFonts w:ascii="仿宋" w:hAnsi="仿宋" w:eastAsia="仿宋" w:cs="仿宋"/>
                <w:b w:val="0"/>
                <w:color w:val="auto"/>
                <w:sz w:val="24"/>
                <w:szCs w:val="24"/>
                <w:highlight w:val="none"/>
              </w:rPr>
            </w:pPr>
          </w:p>
        </w:tc>
        <w:tc>
          <w:tcPr>
            <w:tcW w:w="6195" w:type="dxa"/>
            <w:vAlign w:val="center"/>
          </w:tcPr>
          <w:p>
            <w:pPr>
              <w:pStyle w:val="45"/>
              <w:spacing w:line="240" w:lineRule="auto"/>
              <w:ind w:firstLine="0" w:firstLineChars="0"/>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w:t>
            </w:r>
            <w:r>
              <w:rPr>
                <w:rFonts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rPr>
              <w:t>投标人集成平台产品要求有参照医院信息互联互通标准化成熟度测评方案（2020年版）进行标准符合性测试，测试证书中：</w:t>
            </w:r>
          </w:p>
          <w:p>
            <w:pPr>
              <w:pStyle w:val="45"/>
              <w:spacing w:line="240" w:lineRule="auto"/>
              <w:ind w:firstLine="0" w:firstLineChars="0"/>
              <w:jc w:val="both"/>
              <w:outlineLvl w:val="0"/>
              <w:rPr>
                <w:rFonts w:ascii="仿宋" w:hAnsi="仿宋" w:eastAsia="仿宋" w:cs="仿宋"/>
                <w:b w:val="0"/>
                <w:color w:val="auto"/>
                <w:sz w:val="24"/>
                <w:szCs w:val="24"/>
                <w:highlight w:val="none"/>
              </w:rPr>
            </w:pPr>
            <w:r>
              <w:rPr>
                <w:rFonts w:hint="eastAsia" w:ascii="仿宋" w:hAnsi="仿宋" w:eastAsia="仿宋" w:cs="仿宋"/>
                <w:b w:val="0"/>
                <w:bCs/>
                <w:color w:val="auto"/>
                <w:sz w:val="24"/>
                <w:szCs w:val="24"/>
                <w:highlight w:val="none"/>
              </w:rPr>
              <w:t>①</w:t>
            </w:r>
            <w:r>
              <w:rPr>
                <w:rFonts w:hint="eastAsia" w:ascii="仿宋" w:hAnsi="仿宋" w:eastAsia="仿宋" w:cs="仿宋"/>
                <w:b w:val="0"/>
                <w:color w:val="auto"/>
                <w:sz w:val="24"/>
                <w:szCs w:val="24"/>
                <w:highlight w:val="none"/>
              </w:rPr>
              <w:t>数据标准化情况符合五甲要求；</w:t>
            </w:r>
          </w:p>
          <w:p>
            <w:pPr>
              <w:pStyle w:val="45"/>
              <w:spacing w:line="240" w:lineRule="auto"/>
              <w:ind w:firstLine="0" w:firstLineChars="0"/>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②共享文档标准化情况符合五甲要求；</w:t>
            </w:r>
          </w:p>
          <w:p>
            <w:pPr>
              <w:pStyle w:val="45"/>
              <w:spacing w:line="240" w:lineRule="auto"/>
              <w:ind w:firstLine="0" w:firstLineChars="0"/>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③互联互通交互服务情况符合五甲要求；</w:t>
            </w:r>
          </w:p>
          <w:p>
            <w:pPr>
              <w:pStyle w:val="45"/>
              <w:spacing w:line="240" w:lineRule="auto"/>
              <w:ind w:firstLine="0" w:firstLineChars="0"/>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④平台功能符合五甲要求；</w:t>
            </w:r>
          </w:p>
          <w:p>
            <w:pPr>
              <w:pStyle w:val="45"/>
              <w:spacing w:line="240" w:lineRule="auto"/>
              <w:ind w:firstLine="0" w:firstLineChars="0"/>
              <w:jc w:val="both"/>
              <w:outlineLvl w:val="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本项满分4分，每缺少一项内容扣1分，扣完为止，不提供证明材料或者不符合五甲要求的不得分。</w:t>
            </w:r>
          </w:p>
        </w:tc>
      </w:tr>
    </w:tbl>
    <w:p>
      <w:pPr>
        <w:pStyle w:val="45"/>
        <w:spacing w:before="156" w:beforeLines="50" w:after="156" w:afterLines="50" w:line="460" w:lineRule="exact"/>
        <w:ind w:firstLine="0" w:firstLineChars="0"/>
        <w:jc w:val="left"/>
        <w:rPr>
          <w:rFonts w:ascii="仿宋" w:hAnsi="仿宋" w:eastAsia="仿宋"/>
          <w:color w:val="auto"/>
          <w:sz w:val="28"/>
          <w:highlight w:val="none"/>
        </w:rPr>
      </w:pPr>
      <w:r>
        <w:rPr>
          <w:rFonts w:hint="eastAsia" w:ascii="仿宋" w:hAnsi="仿宋" w:eastAsia="仿宋"/>
          <w:color w:val="auto"/>
          <w:sz w:val="28"/>
          <w:highlight w:val="none"/>
        </w:rPr>
        <w:t>B、技术部分（71分）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2205"/>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技术条件（71分）</w:t>
            </w:r>
          </w:p>
        </w:tc>
        <w:tc>
          <w:tcPr>
            <w:tcW w:w="2205"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投标人能力及软件正版化相关软件著作权情况评价（提供证明文件或证书，复印件并加盖投标人公章）  </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(15分)</w:t>
            </w:r>
          </w:p>
        </w:tc>
        <w:tc>
          <w:tcPr>
            <w:tcW w:w="6195"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投标人本次招标产品相关软件著作权。  </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1.医院集成平台著作权；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2.医院数据中心平台软件著作权；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3.患者主索引管理系统软件著作权；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4.员工主索引系统软件著作权；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5.科室主索引系统软件著作权；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6.主数据管理系统软件著作权；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7.订阅发布系统软件著作权；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8.统一用户管理软件著作权；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9.闭环追踪系统软件著作权；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10.医院数据中心管理配置软件著作权；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11.医院运营决策支持系统软件著作权证书；</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12.医疗卫生数据采集与交互软件著作权；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13.队列数据软件著作权；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14.临床数据存储软件著作权；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15.最小数据集的模板设计器软件著作权；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16.单病种管理系统著作权；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17.移动医生系统著作权；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18.医务管理系统著作权；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19.不良事件上报系统著作权。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（一）提供全部自有产品著作权的得1</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（二）提供15-18个自有产品著作权的得1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）提供1</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个非自有产品著作权（包含授权），其中含有自有产品著作权的得</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）提供10-14个自有产品著作权的得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）提供10-14个非自有产品著作权（包含授权），其中含有自有产品著作权的得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）提供5-9个自有产品著作权的得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）提供</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个非自有产品著作权（包含授权），其中含有自有产品著作权的得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5个以下或</w:t>
            </w:r>
            <w:r>
              <w:rPr>
                <w:rFonts w:hint="eastAsia" w:ascii="仿宋" w:hAnsi="仿宋" w:eastAsia="仿宋" w:cs="仿宋"/>
                <w:color w:val="auto"/>
                <w:sz w:val="24"/>
                <w:szCs w:val="24"/>
                <w:highlight w:val="none"/>
              </w:rPr>
              <w:t>未提供的不得分。</w:t>
            </w:r>
          </w:p>
          <w:p>
            <w:pPr>
              <w:pStyle w:val="2"/>
              <w:ind w:firstLine="0"/>
              <w:rPr>
                <w:rFonts w:hint="eastAsia" w:ascii="仿宋" w:hAnsi="仿宋" w:eastAsia="Times New Roman" w:cs="仿宋"/>
                <w:color w:val="auto"/>
                <w:sz w:val="24"/>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九</w:t>
            </w:r>
            <w:r>
              <w:rPr>
                <w:rFonts w:hint="eastAsia" w:ascii="仿宋" w:hAnsi="仿宋" w:eastAsia="仿宋" w:cs="仿宋"/>
                <w:color w:val="auto"/>
                <w:szCs w:val="24"/>
                <w:highlight w:val="none"/>
              </w:rPr>
              <w:t>）满分15分。</w:t>
            </w:r>
          </w:p>
          <w:p>
            <w:pPr>
              <w:rPr>
                <w:rFonts w:hint="eastAsia" w:ascii="Times New Roman" w:hAnsi="Times New Roman" w:eastAsia="Times New Roman" w:cs="Times New Roman"/>
                <w:color w:val="auto"/>
                <w:sz w:val="24"/>
                <w:szCs w:val="21"/>
                <w:highlight w:val="none"/>
              </w:rPr>
            </w:pPr>
            <w:r>
              <w:rPr>
                <w:rFonts w:hint="eastAsia" w:ascii="仿宋" w:hAnsi="仿宋" w:eastAsia="仿宋" w:cs="仿宋"/>
                <w:color w:val="auto"/>
                <w:sz w:val="24"/>
                <w:szCs w:val="24"/>
                <w:highlight w:val="none"/>
              </w:rPr>
              <w:t>要求提供著作权原件的复印件加盖公章（著作权如果名字不完全一样，但功能必须一样）。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pPr>
              <w:jc w:val="center"/>
              <w:rPr>
                <w:rFonts w:ascii="仿宋" w:hAnsi="仿宋" w:eastAsia="仿宋" w:cs="仿宋"/>
                <w:color w:val="auto"/>
                <w:sz w:val="24"/>
                <w:szCs w:val="24"/>
                <w:highlight w:val="none"/>
              </w:rPr>
            </w:pPr>
          </w:p>
        </w:tc>
        <w:tc>
          <w:tcPr>
            <w:tcW w:w="220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投标人质量体系认证响应情况与售后服务能力（</w:t>
            </w: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分）</w:t>
            </w:r>
          </w:p>
        </w:tc>
        <w:tc>
          <w:tcPr>
            <w:tcW w:w="6195" w:type="dxa"/>
            <w:vAlign w:val="center"/>
          </w:tcPr>
          <w:p>
            <w:pPr>
              <w:pStyle w:val="45"/>
              <w:spacing w:line="240" w:lineRule="auto"/>
              <w:ind w:firstLine="0" w:firstLineChars="0"/>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rPr>
              <w:t>投标人具有ISO9001质量认证证书，CMMI 5级认证证书，企业信用评价AAA级信用证书，ISO/IEC 20000-1服务管理体系认证证书，提供证书复印件，每提供一个得1分，最高得4分。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pPr>
              <w:jc w:val="center"/>
              <w:rPr>
                <w:rFonts w:ascii="仿宋" w:hAnsi="仿宋" w:eastAsia="仿宋" w:cs="仿宋"/>
                <w:color w:val="auto"/>
                <w:sz w:val="24"/>
                <w:szCs w:val="24"/>
                <w:highlight w:val="none"/>
              </w:rPr>
            </w:pPr>
          </w:p>
        </w:tc>
        <w:tc>
          <w:tcPr>
            <w:tcW w:w="2205" w:type="dxa"/>
            <w:vMerge w:val="continue"/>
            <w:vAlign w:val="center"/>
          </w:tcPr>
          <w:p>
            <w:pPr>
              <w:jc w:val="center"/>
              <w:rPr>
                <w:rFonts w:ascii="仿宋" w:hAnsi="仿宋" w:eastAsia="仿宋" w:cs="仿宋"/>
                <w:color w:val="auto"/>
                <w:sz w:val="24"/>
                <w:szCs w:val="24"/>
                <w:highlight w:val="none"/>
              </w:rPr>
            </w:pPr>
          </w:p>
        </w:tc>
        <w:tc>
          <w:tcPr>
            <w:tcW w:w="6195" w:type="dxa"/>
            <w:vAlign w:val="center"/>
          </w:tcPr>
          <w:p>
            <w:pPr>
              <w:pStyle w:val="45"/>
              <w:spacing w:line="240" w:lineRule="auto"/>
              <w:ind w:firstLine="0" w:firstLineChars="0"/>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r>
              <w:rPr>
                <w:rFonts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rPr>
              <w:t>投标人提供信息系统业务安全服务证书、信息技术服务运行维护标准成熟度证书，满分2分，每缺一项扣1分，提供证书复印件，未提供的不得分。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pPr>
              <w:jc w:val="center"/>
              <w:rPr>
                <w:rFonts w:ascii="仿宋" w:hAnsi="仿宋" w:eastAsia="仿宋" w:cs="仿宋"/>
                <w:color w:val="auto"/>
                <w:sz w:val="24"/>
                <w:szCs w:val="24"/>
                <w:highlight w:val="none"/>
              </w:rPr>
            </w:pPr>
          </w:p>
        </w:tc>
        <w:tc>
          <w:tcPr>
            <w:tcW w:w="220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投标人产品符合性和适配性能力（</w:t>
            </w:r>
            <w:r>
              <w:rPr>
                <w:rFonts w:ascii="仿宋" w:hAnsi="仿宋" w:eastAsia="仿宋" w:cs="仿宋"/>
                <w:bCs/>
                <w:color w:val="auto"/>
                <w:sz w:val="24"/>
                <w:szCs w:val="24"/>
                <w:highlight w:val="none"/>
              </w:rPr>
              <w:t>9</w:t>
            </w:r>
            <w:r>
              <w:rPr>
                <w:rFonts w:hint="eastAsia" w:ascii="仿宋" w:hAnsi="仿宋" w:eastAsia="仿宋" w:cs="仿宋"/>
                <w:bCs/>
                <w:color w:val="auto"/>
                <w:sz w:val="24"/>
                <w:szCs w:val="24"/>
                <w:highlight w:val="none"/>
              </w:rPr>
              <w:t>分）</w:t>
            </w:r>
          </w:p>
        </w:tc>
        <w:tc>
          <w:tcPr>
            <w:tcW w:w="6195" w:type="dxa"/>
            <w:vAlign w:val="center"/>
          </w:tcPr>
          <w:p>
            <w:pPr>
              <w:pStyle w:val="45"/>
              <w:numPr>
                <w:ilvl w:val="0"/>
                <w:numId w:val="2"/>
              </w:numPr>
              <w:spacing w:line="240" w:lineRule="auto"/>
              <w:ind w:firstLine="0" w:firstLineChars="0"/>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投标人所投集成平台产品通过</w:t>
            </w:r>
            <w:r>
              <w:rPr>
                <w:rFonts w:ascii="仿宋" w:hAnsi="仿宋" w:eastAsia="仿宋" w:cs="仿宋"/>
                <w:b w:val="0"/>
                <w:bCs/>
                <w:color w:val="auto"/>
                <w:sz w:val="24"/>
                <w:szCs w:val="24"/>
                <w:highlight w:val="none"/>
              </w:rPr>
              <w:t>FHIR Connectathon</w:t>
            </w:r>
            <w:r>
              <w:rPr>
                <w:rFonts w:hint="eastAsia" w:ascii="仿宋" w:hAnsi="仿宋" w:eastAsia="仿宋" w:cs="仿宋"/>
                <w:b w:val="0"/>
                <w:bCs/>
                <w:color w:val="auto"/>
                <w:sz w:val="24"/>
                <w:szCs w:val="24"/>
                <w:highlight w:val="none"/>
              </w:rPr>
              <w:t>全部</w:t>
            </w:r>
            <w:r>
              <w:rPr>
                <w:rFonts w:ascii="仿宋" w:hAnsi="仿宋" w:eastAsia="仿宋" w:cs="仿宋"/>
                <w:b w:val="0"/>
                <w:bCs/>
                <w:color w:val="auto"/>
                <w:sz w:val="24"/>
                <w:szCs w:val="24"/>
                <w:highlight w:val="none"/>
              </w:rPr>
              <w:t>13</w:t>
            </w:r>
            <w:r>
              <w:rPr>
                <w:rFonts w:hint="eastAsia" w:ascii="仿宋" w:hAnsi="仿宋" w:eastAsia="仿宋" w:cs="仿宋"/>
                <w:b w:val="0"/>
                <w:bCs/>
                <w:color w:val="auto"/>
                <w:sz w:val="24"/>
                <w:szCs w:val="24"/>
                <w:highlight w:val="none"/>
              </w:rPr>
              <w:t>个场景测试（预约、手术、用药医嘱、术语、患者、就诊、检查申请、检查报告、院内检验报告、院外检验报告、电子病历生成和读取、电子病历共享交换、临床辅助诊疗）的得满分</w:t>
            </w:r>
            <w:r>
              <w:rPr>
                <w:rFonts w:ascii="仿宋" w:hAnsi="仿宋" w:eastAsia="仿宋" w:cs="仿宋"/>
                <w:b w:val="0"/>
                <w:bCs/>
                <w:color w:val="auto"/>
                <w:sz w:val="24"/>
                <w:szCs w:val="24"/>
                <w:highlight w:val="none"/>
              </w:rPr>
              <w:t>5</w:t>
            </w:r>
            <w:r>
              <w:rPr>
                <w:rFonts w:hint="eastAsia" w:ascii="仿宋" w:hAnsi="仿宋" w:eastAsia="仿宋" w:cs="仿宋"/>
                <w:b w:val="0"/>
                <w:bCs/>
                <w:color w:val="auto"/>
                <w:sz w:val="24"/>
                <w:szCs w:val="24"/>
                <w:highlight w:val="none"/>
              </w:rPr>
              <w:t>分；</w:t>
            </w:r>
          </w:p>
          <w:p>
            <w:pPr>
              <w:pStyle w:val="45"/>
              <w:numPr>
                <w:ilvl w:val="255"/>
                <w:numId w:val="0"/>
              </w:numPr>
              <w:spacing w:line="240" w:lineRule="auto"/>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提供8-12个场景测试的得3分；</w:t>
            </w:r>
          </w:p>
          <w:p>
            <w:pPr>
              <w:pStyle w:val="45"/>
              <w:numPr>
                <w:ilvl w:val="255"/>
                <w:numId w:val="0"/>
              </w:numPr>
              <w:spacing w:line="240" w:lineRule="auto"/>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提供3-7个场景测试的得2分；</w:t>
            </w:r>
          </w:p>
          <w:p>
            <w:pPr>
              <w:pStyle w:val="45"/>
              <w:numPr>
                <w:ilvl w:val="255"/>
                <w:numId w:val="0"/>
              </w:numPr>
              <w:spacing w:line="240" w:lineRule="auto"/>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提供1-2个场景测试的得1分；</w:t>
            </w:r>
          </w:p>
          <w:p>
            <w:pPr>
              <w:pStyle w:val="45"/>
              <w:numPr>
                <w:ilvl w:val="255"/>
                <w:numId w:val="0"/>
              </w:numPr>
              <w:spacing w:line="240" w:lineRule="auto"/>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未提供不得分。</w:t>
            </w:r>
          </w:p>
          <w:p>
            <w:pPr>
              <w:pStyle w:val="45"/>
              <w:numPr>
                <w:ilvl w:val="255"/>
                <w:numId w:val="0"/>
              </w:numPr>
              <w:spacing w:line="240" w:lineRule="auto"/>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投标人需提供相关证书扫描件。如未按要求提供证明材料，或所提供的证明材料未能体现上述评分内容的，视为该证明材料无效。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pPr>
              <w:jc w:val="center"/>
              <w:rPr>
                <w:rFonts w:ascii="仿宋" w:hAnsi="仿宋" w:eastAsia="仿宋" w:cs="仿宋"/>
                <w:color w:val="auto"/>
                <w:sz w:val="24"/>
                <w:szCs w:val="24"/>
                <w:highlight w:val="none"/>
              </w:rPr>
            </w:pPr>
          </w:p>
        </w:tc>
        <w:tc>
          <w:tcPr>
            <w:tcW w:w="2205" w:type="dxa"/>
            <w:vMerge w:val="continue"/>
            <w:vAlign w:val="center"/>
          </w:tcPr>
          <w:p>
            <w:pPr>
              <w:jc w:val="center"/>
              <w:rPr>
                <w:rFonts w:ascii="仿宋" w:hAnsi="仿宋" w:eastAsia="仿宋" w:cs="仿宋"/>
                <w:color w:val="auto"/>
                <w:sz w:val="24"/>
                <w:szCs w:val="24"/>
                <w:highlight w:val="none"/>
              </w:rPr>
            </w:pPr>
          </w:p>
        </w:tc>
        <w:tc>
          <w:tcPr>
            <w:tcW w:w="6195" w:type="dxa"/>
            <w:vAlign w:val="center"/>
          </w:tcPr>
          <w:p>
            <w:pPr>
              <w:pStyle w:val="45"/>
              <w:numPr>
                <w:ilvl w:val="0"/>
                <w:numId w:val="2"/>
              </w:numPr>
              <w:spacing w:line="240" w:lineRule="auto"/>
              <w:ind w:firstLine="0" w:firstLineChars="0"/>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投标人所投集成平台产品可兼容国产操作系统</w:t>
            </w:r>
            <w:r>
              <w:rPr>
                <w:rFonts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rPr>
              <w:t>分</w:t>
            </w:r>
            <w:r>
              <w:rPr>
                <w:rFonts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rPr>
              <w:t>，能够兼容至少2种主流国产操作系统（红旗、中标麒麟、方德等）。</w:t>
            </w:r>
          </w:p>
          <w:p>
            <w:pPr>
              <w:pStyle w:val="45"/>
              <w:numPr>
                <w:ilvl w:val="255"/>
                <w:numId w:val="0"/>
              </w:numPr>
              <w:spacing w:line="240" w:lineRule="auto"/>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需提供兼容证明材料，每提供一份得1分，满分2分。</w:t>
            </w:r>
          </w:p>
          <w:p>
            <w:pPr>
              <w:pStyle w:val="45"/>
              <w:numPr>
                <w:ilvl w:val="255"/>
                <w:numId w:val="0"/>
              </w:numPr>
              <w:spacing w:line="240" w:lineRule="auto"/>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不提供兼容证明材料的不得分。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pPr>
              <w:jc w:val="center"/>
              <w:rPr>
                <w:rFonts w:ascii="仿宋" w:hAnsi="仿宋" w:eastAsia="仿宋" w:cs="仿宋"/>
                <w:color w:val="auto"/>
                <w:sz w:val="24"/>
                <w:szCs w:val="24"/>
                <w:highlight w:val="none"/>
              </w:rPr>
            </w:pPr>
          </w:p>
        </w:tc>
        <w:tc>
          <w:tcPr>
            <w:tcW w:w="2205" w:type="dxa"/>
            <w:vMerge w:val="continue"/>
            <w:vAlign w:val="center"/>
          </w:tcPr>
          <w:p>
            <w:pPr>
              <w:jc w:val="center"/>
              <w:rPr>
                <w:rFonts w:ascii="仿宋" w:hAnsi="仿宋" w:eastAsia="仿宋" w:cs="仿宋"/>
                <w:color w:val="auto"/>
                <w:sz w:val="24"/>
                <w:szCs w:val="24"/>
                <w:highlight w:val="none"/>
              </w:rPr>
            </w:pPr>
          </w:p>
        </w:tc>
        <w:tc>
          <w:tcPr>
            <w:tcW w:w="6195" w:type="dxa"/>
            <w:vAlign w:val="center"/>
          </w:tcPr>
          <w:p>
            <w:pPr>
              <w:pStyle w:val="45"/>
              <w:numPr>
                <w:ilvl w:val="0"/>
                <w:numId w:val="2"/>
              </w:numPr>
              <w:spacing w:line="240" w:lineRule="auto"/>
              <w:ind w:firstLine="0" w:firstLineChars="0"/>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投标人所投集成平台系统可兼容国产数据库（2分）</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能够兼容至少2种主流国产数据库（达梦、金仓、神通等）。</w:t>
            </w:r>
          </w:p>
          <w:p>
            <w:pPr>
              <w:pStyle w:val="45"/>
              <w:numPr>
                <w:ilvl w:val="0"/>
                <w:numId w:val="0"/>
              </w:numPr>
              <w:spacing w:line="240" w:lineRule="auto"/>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需提供兼容证明材料，每提供一份得1</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，满分2分。</w:t>
            </w:r>
          </w:p>
          <w:p>
            <w:pPr>
              <w:pStyle w:val="45"/>
              <w:numPr>
                <w:ilvl w:val="255"/>
                <w:numId w:val="0"/>
              </w:numPr>
              <w:spacing w:line="240" w:lineRule="auto"/>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不提供兼容证明材料的不得分。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pPr>
              <w:jc w:val="center"/>
              <w:rPr>
                <w:rFonts w:ascii="仿宋" w:hAnsi="仿宋" w:eastAsia="仿宋" w:cs="仿宋"/>
                <w:color w:val="auto"/>
                <w:sz w:val="24"/>
                <w:szCs w:val="24"/>
                <w:highlight w:val="none"/>
              </w:rPr>
            </w:pPr>
          </w:p>
        </w:tc>
        <w:tc>
          <w:tcPr>
            <w:tcW w:w="2205" w:type="dxa"/>
            <w:vAlign w:val="center"/>
          </w:tcPr>
          <w:p>
            <w:pPr>
              <w:pStyle w:val="45"/>
              <w:spacing w:line="240" w:lineRule="auto"/>
              <w:ind w:firstLine="0" w:firstLineChars="0"/>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投标人所投产品安全性要求</w:t>
            </w:r>
          </w:p>
          <w:p>
            <w:pPr>
              <w:pStyle w:val="45"/>
              <w:spacing w:line="240" w:lineRule="auto"/>
              <w:ind w:firstLine="0" w:firstLineChars="0"/>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（4分）</w:t>
            </w:r>
          </w:p>
        </w:tc>
        <w:tc>
          <w:tcPr>
            <w:tcW w:w="6195" w:type="dxa"/>
            <w:vAlign w:val="center"/>
          </w:tcPr>
          <w:p>
            <w:pPr>
              <w:pStyle w:val="45"/>
              <w:spacing w:line="240" w:lineRule="auto"/>
              <w:ind w:firstLine="0" w:firstLineChars="0"/>
              <w:jc w:val="both"/>
              <w:outlineLvl w:val="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投标人所投集成平台产品需提供由国家级软件评测中心根据</w:t>
            </w:r>
            <w:r>
              <w:rPr>
                <w:rFonts w:ascii="仿宋" w:hAnsi="仿宋" w:eastAsia="仿宋" w:cs="仿宋"/>
                <w:b w:val="0"/>
                <w:bCs/>
                <w:color w:val="auto"/>
                <w:sz w:val="24"/>
                <w:szCs w:val="24"/>
                <w:highlight w:val="none"/>
              </w:rPr>
              <w:t>GB/T22239-2019</w:t>
            </w:r>
            <w:r>
              <w:rPr>
                <w:rFonts w:hint="eastAsia" w:ascii="仿宋" w:hAnsi="仿宋" w:eastAsia="仿宋" w:cs="仿宋"/>
                <w:b w:val="0"/>
                <w:bCs/>
                <w:color w:val="auto"/>
                <w:sz w:val="24"/>
                <w:szCs w:val="24"/>
                <w:highlight w:val="none"/>
              </w:rPr>
              <w:t>《信息安全技术网络安全等级保护基本要求》第三级要求出具的关于集成平台产品不存在高、中风险安全漏洞的软件产品测试证书，提供证书附件得</w:t>
            </w:r>
            <w:r>
              <w:rPr>
                <w:rFonts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rPr>
              <w:t>分，不提供不得分。投标人需提供相关证书扫描件。如未按要求提供证明材料，或所提供的证明材料未能体现上述评分内容的，视为该证明材料无效。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pPr>
              <w:jc w:val="center"/>
              <w:rPr>
                <w:rFonts w:ascii="仿宋" w:hAnsi="仿宋" w:eastAsia="仿宋" w:cs="仿宋"/>
                <w:color w:val="auto"/>
                <w:sz w:val="24"/>
                <w:szCs w:val="24"/>
                <w:highlight w:val="none"/>
              </w:rPr>
            </w:pPr>
          </w:p>
        </w:tc>
        <w:tc>
          <w:tcPr>
            <w:tcW w:w="2205" w:type="dxa"/>
            <w:vAlign w:val="center"/>
          </w:tcPr>
          <w:p>
            <w:pPr>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数据中心数据利用能力</w:t>
            </w:r>
            <w:r>
              <w:rPr>
                <w:rFonts w:hint="eastAsia" w:ascii="仿宋" w:hAnsi="仿宋" w:eastAsia="仿宋" w:cs="仿宋"/>
                <w:color w:val="auto"/>
                <w:sz w:val="24"/>
                <w:szCs w:val="24"/>
                <w:highlight w:val="none"/>
              </w:rPr>
              <w:t>（4分）</w:t>
            </w:r>
          </w:p>
        </w:tc>
        <w:tc>
          <w:tcPr>
            <w:tcW w:w="6195" w:type="dxa"/>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1.投标人所提供的集成平台产品获得过省级及以上评测机构出具的软件产品登记测试报告证书的，得2分。</w:t>
            </w:r>
          </w:p>
          <w:p>
            <w:p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2.投标人所提供的集成平台产品获得相关软件评测中心出具的产品标准符合性测试报告的，得2分。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2" w:type="dxa"/>
            <w:vMerge w:val="continue"/>
            <w:vAlign w:val="center"/>
          </w:tcPr>
          <w:p>
            <w:pPr>
              <w:jc w:val="center"/>
              <w:rPr>
                <w:rFonts w:ascii="仿宋" w:hAnsi="仿宋" w:eastAsia="仿宋" w:cs="仿宋"/>
                <w:color w:val="auto"/>
                <w:sz w:val="24"/>
                <w:szCs w:val="24"/>
                <w:highlight w:val="none"/>
              </w:rPr>
            </w:pPr>
          </w:p>
        </w:tc>
        <w:tc>
          <w:tcPr>
            <w:tcW w:w="2205"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关键指标响应（提供证明文件或证书，复印件并加盖投标人公章。）  (15分)</w:t>
            </w:r>
          </w:p>
        </w:tc>
        <w:tc>
          <w:tcPr>
            <w:tcW w:w="6195" w:type="dxa"/>
            <w:vAlign w:val="center"/>
          </w:tcPr>
          <w:p>
            <w:pPr>
              <w:snapToGrid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对招标文件中所有系统要求进行如实响应，共15分。</w:t>
            </w:r>
          </w:p>
          <w:p>
            <w:pPr>
              <w:snapToGrid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带“*”号项需在投标文件中通过真实系统截图或提供证明材料等方式进行如实的响应。</w:t>
            </w:r>
          </w:p>
          <w:p>
            <w:pPr>
              <w:snapToGrid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带“*”号项每偏离一项扣1分，不合格的响应视为偏离；</w:t>
            </w:r>
          </w:p>
          <w:p>
            <w:pPr>
              <w:snapToGrid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普通条款每偏离一项扣0.5分，不合格的响应视为偏离；</w:t>
            </w:r>
          </w:p>
          <w:p>
            <w:pPr>
              <w:snapToGrid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pPr>
              <w:jc w:val="center"/>
              <w:rPr>
                <w:rFonts w:ascii="仿宋" w:hAnsi="仿宋" w:eastAsia="仿宋" w:cs="仿宋"/>
                <w:color w:val="auto"/>
                <w:sz w:val="24"/>
                <w:szCs w:val="24"/>
                <w:highlight w:val="none"/>
              </w:rPr>
            </w:pPr>
          </w:p>
        </w:tc>
        <w:tc>
          <w:tcPr>
            <w:tcW w:w="2205"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拟安排的项目团队成员</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（6分）</w:t>
            </w:r>
          </w:p>
        </w:tc>
        <w:tc>
          <w:tcPr>
            <w:tcW w:w="6195" w:type="dxa"/>
            <w:vAlign w:val="center"/>
          </w:tcPr>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投标人拟投入本项目自有实施团队成员需具有以下证书：</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①具有信息系统业务安全服务工程师证书的两名；</w:t>
            </w:r>
          </w:p>
          <w:p>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②具有软件工程师、数据库管理证书的两名；</w:t>
            </w:r>
          </w:p>
          <w:p>
            <w:pPr>
              <w:pStyle w:val="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③具有大数据分析师证书的一名；</w:t>
            </w:r>
          </w:p>
          <w:p>
            <w:pPr>
              <w:pStyle w:val="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④具有系统架构设计师证书的一名；</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以上人员需提供证书复印件及近半年投标人缴纳社保证明，全部满足得6分，少一项扣1分，扣完为止。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pPr>
              <w:jc w:val="center"/>
              <w:rPr>
                <w:rFonts w:ascii="仿宋" w:hAnsi="仿宋" w:eastAsia="仿宋" w:cs="仿宋"/>
                <w:color w:val="auto"/>
                <w:sz w:val="24"/>
                <w:szCs w:val="24"/>
                <w:highlight w:val="none"/>
              </w:rPr>
            </w:pPr>
          </w:p>
        </w:tc>
        <w:tc>
          <w:tcPr>
            <w:tcW w:w="2205"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项目实施方案 </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(6分)</w:t>
            </w:r>
          </w:p>
        </w:tc>
        <w:tc>
          <w:tcPr>
            <w:tcW w:w="6195" w:type="dxa"/>
          </w:tcPr>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根据招标文件项目需求提供项目实施方案，应从项目实施进度管理及控制计划、项目人员组成及职责、工期管理、突发事件处置方案及合理化建议、项目质量管理计划、详细的系统集成测试方案等方面提出合理、详细、流程清晰、完整的项目实施方案，实施周期在规定时间以内。</w:t>
            </w:r>
          </w:p>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评审委员会根据以下标准进行评价评分：</w:t>
            </w:r>
          </w:p>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方案完整合理，流程与步骤清晰，贴合实际情况，且有较强的可执行性，得6分；</w:t>
            </w:r>
          </w:p>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内容完整合理，流程与步骤清晰，方案内容详实具体，但针对性一般，可执行性一般，得4分；</w:t>
            </w:r>
          </w:p>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方案内容简单，针对性一般，可执行性一般，得2分；</w:t>
            </w:r>
          </w:p>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方案内容简单，可执行性差，得1分；</w:t>
            </w:r>
          </w:p>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其他或无响应，不得分。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vAlign w:val="center"/>
          </w:tcPr>
          <w:p>
            <w:pPr>
              <w:jc w:val="center"/>
              <w:rPr>
                <w:rFonts w:ascii="仿宋" w:hAnsi="仿宋" w:eastAsia="仿宋" w:cs="仿宋"/>
                <w:color w:val="auto"/>
                <w:sz w:val="24"/>
                <w:szCs w:val="24"/>
                <w:highlight w:val="none"/>
              </w:rPr>
            </w:pPr>
          </w:p>
        </w:tc>
        <w:tc>
          <w:tcPr>
            <w:tcW w:w="2205"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售后服务方案</w:t>
            </w: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（6分）</w:t>
            </w:r>
          </w:p>
        </w:tc>
        <w:tc>
          <w:tcPr>
            <w:tcW w:w="6195" w:type="dxa"/>
          </w:tcPr>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针对本项目制定的合理完善的售后服务方案综合评审：</w:t>
            </w:r>
          </w:p>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内容完整、详细、表述清晰、科学合理、切实可行，得6分；</w:t>
            </w:r>
          </w:p>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内容比较完整、详细、表述清晰、比较合理、可行，得4分；</w:t>
            </w:r>
          </w:p>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内容基本完整、详细、表述基本清晰、合理、可行，得2分；</w:t>
            </w:r>
          </w:p>
          <w:p>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内容完整性、合理性、可行性稍差，得1分；</w:t>
            </w:r>
          </w:p>
          <w:p>
            <w:pPr>
              <w:widowControl/>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其他或无响应，得0分</w:t>
            </w:r>
            <w:r>
              <w:rPr>
                <w:rFonts w:hint="eastAsia" w:ascii="仿宋" w:hAnsi="仿宋" w:eastAsia="仿宋" w:cs="仿宋"/>
                <w:color w:val="auto"/>
                <w:sz w:val="24"/>
                <w:szCs w:val="24"/>
                <w:highlight w:val="none"/>
                <w:lang w:eastAsia="zh-CN"/>
              </w:rPr>
              <w:t>。</w:t>
            </w:r>
          </w:p>
        </w:tc>
      </w:tr>
    </w:tbl>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报价得分=(评标基准价／评标价格)×10%×100</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本项目将对小型和微型企业产品的价格给予10%的扣除，用扣除后的价格参与评审打分。</w:t>
      </w:r>
    </w:p>
    <w:p>
      <w:pPr>
        <w:adjustRightInd w:val="0"/>
        <w:snapToGrid w:val="0"/>
        <w:spacing w:line="54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color w:val="auto"/>
          <w:sz w:val="28"/>
          <w:szCs w:val="28"/>
          <w:highlight w:val="none"/>
        </w:rPr>
      </w:pPr>
      <w:r>
        <w:rPr>
          <w:rFonts w:hint="eastAsia" w:ascii="仿宋" w:hAnsi="仿宋" w:eastAsia="仿宋"/>
          <w:b/>
          <w:color w:val="auto"/>
          <w:sz w:val="28"/>
          <w:highlight w:val="none"/>
        </w:rPr>
        <w:t>24.8.2.2  在价格评审中，</w:t>
      </w:r>
      <w:r>
        <w:rPr>
          <w:rFonts w:hint="eastAsia" w:ascii="仿宋" w:hAnsi="仿宋" w:eastAsia="仿宋" w:cs="仿宋_GB2312"/>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42"/>
        <w:spacing w:line="540" w:lineRule="exact"/>
        <w:ind w:firstLine="560"/>
        <w:jc w:val="both"/>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24.8.2.3 在技术评审中，应当考虑设备的技术参数响应、技术人员配备情况、服务方案及培训计划、设备维修应急预案及维保管理软件配置；在商务评审中，业绩应当考虑投标产品近三年同类项目业绩，以确定供应商类似项目的供货经验及组织管理能力等。</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涉及政府采购政策优惠的，按投标须知前附表规定调整供应商的技术、价格得分或总得分。</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24.8.2.4 节能、环境标志产品评审优惠内容及加分幅度：</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价格项加分：</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1、（节能清单部分产品的价格/投标报价）×3%×价格项满分值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2、（环境清单部分产品的价格/投标报价）×3%×价格项满分值</w:t>
      </w:r>
    </w:p>
    <w:p>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技术项加分：</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1、（节能清单部分产品的价格/投标报价）×3%×技术项满分值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2、（环境清单部分产品的价格/投标报价）×3%×技术项满分值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24.8.2.5属于中小企业评审优惠内容及价格扣除幅度：</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（一）中小企业（含中型、小型、微型企业）应当同时符合以下条件：</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③小型、微型企业提供中型企业制造的货物的，视同为中型企业。</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（二）价格扣除办法：</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对于非专门面向中小企业的项目，对小型和微型企业（或联合体各方均为小型、微型企业的）产品的价格给予10%的扣除，用扣除后的价格参与价格分的评审。</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（三）小型和微型企业适用价格扣除办法时应提供的相关资料：</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、《中小企业声明函》。</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若所投标产品为进口产品的，不适用《政府采购促进中小企业发展管理办法》。</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24.8.5  最低报价不作为评标的唯一依据。采购人不承诺将合同授予报价最低的供应商。</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 投标文件的澄清</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25.4 投标文件的澄清不得改变投标的实质内容。</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26．中标人的确定</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color w:val="auto"/>
          <w:kern w:val="0"/>
          <w:sz w:val="28"/>
          <w:highlight w:val="none"/>
        </w:rPr>
      </w:pPr>
      <w:r>
        <w:rPr>
          <w:rFonts w:hint="eastAsia" w:ascii="仿宋" w:hAnsi="仿宋" w:eastAsia="仿宋"/>
          <w:b/>
          <w:color w:val="auto"/>
          <w:kern w:val="0"/>
          <w:sz w:val="28"/>
          <w:highlight w:val="none"/>
        </w:rPr>
        <w:t>26.2  中标供应商拒绝与采购人签订合同的，采购人可以按照评审报告推荐的中标人名单排序，确定下一候选人为中标人，也可以重新开展政府采购活动。</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 中标通知</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27.1 采购代理机构将在中标结果公示发布的同时，以书面形式向中标单位发出《中标通知书》。</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highlight w:val="none"/>
          <w:shd w:val="clear" w:color="auto" w:fill="FFFFFF"/>
        </w:rPr>
        <w:t>不予以退还，但对其承担保密责任。</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 拒绝某些或所有投标的权力。</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28.1 采购人或采购代理机构有权在《中标通知书》发放之前的任何时候拒绝任何有不正当行为或扰乱正常招标工作的供应商，由此对相关供应商造成的损失不负责任。</w:t>
      </w:r>
    </w:p>
    <w:p>
      <w:pPr>
        <w:pStyle w:val="43"/>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八、授予合同</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 签订合同</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29.1  中标人收到《中标通知书》后，须按有关规定与招标方签定经济合同。合同的签订一般在《中标通知书》发出后30天内进行，但采购人事先约定的情况除外。</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29.2  合同签订后，卖方应按合同的规定履行合同，未按规定履约的，采购人有权取消合同，并且不退还中标人的投标保证金。</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29.4  如中标人未按有关规定与采购人签订合同或提交合同履约保证金的，采购人可以选择其他中标候选人为中标人，并组织中标人和采购人签订经济合同。</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29.5  合同履约保证金的形式为银行保函，另有约定的，按照约定条件执行。</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 合同的组成</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 下列文件均为经济合同不可分割的组成部分：</w:t>
      </w:r>
    </w:p>
    <w:p>
      <w:pPr>
        <w:pStyle w:val="4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30.1.1 招标文件及其附件、补遗文件；</w:t>
      </w:r>
    </w:p>
    <w:p>
      <w:pPr>
        <w:pStyle w:val="42"/>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 xml:space="preserve">30.1.2 中标的投标文件及其他附件； </w:t>
      </w:r>
    </w:p>
    <w:p>
      <w:pPr>
        <w:pStyle w:val="42"/>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30.1.3 经确认的答疑记录；</w:t>
      </w:r>
    </w:p>
    <w:p>
      <w:pPr>
        <w:pStyle w:val="42"/>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30.1.4 中标通知书。</w:t>
      </w:r>
    </w:p>
    <w:p>
      <w:pPr>
        <w:pStyle w:val="43"/>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九、买方授标时更改采购货物数量的权利</w:t>
      </w:r>
    </w:p>
    <w:p>
      <w:pPr>
        <w:pStyle w:val="41"/>
        <w:spacing w:before="100" w:after="50" w:line="520" w:lineRule="exact"/>
        <w:ind w:firstLine="560"/>
        <w:rPr>
          <w:rFonts w:ascii="仿宋" w:hAnsi="仿宋" w:eastAsia="仿宋"/>
          <w:color w:val="auto"/>
          <w:highlight w:val="none"/>
        </w:rPr>
      </w:pPr>
      <w:r>
        <w:rPr>
          <w:rFonts w:hint="eastAsia" w:ascii="仿宋" w:hAnsi="仿宋" w:eastAsia="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43"/>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十、其他事项</w:t>
      </w:r>
    </w:p>
    <w:p>
      <w:pPr>
        <w:pStyle w:val="42"/>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32. 中标服务费</w:t>
      </w:r>
    </w:p>
    <w:p>
      <w:pPr>
        <w:pStyle w:val="42"/>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32.1 中标人应按本招标文件的规定，在《中标通知书》核发时至核发后3天内，向采购代理机构支付中标服务费。其计算标准和方法参照发改价格[2011]534号文件下浮30%执行。采购代理机构也可直接从中标人的投标保证金内扣除。</w:t>
      </w:r>
    </w:p>
    <w:p>
      <w:pPr>
        <w:pStyle w:val="42"/>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需要开具增值税专用发票，供应商请提供增值税专用发票开票信息（需加盖财务专用章）。</w:t>
      </w:r>
    </w:p>
    <w:p>
      <w:pPr>
        <w:pStyle w:val="42"/>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pPr>
        <w:pStyle w:val="42"/>
        <w:spacing w:line="52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34. 为了做好投标工作，供应商应组织有关商务和技术人员，认真解答或澄清评标委员会在评标过程中提出的有关商务和技术问题。</w:t>
      </w:r>
    </w:p>
    <w:p>
      <w:pPr>
        <w:pStyle w:val="42"/>
        <w:spacing w:line="4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所有与本标书有关的函电请按下列通讯地址联系：</w:t>
      </w:r>
    </w:p>
    <w:p>
      <w:pPr>
        <w:pStyle w:val="42"/>
        <w:spacing w:line="4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采购代理机构：新疆新之建工程咨询有限公司</w:t>
      </w:r>
    </w:p>
    <w:p>
      <w:pPr>
        <w:pStyle w:val="42"/>
        <w:spacing w:line="4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通讯地址：新疆乌鲁木齐市沙依巴克区公园北街162号文苑综合楼七楼</w:t>
      </w:r>
    </w:p>
    <w:p>
      <w:pPr>
        <w:pStyle w:val="42"/>
        <w:spacing w:line="4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邮    编：830000</w:t>
      </w:r>
    </w:p>
    <w:p>
      <w:pPr>
        <w:pStyle w:val="42"/>
        <w:spacing w:line="4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联 系 人：吴坤</w:t>
      </w:r>
    </w:p>
    <w:p>
      <w:pPr>
        <w:pStyle w:val="42"/>
        <w:spacing w:line="4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电    话：0991-8852519</w:t>
      </w:r>
    </w:p>
    <w:bookmarkEnd w:id="3"/>
    <w:p>
      <w:pPr>
        <w:pStyle w:val="4"/>
        <w:ind w:left="0" w:firstLine="0"/>
        <w:rPr>
          <w:rFonts w:ascii="仿宋" w:hAnsi="仿宋" w:eastAsia="仿宋"/>
          <w:color w:val="auto"/>
          <w:sz w:val="36"/>
          <w:highlight w:val="none"/>
        </w:rPr>
      </w:pPr>
      <w:r>
        <w:rPr>
          <w:rFonts w:ascii="仿宋" w:hAnsi="仿宋" w:eastAsia="仿宋" w:cs="Times New Roman"/>
          <w:b w:val="0"/>
          <w:color w:val="auto"/>
          <w:sz w:val="36"/>
          <w:szCs w:val="20"/>
          <w:highlight w:val="none"/>
        </w:rPr>
        <w:br w:type="page"/>
      </w:r>
      <w:bookmarkStart w:id="4" w:name="_Toc5987696"/>
      <w:bookmarkStart w:id="5" w:name="_Toc5987697"/>
      <w:r>
        <w:rPr>
          <w:rFonts w:hint="eastAsia" w:ascii="仿宋" w:hAnsi="仿宋" w:eastAsia="仿宋"/>
          <w:color w:val="auto"/>
          <w:kern w:val="0"/>
          <w:sz w:val="36"/>
          <w:highlight w:val="none"/>
        </w:rPr>
        <w:t>第三章 招标内容及技术要</w:t>
      </w:r>
      <w:r>
        <w:rPr>
          <w:rFonts w:hint="eastAsia" w:ascii="仿宋" w:hAnsi="仿宋" w:eastAsia="仿宋"/>
          <w:color w:val="auto"/>
          <w:spacing w:val="1"/>
          <w:kern w:val="0"/>
          <w:sz w:val="36"/>
          <w:highlight w:val="none"/>
        </w:rPr>
        <w:t>求</w:t>
      </w:r>
      <w:bookmarkEnd w:id="4"/>
    </w:p>
    <w:p>
      <w:pPr>
        <w:pStyle w:val="4"/>
        <w:ind w:left="0" w:firstLine="0"/>
        <w:rPr>
          <w:rFonts w:ascii="仿宋" w:hAnsi="仿宋" w:eastAsia="仿宋"/>
          <w:color w:val="auto"/>
          <w:kern w:val="0"/>
          <w:highlight w:val="none"/>
        </w:rPr>
      </w:pPr>
      <w:r>
        <w:rPr>
          <w:rFonts w:hint="eastAsia" w:ascii="仿宋" w:hAnsi="仿宋" w:eastAsia="仿宋"/>
          <w:color w:val="auto"/>
          <w:kern w:val="0"/>
          <w:highlight w:val="none"/>
        </w:rPr>
        <w:t>货物需求一览表</w:t>
      </w:r>
      <w:bookmarkEnd w:id="5"/>
      <w:bookmarkStart w:id="6" w:name="_Toc22654709"/>
    </w:p>
    <w:tbl>
      <w:tblPr>
        <w:tblStyle w:val="28"/>
        <w:tblW w:w="8498" w:type="dxa"/>
        <w:jc w:val="center"/>
        <w:tblLayout w:type="fixed"/>
        <w:tblCellMar>
          <w:top w:w="0" w:type="dxa"/>
          <w:left w:w="0" w:type="dxa"/>
          <w:bottom w:w="0" w:type="dxa"/>
          <w:right w:w="0" w:type="dxa"/>
        </w:tblCellMar>
      </w:tblPr>
      <w:tblGrid>
        <w:gridCol w:w="869"/>
        <w:gridCol w:w="2939"/>
        <w:gridCol w:w="1964"/>
        <w:gridCol w:w="1876"/>
        <w:gridCol w:w="850"/>
      </w:tblGrid>
      <w:tr>
        <w:trPr>
          <w:trHeight w:val="667"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宋体"/>
                <w:b/>
                <w:bCs/>
                <w:color w:val="auto"/>
                <w:kern w:val="0"/>
                <w:sz w:val="24"/>
                <w:szCs w:val="24"/>
                <w:highlight w:val="none"/>
              </w:rPr>
            </w:pPr>
            <w:r>
              <w:rPr>
                <w:rFonts w:hint="eastAsia" w:ascii="仿宋" w:hAnsi="仿宋" w:eastAsia="仿宋"/>
                <w:color w:val="auto"/>
                <w:kern w:val="0"/>
                <w:highlight w:val="none"/>
              </w:rPr>
              <w:br w:type="page"/>
            </w:r>
            <w:r>
              <w:rPr>
                <w:rFonts w:hint="eastAsia" w:ascii="仿宋" w:hAnsi="仿宋" w:eastAsia="仿宋" w:cs="宋体"/>
                <w:b/>
                <w:bCs/>
                <w:color w:val="auto"/>
                <w:kern w:val="0"/>
                <w:sz w:val="24"/>
                <w:szCs w:val="24"/>
                <w:highlight w:val="none"/>
              </w:rPr>
              <w:t>序号</w:t>
            </w:r>
          </w:p>
        </w:tc>
        <w:tc>
          <w:tcPr>
            <w:tcW w:w="29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20" w:after="20"/>
              <w:jc w:val="center"/>
              <w:rPr>
                <w:rFonts w:ascii="仿宋" w:hAnsi="仿宋" w:eastAsia="仿宋" w:cs="宋体"/>
                <w:b/>
                <w:bCs/>
                <w:color w:val="auto"/>
                <w:kern w:val="0"/>
                <w:sz w:val="24"/>
                <w:szCs w:val="24"/>
                <w:highlight w:val="none"/>
              </w:rPr>
            </w:pPr>
            <w:r>
              <w:rPr>
                <w:rFonts w:hint="eastAsia" w:ascii="仿宋" w:hAnsi="仿宋" w:eastAsia="仿宋"/>
                <w:b/>
                <w:bCs/>
                <w:color w:val="auto"/>
                <w:sz w:val="24"/>
                <w:szCs w:val="24"/>
                <w:highlight w:val="none"/>
              </w:rPr>
              <w:t>标项名称</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20" w:after="20"/>
              <w:jc w:val="center"/>
              <w:rPr>
                <w:rFonts w:ascii="仿宋" w:hAnsi="仿宋" w:eastAsia="仿宋" w:cs="宋体"/>
                <w:b/>
                <w:bCs/>
                <w:color w:val="auto"/>
                <w:kern w:val="0"/>
                <w:sz w:val="24"/>
                <w:szCs w:val="24"/>
                <w:highlight w:val="none"/>
              </w:rPr>
            </w:pPr>
            <w:r>
              <w:rPr>
                <w:rFonts w:hint="eastAsia" w:ascii="仿宋" w:hAnsi="仿宋" w:eastAsia="仿宋"/>
                <w:b/>
                <w:bCs/>
                <w:color w:val="auto"/>
                <w:sz w:val="24"/>
                <w:szCs w:val="24"/>
                <w:highlight w:val="none"/>
              </w:rPr>
              <w:t>数量</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20" w:after="20" w:line="312" w:lineRule="auto"/>
              <w:jc w:val="center"/>
              <w:textAlignment w:val="center"/>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预算金额（万元）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20" w:after="20" w:line="312" w:lineRule="auto"/>
              <w:jc w:val="center"/>
              <w:textAlignment w:val="center"/>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备注</w:t>
            </w:r>
          </w:p>
        </w:tc>
      </w:tr>
      <w:tr>
        <w:tblPrEx>
          <w:tblCellMar>
            <w:top w:w="0" w:type="dxa"/>
            <w:left w:w="0" w:type="dxa"/>
            <w:bottom w:w="0" w:type="dxa"/>
            <w:right w:w="0" w:type="dxa"/>
          </w:tblCellMar>
        </w:tblPrEx>
        <w:trPr>
          <w:trHeight w:val="691"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20" w:after="20" w:line="312" w:lineRule="auto"/>
              <w:jc w:val="center"/>
              <w:textAlignment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auto"/>
            <w:tcMar>
              <w:top w:w="11" w:type="dxa"/>
              <w:left w:w="113" w:type="dxa"/>
              <w:right w:w="11" w:type="dxa"/>
            </w:tcMar>
            <w:vAlign w:val="center"/>
          </w:tcPr>
          <w:p>
            <w:pPr>
              <w:widowControl/>
              <w:spacing w:before="20" w:after="20" w:line="312" w:lineRule="auto"/>
              <w:jc w:val="center"/>
              <w:textAlignment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医院信息系统建设</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1" w:type="dxa"/>
              <w:left w:w="10" w:type="dxa"/>
              <w:right w:w="11" w:type="dxa"/>
            </w:tcMar>
            <w:vAlign w:val="center"/>
          </w:tcPr>
          <w:p>
            <w:pPr>
              <w:widowControl/>
              <w:spacing w:before="20" w:after="20" w:line="312" w:lineRule="auto"/>
              <w:jc w:val="center"/>
              <w:textAlignment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1项</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20" w:after="20" w:line="312" w:lineRule="auto"/>
              <w:jc w:val="center"/>
              <w:textAlignment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1000.00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20" w:after="20" w:line="312" w:lineRule="auto"/>
              <w:jc w:val="center"/>
              <w:textAlignment w:val="center"/>
              <w:rPr>
                <w:rFonts w:ascii="仿宋" w:hAnsi="仿宋" w:eastAsia="仿宋" w:cs="宋体"/>
                <w:color w:val="auto"/>
                <w:kern w:val="0"/>
                <w:sz w:val="24"/>
                <w:szCs w:val="24"/>
                <w:highlight w:val="none"/>
              </w:rPr>
            </w:pPr>
          </w:p>
        </w:tc>
      </w:tr>
    </w:tbl>
    <w:p>
      <w:pPr>
        <w:rPr>
          <w:color w:val="auto"/>
          <w:highlight w:val="none"/>
        </w:rPr>
      </w:pPr>
      <w:r>
        <w:rPr>
          <w:color w:val="auto"/>
          <w:highlight w:val="none"/>
        </w:rPr>
        <w:br w:type="page"/>
      </w:r>
    </w:p>
    <w:p>
      <w:pPr>
        <w:pStyle w:val="2"/>
        <w:rPr>
          <w:color w:val="auto"/>
          <w:highlight w:val="none"/>
        </w:rPr>
      </w:pPr>
    </w:p>
    <w:bookmarkEnd w:id="6"/>
    <w:tbl>
      <w:tblPr>
        <w:tblStyle w:val="28"/>
        <w:tblW w:w="9469" w:type="dxa"/>
        <w:jc w:val="center"/>
        <w:tblLayout w:type="fixed"/>
        <w:tblCellMar>
          <w:top w:w="0" w:type="dxa"/>
          <w:left w:w="108" w:type="dxa"/>
          <w:bottom w:w="0" w:type="dxa"/>
          <w:right w:w="108" w:type="dxa"/>
        </w:tblCellMar>
      </w:tblPr>
      <w:tblGrid>
        <w:gridCol w:w="767"/>
        <w:gridCol w:w="1701"/>
        <w:gridCol w:w="1417"/>
        <w:gridCol w:w="5584"/>
      </w:tblGrid>
      <w:tr>
        <w:tblPrEx>
          <w:tblCellMar>
            <w:top w:w="0" w:type="dxa"/>
            <w:left w:w="108" w:type="dxa"/>
            <w:bottom w:w="0" w:type="dxa"/>
            <w:right w:w="108" w:type="dxa"/>
          </w:tblCellMar>
        </w:tblPrEx>
        <w:trPr>
          <w:trHeight w:val="554"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项目名称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分项名称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简要说明</w:t>
            </w:r>
          </w:p>
        </w:tc>
      </w:tr>
      <w:tr>
        <w:tblPrEx>
          <w:tblCellMar>
            <w:top w:w="0" w:type="dxa"/>
            <w:left w:w="108" w:type="dxa"/>
            <w:bottom w:w="0" w:type="dxa"/>
            <w:right w:w="108" w:type="dxa"/>
          </w:tblCellMar>
        </w:tblPrEx>
        <w:trPr>
          <w:trHeight w:val="405"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集成平台系统</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auto"/>
                <w:sz w:val="24"/>
                <w:szCs w:val="24"/>
                <w:highlight w:val="none"/>
              </w:rPr>
            </w:pP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梳理优化现有系统的业务流程消除信息孤岛，实现数据的互联互通提升医护使用临床系统的效率。</w:t>
            </w:r>
          </w:p>
        </w:tc>
      </w:tr>
      <w:tr>
        <w:tblPrEx>
          <w:tblCellMar>
            <w:top w:w="0" w:type="dxa"/>
            <w:left w:w="108" w:type="dxa"/>
            <w:bottom w:w="0" w:type="dxa"/>
            <w:right w:w="108" w:type="dxa"/>
          </w:tblCellMar>
        </w:tblPrEx>
        <w:trPr>
          <w:trHeight w:val="399"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数据中心系统</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auto"/>
                <w:sz w:val="24"/>
                <w:szCs w:val="24"/>
                <w:highlight w:val="none"/>
              </w:rPr>
            </w:pP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汇集、标化处理全院信息系统数据，为互联互通和数据利用做。</w:t>
            </w:r>
          </w:p>
        </w:tc>
      </w:tr>
      <w:tr>
        <w:tblPrEx>
          <w:tblCellMar>
            <w:top w:w="0" w:type="dxa"/>
            <w:left w:w="108" w:type="dxa"/>
            <w:bottom w:w="0" w:type="dxa"/>
            <w:right w:w="108" w:type="dxa"/>
          </w:tblCellMar>
        </w:tblPrEx>
        <w:trPr>
          <w:trHeight w:val="1967"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数据中心应用系统</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auto"/>
                <w:sz w:val="24"/>
                <w:szCs w:val="24"/>
                <w:highlight w:val="none"/>
              </w:rPr>
            </w:pP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实现按照时间轴为主线展现患者在院、出院全部数据；实现住院口服用药闭环追踪、住院静脉药物、其他用药闭环追踪、住院手术麻醉闭环追踪、住院检验标本闭环追踪、住院检查闭环追踪、门诊检查检验闭环追踪、门诊处方闭环追踪、重点业务临床用血闭环追踪等共16项闭环追踪；实现门诊动态、工作负荷、患者负担、工作效率、治疗质量、病种运营、收入分析、卫生资源、医疗质量与安全等运行管理数据。</w:t>
            </w:r>
          </w:p>
        </w:tc>
      </w:tr>
      <w:tr>
        <w:tblPrEx>
          <w:tblCellMar>
            <w:top w:w="0" w:type="dxa"/>
            <w:left w:w="108" w:type="dxa"/>
            <w:bottom w:w="0" w:type="dxa"/>
            <w:right w:w="108" w:type="dxa"/>
          </w:tblCellMar>
        </w:tblPrEx>
        <w:trPr>
          <w:trHeight w:val="399"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单病种上报系统</w:t>
            </w:r>
          </w:p>
        </w:tc>
        <w:tc>
          <w:tcPr>
            <w:tcW w:w="141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仿宋" w:hAnsi="仿宋" w:eastAsia="仿宋" w:cs="仿宋"/>
                <w:color w:val="auto"/>
                <w:sz w:val="24"/>
                <w:szCs w:val="24"/>
                <w:highlight w:val="none"/>
              </w:rPr>
            </w:pP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实现单病种数据的自动抓取、质控和上报，提升医生上报效率、减轻医生工作量。</w:t>
            </w:r>
          </w:p>
        </w:tc>
      </w:tr>
      <w:tr>
        <w:tblPrEx>
          <w:tblCellMar>
            <w:top w:w="0" w:type="dxa"/>
            <w:left w:w="108" w:type="dxa"/>
            <w:bottom w:w="0" w:type="dxa"/>
            <w:right w:w="108" w:type="dxa"/>
          </w:tblCellMar>
        </w:tblPrEx>
        <w:trPr>
          <w:trHeight w:val="399"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LIS系统升级</w:t>
            </w:r>
          </w:p>
        </w:tc>
        <w:tc>
          <w:tcPr>
            <w:tcW w:w="141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仿宋" w:hAnsi="仿宋" w:eastAsia="仿宋" w:cs="仿宋"/>
                <w:color w:val="auto"/>
                <w:sz w:val="24"/>
                <w:szCs w:val="24"/>
                <w:highlight w:val="none"/>
              </w:rPr>
            </w:pP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提升检验科工作效率，满足日后电子病历评级和互联互通测评。</w:t>
            </w:r>
          </w:p>
        </w:tc>
      </w:tr>
      <w:tr>
        <w:tblPrEx>
          <w:tblCellMar>
            <w:top w:w="0" w:type="dxa"/>
            <w:left w:w="108" w:type="dxa"/>
            <w:bottom w:w="0" w:type="dxa"/>
            <w:right w:w="108" w:type="dxa"/>
          </w:tblCellMar>
        </w:tblPrEx>
        <w:trPr>
          <w:trHeight w:val="939"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w:t>
            </w:r>
          </w:p>
        </w:tc>
        <w:tc>
          <w:tcPr>
            <w:tcW w:w="170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影像中心系统</w:t>
            </w:r>
          </w:p>
        </w:tc>
        <w:tc>
          <w:tcPr>
            <w:tcW w:w="1417" w:type="dxa"/>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p>
        </w:tc>
        <w:tc>
          <w:tcPr>
            <w:tcW w:w="558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统一全院影像图片的集中存储实现全院影像图像的共享、实现患者手机端的查阅。统筹安排门诊及临床所。</w:t>
            </w:r>
          </w:p>
        </w:tc>
      </w:tr>
      <w:tr>
        <w:tblPrEx>
          <w:tblCellMar>
            <w:top w:w="0" w:type="dxa"/>
            <w:left w:w="108" w:type="dxa"/>
            <w:bottom w:w="0" w:type="dxa"/>
            <w:right w:w="108" w:type="dxa"/>
          </w:tblCellMar>
        </w:tblPrEx>
        <w:trPr>
          <w:trHeight w:val="623"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内镜中心系统</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auto"/>
                <w:sz w:val="24"/>
                <w:szCs w:val="24"/>
                <w:highlight w:val="none"/>
              </w:rPr>
            </w:pP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填补内镜科室无系统的缺失，并以时间轴为主线记录内镜洗消的每一环节步骤，实现消毒的闭环，避免院内感染。</w:t>
            </w:r>
          </w:p>
        </w:tc>
      </w:tr>
      <w:tr>
        <w:tblPrEx>
          <w:tblCellMar>
            <w:top w:w="0" w:type="dxa"/>
            <w:left w:w="108" w:type="dxa"/>
            <w:bottom w:w="0" w:type="dxa"/>
            <w:right w:w="108" w:type="dxa"/>
          </w:tblCellMar>
        </w:tblPrEx>
        <w:trPr>
          <w:trHeight w:val="595"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8</w:t>
            </w:r>
          </w:p>
        </w:tc>
        <w:tc>
          <w:tcPr>
            <w:tcW w:w="170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无纸化病案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智能移动电子签名平台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实现患者签名电子采集，完毕无纸化系统缺失的患者签名部分。</w:t>
            </w:r>
          </w:p>
        </w:tc>
      </w:tr>
      <w:tr>
        <w:tblPrEx>
          <w:tblCellMar>
            <w:top w:w="0" w:type="dxa"/>
            <w:left w:w="108" w:type="dxa"/>
            <w:bottom w:w="0" w:type="dxa"/>
            <w:right w:w="108" w:type="dxa"/>
          </w:tblCellMar>
        </w:tblPrEx>
        <w:trPr>
          <w:trHeight w:val="595"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9</w:t>
            </w:r>
          </w:p>
        </w:tc>
        <w:tc>
          <w:tcPr>
            <w:tcW w:w="1701" w:type="dxa"/>
            <w:vMerge w:val="continue"/>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highlight w:val="none"/>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移动查房系统</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无纸化后支撑医生便捷查房。</w:t>
            </w:r>
          </w:p>
        </w:tc>
      </w:tr>
      <w:tr>
        <w:tblPrEx>
          <w:tblCellMar>
            <w:top w:w="0" w:type="dxa"/>
            <w:left w:w="108" w:type="dxa"/>
            <w:bottom w:w="0" w:type="dxa"/>
            <w:right w:w="108" w:type="dxa"/>
          </w:tblCellMar>
        </w:tblPrEx>
        <w:trPr>
          <w:trHeight w:val="399"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7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査房移动平板</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移动查房系统配套平板(48台)。</w:t>
            </w:r>
          </w:p>
        </w:tc>
      </w:tr>
      <w:tr>
        <w:tblPrEx>
          <w:tblCellMar>
            <w:top w:w="0" w:type="dxa"/>
            <w:left w:w="108" w:type="dxa"/>
            <w:bottom w:w="0" w:type="dxa"/>
            <w:right w:w="108" w:type="dxa"/>
          </w:tblCellMar>
        </w:tblPrEx>
        <w:trPr>
          <w:trHeight w:val="1183"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医务管理系统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 w:val="24"/>
                <w:szCs w:val="24"/>
                <w:highlight w:val="none"/>
              </w:rPr>
            </w:pP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医务的主要工作如：规章制度管理、医疗质量管理(各种检查、上报数据统计、质量检查)、医疗安全管理(投诉纠纷、突发应急事件)、医务协调工作(政府指令性工作安排)、医务队伍管理(档案、科研、教育等)等工作统筹管理，供医务部进行决策支持。</w:t>
            </w:r>
          </w:p>
        </w:tc>
      </w:tr>
      <w:tr>
        <w:tblPrEx>
          <w:tblCellMar>
            <w:top w:w="0" w:type="dxa"/>
            <w:left w:w="108" w:type="dxa"/>
            <w:bottom w:w="0" w:type="dxa"/>
            <w:right w:w="108" w:type="dxa"/>
          </w:tblCellMar>
        </w:tblPrEx>
        <w:trPr>
          <w:trHeight w:val="89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不良事件管理系统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 w:val="24"/>
                <w:szCs w:val="24"/>
                <w:highlight w:val="none"/>
              </w:rPr>
            </w:pP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整合临床系统电子病历、his及移动护理对系统检测到或医护及管理者发现的不良事件进行上报：主要涉及功能为提醒、上报、审核、打回、统计等功能。</w:t>
            </w:r>
          </w:p>
        </w:tc>
      </w:tr>
      <w:tr>
        <w:tblPrEx>
          <w:tblCellMar>
            <w:top w:w="0" w:type="dxa"/>
            <w:left w:w="108" w:type="dxa"/>
            <w:bottom w:w="0" w:type="dxa"/>
            <w:right w:w="108" w:type="dxa"/>
          </w:tblCellMar>
        </w:tblPrEx>
        <w:trPr>
          <w:trHeight w:val="532"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现有系统改造</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 w:val="24"/>
                <w:szCs w:val="24"/>
                <w:highlight w:val="none"/>
              </w:rPr>
            </w:pP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HIS、PACS、移动护理等对接集成平台和数据中心系统。</w:t>
            </w:r>
          </w:p>
        </w:tc>
      </w:tr>
    </w:tbl>
    <w:p>
      <w:pPr>
        <w:rPr>
          <w:rFonts w:ascii="仿宋" w:hAnsi="仿宋" w:eastAsia="仿宋" w:cs="仿宋"/>
          <w:color w:val="auto"/>
          <w:sz w:val="24"/>
          <w:szCs w:val="24"/>
          <w:highlight w:val="none"/>
        </w:rPr>
      </w:pPr>
    </w:p>
    <w:p>
      <w:pPr>
        <w:pStyle w:val="5"/>
        <w:spacing w:line="24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品目一：集成平台系统</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p>
      <w:pPr>
        <w:ind w:left="42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1、集成引擎</w:t>
      </w:r>
    </w:p>
    <w:tbl>
      <w:tblPr>
        <w:tblStyle w:val="28"/>
        <w:tblW w:w="9127"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913"/>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适配器</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支持不同的消息标准，如HL7,DICOM,X12。</w:t>
            </w:r>
          </w:p>
          <w:p>
            <w:pPr>
              <w:numPr>
                <w:ilvl w:val="0"/>
                <w:numId w:val="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支持主流通讯协议，如SOAP,HTTP,TCP/IP,MQ,FTP。</w:t>
            </w:r>
          </w:p>
          <w:p>
            <w:pPr>
              <w:numPr>
                <w:ilvl w:val="0"/>
                <w:numId w:val="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支持主流技术，如：.NET，J2EE。</w:t>
            </w:r>
          </w:p>
          <w:p>
            <w:pPr>
              <w:numPr>
                <w:ilvl w:val="0"/>
                <w:numId w:val="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集成平台产品可兼容国产操作系统，能够兼容至少2种主流国产操作系统（红旗、中标麒麟、方德等）。提供兼容证明材料。</w:t>
            </w:r>
          </w:p>
          <w:p>
            <w:pPr>
              <w:numPr>
                <w:ilvl w:val="0"/>
                <w:numId w:val="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集成平台系统可兼容国产数据库能够兼容至少2种主流国产数据库（达梦、金仓、神通等）。提供兼容证明材料。</w:t>
            </w:r>
          </w:p>
          <w:p>
            <w:pPr>
              <w:numPr>
                <w:ilvl w:val="0"/>
                <w:numId w:val="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支持通过JDBC,ODBC接入关系型数据库和面向对象的数据库，如SQL Server,Oracle，Mysql等。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智能路由</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可定制和扩展的路由功能和基于规则的流程控制功能。</w:t>
            </w:r>
          </w:p>
          <w:p>
            <w:pPr>
              <w:numPr>
                <w:ilvl w:val="0"/>
                <w:numId w:val="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具有消息传递功能，能对消息路由进行图形化编排。</w:t>
            </w:r>
          </w:p>
          <w:p>
            <w:pPr>
              <w:numPr>
                <w:ilvl w:val="0"/>
                <w:numId w:val="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具有路由测试工具，路由设置完成后可以进行工具测试。</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信息转换</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具有高度优化的转换引擎，进行标准化的转换。</w:t>
            </w:r>
          </w:p>
          <w:p>
            <w:pPr>
              <w:numPr>
                <w:ilvl w:val="0"/>
                <w:numId w:val="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提供图形化配置界面，具备图形化界面与代码之间转换能力。</w:t>
            </w:r>
          </w:p>
          <w:p>
            <w:pPr>
              <w:numPr>
                <w:ilvl w:val="0"/>
                <w:numId w:val="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具有转换测试工具，转换操作确定后可进行工具测试，确定达到转换目标。</w:t>
            </w:r>
          </w:p>
          <w:p>
            <w:pPr>
              <w:numPr>
                <w:ilvl w:val="0"/>
                <w:numId w:val="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具有标准术语转换功能，通过信息转换，消息输出标准术语。</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业务协同</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可以通过图形化方式实现业务流程管理，实现业务协同。</w:t>
            </w:r>
          </w:p>
          <w:p>
            <w:pPr>
              <w:numPr>
                <w:ilvl w:val="0"/>
                <w:numId w:val="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必须含有建模组件，允许业务用户定义、查看和管理复杂的跨应用流程。</w:t>
            </w:r>
          </w:p>
          <w:p>
            <w:pPr>
              <w:numPr>
                <w:ilvl w:val="0"/>
                <w:numId w:val="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可以通过图形化的方式定制、编辑和管理业务流程，包括流程名称，运行状态，发送方，接收方、消息同步、异步传递方式等。</w:t>
            </w:r>
          </w:p>
          <w:p>
            <w:pPr>
              <w:numPr>
                <w:ilvl w:val="0"/>
                <w:numId w:val="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具有业务测试工具，业务流程设置完成后可以进行工具测试。</w:t>
            </w:r>
          </w:p>
          <w:p>
            <w:pPr>
              <w:numPr>
                <w:ilvl w:val="0"/>
                <w:numId w:val="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需要具备从业务流程图与代码之间互为转换能力。</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消息持久化</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集成引擎中流转消息能够存储到数据库中，不管是失败的消息还是成功的消息都能做持久化保存。</w:t>
            </w:r>
          </w:p>
          <w:p>
            <w:pPr>
              <w:numPr>
                <w:ilvl w:val="0"/>
                <w:numId w:val="7"/>
              </w:numPr>
              <w:rPr>
                <w:rFonts w:ascii="仿宋" w:hAnsi="仿宋" w:eastAsia="仿宋" w:cs="仿宋"/>
                <w:bCs/>
                <w:color w:val="auto"/>
                <w:sz w:val="24"/>
                <w:szCs w:val="24"/>
                <w:highlight w:val="none"/>
              </w:rPr>
            </w:pPr>
            <w:bookmarkStart w:id="7" w:name="_Hlk11589526"/>
            <w:r>
              <w:rPr>
                <w:rFonts w:hint="eastAsia" w:ascii="仿宋" w:hAnsi="仿宋" w:eastAsia="仿宋" w:cs="仿宋"/>
                <w:bCs/>
                <w:color w:val="auto"/>
                <w:sz w:val="24"/>
                <w:szCs w:val="24"/>
                <w:highlight w:val="none"/>
              </w:rPr>
              <w:t>提供消息交互数量统计界面</w:t>
            </w:r>
            <w:bookmarkEnd w:id="7"/>
            <w:r>
              <w:rPr>
                <w:rFonts w:hint="eastAsia" w:ascii="仿宋" w:hAnsi="仿宋" w:eastAsia="仿宋" w:cs="仿宋"/>
                <w:bCs/>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容灾机制</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软件级高可用方案，提供软件级容灾机制（Mirror）。</w:t>
            </w:r>
          </w:p>
          <w:p>
            <w:pPr>
              <w:numPr>
                <w:ilvl w:val="0"/>
                <w:numId w:val="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集成平台产品需提供由国家级软件评测中心根据GB/T22239-20 19《信息安全技术网络安全等级保护基本要求》第三级要求出具的关于集 成平台产品不存在高、中风险安全漏洞的软件产品测试证书</w:t>
            </w:r>
          </w:p>
          <w:p>
            <w:pPr>
              <w:numPr>
                <w:ilvl w:val="0"/>
                <w:numId w:val="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具有高度的灵活性和扩展性，能够在医院业务高峰期数据库访问量巨大的情况下，确保整个业务系统的性能稳定。</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运维监控</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提供用户权限认证管理及审计功能。</w:t>
            </w:r>
          </w:p>
          <w:p>
            <w:pPr>
              <w:numPr>
                <w:ilvl w:val="0"/>
                <w:numId w:val="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提供中文的监控界面，包括平台相关服务和组件运行情况监控。</w:t>
            </w:r>
          </w:p>
          <w:p>
            <w:pPr>
              <w:numPr>
                <w:ilvl w:val="0"/>
                <w:numId w:val="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通过图形界面展现各节点和交换流程运行情况。</w:t>
            </w:r>
          </w:p>
        </w:tc>
      </w:tr>
    </w:tbl>
    <w:p>
      <w:pPr>
        <w:ind w:left="42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2、订阅发布</w:t>
      </w:r>
    </w:p>
    <w:tbl>
      <w:tblPr>
        <w:tblStyle w:val="28"/>
        <w:tblW w:w="9191"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140"/>
        <w:gridCol w:w="7051"/>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051"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运行监控</w:t>
            </w:r>
          </w:p>
        </w:tc>
        <w:tc>
          <w:tcPr>
            <w:tcW w:w="7051"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对订阅发布系统下相关组件的运行状况进行监控，监控指标包括主题联通范围、启用进程数量、消息接入情况、接入趋势、消息耗时、异常日志、队列情况、接入系统厂商、主题活跃度排名。</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消息监控</w:t>
            </w:r>
          </w:p>
        </w:tc>
        <w:tc>
          <w:tcPr>
            <w:tcW w:w="7051"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对订阅发布系统下各主题的消息接入情况进行监控，展示各主题的发布系统、订阅系统及订阅关系、各主题的消息接入量、接入趋势、报错情况。</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适配器管理</w:t>
            </w:r>
          </w:p>
        </w:tc>
        <w:tc>
          <w:tcPr>
            <w:tcW w:w="7051" w:type="dxa"/>
            <w:tcBorders>
              <w:top w:val="single" w:color="auto" w:sz="4" w:space="0"/>
              <w:left w:val="single" w:color="auto" w:sz="4" w:space="0"/>
              <w:bottom w:val="single" w:color="auto" w:sz="4" w:space="0"/>
              <w:right w:val="single" w:color="auto" w:sz="6" w:space="0"/>
            </w:tcBorders>
            <w:vAlign w:val="center"/>
          </w:tcPr>
          <w:p>
            <w:pPr>
              <w:numPr>
                <w:ilvl w:val="0"/>
                <w:numId w:val="1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具备常见适配器应用内置，拆箱即用。</w:t>
            </w:r>
          </w:p>
          <w:p>
            <w:pPr>
              <w:numPr>
                <w:ilvl w:val="0"/>
                <w:numId w:val="1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可以对当前所有适配器的名称、类、适配类型进行展示。</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域管理</w:t>
            </w:r>
          </w:p>
        </w:tc>
        <w:tc>
          <w:tcPr>
            <w:tcW w:w="7051" w:type="dxa"/>
            <w:tcBorders>
              <w:top w:val="single" w:color="auto" w:sz="4" w:space="0"/>
              <w:left w:val="single" w:color="auto" w:sz="4" w:space="0"/>
              <w:bottom w:val="single" w:color="auto" w:sz="4" w:space="0"/>
              <w:right w:val="single" w:color="auto" w:sz="6" w:space="0"/>
            </w:tcBorders>
            <w:vAlign w:val="center"/>
          </w:tcPr>
          <w:p>
            <w:pPr>
              <w:numPr>
                <w:ilvl w:val="0"/>
                <w:numId w:val="1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具备将医院内的各生产环境维护为域，对院内的集成引擎环境进行管理。</w:t>
            </w:r>
          </w:p>
          <w:p>
            <w:pPr>
              <w:numPr>
                <w:ilvl w:val="0"/>
                <w:numId w:val="1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域信息作为最基础的数据，可以将所有的主题信息、订户信息、订阅关系信息都需要和域信息进行绑定。</w:t>
            </w:r>
          </w:p>
          <w:p>
            <w:pPr>
              <w:numPr>
                <w:ilvl w:val="0"/>
                <w:numId w:val="1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提供快速访问域的主题管理的功能。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主题管理</w:t>
            </w:r>
          </w:p>
        </w:tc>
        <w:tc>
          <w:tcPr>
            <w:tcW w:w="7051"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管理所有域下的主题信息：</w:t>
            </w:r>
          </w:p>
          <w:p>
            <w:pPr>
              <w:numPr>
                <w:ilvl w:val="0"/>
                <w:numId w:val="1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提供主题维护功能，对域内的主题信息进行丰富，扩展域可提供的服务范围。</w:t>
            </w:r>
          </w:p>
          <w:p>
            <w:pPr>
              <w:numPr>
                <w:ilvl w:val="0"/>
                <w:numId w:val="1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提供同步、异步两种通讯方式对外提供服务。</w:t>
            </w:r>
          </w:p>
          <w:p>
            <w:pPr>
              <w:numPr>
                <w:ilvl w:val="0"/>
                <w:numId w:val="1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支持对主题进行启用/停用操作，实现对服务的管理。</w:t>
            </w:r>
          </w:p>
          <w:p>
            <w:pPr>
              <w:numPr>
                <w:ilvl w:val="0"/>
                <w:numId w:val="1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可快速定位到与主题相关的消息记录检索页面。</w:t>
            </w:r>
          </w:p>
          <w:p>
            <w:pPr>
              <w:numPr>
                <w:ilvl w:val="0"/>
                <w:numId w:val="1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支持通过可视化界面完成相关配置，进行定制和新增主题，如HTTP适配器、SOAP适配器、SQL适配器等。</w:t>
            </w:r>
          </w:p>
          <w:p>
            <w:pPr>
              <w:numPr>
                <w:ilvl w:val="0"/>
                <w:numId w:val="1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内置标准主题，通过平台可以直观地进行主题展示及消息的完整跟踪。</w:t>
            </w:r>
          </w:p>
          <w:p>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预置主流业务系统集成场景及主题需要包括以下内容：</w:t>
            </w:r>
          </w:p>
          <w:tbl>
            <w:tblPr>
              <w:tblStyle w:val="28"/>
              <w:tblW w:w="6465" w:type="dxa"/>
              <w:jc w:val="center"/>
              <w:tblLayout w:type="fixed"/>
              <w:tblCellMar>
                <w:top w:w="0" w:type="dxa"/>
                <w:left w:w="0" w:type="dxa"/>
                <w:bottom w:w="0" w:type="dxa"/>
                <w:right w:w="0" w:type="dxa"/>
              </w:tblCellMar>
            </w:tblPr>
            <w:tblGrid>
              <w:gridCol w:w="2087"/>
              <w:gridCol w:w="2472"/>
              <w:gridCol w:w="1906"/>
            </w:tblGrid>
            <w:tr>
              <w:tblPrEx>
                <w:tblCellMar>
                  <w:top w:w="0" w:type="dxa"/>
                  <w:left w:w="0" w:type="dxa"/>
                  <w:bottom w:w="0" w:type="dxa"/>
                  <w:right w:w="0" w:type="dxa"/>
                </w:tblCellMar>
              </w:tblPrEx>
              <w:trPr>
                <w:trHeight w:val="285" w:hRule="atLeast"/>
                <w:jc w:val="center"/>
              </w:trPr>
              <w:tc>
                <w:tcPr>
                  <w:tcW w:w="2087"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集成场景</w:t>
                  </w:r>
                </w:p>
              </w:tc>
              <w:tc>
                <w:tcPr>
                  <w:tcW w:w="2472"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主题名称</w:t>
                  </w:r>
                </w:p>
              </w:tc>
              <w:tc>
                <w:tcPr>
                  <w:tcW w:w="1906"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支持标准</w:t>
                  </w:r>
                </w:p>
              </w:tc>
            </w:tr>
            <w:tr>
              <w:tblPrEx>
                <w:tblCellMar>
                  <w:top w:w="0" w:type="dxa"/>
                  <w:left w:w="0" w:type="dxa"/>
                  <w:bottom w:w="0" w:type="dxa"/>
                  <w:right w:w="0" w:type="dxa"/>
                </w:tblCellMar>
              </w:tblPrEx>
              <w:trPr>
                <w:trHeight w:val="285"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患者信息交互</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新增患者信息服务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患者信息更新服务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患者合并服务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患者基本信息查询服务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402"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就诊信息交互</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anchor distT="0" distB="0" distL="114300" distR="114300" simplePos="0" relativeHeight="251662336" behindDoc="0" locked="0" layoutInCell="1" allowOverlap="1">
                        <wp:simplePos x="0" y="0"/>
                        <wp:positionH relativeFrom="column">
                          <wp:posOffset>975995</wp:posOffset>
                        </wp:positionH>
                        <wp:positionV relativeFrom="paragraph">
                          <wp:posOffset>66675</wp:posOffset>
                        </wp:positionV>
                        <wp:extent cx="386080" cy="92075"/>
                        <wp:effectExtent l="0" t="0" r="0" b="0"/>
                        <wp:wrapNone/>
                        <wp:docPr id="2" name="文本框_1"/>
                        <wp:cNvGraphicFramePr/>
                        <a:graphic xmlns:a="http://schemas.openxmlformats.org/drawingml/2006/main">
                          <a:graphicData uri="http://schemas.openxmlformats.org/drawingml/2006/picture">
                            <pic:pic xmlns:pic="http://schemas.openxmlformats.org/drawingml/2006/picture">
                              <pic:nvPicPr>
                                <pic:cNvPr id="2" name="文本框_1"/>
                                <pic:cNvPicPr/>
                              </pic:nvPicPr>
                              <pic:blipFill>
                                <a:blip r:embed="rId14"/>
                                <a:stretch>
                                  <a:fillRect/>
                                </a:stretch>
                              </pic:blipFill>
                              <pic:spPr>
                                <a:xfrm>
                                  <a:off x="0" y="0"/>
                                  <a:ext cx="386080" cy="92075"/>
                                </a:xfrm>
                                <a:prstGeom prst="rect">
                                  <a:avLst/>
                                </a:prstGeom>
                                <a:noFill/>
                                <a:ln>
                                  <a:noFill/>
                                </a:ln>
                              </pic:spPr>
                            </pic:pic>
                          </a:graphicData>
                        </a:graphic>
                      </wp:anchor>
                    </w:drawing>
                  </w:r>
                  <w:r>
                    <w:rPr>
                      <w:rFonts w:hint="eastAsia" w:ascii="仿宋" w:hAnsi="仿宋" w:eastAsia="仿宋" w:cs="仿宋"/>
                      <w:color w:val="auto"/>
                      <w:sz w:val="24"/>
                      <w:szCs w:val="24"/>
                      <w:highlight w:val="none"/>
                    </w:rPr>
                    <w:drawing>
                      <wp:anchor distT="0" distB="0" distL="114300" distR="114300" simplePos="0" relativeHeight="251663360" behindDoc="0" locked="0" layoutInCell="1" allowOverlap="1">
                        <wp:simplePos x="0" y="0"/>
                        <wp:positionH relativeFrom="column">
                          <wp:posOffset>975995</wp:posOffset>
                        </wp:positionH>
                        <wp:positionV relativeFrom="paragraph">
                          <wp:posOffset>66675</wp:posOffset>
                        </wp:positionV>
                        <wp:extent cx="386080" cy="92075"/>
                        <wp:effectExtent l="0" t="0" r="0" b="0"/>
                        <wp:wrapNone/>
                        <wp:docPr id="4" name="文本框_2"/>
                        <wp:cNvGraphicFramePr/>
                        <a:graphic xmlns:a="http://schemas.openxmlformats.org/drawingml/2006/main">
                          <a:graphicData uri="http://schemas.openxmlformats.org/drawingml/2006/picture">
                            <pic:pic xmlns:pic="http://schemas.openxmlformats.org/drawingml/2006/picture">
                              <pic:nvPicPr>
                                <pic:cNvPr id="4" name="文本框_2"/>
                                <pic:cNvPicPr/>
                              </pic:nvPicPr>
                              <pic:blipFill>
                                <a:blip r:embed="rId14"/>
                                <a:stretch>
                                  <a:fillRect/>
                                </a:stretch>
                              </pic:blipFill>
                              <pic:spPr>
                                <a:xfrm>
                                  <a:off x="0" y="0"/>
                                  <a:ext cx="386080" cy="92075"/>
                                </a:xfrm>
                                <a:prstGeom prst="rect">
                                  <a:avLst/>
                                </a:prstGeom>
                                <a:noFill/>
                                <a:ln>
                                  <a:noFill/>
                                </a:ln>
                              </pic:spPr>
                            </pic:pic>
                          </a:graphicData>
                        </a:graphic>
                      </wp:anchor>
                    </w:drawing>
                  </w:r>
                  <w:r>
                    <w:rPr>
                      <w:rFonts w:hint="eastAsia" w:ascii="仿宋" w:hAnsi="仿宋" w:eastAsia="仿宋" w:cs="仿宋"/>
                      <w:color w:val="auto"/>
                      <w:sz w:val="24"/>
                      <w:szCs w:val="24"/>
                      <w:highlight w:val="none"/>
                    </w:rPr>
                    <w:t>就诊卡信息新增服务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就诊卡信息更新服务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就诊卡信息查询服务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门诊挂号信息新增服务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门诊挂号信息更新服务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门诊挂号信息查询服务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门诊就诊查询服务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号源排班信息新增服务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号源排班信息更新服务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号源排班信息查询服务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住院就诊信息登记服务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住院就诊信息更新服务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住院就诊信息查询服务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取消住院就诊信息服务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患者入科服务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取消患者入科服务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住院转科信息新增服务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住院转科信息更新服务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住院转科信息查询服务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患者转区转床服务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出院登记信息新增服务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出院登记信息更新服务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出院信息查询服务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取消出院服务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诊断服务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申请单信息交互</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检查申请消息新增服务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检查申请信息更新服务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检查申请单信息查询服务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取消检查申请服务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检查退费服务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检验申请信息新增服务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检验申请信息更新服务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检验申请信息查询服务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取消检验申请服务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手术申请信息新增服务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手术申请信息更新服务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手术申请信息查询服务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取消手术申请服务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输血申请信息新增服务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输血申请信息更新服务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输血申请信息查询服务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取消输血申请服务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会诊申请服务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医嘱信息交互</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医嘱信息新增服务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医嘱信息修改服务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医嘱信息查询服务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医嘱执行状态更新服务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医嘱执行状态查询服务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医嘱撤销</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医嘱停止服务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状态、结果信息交互</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检查状态信息更新服务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检查状态信息查询服务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检查结果信息新增服务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检查结果信息更新服务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检查结果信息查询服务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检查报告回传服务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检验状态信息更新服务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检验状态信息查询服务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检体核收服务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检体拒收服务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检验报告回传服务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病理结果信息新增服务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病理结果信息更新服务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病理结果信息查询服务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手术排班信息新增服务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手术排班信息更新服务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手术排班信息查询服务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手术状态信息更新服务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手术状态信息查询服务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病理报告回传服务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危急值信息新增服务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危急值信息更新服务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危急值信息查询服务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预约信息交互</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门诊预约状态信息新增服务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门诊预约状态信息更新服务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门诊预约状态信息查询服务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检查预约状态信息新增服务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检查预约状态信息更新服务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检查预约状态信息查询服务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体检预约状态信息新增服务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体检预约状态信息更新服务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体检预约状态信息查询服务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医疗卫生机构信息交互</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医疗卫生机构信息注册服务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医疗卫生机构信息更新服务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医疗卫生机构信息删除服务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医疗卫生机构信息查询服务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医疗卫生人员信息交互</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医疗卫生人员信息注册服务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医疗卫生人员信息更新服务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医疗卫生人员信息删除服务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医疗卫生人员信息查询服务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术语信息交互</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术语内容注册服务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术语内容更新服务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术语内容停用服务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术语内容查询服务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全术语内容查询服务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术语结构注册服务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术语结构更新服务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术语结构停用服务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术语结构查询服务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财务信息交互</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计入财务处理明细信息服务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HL7V2</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费用状态更新服务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HL7V2</w:t>
                  </w:r>
                </w:p>
              </w:tc>
            </w:tr>
            <w:tr>
              <w:tblPrEx>
                <w:tblCellMar>
                  <w:top w:w="0" w:type="dxa"/>
                  <w:left w:w="0" w:type="dxa"/>
                  <w:bottom w:w="0" w:type="dxa"/>
                  <w:right w:w="0" w:type="dxa"/>
                </w:tblCellMar>
              </w:tblPrEx>
              <w:trPr>
                <w:trHeight w:val="285"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支付信息交互</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门诊挂号支付信息新增服务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门诊挂号支付信息更新服务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门诊支付信息新增服务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门诊支付信息更新服务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住院支付信息新增服务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住院支付信息更新服务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就诊卡充值信息新增服务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就诊卡充值信息更新服务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预交金缴存信息新增服务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r>
              <w:tblPrEx>
                <w:tblCellMar>
                  <w:top w:w="0" w:type="dxa"/>
                  <w:left w:w="0" w:type="dxa"/>
                  <w:bottom w:w="0" w:type="dxa"/>
                  <w:right w:w="0" w:type="dxa"/>
                </w:tblCellMar>
              </w:tblPrEx>
              <w:trPr>
                <w:trHeight w:val="285" w:hRule="atLeast"/>
                <w:jc w:val="center"/>
              </w:trPr>
              <w:tc>
                <w:tcPr>
                  <w:tcW w:w="20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预交金缴存信息更新服务</w:t>
                  </w: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HL7V3</w:t>
                  </w:r>
                </w:p>
              </w:tc>
            </w:tr>
          </w:tbl>
          <w:p>
            <w:pPr>
              <w:rPr>
                <w:rFonts w:ascii="仿宋" w:hAnsi="仿宋" w:eastAsia="仿宋" w:cs="仿宋"/>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订阅关系</w:t>
            </w:r>
          </w:p>
        </w:tc>
        <w:tc>
          <w:tcPr>
            <w:tcW w:w="7051" w:type="dxa"/>
            <w:tcBorders>
              <w:top w:val="single" w:color="auto" w:sz="4" w:space="0"/>
              <w:left w:val="single" w:color="auto" w:sz="4" w:space="0"/>
              <w:bottom w:val="single" w:color="auto" w:sz="4" w:space="0"/>
              <w:right w:val="single" w:color="auto" w:sz="6" w:space="0"/>
            </w:tcBorders>
            <w:vAlign w:val="center"/>
          </w:tcPr>
          <w:p>
            <w:pPr>
              <w:numPr>
                <w:ilvl w:val="0"/>
                <w:numId w:val="1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可以管理各域下订户对主题的订阅流程信息。</w:t>
            </w:r>
          </w:p>
          <w:p>
            <w:pPr>
              <w:numPr>
                <w:ilvl w:val="0"/>
                <w:numId w:val="1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支持主题同时被多个订户订阅要求。</w:t>
            </w:r>
          </w:p>
          <w:p>
            <w:pPr>
              <w:numPr>
                <w:ilvl w:val="0"/>
                <w:numId w:val="1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具备主题被多个订户订阅时，订阅规则可分别进行设置功能。</w:t>
            </w:r>
          </w:p>
          <w:p>
            <w:pPr>
              <w:numPr>
                <w:ilvl w:val="0"/>
                <w:numId w:val="1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支持对订阅关系进行启用/停用。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订户管理</w:t>
            </w:r>
          </w:p>
        </w:tc>
        <w:tc>
          <w:tcPr>
            <w:tcW w:w="7051"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管理所有域下的订户信息。</w:t>
            </w:r>
          </w:p>
          <w:p>
            <w:pPr>
              <w:numPr>
                <w:ilvl w:val="0"/>
                <w:numId w:val="1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提供订户维护功能，在域下实现订户信息新增、编辑、删除。</w:t>
            </w:r>
          </w:p>
          <w:p>
            <w:pPr>
              <w:numPr>
                <w:ilvl w:val="0"/>
                <w:numId w:val="1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支持对订户信息进行启用/停用。</w:t>
            </w:r>
          </w:p>
          <w:p>
            <w:pPr>
              <w:numPr>
                <w:ilvl w:val="0"/>
                <w:numId w:val="1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可快速定位到订户相关的消息记录检索页面。</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消息检索</w:t>
            </w:r>
          </w:p>
        </w:tc>
        <w:tc>
          <w:tcPr>
            <w:tcW w:w="7051" w:type="dxa"/>
            <w:tcBorders>
              <w:top w:val="single" w:color="auto" w:sz="4" w:space="0"/>
              <w:left w:val="single" w:color="auto" w:sz="4" w:space="0"/>
              <w:bottom w:val="single" w:color="auto" w:sz="4" w:space="0"/>
              <w:right w:val="single" w:color="auto" w:sz="6" w:space="0"/>
            </w:tcBorders>
            <w:vAlign w:val="center"/>
          </w:tcPr>
          <w:p>
            <w:pPr>
              <w:numPr>
                <w:ilvl w:val="0"/>
                <w:numId w:val="1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支持通过消息ID、患者ID、患者姓名、医嘱号、申请单号等条件对特定域下的消息进行检索。</w:t>
            </w:r>
          </w:p>
          <w:p>
            <w:pPr>
              <w:numPr>
                <w:ilvl w:val="0"/>
                <w:numId w:val="1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支持对检索出的消息流程及内容查看，任意节点重发操作。</w:t>
            </w:r>
          </w:p>
          <w:p>
            <w:pPr>
              <w:numPr>
                <w:ilvl w:val="0"/>
                <w:numId w:val="1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提供收藏功能对常用的查询条件进行收藏后可快速进行查询功能。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规则转换</w:t>
            </w:r>
          </w:p>
        </w:tc>
        <w:tc>
          <w:tcPr>
            <w:tcW w:w="7051" w:type="dxa"/>
            <w:tcBorders>
              <w:top w:val="single" w:color="auto" w:sz="4" w:space="0"/>
              <w:left w:val="single" w:color="auto" w:sz="4" w:space="0"/>
              <w:bottom w:val="single" w:color="auto" w:sz="4" w:space="0"/>
              <w:right w:val="single" w:color="auto" w:sz="6" w:space="0"/>
            </w:tcBorders>
            <w:vAlign w:val="center"/>
          </w:tcPr>
          <w:p>
            <w:pPr>
              <w:numPr>
                <w:ilvl w:val="0"/>
                <w:numId w:val="1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可以管理各个域下的规则转换文件，对规则转换文件进行新建及维护。</w:t>
            </w:r>
          </w:p>
          <w:p>
            <w:pPr>
              <w:numPr>
                <w:ilvl w:val="0"/>
                <w:numId w:val="1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支持源和目标之间多种转化操作，分配操作、表达式操作、技术操作等。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消息模型管理</w:t>
            </w:r>
          </w:p>
        </w:tc>
        <w:tc>
          <w:tcPr>
            <w:tcW w:w="7051" w:type="dxa"/>
            <w:tcBorders>
              <w:top w:val="single" w:color="auto" w:sz="4" w:space="0"/>
              <w:left w:val="single" w:color="auto" w:sz="4" w:space="0"/>
              <w:bottom w:val="single" w:color="auto" w:sz="4" w:space="0"/>
              <w:right w:val="single" w:color="auto" w:sz="6" w:space="0"/>
            </w:tcBorders>
            <w:vAlign w:val="center"/>
          </w:tcPr>
          <w:p>
            <w:pPr>
              <w:numPr>
                <w:ilvl w:val="0"/>
                <w:numId w:val="1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内置支持HL7V2、HL7V3标准，支持XML。</w:t>
            </w:r>
          </w:p>
          <w:p>
            <w:pPr>
              <w:numPr>
                <w:ilvl w:val="0"/>
                <w:numId w:val="1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提供可视化配置界面，可对标准进行新建、上传及删除操作。</w:t>
            </w:r>
          </w:p>
        </w:tc>
      </w:tr>
    </w:tbl>
    <w:p>
      <w:pPr>
        <w:ind w:left="42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3、系统配置</w:t>
      </w:r>
    </w:p>
    <w:tbl>
      <w:tblPr>
        <w:tblStyle w:val="28"/>
        <w:tblW w:w="924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191"/>
        <w:gridCol w:w="7051"/>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19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051"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19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总览界面配置</w:t>
            </w:r>
          </w:p>
        </w:tc>
        <w:tc>
          <w:tcPr>
            <w:tcW w:w="7051"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可以对集成平台系统各个功能模块的总览页面下的每个展示模块予以显示/隐藏。</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19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系统用户维护</w:t>
            </w:r>
          </w:p>
        </w:tc>
        <w:tc>
          <w:tcPr>
            <w:tcW w:w="7051"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可以对系统用户的增/删/改/启/停等维护操作。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19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系统角色维护</w:t>
            </w:r>
          </w:p>
        </w:tc>
        <w:tc>
          <w:tcPr>
            <w:tcW w:w="7051"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可以对角色下用户的设置/维护功能。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19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系统日志查看</w:t>
            </w:r>
          </w:p>
        </w:tc>
        <w:tc>
          <w:tcPr>
            <w:tcW w:w="7051"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可以对“系统用户维护”、“系统角色维护”的操作记录进行查看。</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19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系统时间同步</w:t>
            </w:r>
          </w:p>
        </w:tc>
        <w:tc>
          <w:tcPr>
            <w:tcW w:w="7051" w:type="dxa"/>
            <w:tcBorders>
              <w:top w:val="single" w:color="auto" w:sz="4" w:space="0"/>
              <w:left w:val="single" w:color="auto" w:sz="4" w:space="0"/>
              <w:bottom w:val="single" w:color="auto" w:sz="4" w:space="0"/>
              <w:right w:val="single" w:color="auto" w:sz="6" w:space="0"/>
            </w:tcBorders>
            <w:vAlign w:val="center"/>
          </w:tcPr>
          <w:p>
            <w:pPr>
              <w:numPr>
                <w:ilvl w:val="0"/>
                <w:numId w:val="1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提供时间服务器功能，将本系统作为院内时间服务器，其他系统同步本系统时间，保证院内各系统时间统一。</w:t>
            </w:r>
          </w:p>
          <w:p>
            <w:pPr>
              <w:numPr>
                <w:ilvl w:val="0"/>
                <w:numId w:val="1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通过配置时间服务器地址，同步时间服务器时间。</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19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安全审计</w:t>
            </w:r>
          </w:p>
        </w:tc>
        <w:tc>
          <w:tcPr>
            <w:tcW w:w="7051" w:type="dxa"/>
            <w:tcBorders>
              <w:top w:val="single" w:color="auto" w:sz="4" w:space="0"/>
              <w:left w:val="single" w:color="auto" w:sz="4" w:space="0"/>
              <w:bottom w:val="single" w:color="auto" w:sz="4" w:space="0"/>
              <w:right w:val="single" w:color="auto" w:sz="6" w:space="0"/>
            </w:tcBorders>
            <w:vAlign w:val="center"/>
          </w:tcPr>
          <w:p>
            <w:pPr>
              <w:numPr>
                <w:ilvl w:val="0"/>
                <w:numId w:val="1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对用户登录进行登录超时设定。</w:t>
            </w:r>
          </w:p>
          <w:p>
            <w:pPr>
              <w:numPr>
                <w:ilvl w:val="0"/>
                <w:numId w:val="1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用户登录密码有效期设定及即将过期时提醒用户及时进行修改。</w:t>
            </w:r>
          </w:p>
          <w:p>
            <w:pPr>
              <w:numPr>
                <w:ilvl w:val="0"/>
                <w:numId w:val="1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对用户登录失败次数锁定操作及账号锁定时间设定。</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19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登录界面设置</w:t>
            </w:r>
          </w:p>
        </w:tc>
        <w:tc>
          <w:tcPr>
            <w:tcW w:w="7051"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可以对集成平台系统的登录界面的“背景图片”、“系统名称”、“公司名称”、“系统logo”、“贴图”等内容进行设置。</w:t>
            </w:r>
          </w:p>
        </w:tc>
      </w:tr>
    </w:tbl>
    <w:p>
      <w:pPr>
        <w:ind w:left="42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4、集成服务</w:t>
      </w:r>
    </w:p>
    <w:tbl>
      <w:tblPr>
        <w:tblStyle w:val="28"/>
        <w:tblW w:w="9259"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001"/>
        <w:gridCol w:w="725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258"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业务系统交互调研</w:t>
            </w:r>
          </w:p>
        </w:tc>
        <w:tc>
          <w:tcPr>
            <w:tcW w:w="7258"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提供调研院内业务系统交互方式，根据结果给予入场，便于后期实施及快速应用。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集成平台应用服务</w:t>
            </w:r>
          </w:p>
        </w:tc>
        <w:tc>
          <w:tcPr>
            <w:tcW w:w="7258" w:type="dxa"/>
            <w:tcBorders>
              <w:top w:val="single" w:color="auto" w:sz="4" w:space="0"/>
              <w:left w:val="single" w:color="auto" w:sz="4" w:space="0"/>
              <w:bottom w:val="single" w:color="auto" w:sz="4" w:space="0"/>
              <w:right w:val="single" w:color="auto" w:sz="6" w:space="0"/>
            </w:tcBorders>
            <w:vAlign w:val="center"/>
          </w:tcPr>
          <w:p>
            <w:pPr>
              <w:numPr>
                <w:ilvl w:val="0"/>
                <w:numId w:val="2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具有根据调研结果，搭建集成平台应用及容灾配置体系。</w:t>
            </w:r>
          </w:p>
          <w:p>
            <w:pPr>
              <w:numPr>
                <w:ilvl w:val="0"/>
                <w:numId w:val="2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根据服务器实际配置，实现集成平台应用。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院内流程标准化梳理服务</w:t>
            </w:r>
          </w:p>
        </w:tc>
        <w:tc>
          <w:tcPr>
            <w:tcW w:w="7258" w:type="dxa"/>
            <w:tcBorders>
              <w:top w:val="single" w:color="auto" w:sz="4" w:space="0"/>
              <w:left w:val="single" w:color="auto" w:sz="4" w:space="0"/>
              <w:bottom w:val="single" w:color="auto" w:sz="4" w:space="0"/>
              <w:right w:val="single" w:color="auto" w:sz="6" w:space="0"/>
            </w:tcBorders>
            <w:vAlign w:val="center"/>
          </w:tcPr>
          <w:p>
            <w:pPr>
              <w:numPr>
                <w:ilvl w:val="0"/>
                <w:numId w:val="2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分析院内业务与信息化交互流程，设计标准的交互流程和规范。采用SOA分析与设计方法，组件化、平台化开发与集成模式，充分考虑系统的开放性、可扩展性、稳定性及安全性。</w:t>
            </w:r>
          </w:p>
          <w:p>
            <w:pPr>
              <w:numPr>
                <w:ilvl w:val="0"/>
                <w:numId w:val="2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进行定制和开发，开放经过标准化梳理的接口服务。</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单点登录对接主导服务</w:t>
            </w:r>
          </w:p>
        </w:tc>
        <w:tc>
          <w:tcPr>
            <w:tcW w:w="7258"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调研业务系统架构模式及登录方式，根据结果及对接流程进行主导对接。</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主数据梳理服务</w:t>
            </w:r>
          </w:p>
        </w:tc>
        <w:tc>
          <w:tcPr>
            <w:tcW w:w="7258" w:type="dxa"/>
            <w:tcBorders>
              <w:top w:val="single" w:color="auto" w:sz="4" w:space="0"/>
              <w:left w:val="single" w:color="auto" w:sz="4" w:space="0"/>
              <w:bottom w:val="single" w:color="auto" w:sz="4" w:space="0"/>
              <w:right w:val="single" w:color="auto" w:sz="6" w:space="0"/>
            </w:tcBorders>
            <w:vAlign w:val="center"/>
          </w:tcPr>
          <w:p>
            <w:pPr>
              <w:numPr>
                <w:ilvl w:val="0"/>
                <w:numId w:val="2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调研院内实际使用的字典情况，包含字典所属系统，字典属性（国家标准、行业标准、地区标准、院内标准）。</w:t>
            </w:r>
          </w:p>
          <w:p>
            <w:pPr>
              <w:numPr>
                <w:ilvl w:val="0"/>
                <w:numId w:val="2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根据调研报告，建议院方升级字典。</w:t>
            </w:r>
          </w:p>
          <w:p>
            <w:pPr>
              <w:numPr>
                <w:ilvl w:val="0"/>
                <w:numId w:val="2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根据实施方案中确定的字典数量及内容，导入到主数据管理系统进行统一管理及维护。</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科室主索引梳理服务</w:t>
            </w:r>
          </w:p>
        </w:tc>
        <w:tc>
          <w:tcPr>
            <w:tcW w:w="7258" w:type="dxa"/>
            <w:tcBorders>
              <w:top w:val="single" w:color="auto" w:sz="4" w:space="0"/>
              <w:left w:val="single" w:color="auto" w:sz="4" w:space="0"/>
              <w:bottom w:val="single" w:color="auto" w:sz="4" w:space="0"/>
              <w:right w:val="single" w:color="auto" w:sz="6" w:space="0"/>
            </w:tcBorders>
            <w:vAlign w:val="center"/>
          </w:tcPr>
          <w:p>
            <w:pPr>
              <w:numPr>
                <w:ilvl w:val="0"/>
                <w:numId w:val="2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调研院内实际使用的科室字典情况。</w:t>
            </w:r>
          </w:p>
          <w:p>
            <w:pPr>
              <w:numPr>
                <w:ilvl w:val="0"/>
                <w:numId w:val="2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根据调研报告，建议院方升级字典。</w:t>
            </w:r>
          </w:p>
          <w:p>
            <w:pPr>
              <w:numPr>
                <w:ilvl w:val="0"/>
                <w:numId w:val="2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根据实施方案中确定的科室字典内容，导入到科室主索引管理系统进行统一管理及维护。</w:t>
            </w:r>
          </w:p>
          <w:p>
            <w:pPr>
              <w:numPr>
                <w:ilvl w:val="0"/>
                <w:numId w:val="2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如需科室字典对照，培训院方人员使用对照工具进行对照。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员工主索引梳理服务</w:t>
            </w:r>
          </w:p>
        </w:tc>
        <w:tc>
          <w:tcPr>
            <w:tcW w:w="7258" w:type="dxa"/>
            <w:tcBorders>
              <w:top w:val="single" w:color="auto" w:sz="4" w:space="0"/>
              <w:left w:val="single" w:color="auto" w:sz="4" w:space="0"/>
              <w:bottom w:val="single" w:color="auto" w:sz="4" w:space="0"/>
              <w:right w:val="single" w:color="auto" w:sz="6" w:space="0"/>
            </w:tcBorders>
            <w:vAlign w:val="center"/>
          </w:tcPr>
          <w:p>
            <w:pPr>
              <w:numPr>
                <w:ilvl w:val="0"/>
                <w:numId w:val="2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调研院内实际使用的员工字典情况，重点调研人力资源管理系统内数据。</w:t>
            </w:r>
          </w:p>
          <w:p>
            <w:pPr>
              <w:numPr>
                <w:ilvl w:val="0"/>
                <w:numId w:val="2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根据实施方案中确定的员工字典内容，导入到员工主索引管理系统进行统一管理及维护。</w:t>
            </w:r>
          </w:p>
          <w:p>
            <w:pPr>
              <w:numPr>
                <w:ilvl w:val="0"/>
                <w:numId w:val="2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如需员工字典对照，培训院方人员使用对照工具进行对照。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77"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患者主索引匹配及分析服务</w:t>
            </w:r>
          </w:p>
        </w:tc>
        <w:tc>
          <w:tcPr>
            <w:tcW w:w="7258" w:type="dxa"/>
            <w:tcBorders>
              <w:top w:val="single" w:color="auto" w:sz="4" w:space="0"/>
              <w:left w:val="single" w:color="auto" w:sz="4" w:space="0"/>
              <w:bottom w:val="single" w:color="auto" w:sz="4" w:space="0"/>
              <w:right w:val="single" w:color="auto" w:sz="6" w:space="0"/>
            </w:tcBorders>
            <w:vAlign w:val="center"/>
          </w:tcPr>
          <w:p>
            <w:pPr>
              <w:numPr>
                <w:ilvl w:val="0"/>
                <w:numId w:val="2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批量导入患者基本信息历史数据到EMPI系统。</w:t>
            </w:r>
          </w:p>
          <w:p>
            <w:pPr>
              <w:numPr>
                <w:ilvl w:val="0"/>
                <w:numId w:val="2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对导入数据进行校验，并标识不规则数据。</w:t>
            </w:r>
          </w:p>
          <w:p>
            <w:pPr>
              <w:numPr>
                <w:ilvl w:val="0"/>
                <w:numId w:val="2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根据配置好的匹配规则进行交叉匹配计算。</w:t>
            </w:r>
          </w:p>
          <w:p>
            <w:pPr>
              <w:numPr>
                <w:ilvl w:val="0"/>
                <w:numId w:val="2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对计算后的结果进行分析，展示合并数据条数、不规则数据条数等信息，出具历史数据匹配分析报告。</w:t>
            </w:r>
          </w:p>
          <w:p>
            <w:pPr>
              <w:numPr>
                <w:ilvl w:val="0"/>
                <w:numId w:val="2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患者信息注册接口，接入各系统实时产生的患者基本信息数据。</w:t>
            </w:r>
          </w:p>
          <w:p>
            <w:pPr>
              <w:numPr>
                <w:ilvl w:val="0"/>
                <w:numId w:val="2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患者信息更新接口，收到更新请求后，同步更新EMPI系统内患者信息。</w:t>
            </w:r>
          </w:p>
          <w:p>
            <w:pPr>
              <w:numPr>
                <w:ilvl w:val="0"/>
                <w:numId w:val="2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患者信息检索接口，根据检索内容，返回患者EMPI号码及关联的各患者主键及其基本信息。</w:t>
            </w:r>
          </w:p>
          <w:p>
            <w:pPr>
              <w:numPr>
                <w:ilvl w:val="0"/>
                <w:numId w:val="2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患者合并接口，患者信息实时匹配后通过患者合并接口同步至三方系统。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信息系统对接服务</w:t>
            </w:r>
          </w:p>
        </w:tc>
        <w:tc>
          <w:tcPr>
            <w:tcW w:w="7258" w:type="dxa"/>
            <w:tcBorders>
              <w:top w:val="single" w:color="auto" w:sz="4" w:space="0"/>
              <w:left w:val="single" w:color="auto" w:sz="4" w:space="0"/>
              <w:bottom w:val="single" w:color="auto" w:sz="4" w:space="0"/>
              <w:right w:val="single" w:color="auto" w:sz="6" w:space="0"/>
            </w:tcBorders>
            <w:vAlign w:val="center"/>
          </w:tcPr>
          <w:p>
            <w:pPr>
              <w:numPr>
                <w:ilvl w:val="0"/>
                <w:numId w:val="2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根据医院确定的标准指导第三方系统进行标准化改造。</w:t>
            </w:r>
          </w:p>
          <w:p>
            <w:pPr>
              <w:numPr>
                <w:ilvl w:val="0"/>
                <w:numId w:val="2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根据院内信息化情况个性化制订集成平台与第三方信息系统的适配器。</w:t>
            </w:r>
          </w:p>
          <w:p>
            <w:pPr>
              <w:numPr>
                <w:ilvl w:val="0"/>
                <w:numId w:val="2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将各个业务系统间交互通过集成引擎进行协同。</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各系统权限梳理整合服务</w:t>
            </w:r>
          </w:p>
        </w:tc>
        <w:tc>
          <w:tcPr>
            <w:tcW w:w="7258" w:type="dxa"/>
            <w:tcBorders>
              <w:top w:val="single" w:color="auto" w:sz="4" w:space="0"/>
              <w:left w:val="single" w:color="auto" w:sz="4" w:space="0"/>
              <w:bottom w:val="single" w:color="auto" w:sz="4" w:space="0"/>
              <w:right w:val="single" w:color="auto" w:sz="6" w:space="0"/>
            </w:tcBorders>
            <w:vAlign w:val="center"/>
          </w:tcPr>
          <w:p>
            <w:pPr>
              <w:numPr>
                <w:ilvl w:val="0"/>
                <w:numId w:val="2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调研院内各业务系统的权限体系架构，收集各系统数据，并分析整理生成新的角色体系，生成调研报告。</w:t>
            </w:r>
          </w:p>
          <w:p>
            <w:pPr>
              <w:numPr>
                <w:ilvl w:val="0"/>
                <w:numId w:val="2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提交调研报告到院方，经批准后形成实施方案。</w:t>
            </w:r>
          </w:p>
          <w:p>
            <w:pPr>
              <w:numPr>
                <w:ilvl w:val="0"/>
                <w:numId w:val="2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导入各业务系统的权限体系到系统上，并根据实施方案中的新制定的权限体系，维护到系统内。</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交互服务联调</w:t>
            </w:r>
          </w:p>
        </w:tc>
        <w:tc>
          <w:tcPr>
            <w:tcW w:w="7258"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按照医院确定的标准主导交互服务的联合调试。</w:t>
            </w:r>
          </w:p>
        </w:tc>
      </w:tr>
    </w:tbl>
    <w:p>
      <w:pPr>
        <w:ind w:left="42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5、患者主索引管理系统</w:t>
      </w:r>
    </w:p>
    <w:tbl>
      <w:tblPr>
        <w:tblStyle w:val="28"/>
        <w:tblW w:w="9277"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331"/>
        <w:gridCol w:w="694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3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6946"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3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总览</w:t>
            </w:r>
          </w:p>
        </w:tc>
        <w:tc>
          <w:tcPr>
            <w:tcW w:w="6946"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展示患者信息总量、今日患者注册、更新、合并、相似、数据不规则数量及占比；历史患者总量以及合并、相似、数据不规则患者的数量及占比；近30天患者的注册趋势、年龄分布、区域分布信息。</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23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信息查询</w:t>
            </w:r>
          </w:p>
        </w:tc>
        <w:tc>
          <w:tcPr>
            <w:tcW w:w="6946" w:type="dxa"/>
            <w:tcBorders>
              <w:top w:val="single" w:color="auto" w:sz="4" w:space="0"/>
              <w:left w:val="single" w:color="auto" w:sz="4" w:space="0"/>
              <w:bottom w:val="single" w:color="auto" w:sz="4" w:space="0"/>
              <w:right w:val="single" w:color="auto" w:sz="6" w:space="0"/>
            </w:tcBorders>
            <w:vAlign w:val="center"/>
          </w:tcPr>
          <w:p>
            <w:pPr>
              <w:numPr>
                <w:ilvl w:val="0"/>
                <w:numId w:val="2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展示患者主索引系统中录入的患者信息列表，支持对今日、本周、本月的患者数据进行快速检索。</w:t>
            </w:r>
          </w:p>
          <w:p>
            <w:pPr>
              <w:numPr>
                <w:ilvl w:val="0"/>
                <w:numId w:val="2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支持查看患者信息详情。</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3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合并患者</w:t>
            </w:r>
          </w:p>
        </w:tc>
        <w:tc>
          <w:tcPr>
            <w:tcW w:w="6946" w:type="dxa"/>
            <w:tcBorders>
              <w:top w:val="single" w:color="auto" w:sz="4" w:space="0"/>
              <w:left w:val="single" w:color="auto" w:sz="4" w:space="0"/>
              <w:bottom w:val="single" w:color="auto" w:sz="4" w:space="0"/>
              <w:right w:val="single" w:color="auto" w:sz="6" w:space="0"/>
            </w:tcBorders>
            <w:vAlign w:val="center"/>
          </w:tcPr>
          <w:p>
            <w:pPr>
              <w:numPr>
                <w:ilvl w:val="0"/>
                <w:numId w:val="2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支持查看今日、本周、本月合并患者信息。</w:t>
            </w:r>
          </w:p>
          <w:p>
            <w:pPr>
              <w:numPr>
                <w:ilvl w:val="0"/>
                <w:numId w:val="2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支持查看自动精准、自动模糊、手动合并的患者信息。</w:t>
            </w:r>
          </w:p>
          <w:p>
            <w:pPr>
              <w:numPr>
                <w:ilvl w:val="0"/>
                <w:numId w:val="2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支持作废已合并患者的合并记录。</w:t>
            </w:r>
          </w:p>
          <w:p>
            <w:pPr>
              <w:numPr>
                <w:ilvl w:val="0"/>
                <w:numId w:val="2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提供合并记录的信息对比页面。</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3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精确匹配</w:t>
            </w:r>
          </w:p>
        </w:tc>
        <w:tc>
          <w:tcPr>
            <w:tcW w:w="6946"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提供精准匹配规则设置界面，匹配规则可以灵活组合配置，根据规则进行患者匹配，并为匹配成功的患者分配主索引号。</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3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操作日志</w:t>
            </w:r>
          </w:p>
        </w:tc>
        <w:tc>
          <w:tcPr>
            <w:tcW w:w="6946"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对用户在患者主索引中的操作日志进行记录，提供检索功能，便于数据审计。</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3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数据初始化</w:t>
            </w:r>
          </w:p>
        </w:tc>
        <w:tc>
          <w:tcPr>
            <w:tcW w:w="6946"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支持通过CSV文件批量导入历史患者数据作为患者基础数据。</w:t>
            </w:r>
          </w:p>
        </w:tc>
      </w:tr>
    </w:tbl>
    <w:p>
      <w:pPr>
        <w:ind w:left="42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6、主数据管理系统</w:t>
      </w:r>
    </w:p>
    <w:tbl>
      <w:tblPr>
        <w:tblStyle w:val="28"/>
        <w:tblW w:w="9276"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472"/>
        <w:gridCol w:w="680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6804"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总览</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提供主数据信息的总览功能，对主数据管理系统内的信息进行统计分析，从多个维度帮助使用者了解到医院内主数据信息的构成情况。</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常用字典</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可在此功能页面快速查找使用频率较高的院内主数据字典，并在此页面对这些字典的内容进行维护和查看。</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医疗术语</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可以对院内使用的医疗卫生术语的信息提供维护管理页面，在此功能页面，用户可以对院内的医疗卫生术语的内容进行维护和查看。</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标准管理</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可以根据院内字典情况管理字典的标准类别，可对院内使用的字典进行详细的标准划分。</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结构管理</w:t>
            </w:r>
          </w:p>
        </w:tc>
        <w:tc>
          <w:tcPr>
            <w:tcW w:w="6804" w:type="dxa"/>
            <w:tcBorders>
              <w:top w:val="single" w:color="auto" w:sz="4" w:space="0"/>
              <w:left w:val="single" w:color="auto" w:sz="4" w:space="0"/>
              <w:bottom w:val="single" w:color="auto" w:sz="4" w:space="0"/>
              <w:right w:val="single" w:color="auto" w:sz="6" w:space="0"/>
            </w:tcBorders>
            <w:vAlign w:val="center"/>
          </w:tcPr>
          <w:p>
            <w:pPr>
              <w:numPr>
                <w:ilvl w:val="0"/>
                <w:numId w:val="3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对医院的基础字典进行统一管理，支持任意添加主数据字典，支持数据间的业务无关性、可复用性和可扩展性。</w:t>
            </w:r>
          </w:p>
          <w:p>
            <w:pPr>
              <w:numPr>
                <w:ilvl w:val="0"/>
                <w:numId w:val="3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提供主数据字典的结构管理功能。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内容管理</w:t>
            </w:r>
          </w:p>
        </w:tc>
        <w:tc>
          <w:tcPr>
            <w:tcW w:w="6804" w:type="dxa"/>
            <w:tcBorders>
              <w:top w:val="single" w:color="auto" w:sz="4" w:space="0"/>
              <w:left w:val="single" w:color="auto" w:sz="4" w:space="0"/>
              <w:bottom w:val="single" w:color="auto" w:sz="4" w:space="0"/>
              <w:right w:val="single" w:color="auto" w:sz="6" w:space="0"/>
            </w:tcBorders>
            <w:vAlign w:val="center"/>
          </w:tcPr>
          <w:p>
            <w:pPr>
              <w:numPr>
                <w:ilvl w:val="0"/>
                <w:numId w:val="3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提供主数据内容的初始化、维护及发布功能，可将平台内维护的主数据主动推送给需要的业务系统。方便院内各系统的主数据统一及交互。</w:t>
            </w:r>
          </w:p>
          <w:p>
            <w:pPr>
              <w:numPr>
                <w:ilvl w:val="0"/>
                <w:numId w:val="3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每条主数据确保系统内唯一的非公布的标识符。</w:t>
            </w:r>
          </w:p>
          <w:p>
            <w:pPr>
              <w:numPr>
                <w:ilvl w:val="0"/>
                <w:numId w:val="3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提供主数据注册、更新、查询等服务。</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字典对照</w:t>
            </w:r>
          </w:p>
        </w:tc>
        <w:tc>
          <w:tcPr>
            <w:tcW w:w="6804" w:type="dxa"/>
            <w:tcBorders>
              <w:top w:val="single" w:color="auto" w:sz="4" w:space="0"/>
              <w:left w:val="single" w:color="auto" w:sz="4" w:space="0"/>
              <w:bottom w:val="single" w:color="auto" w:sz="4" w:space="0"/>
              <w:right w:val="single" w:color="auto" w:sz="6" w:space="0"/>
            </w:tcBorders>
            <w:vAlign w:val="center"/>
          </w:tcPr>
          <w:p>
            <w:pPr>
              <w:numPr>
                <w:ilvl w:val="0"/>
                <w:numId w:val="3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提供主数据对照方案管理及方案发布功能。用于主数据推荐匹配及院内其他系统的主数据对照工作。</w:t>
            </w:r>
          </w:p>
          <w:p>
            <w:pPr>
              <w:numPr>
                <w:ilvl w:val="0"/>
                <w:numId w:val="3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提供主数据对照内容管理及发布功能。</w:t>
            </w:r>
          </w:p>
          <w:p>
            <w:pPr>
              <w:numPr>
                <w:ilvl w:val="0"/>
                <w:numId w:val="3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提供推荐匹配功能，可根据用户维护的对照方案进行推荐匹配。</w:t>
            </w:r>
          </w:p>
          <w:p>
            <w:pPr>
              <w:numPr>
                <w:ilvl w:val="0"/>
                <w:numId w:val="3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提供手动对照、用户整理对照结果后导入功能及解除对照等功能，方便用户操作。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权限配置</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提供主数据维护、审批权限管理。</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待审核</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主数据相关操作都会被记录并等待审核，审核后的操作才会生效。</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版本记录</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可以记录所有字典的版本变动详情，提供版本回退功能进行数据回退。</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操作日志</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可以对用户在主数据中的操作进行记录，提供检索功能，便于数据审计。</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主数据初始化</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提供主数据结构和内容数据初始化功能。</w:t>
            </w:r>
          </w:p>
        </w:tc>
      </w:tr>
    </w:tbl>
    <w:p>
      <w:pPr>
        <w:ind w:left="42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7、员工主索引系统</w:t>
      </w:r>
    </w:p>
    <w:tbl>
      <w:tblPr>
        <w:tblStyle w:val="28"/>
        <w:tblW w:w="9234"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430"/>
        <w:gridCol w:w="680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6804"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总览</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提供员工主索引的总览功能，从职务、来源时间、性别、等多个维度对员工主索引信息的构成情况进行分析；外部系统员工信息的接入情况、匹配情况。</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员工管理</w:t>
            </w:r>
          </w:p>
        </w:tc>
        <w:tc>
          <w:tcPr>
            <w:tcW w:w="6804" w:type="dxa"/>
            <w:tcBorders>
              <w:top w:val="single" w:color="auto" w:sz="4" w:space="0"/>
              <w:left w:val="single" w:color="auto" w:sz="4" w:space="0"/>
              <w:bottom w:val="single" w:color="auto" w:sz="4" w:space="0"/>
              <w:right w:val="single" w:color="auto" w:sz="6" w:space="0"/>
            </w:tcBorders>
            <w:vAlign w:val="center"/>
          </w:tcPr>
          <w:p>
            <w:pPr>
              <w:numPr>
                <w:ilvl w:val="0"/>
                <w:numId w:val="3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具有员工基本信息的维护功能，支持员工数据的批量导入、导出功能,支持某个人员的启停功能。</w:t>
            </w:r>
          </w:p>
          <w:p>
            <w:pPr>
              <w:numPr>
                <w:ilvl w:val="0"/>
                <w:numId w:val="3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支持员工主索引信息同步接口。</w:t>
            </w:r>
          </w:p>
          <w:p>
            <w:pPr>
              <w:numPr>
                <w:ilvl w:val="0"/>
                <w:numId w:val="3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支持外部系统人员管理,展示外部注册人员信息，并可进行检索。</w:t>
            </w:r>
          </w:p>
          <w:p>
            <w:pPr>
              <w:numPr>
                <w:ilvl w:val="0"/>
                <w:numId w:val="3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支持不同标准人员字典注册功能，支持批量数据导入。</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员工匹配</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可以将员工主索引内的员工信息与外部系统的员工信息进行对照，识别不同来源系统间员工信息进行关联。</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扩展属性管理</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可以对员工的基本属性进行扩展,全面维护员工信息。</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资质管理</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可按科室分类,对不同科室员工的资质信息进行扩展。</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操作日志</w:t>
            </w:r>
          </w:p>
        </w:tc>
        <w:tc>
          <w:tcPr>
            <w:tcW w:w="680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对用户在员工主索引中的操作日志进行记录，提供检索功能，便于数据审计。</w:t>
            </w:r>
          </w:p>
        </w:tc>
      </w:tr>
    </w:tbl>
    <w:p>
      <w:pPr>
        <w:ind w:left="42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8、科室主索引管理系统</w:t>
      </w:r>
    </w:p>
    <w:tbl>
      <w:tblPr>
        <w:tblStyle w:val="28"/>
        <w:tblW w:w="9333"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731"/>
        <w:gridCol w:w="760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602"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总览</w:t>
            </w:r>
          </w:p>
        </w:tc>
        <w:tc>
          <w:tcPr>
            <w:tcW w:w="7602"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可以展示院内科室信息和病区信息的树形分布、属性信息的扩展、外部系统科室信息的接入情况、匹配情况。</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科室管理</w:t>
            </w:r>
          </w:p>
        </w:tc>
        <w:tc>
          <w:tcPr>
            <w:tcW w:w="7602" w:type="dxa"/>
            <w:tcBorders>
              <w:top w:val="single" w:color="auto" w:sz="4" w:space="0"/>
              <w:left w:val="single" w:color="auto" w:sz="4" w:space="0"/>
              <w:bottom w:val="single" w:color="auto" w:sz="4" w:space="0"/>
              <w:right w:val="single" w:color="auto" w:sz="6" w:space="0"/>
            </w:tcBorders>
            <w:vAlign w:val="center"/>
          </w:tcPr>
          <w:p>
            <w:pPr>
              <w:numPr>
                <w:ilvl w:val="0"/>
                <w:numId w:val="3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支持科室的任意层级的树形结构维护。</w:t>
            </w:r>
          </w:p>
          <w:p>
            <w:pPr>
              <w:numPr>
                <w:ilvl w:val="0"/>
                <w:numId w:val="3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标准的科室维护功能，支持某条数据的停用、启用功能。</w:t>
            </w:r>
          </w:p>
          <w:p>
            <w:pPr>
              <w:numPr>
                <w:ilvl w:val="0"/>
                <w:numId w:val="3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科室主索引信息同步接口。</w:t>
            </w:r>
          </w:p>
          <w:p>
            <w:pPr>
              <w:numPr>
                <w:ilvl w:val="0"/>
                <w:numId w:val="3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统一管理和发布院内科室字典信息，作为医院内所有应用系统都遵循的字典标准，确保全院信息系统科室字典的统一性。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科室匹配</w:t>
            </w:r>
          </w:p>
        </w:tc>
        <w:tc>
          <w:tcPr>
            <w:tcW w:w="7602"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可以将科室主索引内的科室信息与外部系统科室信息进行对照，识别不同来源系统间科室信息进行关联。</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病区管理</w:t>
            </w:r>
          </w:p>
        </w:tc>
        <w:tc>
          <w:tcPr>
            <w:tcW w:w="7602"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支持批量导入、启/停病区信息，实现病区和科室对应。</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扩展属性</w:t>
            </w:r>
          </w:p>
        </w:tc>
        <w:tc>
          <w:tcPr>
            <w:tcW w:w="7602"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可扩展科室、病区的基本属性,全面维护科室、病区信息。</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操作日志</w:t>
            </w:r>
          </w:p>
        </w:tc>
        <w:tc>
          <w:tcPr>
            <w:tcW w:w="7602"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对用户在科室主索引中的操作日志进行记录，提供检索功能，便于数据审计。</w:t>
            </w:r>
          </w:p>
        </w:tc>
      </w:tr>
    </w:tbl>
    <w:p>
      <w:pPr>
        <w:ind w:left="42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9、临床工作门户系统</w:t>
      </w:r>
    </w:p>
    <w:tbl>
      <w:tblPr>
        <w:tblStyle w:val="28"/>
        <w:tblW w:w="9426"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21"/>
        <w:gridCol w:w="820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8205"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总览</w:t>
            </w:r>
          </w:p>
        </w:tc>
        <w:tc>
          <w:tcPr>
            <w:tcW w:w="8205"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提供临床工作门户的总览，展示临床工作门户的使用情况，关联系统数、角色数、用户数、在线人数；消息公告使用情况、各信息系统的用户数、用户登录趋势。</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用户管理</w:t>
            </w:r>
          </w:p>
        </w:tc>
        <w:tc>
          <w:tcPr>
            <w:tcW w:w="8205"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用户维护功能，统一管理用户在临床工作门户下的账号和密码，并通过角色为用户分配访问其他业务系统的权限。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角色管理</w:t>
            </w:r>
          </w:p>
        </w:tc>
        <w:tc>
          <w:tcPr>
            <w:tcW w:w="8205"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整理生成新的角色体系，角色维护功能，统一管理角色可登录的各业务系统。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单点登录客户端</w:t>
            </w:r>
          </w:p>
        </w:tc>
        <w:tc>
          <w:tcPr>
            <w:tcW w:w="8205"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单点登录功能，用户通过统一的账号及密码登录后看到各个业务系统的快捷图标，点击后直接进入对应系统。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客户端配置</w:t>
            </w:r>
          </w:p>
        </w:tc>
        <w:tc>
          <w:tcPr>
            <w:tcW w:w="8205"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可视化的单点登录配置功能，支持界面背景配置、图标排列配置、会话失效时间配置等功能。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客户端更新管理</w:t>
            </w:r>
          </w:p>
        </w:tc>
        <w:tc>
          <w:tcPr>
            <w:tcW w:w="8205"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提供单点登录程序在线更新功能。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操作日志</w:t>
            </w:r>
          </w:p>
        </w:tc>
        <w:tc>
          <w:tcPr>
            <w:tcW w:w="8205"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对用户在临床工作门户内的操作日志进行记录，提供检索功能，便于数据审计。</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登录日志</w:t>
            </w:r>
          </w:p>
        </w:tc>
        <w:tc>
          <w:tcPr>
            <w:tcW w:w="8205"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提供用户通过单点登录客户端登录的审计日志追踪功能。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各系统登录接入</w:t>
            </w:r>
          </w:p>
        </w:tc>
        <w:tc>
          <w:tcPr>
            <w:tcW w:w="8205"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支持不同架构（B/S和C/S）的业务系统接入。</w:t>
            </w:r>
          </w:p>
        </w:tc>
      </w:tr>
    </w:tbl>
    <w:p>
      <w:pPr>
        <w:ind w:left="42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10、集成引擎监管</w:t>
      </w:r>
    </w:p>
    <w:tbl>
      <w:tblPr>
        <w:tblStyle w:val="28"/>
        <w:tblW w:w="9400"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748"/>
        <w:gridCol w:w="665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27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6652"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27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成员管理</w:t>
            </w:r>
          </w:p>
        </w:tc>
        <w:tc>
          <w:tcPr>
            <w:tcW w:w="6652" w:type="dxa"/>
            <w:tcBorders>
              <w:top w:val="single" w:color="auto" w:sz="4" w:space="0"/>
              <w:left w:val="single" w:color="auto" w:sz="4" w:space="0"/>
              <w:bottom w:val="single" w:color="auto" w:sz="4" w:space="0"/>
              <w:right w:val="single" w:color="auto" w:sz="6" w:space="0"/>
            </w:tcBorders>
            <w:vAlign w:val="center"/>
          </w:tcPr>
          <w:p>
            <w:pPr>
              <w:numPr>
                <w:ilvl w:val="0"/>
                <w:numId w:val="3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可以管理院内所有的集成引擎成员，可通过配置的IP、端口访问到对应的成员。</w:t>
            </w:r>
          </w:p>
          <w:p>
            <w:pPr>
              <w:numPr>
                <w:ilvl w:val="0"/>
                <w:numId w:val="3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可对集成引擎成员进行新建、测试连接、编辑、删除。</w:t>
            </w:r>
          </w:p>
          <w:p>
            <w:pPr>
              <w:numPr>
                <w:ilvl w:val="0"/>
                <w:numId w:val="3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具备可视化展示界面、提供门户快速访问。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27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门户管理</w:t>
            </w:r>
          </w:p>
        </w:tc>
        <w:tc>
          <w:tcPr>
            <w:tcW w:w="6652" w:type="dxa"/>
            <w:tcBorders>
              <w:top w:val="single" w:color="auto" w:sz="4" w:space="0"/>
              <w:left w:val="single" w:color="auto" w:sz="4" w:space="0"/>
              <w:bottom w:val="single" w:color="auto" w:sz="4" w:space="0"/>
              <w:right w:val="single" w:color="auto" w:sz="6" w:space="0"/>
            </w:tcBorders>
            <w:vAlign w:val="center"/>
          </w:tcPr>
          <w:p>
            <w:pPr>
              <w:numPr>
                <w:ilvl w:val="0"/>
                <w:numId w:val="3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具有监管功能的门户，每个集成引擎成员提供一个门户，可通过门户访问相关的功能。</w:t>
            </w:r>
          </w:p>
          <w:p>
            <w:pPr>
              <w:numPr>
                <w:ilvl w:val="0"/>
                <w:numId w:val="3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具备可视化功能展示、功能介绍、支持功能名称检索、对常用功能进行收藏、最近打开功能记录。</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27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业务操作中心</w:t>
            </w:r>
          </w:p>
        </w:tc>
        <w:tc>
          <w:tcPr>
            <w:tcW w:w="6652" w:type="dxa"/>
            <w:tcBorders>
              <w:top w:val="single" w:color="auto" w:sz="4" w:space="0"/>
              <w:left w:val="single" w:color="auto" w:sz="4" w:space="0"/>
              <w:bottom w:val="single" w:color="auto" w:sz="4" w:space="0"/>
              <w:right w:val="single" w:color="auto" w:sz="6" w:space="0"/>
            </w:tcBorders>
            <w:vAlign w:val="center"/>
          </w:tcPr>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具备展示集成引擎成员的队列信息，队列变化趋势，可根据时间段查询队列情况。</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支持对每个组件的队列信息进行管理，如编辑进程数量，中止组件队列。</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可以根据组件名称查询队列信息。</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具备查看集成引擎成员的作业状况，启用状况、活动消息等。</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具备管理集成引擎成员的作业信息，对作业进行中止、挂起、停止操作。</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支持对集成引擎成员的事件日志信息进行查看。</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对于基于消息的事件日志，提供跟踪功能查看消息的流转情况。</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提供清除日志功能对集成引擎成员的事件日志进行批量清除，支持导出事件日志；</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具备管理集成引擎成员的映射表信息，支持映射表的新建、编辑、删除、导入、导出。</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映射表信息支持名称检索。</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具备管理集成引擎成员映射表的内容信息，支持对映射表的内容进行新建、编辑及删除操作。</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映射表中具备值和编码支持一对一、一对多维护功能。</w:t>
            </w:r>
          </w:p>
          <w:p>
            <w:pPr>
              <w:numPr>
                <w:ilvl w:val="0"/>
                <w:numId w:val="3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映射表的内容信息支持通过值和编码检索。</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748" w:hRule="atLeast"/>
          <w:jc w:val="center"/>
        </w:trPr>
        <w:tc>
          <w:tcPr>
            <w:tcW w:w="27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系统操作中心</w:t>
            </w:r>
          </w:p>
        </w:tc>
        <w:tc>
          <w:tcPr>
            <w:tcW w:w="6652" w:type="dxa"/>
            <w:tcBorders>
              <w:top w:val="single" w:color="auto" w:sz="4" w:space="0"/>
              <w:left w:val="single" w:color="auto" w:sz="4" w:space="0"/>
              <w:bottom w:val="single" w:color="auto" w:sz="4" w:space="0"/>
              <w:right w:val="single" w:color="auto" w:sz="6" w:space="0"/>
            </w:tcBorders>
            <w:vAlign w:val="center"/>
          </w:tcPr>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可以管理集成引擎成员的任务计划信息，支持对任务计划的新建、编辑、删除、挂起、继续、执行功能。</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提供查看任务计划的任务详情、执行详情、执行记录。</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支持任务计划的导入、导出。</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支持编码和名称查询任务信息。</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具备管理集成引擎成员的命名空间信息，支持命名空间的新建、编辑、删除。</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具备管理集成引擎成员的数据库信息，支持对数据库的新建、编辑、删除。</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支持对数据库进行压缩、截断、装载和卸载。</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具备管理集成引擎成员的Journal日志的相关配置信息，支持对Journal目录的设置、日志保存天数的设置。</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支持手动切换Journal文件的输出目录。</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支持时间段检索。</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具备管理集成引擎成员的SQL网关连接信息，支持对SQL网关的新建、编辑、删除。</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支持SQL网关的连接测试，确定SQL网关连接可用。</w:t>
            </w:r>
          </w:p>
          <w:p>
            <w:pPr>
              <w:numPr>
                <w:ilvl w:val="0"/>
                <w:numId w:val="3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支持SQL网关名称检索。</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67" w:hRule="atLeast"/>
          <w:jc w:val="center"/>
        </w:trPr>
        <w:tc>
          <w:tcPr>
            <w:tcW w:w="27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监控中心</w:t>
            </w:r>
          </w:p>
        </w:tc>
        <w:tc>
          <w:tcPr>
            <w:tcW w:w="6652" w:type="dxa"/>
            <w:tcBorders>
              <w:top w:val="single" w:color="auto" w:sz="4" w:space="0"/>
              <w:left w:val="single" w:color="auto" w:sz="4" w:space="0"/>
              <w:bottom w:val="single" w:color="auto" w:sz="4" w:space="0"/>
              <w:right w:val="single" w:color="auto" w:sz="6" w:space="0"/>
            </w:tcBorders>
            <w:vAlign w:val="center"/>
          </w:tcPr>
          <w:p>
            <w:pPr>
              <w:numPr>
                <w:ilvl w:val="0"/>
                <w:numId w:val="3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具备展示集成引擎成员当前正在运行的后台任务列表，任务开始时间、运行状态等，并可以进行清除操作。</w:t>
            </w:r>
          </w:p>
          <w:p>
            <w:pPr>
              <w:numPr>
                <w:ilvl w:val="0"/>
                <w:numId w:val="3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具备展示集成引擎成员所在镜像环境各成员的运行状况，仲裁连接状况、镜像环境拓扑图、镜像数据库列表、Journal文件列表。</w:t>
            </w:r>
          </w:p>
          <w:p>
            <w:pPr>
              <w:numPr>
                <w:ilvl w:val="0"/>
                <w:numId w:val="3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支持对镜像数据库进行激活、同步、装载、卸载操作。</w:t>
            </w:r>
          </w:p>
          <w:p>
            <w:pPr>
              <w:numPr>
                <w:ilvl w:val="0"/>
                <w:numId w:val="3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具备展示当前集成引擎成员Production的运行状况及服务类型统计。</w:t>
            </w:r>
          </w:p>
          <w:p>
            <w:pPr>
              <w:numPr>
                <w:ilvl w:val="0"/>
                <w:numId w:val="3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支持组件总数统计及运行、禁用、异常状态数目统计。</w:t>
            </w:r>
          </w:p>
          <w:p>
            <w:pPr>
              <w:numPr>
                <w:ilvl w:val="0"/>
                <w:numId w:val="3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具备查看服务、流程、操作组件的运行情况可视化界面。</w:t>
            </w:r>
          </w:p>
          <w:p>
            <w:pPr>
              <w:numPr>
                <w:ilvl w:val="0"/>
                <w:numId w:val="3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具备展示Production的信息、告警、错误类型日志。</w:t>
            </w:r>
          </w:p>
          <w:p>
            <w:pPr>
              <w:numPr>
                <w:ilvl w:val="0"/>
                <w:numId w:val="3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可以通过服务、流程、操作组件可查看对应组件整体消息流向。</w:t>
            </w:r>
          </w:p>
          <w:p>
            <w:pPr>
              <w:numPr>
                <w:ilvl w:val="0"/>
                <w:numId w:val="3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对集成引擎成员的运行情况进行监控，监控指标包括成员的IP、成员的角色、运行时长、许可证使用情况、控制台日志记录、数据库7/30天增量趋势、Journal7/30天增量趋势、活跃进程Top5、活跃队列Top5、CPU/内存/硬盘资源占用情况、即将开始的任务列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27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巡检管理</w:t>
            </w:r>
          </w:p>
        </w:tc>
        <w:tc>
          <w:tcPr>
            <w:tcW w:w="6652" w:type="dxa"/>
            <w:tcBorders>
              <w:top w:val="single" w:color="auto" w:sz="4" w:space="0"/>
              <w:left w:val="single" w:color="auto" w:sz="4" w:space="0"/>
              <w:bottom w:val="single" w:color="auto" w:sz="4" w:space="0"/>
              <w:right w:val="single" w:color="auto" w:sz="6" w:space="0"/>
            </w:tcBorders>
            <w:vAlign w:val="center"/>
          </w:tcPr>
          <w:p>
            <w:pPr>
              <w:numPr>
                <w:ilvl w:val="0"/>
                <w:numId w:val="4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可以管理所有巡检任务信息，根据名称查询指标信息，设置巡检成员、巡检计划。</w:t>
            </w:r>
          </w:p>
          <w:p>
            <w:pPr>
              <w:numPr>
                <w:ilvl w:val="0"/>
                <w:numId w:val="4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支持手动执行巡检任务、支持一键巡检功能。</w:t>
            </w:r>
          </w:p>
          <w:p>
            <w:pPr>
              <w:numPr>
                <w:ilvl w:val="0"/>
                <w:numId w:val="4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支持查看巡检任务的执行记录。</w:t>
            </w:r>
          </w:p>
          <w:p>
            <w:pPr>
              <w:numPr>
                <w:ilvl w:val="0"/>
                <w:numId w:val="4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支持根据名称和时间检索巡检计划。</w:t>
            </w:r>
          </w:p>
          <w:p>
            <w:pPr>
              <w:numPr>
                <w:ilvl w:val="0"/>
                <w:numId w:val="4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具备展示所有即将执行的巡检计划信息，巡检指标名称、计划运行时间、巡检成员。</w:t>
            </w:r>
          </w:p>
          <w:p>
            <w:pPr>
              <w:numPr>
                <w:ilvl w:val="0"/>
                <w:numId w:val="4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支持根据巡检结果和时间检索巡检结果。</w:t>
            </w:r>
          </w:p>
          <w:p>
            <w:pPr>
              <w:numPr>
                <w:ilvl w:val="0"/>
                <w:numId w:val="4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可以查看巡检任务的执行情况，执行时间、执行结果信息。</w:t>
            </w:r>
          </w:p>
          <w:p>
            <w:pPr>
              <w:numPr>
                <w:ilvl w:val="0"/>
                <w:numId w:val="4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支持巡检结果的详情查看和下载。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7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集成引擎监控通知</w:t>
            </w:r>
          </w:p>
        </w:tc>
        <w:tc>
          <w:tcPr>
            <w:tcW w:w="6652"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监控集成引擎的运行情况，当出现运行状况异常时向外发送告警信息进行通知。</w:t>
            </w:r>
          </w:p>
        </w:tc>
      </w:tr>
    </w:tbl>
    <w:p>
      <w:pPr>
        <w:ind w:left="42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11、可视化平台</w:t>
      </w:r>
    </w:p>
    <w:tbl>
      <w:tblPr>
        <w:tblStyle w:val="28"/>
        <w:tblW w:w="9413"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79"/>
        <w:gridCol w:w="773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734"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386" w:hRule="atLeast"/>
          <w:jc w:val="center"/>
        </w:trPr>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集成平台系统运行监控</w:t>
            </w:r>
          </w:p>
        </w:tc>
        <w:tc>
          <w:tcPr>
            <w:tcW w:w="7734" w:type="dxa"/>
            <w:tcBorders>
              <w:top w:val="single" w:color="auto" w:sz="4" w:space="0"/>
              <w:left w:val="single" w:color="auto" w:sz="4" w:space="0"/>
              <w:bottom w:val="single" w:color="auto" w:sz="4" w:space="0"/>
              <w:right w:val="single" w:color="auto" w:sz="6" w:space="0"/>
            </w:tcBorders>
            <w:vAlign w:val="center"/>
          </w:tcPr>
          <w:p>
            <w:pPr>
              <w:numPr>
                <w:ilvl w:val="0"/>
                <w:numId w:val="4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具备展示A/B服务器状况展现：展示平台主备机当前内存使用率，处理器使用率，硬盘使用率以及机器当前的网速状况。</w:t>
            </w:r>
          </w:p>
          <w:p>
            <w:pPr>
              <w:numPr>
                <w:ilvl w:val="0"/>
                <w:numId w:val="4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具备展示平台与其他应用系统间的交互状况是否正常，是否告警，是否报错。</w:t>
            </w:r>
          </w:p>
          <w:p>
            <w:pPr>
              <w:numPr>
                <w:ilvl w:val="0"/>
                <w:numId w:val="4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具备展示当前集成平台服务器（主机、备机和仲裁机）运行状态、数据同步、虚拟IP分配、仲裁连接是否正常。</w:t>
            </w:r>
          </w:p>
          <w:p>
            <w:pPr>
              <w:numPr>
                <w:ilvl w:val="0"/>
                <w:numId w:val="4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具备展示集成平台当前正在运行的进程数、代码备份时间、平台系统运行时间。</w:t>
            </w:r>
          </w:p>
          <w:p>
            <w:pPr>
              <w:numPr>
                <w:ilvl w:val="0"/>
                <w:numId w:val="4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具备展示许可证当前使用率和最高使用率。</w:t>
            </w:r>
          </w:p>
          <w:p>
            <w:pPr>
              <w:numPr>
                <w:ilvl w:val="0"/>
                <w:numId w:val="4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具备展示各业务系统与平台联通组件间的报错详情。</w:t>
            </w:r>
          </w:p>
          <w:p>
            <w:pPr>
              <w:numPr>
                <w:ilvl w:val="0"/>
                <w:numId w:val="4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具备展示平台当前各组件内消息的排队情况和活动消息量。</w:t>
            </w:r>
          </w:p>
          <w:p>
            <w:pPr>
              <w:numPr>
                <w:ilvl w:val="0"/>
                <w:numId w:val="4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具备展示集成平台定时作业的执行情况，包括定时作业的名称、上次执行状态以及上一次的执行时间。</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611" w:hRule="atLeast"/>
          <w:jc w:val="center"/>
        </w:trPr>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集成平台数据总览</w:t>
            </w:r>
          </w:p>
        </w:tc>
        <w:tc>
          <w:tcPr>
            <w:tcW w:w="7734" w:type="dxa"/>
            <w:tcBorders>
              <w:top w:val="single" w:color="auto" w:sz="4" w:space="0"/>
              <w:left w:val="single" w:color="auto" w:sz="4" w:space="0"/>
              <w:bottom w:val="single" w:color="auto" w:sz="4" w:space="0"/>
              <w:right w:val="single" w:color="auto" w:sz="6" w:space="0"/>
            </w:tcBorders>
            <w:vAlign w:val="center"/>
          </w:tcPr>
          <w:p>
            <w:pPr>
              <w:numPr>
                <w:ilvl w:val="0"/>
                <w:numId w:val="4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支持统计临床工作门户及单点登录累计登录数，当前在线人数、单点登录角色、单点登录系统、单点登录用户数量。</w:t>
            </w:r>
          </w:p>
          <w:p>
            <w:pPr>
              <w:numPr>
                <w:ilvl w:val="0"/>
                <w:numId w:val="4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支持统计主数据字典相关信息，包括维护字典内容、减少重复维护、字典映射等。</w:t>
            </w:r>
          </w:p>
          <w:p>
            <w:pPr>
              <w:numPr>
                <w:ilvl w:val="0"/>
                <w:numId w:val="4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支持统计患者维护信息，包括累计注册患者等。</w:t>
            </w:r>
          </w:p>
          <w:p>
            <w:pPr>
              <w:numPr>
                <w:ilvl w:val="0"/>
                <w:numId w:val="4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支持统计员工主索引中接入、匹配外部系统员工数量。</w:t>
            </w:r>
          </w:p>
          <w:p>
            <w:pPr>
              <w:numPr>
                <w:ilvl w:val="0"/>
                <w:numId w:val="4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支持统计科室主索引中接入、匹配外部系统科室信息及科室级别分类数量。</w:t>
            </w:r>
          </w:p>
          <w:p>
            <w:pPr>
              <w:numPr>
                <w:ilvl w:val="0"/>
                <w:numId w:val="42"/>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支持统计集成平台接口日均输入、输出量；统计集成平台搜索表、对接业务系统、对外接口等数据。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52" w:hRule="atLeast"/>
          <w:jc w:val="center"/>
        </w:trPr>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集成平台服务总览</w:t>
            </w:r>
          </w:p>
        </w:tc>
        <w:tc>
          <w:tcPr>
            <w:tcW w:w="7734" w:type="dxa"/>
            <w:tcBorders>
              <w:top w:val="single" w:color="auto" w:sz="4" w:space="0"/>
              <w:left w:val="single" w:color="auto" w:sz="4" w:space="0"/>
              <w:bottom w:val="single" w:color="auto" w:sz="4" w:space="0"/>
              <w:right w:val="single" w:color="auto" w:sz="6" w:space="0"/>
            </w:tcBorders>
            <w:vAlign w:val="center"/>
          </w:tcPr>
          <w:p>
            <w:pPr>
              <w:numPr>
                <w:ilvl w:val="0"/>
                <w:numId w:val="4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具有展示平台服务各系统之间的订阅关系及数量功能。</w:t>
            </w:r>
          </w:p>
          <w:p>
            <w:pPr>
              <w:numPr>
                <w:ilvl w:val="0"/>
                <w:numId w:val="4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具有统计平台内部产生的消息状态及对应消息数量。</w:t>
            </w:r>
          </w:p>
          <w:p>
            <w:pPr>
              <w:numPr>
                <w:ilvl w:val="0"/>
                <w:numId w:val="4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具有统计平台服务接口的输入输出量。</w:t>
            </w:r>
          </w:p>
          <w:p>
            <w:pPr>
              <w:numPr>
                <w:ilvl w:val="0"/>
                <w:numId w:val="4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具有展示当日接口的消息量排名及处理时长。</w:t>
            </w:r>
          </w:p>
          <w:p>
            <w:pPr>
              <w:numPr>
                <w:ilvl w:val="0"/>
                <w:numId w:val="43"/>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具有展示当日平台总吞吐量趋势图。</w:t>
            </w:r>
          </w:p>
        </w:tc>
      </w:tr>
    </w:tbl>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adjustRightInd/>
        <w:spacing w:line="24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品目二：数据中心系统</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tbl>
      <w:tblPr>
        <w:tblStyle w:val="28"/>
        <w:tblW w:w="948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268"/>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bookmarkStart w:id="8" w:name="_Toc17706"/>
            <w:r>
              <w:rPr>
                <w:rFonts w:hint="eastAsia" w:ascii="仿宋" w:hAnsi="仿宋" w:eastAsia="仿宋" w:cs="仿宋"/>
                <w:color w:val="auto"/>
                <w:sz w:val="24"/>
                <w:szCs w:val="24"/>
                <w:highlight w:val="none"/>
              </w:rPr>
              <w:t>数据采集</w:t>
            </w:r>
            <w:bookmarkEnd w:id="8"/>
          </w:p>
        </w:tc>
        <w:tc>
          <w:tcPr>
            <w:tcW w:w="721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1、数据源管理：</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1.1、提供原始业务系统数据库统一管理和维护功能。</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1.2、支持配置业务系统基础信息、数据库地址、端口、用户名、口令等内容，支持数据源连通性测试。</w:t>
            </w:r>
          </w:p>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*1.3、</w:t>
            </w:r>
            <w:r>
              <w:rPr>
                <w:rFonts w:hint="eastAsia" w:ascii="仿宋" w:hAnsi="仿宋" w:eastAsia="仿宋" w:cs="仿宋"/>
                <w:bCs/>
                <w:color w:val="auto"/>
                <w:sz w:val="24"/>
                <w:szCs w:val="24"/>
                <w:highlight w:val="none"/>
              </w:rPr>
              <w:t>支持从业务系统库收集元数据信息，元数据包括数据库中数据表清单、各个表的表结构等内容。</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1.4、支持多种数据库连接和数据采集，如Caché、Oracle、SqlServer、MySql、PostgresQL、MongoDB等数据库类型。</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2、历史数据采集：</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2.1、提供数据采集任务管理功能，可对采集任务进行新增、编辑和删除。</w:t>
            </w:r>
          </w:p>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bCs/>
                <w:color w:val="auto"/>
                <w:sz w:val="24"/>
                <w:szCs w:val="24"/>
                <w:highlight w:val="none"/>
              </w:rPr>
              <w:t>支持在接入数据源中选择要采集数据的表，能预览待采集数据表数据，提供批量创建采集任务功能。</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2.3、支持对采集任务进行编辑，可修改采集方式、过滤条件、采集总数、采集批次、指定采集字段等。</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2.4、支持整表全量采集、更新采集和定时采集，可对任务的执行时间、频次等管理，自动化执行数据采集任务。</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2.5、支持查看采集任务运行状态、采集进度和任务日志。</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2.6、支持根据系统资源情况，控制数据采集任务调度和运行的数量，保障系统整体平稳运行。</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3、实时数据采集：</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3.1、提供实时数据采集对接方案，能够对多种实时性需求进行多种方案匹配。</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3.2、支持基于数据库事务日志的实时数据变更捕获，实现实时数据增量更新，数据平台可实时反应数据源的数据变化。</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3.3、支持多种数据库实时数据采集，如Caché、Oracle、SqlServer、MySql、MongoDB等。</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3.4、支持实时数据监听和接入到平台的可视化开关控制。</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3.5、支持在运行环境异常故障场景下，如网络异常等，数据同步失败后支持数据接入恢复，恢复后保证其准确性和一致性。</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4、数据质量审计：</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4.1、提供原始层数据湖内部数据质量审计功能，支持对数据湖记录一致性（数据缺失情况、数据多余情况）、记录唯一性和字段内容一致性进行检查。</w:t>
            </w:r>
          </w:p>
          <w:p>
            <w:p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4.2、支持生成数据质量报告、查看问题数据列表和提供数据修正功能。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数据治理</w:t>
            </w:r>
          </w:p>
        </w:tc>
        <w:tc>
          <w:tcPr>
            <w:tcW w:w="721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1、数据治理任务管理：</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1.1、提供数据治理任务管理功能，可对治理任务进行新增、编辑和删除，自定义任务分组。</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1.2、支持创建数据治理任务，对采集的业务系统原始数据以一定的规则进行治理。</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1.3、支持治理任务中添加行级过滤规则和字段治理规则，将运算后的值写入到标准层纯净湖目标数据表中，并记录更新记录。</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1.4、支持历史数据手动执行治理任务，提供新增行治理、更新行和字段治理、删除和清空操作。</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1.5、支持实时数据治理自动执行，实时对写入到原始层数据湖的实时数据进行治理。</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1.6、支持对指定范围的数据集进行或字段的更新设置，执行更新治理任务。</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1.7、支持查看治理任务运行状态、治理进度和任务日志。</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2、数据治理工具：</w:t>
            </w:r>
          </w:p>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bCs/>
                <w:color w:val="auto"/>
                <w:sz w:val="24"/>
                <w:szCs w:val="24"/>
                <w:highlight w:val="none"/>
              </w:rPr>
              <w:t>提供字段复制、函数处理、关联查询、合并分组、字典转换等多种数据治理规则，无需编写代码，可通过配置的方式即可完成数据加载清洗转换的工作。</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2.2、提供数据集函数、字符串函数、条件函数等上百种函数计算组件。</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2.3、支持多条治理规则组合，形成灵活多变的规则组，满足各种复杂的数据计算。</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2.4、支持通过规则对数据集进行逐层的数据治理，包括行级过滤和字段级治理。</w:t>
            </w:r>
          </w:p>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*2.5、</w:t>
            </w:r>
            <w:r>
              <w:rPr>
                <w:rFonts w:hint="eastAsia" w:ascii="仿宋" w:hAnsi="仿宋" w:eastAsia="仿宋" w:cs="仿宋"/>
                <w:bCs/>
                <w:color w:val="auto"/>
                <w:sz w:val="24"/>
                <w:szCs w:val="24"/>
                <w:highlight w:val="none"/>
              </w:rPr>
              <w:t>支持通过检索方式预览数据治理后的效果，以可视化方式查看数据治理过程中各规则计算值，便于治理规则调试。</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2.6、支持治理规则新增、编辑和删除操作。</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2.7、支持治理规则生效、批量生效和取消生效操作。</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2.9、支持治理规则的导入和导出操作。</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3、数据治理服务：</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3.1、数据梳理：提供患者域、就诊域、检查域等不同业务领域的标准层纯净湖数据规范，形成医院统一规范的数据应用标准，根据数据规范进行各医疗活动业务数据的梳理。</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3.2、数据串联：支持对患者各医疗活动业务数据的串联，以及根据时间轴串联多厂商的数据。</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3.3、数据清洗：支持因各种原因导致的不规范、错误的数据进行统一清洗，实现过滤垃圾数据、不完整或者不一致数据补充、不准确或不规范的数据进行更正。</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3.4、数据标准化：实现数据类型标准化、数据格式标准化、数据值域标准化。</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3.5、数据内部审计。</w:t>
            </w:r>
          </w:p>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bCs/>
                <w:color w:val="auto"/>
                <w:sz w:val="24"/>
                <w:szCs w:val="24"/>
                <w:highlight w:val="none"/>
              </w:rPr>
              <w:t>提供标准层纯净湖内部数据质量审计功能，支持对纯净湖记录一致性（数据缺失情况、数据多余情况）、记录唯一性和字段治理准确性进行检查。</w:t>
            </w:r>
          </w:p>
          <w:p>
            <w:p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3.7、支持生成数据质量报告、查看问题数据列表和提供数据修正功能。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4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数据标准</w:t>
            </w:r>
          </w:p>
        </w:tc>
        <w:tc>
          <w:tcPr>
            <w:tcW w:w="721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1、提供标准化字典管理和查询功能，涵盖国标、国家卫生行业标准、企业标准等。</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2、支持国标数据字典管理。</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3、支持行标数据字典管理。</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4、支持数据字典和字典项记录检索。</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5、支持通过字典名称，查看字典数据明细记录。</w:t>
            </w:r>
          </w:p>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Cs/>
                <w:color w:val="auto"/>
                <w:sz w:val="24"/>
                <w:szCs w:val="24"/>
                <w:highlight w:val="none"/>
              </w:rPr>
              <w:t>提供院内数据字典到平台规范字典的值域映射工具，进行字典标准化映射，支持映射方式包括人工映射、字符串等值或模糊自动推荐映射。</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7、支持字典标准化映射文件导出和线下对照文件导入。</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一体化数据采集、治理监控</w:t>
            </w:r>
          </w:p>
        </w:tc>
        <w:tc>
          <w:tcPr>
            <w:tcW w:w="721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1、数据采集监控：</w:t>
            </w:r>
          </w:p>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bCs/>
                <w:color w:val="auto"/>
                <w:sz w:val="24"/>
                <w:szCs w:val="24"/>
                <w:highlight w:val="none"/>
              </w:rPr>
              <w:t>支持监控和展示数据中心采集数据总量和存储量、今日数据采集增量和存储量等信息。</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1.2、支持监控和展示数据采集总体情况，包括接入业务系统数量、表数量、采集任务数量、接入实时表数量等信息。</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1.3、支持监控和展示各业务系统数据采集运行情况，包括各业务系统表数量、采集记录数、数据存储大小等信息。</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1.4、支持图形化方式按日期监控数据采集增量趋势，包括数据总量和数据增量。</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1.5、支持图形化方式监控实时数据流接入情况，包括数据库变更日志消息量、待处理存量。</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2、数据治理监控：</w:t>
            </w:r>
          </w:p>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bCs/>
                <w:color w:val="auto"/>
                <w:sz w:val="24"/>
                <w:szCs w:val="24"/>
                <w:highlight w:val="none"/>
              </w:rPr>
              <w:t>支持监控和展示数据中心治理数据总量和存储量、今日数据治理增量和存储量等信息。</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2.2、支持监控和展示数据治理总体情况，包括已治理数据规范表数量、字段数、使用治理方案数、原业务表使用量、使用字段数等信息。</w:t>
            </w:r>
          </w:p>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*2.3、</w:t>
            </w:r>
            <w:r>
              <w:rPr>
                <w:rFonts w:hint="eastAsia" w:ascii="仿宋" w:hAnsi="仿宋" w:eastAsia="仿宋" w:cs="仿宋"/>
                <w:bCs/>
                <w:color w:val="auto"/>
                <w:sz w:val="24"/>
                <w:szCs w:val="24"/>
                <w:highlight w:val="none"/>
              </w:rPr>
              <w:t>支持图形化方式按日期监控数据治理增量趋势，包括数据总量和数据增量。</w:t>
            </w:r>
          </w:p>
          <w:p>
            <w:p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2.4、支持图形化方式监控各数据规范治理情况，进行治理数据量排名统计。</w:t>
            </w:r>
          </w:p>
        </w:tc>
      </w:tr>
    </w:tbl>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adjustRightInd/>
        <w:spacing w:line="24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品目三：数据中心应用系统</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1、患者统一视图</w:t>
      </w:r>
    </w:p>
    <w:tbl>
      <w:tblPr>
        <w:tblStyle w:val="28"/>
        <w:tblW w:w="943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227"/>
        <w:gridCol w:w="720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205"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22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就诊视图</w:t>
            </w:r>
          </w:p>
        </w:tc>
        <w:tc>
          <w:tcPr>
            <w:tcW w:w="7205" w:type="dxa"/>
            <w:tcBorders>
              <w:top w:val="single" w:color="auto" w:sz="4" w:space="0"/>
              <w:left w:val="single" w:color="auto" w:sz="4" w:space="0"/>
              <w:bottom w:val="single" w:color="auto" w:sz="4" w:space="0"/>
              <w:right w:val="single" w:color="auto" w:sz="6" w:space="0"/>
            </w:tcBorders>
            <w:vAlign w:val="center"/>
          </w:tcPr>
          <w:p>
            <w:pPr>
              <w:numPr>
                <w:ilvl w:val="0"/>
                <w:numId w:val="4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就诊视图按照就诊时间及就诊科室维度，展示患者每次就诊的全部临床信息。</w:t>
            </w:r>
          </w:p>
          <w:p>
            <w:pPr>
              <w:numPr>
                <w:ilvl w:val="0"/>
                <w:numId w:val="4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提供患者的诊断信息查看功能，诊断列表内可查询该患者历次在医院就诊时医生开具的诊断信息。</w:t>
            </w:r>
          </w:p>
          <w:p>
            <w:pPr>
              <w:numPr>
                <w:ilvl w:val="0"/>
                <w:numId w:val="4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提供患者的医嘱信息查看功能，支持按医嘱查看医嘱执行信息。</w:t>
            </w:r>
          </w:p>
          <w:p>
            <w:pPr>
              <w:numPr>
                <w:ilvl w:val="0"/>
                <w:numId w:val="4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提供患者的检查报告查看功能，及PDF浏览功能。</w:t>
            </w:r>
          </w:p>
          <w:p>
            <w:pPr>
              <w:numPr>
                <w:ilvl w:val="0"/>
                <w:numId w:val="4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提供患者的检验报告查看功能，并支持检验项趋势分析功能。</w:t>
            </w:r>
          </w:p>
          <w:p>
            <w:pPr>
              <w:numPr>
                <w:ilvl w:val="0"/>
                <w:numId w:val="4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提供患者的病历文书查看功能，病历档案包括患者在院所产生的病历、高拍文档资料。</w:t>
            </w:r>
          </w:p>
          <w:p>
            <w:pPr>
              <w:numPr>
                <w:ilvl w:val="0"/>
                <w:numId w:val="4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提供患者的手术信息查看功能，查询患者历次所做的手术记录信息，包括门诊手术和住院手术。</w:t>
            </w:r>
          </w:p>
          <w:p>
            <w:pPr>
              <w:numPr>
                <w:ilvl w:val="0"/>
                <w:numId w:val="4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提供患者的护理信息查看功能，包括护理记录单，患者体温单等。</w:t>
            </w:r>
          </w:p>
          <w:p>
            <w:pPr>
              <w:numPr>
                <w:ilvl w:val="0"/>
                <w:numId w:val="4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提供患者的过敏信息查看功能，查询患者历次就诊的过敏信息。</w:t>
            </w:r>
          </w:p>
          <w:p>
            <w:pPr>
              <w:numPr>
                <w:ilvl w:val="0"/>
                <w:numId w:val="4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提供患者的费用明细查看功能，查询患者历次就诊的费用明</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细。</w:t>
            </w:r>
          </w:p>
          <w:p>
            <w:pPr>
              <w:numPr>
                <w:ilvl w:val="0"/>
                <w:numId w:val="4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支持查看患者全部检验报告信息及指标项的预览和趋势分析，要求将患者的住院期间、门急诊期间、体检期间所产生的检验报告以患者为中心进行集成后进行综合展现。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22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当前视图</w:t>
            </w:r>
          </w:p>
        </w:tc>
        <w:tc>
          <w:tcPr>
            <w:tcW w:w="7205" w:type="dxa"/>
            <w:tcBorders>
              <w:top w:val="single" w:color="auto" w:sz="4" w:space="0"/>
              <w:left w:val="single" w:color="auto" w:sz="4" w:space="0"/>
              <w:bottom w:val="single" w:color="auto" w:sz="4" w:space="0"/>
              <w:right w:val="single" w:color="auto" w:sz="6" w:space="0"/>
            </w:tcBorders>
            <w:vAlign w:val="center"/>
          </w:tcPr>
          <w:p>
            <w:pPr>
              <w:numPr>
                <w:ilvl w:val="0"/>
                <w:numId w:val="4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异常检验指标及趋势图：</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具备列出患者最后一次就诊中异常的检验指标信息，并可以查看检验指标的趋势图。</w:t>
            </w:r>
          </w:p>
          <w:p>
            <w:pPr>
              <w:numPr>
                <w:ilvl w:val="0"/>
                <w:numId w:val="4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查看病历文书：</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能够展现患者最后一次就诊的所有病历文书标题，并可以查看详细的病历文书内容。</w:t>
            </w:r>
          </w:p>
          <w:p>
            <w:pPr>
              <w:numPr>
                <w:ilvl w:val="0"/>
                <w:numId w:val="4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查看医嘱：</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能够展现患者最后一次就诊的所有药品医嘱，并可以查看该医嘱闭环的详细执行情况。</w:t>
            </w:r>
          </w:p>
          <w:p>
            <w:pPr>
              <w:numPr>
                <w:ilvl w:val="0"/>
                <w:numId w:val="4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查看手术信息：</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能够展现患者最后一次就诊的手术进度，并可以查看详细的手术记录。</w:t>
            </w:r>
          </w:p>
          <w:p>
            <w:pPr>
              <w:numPr>
                <w:ilvl w:val="0"/>
                <w:numId w:val="4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查看检查报告：</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能够展现患者最后一次就诊的所有检查报告信息，并可以查看详细的检查报告内容。</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22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患者检索</w:t>
            </w:r>
          </w:p>
        </w:tc>
        <w:tc>
          <w:tcPr>
            <w:tcW w:w="7205" w:type="dxa"/>
            <w:tcBorders>
              <w:top w:val="single" w:color="auto" w:sz="4" w:space="0"/>
              <w:left w:val="single" w:color="auto" w:sz="4" w:space="0"/>
              <w:bottom w:val="single" w:color="auto" w:sz="4" w:space="0"/>
              <w:right w:val="single" w:color="auto" w:sz="6" w:space="0"/>
            </w:tcBorders>
            <w:vAlign w:val="center"/>
          </w:tcPr>
          <w:p>
            <w:pPr>
              <w:numPr>
                <w:ilvl w:val="0"/>
                <w:numId w:val="46"/>
              </w:num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提供患者列表查看功能。</w:t>
            </w:r>
          </w:p>
          <w:p>
            <w:pPr>
              <w:numPr>
                <w:ilvl w:val="0"/>
                <w:numId w:val="46"/>
              </w:num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可以按照患者ID、就诊号、姓名等条件搜索患者。</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22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时间轴视图</w:t>
            </w:r>
          </w:p>
        </w:tc>
        <w:tc>
          <w:tcPr>
            <w:tcW w:w="7205" w:type="dxa"/>
            <w:tcBorders>
              <w:top w:val="single" w:color="auto" w:sz="4" w:space="0"/>
              <w:left w:val="single" w:color="auto" w:sz="4" w:space="0"/>
              <w:bottom w:val="single" w:color="auto" w:sz="4" w:space="0"/>
              <w:right w:val="single" w:color="auto" w:sz="6" w:space="0"/>
            </w:tcBorders>
            <w:vAlign w:val="center"/>
          </w:tcPr>
          <w:p>
            <w:pPr>
              <w:numPr>
                <w:ilvl w:val="0"/>
                <w:numId w:val="4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支持按照时间维度，以时间轴形式依次展现历次住院的临床信息。</w:t>
            </w:r>
          </w:p>
          <w:p>
            <w:pPr>
              <w:numPr>
                <w:ilvl w:val="0"/>
                <w:numId w:val="4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支持勾选“重点”指标显示，根据专科视图指标库的设置，只展现出重点的检验指标结果、生命体征、重点检验、重点检查、重点用药。</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22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分类视图</w:t>
            </w:r>
          </w:p>
        </w:tc>
        <w:tc>
          <w:tcPr>
            <w:tcW w:w="7205" w:type="dxa"/>
            <w:tcBorders>
              <w:top w:val="single" w:color="auto" w:sz="4" w:space="0"/>
              <w:left w:val="single" w:color="auto" w:sz="4" w:space="0"/>
              <w:bottom w:val="single" w:color="auto" w:sz="4" w:space="0"/>
              <w:right w:val="single" w:color="auto" w:sz="6" w:space="0"/>
            </w:tcBorders>
            <w:vAlign w:val="center"/>
          </w:tcPr>
          <w:p>
            <w:pPr>
              <w:numPr>
                <w:ilvl w:val="0"/>
                <w:numId w:val="48"/>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支持按照临床信息的类型，查看患者所有次就诊的同类临床信息。</w:t>
            </w:r>
          </w:p>
          <w:p>
            <w:pPr>
              <w:numPr>
                <w:ilvl w:val="0"/>
                <w:numId w:val="48"/>
              </w:numPr>
              <w:rPr>
                <w:rFonts w:ascii="仿宋" w:hAnsi="仿宋" w:eastAsia="仿宋" w:cs="仿宋"/>
                <w:color w:val="auto"/>
                <w:sz w:val="24"/>
                <w:szCs w:val="24"/>
                <w:highlight w:val="none"/>
              </w:rPr>
            </w:pPr>
            <w:bookmarkStart w:id="9" w:name="_Toc525660047"/>
            <w:r>
              <w:rPr>
                <w:rFonts w:hint="eastAsia" w:ascii="仿宋" w:hAnsi="仿宋" w:eastAsia="仿宋" w:cs="仿宋"/>
                <w:bCs/>
                <w:color w:val="auto"/>
                <w:sz w:val="24"/>
                <w:szCs w:val="24"/>
                <w:highlight w:val="none"/>
              </w:rPr>
              <w:t>检查报告</w:t>
            </w:r>
            <w:bookmarkEnd w:id="9"/>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患者历次就诊的所有检查报告，以时间倒序排列。</w:t>
            </w:r>
          </w:p>
          <w:p>
            <w:pPr>
              <w:numPr>
                <w:ilvl w:val="0"/>
                <w:numId w:val="48"/>
              </w:numPr>
              <w:rPr>
                <w:rFonts w:ascii="仿宋" w:hAnsi="仿宋" w:eastAsia="仿宋" w:cs="仿宋"/>
                <w:color w:val="auto"/>
                <w:sz w:val="24"/>
                <w:szCs w:val="24"/>
                <w:highlight w:val="none"/>
              </w:rPr>
            </w:pPr>
            <w:bookmarkStart w:id="10" w:name="_Toc525660048"/>
            <w:r>
              <w:rPr>
                <w:rFonts w:hint="eastAsia" w:ascii="仿宋" w:hAnsi="仿宋" w:eastAsia="仿宋" w:cs="仿宋"/>
                <w:bCs/>
                <w:color w:val="auto"/>
                <w:sz w:val="24"/>
                <w:szCs w:val="24"/>
                <w:highlight w:val="none"/>
              </w:rPr>
              <w:t>检验报告</w:t>
            </w:r>
            <w:bookmarkEnd w:id="10"/>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患者历次就诊的所有检验报告，以时间倒序排列。</w:t>
            </w:r>
          </w:p>
          <w:p>
            <w:pPr>
              <w:numPr>
                <w:ilvl w:val="0"/>
                <w:numId w:val="48"/>
              </w:numPr>
              <w:rPr>
                <w:rFonts w:ascii="仿宋" w:hAnsi="仿宋" w:eastAsia="仿宋" w:cs="仿宋"/>
                <w:color w:val="auto"/>
                <w:sz w:val="24"/>
                <w:szCs w:val="24"/>
                <w:highlight w:val="none"/>
              </w:rPr>
            </w:pPr>
            <w:bookmarkStart w:id="11" w:name="_Toc525660049"/>
            <w:r>
              <w:rPr>
                <w:rFonts w:hint="eastAsia" w:ascii="仿宋" w:hAnsi="仿宋" w:eastAsia="仿宋" w:cs="仿宋"/>
                <w:bCs/>
                <w:color w:val="auto"/>
                <w:sz w:val="24"/>
                <w:szCs w:val="24"/>
                <w:highlight w:val="none"/>
              </w:rPr>
              <w:t>手术记录</w:t>
            </w:r>
            <w:bookmarkEnd w:id="11"/>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患者历次就诊的所有手术记录，以时间倒序排列。</w:t>
            </w:r>
          </w:p>
          <w:p>
            <w:pPr>
              <w:numPr>
                <w:ilvl w:val="0"/>
                <w:numId w:val="48"/>
              </w:numPr>
              <w:rPr>
                <w:rFonts w:ascii="仿宋" w:hAnsi="仿宋" w:eastAsia="仿宋" w:cs="仿宋"/>
                <w:color w:val="auto"/>
                <w:sz w:val="24"/>
                <w:szCs w:val="24"/>
                <w:highlight w:val="none"/>
              </w:rPr>
            </w:pPr>
            <w:bookmarkStart w:id="12" w:name="_Toc525660050"/>
            <w:r>
              <w:rPr>
                <w:rFonts w:hint="eastAsia" w:ascii="仿宋" w:hAnsi="仿宋" w:eastAsia="仿宋" w:cs="仿宋"/>
                <w:bCs/>
                <w:color w:val="auto"/>
                <w:sz w:val="24"/>
                <w:szCs w:val="24"/>
                <w:highlight w:val="none"/>
              </w:rPr>
              <w:t>主要疾病诊断</w:t>
            </w:r>
            <w:bookmarkEnd w:id="12"/>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以时间轴方式展示患者历次就诊的诊断信息，医务人员可以很方便的了解到患者的病情发展情况。</w:t>
            </w:r>
          </w:p>
          <w:p>
            <w:pPr>
              <w:numPr>
                <w:ilvl w:val="0"/>
                <w:numId w:val="48"/>
              </w:numPr>
              <w:rPr>
                <w:rFonts w:ascii="仿宋" w:hAnsi="仿宋" w:eastAsia="仿宋" w:cs="仿宋"/>
                <w:color w:val="auto"/>
                <w:sz w:val="24"/>
                <w:szCs w:val="24"/>
                <w:highlight w:val="none"/>
              </w:rPr>
            </w:pPr>
            <w:bookmarkStart w:id="13" w:name="_Toc525660051"/>
            <w:r>
              <w:rPr>
                <w:rFonts w:hint="eastAsia" w:ascii="仿宋" w:hAnsi="仿宋" w:eastAsia="仿宋" w:cs="仿宋"/>
                <w:bCs/>
                <w:color w:val="auto"/>
                <w:sz w:val="24"/>
                <w:szCs w:val="24"/>
                <w:highlight w:val="none"/>
              </w:rPr>
              <w:t>病历文书</w:t>
            </w:r>
            <w:bookmarkEnd w:id="13"/>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患者历次就诊的所有病历文书，以时间倒序排列，可按照病历名称或者病历内容关键字，对病历列表进行搜索。</w:t>
            </w:r>
          </w:p>
          <w:p>
            <w:pPr>
              <w:numPr>
                <w:ilvl w:val="0"/>
                <w:numId w:val="48"/>
              </w:numPr>
              <w:rPr>
                <w:rFonts w:ascii="仿宋" w:hAnsi="仿宋" w:eastAsia="仿宋" w:cs="仿宋"/>
                <w:color w:val="auto"/>
                <w:sz w:val="24"/>
                <w:szCs w:val="24"/>
                <w:highlight w:val="none"/>
              </w:rPr>
            </w:pPr>
            <w:bookmarkStart w:id="14" w:name="_Toc525660052"/>
            <w:r>
              <w:rPr>
                <w:rFonts w:hint="eastAsia" w:ascii="仿宋" w:hAnsi="仿宋" w:eastAsia="仿宋" w:cs="仿宋"/>
                <w:bCs/>
                <w:color w:val="auto"/>
                <w:sz w:val="24"/>
                <w:szCs w:val="24"/>
                <w:highlight w:val="none"/>
              </w:rPr>
              <w:t>口服药品</w:t>
            </w:r>
            <w:bookmarkEnd w:id="14"/>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患者历次就诊的所有口服药品医嘱，以时间倒序排列。可以按医嘱开立时间及医嘱性质等对口服药品列表进行过滤，也可以按药品名称对口服药品列表进行搜索。</w:t>
            </w:r>
          </w:p>
          <w:p>
            <w:pPr>
              <w:numPr>
                <w:ilvl w:val="0"/>
                <w:numId w:val="48"/>
              </w:numPr>
              <w:rPr>
                <w:rFonts w:ascii="仿宋" w:hAnsi="仿宋" w:eastAsia="仿宋" w:cs="仿宋"/>
                <w:color w:val="auto"/>
                <w:sz w:val="24"/>
                <w:szCs w:val="24"/>
                <w:highlight w:val="none"/>
              </w:rPr>
            </w:pPr>
            <w:bookmarkStart w:id="15" w:name="_Toc525660053"/>
            <w:r>
              <w:rPr>
                <w:rFonts w:hint="eastAsia" w:ascii="仿宋" w:hAnsi="仿宋" w:eastAsia="仿宋" w:cs="仿宋"/>
                <w:bCs/>
                <w:color w:val="auto"/>
                <w:sz w:val="24"/>
                <w:szCs w:val="24"/>
                <w:highlight w:val="none"/>
              </w:rPr>
              <w:t>静脉药品</w:t>
            </w:r>
            <w:bookmarkEnd w:id="15"/>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患者历次就诊的所有静脉药品医嘱，以时间倒序排列，可按医嘱开立时间及医嘱性质等对口服药品列表进行过滤。也可以按药品名称对静脉药品列表进行搜索。</w:t>
            </w:r>
          </w:p>
          <w:p>
            <w:pPr>
              <w:numPr>
                <w:ilvl w:val="0"/>
                <w:numId w:val="48"/>
              </w:num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其他药品.</w:t>
            </w:r>
            <w:r>
              <w:rPr>
                <w:rFonts w:hint="eastAsia" w:ascii="仿宋" w:hAnsi="仿宋" w:eastAsia="仿宋" w:cs="仿宋"/>
                <w:color w:val="auto"/>
                <w:sz w:val="24"/>
                <w:szCs w:val="24"/>
                <w:highlight w:val="none"/>
              </w:rPr>
              <w:t>患者历次就诊的所有其他药品医嘱，以时间倒序排列，可按医嘱开立时间及医嘱性质等对口服药品列表进行过滤。也可以按药品名称对其他药品列表进行搜索。</w:t>
            </w:r>
          </w:p>
          <w:p>
            <w:pPr>
              <w:numPr>
                <w:ilvl w:val="0"/>
                <w:numId w:val="48"/>
              </w:numPr>
              <w:rPr>
                <w:rFonts w:ascii="仿宋" w:hAnsi="仿宋" w:eastAsia="仿宋" w:cs="仿宋"/>
                <w:bCs/>
                <w:color w:val="auto"/>
                <w:sz w:val="24"/>
                <w:szCs w:val="24"/>
                <w:highlight w:val="none"/>
              </w:rPr>
            </w:pPr>
            <w:bookmarkStart w:id="16" w:name="_Toc525660054"/>
            <w:r>
              <w:rPr>
                <w:rFonts w:hint="eastAsia" w:ascii="仿宋" w:hAnsi="仿宋" w:eastAsia="仿宋" w:cs="仿宋"/>
                <w:bCs/>
                <w:color w:val="auto"/>
                <w:sz w:val="24"/>
                <w:szCs w:val="24"/>
                <w:highlight w:val="none"/>
              </w:rPr>
              <w:t>护理记录</w:t>
            </w:r>
            <w:bookmarkEnd w:id="16"/>
            <w:r>
              <w:rPr>
                <w:rFonts w:hint="eastAsia" w:ascii="仿宋" w:hAnsi="仿宋" w:eastAsia="仿宋" w:cs="仿宋"/>
                <w:bCs/>
                <w:color w:val="auto"/>
                <w:sz w:val="24"/>
                <w:szCs w:val="24"/>
                <w:highlight w:val="none"/>
              </w:rPr>
              <w:t>.提供患者历次就诊的护理记录信息查看功能。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2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体检视图</w:t>
            </w:r>
          </w:p>
        </w:tc>
        <w:tc>
          <w:tcPr>
            <w:tcW w:w="7205" w:type="dxa"/>
            <w:tcBorders>
              <w:top w:val="single" w:color="auto" w:sz="4" w:space="0"/>
              <w:left w:val="single" w:color="auto" w:sz="4" w:space="0"/>
              <w:bottom w:val="single" w:color="auto" w:sz="4" w:space="0"/>
              <w:right w:val="single" w:color="auto" w:sz="6" w:space="0"/>
            </w:tcBorders>
            <w:vAlign w:val="center"/>
          </w:tcPr>
          <w:p>
            <w:pPr>
              <w:numPr>
                <w:ilvl w:val="0"/>
                <w:numId w:val="4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按照体检时间维度，展示患者每次体检的全部体检报告信息。</w:t>
            </w:r>
          </w:p>
          <w:p>
            <w:pPr>
              <w:numPr>
                <w:ilvl w:val="0"/>
                <w:numId w:val="4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提供患者的体检报告首页、一般体检、内科、外科、眼科、耳鼻喉科的信息查看功能。</w:t>
            </w:r>
          </w:p>
          <w:p>
            <w:pPr>
              <w:numPr>
                <w:ilvl w:val="0"/>
                <w:numId w:val="4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提供患者的体检检验报告查看功能，并支持检验项趋势分析功能。</w:t>
            </w:r>
          </w:p>
          <w:p>
            <w:pPr>
              <w:numPr>
                <w:ilvl w:val="0"/>
                <w:numId w:val="49"/>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提供患者的体检检查报告查看功能，及PDF浏览功能。</w:t>
            </w:r>
          </w:p>
        </w:tc>
      </w:tr>
    </w:tbl>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2、医嘱闭环追踪</w:t>
      </w:r>
    </w:p>
    <w:tbl>
      <w:tblPr>
        <w:tblStyle w:val="2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7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13" w:type="dxa"/>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737" w:type="dxa"/>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713" w:type="dxa"/>
            <w:vAlign w:val="center"/>
          </w:tcPr>
          <w:p>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业务功能</w:t>
            </w:r>
          </w:p>
        </w:tc>
        <w:tc>
          <w:tcPr>
            <w:tcW w:w="7737" w:type="dxa"/>
          </w:tcPr>
          <w:p>
            <w:pPr>
              <w:numPr>
                <w:ilvl w:val="0"/>
                <w:numId w:val="50"/>
              </w:num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提</w:t>
            </w:r>
            <w:r>
              <w:rPr>
                <w:rFonts w:hint="eastAsia" w:ascii="仿宋" w:hAnsi="仿宋" w:eastAsia="仿宋" w:cs="仿宋"/>
                <w:bCs/>
                <w:color w:val="auto"/>
                <w:sz w:val="24"/>
                <w:szCs w:val="24"/>
                <w:highlight w:val="none"/>
              </w:rPr>
              <w:t>供当前患者医嘱的展示功能。</w:t>
            </w:r>
          </w:p>
          <w:p>
            <w:pPr>
              <w:numPr>
                <w:ilvl w:val="0"/>
                <w:numId w:val="5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提供临时医嘱的执行情况的功能。</w:t>
            </w:r>
          </w:p>
          <w:p>
            <w:pPr>
              <w:numPr>
                <w:ilvl w:val="0"/>
                <w:numId w:val="5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提供长期医嘱详细执行记录的功能。</w:t>
            </w:r>
          </w:p>
          <w:p>
            <w:pPr>
              <w:numPr>
                <w:ilvl w:val="0"/>
                <w:numId w:val="5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提供实时对医嘱全流程跟踪监控的功能。</w:t>
            </w:r>
          </w:p>
          <w:p>
            <w:pPr>
              <w:numPr>
                <w:ilvl w:val="0"/>
                <w:numId w:val="50"/>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展现具体执行点的执行时间和执行人。</w:t>
            </w:r>
          </w:p>
          <w:p>
            <w:pPr>
              <w:numPr>
                <w:ilvl w:val="0"/>
                <w:numId w:val="50"/>
              </w:num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根据医院的闭环业务，可配置中间追踪节点。</w:t>
            </w:r>
          </w:p>
          <w:p>
            <w:pPr>
              <w:numPr>
                <w:ilvl w:val="0"/>
                <w:numId w:val="5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可将相关系统中的数据采用链接的方式嵌入统一视图中。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713" w:type="dxa"/>
            <w:vAlign w:val="center"/>
          </w:tcPr>
          <w:p>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闭环监测内容</w:t>
            </w:r>
          </w:p>
        </w:tc>
        <w:tc>
          <w:tcPr>
            <w:tcW w:w="7737" w:type="dxa"/>
          </w:tcPr>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闭环追踪主要包括以下内容：</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住院口服用药闭环追踪。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住院静脉药物闭环追踪。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住院其他用药闭环追踪。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住院手术麻醉闭环追踪。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住院检验标本闭环追踪。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住院检查闭环追踪。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门诊检查闭环追踪。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门诊检验闭环追踪。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门诊处方闭环追踪。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重点业务临床用血闭环追踪。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重点业务会诊闭环追踪。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重点业务检验危急值闭环追踪。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重点业务检查危急值闭环追踪。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重点业务入出转闭环追踪。</w:t>
            </w:r>
          </w:p>
          <w:p>
            <w:pPr>
              <w:numPr>
                <w:ilvl w:val="0"/>
                <w:numId w:val="51"/>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重点业务消毒供应闭环追踪。</w:t>
            </w:r>
          </w:p>
          <w:p>
            <w:pPr>
              <w:numPr>
                <w:ilvl w:val="0"/>
                <w:numId w:val="51"/>
              </w:num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重点业务手术器械闭环追踪。</w:t>
            </w:r>
          </w:p>
        </w:tc>
      </w:tr>
    </w:tbl>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3、医院运营决策系统</w:t>
      </w:r>
    </w:p>
    <w:tbl>
      <w:tblPr>
        <w:tblStyle w:val="28"/>
        <w:tblW w:w="9419"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205"/>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门诊动态</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实时监测门诊挂号人次、已就诊、待诊人次流量；检查申请人次、完成检查人次、等待人次分析；检验申请人次、完成检查人次、等待人次分析；并且能下钻到具体的患者明细信息。</w:t>
            </w:r>
          </w:p>
          <w:p>
            <w:pPr>
              <w:numPr>
                <w:ilvl w:val="0"/>
                <w:numId w:val="5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就诊流量:半小时时段实时人次、累计人次分析。</w:t>
            </w:r>
          </w:p>
          <w:p>
            <w:pPr>
              <w:numPr>
                <w:ilvl w:val="0"/>
                <w:numId w:val="5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门诊预约分析：门诊患者预约途径方式构成分析、平均预约就诊率、预约就诊率趋势分析。</w:t>
            </w:r>
          </w:p>
          <w:p>
            <w:pPr>
              <w:numPr>
                <w:ilvl w:val="0"/>
                <w:numId w:val="5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候诊分析：门诊预约患者就诊候诊时长趋势分析，候诊实时情况分析。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工作负荷</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门诊工作负荷分析，具备年度门诊人次分析、年度急诊人次分析、KPI指标月度趋势分析、本期同步、环比分析。</w:t>
            </w:r>
          </w:p>
          <w:p>
            <w:pPr>
              <w:numPr>
                <w:ilvl w:val="0"/>
                <w:numId w:val="5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住院工作负荷分析，具备年度入院人次分析、年度出院人次分析、执业医师日均担负住院床日数分析。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患者负担</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4"/>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指标年度趋势分析。</w:t>
            </w:r>
          </w:p>
          <w:p>
            <w:pPr>
              <w:numPr>
                <w:ilvl w:val="0"/>
                <w:numId w:val="54"/>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门诊人均费用占比分析。</w:t>
            </w:r>
          </w:p>
          <w:p>
            <w:pPr>
              <w:numPr>
                <w:ilvl w:val="0"/>
                <w:numId w:val="54"/>
              </w:num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住院人均费用占比分析。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工作效率</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5"/>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平均住院日、病床使用率、病床周转次数、日均诊疗人次、日均住院床日数。</w:t>
            </w:r>
          </w:p>
          <w:p>
            <w:pPr>
              <w:numPr>
                <w:ilvl w:val="0"/>
                <w:numId w:val="55"/>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围绕指标进行本期、同期、年度、月度分析；部分指标支持科室-&gt;医师下钻分析。</w:t>
            </w:r>
          </w:p>
          <w:p>
            <w:pPr>
              <w:numPr>
                <w:ilvl w:val="0"/>
                <w:numId w:val="55"/>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床位分析，实现按照科室进行静态评价的分布分析和按照科室进行动态评价的分布分析。</w:t>
            </w:r>
          </w:p>
          <w:p>
            <w:pPr>
              <w:numPr>
                <w:ilvl w:val="0"/>
                <w:numId w:val="55"/>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实现围绕日均门诊量，按病种、科室、医师分析。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治疗质量</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6"/>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手术冰冻与石蜡诊断符合例数。</w:t>
            </w:r>
          </w:p>
          <w:p>
            <w:pPr>
              <w:numPr>
                <w:ilvl w:val="0"/>
                <w:numId w:val="56"/>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恶性肿瘤手术前诊断与术后病理诊断符合例数。</w:t>
            </w:r>
          </w:p>
          <w:p>
            <w:pPr>
              <w:numPr>
                <w:ilvl w:val="0"/>
                <w:numId w:val="56"/>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住院患者死亡与自动出院例数。</w:t>
            </w:r>
          </w:p>
          <w:p>
            <w:pPr>
              <w:numPr>
                <w:ilvl w:val="0"/>
                <w:numId w:val="56"/>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住院手术例数、死亡例数。</w:t>
            </w:r>
          </w:p>
          <w:p>
            <w:pPr>
              <w:numPr>
                <w:ilvl w:val="0"/>
                <w:numId w:val="56"/>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住院危重抢救例数、死亡例数。</w:t>
            </w:r>
          </w:p>
          <w:p>
            <w:pPr>
              <w:numPr>
                <w:ilvl w:val="0"/>
                <w:numId w:val="56"/>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急诊科危重抢救例数、死亡例数。</w:t>
            </w:r>
          </w:p>
          <w:p>
            <w:pPr>
              <w:numPr>
                <w:ilvl w:val="0"/>
                <w:numId w:val="56"/>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新生儿患者住院死亡率。</w:t>
            </w:r>
          </w:p>
          <w:p>
            <w:pPr>
              <w:numPr>
                <w:ilvl w:val="0"/>
                <w:numId w:val="56"/>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针对上述指标，提供按照年、季度、月分析指标趋势分析。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病种运营</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7"/>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门诊病种人次排行分析：实现病种人次排行、占比比例、同比分析；实现单个病种科室、医师人次排行分析；实现单个病种年龄分布分析。</w:t>
            </w:r>
          </w:p>
          <w:p>
            <w:pPr>
              <w:numPr>
                <w:ilvl w:val="0"/>
                <w:numId w:val="57"/>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提供科室住院主要疾病的指标分析：总例数、死亡例数、死亡率、两周内再住院例数、1月内再住院例数、平均住院日、平均住院费用、平均药品费用、平均药品占比等。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收入分析</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提供门急诊/住院收入年度/月度趋势分析；支持单月下钻单日趋势分析、科室排行分析、医师排行分析。</w:t>
            </w:r>
          </w:p>
          <w:p>
            <w:pPr>
              <w:numPr>
                <w:ilvl w:val="0"/>
                <w:numId w:val="5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提供医院收入情况分析。</w:t>
            </w:r>
          </w:p>
          <w:p>
            <w:pPr>
              <w:numPr>
                <w:ilvl w:val="0"/>
                <w:numId w:val="5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提供门诊/住院收入占比分析。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卫生资源</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9"/>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医院资源分析：医院资源基本情况分析。</w:t>
            </w:r>
          </w:p>
          <w:p>
            <w:pPr>
              <w:numPr>
                <w:ilvl w:val="0"/>
                <w:numId w:val="59"/>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病患资源分析：区域分布分析、年龄段病患分析。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医疗质量与安全</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提供住院重点疾病的指标分析。</w:t>
            </w:r>
          </w:p>
          <w:p>
            <w:pPr>
              <w:numPr>
                <w:ilvl w:val="0"/>
                <w:numId w:val="6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提供住院重点手术的指标分析。</w:t>
            </w:r>
          </w:p>
          <w:p>
            <w:pPr>
              <w:numPr>
                <w:ilvl w:val="0"/>
                <w:numId w:val="6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提供麻醉质量的指标分析。</w:t>
            </w:r>
          </w:p>
          <w:p>
            <w:pPr>
              <w:numPr>
                <w:ilvl w:val="0"/>
                <w:numId w:val="6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提供患者安全的指标分析。</w:t>
            </w:r>
          </w:p>
          <w:p>
            <w:pPr>
              <w:numPr>
                <w:ilvl w:val="0"/>
                <w:numId w:val="6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所有指标分析都支持按年份、月度等条件进行筛选。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病种指标</w:t>
            </w:r>
          </w:p>
        </w:tc>
        <w:tc>
          <w:tcPr>
            <w:tcW w:w="721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围绕以下单病种，提供单病种资源消耗相关指标：例数、平均住院日、次均费用、次均药费、死亡率等指标分析：</w:t>
            </w:r>
          </w:p>
          <w:p>
            <w:pPr>
              <w:numPr>
                <w:ilvl w:val="0"/>
                <w:numId w:val="6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提供急性心力衰竭的指标分析结果。</w:t>
            </w:r>
          </w:p>
          <w:p>
            <w:pPr>
              <w:numPr>
                <w:ilvl w:val="0"/>
                <w:numId w:val="6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提供脑梗死STK的指标分析结果。</w:t>
            </w:r>
          </w:p>
          <w:p>
            <w:pPr>
              <w:numPr>
                <w:ilvl w:val="0"/>
                <w:numId w:val="6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提供髋、膝关节置换术的指标分析结果。</w:t>
            </w:r>
          </w:p>
          <w:p>
            <w:pPr>
              <w:numPr>
                <w:ilvl w:val="0"/>
                <w:numId w:val="6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提供冠状动脉旁路移植术CABG的指标分析结果。</w:t>
            </w:r>
          </w:p>
          <w:p>
            <w:pPr>
              <w:numPr>
                <w:ilvl w:val="0"/>
                <w:numId w:val="6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提供围术期预防感染PIP的指标分析结果。</w:t>
            </w:r>
          </w:p>
          <w:p>
            <w:pPr>
              <w:numPr>
                <w:ilvl w:val="0"/>
                <w:numId w:val="6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提供社区获得性肺炎(住院、成人)的指标分析结果。</w:t>
            </w:r>
          </w:p>
          <w:p>
            <w:pPr>
              <w:numPr>
                <w:ilvl w:val="0"/>
                <w:numId w:val="6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提供社区获得性肺炎(住院、儿童)的指标分析。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重症医学质量监测</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提供非预期的24/48小时重返重症医学科率的统计分析。</w:t>
            </w:r>
          </w:p>
          <w:p>
            <w:pPr>
              <w:numPr>
                <w:ilvl w:val="0"/>
                <w:numId w:val="6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提供呼吸机相关肺炎预防率的统计分析。</w:t>
            </w:r>
          </w:p>
          <w:p>
            <w:pPr>
              <w:numPr>
                <w:ilvl w:val="0"/>
                <w:numId w:val="6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提供呼吸机相关肺炎发病率的统计分析。</w:t>
            </w:r>
          </w:p>
          <w:p>
            <w:pPr>
              <w:numPr>
                <w:ilvl w:val="0"/>
                <w:numId w:val="6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提供中心静脉置管相关血流感染发病率的统计分析。</w:t>
            </w:r>
          </w:p>
          <w:p>
            <w:pPr>
              <w:numPr>
                <w:ilvl w:val="0"/>
                <w:numId w:val="6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提供留置导尿管相关泌尿系感染发病率的统计分析；</w:t>
            </w:r>
          </w:p>
          <w:p>
            <w:pPr>
              <w:numPr>
                <w:ilvl w:val="0"/>
                <w:numId w:val="6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提供重症患者死亡率的统计分析。</w:t>
            </w:r>
          </w:p>
          <w:p>
            <w:pPr>
              <w:numPr>
                <w:ilvl w:val="0"/>
                <w:numId w:val="6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提供重症患者压疮发生率的统计分析。</w:t>
            </w:r>
          </w:p>
          <w:p>
            <w:pPr>
              <w:numPr>
                <w:ilvl w:val="0"/>
                <w:numId w:val="6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提供人工气道脱出例数的统计分析。</w:t>
            </w:r>
          </w:p>
          <w:p>
            <w:pPr>
              <w:numPr>
                <w:ilvl w:val="0"/>
                <w:numId w:val="6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针对上述指标，支持按年份、月度等条件进行筛选。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合理用药监测</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提供抗菌药物处方数/每百张门诊处方比例统计功能。</w:t>
            </w:r>
          </w:p>
          <w:p>
            <w:pPr>
              <w:numPr>
                <w:ilvl w:val="0"/>
                <w:numId w:val="6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提供注射剂处方数/每百张门诊处方比例统计功能。</w:t>
            </w:r>
          </w:p>
          <w:p>
            <w:pPr>
              <w:numPr>
                <w:ilvl w:val="0"/>
                <w:numId w:val="6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提供药费收入占医疗总收入比重统计功能。</w:t>
            </w:r>
          </w:p>
          <w:p>
            <w:pPr>
              <w:numPr>
                <w:ilvl w:val="0"/>
                <w:numId w:val="6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提供抗菌药物占西药出库总金额比重统计功能。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针对上述指标，支持按年份、月度条件进行筛选。</w:t>
            </w:r>
          </w:p>
        </w:tc>
      </w:tr>
    </w:tbl>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4、移动运营决策支持系统</w:t>
      </w:r>
    </w:p>
    <w:tbl>
      <w:tblPr>
        <w:tblStyle w:val="28"/>
        <w:tblW w:w="9494"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280"/>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今日实况</w:t>
            </w:r>
          </w:p>
        </w:tc>
        <w:tc>
          <w:tcPr>
            <w:tcW w:w="721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1、总体概况：总诊疗人次、预约等待患者数、医疗总收入、在院患者数、手术例数、出院人次、床位使用率的分析功能。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2、门诊概要：门诊人次、平均等待时间、门诊预约人次、门诊总费用、门诊均次费用的分析功能。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3、住院概要：入院人次、出院人次、在院患者数、床位使用率、平均住院日、住院总费用、住院均次费用、临床路径入径率的分析功能。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4、手术概要：手术例数、高级别手术例数、微创手术例数、日间手术例数的分析功能。</w:t>
            </w:r>
          </w:p>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5、收入概要：门诊总费用、住院总费用、药品总费用、检查总费用、检验总费用的分析功能。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关键指标</w:t>
            </w:r>
          </w:p>
        </w:tc>
        <w:tc>
          <w:tcPr>
            <w:tcW w:w="721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门诊业务：总就诊人次、退号人次、初诊人次、复诊人次、处方数、使用医保人次、健康体检人次、检查人次、检验人次、省外患者人次、总费用、均次费用、医保费用、挂号费用、药品费用、检查费用、检验费用、耗材费用、网上预约人次、电话预约人次、诊间预约人次、自助机预约人次、家庭医生预约人次、其他预约人次、平均等待时间等的分析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住院业务：实际开放总床日数、平均开放床位数、实际占用总床日数、出院患者占用总床日数、平均住院日、平均病床工作日、病床利用率、期初原有人数、入院人次、出院人次、他科转入人次、转往他科人次、病床周转次、医嘱离院、自动出院、死亡出院、其他、住院手术人次、检查人次、检验人次、临床路径入径数、临床路径入径率、临床路径完成数、临床路径完成率、临床路径变异数、临床路径变异率等的分析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3、手术量：手术申请例数、手术台次、三级手术人次、四级手术人次、微创手术人次、日间手术人次等的分析功能。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4、支持构成信息、占比信息、对比信息、历史变化趋势等多种展示方式。</w:t>
            </w:r>
          </w:p>
          <w:p>
            <w:p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5、支持单指标分析集成按日期、按科室切换功能。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病源分布</w:t>
            </w:r>
          </w:p>
        </w:tc>
        <w:tc>
          <w:tcPr>
            <w:tcW w:w="721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1、资源分布：提供门诊、住院病源的分布分析功能。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2、性别比例：提供性别比例的分析功能。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3、年龄分布：提供年龄分布的分析功能。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4、医保分析：提供医保人次的分析功能。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5、数据展示：支持构成信息、占比信息、对比信息、历史变化趋势等多种展示方式。</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访问日志</w:t>
            </w:r>
          </w:p>
        </w:tc>
        <w:tc>
          <w:tcPr>
            <w:tcW w:w="7214" w:type="dxa"/>
            <w:tcBorders>
              <w:top w:val="single" w:color="auto" w:sz="4" w:space="0"/>
              <w:left w:val="single" w:color="auto" w:sz="4" w:space="0"/>
              <w:bottom w:val="single" w:color="auto" w:sz="4" w:space="0"/>
              <w:right w:val="single" w:color="auto" w:sz="6" w:space="0"/>
            </w:tcBorders>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1、当日访问情况：今日访问用户及登录系统时间点追踪对于单指标访问点击量。</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2、历史访问情况：历史访问用户及登录系统时间点追踪对于单指标访问点击量。</w:t>
            </w:r>
          </w:p>
        </w:tc>
      </w:tr>
    </w:tbl>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5、病历全文检索系统</w:t>
      </w:r>
    </w:p>
    <w:tbl>
      <w:tblPr>
        <w:tblStyle w:val="28"/>
        <w:tblW w:w="9494"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280"/>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住院病历检索</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提供关键字检索功能，同时支持多个关键字连接查询。</w:t>
            </w:r>
          </w:p>
          <w:p>
            <w:pPr>
              <w:numPr>
                <w:ilvl w:val="0"/>
                <w:numId w:val="6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提供快速查询体验（1秒左右）。</w:t>
            </w:r>
          </w:p>
          <w:p>
            <w:pPr>
              <w:numPr>
                <w:ilvl w:val="0"/>
                <w:numId w:val="6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提供热门搜索功能。</w:t>
            </w:r>
          </w:p>
          <w:p>
            <w:pPr>
              <w:numPr>
                <w:ilvl w:val="0"/>
                <w:numId w:val="6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提供按照诊断、病历类型、科室名称、治疗效果、性别、年龄、入院时间等筛选结果功能。</w:t>
            </w:r>
          </w:p>
          <w:p>
            <w:pPr>
              <w:numPr>
                <w:ilvl w:val="0"/>
                <w:numId w:val="6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提供支持按患者或按病历等显示结果。</w:t>
            </w:r>
          </w:p>
          <w:p>
            <w:pPr>
              <w:numPr>
                <w:ilvl w:val="0"/>
                <w:numId w:val="6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提供查看病历内容功能。</w:t>
            </w:r>
          </w:p>
          <w:p>
            <w:pPr>
              <w:numPr>
                <w:ilvl w:val="0"/>
                <w:numId w:val="6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提供调用患者统一视图查看完整就诊情况的功能。</w:t>
            </w:r>
          </w:p>
          <w:p>
            <w:pPr>
              <w:numPr>
                <w:ilvl w:val="0"/>
                <w:numId w:val="6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提供检索条件收藏功能，同时支持收藏条件自动查询功能。</w:t>
            </w:r>
          </w:p>
          <w:p>
            <w:pPr>
              <w:numPr>
                <w:ilvl w:val="0"/>
                <w:numId w:val="64"/>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提供患者收藏功能。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门诊病历检索</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提供关键字检索功能，同时支持多个关键字连接查询。</w:t>
            </w:r>
          </w:p>
          <w:p>
            <w:pPr>
              <w:numPr>
                <w:ilvl w:val="0"/>
                <w:numId w:val="6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提供快速查询体验（1秒左右）。</w:t>
            </w:r>
          </w:p>
          <w:p>
            <w:pPr>
              <w:numPr>
                <w:ilvl w:val="0"/>
                <w:numId w:val="6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提供热门搜索功能。</w:t>
            </w:r>
          </w:p>
          <w:p>
            <w:pPr>
              <w:numPr>
                <w:ilvl w:val="0"/>
                <w:numId w:val="6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提供按照诊断、就诊科室、性别、年龄、就诊时间等筛选结果功能。</w:t>
            </w:r>
          </w:p>
          <w:p>
            <w:pPr>
              <w:numPr>
                <w:ilvl w:val="0"/>
                <w:numId w:val="6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提供支持按患者或按病历等显示结果。</w:t>
            </w:r>
          </w:p>
          <w:p>
            <w:pPr>
              <w:numPr>
                <w:ilvl w:val="0"/>
                <w:numId w:val="6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提供查看病历内容功能。</w:t>
            </w:r>
          </w:p>
          <w:p>
            <w:pPr>
              <w:numPr>
                <w:ilvl w:val="0"/>
                <w:numId w:val="6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提供调用患者统一视图查看完整就诊情况的功能。</w:t>
            </w:r>
          </w:p>
          <w:p>
            <w:pPr>
              <w:numPr>
                <w:ilvl w:val="0"/>
                <w:numId w:val="6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提供检索条件收藏功能，同时支持收藏条件自动查询功能。</w:t>
            </w:r>
          </w:p>
          <w:p>
            <w:pPr>
              <w:numPr>
                <w:ilvl w:val="0"/>
                <w:numId w:val="65"/>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提供患者收藏功能。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病历详情显示和收藏</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提供检索条件收藏功能，同时支持收藏条件自动查询功能。</w:t>
            </w:r>
          </w:p>
          <w:p>
            <w:pPr>
              <w:numPr>
                <w:ilvl w:val="0"/>
                <w:numId w:val="6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提供患者收藏功能。</w:t>
            </w:r>
          </w:p>
          <w:p>
            <w:pPr>
              <w:numPr>
                <w:ilvl w:val="0"/>
                <w:numId w:val="6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提供被浏览病历当次就诊病历列表查看功能。</w:t>
            </w:r>
          </w:p>
          <w:p>
            <w:pPr>
              <w:numPr>
                <w:ilvl w:val="0"/>
                <w:numId w:val="66"/>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提供病历内容详情查看功能。（需提供HTML格式病历数据或病历展示详情URL）</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病历分词检索</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支持用关键字进行病历内容搜索，例如症状、疾病、手术等。</w:t>
            </w:r>
          </w:p>
          <w:p>
            <w:pPr>
              <w:numPr>
                <w:ilvl w:val="0"/>
                <w:numId w:val="6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支持用空格分隔的多个关键字进行联合病历内容查询。</w:t>
            </w:r>
          </w:p>
          <w:p>
            <w:pPr>
              <w:numPr>
                <w:ilvl w:val="0"/>
                <w:numId w:val="6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支持对检索结果进行二次检索，例如出院时间、性别、年龄等。</w:t>
            </w:r>
          </w:p>
          <w:p>
            <w:pPr>
              <w:numPr>
                <w:ilvl w:val="0"/>
                <w:numId w:val="6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检索结果中关键字高亮显示。</w:t>
            </w:r>
          </w:p>
          <w:p>
            <w:pPr>
              <w:numPr>
                <w:ilvl w:val="0"/>
                <w:numId w:val="67"/>
              </w:num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检索结果病历的详情查看。</w:t>
            </w:r>
          </w:p>
        </w:tc>
      </w:tr>
    </w:tbl>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6、医院智慧管理大屏</w:t>
      </w:r>
    </w:p>
    <w:tbl>
      <w:tblPr>
        <w:tblStyle w:val="28"/>
        <w:tblW w:w="952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328"/>
        <w:gridCol w:w="719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8"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功能列表</w:t>
            </w:r>
          </w:p>
        </w:tc>
        <w:tc>
          <w:tcPr>
            <w:tcW w:w="7194" w:type="dxa"/>
            <w:tcBorders>
              <w:top w:val="single" w:color="auto" w:sz="4" w:space="0"/>
              <w:left w:val="single" w:color="auto" w:sz="4" w:space="0"/>
              <w:bottom w:val="single" w:color="auto" w:sz="4" w:space="0"/>
              <w:right w:val="single" w:color="auto" w:sz="6" w:space="0"/>
            </w:tcBorders>
            <w:vAlign w:val="center"/>
          </w:tcPr>
          <w:p>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功能描述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auto"/>
                <w:sz w:val="24"/>
                <w:szCs w:val="24"/>
                <w:highlight w:val="none"/>
              </w:rPr>
            </w:pPr>
            <w:bookmarkStart w:id="17" w:name="_Toc67313279"/>
            <w:r>
              <w:rPr>
                <w:rFonts w:hint="eastAsia" w:ascii="仿宋" w:hAnsi="仿宋" w:eastAsia="仿宋" w:cs="仿宋"/>
                <w:color w:val="auto"/>
                <w:sz w:val="24"/>
                <w:szCs w:val="24"/>
                <w:highlight w:val="none"/>
              </w:rPr>
              <w:t>门诊运营监测</w:t>
            </w:r>
            <w:bookmarkEnd w:id="17"/>
          </w:p>
        </w:tc>
        <w:tc>
          <w:tcPr>
            <w:tcW w:w="7194" w:type="dxa"/>
            <w:tcBorders>
              <w:top w:val="single" w:color="auto" w:sz="4" w:space="0"/>
              <w:left w:val="single" w:color="auto" w:sz="4" w:space="0"/>
              <w:bottom w:val="single" w:color="auto" w:sz="4" w:space="0"/>
              <w:right w:val="single" w:color="auto" w:sz="6" w:space="0"/>
            </w:tcBorders>
            <w:vAlign w:val="center"/>
          </w:tcPr>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今日实时分析：提供挂号人次、上下午就诊、已就诊、待就诊人次指标分析；提供处方数、未配置处方数、待取药人数、待取药处方数指标分析。</w:t>
            </w:r>
          </w:p>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昨日数据分析：提供昨日挂号人次、就诊人次、处方数指标分析。</w:t>
            </w:r>
          </w:p>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出诊级别构成分析: 按照教授、副教授、专家、主治等分类对医师出诊级别进行分析。</w:t>
            </w:r>
          </w:p>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预约方式构成分析：按照窗口、诊间、手机、自助机等分类对患者预约方式进行分析。</w:t>
            </w:r>
          </w:p>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候诊时长分析：按照患者候诊等待时间阶段进行分析：0-10分钟，10-20分钟，20-30分钟，30分钟以上等。</w:t>
            </w:r>
          </w:p>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区域地图分析：根据患者就诊人次对地图不同区域进行颜色区分；提供地图区域内患者就诊人次轮播展示；提供地图区域内患者分布来源展示。</w:t>
            </w:r>
          </w:p>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院内视频轮播(地图、视频二选一)：支持院内视频、新闻的挂载循环播放；支持院内图片的循环轮播。</w:t>
            </w:r>
          </w:p>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就诊流量分析：提供患者不同时间段就诊流量趋势分析图。</w:t>
            </w:r>
          </w:p>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出诊排班分析：按照科室维度提供医师上下午出诊排班分析。</w:t>
            </w:r>
          </w:p>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科室就诊分析：按照科室维度提供已就诊、待就诊人次分析。</w:t>
            </w:r>
          </w:p>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门诊诊断分析：按照疾病维度对门诊人次展示分析。</w:t>
            </w:r>
          </w:p>
          <w:p>
            <w:pPr>
              <w:numPr>
                <w:ilvl w:val="0"/>
                <w:numId w:val="6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门诊病种分析：按照病种维度对门诊人次展示分析。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住院运营监测</w:t>
            </w:r>
          </w:p>
        </w:tc>
        <w:tc>
          <w:tcPr>
            <w:tcW w:w="7194" w:type="dxa"/>
            <w:tcBorders>
              <w:top w:val="single" w:color="auto" w:sz="4" w:space="0"/>
              <w:left w:val="single" w:color="auto" w:sz="4" w:space="0"/>
              <w:bottom w:val="single" w:color="auto" w:sz="4" w:space="0"/>
              <w:right w:val="single" w:color="auto" w:sz="6" w:space="0"/>
            </w:tcBorders>
            <w:vAlign w:val="center"/>
          </w:tcPr>
          <w:p>
            <w:pPr>
              <w:numPr>
                <w:ilvl w:val="0"/>
                <w:numId w:val="69"/>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基础指标分析：提供在院人次、抢救人次、入院人次、病危人次、病重人次、特殊护理、死亡人次、出院人次、住院超过31天患者等指标进行分析。</w:t>
            </w:r>
          </w:p>
          <w:p>
            <w:pPr>
              <w:numPr>
                <w:ilvl w:val="0"/>
                <w:numId w:val="69"/>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危急值分析：展示危急值总数、已处理危急值数。</w:t>
            </w:r>
          </w:p>
          <w:p>
            <w:pPr>
              <w:numPr>
                <w:ilvl w:val="0"/>
                <w:numId w:val="69"/>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人员情况分析: 按照医生在职、正常、病假、事假等统计分析；按照护理在职、正常、病假、产假、怀孕、哺乳等统计分析。</w:t>
            </w:r>
          </w:p>
          <w:p>
            <w:pPr>
              <w:numPr>
                <w:ilvl w:val="0"/>
                <w:numId w:val="69"/>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欠费金额大于3000元情况分析：按照科室维度对患者欠费金额大于3000元的人次进行统计分析。</w:t>
            </w:r>
          </w:p>
          <w:p>
            <w:pPr>
              <w:numPr>
                <w:ilvl w:val="0"/>
                <w:numId w:val="69"/>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床位使用情况分析：按照科室维度对床位使用情况进行排行统计分析。</w:t>
            </w:r>
          </w:p>
          <w:p>
            <w:pPr>
              <w:numPr>
                <w:ilvl w:val="0"/>
                <w:numId w:val="69"/>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床位情况分析：对医院床位使用率、空床数、总床位数等指标进行分析。</w:t>
            </w:r>
          </w:p>
          <w:p>
            <w:pPr>
              <w:numPr>
                <w:ilvl w:val="0"/>
                <w:numId w:val="69"/>
              </w:numP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住院超过31天患者分析：按照科室维度对住院超过31天患者进行统计分析。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医院运营监测</w:t>
            </w:r>
          </w:p>
        </w:tc>
        <w:tc>
          <w:tcPr>
            <w:tcW w:w="7194" w:type="dxa"/>
            <w:tcBorders>
              <w:top w:val="single" w:color="auto" w:sz="4" w:space="0"/>
              <w:left w:val="single" w:color="auto" w:sz="4" w:space="0"/>
              <w:bottom w:val="single" w:color="auto" w:sz="4" w:space="0"/>
              <w:right w:val="single" w:color="auto" w:sz="6" w:space="0"/>
            </w:tcBorders>
            <w:vAlign w:val="center"/>
          </w:tcPr>
          <w:p>
            <w:pPr>
              <w:numPr>
                <w:ilvl w:val="0"/>
                <w:numId w:val="7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基础指标分析：提供门诊人次、急诊人次、入院人次、出院人次、手术台次等今日、昨日数据分析。</w:t>
            </w:r>
          </w:p>
          <w:p>
            <w:pPr>
              <w:numPr>
                <w:ilvl w:val="0"/>
                <w:numId w:val="7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全院收入监控分析：提供门诊医疗、门诊药品、门诊材料、住院医疗、住院药品、住院材料指标分析。</w:t>
            </w:r>
          </w:p>
          <w:p>
            <w:pPr>
              <w:numPr>
                <w:ilvl w:val="0"/>
                <w:numId w:val="7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医保分类人次分析: 按照市职工医保、市医保、省医保、新农合、自费分类对医保人次进行分析。</w:t>
            </w:r>
          </w:p>
          <w:p>
            <w:pPr>
              <w:numPr>
                <w:ilvl w:val="0"/>
                <w:numId w:val="7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费用监控分析：提供本月门诊总收入、门诊均次费用、本月住院总收入、住院均次费用指标分析。</w:t>
            </w:r>
          </w:p>
          <w:p>
            <w:pPr>
              <w:numPr>
                <w:ilvl w:val="0"/>
                <w:numId w:val="7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诊间工作量排行分析:按照科室维度对诊间工作量进行前五名排行分析。</w:t>
            </w:r>
          </w:p>
          <w:p>
            <w:pPr>
              <w:numPr>
                <w:ilvl w:val="0"/>
                <w:numId w:val="7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科室门诊人次分析：按照科室维度对门诊人次进行展示分析。</w:t>
            </w:r>
          </w:p>
          <w:p>
            <w:pPr>
              <w:numPr>
                <w:ilvl w:val="0"/>
                <w:numId w:val="7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科室在院人次分析：按照科室维度对在院人次进行展示分析。</w:t>
            </w:r>
          </w:p>
          <w:p>
            <w:pPr>
              <w:numPr>
                <w:ilvl w:val="0"/>
                <w:numId w:val="7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科室收入分析：按照科室维度对医院费用进行展示分析。</w:t>
            </w:r>
          </w:p>
          <w:p>
            <w:pPr>
              <w:numPr>
                <w:ilvl w:val="0"/>
                <w:numId w:val="7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质量指标分析：对质量指标进行分析。</w:t>
            </w:r>
          </w:p>
          <w:p>
            <w:pPr>
              <w:numPr>
                <w:ilvl w:val="0"/>
                <w:numId w:val="7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预警信息分析：对医院预警信息进行展示。</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护理运营监测</w:t>
            </w:r>
          </w:p>
        </w:tc>
        <w:tc>
          <w:tcPr>
            <w:tcW w:w="7194" w:type="dxa"/>
            <w:tcBorders>
              <w:top w:val="single" w:color="auto" w:sz="4" w:space="0"/>
              <w:left w:val="single" w:color="auto" w:sz="4" w:space="0"/>
              <w:bottom w:val="single" w:color="auto" w:sz="4" w:space="0"/>
              <w:right w:val="single" w:color="auto" w:sz="6" w:space="0"/>
            </w:tcBorders>
            <w:vAlign w:val="center"/>
          </w:tcPr>
          <w:p>
            <w:pPr>
              <w:numPr>
                <w:ilvl w:val="0"/>
                <w:numId w:val="7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基础指标分析：提供GAD-7评估率、跌倒体质率、PHQ-9评估率、压疮评估率、ADL评估率、疼痛评估率、首次护理评估率等指标进行展示。</w:t>
            </w:r>
          </w:p>
          <w:p>
            <w:pPr>
              <w:numPr>
                <w:ilvl w:val="0"/>
                <w:numId w:val="7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在院人数分析：提供全院在院人数统计；按照科室维度对全院在院人数进行分析。</w:t>
            </w:r>
          </w:p>
          <w:p>
            <w:pPr>
              <w:numPr>
                <w:ilvl w:val="0"/>
                <w:numId w:val="7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入院人数分析: 按提供全院入院人数统计；按照科室维度对全院入院人数进行分析。</w:t>
            </w:r>
          </w:p>
          <w:p>
            <w:pPr>
              <w:numPr>
                <w:ilvl w:val="0"/>
                <w:numId w:val="7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出院人数分析：提按提供全院出院人数统计；按照科室维度对全院出院人数进行分析。</w:t>
            </w:r>
          </w:p>
          <w:p>
            <w:pPr>
              <w:numPr>
                <w:ilvl w:val="0"/>
                <w:numId w:val="7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护理级别分析：按照特级护理、一级护理、二级护理、三级护理维度对护理级别进行分析。</w:t>
            </w:r>
          </w:p>
          <w:p>
            <w:pPr>
              <w:numPr>
                <w:ilvl w:val="0"/>
                <w:numId w:val="71"/>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关注指标分析：对医院病危数、病重数、死亡人数、手术台次等关注指标进行分析。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院长管理日报</w:t>
            </w:r>
          </w:p>
        </w:tc>
        <w:tc>
          <w:tcPr>
            <w:tcW w:w="7194" w:type="dxa"/>
            <w:tcBorders>
              <w:top w:val="single" w:color="auto" w:sz="4" w:space="0"/>
              <w:left w:val="single" w:color="auto" w:sz="4" w:space="0"/>
              <w:bottom w:val="single" w:color="auto" w:sz="4" w:space="0"/>
              <w:right w:val="single" w:color="auto" w:sz="6" w:space="0"/>
            </w:tcBorders>
            <w:vAlign w:val="center"/>
          </w:tcPr>
          <w:p>
            <w:pPr>
              <w:numPr>
                <w:ilvl w:val="0"/>
                <w:numId w:val="7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多院区下门诊概况轮播展示：提供门诊人次、门诊收入、人均费用今日、本月、本年累计、年累计同比等指标分析。</w:t>
            </w:r>
          </w:p>
          <w:p>
            <w:pPr>
              <w:numPr>
                <w:ilvl w:val="0"/>
                <w:numId w:val="7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多院区下住院概况轮播展示：提供出院人次、出院收入、人均费用今日、本月、本年累计、年累计同比等指标分析。</w:t>
            </w:r>
          </w:p>
          <w:p>
            <w:pPr>
              <w:numPr>
                <w:ilvl w:val="0"/>
                <w:numId w:val="7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多院区下床位情况轮播展示:提供患者占床天数、床位总费用、日均床费用今日、本月、本年累计、年累计同比等指标分析。</w:t>
            </w:r>
          </w:p>
          <w:p>
            <w:pPr>
              <w:numPr>
                <w:ilvl w:val="0"/>
                <w:numId w:val="7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多院区下手术概况轮播展示：提供手术人次、出院患者手术人次、出院患者手术人次占比今日、本月、本年累计、年累计同比等指标分析。</w:t>
            </w:r>
          </w:p>
          <w:p>
            <w:pPr>
              <w:numPr>
                <w:ilvl w:val="0"/>
                <w:numId w:val="7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多院区下前10天门急诊量轮播展示分析：以当前时间为标准往前推10天，对门急诊人次进行分析。</w:t>
            </w:r>
          </w:p>
          <w:p>
            <w:pPr>
              <w:numPr>
                <w:ilvl w:val="0"/>
                <w:numId w:val="7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多院区下前10天出院人次轮播展示分析：以当前时间为标准往前推10天，对门出院人次进行分析。</w:t>
            </w:r>
          </w:p>
          <w:p>
            <w:pPr>
              <w:numPr>
                <w:ilvl w:val="0"/>
                <w:numId w:val="72"/>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多院区下前10天平均住院日轮播展示分析：以当前时间为标准往前推10天，对平均住院日进行分析；多院区下前10天手术量轮播展示分析：以当前时间为标准往前推10天，对手术人次进行分析。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68"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高值耗材与合理用药</w:t>
            </w:r>
          </w:p>
        </w:tc>
        <w:tc>
          <w:tcPr>
            <w:tcW w:w="7194" w:type="dxa"/>
            <w:tcBorders>
              <w:top w:val="single" w:color="auto" w:sz="4" w:space="0"/>
              <w:left w:val="single" w:color="auto" w:sz="4" w:space="0"/>
              <w:bottom w:val="single" w:color="auto" w:sz="4" w:space="0"/>
              <w:right w:val="single" w:color="auto" w:sz="6" w:space="0"/>
            </w:tcBorders>
            <w:vAlign w:val="center"/>
          </w:tcPr>
          <w:p>
            <w:pPr>
              <w:numPr>
                <w:ilvl w:val="0"/>
                <w:numId w:val="7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抗菌药物使用强度预警分析：</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根据科室维度对上月的抗菌药物强度值与预警值进行分析。</w:t>
            </w:r>
          </w:p>
          <w:p>
            <w:pPr>
              <w:numPr>
                <w:ilvl w:val="0"/>
                <w:numId w:val="7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抗菌药物使用强度趋势分析：</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按照月度对今年及同比年度抗菌药物使用强度进行分析。</w:t>
            </w:r>
          </w:p>
          <w:p>
            <w:pPr>
              <w:numPr>
                <w:ilvl w:val="0"/>
                <w:numId w:val="7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高值耗材占比科室排行Top 10分析: </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按照科室维度对上月高值耗材费用进行分析。</w:t>
            </w:r>
          </w:p>
          <w:p>
            <w:pPr>
              <w:numPr>
                <w:ilvl w:val="0"/>
                <w:numId w:val="7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按照科室维度对上月高值耗材费用占科室总收入占比前10进行趋势分析。</w:t>
            </w:r>
          </w:p>
          <w:p>
            <w:pPr>
              <w:numPr>
                <w:ilvl w:val="0"/>
                <w:numId w:val="7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高值耗材与用药基础指标分析：</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提供门诊患者基本药物处方占比、住院患者基本药物使用率、去年高值医用耗材收入占比、今年高值医用耗材收入占比等指标分析。</w:t>
            </w:r>
          </w:p>
          <w:p>
            <w:pPr>
              <w:numPr>
                <w:ilvl w:val="0"/>
                <w:numId w:val="7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耗材总收入构成分析：</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按照治疗、介入、手术、检查等分类对上月耗材总收入进行分析。</w:t>
            </w:r>
          </w:p>
          <w:p>
            <w:pPr>
              <w:numPr>
                <w:ilvl w:val="0"/>
                <w:numId w:val="7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科室点评处方分析：</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按照科室维度对上月科室点评处方中科室超常用药、不合理用药等分类进行分析。</w:t>
            </w:r>
          </w:p>
          <w:p>
            <w:pPr>
              <w:numPr>
                <w:ilvl w:val="0"/>
                <w:numId w:val="7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高值耗材术式排名分析：</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按照术式维度对上月全院高值耗材费用、占比进行排名分析。 </w:t>
            </w:r>
          </w:p>
          <w:p>
            <w:pPr>
              <w:numPr>
                <w:ilvl w:val="0"/>
                <w:numId w:val="73"/>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高值耗材医师排名分析：</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按照医师维度对上月全院高值耗材费用、占比进行排名分析。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医师出诊监控</w:t>
            </w:r>
          </w:p>
        </w:tc>
        <w:tc>
          <w:tcPr>
            <w:tcW w:w="7194" w:type="dxa"/>
            <w:tcBorders>
              <w:top w:val="single" w:color="auto" w:sz="4" w:space="0"/>
              <w:left w:val="single" w:color="auto" w:sz="4" w:space="0"/>
              <w:bottom w:val="single" w:color="auto" w:sz="4" w:space="0"/>
              <w:right w:val="single" w:color="auto" w:sz="6" w:space="0"/>
            </w:tcBorders>
            <w:vAlign w:val="center"/>
          </w:tcPr>
          <w:p>
            <w:pPr>
              <w:numPr>
                <w:ilvl w:val="0"/>
                <w:numId w:val="74"/>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按照科室诊区对医师出诊时间，接诊患者、待诊患者、已接诊患者等进行分析。</w:t>
            </w:r>
          </w:p>
          <w:p>
            <w:pPr>
              <w:numPr>
                <w:ilvl w:val="0"/>
                <w:numId w:val="74"/>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按照科室诊区对患者均次费用、均次药费、药占比、平均接诊时间等进行分析。</w:t>
            </w:r>
          </w:p>
          <w:p>
            <w:pPr>
              <w:numPr>
                <w:ilvl w:val="0"/>
                <w:numId w:val="74"/>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统计上下午时段监测范围内诊室利用率、诊室总挂号人次、诊室已就诊人次、待诊人次、诊室排班情况等。</w:t>
            </w:r>
          </w:p>
        </w:tc>
      </w:tr>
    </w:tbl>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adjustRightInd/>
        <w:spacing w:before="0" w:after="0" w:line="520" w:lineRule="exac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品目四：单病种上报系统</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1、临床单病种信息采集：</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1.1、纳入触发：</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1.1.1、提供根据设定的病种纳入规则对符合病种的患者进行自动提醒。</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1.1.2、提供单病种患者不同的触发场景，诊断保存时触发、首页保存时、首页提交时、新建手术记录时。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1.1.3、提供提醒临床已填写单病种未上报功能。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1.1.4、提供手动纳入功能，医师可以在患者列表进行手动纳入符合条件的病种。</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1.1.5、提供单病种患者的退出纳入功能。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1.1.6、支持退出纳入原因和不纳入原因字典选择功能。</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1.2、单病种待报病种：</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1.2.1、提供临床科室单病种待报列表，显示当前医师当前科室需要填写的病种列表。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1.2.2、提供符合单病种上报条件的患者列表，可按本人或全科展示。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1.2.3、提供单病种列表不同状态（未填写、填写中、漏报、打回/驳回）不同颜色显示功能。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1.2.4、提供双击打开患者病种上报界面进行填写和上报功能。</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1.3、单病种上报信息采集管理：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1.3.1、提供单病种数据项上报界面，人工内容录入、基本信息自动提取功能。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1.3.2、提供单病种数据项内容录入、保存、提交功能。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1.3.3、提供查看上报须知功能。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1.3.4、提供查看患者病历功能。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1.3.5、提供退出纳入功能。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1.3.6、提供自动校验质控功能，如：必填项、值域、范围、数据类型。</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1.3.7、提供上报界面与电子病历的无缝对接，电子病历结构化文书信息自动提取功能。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1.3.8、提供上报信息默认项设置功能，如满意度评价等数据项默认设置为“非常满意”，告知事项为“已告知”。</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1.3.9、提供上报助手查看功能，如患者基本信息，诊断手术信息，医嘱检验检查信息支持复制粘贴，方便医生填写。</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1.4、单病种上报信息智能同步：</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1.4.1、支持与医院现有的电子病历无缝对接，实现上报信息的自动提取填充。</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1.4.2、支持对单病种上报涉及到的患者住院基本信息、诊断信息、手术信息自动获取。</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1.4.3、支持对患者入院和离院信息的自动获取。</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1.4.4、支持对单病种上报涉及到的患者费用信息自动获取。</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1.4.5、对单病种涉及到的结构化病历文书内容信息自动获取。</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1.4.6、支持对单病种上报涉及到的医嘱信息进行数据自动获取。</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1.4.7、支持对单病种上报涉及到的检验检查报告信息进行自动获取。</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1.4.8、支持单病种上报涉及到的其他诊疗信息自动获取。</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1.5、单病种上报信息查询：</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1.5.1、提供多条件病人查询功能，按照病案号、病种、上报日期、出院科室、出院日期条件检索功能。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1.5.2、提供根据住院号查询自动定位到病种上报状态对应的列表。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1.5.3、提供患者住院信息的展示，包括患者姓名、性别、年龄、住院号、管床医师、入院时间、出院时间、出院科室、诊断、手术等信息列表。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1.5.4、提供多维度查询功能，按照多种条件查询未填写、已填写未上报、已上报未审核、不符合上报要求、驳回、已删除、打回信息列表。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1.5.5、提供将查询结果导出excel功能。</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2、单病种上报管理：</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2.1、单病种上报信息审核：</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2.1.1、提供对医师提交的单病种记录审核功能。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2.1.2、支持管理人员对上报审核数据进行筛选，提供按照病种名称、上报日期、上报状态、出院日期等条件检索待审核列表、不符合上报要求审核列表功能。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2.1.3、提供填报完成审核列表中双击患者查看病种填报信息功能。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2.1.4、提供不符合上报要求审核列表中双击患者查看未填写原因功能。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2.1.5、提供管理人员对上报审核记录单条审核和批量审核。</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2.1.6、提供管理人员对不符合上报要求记录进行单条审核和批量审核。</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2.1.7、提供上报审核通过后自动上传前置机功能。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2.1.8、提供审核时自动同步费用功能。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2.1.9、提供删除、打回单病种功能。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2.1.10、提供将查询结果导出excel功能。</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2.2、单病种上报统计：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2.2.1、提供按照病种名称、上报科室、上报人、出院时间、上报状态等条件进行检索功能。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2.2.2、提供单病种上报情况列表。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2.2.3、提供单病种今日、昨日、本月、累计上报情况统计功能。</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2.3、单病种漏报管理：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2.3.1、提供按照出院时间、出院科室检索特定单病种漏报查询功能。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2.3.2、提供已签收患者单病种漏报信息同步至临床功能。</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2.4、单病种指标项导出：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2.4.1、提供按照病种名称、上报科室、出院时间、上报状态条件检索单病种上报指标项列表功能。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2.4.2、提供将指标项列表信息导出excel和文本功能。</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3、单病种质量控制分析：</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提供单病种上报信息数据统计分析，围绕国家官网公布的病种，重点指标进行数据分析。</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3.1、单病种指标项统计分析：</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3.1.1、提供对已报病种特定质量监测指标按病种进行统计与展示功能，依据《单病种质量监测信息项（2020年版）》。</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3.1.2、提供按照上报科室、出院时间、上报状态检索功能。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3.1.3、提供可以按照制定的查询方案进行查询各种指标项占比。</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3.1.4、提供质量监测指标的图表展示功能。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3.1.5、提供统计结果excel导出功能。</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3.2、单病种全查询：</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提供单病种自定义全查询，打开查询方案，保存查询方案，自定义查询项。</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3.3、单病种上报概况：</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提供上报前十病种年龄病种分布、前五病种上报数量构成、平均住院费用、前五科室上报数量统计。</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3.4、病种上报率统计：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3.4.1、支持以病种为维度分析各科室上报例数、总例数、成功上报例数、不符合上报要求例数等，支持对各科室进行漏报数据分析。</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3.4.2、提供科室各病种不符合上报情况统计。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3.4.3、提供科室各病种上报情况统计，例如：全部病例数、未填写例数、已填写例数、不符合上报要求例数、应上报例数、填写率、打回率等填写情况，成功上报率、准时上报率等上报情况，病死率、手术并发症率、次均费用、次均耗材资源消耗情况。</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3.4.4、提供各病种上报情况统计，上报率、病死率、资源消耗情况。</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3.4.5、提供全院各科室单病种上报情况，例如：全部病例数、不符合上报要求数、未填写、已填写数、打回比例、填写率、审核率、成功上报率、准时上报率、手术病发率。</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4、单病种维护：</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4.1、单病种纳入规则维护：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4.1.1、提供单病种关联诊断手术纳入条件维护。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4.1.2、提供病种触发场景条件维护。</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4.2、单病种指标项目维护：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4.2.1、支持与电子病历无缝对接。</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4.2.2、提供单病种元素项目配置功能，包括元素编码、元素名称、是否必填、字典编码、上报编码信息。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4.2.3、提供单病种标准视图查看。</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4.2.4、提供上报API参数说明。</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4.2.5、提供电子病历结构化病历自动提取数据配置功能。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4.2.6、提供个性化视图配置功能。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4.2.7、提供单病种提取比率维护及查看功能。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4.2.8、提供单病种填报内容数据自动提取配置、如医嘱信息、检验、检查等其他系统信息数据采集维护功能。</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4.3、提供质量指标配置功能：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4.3.1、提供指标项统计模板添加方案、修改方案。</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4.3.2、指标算法维护功能。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4.3.3、提供添加分类、修改分类、删除分类、导出。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4.3.4、提供指标元素上下位置一键移动。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4.3.5、提供测试指标，当前模板指标预览。</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4.3.6、提供添加、修改、删除指标、导出指标、批量导入指标。</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5、单病种上传服务：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5.1、支持对外与国家上报平台对接，实现单病种上报信息的一键上报。</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5.2、基于国家上报接口文档，系统支持定时自动上报和手动上报，将院内填报完成并审核通过的单病种信息一键上传到国家平台。</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6、单病种数据采集服务（高级版）：</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6.1、提供单病种所需数据采集服务，与院内临床业务系统对接，包含：his、lis、pacs等单病种指标所涉及的业务系统。</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6.2、对接方式，支持：（</w:t>
      </w:r>
      <w:r>
        <w:rPr>
          <w:rFonts w:hint="eastAsia" w:ascii="仿宋" w:hAnsi="仿宋" w:eastAsia="仿宋" w:cs="仿宋"/>
          <w:color w:val="auto"/>
          <w:sz w:val="28"/>
          <w:szCs w:val="28"/>
          <w:highlight w:val="none"/>
        </w:rPr>
        <w:sym w:font="Wingdings" w:char="F081"/>
      </w:r>
      <w:r>
        <w:rPr>
          <w:rFonts w:hint="eastAsia" w:ascii="仿宋" w:hAnsi="仿宋" w:eastAsia="仿宋" w:cs="仿宋"/>
          <w:color w:val="auto"/>
          <w:sz w:val="28"/>
          <w:szCs w:val="28"/>
          <w:highlight w:val="none"/>
        </w:rPr>
        <w:t>标准视图方式对接；</w:t>
      </w:r>
      <w:r>
        <w:rPr>
          <w:rFonts w:hint="eastAsia" w:ascii="仿宋" w:hAnsi="仿宋" w:eastAsia="仿宋" w:cs="仿宋"/>
          <w:color w:val="auto"/>
          <w:sz w:val="28"/>
          <w:szCs w:val="28"/>
          <w:highlight w:val="none"/>
        </w:rPr>
        <w:sym w:font="Wingdings" w:char="F082"/>
      </w:r>
      <w:r>
        <w:rPr>
          <w:rFonts w:hint="eastAsia" w:ascii="仿宋" w:hAnsi="仿宋" w:eastAsia="仿宋" w:cs="仿宋"/>
          <w:color w:val="auto"/>
          <w:sz w:val="28"/>
          <w:szCs w:val="28"/>
          <w:highlight w:val="none"/>
        </w:rPr>
        <w:t>通过集成平台系统对接）。</w:t>
      </w:r>
    </w:p>
    <w:p>
      <w:pPr>
        <w:spacing w:line="52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7、单病种范围包括：</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医院要求的35个需要上报的病种。</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spacing w:line="24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品目五：LIS系统升级</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tbl>
      <w:tblPr>
        <w:tblStyle w:val="28"/>
        <w:tblW w:w="100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48"/>
        <w:gridCol w:w="1935"/>
        <w:gridCol w:w="73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35"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tc>
        <w:tc>
          <w:tcPr>
            <w:tcW w:w="7377"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指标和性能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0" w:type="dxa"/>
            <w:gridSpan w:val="3"/>
            <w:vAlign w:val="center"/>
          </w:tcPr>
          <w:p>
            <w:pPr>
              <w:pStyle w:val="52"/>
              <w:numPr>
                <w:ilvl w:val="0"/>
                <w:numId w:val="75"/>
              </w:numPr>
              <w:ind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总体要求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延续性要求</w:t>
            </w: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此次LIS系统改造要求在原检验信息系统基础上进行扩增应用，不得替换原检验信息系统已有应用。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标准符合性要求</w:t>
            </w:r>
          </w:p>
        </w:tc>
        <w:tc>
          <w:tcPr>
            <w:tcW w:w="7377" w:type="dxa"/>
            <w:vAlign w:val="center"/>
          </w:tcPr>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*1、同时满足CAP实验室认可、ISO15189实验室认可相关标准要求；（需提供同时通过CAP、ISO15189实验室认可的实验室用户应用证明复印件，实验室获得的相关证书复 印件，用户合同复印件。所有复印件需加盖投标人公章，其中用户合同复印件至少包括合同首页、建设内容以及签署页）。</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*2、满足ISO17025实验室认可相关标准要求；（需提供通过CAP、ISO17025实验室认可的实验室用户应用证明复印件，实验室获得的相关证书复 印件，用户合同复印件。所有复印件需加盖投标人公章，其中用户合同复印件至少包括合同首页、建设内容以及签署页）。</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3、满足电子病历分级评审中各级相关要求，并达到5级及以上水平。 </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4、满足JCI国际医院认证相关要求。 </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5、满足三级医院评审标准。</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6、满足AUTO10自动审核标准。</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7、满足NCCLS中9个LIS标准相关要求。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数据库要求</w:t>
            </w: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*1、同时支持Oracle、SQL数据库。（需提供用户应用证明复印件，用户合同复印件。所有复印件需加盖投标人公章，其中用户合同复印件至少包括合同首页、建设内容以及签署页）</w:t>
            </w:r>
          </w:p>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*2、其中Oracle数据库支持10g、11g及以上所有版本。</w:t>
            </w:r>
          </w:p>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*3、其中SQL数据库支持2012、2016、2017及以上所有版本。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环境部署要求</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*支持LINUX+ORACLE环境下部署系统数据库应用案例。（需提供用户应用证明复印件，用户合同复印件。所有复印件需加盖投标人公章，其中用户合同复印件至少包括合同首页、建设内容以及签署页）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系统架构要求</w:t>
            </w: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*1、多层体系架构、前端B/S、C/S多种展现形式、方便部署；其中主要业务管理模块中B/S展现形式的模块比例不少于80%。</w:t>
            </w:r>
          </w:p>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2、模块设计，方便流程再造。</w:t>
            </w:r>
          </w:p>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3、参数化设计，方便个性化设置。</w:t>
            </w:r>
          </w:p>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*4、多引擎集群，单引擎宕机用户无感知、平台无影响（需提供第三方用户在用证明）。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语言支持</w:t>
            </w: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*主要主体业务管理模块界面支持双语显示。（需提供相应界面截图作为佐证，并提供系统备查）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系统管理结构</w:t>
            </w: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架构能满足科室流程变更及个性化改造。可以实现多医疗机构、多院区、多检验科室分层管理及检验科室-院区-实验室-分组-仪器分级模式；可以实现检验申请项目多院区、多检验科室分别定义属性，实现检验申请、电子标签生成、标本采集、标本流转、预计报告时间等的精准管理及床旁检验管理。（需提供相应的界面截图以及架构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条形码模式</w:t>
            </w: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1、能可以实现现打条形码、预制条形码以及部分现打部分预制条形码等多种模式；可以实现非标容器条形码标签应用；条形码标签可以自行定义格式；可以实现区域检验编码。</w:t>
            </w:r>
          </w:p>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*2、支持RFID,并有实际应用案例。（需提供第三方用户证明）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数据库管理</w:t>
            </w: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独立的报告库、分析库，与生产库分离。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748" w:type="dxa"/>
            <w:vMerge w:val="restart"/>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Merge w:val="restart"/>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权限管理</w:t>
            </w:r>
          </w:p>
        </w:tc>
        <w:tc>
          <w:tcPr>
            <w:tcW w:w="7377" w:type="dxa"/>
            <w:vAlign w:val="center"/>
          </w:tcPr>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*1、具有岗位管理功能。（需提供相应的界面截图以及架构说明）</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2、可以自行定义权限；可以为每个操作从功能、时间、空间设置不同权限；权限可以分组分角色进行管理。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Merge w:val="continue"/>
            <w:vAlign w:val="center"/>
          </w:tcPr>
          <w:p>
            <w:pPr>
              <w:widowControl/>
              <w:jc w:val="center"/>
              <w:rPr>
                <w:rFonts w:ascii="仿宋" w:hAnsi="仿宋" w:eastAsia="仿宋" w:cs="仿宋"/>
                <w:color w:val="auto"/>
                <w:sz w:val="24"/>
                <w:szCs w:val="24"/>
                <w:highlight w:val="none"/>
              </w:rPr>
            </w:pPr>
          </w:p>
        </w:tc>
        <w:tc>
          <w:tcPr>
            <w:tcW w:w="7377" w:type="dxa"/>
            <w:vAlign w:val="center"/>
          </w:tcPr>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3、自动记录我们使用记录；自动屏幕保护功能；定期密码更新；系统登录二次加密；可以实现数字认证。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痕迹管理</w:t>
            </w: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可以实现主要操作记录；数据修改痕迹记录；数据浏览、打印等应用记录；数据引用记录；电子签名及电子印章。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应急预案</w:t>
            </w: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服务器或网络故障能及时切换到单机操作，在故障恢复后数据自动上传到服务器。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历史数据迁移</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完成旧LIS系统中的历史数据迁移到新系统，并对报告单进行固化。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Align w:val="center"/>
          </w:tcPr>
          <w:p>
            <w:pPr>
              <w:pStyle w:val="52"/>
              <w:numPr>
                <w:ilvl w:val="0"/>
                <w:numId w:val="76"/>
              </w:numPr>
              <w:ind w:firstLineChars="0"/>
              <w:jc w:val="center"/>
              <w:rPr>
                <w:rFonts w:ascii="仿宋" w:hAnsi="仿宋" w:eastAsia="仿宋" w:cs="仿宋"/>
                <w:color w:val="auto"/>
                <w:sz w:val="24"/>
                <w:highlight w:val="none"/>
              </w:rPr>
            </w:pPr>
          </w:p>
        </w:tc>
        <w:tc>
          <w:tcPr>
            <w:tcW w:w="1935"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数据验证</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*具备系统上线前验证以及定期验证管理功能。（需提供完整的数据验证方案以及相应的管理界面截图）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0" w:type="dxa"/>
            <w:gridSpan w:val="3"/>
            <w:vAlign w:val="center"/>
          </w:tcPr>
          <w:p>
            <w:pPr>
              <w:pStyle w:val="52"/>
              <w:numPr>
                <w:ilvl w:val="0"/>
                <w:numId w:val="75"/>
              </w:numPr>
              <w:ind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主体业务部分具体技术要求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统一登录</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实现对实验室内部模块统一管理。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具备模块授权使用。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支持实验室内部即时消息发布和信息通讯。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支持实验室警示信息提醒。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支持实验室事务项提醒。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系统数据管理</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支持多院区、多检验科室分层管理。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支持院区-检验科室-实验室-分组-仪器分级模式。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支持检验科室-院区-实验室-分组-仪器分级模式。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支持检验申请项目多院区、多检验科室分别定义属性，实现检验申请、电子标签生成、标本采集、标本流转、预计报告时间等的精准管理。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多院区、多科室之间相对独立单通过授权实现授权信息共享。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数据管理是智慧实验室运行参数的控制中枢。共分医疗机构级、科室级、分组级三个组织层级以及知识库级一个应用层级。管理的数据涉及如医疗机构、院区、检验科室、专业组、检验分组、质控管理组、质控管理单元、设备管理组、设备管理单元、仪器通讯单元、标本存储单元、采集单元、接收单元等一系列管理组织代码；如科别、病区、护理单元、送检机构、临床诊断、民族、患者年龄、患者性别、医生、护士、护工等一系列检验申请、采集、流转属性字典；如模块注册、仪器注册、系统用户、用户角色等一系列授权；如标本种类分类、标本种类、标本容器类型、试管颜色、抗凝剂种类、稳定剂种类、标本采存等一系列标本与容器相关代码；依附于分析项目的如项目分类（疾病）、项目分类（专业）、项目代码、项目名称、单位、参考区间、分析区间、危急值范围、仪器通道对应等属性；依附于诊疗项目的如诊疗项目、诊疗项目组套、收费项目对应、分析项目对应、检验申请相关、条形码生成相关、采存相关、流转相关、接收与分配相关、报告相关、获取报告相关、报告TAT相关等一系列属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条形码标签管理</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支持对条形码序号、标签数量、开展院区、开展就诊类别、开展临床科室、开展标本种类、合并标记、自动编号规则等属性设置实现与条形码相关内容管理。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支持对包含项目数、最高死腔量、最低分析量、采集部位、标本采集要求等属性设置实现标本采集要求相关内容管理。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支持对标本送检地点、开展的检验时间、送检TAT预警时间等实现送检及相关内容管理。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支持对标本容器费代码、标本采集费代码、检验工作量、收费单价、折扣实现费用及相关内容管理。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临床报告浏览器</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提供第三方调用的报告浏览器。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提供专业的对检验报告、数据进行浏览、阅读、打印、分析的工具。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含盖所有种类的检验报告，包括：常规检验报告、微生物检验报告、图像检验报告。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具有报告分密级管理功能。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提供报告单打印功能。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提供报告单归档打印功能。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提供检验结果、报告单的浏览、阅读功能。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提供检验结果的分析功能。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提供检验项目直接链接到相关知识库功能。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检验护士站</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第三方调用的完整界面。涵盖条形码生成、打印、采集确认，标本归集、打包、送出，退回不合格标本处理，危急值处理，床旁结果录入，检验报告浏览等一系列管理。适应现打条形码、预制条形码两种应用模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智能化控制要求：</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申请自动拆分和合并成标本。</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标本类型错误的有效控制。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标本容器错误的有效控制。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采集时间要求的有效控制。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标本采集量的自动计算。</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未执行标本的及时提醒。</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采血费的自动计算和收取。</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试管费的自动计算和收取。</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自动产生实验室内部编号。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具备检验知识库浏览功能；包括项目直接关联浏览与在线帮助型阅读浏览。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门诊标本采集</w:t>
            </w:r>
          </w:p>
        </w:tc>
        <w:tc>
          <w:tcPr>
            <w:tcW w:w="7377" w:type="dxa"/>
            <w:vAlign w:val="center"/>
          </w:tcPr>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1、通过接口获取门诊检验申请信息并生成条形码电子标签；并支持现打条形码和预制条形码多种形式。</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2、支持窗口扣费，通过接口调用支持移动支付。</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*3、支持界面标本容器类型形象展示和提醒，并支持标本采集顺序提示（需提供界面截图）。</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*4、支持患者特殊标识提示，如晕针、HIV阳性等（需提供界面截图）。</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5、支持未采集标签的提醒。</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6、支持多采集单元的部署和管理。</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7、可以自定义窗口采集包含的诊疗项目，对每个窗口采集种类进行个性化定义。</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8、准确记录采集时间、采集人信息。</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*9、支持采集场景的图像获取（需提供界面截图）。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支持对门诊标本采集时间范围、门诊标本采集地点、门诊采集排队叫号分类、门诊标本取报告时间、门诊标本取报告地点实现采集及相关管理。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设备集成：</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1、支持与自动化采血流水线的集成。</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2、支持与贴管机的集成。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智能化控制要求：</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1、申请自动拆分和合并成标本。</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2、标本类型错误的有效控制。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3、标本容器错误的有效控制。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4、采集时间要求的有效控制。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5、标本采集量的自动计算。</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6、未执行标本的及时提醒。</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7、采血费的自动计算和收取。</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8、试管费的自动计算和收取。</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9、自动产生实验室内部编号。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具备检验知识库浏览功能；包括项目直接关联浏览与在线帮助型阅读浏览。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支持窗口快速检验结果及报告的快速处理。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自助报告</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具有独立自助打印子系统，支持门诊自助打印报告，需支持各种打印机。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要求可通过病人ID号、身份证号或发票号等病人唯一号的扫入或手工录入，然后自动打印已经审核并且未打印过的报告。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提示该病人报告单是否已打印，如果病人发现已经打印过的报告丢失了可以提示到检验科前台补单。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可自定义自助打印界面信息内容显示。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自助打印系统可通过外接大屏幕显示，显示出已出结果报告的患者名单，并提醒其自助取结果报告。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可以实现与医院现有的各类自助取报告的设备系统接口互联。</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检验报告</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符合ISO15189相关要求：在任何地点、任何时间通过任何方式获取到一致的检验报告。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与生产库分开形成独立的报告库；报告签发后将签发的报告转换成数据和pdf、jpg归档文件放入报告库。</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报告的形式包括检验报告数据、格式化的报告单pdf文件、格式化的报告单jpg文件、汇总形式的报告pdf文件、汇总形式的报告jpg文件、报告结果二维条形码。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归档时根据报告数据多少自动拼接，并形成连续页码，支持报告撤销变更等操作并作标识。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对第三方系统检验报告提供归档服务。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报告的应用形式包括：阅读、打印、引用。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提供第三方调用的报告浏览器。</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1、提供专业的对检验报告、数据进行浏览、阅读、打印、分析的工具。</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2、含盖所有种类的检验报告，包括：常规检验报告、微生物检验报告、图像检验报告。</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3、具有报告分密级管理功能。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4、提供报告单打印功能。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5、提供报告单归档打印功能。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6、提供检验结果、报告单的浏览、阅读功能。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7、提供检验结果的分析功能。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8、提供检验项目直接链接到相关知识库功能。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提供第三方报告归档集成界面。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提供第三方结果引用的服务。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提供第三方报告引用的服务。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提供向第三方传送报告的服务。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提供向第三方传送结果的服务。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提供第三方结果引用、报告引用状态同步的服务。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提供与第三方系统对检验报告相关特殊情况的信息交互服务。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提供详细的结果、报告应用记录。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常规检验管理</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支持个性化设置：</w:t>
            </w:r>
          </w:p>
          <w:p>
            <w:pPr>
              <w:numPr>
                <w:ilvl w:val="0"/>
                <w:numId w:val="78"/>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对标本信息、结果信息、样本分类信息设置。</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2、对各种样本类别、状态的颜色识别进行自定义。</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3、对样本信息开始焦点自定义。</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4、对非每日开展项目进行定义。</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5、对每日仪器操作人员进行定义。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快速切换：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1、支持检验日期快速切换。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2、支持分组快速切换。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3、支持分组分号段管理。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4、支持自定义快捷按钮。</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5、支持自定义右键功能。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6、支持自定义样本分类快速筛选。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信息录入&amp;编号：</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1、支持从前处理工作站自动获取已编号样本信息及项目。</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2、支持手工编号并扫描标本条形码获取样本信息及本分组单元项目。3、支持特定授权下手工编号并根据患者ID获取患者信息，并手工录入样本信息及项目。</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4、支持特定授权下的样本信息全手工录入。</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5、支持扫描标本条形码信息并获取样本信息及项目，并依据自定义编号规则自动编号，支持同一样本编同组多号，支持非本组单元项目自动编号。</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6、支持批量提取任务单集中进行编号；</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7、支持窗口检验功能（血糖检验、儿童血常规、白带检验）。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分析结果接收及手工数据录入：</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1、支持数字结果、字符结果、图片图形结果、描述性结果。</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2、同时支持原始结果、检验定量结果、检验定性结果、报告结果。</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3、支持仪器分析数据自动接收，特定项目结果依据设定规则作自动转换。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4、支持图形数据接收、存储和展现。</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5、支持仪器报警信息接收、存储和展现。</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6、支持仪器样本报警信息接收、存储和展现。</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7、支持仪器项目报警信息接收、存储和展现。</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8、支持原始数据留存。</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9、支持糖耐量等组合项目自动合并。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10、支持指定项目接收数据功能。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11、支持跨天标本数据接收功能。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12、单个项目、组合项目、手工复查项目、批量标本等多种方式手工项目及结果录入，并可设定录入结果警示限，对结果有效性进行控制；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支持双盲录入。</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13、支持条目化结果解释录入。</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14、对数据来源有标识。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15、自动根据标本的基本信息，自动根据相匹配的项目参考值范围进行高低判断，用标记或颜色等手段进行不正常提示。</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16、根据参考值自动判断（参考值根据性别、标本种类和年龄不同而不同，年龄可以是岁、月、周、天、小时等形式；可以处理特殊生理指征的参考值）。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数据处理：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1、支持单样本、多样本整体删除并留痕。</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2、支持样本信息修改并留痕。</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3、支持单项目、多项目整体删除并留痕。</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4、支持单个、批量样本信息及结果信息复制或迁移，并留痕。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个体样本（警示）信息：</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1、能够显示单个样本的特殊阳性（如HIV阳性）标识。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2、能够显示单个样本的危急值标识。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3、能够显示单个样本的费用状态信息。</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4、能够显示单个样本的特别嘱托信息。</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5、能够显示单个样本的样本状态信息。</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6、能够显示样本的当前位置信息。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分组警示信息：</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1、能够显示分组质控失控警示信息，质控超时未做警示信息，移动均值超限警示信息。</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2、能够显示分组样本TAT超限预警及报警等警示信息。</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3、能够显示分组危急值预警、感知超时、报告超时预警、报告超时报警、接报超时报警信息。</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4、能够显示分组仪器警示信息。</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5、能够显示分组嘱托信息。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21"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数据分析及信息浏览：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*1、支持按样本、申请单、报告单对全生命周期所有信息进行浏览（时间轴形式展现）（需提供界面截图）。</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*2、支持双屏或带鱼屏双屏联动（需提供界面截图）。</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3、支持样本采集源图像浏览。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4、支持项目多批次检验结果回顾。</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5、支持单项目动态历史结果分析。</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6、支持分组项目均值、SD、百分位数等统计分析。</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7、支持同一标本其它样本分析结果浏览。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8、支持同一患者同批次检验标本分析结果浏览。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9、支持同一患者特定项目分析结果浏览。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10、支持信息集成实现360度临床信息浏览。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11、支持报告单应用记录浏览。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12、支持样本信息修改记录浏览。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13、支持通讯日志（测试事件、原始结果、位置信息等）浏览。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14、支持当日未完成标本浏览。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15、支持住院患者一览表。</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16、内嵌计算器。</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17、内嵌区域检验报告浏览器。</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18、内嵌检验知识库浏览器。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智能审核及自动审核：</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支持智能审核。包括：对一些有固定值的项目进行自动比较审核；对一些相关性的项目自动进行比较审核；将本次结果自动同最近一次结果进行比较，如果偏差较大，则自动进行报警，提示检验人员对此结果进行特别核查，并寻找其变化较大的原因；对标本进行漏项控制；结果有效性控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2、支持自动审核。</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3、支持自动审核分析（包括总体通过率、项目通过率、规则通过率）；</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4、支持自动审核快速启停。</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5、接收仪器中间体软件自动审核信息。</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6、支持报告审核与质控情况联动。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53"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审核及报告：</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1、支持检验审核、报告审核、报告发布；并可依据流程设定同步实现报告审核及报告发布，也可设定是否双审或特定项目、特定时间必须双审。</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2、支持样本锁定功能。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3、支持检验描述性报告。</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*4、支持结果解释性报告（需提供界面截图）。</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*5、支持分步报告（需提供界面截图）。</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*6、支持分级报告（需提供界面截图）。</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*7、支持进修生、实习生检验报告初审（需提供界面截图）。</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8、支持分级审核。</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9、支持报告批准。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10、支持同一患者多样本报告自动合并。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11、在完成报告审核后自动生成PDF报告进行固化。</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12、支持PDF报告预览及打印。</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13、支持电子签名。</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14、支持电子报告单水印。</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15、支持外送标本报告复审。</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16、支持报告单自动邮箱发送。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自动稀释及自动复查：</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1、与分析设备联动，对超预设项目分析限样本自动稀释。</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2、与分析设备联动，根据智能审核中的复查规则对样本自动复查，并记录每次复查结果，检验人员可以选择合适的项目分析结果。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1"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流程管理：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1、可以实现手工计费及二次补费。</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2、具备分组费用自动核对功能。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3、具备危急值全过程闭环管理。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4、内嵌不合格标本全过程闭环管理。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5、内嵌特殊样本登记管理。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6、内嵌传染病登记。</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7、具备报告召回全过程闭环管理。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8、检验状态调整登记管理。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9、支持转科处理。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10、支持标本收藏。</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11、支持外送标本及报告管理。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12、与流水线联动，实现标本在线存储管理。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13、支持实习生操作管理，并具备实习生关联带教老师功能。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14、支持与临床之间的双向沟通。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8"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查询及单据：</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1、可以自定义模板按照样本各种信息进行单项或组合进行样本查询，并可导出。</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2、可以自定义模板按照项目或项目组合进行项目查询，并可导出。</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3、支持传染病查询。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4、支持危急值查询。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5、支持不合格标本查询。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6、支持特殊情况查询。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7、支持报告延时查询。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8、支持复查标本查询。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9、支持收藏标本查询。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10、支持召回报告查询。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11、可自定义各种分组表单或统计报表如（每日工作列表、各种形式工作量报表、各种TAT统计报表）。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室内质控管理</w:t>
            </w: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质控种类：</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1、一般定量项目质控。</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2、定性---半定量质控。</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3、微生物质控。</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4、患者标本质控方法。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tcPr>
          <w:p>
            <w:pPr>
              <w:jc w:val="center"/>
              <w:rPr>
                <w:rFonts w:ascii="仿宋" w:hAnsi="仿宋" w:eastAsia="仿宋" w:cs="仿宋"/>
                <w:color w:val="auto"/>
                <w:sz w:val="24"/>
                <w:szCs w:val="24"/>
                <w:highlight w:val="none"/>
              </w:rPr>
            </w:pP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质控相关图形显示：</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*1、常用质控图形：L-J图、Z-分数图、优顿图、CV图、频率分布图、比对图（需提供所有图形界面截图）。</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*2、质控图显示内容丰富（频数分布、质控事件标记等）。（提供相应界面截图作为佐证，提供系统备查）</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*3、支持质控图鼠标拖放进行缩放操作。（提供相应界面截图作为佐证，提供系统备查）</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*4、支持项目质控情况缩略图形化显示。（提供相应界面截图作为佐证，提供系统备查）</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*5、支持单元当日质控执行情况图形化浏览。（提供相应界面截图作为佐证，提供系统备查）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tcPr>
          <w:p>
            <w:pPr>
              <w:jc w:val="center"/>
              <w:rPr>
                <w:rFonts w:ascii="仿宋" w:hAnsi="仿宋" w:eastAsia="仿宋" w:cs="仿宋"/>
                <w:color w:val="auto"/>
                <w:sz w:val="24"/>
                <w:szCs w:val="24"/>
                <w:highlight w:val="none"/>
              </w:rPr>
            </w:pPr>
          </w:p>
        </w:tc>
        <w:tc>
          <w:tcPr>
            <w:tcW w:w="7377" w:type="dxa"/>
          </w:tcPr>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*1、支持项目质量目标分析。（提供相应界面截图作为佐证，提供系统备查）</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*2、支持项目综合质量评估。（提供相应界面截图作为佐证，提供系统备查）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99"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tcPr>
          <w:p>
            <w:pPr>
              <w:jc w:val="center"/>
              <w:rPr>
                <w:rFonts w:ascii="仿宋" w:hAnsi="仿宋" w:eastAsia="仿宋" w:cs="仿宋"/>
                <w:color w:val="auto"/>
                <w:sz w:val="24"/>
                <w:szCs w:val="24"/>
                <w:highlight w:val="none"/>
              </w:rPr>
            </w:pP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管理功能：</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*1、支持区域、医共体、多院区、多科室、区域一体化质控管理。（需提供相应界面截图）</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2、支持质控单元化管理。</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3、支持仪器多计划管理。</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4、支持定量质控图像化处理。</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*5、支持质控平行试验流程化管理。（需提供相应界面截图）</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6、支持质控数据多种接收方式。</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7、支持质控品批次管理。</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8、支持试剂批次管理。</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9、支持校准品批次管理。</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*10、支持项目判断规则根据项目西格玛（δ）选择。（需提供相应界面截图）</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11、支持项目质控有效时间管理。</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12、支持质控项目注释功能。</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13、支持质控数据按仪器汇总归档。</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14、支持实验室项目可接受范围判断功能。</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15、支持质控结果审核功能。</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16、支持开机质控结果未做判断功能。</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17、支持质控项目多次测试仪器双向功能。</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18、支持项目失控重做仪器双向功能。</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19、支持质控数据自定义统计。</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20、支持质控事件分类、分级别提示。</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21、支持质控数据上报功能。</w:t>
            </w:r>
          </w:p>
          <w:p>
            <w:pPr>
              <w:pStyle w:val="52"/>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22、支持项目相同仪器质控同时分析浏览。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tcPr>
          <w:p>
            <w:pPr>
              <w:jc w:val="center"/>
              <w:rPr>
                <w:rFonts w:ascii="仿宋" w:hAnsi="仿宋" w:eastAsia="仿宋" w:cs="仿宋"/>
                <w:color w:val="auto"/>
                <w:sz w:val="24"/>
                <w:szCs w:val="24"/>
                <w:highlight w:val="none"/>
              </w:rPr>
            </w:pP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常用质控报表：每月室内质控数据统计报表；失控报告单；每月质控报表；每月项目质控数据汇总表；每月项目质控数据控制图；每月上报质量控制图表。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1"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tcPr>
          <w:p>
            <w:pPr>
              <w:jc w:val="center"/>
              <w:rPr>
                <w:rFonts w:ascii="仿宋" w:hAnsi="仿宋" w:eastAsia="仿宋" w:cs="仿宋"/>
                <w:color w:val="auto"/>
                <w:sz w:val="24"/>
                <w:szCs w:val="24"/>
                <w:highlight w:val="none"/>
              </w:rPr>
            </w:pPr>
          </w:p>
        </w:tc>
        <w:tc>
          <w:tcPr>
            <w:tcW w:w="7377" w:type="dxa"/>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具体的质控方法：</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1、常用质控规则包括：12S，12.5S，13S，13.5S，14S，22S，R4S 31S，41S， (2of3)2S， (3of6)2S 7T，7X，8X，9X，10X，12X。</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2、计算控制限规则：10.05，10.01，20.05，20.01，20.002，X0.05，X0.01，R0.01，R0.02。</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3、累计和规则：CS(1.0S:2.7S)，CS(1.0S:3.0S，CS(0.5S:5.1S)。</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4、自定义质控规则。</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5、极差规则。</w:t>
            </w:r>
          </w:p>
          <w:p>
            <w:pPr>
              <w:pStyle w:val="52"/>
              <w:widowControl/>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6、质控规则组合：</w:t>
            </w:r>
          </w:p>
          <w:p>
            <w:pPr>
              <w:widowControl/>
              <w:ind w:firstLine="42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N=1: 12S/41S</w:t>
            </w:r>
          </w:p>
          <w:p>
            <w:pPr>
              <w:widowControl/>
              <w:ind w:firstLine="42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N=2: 13S/22S/R4S/41S/10X(Westgard)</w:t>
            </w:r>
          </w:p>
          <w:p>
            <w:pPr>
              <w:widowControl/>
              <w:ind w:firstLine="42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N=3: 13S/(2 of 3)2S/R4S/9X或12X</w:t>
            </w:r>
          </w:p>
          <w:p>
            <w:pPr>
              <w:widowControl/>
              <w:ind w:firstLine="42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N=4: 13S/22S/R4S/41S/8X或12X</w:t>
            </w:r>
          </w:p>
          <w:p>
            <w:pPr>
              <w:widowControl/>
              <w:ind w:firstLine="42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N=6: 13S/22S/R0.05/41S/12X</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…………自定义质控组合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护工工作站</w:t>
            </w: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支持护工移动终端、护工工作站两种模式进行标本收集、标本送达等环节的管理。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支持根据诊疗项目的流转属性定义，控制标本的流向。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支持与标本运送箱集成进行冷链数据采集。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前处理工作站</w:t>
            </w: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支持接收单元管理机制，实现了多院区、多检验科室复杂条件下的部署和管理。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通过扫描标本条形码完成对样本的核收，对部分不完全合格标本进行让步接收并作登记，并完成对标本检验费用的确认；对完全不合格标本进行拒收，并依据国家相关标准作不合格标本登记。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通过外接高拍仪等设备采集或从前处理设备读取不合格标本快照，提高可溯源性。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对不合格标本作退回处理时，可与临床进行消息互动，形成从退回-临床确认-取消执行或重新采集电子化闭环管理。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依据诊疗项目的相关属性对流转地错误、接收地错误、不合格标本、重复标本、漏检标本进行有效控制，并依据诊疗项目的TAT时间控制属性对标本送检超时进行预警和报警。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备智能分配功能，依据诊疗项目的实验室检验相关属性，自动对标本进行分类、分样和编号，自动将检验申请生成任务单，并根据任务分配机制，自动生成检验单，如需物理分样则自动生成分样标签，对于检验过程中存在手工记录数据的标本自动生成相应的跟单，有效提高工作效率，有效减少统一样本多处检验错检、漏检等情况的发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对于非当日开展项目的标本，自动转入实验室标本管理单元；对于外送标本，自动转入外送标本管理单元。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能够与前序自动化传输设备衔接，后续自动化分拣设备或前处理、流水线进行深度多设备、多层级集成，形成完整的实验室分析前自动化。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0" w:type="dxa"/>
            <w:gridSpan w:val="3"/>
            <w:vAlign w:val="center"/>
          </w:tcPr>
          <w:p>
            <w:pPr>
              <w:pStyle w:val="52"/>
              <w:numPr>
                <w:ilvl w:val="0"/>
                <w:numId w:val="75"/>
              </w:numPr>
              <w:ind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智能检验部分技术要求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实验室数据分析工具</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对临床实验室基础业务系统数据进行初步清洗后进行综合分析统计的专业性数据分析系统。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数据清洗：</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提供一系列的数据清洗工具或服务，对基础业务数据进行清洗，并独立数据库进行存储。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数据分析类型：</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包含汇总分析、阶梯分析、频布分布分析、环比分析、同比分析、比对分析、自我学习分析。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分析结果输出类型：</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包含一二级汇总表、通用图表、雷达图、仪表盘等。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制定分析方案：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对分析方案进行分类管理，用户自定义分析方案分类，常用的分析分类包括：TAT相关、危急值相关、不合格标本相关、工作量相关、费用相关、工作量相关、标本相关、分析项目相关、报告相关、项目分析相关、质控相关、物资相关、设备相关、人事相关、ISO15189相关、传染病相关、院感相关等。</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2、分析口径包括：申请项目单元、分析项目单元、分析单元、送检部门单元、医疗机构单元、标本类型单元、患者类型单元、检验科室单元、实验室单元、分组单元、设备单元等。</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3、方案参数设定好之后可以进行方案保存，便于后期分析应用。</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4、方案设置时可以指定为自动归档属性，并设定自动归档时间节点，系统在每个时间节点将自动形成待归档报表。</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5、方案设置时可以添加关注，系统将在我的关注中显示本人关注的所有分析方案，便于日常使用。</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6、方案设置时可以标注某个指标为汇总报表指标，并定义指标周期属性（时、日、周、月、季、年），便于汇总报表设计时指标选择。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自动形成待归档报表和报表归档：</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在后台通过各种应用服务，在预先设定的时间节点自动根据分析方案生成待归档报表，工作人员可以方便地对待归档报表进行浏览、审核并作归档，从而避免工作遗漏；归档报表可以自动归入实验室文档管理体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归档报表浏览及查询：</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对已归档的报表进行浏览、查询、打印、导出等工作。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汇总报表设计：</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从各个方案中选择汇总指标进行汇总统计和分析。可以设定汇总周期和时间节点。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自动形成待归档总报报表：</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在后台通过各种应用服务，在预先设定的时间节点自动根据汇总报表方案生成待归档报表，工作人员可以方便地对待归档报表进行浏览、审核并作归档，从而避免工作遗漏；归档报表可以自动归入实验室文档管理体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 w:hRule="atLeast"/>
          <w:jc w:val="center"/>
        </w:trPr>
        <w:tc>
          <w:tcPr>
            <w:tcW w:w="748" w:type="dxa"/>
            <w:vMerge w:val="restart"/>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restart"/>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检验专业质量指标管理</w:t>
            </w: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满足2015年3月31日国家卫计委颁布了临床检验专业15项质量指标管理。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748" w:type="dxa"/>
            <w:vMerge w:val="continue"/>
            <w:vAlign w:val="center"/>
          </w:tcPr>
          <w:p>
            <w:pPr>
              <w:pStyle w:val="52"/>
              <w:numPr>
                <w:ilvl w:val="0"/>
                <w:numId w:val="77"/>
              </w:numPr>
              <w:ind w:firstLineChars="0"/>
              <w:jc w:val="center"/>
              <w:rPr>
                <w:rFonts w:ascii="仿宋" w:hAnsi="仿宋" w:eastAsia="仿宋" w:cs="仿宋"/>
                <w:color w:val="auto"/>
                <w:sz w:val="24"/>
                <w:highlight w:val="none"/>
              </w:rPr>
            </w:pPr>
          </w:p>
        </w:tc>
        <w:tc>
          <w:tcPr>
            <w:tcW w:w="1935" w:type="dxa"/>
            <w:vMerge w:val="continue"/>
            <w:vAlign w:val="center"/>
          </w:tcPr>
          <w:p>
            <w:pPr>
              <w:jc w:val="center"/>
              <w:rPr>
                <w:rFonts w:ascii="仿宋" w:hAnsi="仿宋" w:eastAsia="仿宋" w:cs="仿宋"/>
                <w:color w:val="auto"/>
                <w:sz w:val="24"/>
                <w:szCs w:val="24"/>
                <w:highlight w:val="none"/>
              </w:rPr>
            </w:pPr>
          </w:p>
        </w:tc>
        <w:tc>
          <w:tcPr>
            <w:tcW w:w="737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过LIS主体业务管理中的不合格标本登记、标本流转TAT管理、检验报告管理、危急值管理等实验室辅助管理模块的优化和深度应用，实现对检验前、中、后质量的全面管理，通过数据清洗形成分析基础数据。并运用强大的智慧数据分析工具设计相应的分析实例实现对不合格标本指标、标本检验前周转TAT指标、检验标本实验室内周转时间TAT指标、检验报告指标、危急值指标、室内质控室间质评指标，并根据国家、各省格式要求，遴选各类分析中的具体指标定期自动形成要求格式汇总报表，最终实现临床检验专业检验质量指标键上报。</w:t>
            </w:r>
          </w:p>
        </w:tc>
      </w:tr>
    </w:tbl>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adjustRightInd/>
        <w:spacing w:before="0" w:after="0" w:line="520" w:lineRule="exac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品目六：影像中心系统</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统一的接口标准搭建影像平台基础服务，实现对接放射、超声、内窥镜、病理、心电异构系统，将院内影像数据集中存储，实现以患者为核心的影像数据异构集成，最终实现院内医疗影像数据的统一存储、统一管理、统一调阅和互联互通。</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基础服务：</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1、技术要求：</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1.1、影像平台基于云架构建设，能够帮助医院实现基于网络的数据采集、数据归档与存储、数据共享和数据访问的影像服务，帮助医院更高效、更低成本地管理和利用影像数据。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1.2、支持检查数据、报告、影像采集后，全部写入分布式消息服务Kafka，利用kafka高吞吐、分区特性快速完成海量数据的采集。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*1.3、支持将MySQL作为平台医技检查数据的持久化方式，存储所有医技检查相关的结构化数据，包括患者检查信息、申请单信息、检查报告信息。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1.4、支持微服务架构，满足医疗影像数据采集、分布式部署和动态扩容需求，从资源用途、数据用途和接口用途角度，做微服务拆分，以更有效地实现分布式服务治理和安全管控。</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1.5、支持将海量的报告、影像文件都存储在对象存储服务中，通过对象存储分布式结点，提高影像存取性能，满足存储需求的弹性伸缩。</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1.6、系统支持海量检查数据存在HBase，基于Elasticsearch分布式全文搜索引擎，保证医技检查数据的搜索和分析能力。</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1.7、支持申请单数据、检查数据、报告文件、影像文件加密存储、解密读取。</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1.8、影像服务器管理系统支持服务器集群、双机容错工作模式、并行模式。</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2、患者主索引(MPI)：</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2.1、支持通过患者主索引服务提供患者检查数据的注册、更新，并支持依据多维属性对检查数据进行相似关联，为每一名患者建立专有检查资料库。</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2.2、支持使用姓名、性别、社保卡号、身份证号、联系电话等条件查询患者主索引，并可查看患者主索引详细信息。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2.3、支持与其他业务系统对接，通过检查信息（门诊号、体检号、住院号、就诊号等）进行患者主索引查询，使用关联的主索引ID查询到患者的所有检查。</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2.4、支持通过唯一的主索引号将多个医疗业务系统患者信息有效地关联在一起，以实现各个系统之间的互联互通，解决多系统中识别患者身份的问题。</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2.5、支持通过匹配规则发现已存在相同的患者的主索引并进行自动合并。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*2.6、支持对两条相似的患者主索引进行手动合并为一条患者主索引。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2.7、支持对已合并为一条主索引的多条患者信息进行手动拆分。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2.8、支持系统发现不同患者在同一条主索引下时可以进行自动拆分。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2.9、支持追溯主索引下的归档的患者信息来源。</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2.10、支持对不能完全匹配但相似度最高的两条主索引标记为潜在重复关系。</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2.11、支持通过对匹配规则进行分值配置，配置未匹配、潜在重复、完全匹配的分值区间（如：姓名+身份证+手机号=完全匹配100分，姓名+手机号=潜在重复40分）。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2.12、支持对匹配规则包含的字段设置分值（如：姓名=10分，身份证=100分）。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2.13、支持同时新增多条匹配规则，确保不同检查能关联到同一个患者。</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2.14、支持对匹配规则进行禁用、启用、删除的操作。</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2.15、支持记录所有的用户操作日志。</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3、用户注册与权限管理：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3.1、支持对医疗机构、检查科室、临床科室、临床医生基本信息的统一管理，面向基于影像平台建设的各应用系统提供统一的基础信息。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3.2、支持医疗机构管理中新增、修改、删除等操作，包含医疗机构名称、机构编码、医院等级、医院类别、机构地址、机构电话。</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3.3、支持科室管理中新增、修改、删除等操作，包含科室名称、科室分类、科室编码、科室电话、科室地址。</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3.4、支持用户管理中新增、修改、删除等操作，包含医生姓名、性别、工号、邮箱、手机号码等信息。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3.5、支持根据不同科室医生权限进行功能权限和数据权限划分，确保权限分配清晰。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3.6、支持用于构建注册服务的基础字典，包含医生专业、医生职务、人员类别、医生职称、医生学历、证件类别、性别、科室分类。</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4、数据采集、监管服务：</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4.1、采集内容：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4.1.1、支持从放射、超声、内窥镜、病理、心电的数据库中获取检查数据、申请单数据；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4.1.2、支持取不同的检查状态作为采集数据的状态，即支持从不同的检查状态开始采集数据。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4.1.3、支持主动从Oracle、SQL Server、Mysql中采集申请单数据、检查相关数据。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4.1.4、支持从本地磁盘、PACS（IFAP）、SFTP、FTP中获取报告文件、影像文件，报告支持jpg/pdf格式。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4.1.5、支持Webservice、Restful、MQ接口接收申请单数据、检查相关数据、报告文件，报告文件支持jpg/pdf格式；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4.1.6、支持Webservice、Restful、C-Store等方式接收数据；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4.1.7、支持定义标准影像采集视图，从第三方Webservice接口中获取视图信息，根据视图信息拼接影像存储路径进行影像文件采集。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*4.1.8、支持jpg/pdf格式的影像文件转成DICOM格式。；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4.1.9、支持Dicom拆帧、无损压缩。</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4.1.10、支持影像中患者个人信息按不同业务系统的需求选择性脱敏。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4.1.11、支持HTTPS通讯加密。</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4.2、采集监控：</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4.2.1、支持通过采集任务名、任务状态的查询条件检索采集任务。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4.2.2、支持设置采集任务，包含：采集时间、采集科室、各项采集触发条件、执行时间或其他参数。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4.2.3、支持手动设置采集任务的启用和停止。</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4.2.4、支持修改某项采集任务的采集时间，精确到秒。</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4.2.5、支持查看每个采集任务的异常数据，包括采集失败的数据和质量校验不通过的数据。</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4.3、状态校验：</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4.3.1、支持校验数据完整性，通过数据上传视图每条数据序列的影像量和对象存储的索引对比，查询检查数据是否完成数据上传。</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4.3.2、支持设置补采机制，数据上传视图每条数据序列的影像量和对象存储的索引如果不相等，在设定的时间范围内，进行补采集。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4.3.3、支持自动校验，采集或接收数据时自动对影像文件和报告文件的状态进行校验更新。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4.3.4、支持手动校验，针对上传失败的数据，支持后续手动校验，更新上传状态。</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4.3.5、支持接口状态更新，提供标准接口，传入医院编号、日期范围、检查ID、补采集类型（1、申请单、2检查数据、3报告文件、4影像文件）、指定校验对应数据。</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4.4、异常数据处理：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4.4.1、支持按检查系统（放射、超声、内窥镜、病理、心电）、采集任务等条件查询异常数据，包括采集失败、校验不通过的数据。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4.4.2、支持查看异常数据的错误原因、详细的错误数据。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4.4.3、支持查看质量校验未通过的数据对应的数据采集标准，方便核对。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4.4.4、支持主动补采集申请单、检查数据、报告文件、影像文件。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4.4.5、支持提供标准接口，传入日期范围、补采集类型（1、申请单、2检查数据、3报告文件、4影像文件），指定补采集对应数据。</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5、数据存储归档服务：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*5.1、支持存储报告文件、影像文件或其他非结构化文件到对象存储，并生成索引文件。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5.2、支持常见DICOM影像的存储，存储格式遵循DICOM3.0标准；支持DICOM结构化报告SR的存储。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5.3、支持对不同种类影像数据分别设定不同的压缩条件包括：不压缩、压缩，支持JPEG2000无损图像压缩技术DICOM3.0无损数据压缩算法。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5.4、支持申请单数据、检查数据入库到HBASE、MySQL。</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5.5、支持患者影像资料（放射、超声、内窥镜、病理、心电）的集中存储。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5.6、支持患者资料、检查信息、图文报告等信息的集中归档管理。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5.7、支持同步新配置的存储配置，进行数据迁移。</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5.8、支持对于多院区/多医疗机构，影像存储支持影像中心统一存储、各医疗机构单独存储本医疗机构影像两种方式。两种方式均可实现影像数据的统一共享。</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6、患者影像全息视图：</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*6.1、支持第三方平台集成方式、第三方带参数链接调阅的方式通过web页面查看影像和报告。（需提供生产厂家MedView临床视图系统软件相关著作权证书）。</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6.2、支持根据医院的需求，灵活配置视图开始采集的状态，如急诊可从已检查就开始采集。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6.3、支持放射、超声、内窥镜、病理、心电的检查报告无缝集成。</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6.4、支持安装患者影像全息视图插件，使用高级后处理专业阅片功能。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6.5、支持通过HIS、EMR接口，在医生工作站上直接打开当前病人报告及影像。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6.6、支持单个条件查询患者的检查报告，如：姓名、检查部位、检查类别、检查日期等；</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6.7、支持用户自定义多条件组合查询的检索方式，筛选出患者不同的检查类别，并在列表展示。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6.8、支持在患者列表提醒急诊、危急值的功能。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6.9、支持显示检查的危急值、急诊、阴阳性、影像质量、报告质量等质控指标。</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6.10、支持查看含测量值的报告时，会显示参考值，标记正常值和异常值。</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6.11、支持通过jpg、pdf格式展示原始报告，保持报告格式与PACS系统一致。</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6.12、支持根据患者的基本信息检索出历史检查记录，方便临床医生查看历次检查，可通过检查医院、检查日期进行排序。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6.13、支持查看检查的相关申请单。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6.14、支持文本形式显示患者信息、申请单内容、检查报告内容并可一键复制文本。</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6.15、支持使用普通web阅片或使用客户端专业阅片（高级后处理功能）。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6.16、支持web在线影像阅片功能，并对影像进行操作：包括缩放、移动、旋转（L90，R90）、左右镜像、上下翻转、反相、播放、调窗（预设值、实时调节）、布局、平面定位、序列查看、点测量、直线测量、mpr重建等阅片功能； </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6.17、支持影像高级后处理功能：三维容积重建（VR）；多平面、多曲面重建（MPR）；多斜位曲面重建（MMPR）；虚拟内窥镜（VE）；虚拟手术刀；三维去床功能；心脏提取；腹部血管提取；体绘制调窗；序列重建；三维测距。</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6.18、支持使用追加影像功能，实现多个检查影像图像整合，同屏显示进行对比。</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6.19、支持设置用户报告打印权限，根据检查类别设置报告可打印次数，同时控制未审核的报告不能打印，并打上水印进行提示。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6.20、支持设置临床医生只能查看已打印/排版的影像、或者全部的影像。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6.21、支持用户自定义检索条件，并保存个人使用习惯。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6.22、支持双屏用户设置双屏显示，影像可在第二个屏幕打开，方便医生使用。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6.23、支持记录用户的调阅、打印、登录等操作日志，对用户的使用行为可追溯。</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7、接口服务：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7.1、支持提供标准接口供第三方系统调阅影像平台检查数据和影像数据。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7.2、支持检查数据调阅接口方式包括Rest接口和Webservice接口，检查数据传输支持以XML和JSON两种方式。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7.3、支持影像和报告结构化数据以DICOM标准协议和Http方式调阅。</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7.4、支持对调阅方进行token令牌可信度授权和认证。</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7.5、支持根据调阅方不同权限，调取对应的检查和影像，包括调取单次检查数据、单患者所有检查数据、本科室检查数据、VIP患者检查数据。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7.6、支持根据使用途径调阅脱敏后的数据，包括患者关键信息脱敏、影像关键信息脱敏等。</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*7.7、需提供生产厂家前置统一网关或者前置统一接口系统相关著作权登记证书及软件产品证书作为佐证材料。</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adjustRightInd/>
        <w:spacing w:before="0" w:after="0" w:line="520" w:lineRule="exac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品目七：内镜中心系统</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1、服务器功能参数：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以统一的接口标准搭建影像数据平台，实现内窥镜影像数据的统一存储、统一管理、统一发布和统一调阅。</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1.1、总体要求：</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1.1.1、数据库服务器及应用服务器支持windows操作系统。</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1.1.2、数据库服务采用主流数据库管理系统。</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1.1.3、提供支持全面虚拟化部署，构建基于VMware的虚拟化平台，提供全院统一的计算资源分配调度池，同时充分利用VMware的HA，保障系统的高可用。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1.1.4、支持患者隐私保护，符合SSL加密技术，病人基本信息可以得到充分的保护，确保数据在传输途中的私密性。</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1.1.5、支持负载均衡功能：当数据请求到达PACS应用服务时，根据设定负载均衡算法的调度策略，合理地将每个请求快速分配到相应的服务器，释放单台服务器性能压力、保障服务的稳定性。</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1.1.6、支持服务器弹性扩容，提供更高性能的请求响应处理机制并消除单点故障带来的不良影响，使系统能够轻松应对业务发展带来的资源扩容需求。</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1.1.7、影像服务器管理系统支持服务器集群、双机容错工作模式、并行模式。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1.1.8、支持大任务量并发请求，支持医院日后进行新设备连接不需再升级PACS服务器软件。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1.1.9、支持数据库读写分离，能够线性的提升数据库的读取性能，消除读写冲突从而整体提升业务系统的读写性能，优化用户体验。</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1.1.10、具备客户端程序的自动更新功能，客户端定期自动检测服务器上的客户端升级包，自动升级。对更新包版本和客户端更新情况有统一的界面管理。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1.1.11、数据交互遵循IHE-C规范和HL7(Health Level Seven)标准，可以与符合IHE规范和HL7的系统直接对接。</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*1.1.12、支持配置多个外部系统接收HL7消息，有界面化工具管理消息接收、重发功能。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1.1.13、提供支持符合JPG、JPEG2000标准压缩，提供支持有损压缩（LOSSY）和无损压缩（LOSSLESS）两种常见格式。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1.1.14、支持SAN、NAS、对象多种常见存储架构，支持多重存储体系以及数据管理方式。</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1.2、影像数据归档服务：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1.2.1、所有设备影像可直接发送到服务器，不经过其他工作站中转，病人所有影像可以集中阅片；为了加快影像访问速度，支持前置机存储临时数据模式。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1.2.2、根据不同的检查设备，结合医疗业务场景，支持按照检查设备配置不同的影像归档优先级。</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*1.2.3、支持云存储模式，不同存储设备之间的数据根据设定的规则实现自动迁移和统一数据管理，长期归档存储设备要求提供无缝升级，升级时现有存储继续使用。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1.2.4、支持对不同种类影像数据分别设定不同的压缩条件包括：不压缩、压缩，支持JPEG2000无损图像压缩技术。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1.2.5、归档提供支持按照设备、检查类型分类定制方案。灵活配置影像分发、匹配规则、信息引用、压缩策略。</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1.2.6、为了确保系统的稳定性，支持多种数据备份方式，包括异地容灾备份、离线备份；同时支持数据还原、系统容灾安全恢复手段。</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2、临床WEB服务：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2.1、通过WEB服务，提供临床科室访问内镜系统的检查影像及报告。</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2.2、支持自动检索符合条件的影像科室检查信息，并负责上传到临床浏览系统。</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2.3、支持根据医院临床科室的需要，自主设定发布影像的条件；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2.4、支持使用手工和自动发布报告程序。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*2.5、支持基于Web的影像报告临床集中展示及调阅，报告及图像展示样式与检查科室一致，并可与医生工作站集成。</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2.6、根据患者基本信息以及就诊信息匹配患者的多次检查报告，方便临床医生查看历次检查报告。</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2.7、支持临床终端调阅影像和报告。</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*2.8、系统支持严格安全措施来保障登录进本系统的用户为合法授权者，并记录浏览报告和图像的访问日志。</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2.9、支持按照执行科室划分打印权限和次数控制，次数控制可按系统类型设置打印次数，支持图像导出。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*2.10、支持对临床医生的危急值展示。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2.11、支持查询条件查询病人的报告，如按姓名、检查部位、检查类别、申请医生、日期条件进行检索。</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2.12、支持对未正式发布的报告进行水印标记，如“未审核，仅供临床参考”、“未审核，请勿打印”。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2.13、支持检查参数测量值、测量单位、范围值展示。</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3、内镜检查管理系统：</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3.1、总体要求：</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3.1.1、支持膀胱镜，耳鼻喉镜，胆道镜，腹腔镜，输尿管镜，支气管镜，椎间盘镜，胃肠镜，宫腔镜，不同类型内镜之间根据检查科室区分能有不同的登记界面、报告界面、主界面，不同科室之间的业务数据不对其它科室开放。</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3.1.2、支持安全等保测评中对登录限制的要求：支持设置登录密码强度、定期更换密码、复用次数周期；支持两种或两种以上组合的鉴别技术对管理用户进行身份鉴别；支持对单个帐户的多重并发会话进行限制；具有登录失败处理功能，可采取结束会话、限制非法登录次数和自动退出等措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*3.1.3、支持断网后的离线工作模式，网络恢复后数据可以自动上传至在线服务端。</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3.2、登记分诊：</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可灵活设置用户的登记界面，登记项目分为病人姓名、姓名拼音、性别、年龄、检查项目、病人来源、检查方式、门诊号、住院号、申请科室、申请医生、床号、临床诊断、主诉、电话、优先级、检查费。可设置登记项目是否显示、所占列宽、记住上次值、能否为空、最大值、最少值、输入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3.2.2、支持通过条码、二维码、就诊卡及电子健康卡提取病人检查申请信息。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3.2.3、支持接收来自平台或HIS的电子申请单信息。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3.2.4、支持患者登记功能，产生患者排队队列。</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3.2.5、支持扫描申请单功能；可根据纸质申请单输入病人申请信息。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3.2.6、支持登记时自动判断复诊病人或复诊弹框提醒，确认复诊病人后，已经存在的记录作为当前病人的病人信息，支持复诊病人信息更新。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3.2.7、设置复诊病人档案信息显示列的内容及显示顺序：病人编号、病人姓名、性别、出生日期、国籍、民族、宗教信仰、身份证号、社保号、职业、地址、电话、创建日期、登记人、修改日期、HIS号、VIP号、病人主索引、病人号。</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3.2.8、患者预约：支持对就诊病人提前排队预约，以便于安排就诊注意事项。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3.2.9、预约登记后可取号，可设置排队小条格式，如排队号、检查项目、检查诊室位置、排队人数、时段、注意事项信息。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3.2.10、可手工将病人分配到不同检查队列；支持根据检查项目自动匹配检查队列。</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3.2.11、根据患者不同检查优先级类型显示不同的颜色，如急诊红色显示。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3.2.12、可查看各检查诊室的忙碌和空闲状态。</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3.2.13、可查看各检查队列的排队及暂停人数情况。</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3.2.14、支持按优先级呼叫就诊（急诊、预约、普通）。</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3.2.15、支持修改优先级。</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3.2.16、支持申请单信息提取，申请单登记状态回写，检查取消状态回写。</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3.2.17、打印预约单。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3.2.18、提供数据检索功能，可以通过多条件检索预约登记的病人信息。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3.2.19、支持查看当天各检查队列排队人数、暂停人数、合计人数。</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3.3、叫号显示：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3.3.1、支持以检查队列或检查诊室区分显示患者排队信息、已叫号信息、过号信息及正叫信息。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3.3.2、支持显示患者类型信息如急诊、预约，按照优先级叫号。</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3.3.3、支持语音叫号；可设置语音叫号的内容；可设置排队检查及取报告的呼叫的次数。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3.3.4、支持通过叫号显示屏呼叫当前选中病人家属。</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3.3.5、支持隐藏候诊列表病人信息敏感信息。</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3.4、病人列表：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3.4.1、支持根据患者信息、检查状态、检查医生、检查设备、检查日期等条件检索患者检查信息，多种检查条件可自由组合，检索结果可导出Excel。</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3.4.2、支持检索结果列表的字段和顺序由用户灵活设置，并保存用户习惯。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3.4.3、检索列表支持弹出菜单选择下一步操作，需包含以下功能：信息修改、图像采集、报告编辑、查看操作日志。</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3.4.4、检索结果数据可根据用户科室权限设置进行分级管理（不同科室的医生只可查看本科室检查数据）。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3.4.5、病历追踪：提供补充其它临床或医技科室检查的内容及结果，以进行长期追踪对比。</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3.4.6、病历导出：查找或统计出来的病历，可进行多种格式数据的导出存档。</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3.4.7、病历检索：提供对系统已有病例的精确查找或模糊查找并支持导出为EXCEL文件。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3.4.8、对应不同的检查状态可以设置不同的颜色显示，方便用户区分病人列表中不同检查状态的病人。</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3.5、医生叫号：</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3.5.1、支持设置不同的颜色来区别不同的候诊状态。</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3.5.2、支持按规则顺序呼叫、指定呼叫、重复呼叫、出本诊室重新排队（误叫/不满足检查条件）。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3.5.3、支持候诊列表按队列显示已呼叫人数、排队人数、暂停人数、过号人数、总人数。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3.5.4、呼叫下一个：从叫号列表对应队列待叫号列表中，叫下一位等待的病人进入诊室就诊。</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3.6、图像采集与处理：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3.6.1、支持内镜视频接口，包括VGA、DVI、SDI、RGB、S-VIDEO；支持动静态采集。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3.6.2、支持接收内窥镜逆行胰胆管造影(ERCP)X光设备的DICOM影像。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3.6.3、支持图像实时显示及采集窗口扩展到第二屏。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3.6.4、提供脚踏开关采集图像操作；支持键盘空格按键快速采集图像操作；支持将图像采集到缓冲区。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3.6.5、可对采集卡做各种裁剪模式设置，设置视频参数，设置边框。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3.6.6、支持动静态采集，采集图像数量不受限制。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3.6.7、支持修改图像显示顺序。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3.6.8、支持查看、导出选中影像、导出全部影像；支持将图像导出JPG格式。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3.6.9、支持从缓冲列表jpg、动态视频文件批量导入影像到当前病人列表。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3.6.10、检查图像采集、修改、删除操作的日志记录。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3.6.11、支持对动态文件进行时间轴裁剪，并从动态中采集静态图像，可对影像视频进行后处理，支持快速剪辑、合并、多个视频合并，不借助第三方软件。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3.6.12、动态图像播放与处理功能，如：向后/向前、停止/播放/暂停、单帧播放、采集单帧、播放速度选择操作。</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3.6.13、提供多种图像操作，如放大、缩小、标注、翻转、旋转、复位、角度测试、矩形测量、椭圆测量、多边形测量。</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3.7、报告编辑：</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3.7.1、支持用户根据用户组或用户组赋予的权限来加载和使用系统功能。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3.7.2、支持每个用户使用各自的用户ID和密码登录系统，访问系统中的数据，并记录相关操作日志。</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3.7.3、报告模板知识库，根据病人的检查项目显示已定义的典型模板知识库，使用常用术语分类描述方式、典型病历术语方式快速生成图文一体报告单。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3.7.4、报告模板，根据病人的检查项目加载不同的报告模板。</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*3.7.5、支持将检查设置为“典型病历”，分为科研、教学、检查三种，可供科研或教学使用；医生可以建立个人典型病例收藏夹。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3.7.6、支持医生收藏病历检查的调阅。</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3.7.7、报告界面可设置危急值，标识是危急病历。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3.7.8、具有开放的体位图库选择功能。可对各个部位的体位图进行选择，连同报告一起打印出。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3.7.9、支持当前病人历史检查的调阅,并能进行当前检查和历史检查的图像对比分析。</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3.7.10、报告留痕功能：在报告打印之后，任何对报告的修改都会保存修改记录；可查看修改历史。</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3.7.11、手术登记：提供对内镜科室手术记录追踪。</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3.7.12、危急值闭环管理；支持定义危急值关键字，根据关键字提示危急检查(基于对方提供对接接口)。</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3.7.13、支持将检查报告发送到自助打印机。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3.7.14、支持设置检查阴阳性，可供后期统计阳性率。</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3.7.15、支持报告中图像数的自定义，根据选择的图像数量智能排列图像。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3.7.16、具有自动匹配患者历史检查功能，并提示检查记录数量。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3.7.17、支持当前检查图像与当前病人历史图像的对比显示。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3.7.18、支持手术记录的编辑保存，记录手术名称、麻醉情况、用药信息、麻醉医生、手术协助护士，手术描述信息并可打印出来。</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3.7.19、支持对肠镜清洁质控的评分。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3.7.20、支持检查状态回传，检查报告回传给平台或HIS系统(基于对方提供对接接口)。</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3.8、病理送检及结果管理：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3.8.1、支持按活检部位瓶数打印病理活检条码。</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3.8.2、支持活检信息的选择及保存功能。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3.8.3、设置病理申请单和手术记录单的模板。</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3.8.4、可在病人病历追踪模块输入病理结果。</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3.8.5、自动提取病人的检查及诊断信息到病理申请单。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3.8.6、病理申请单打印。</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3.9、病历追踪：</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3.9.1、按检查日期、追踪时间、姓名、性别、追踪状态、检查医生、符合情况、病历标签等条件进行查询。</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3.9.2、对手术结果、病理结果、实验室结果、出院诊断、其他追踪等资料进行补充。</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3.10、数据统计模块：</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3.10.1、报表设计：按照实际需求设计自定义报表。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3.10.2、常用统计报表：系统自带常规统计报表，如：诊断医生工作量、临床医生申请单、检查项目分类、诊断结果分类、阳性率、费用分类。</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3.10.3、分类统计：分类统计的查询条件包括时间范围、检查部位、病人来源、检查科室、诊断医生、设备名称、费用，视具体统计项目而定。</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3.10.4、统计结果图表化显示：表格、对照表、趋势图多种方式显示统计结果，支持按需要自定义统计项目。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3.10.5、导出数据：数据列表页面下显示的统计数据都可导出，导出的格式为Excel文件。</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4、WEB叫号系统：</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4.1、支持基于Android系统和Windows系统的多种屏幕展示方式。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4.2、支持语音设置；包括叫号语音播放次数、报告语音播放次数、设置语音播放。</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4.3、支持设置呼叫规则和设置留号规则。</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4.4、支持以检查队列或检查诊室区分显示患者排队信息、已叫号信息、过号信息、正叫信息以及温馨提示信息。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4.5、支持显示患者类型信息如急诊、预约等，按照优先级叫号；支持重复呼叫。</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4.6、支持二级叫号，一级叫号应用在门诊候诊区，二级叫号应用在诊室候诊区；呼叫信息自定义设置，如叫一候二，正叫信息大屏幕弹框显示。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4.7、二级叫号显示支持医生头像、职称、简介、候诊病人等信息展示。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4.8、支持设置呼叫规则以及留号规则。</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4.9、支持语音设置；包括叫号语音播放次数、报告语音播放次数、设置语音播放。</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4.10、支持叫号屏图像化配置，自定义叫号屏背景，字体等内容。</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5、洗消追溯系统：</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5.1、整体产品要求：</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5.1.1、严格执行《WS 507---2016 软式内镜清洗消毒技术规范》。</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5.1.2、采用成熟的 RFID 射频技术，组建内镜中心物联网网络，形成全流程闭环追溯，RFID 芯片防水耐腐蚀，不易损坏，可长期复用。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5.1.3、系统结构灵活，支持独立服务器和共享服务器模式，服务器自动备份、客户端自动更新。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5.1.4、系统具有较强的可扩展性和兼容性，不受清洗槽及流程和自动清洗机数量的限制。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5.1.5、支持和医院 HIS、PACS 系统的高度融合，实现系统间的互联互通和数据共享。</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5.1.6、在第三方清洗机厂家开放接口的前提下，实现自动采集设备数据及监控设备运行。</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5.1.7、各清洗流程，系统自动监控、智能感知、自动记录、无需人为操作。</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5.1.8、对所有的操作进行追踪、记录、分类、统计，并在一个工作平台进行展示。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5.1.9、采用专用语音提示装置，所有流程操作语音提示，异常操作自动给予预警，全程辅助操作人员进行高效作业，提供人性化的人机交互方式。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*5.1.10、三重预警，防范感染风险：阳性病人使用预警、未达到规定清洗时间拿出预警、使用前消毒不合格内镜预警。</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*5.1.11、可监测消毒液名称、消毒液使用次数，监测次数，消毒液浓度、操作时间、操作人员等与消毒液有关的信息。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5.1.12、可对内镜中心使用的耗材出入库管理、材料盘点、库存查询等功能。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5.1.13、可对内镜的终身进行登记管理，记录内镜的购入，维修，维修故障信息，维修操作信息等，给科室管理带来方便。</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5.1.14、提供链式关联追溯；内镜使用病人可通过该链向上对使用此内镜的病人进行追溯。</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5.2、消毒液监测：</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5.2.1、消毒液监测：消毒液更换、监测结果登记。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5.2.2、监测记录：消毒液监测记录统计。</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5.3、洗消工作台管理：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5.3.1、工作流程：包括测漏、清洗、漂洗、浸泡、末洗、干燥等环节、并支持流程名称自定义。</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5.3.2、二次洗消：支持内镜二次洗消记录，支持设定超过规定存放时间自动进行二次洗消提醒。</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5.3.3、洗消预警/特殊清洗：系统自动识别或维护阳性病人、肿瘤活检后及 HIV 检查呈阳性的病人使用内镜，系统自动切换到特殊清洗作业模式，且语音实时提醒清洗作业人员注意严格操作。</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5.3.4、流程配置：系统可根据不同类型内镜，不同洗消流程提供可配置工作流程。</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5.3.5、消息提醒：支持设定消毒液使用时长提醒和过期报警功能，在工作台界面进行自动提醒支持。</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5.3.6、动态显示：提供可视化的流程状态实时显示，标准化的流程操作提示。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5.3.7、异常登记：系统支持各个环节异常操作系统实时记录，支持手动进行流程环节异常情况登记。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5.3.8、完结洗消：支持根据国家规范每天最后使用的内镜进行完结清洗，并进行语言提示。</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5.4、内镜存储：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5.4.1、入库：内镜存储入库信息记录。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5.4.2、出库：内镜存储出库信息记录。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5.4.3、库存统计：存储记录统计。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5.4.4、工作量统计：各流程环节详细工作量统计、质量分析、效率分析数据，支持按条件组合查询。</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5.4.5、特殊清洗统计：特殊洗消记录、二次洗消记录统计查询；</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5.4.6、使用统计：病人使用检查详细记录查询。</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5.4.7、异常统计：清洗异常数据统计。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5.4.8、日常单据打印：按医院要求，个性化定制日常流程单据表格及打印格式。</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5.5、追溯管理：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5.5.1、使用追溯查询：支持病人使用的内镜使用前和使用后的内镜洗消过程明细查询。</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5.5.2、宏观追溯：可对内镜历次循环信息进行前后关联，显示每个循环过程内镜的消毒和使用信息。</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5.5.3、感染追溯：支持对洗消流程进行追溯，找出与感染最可疑的流程点，进行优化。</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5.5.4、病人追溯：可追溯患者在院内使用过的历次内镜信息、使用时间、检查医生及相关清洗消毒信息。</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5.5.5、人员追溯：支持操作人员所有洗消记录，洗消结果、异常情况详细追溯。</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5.5.6、设备追溯：支持追溯清洗工作站、全自动清洗机设备使用次数、历次使用设备详细运行参数等信息。</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5.6、使用模块：</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5.6.1、系统对接：系统支持PACS系统进行对接获取患者信息。</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5.6.2、关联病人：系统提供病人信息录入、关联内镜实现内镜信息与病人信息的关联。</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5.6.3、阳性结果标注：阳性病人，使用端可以进行记录并保存。</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5.6.4、内镜清洗明细：使用端可直接查看内镜在清洗环节各个流程的清洗记录及清洗结果是否合格。</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5.7、耗材管理：</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5.7.1、基础信息：支持耗材名称、种类、规格、有效期、供应商维护管理。</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5.7.2、入库：支持耗材入库登记及入库记录查询。</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5.7.3、出库：支持耗材出库登记及出库记录查询。</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5.7.4、盘点：支持耗材库存盘点及盘点记录查询。</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5.7.5、库存查询：支持指定物资库存查询。</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5.7.6、维修登记：支持维修设备、故障报修登记；维修记录登记。</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5.7.7、维修记录：支持设备维修记录统计。</w:t>
      </w:r>
    </w:p>
    <w:p>
      <w:pPr>
        <w:spacing w:line="52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5.8、系统设置：</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5.8.1、用户及权限：系统预置多种用户角色权限，支持精细化模块权限管理，支持自定义角色功能，可由用户自行定义角色，并且分配自定义角色的明细权限。</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5.8.2、内镜管理：支持内镜名称、内镜种类、内镜型号、内镜编号维护管理，并支持内镜清洗流程配置。</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5.8.3、镜柜管理：支持镜柜名称、房间号维护管理。</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5.8.4、系统设置：系统基数数据管理，知识库管理，操作日志等后台操作模块管理。</w:t>
      </w:r>
    </w:p>
    <w:p>
      <w:pPr>
        <w:spacing w:line="520" w:lineRule="exact"/>
        <w:ind w:firstLine="560" w:firstLineChars="200"/>
        <w:rPr>
          <w:rFonts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5.8.5、流程配置：支持不同使用病人，不同类型内镜洗消流程自定义化配置。</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spacing w:line="24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品目八：智能移动电子签名平台</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tbl>
      <w:tblPr>
        <w:tblStyle w:val="28"/>
        <w:tblpPr w:leftFromText="180" w:rightFromText="180" w:vertAnchor="text" w:horzAnchor="margin" w:tblpY="171"/>
        <w:tblOverlap w:val="never"/>
        <w:tblW w:w="9444" w:type="dxa"/>
        <w:tblInd w:w="0" w:type="dxa"/>
        <w:tblLayout w:type="fixed"/>
        <w:tblCellMar>
          <w:top w:w="0" w:type="dxa"/>
          <w:left w:w="108" w:type="dxa"/>
          <w:bottom w:w="0" w:type="dxa"/>
          <w:right w:w="108" w:type="dxa"/>
        </w:tblCellMar>
      </w:tblPr>
      <w:tblGrid>
        <w:gridCol w:w="760"/>
        <w:gridCol w:w="2213"/>
        <w:gridCol w:w="6471"/>
      </w:tblGrid>
      <w:tr>
        <w:tblPrEx>
          <w:tblCellMar>
            <w:top w:w="0" w:type="dxa"/>
            <w:left w:w="108" w:type="dxa"/>
            <w:bottom w:w="0" w:type="dxa"/>
            <w:right w:w="108" w:type="dxa"/>
          </w:tblCellMar>
        </w:tblPrEx>
        <w:trPr>
          <w:trHeight w:val="27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序号</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名称</w:t>
            </w:r>
          </w:p>
        </w:tc>
        <w:tc>
          <w:tcPr>
            <w:tcW w:w="6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参数</w:t>
            </w:r>
          </w:p>
        </w:tc>
      </w:tr>
      <w:tr>
        <w:trPr>
          <w:trHeight w:val="79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患者签名服务系统</w:t>
            </w:r>
          </w:p>
        </w:tc>
        <w:tc>
          <w:tcPr>
            <w:tcW w:w="6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一套提供针对部署在院内的患者电子签名提供用户身份凭证授权、数据加密解密处理等服务。</w:t>
            </w:r>
          </w:p>
        </w:tc>
      </w:tr>
      <w:tr>
        <w:tblPrEx>
          <w:tblCellMar>
            <w:top w:w="0" w:type="dxa"/>
            <w:left w:w="108" w:type="dxa"/>
            <w:bottom w:w="0" w:type="dxa"/>
            <w:right w:w="108" w:type="dxa"/>
          </w:tblCellMar>
        </w:tblPrEx>
        <w:trPr>
          <w:trHeight w:val="79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签署服务（患者端）</w:t>
            </w:r>
          </w:p>
        </w:tc>
        <w:tc>
          <w:tcPr>
            <w:tcW w:w="6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包含第三方CA机构签发事件证书、患者移动电子签名服务，平板维护服务，区块链存证服务，电子取证服务等。</w:t>
            </w:r>
          </w:p>
        </w:tc>
      </w:tr>
      <w:tr>
        <w:trPr>
          <w:trHeight w:val="79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ind w:left="0" w:firstLine="0"/>
              <w:jc w:val="center"/>
              <w:rPr>
                <w:rFonts w:ascii="仿宋" w:hAnsi="仿宋" w:eastAsia="仿宋" w:cs="仿宋"/>
                <w:color w:val="auto"/>
                <w:kern w:val="0"/>
                <w:szCs w:val="24"/>
                <w:highlight w:val="none"/>
                <w:lang w:bidi="ar"/>
              </w:rPr>
            </w:pPr>
            <w:r>
              <w:rPr>
                <w:rFonts w:hint="eastAsia" w:ascii="仿宋" w:hAnsi="仿宋" w:eastAsia="仿宋" w:cs="仿宋"/>
                <w:color w:val="auto"/>
                <w:szCs w:val="24"/>
                <w:highlight w:val="none"/>
                <w:lang w:bidi="ar"/>
              </w:rPr>
              <w:t>患者签名手写板（采购数量25台）</w:t>
            </w:r>
          </w:p>
        </w:tc>
        <w:tc>
          <w:tcPr>
            <w:tcW w:w="6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1、智能平板电脑设备，Android操作系统，支持压感笔触签字、指纹采集等功能、文件浏览、电子签名等功能。</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2、内存：4+64G，存储扩展：最高支持128GB的SD/TF卡扩展，支持3G、4G、WIFI，显示屏:≥10.1英寸 800*1280 分辨率高清IPS，触摸屏:10点触摸，G+G触摸屏。</w:t>
            </w:r>
          </w:p>
        </w:tc>
      </w:tr>
      <w:tr>
        <w:tblPrEx>
          <w:tblCellMar>
            <w:top w:w="0" w:type="dxa"/>
            <w:left w:w="108" w:type="dxa"/>
            <w:bottom w:w="0" w:type="dxa"/>
            <w:right w:w="108" w:type="dxa"/>
          </w:tblCellMar>
        </w:tblPrEx>
        <w:trPr>
          <w:trHeight w:val="79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lang w:bidi="ar"/>
              </w:rPr>
              <w:t>数字签名验证服务对接</w:t>
            </w:r>
          </w:p>
        </w:tc>
        <w:tc>
          <w:tcPr>
            <w:tcW w:w="6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4"/>
                <w:szCs w:val="24"/>
                <w:highlight w:val="none"/>
                <w:lang w:bidi="ar"/>
              </w:rPr>
            </w:pPr>
            <w:r>
              <w:rPr>
                <w:rFonts w:hint="eastAsia" w:ascii="仿宋" w:hAnsi="仿宋" w:eastAsia="仿宋" w:cs="仿宋"/>
                <w:color w:val="auto"/>
                <w:sz w:val="24"/>
                <w:szCs w:val="24"/>
                <w:highlight w:val="none"/>
                <w:lang w:bidi="ar"/>
              </w:rPr>
              <w:t>要求可以利旧对接医院现有数字签名验证服务。</w:t>
            </w:r>
          </w:p>
        </w:tc>
      </w:tr>
      <w:tr>
        <w:trPr>
          <w:trHeight w:val="79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时间戳服务对接</w:t>
            </w:r>
          </w:p>
        </w:tc>
        <w:tc>
          <w:tcPr>
            <w:tcW w:w="6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能够利旧对接现有时间戳服务器，通过内置国家授时中心时间源获取权威时间源，向各医疗信息系统提供权威可信时间戳服务。</w:t>
            </w:r>
          </w:p>
        </w:tc>
      </w:tr>
    </w:tbl>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spacing w:before="0" w:after="0" w:line="52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品目九：移动查房系统</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1、用户管理：</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1.1、用户登录：输入院内帐号和密码和验证信息进行登录。</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1.2、多用户登录：支持保留多个登录用户信息。 </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1.3、退出系统：退出到登录页面。</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2、患者详情：</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2.1、提供患者的基本信息浏览，包括：床号、住院号、姓名、性别、年龄、病人费别。</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2.2、提供患者的联系方式浏览，包括：电话、地址、联系人、联系方式。</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2.3、提供患者的住院信息浏览，包括：入院日期、主要诊断、危重级别、护理级别、管床医师。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2.4、提供患者的诊断信息浏览。</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3、病区患者总览：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3.1、提供根据科室对患者进行筛选。</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3.2、提供根据“本人”、“本组”、“全科”对患者进行筛选。</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3.3、提供在总览中可以查看患者的床号、姓名、性别、年龄、诊断、管床医师、入院日期。</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4、患者概要：</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4.1、提供在一个界面中查看患者最近的病情变化，包括：</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4.1.1、提供最近五次病程信息浏览。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4.1.2、提供最近五次体征信息滚动显示，包括体温，脉搏，呼吸，心率，血压。</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4.1.3、提供最近五次医嘱信息浏览。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4.1.4、提供最近五次检查报告浏览。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4.1.5、提供最近五次检验报告浏览。</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5、患者病历：</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5.1、提供患者“本次病历”及“既往病历”信息浏览。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5.2、提供电子病历文书内容浏览，包括入院记录、病程记录、知情文件、手术记录。</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6、患者医嘱：</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6.1、提供患者的长期医嘱浏览。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6.2、提供患者的临时医嘱浏览。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6.3、医嘱内容包括：开始时间、停止时间、医嘱名称、用法、剂量、频次、开立医生。</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7、患者检验报告：</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7.1、提供患者本次住院检验和门诊检验信息浏览。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7.2、提供患者的检验报告项目浏览。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7.3、提供患者的检验报告详情浏览。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7.4、检验详情中，超过正常值范围的子项目应予以明显的方式进行提醒。</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7.5、数值类型的子项目，提供以曲线图的方式对比展示检验结果值。</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8、患者检查报告：</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8.1、提供患者本次住院检查和门诊检查信息浏览。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8.2、提供患者的检查报告项目浏览。</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8.3、提供患者的检查报告详情浏览，包括检查类别、子类名称、申请医生、报告医生、报告时间、诊断印象、诊断详情。</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9、患者生命体征：</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9.1、提供以周目录方式浏览患者体温单。</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9.2、提供以表格的方式按日期浏览患者的体征详情。</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9.3、表格方式展示时，当体温超过正常值范围时应予以明显的方式进行提醒。</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10、手写笔记：</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10.1、提供手写笔迹录入。</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10.2、提供查看手写笔记。</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10.3、笔记内容可进行统一管理。</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11、录音笔记：</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11.1、提供录制音频文件记录笔记。</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11.2、提供播放录音文件。</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11.3、录音内容可统一管理。</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12、照片笔记：</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12.1、提供拍照记录笔记。</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12.2、提供查看照片笔记。</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12.3、照片可统一管理。</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13、文本笔记：</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13.1、提供文本录入笔记。</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13.2、提供查看文本笔记。</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13.3、文本信息统一管理。</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14、版本自动升级：</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14.1、提供统一下发更新版本的程序。</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14.2、提供自动检测程序版本，并可提示升级。</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15、系统配置：</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15.1、设置页面包括问题反馈联系方式、服务器信息查看、网络信息查看。</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15.2、提供查看应用当前版本信息。</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16、安全控制：</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16.1、提供访问安全控制，传输过程中数据加密传输。</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16.2、提供数据安全控制，本地数据进行加密存储。</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17、查房笔记管理：</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17.1、提供对上传的文本、照片、录音进行查看及播放。</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17.2、提供对上传的文本、照片、录音进行删除。</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18、系统集成服务：</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18.1、接受客户端上传的数据。</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18.2、集成能在移动设备浏览器里正常操作的三方web应用。</w:t>
      </w:r>
    </w:p>
    <w:p>
      <w:pPr>
        <w:pStyle w:val="7"/>
        <w:adjustRightInd w:val="0"/>
        <w:spacing w:before="0" w:after="0" w:line="520" w:lineRule="exact"/>
        <w:ind w:firstLine="560" w:firstLineChars="200"/>
        <w:textAlignment w:val="baseline"/>
        <w:rPr>
          <w:rFonts w:ascii="仿宋" w:hAnsi="仿宋" w:eastAsia="仿宋" w:cs="仿宋"/>
          <w:color w:val="auto"/>
          <w:highlight w:val="none"/>
        </w:rPr>
      </w:pPr>
      <w:r>
        <w:rPr>
          <w:rFonts w:hint="eastAsia" w:ascii="仿宋" w:hAnsi="仿宋" w:eastAsia="仿宋" w:cs="仿宋"/>
          <w:color w:val="auto"/>
          <w:highlight w:val="none"/>
        </w:rPr>
        <w:t>19、水印：</w:t>
      </w: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19.1、患者临床数据页面增加水印，保护患者隐私数据。</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spacing w:line="24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品目十：查房移动平板</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tbl>
      <w:tblPr>
        <w:tblStyle w:val="28"/>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4009"/>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功能介绍</w:t>
            </w:r>
          </w:p>
        </w:tc>
        <w:tc>
          <w:tcPr>
            <w:tcW w:w="5159" w:type="dxa"/>
            <w:shd w:val="clear" w:color="auto" w:fill="auto"/>
            <w:vAlign w:val="center"/>
          </w:tcPr>
          <w:p>
            <w:pPr>
              <w:tabs>
                <w:tab w:val="center" w:pos="1312"/>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网络连接</w:t>
            </w:r>
          </w:p>
        </w:tc>
        <w:tc>
          <w:tcPr>
            <w:tcW w:w="5159" w:type="dxa"/>
            <w:shd w:val="clear" w:color="auto" w:fill="auto"/>
            <w:vAlign w:val="center"/>
          </w:tcPr>
          <w:p>
            <w:pPr>
              <w:tabs>
                <w:tab w:val="center" w:pos="1312"/>
              </w:tabs>
              <w:jc w:val="center"/>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WiFi</w:t>
            </w:r>
          </w:p>
          <w:p>
            <w:pPr>
              <w:tabs>
                <w:tab w:val="center" w:pos="1312"/>
              </w:tabs>
              <w:jc w:val="center"/>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联通5G/移动5G/电信5G</w:t>
            </w:r>
          </w:p>
          <w:p>
            <w:pPr>
              <w:tabs>
                <w:tab w:val="center" w:pos="1312"/>
              </w:tabs>
              <w:jc w:val="center"/>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联通4G/移动4G/电信4G</w:t>
            </w:r>
          </w:p>
          <w:p>
            <w:pPr>
              <w:tabs>
                <w:tab w:val="center" w:pos="1312"/>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蓝牙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音频接口</w:t>
            </w:r>
          </w:p>
        </w:tc>
        <w:tc>
          <w:tcPr>
            <w:tcW w:w="515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3.5毫米音频接口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USB接口</w:t>
            </w:r>
          </w:p>
        </w:tc>
        <w:tc>
          <w:tcPr>
            <w:tcW w:w="515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Type-C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产品尺寸</w:t>
            </w:r>
          </w:p>
        </w:tc>
        <w:tc>
          <w:tcPr>
            <w:tcW w:w="515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约：长260mm；宽150mm；高8mm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处理器速度</w:t>
            </w:r>
          </w:p>
        </w:tc>
        <w:tc>
          <w:tcPr>
            <w:tcW w:w="515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屏幕比例</w:t>
            </w:r>
          </w:p>
        </w:tc>
        <w:tc>
          <w:tcPr>
            <w:tcW w:w="515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屏幕类型</w:t>
            </w:r>
          </w:p>
        </w:tc>
        <w:tc>
          <w:tcPr>
            <w:tcW w:w="515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扬声器数量</w:t>
            </w:r>
          </w:p>
        </w:tc>
        <w:tc>
          <w:tcPr>
            <w:tcW w:w="515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电池容量</w:t>
            </w:r>
          </w:p>
        </w:tc>
        <w:tc>
          <w:tcPr>
            <w:tcW w:w="515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10000mAh以上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续航时间</w:t>
            </w:r>
          </w:p>
        </w:tc>
        <w:tc>
          <w:tcPr>
            <w:tcW w:w="515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400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操作系统</w:t>
            </w:r>
          </w:p>
        </w:tc>
        <w:tc>
          <w:tcPr>
            <w:tcW w:w="5159" w:type="dxa"/>
            <w:shd w:val="clear" w:color="auto" w:fill="auto"/>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8" w:type="dxa"/>
            <w:gridSpan w:val="3"/>
            <w:shd w:val="clear" w:color="auto" w:fill="auto"/>
            <w:vAlign w:val="center"/>
          </w:tcPr>
          <w:p>
            <w:pPr>
              <w:ind w:firstLine="240" w:firstLineChars="100"/>
              <w:jc w:val="center"/>
              <w:rPr>
                <w:rFonts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数量：48台</w:t>
            </w:r>
          </w:p>
        </w:tc>
      </w:tr>
    </w:tbl>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adjustRightInd/>
        <w:spacing w:before="0" w:after="0" w:line="520" w:lineRule="exac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品目十一：医务管理系统</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p>
      <w:pPr>
        <w:spacing w:line="520" w:lineRule="exact"/>
        <w:ind w:firstLine="560" w:firstLineChars="200"/>
        <w:rPr>
          <w:rFonts w:ascii="仿宋" w:hAnsi="仿宋" w:eastAsia="仿宋" w:cs="仿宋"/>
          <w:b/>
          <w:bCs/>
          <w:color w:val="auto"/>
          <w:sz w:val="28"/>
          <w:szCs w:val="28"/>
          <w:highlight w:val="none"/>
        </w:rPr>
      </w:pPr>
      <w:bookmarkStart w:id="18" w:name="_Toc128149552"/>
      <w:r>
        <w:rPr>
          <w:rFonts w:hint="eastAsia" w:ascii="仿宋" w:hAnsi="仿宋" w:eastAsia="仿宋" w:cs="仿宋"/>
          <w:b/>
          <w:bCs/>
          <w:color w:val="auto"/>
          <w:sz w:val="28"/>
          <w:szCs w:val="28"/>
          <w:highlight w:val="none"/>
        </w:rPr>
        <w:t>1、医师档案管理</w:t>
      </w:r>
      <w:bookmarkEnd w:id="18"/>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1.1、提供医师基本信息，包括联系方式、工作信息维护功能，账号注销功能。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1.2、提供医师头像上传功能。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1.3、提供医师账号注销功能，包括注销原因、注销日期的维护功能。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1.4、提供医师医疗信息，包括维护职称、工作时间、来院时间、从事专业功能。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1.5、提供对医师各阶段教育经历（学历、证书编号、学位）等信息维护功能。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1.6、提供医师工作经历相关信息（单位名称、开始结束时间、职务等）维护功能。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1.7、提供医师在多个医院执业信息（是否为第一执业地点、医院名称、医院代码等）维护功能。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1.8、提供医师拥有职称信息（证书类型、获取方式、审批机关、证书编号等）维护功能，上传附件功能。</w:t>
      </w:r>
    </w:p>
    <w:p>
      <w:pPr>
        <w:spacing w:line="520" w:lineRule="exact"/>
        <w:ind w:firstLine="560" w:firstLineChars="200"/>
        <w:rPr>
          <w:rFonts w:ascii="仿宋" w:hAnsi="仿宋" w:eastAsia="仿宋" w:cs="仿宋"/>
          <w:color w:val="auto"/>
          <w:sz w:val="28"/>
          <w:szCs w:val="28"/>
          <w:highlight w:val="none"/>
        </w:rPr>
      </w:pPr>
      <w:bookmarkStart w:id="19" w:name="_Toc78904213"/>
      <w:r>
        <w:rPr>
          <w:rFonts w:hint="eastAsia" w:ascii="仿宋" w:hAnsi="仿宋" w:eastAsia="仿宋" w:cs="仿宋"/>
          <w:color w:val="auto"/>
          <w:sz w:val="28"/>
          <w:szCs w:val="28"/>
          <w:highlight w:val="none"/>
        </w:rPr>
        <w:t>1.9、提供医师资格证书管理</w:t>
      </w:r>
      <w:bookmarkEnd w:id="19"/>
      <w:r>
        <w:rPr>
          <w:rFonts w:hint="eastAsia" w:ascii="仿宋" w:hAnsi="仿宋" w:eastAsia="仿宋" w:cs="仿宋"/>
          <w:color w:val="auto"/>
          <w:sz w:val="28"/>
          <w:szCs w:val="28"/>
          <w:highlight w:val="none"/>
        </w:rPr>
        <w:t>功能，包括上传医师证书功能，人员证书信息维护功能。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1.10、提供医师聘任记录信息（聘任类型、聘任单位、开始结束时间等）维护功能，上传附件功能。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1.11、提供医师进修信息（进修单位、进修年限、协议年限、开始结束时间等）维护功能，上传附件功能。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1.12、提供医师科研信息管理功能，包括对科研项目名称、立项时间维护功能。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1.13、提供医师论文管理功能，包括论文具体内容、论文所在期刊情况信息维护功能。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1.14、提供医师资格证书、执业证书、规培证书、大型设配上岗证书信息维护功能；本地上传证书照片功能。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1.15、提供医师轮科管理功能，包括对医师轮入科室、轮入起止时间、原因的维护功能，包括医务科统一安排医生轮科功能。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1.16、提供医师列表，显示所有科室，根据科室查询出相关人员功能。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1.17提供统计分析表，支持男女统计分析表功能；职位统计分析表功能；学历统计分析表功能；工作年限统计分析表功能；年龄统计分析表功能；离职率统计分析表功能。</w:t>
      </w:r>
    </w:p>
    <w:p>
      <w:pPr>
        <w:spacing w:line="520" w:lineRule="exact"/>
        <w:ind w:firstLine="560" w:firstLineChars="200"/>
        <w:rPr>
          <w:rFonts w:ascii="仿宋" w:hAnsi="仿宋" w:eastAsia="仿宋" w:cs="仿宋"/>
          <w:b/>
          <w:bCs/>
          <w:color w:val="auto"/>
          <w:sz w:val="28"/>
          <w:szCs w:val="28"/>
          <w:highlight w:val="none"/>
        </w:rPr>
      </w:pPr>
      <w:bookmarkStart w:id="20" w:name="_Toc128149553"/>
      <w:r>
        <w:rPr>
          <w:rFonts w:hint="eastAsia" w:ascii="仿宋" w:hAnsi="仿宋" w:eastAsia="仿宋" w:cs="仿宋"/>
          <w:b/>
          <w:bCs/>
          <w:color w:val="auto"/>
          <w:sz w:val="28"/>
          <w:szCs w:val="28"/>
          <w:highlight w:val="none"/>
        </w:rPr>
        <w:t>2、医师360视图</w:t>
      </w:r>
      <w:bookmarkEnd w:id="20"/>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2.1、提供对医师各阶段教育经历（学历、证书编号、学位）等信息维护功能。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2.2、提供医师工作经历相关信息（单位名称、开始结束时间、职务等）维护功能。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2.3、提供医师在多个医院执业信息（是否为第一执业地点、医院名称、医院代码等）维护功能。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2.4、提供医师拥有职称信息（证书类型、获取方式、审批机关、证书编号等）维护功能，上传附件功能。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2.5、提供医师资格证书管理功能，包括上传医师证书功能，人员证书信息、上传维护功能。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2.6、提供医师聘任记录信息（聘任类型、聘任单位、开始结束时间等）维护功能，上传附件功能。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2.7、提供医师进修信息（进修单位、进修年限、协议年限、开始结束时间等）维护功能，上传附件功能。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2.8、提供医师科研信息管理功能，包括对科研项目名称、立项时间维护功能。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2.9、提供医师论文管理功能，包括论文具体内容、论文所在期刊情况信息维护功能。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2.10、提供医师年度考核情况管理功能，包括记录时间、计划标题、计划时间的维护功能。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2.11、提供医师奖惩情况管理功能，包括登记人、人员姓名、颁奖单位的维护功能。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2.12、提供医师培训情况管理功能，包括培训名称、培训时间、参与人员内容维护功能。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2.13、提供医师重大医疗活动管理功能，包括医师下乡、支农、义诊医疗活动的管理。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2.14、提供医师社会任职管理功能，包括任职时间、授予名称、任职情况的记录管理。</w:t>
      </w:r>
    </w:p>
    <w:p>
      <w:pPr>
        <w:spacing w:line="520" w:lineRule="exact"/>
        <w:ind w:firstLine="560" w:firstLineChars="200"/>
        <w:rPr>
          <w:rFonts w:ascii="仿宋" w:hAnsi="仿宋" w:eastAsia="仿宋" w:cs="仿宋"/>
          <w:b/>
          <w:bCs/>
          <w:color w:val="auto"/>
          <w:sz w:val="28"/>
          <w:szCs w:val="28"/>
          <w:highlight w:val="none"/>
        </w:rPr>
      </w:pPr>
      <w:bookmarkStart w:id="21" w:name="_Toc128149554"/>
      <w:r>
        <w:rPr>
          <w:rFonts w:hint="eastAsia" w:ascii="仿宋" w:hAnsi="仿宋" w:eastAsia="仿宋" w:cs="仿宋"/>
          <w:b/>
          <w:bCs/>
          <w:color w:val="auto"/>
          <w:sz w:val="28"/>
          <w:szCs w:val="28"/>
          <w:highlight w:val="none"/>
        </w:rPr>
        <w:t>3、新技术管理</w:t>
      </w:r>
      <w:bookmarkEnd w:id="21"/>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3.1、提供新技术申请功能：新技术申请，包含基本信息，合作科室，负责人信息，实施人员信息，药品信息，ICD与收费信息。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3.2、提供新技术申请参与角色维护功能：包括质量小组成员角色、科主任角色、医务科角色、伦理委员会角色、技术委员会角色、院长。</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3.3、提供新技术病例备案功能，对新技术、新项目申请通过后由医师记录应用临床患者情况的内容，包括患者应用过程中产生的费用、疗效、并发症及不良情况的记录。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3.4、提供新技术全程追踪管理功能：包括对诊疗病例数、适应性掌握情况。临床应用效果、并发症和不良反应的发生情况记录。</w:t>
      </w:r>
    </w:p>
    <w:p>
      <w:pPr>
        <w:spacing w:line="520" w:lineRule="exact"/>
        <w:ind w:firstLine="560" w:firstLineChars="200"/>
        <w:rPr>
          <w:rFonts w:ascii="仿宋" w:hAnsi="仿宋" w:eastAsia="仿宋" w:cs="仿宋"/>
          <w:color w:val="auto"/>
          <w:sz w:val="28"/>
          <w:szCs w:val="28"/>
          <w:highlight w:val="none"/>
        </w:rPr>
      </w:pPr>
      <w:bookmarkStart w:id="22" w:name="OLE_LINK2"/>
      <w:bookmarkStart w:id="23" w:name="OLE_LINK1"/>
      <w:r>
        <w:rPr>
          <w:rFonts w:hint="eastAsia" w:ascii="仿宋" w:hAnsi="仿宋" w:eastAsia="仿宋" w:cs="仿宋"/>
          <w:color w:val="auto"/>
          <w:sz w:val="28"/>
          <w:szCs w:val="28"/>
          <w:highlight w:val="none"/>
        </w:rPr>
        <w:t>3.5、提供新技术转常功能：新技术、新项目开展时间和观察例数达到管理要求的情况下将转为常规技术，新技术转常流程：转常申请-科主任审核-医务科审核-主管副院长或委员会审核</w:t>
      </w:r>
      <w:bookmarkEnd w:id="22"/>
      <w:bookmarkEnd w:id="23"/>
      <w:r>
        <w:rPr>
          <w:rFonts w:hint="eastAsia" w:ascii="仿宋" w:hAnsi="仿宋" w:eastAsia="仿宋" w:cs="仿宋"/>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3.6、提供新技术总体详情，新技术总体详情显示新技术详细信息、所处状态、各状态下的操作时间等数据信息。</w:t>
      </w:r>
    </w:p>
    <w:p>
      <w:pPr>
        <w:spacing w:line="520" w:lineRule="exact"/>
        <w:ind w:firstLine="560" w:firstLineChars="200"/>
        <w:rPr>
          <w:rFonts w:ascii="仿宋" w:hAnsi="仿宋" w:eastAsia="仿宋" w:cs="仿宋"/>
          <w:b/>
          <w:bCs/>
          <w:color w:val="auto"/>
          <w:sz w:val="28"/>
          <w:szCs w:val="28"/>
          <w:highlight w:val="none"/>
        </w:rPr>
      </w:pPr>
      <w:bookmarkStart w:id="24" w:name="_Toc128149555"/>
      <w:r>
        <w:rPr>
          <w:rFonts w:hint="eastAsia" w:ascii="仿宋" w:hAnsi="仿宋" w:eastAsia="仿宋" w:cs="仿宋"/>
          <w:b/>
          <w:bCs/>
          <w:color w:val="auto"/>
          <w:sz w:val="28"/>
          <w:szCs w:val="28"/>
          <w:highlight w:val="none"/>
        </w:rPr>
        <w:t>4、医师资质管理</w:t>
      </w:r>
      <w:bookmarkEnd w:id="24"/>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4.1、提供资质字典功能：按资质类型维护手术资质、处方权、抗生素权、输血资质、互联网医师、麻醉医师、病理医师、放射医师等相关资质字典的编码和名称信息。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提供医师手术分级资质申请的管理功能，医师结合本人技术档案申请手术权限，包括医师基本信息、申请资质级别、申请类型、在上级医师临床指导下，累计开展该级别手术例数、手术信息、病例清单信息，支持动态角色审批流程。</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4.3、提供医师处方权资质申请的管理功能，医师结合本人技术档案申请处方权限，包括医师基本信息、申请资质级别、已有资质级别、申请类别、不良记录信息，支持动态角色审批流程。</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4.4、提供医师抗生素权资质申请的管理功能，医师结合本人技术档案申请抗生素权限，包括医师基本信息、申请资质级别、已有资质级别、申请类别、不良记录信息，支持动态角色审批流程。</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4.5、提供医师互联网资质申请的管理功能，医师结合本人技术档案申请互联网权限，包括医师基本信息、个人简介、擅长诊治疾病、申请疾病列表、不良记录信息，支持动态角色审批流程。</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4.6、提供医师麻醉资质申请的管理功能，医师结合本人技术档案申请麻醉权限，包括医师基本信息、申请资质级别、已有资质级别、申请类别、不良记录信息，支持动态角色审批流程。</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4.7、提供医师病理资质申请的管理功能，医师结合本人技术档案申请病理权限，包括医师基本信息、申请类型、不良记录、申请病理名称列表信息，支持动态角色审批流程。</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4.8、提供医师放射资质申请的管理功能，医师结合本人技术档案申请放射权限，包括医师基本信息、申请资质级别、已有资质级别、申请类别、不良记录信息，支持动态角色审批流程。</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4.9、提供资质授权功能：对申请的资质授权管理，资质完成后要经过授权，才能正常使用。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4.10、提供资质取消授权功能：对资质授权时间到期的情况可实现根据截止时间自动取消权限功能，也可人工自动取消医师权限。</w:t>
      </w:r>
    </w:p>
    <w:p>
      <w:pPr>
        <w:spacing w:line="520" w:lineRule="exact"/>
        <w:ind w:firstLine="560" w:firstLineChars="200"/>
        <w:rPr>
          <w:rFonts w:ascii="仿宋" w:hAnsi="仿宋" w:eastAsia="仿宋" w:cs="仿宋"/>
          <w:b/>
          <w:bCs/>
          <w:color w:val="auto"/>
          <w:sz w:val="28"/>
          <w:szCs w:val="28"/>
          <w:highlight w:val="none"/>
        </w:rPr>
      </w:pPr>
      <w:bookmarkStart w:id="25" w:name="_Toc128149556"/>
      <w:r>
        <w:rPr>
          <w:rFonts w:hint="eastAsia" w:ascii="仿宋" w:hAnsi="仿宋" w:eastAsia="仿宋" w:cs="仿宋"/>
          <w:b/>
          <w:bCs/>
          <w:color w:val="auto"/>
          <w:sz w:val="28"/>
          <w:szCs w:val="28"/>
          <w:highlight w:val="none"/>
        </w:rPr>
        <w:t>5、工作排班管理</w:t>
      </w:r>
      <w:bookmarkEnd w:id="25"/>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5.1、提供住院排班申请功能：根据值班类型（一值、二值、三值、跟值等）添加对应医师用于住院排班。</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5.2、提供排班审核功能：科主任审核所在科室排班信息；医务科审核全院各科室排班信息；科主任和医务科都有退回排班申请功能。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5.3、提供排班统计功能：按条件查询所有科室排班信息；根据值班类型统计数据；可导出显示的统计排班信息功能。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5.4、提供排班查看功能：医务科查看各科室排班情况详情数据。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5.5、提供轮科管理功能：医务科统一安排轮科人员，维护相关轮科信息数据（轮科时间、轮科原因等）。</w:t>
      </w:r>
    </w:p>
    <w:p>
      <w:pPr>
        <w:spacing w:line="520" w:lineRule="exact"/>
        <w:ind w:firstLine="560" w:firstLineChars="200"/>
        <w:rPr>
          <w:rFonts w:ascii="仿宋" w:hAnsi="仿宋" w:eastAsia="仿宋" w:cs="仿宋"/>
          <w:b/>
          <w:bCs/>
          <w:color w:val="auto"/>
          <w:sz w:val="28"/>
          <w:szCs w:val="28"/>
          <w:highlight w:val="none"/>
        </w:rPr>
      </w:pPr>
      <w:bookmarkStart w:id="26" w:name="_Toc128149557"/>
      <w:r>
        <w:rPr>
          <w:rFonts w:hint="eastAsia" w:ascii="仿宋" w:hAnsi="仿宋" w:eastAsia="仿宋" w:cs="仿宋"/>
          <w:b/>
          <w:bCs/>
          <w:color w:val="auto"/>
          <w:sz w:val="28"/>
          <w:szCs w:val="28"/>
          <w:highlight w:val="none"/>
        </w:rPr>
        <w:t>6、医疗纠纷管理</w:t>
      </w:r>
      <w:bookmarkEnd w:id="26"/>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6.1、提供手工方式记录患者投诉与纠纷处理情况。</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6.2、提供投诉信息功能：记录投诉基本信息、投诉人信息、被投诉情况、投诉内容、相关投诉记录。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6.3、提供科室反馈记录：记录科室反馈内容、科室负责人。</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6.4、提供院内讨论记录：记录医院内部对该投诉的讨论事宜，支持上传附件。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6.5、提供医患沟通记录：记录院方和患者的沟通内容，支持上传附件。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6.6、提供第三方调解记录：记录借助第三方机构调节信息，支持上传附件。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6.7、提供处理结果记录：记录处理结果和赔偿金额，对本次投诉的评价和改进。 </w:t>
      </w:r>
    </w:p>
    <w:p>
      <w:pPr>
        <w:spacing w:line="520" w:lineRule="exact"/>
        <w:ind w:firstLine="560" w:firstLineChars="200"/>
        <w:rPr>
          <w:rFonts w:ascii="仿宋" w:hAnsi="仿宋" w:eastAsia="仿宋" w:cs="仿宋"/>
          <w:b/>
          <w:bCs/>
          <w:color w:val="auto"/>
          <w:sz w:val="28"/>
          <w:szCs w:val="28"/>
          <w:highlight w:val="none"/>
        </w:rPr>
      </w:pPr>
      <w:bookmarkStart w:id="27" w:name="_Toc128149558"/>
      <w:r>
        <w:rPr>
          <w:rFonts w:hint="eastAsia" w:ascii="仿宋" w:hAnsi="仿宋" w:eastAsia="仿宋" w:cs="仿宋"/>
          <w:b/>
          <w:bCs/>
          <w:color w:val="auto"/>
          <w:sz w:val="28"/>
          <w:szCs w:val="28"/>
          <w:highlight w:val="none"/>
        </w:rPr>
        <w:t>7、质量管理</w:t>
      </w:r>
      <w:bookmarkEnd w:id="27"/>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7.1、提供指标管理功能：检查的指标字典维护，多级指标字典维护。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7.2、提供检查指标维护，实现对检查单评分的功能，可设置全院、科室及角色检查权限。</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7.3、提供指标检查功能，包括对检查项目设置评分、扣分原因的维护功能。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7.4、提供质量问题科室整改情况展示功能，包括未整改、已整改、已跟踪并显示对应的数据条目，可填写原因分析，整改措施，科主任评价。</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7.5、提供科室质量问题整改完消息提醒医务科功能。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7.6、提供医务科检查发送消息提醒科室检查情况。</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7.7、提供质量检查结果功能。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7.8、提供质量分析结果功能。</w:t>
      </w:r>
    </w:p>
    <w:p>
      <w:pPr>
        <w:spacing w:line="520" w:lineRule="exact"/>
        <w:ind w:firstLine="560" w:firstLineChars="200"/>
        <w:rPr>
          <w:rFonts w:ascii="仿宋" w:hAnsi="仿宋" w:eastAsia="仿宋" w:cs="仿宋"/>
          <w:b/>
          <w:bCs/>
          <w:color w:val="auto"/>
          <w:sz w:val="28"/>
          <w:szCs w:val="28"/>
          <w:highlight w:val="none"/>
        </w:rPr>
      </w:pPr>
      <w:bookmarkStart w:id="28" w:name="_Toc128149559"/>
      <w:r>
        <w:rPr>
          <w:rFonts w:hint="eastAsia" w:ascii="仿宋" w:hAnsi="仿宋" w:eastAsia="仿宋" w:cs="仿宋"/>
          <w:b/>
          <w:bCs/>
          <w:color w:val="auto"/>
          <w:sz w:val="28"/>
          <w:szCs w:val="28"/>
          <w:highlight w:val="none"/>
        </w:rPr>
        <w:t>8、制度建设</w:t>
      </w:r>
      <w:bookmarkEnd w:id="28"/>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8.1、提供根据医院的医疗规范，建立制度体系结构。</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8.2、提供目录管理功能：医务科可进行目录维护，目录分为院级和科室级，医务科可以设置目录全院可见或者科室可见。</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8.3、提供医务科制度、科室制度上传、废止、删除和下载功能，包括文件格式有DOC、DOCX、XLS、XLSX、PPT、PPTX、PDF、图片。</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8.4、提供制度文档的在线预览功能。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8.5、提供制度文档的权限管理，设置科室下载的权限</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8.6、提供文档收藏功能，可以对文档进行收藏管理。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8.7、提供科室对文档下载、查看操作的记录功能。</w:t>
      </w:r>
    </w:p>
    <w:p>
      <w:pPr>
        <w:spacing w:line="520" w:lineRule="exact"/>
        <w:ind w:firstLine="560" w:firstLineChars="200"/>
        <w:rPr>
          <w:rFonts w:ascii="仿宋" w:hAnsi="仿宋" w:eastAsia="仿宋" w:cs="仿宋"/>
          <w:b/>
          <w:bCs/>
          <w:color w:val="auto"/>
          <w:sz w:val="28"/>
          <w:szCs w:val="28"/>
          <w:highlight w:val="none"/>
        </w:rPr>
      </w:pPr>
      <w:bookmarkStart w:id="29" w:name="_Toc128149560"/>
      <w:r>
        <w:rPr>
          <w:rFonts w:hint="eastAsia" w:ascii="仿宋" w:hAnsi="仿宋" w:eastAsia="仿宋" w:cs="仿宋"/>
          <w:b/>
          <w:bCs/>
          <w:color w:val="auto"/>
          <w:sz w:val="28"/>
          <w:szCs w:val="28"/>
          <w:highlight w:val="none"/>
        </w:rPr>
        <w:t>9、台账本管理</w:t>
      </w:r>
      <w:bookmarkEnd w:id="29"/>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9.1、提供对出院病人台账本的管理功能：包括但不限于对患者基本情况、手术信息、手术日期、临床病历诊断、治疗组、主要治疗经过的维护。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9.2、提供对差错事故台账本的管理功能，包括但不限于对患者基本情况、入院诊断、事情经过、定性的维护。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9.3、提供对死亡病历维护台账本的管理功能，包括但不限于对患者基本情况、病情间接、讨论情况、死亡原因、经验教训的维护。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9.4、提供对住院超三十天台账本的管理功能，包括但不限于对患者基本情况，诊疗科室、入院情况、入院诊断、诊疗经过的维护。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9.5、提供对非计划再次手术台账本的管理功能，包括但不限于对患者基本情况，第一次手术情况、再次手术情况的维护。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9.6、提供对疑难病例讨论台账本的管理功能，包括但不限于对患者基本情况、参与人员、诊断、病情简介、讨论情况的维护。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9.7、提供对术前讨论记录台账本的管理功能，包括但不限于患者基本情况、参与人员、术前诊断、手术时间、手术方案、病情简介的维护。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9.8、提供对危重病人抢救台账本的管理功能，包括但不限于对患者基本情况、参与人员、病情简介、主要抢救措施的维护。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9.9、提供对出院时间不足15天再次住院台账本的管理功能，包括但不限于对患者基本情况、首次入院时间、入院诊断情况、首次出院时情况、目前诊断、再次住院原因分析的维护。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9.10、提供对医疗质量管理手册（临床）的管理功能，主要按年记录医疗质量管理说明、年度质量管理计划、日常质量管理记录、季度医疗工作总结、年度医疗总结的维护。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9.11、提供对医疗质量管理手册（医技）的管理功能，主要按年记录医疗质量管理说明、季度医疗工作总结、年度质量管理计划、日常质量管理记录、年度医疗工作总结。</w:t>
      </w:r>
    </w:p>
    <w:p>
      <w:pPr>
        <w:spacing w:line="520" w:lineRule="exact"/>
        <w:ind w:firstLine="560" w:firstLineChars="200"/>
        <w:rPr>
          <w:rFonts w:ascii="仿宋" w:hAnsi="仿宋" w:eastAsia="仿宋" w:cs="仿宋"/>
          <w:b/>
          <w:bCs/>
          <w:color w:val="auto"/>
          <w:sz w:val="28"/>
          <w:szCs w:val="28"/>
          <w:highlight w:val="none"/>
        </w:rPr>
      </w:pPr>
      <w:bookmarkStart w:id="30" w:name="_Toc128149561"/>
      <w:r>
        <w:rPr>
          <w:rFonts w:hint="eastAsia" w:ascii="仿宋" w:hAnsi="仿宋" w:eastAsia="仿宋" w:cs="仿宋"/>
          <w:b/>
          <w:bCs/>
          <w:color w:val="auto"/>
          <w:sz w:val="28"/>
          <w:szCs w:val="28"/>
          <w:highlight w:val="none"/>
        </w:rPr>
        <w:t>10、业务管理</w:t>
      </w:r>
      <w:bookmarkEnd w:id="30"/>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10.1、提供科室周会：包括但不限于记录科室会议内容。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10.2、提供业务学习项目登记：包括但不限于记录科室业务学习记录内容。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10.3、提供医疗隐患讨论记录：包括但不限于科室医疗隐患讨论内容。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10.4、提供年度工作计划及总结：包括但不限于记录科室年度工作计划及年度总结内容。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10.5、提供外出会诊的管理功能，包括但不限于记录科室医生外出会诊情况内容。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10.6、提供对口支援的管理功能，包括但不限于记录对口支援信息。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10.7、提供外来进修的管理功能，包括但不限于记录科室外来进修人员信息。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10.8、提供科室质量小组会议记录管理功能，包括但不限于对参加人员、高级医师、主治医院、实习医师、会议主题、会议内容的维护。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10.9、提供对业务学习的管理功能，包括但不限于对参加人员住院医师、高级医生、讲课主题、主要内容、科主任签字的维护。</w:t>
      </w:r>
    </w:p>
    <w:p>
      <w:pPr>
        <w:spacing w:line="520" w:lineRule="exact"/>
        <w:ind w:firstLine="560" w:firstLineChars="200"/>
        <w:rPr>
          <w:rFonts w:ascii="仿宋" w:hAnsi="仿宋" w:eastAsia="仿宋" w:cs="仿宋"/>
          <w:b/>
          <w:bCs/>
          <w:color w:val="auto"/>
          <w:sz w:val="28"/>
          <w:szCs w:val="28"/>
          <w:highlight w:val="none"/>
        </w:rPr>
      </w:pPr>
      <w:bookmarkStart w:id="31" w:name="_Toc128149562"/>
      <w:r>
        <w:rPr>
          <w:rFonts w:hint="eastAsia" w:ascii="仿宋" w:hAnsi="仿宋" w:eastAsia="仿宋" w:cs="仿宋"/>
          <w:b/>
          <w:bCs/>
          <w:color w:val="auto"/>
          <w:sz w:val="28"/>
          <w:szCs w:val="28"/>
          <w:highlight w:val="none"/>
        </w:rPr>
        <w:t>11、满意度调查</w:t>
      </w:r>
      <w:bookmarkEnd w:id="31"/>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11.1、提供满意度调查模板设置和修改功能，提供医生自身满意度调查、临床科室对消毒中心满意度调查、医生对护理工作满意度调查。</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11.2、提供满意度调查内容选项包含设置单选、多选、填空试题类型及设置各选项分数功能。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11.3、提供满意度调查任务管理功能，可设置调查模板全院、科室权限管理。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11.4、提供手机端扫码在线填写满意度调查。</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11.5、提供满意度调查结果统计分析功能。</w:t>
      </w:r>
    </w:p>
    <w:p>
      <w:pPr>
        <w:spacing w:line="520" w:lineRule="exact"/>
        <w:ind w:firstLine="560" w:firstLineChars="200"/>
        <w:rPr>
          <w:rFonts w:ascii="仿宋" w:hAnsi="仿宋" w:eastAsia="仿宋" w:cs="仿宋"/>
          <w:b/>
          <w:bCs/>
          <w:color w:val="auto"/>
          <w:sz w:val="28"/>
          <w:szCs w:val="28"/>
          <w:highlight w:val="none"/>
        </w:rPr>
      </w:pPr>
      <w:bookmarkStart w:id="32" w:name="_Toc128149563"/>
      <w:r>
        <w:rPr>
          <w:rFonts w:hint="eastAsia" w:ascii="仿宋" w:hAnsi="仿宋" w:eastAsia="仿宋" w:cs="仿宋"/>
          <w:b/>
          <w:bCs/>
          <w:color w:val="auto"/>
          <w:sz w:val="28"/>
          <w:szCs w:val="28"/>
          <w:highlight w:val="none"/>
        </w:rPr>
        <w:t>12、审批流程</w:t>
      </w:r>
      <w:bookmarkEnd w:id="32"/>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12.1、提供工作流程审核管理功能，使得工作审批更加灵活。</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12.2、提供工作流程根据角色、直接指定人、部门负责人方式进行审核人员的配置功能。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12.3、提供工作流审核、驳回、转发、抄送、跟踪、催办功能。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12.4、提供工作流多级审批功能。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12.5、提供查看我的申请功能，记录当前登录人提交申请的所有的数据。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12.6、提供查看我的待办功能，记录当前登录人需要审核的数据。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12.7、提供查看我的已办功能，记录当前登录人已经处理过的数据。</w:t>
      </w:r>
    </w:p>
    <w:p>
      <w:pPr>
        <w:spacing w:line="520" w:lineRule="exact"/>
        <w:ind w:firstLine="560" w:firstLineChars="200"/>
        <w:rPr>
          <w:rFonts w:ascii="仿宋" w:hAnsi="仿宋" w:eastAsia="仿宋" w:cs="仿宋"/>
          <w:b/>
          <w:bCs/>
          <w:color w:val="auto"/>
          <w:sz w:val="28"/>
          <w:szCs w:val="28"/>
          <w:highlight w:val="none"/>
        </w:rPr>
      </w:pPr>
      <w:bookmarkStart w:id="33" w:name="_Toc128149564"/>
      <w:r>
        <w:rPr>
          <w:rFonts w:hint="eastAsia" w:ascii="仿宋" w:hAnsi="仿宋" w:eastAsia="仿宋" w:cs="仿宋"/>
          <w:b/>
          <w:bCs/>
          <w:color w:val="auto"/>
          <w:sz w:val="28"/>
          <w:szCs w:val="28"/>
          <w:highlight w:val="none"/>
        </w:rPr>
        <w:t>13、报表统计分析</w:t>
      </w:r>
      <w:bookmarkEnd w:id="33"/>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13.1、提供全院、科室级别医师按性别、学历、年龄、职称统计分析功能。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13.2、提供分析按年度各级手术开展情况及科室分布情况的功能。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13.3、提供按手术级别、手术名称统计医师总数及详情的功能。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13.4、提供查看新技术申请整体情况，包括新技术名称、技术类别、院内风险等级、手术级别、申请人、开展时间的功能。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13.5、提供按科室查看新技术申请整体情况，包括科室、科室负责人、手术（次）、非限制手术（次）、限制技术（次）、全部（次）的统计功能。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13.6、提供按科室统计医疗纠纷科室投诉情况功能，包括科室、投诉例数、诉讼例数、赔偿例数的记录功能。</w:t>
      </w:r>
    </w:p>
    <w:p>
      <w:pPr>
        <w:spacing w:line="520" w:lineRule="exact"/>
        <w:ind w:firstLine="560" w:firstLineChars="200"/>
        <w:rPr>
          <w:rFonts w:ascii="仿宋" w:hAnsi="仿宋" w:eastAsia="仿宋" w:cs="仿宋"/>
          <w:b/>
          <w:bCs/>
          <w:color w:val="auto"/>
          <w:sz w:val="28"/>
          <w:szCs w:val="28"/>
          <w:highlight w:val="none"/>
        </w:rPr>
      </w:pPr>
      <w:bookmarkStart w:id="34" w:name="_Toc128149565"/>
      <w:r>
        <w:rPr>
          <w:rFonts w:hint="eastAsia" w:ascii="仿宋" w:hAnsi="仿宋" w:eastAsia="仿宋" w:cs="仿宋"/>
          <w:b/>
          <w:bCs/>
          <w:color w:val="auto"/>
          <w:sz w:val="28"/>
          <w:szCs w:val="28"/>
          <w:highlight w:val="none"/>
        </w:rPr>
        <w:t>14、模板管理</w:t>
      </w:r>
      <w:bookmarkEnd w:id="34"/>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14.1、提供所见即所得的网页模板编辑器功能。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14.2、提供模板自带表单组件和数据元绑定功能，支持模板数据结构化存储功能。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14.3、提供模板富文本控件编辑功能，包括设置字体样式、段落设置、插入表格、图片的功能。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14.4、提供模板富文本控件自由复制粘贴功能，可复制粘贴Word带格式文档内容。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14.5、提供模板多种基础表单组件功能，包括文本输入、数值输入、下拉框选择、单选、复选、日期时间、图片控件。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14.6、提供模板表格录入控件，支持配置表格数据列以及每列数据在编辑时使用的输入方式，包括文本框、下拉框、日期控件。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14.7、提供模板图片查看功能，支持可以缩放、平移、旋转显示图片功能。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14.8、提供模板控件计算值功能，可根据实际需求编辑各控件的计算方式功能，包括加法、减法、乘法、除法基本运算公式。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14.9、提供模板控件触发关联关系功能，控制各控件显示、隐藏功能。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14.10、提供模板控件动态获取值域功能，支持通过接口获取数据后绑定到模板控件上。</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14.11、提供模板维护管理，查询、新增、删除、修改功能。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14.12、提供模板数据元维护功能，查询、新增、删除、修改功能。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14.13、提供模板值域维护功能，查询、新增、删除、修改功能。 </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14.14、提供表单数据ETL采集模块，负责为模板编辑器从第三方系统收集整理业务数据。</w:t>
      </w:r>
    </w:p>
    <w:p>
      <w:pPr>
        <w:spacing w:line="520" w:lineRule="exact"/>
        <w:ind w:firstLine="560" w:firstLineChars="200"/>
        <w:rPr>
          <w:rFonts w:ascii="仿宋" w:hAnsi="仿宋" w:eastAsia="仿宋" w:cs="仿宋"/>
          <w:b/>
          <w:bCs/>
          <w:color w:val="auto"/>
          <w:sz w:val="28"/>
          <w:szCs w:val="28"/>
          <w:highlight w:val="none"/>
        </w:rPr>
      </w:pPr>
      <w:bookmarkStart w:id="35" w:name="_Toc128149566"/>
      <w:r>
        <w:rPr>
          <w:rFonts w:hint="eastAsia" w:ascii="仿宋" w:hAnsi="仿宋" w:eastAsia="仿宋" w:cs="仿宋"/>
          <w:b/>
          <w:bCs/>
          <w:color w:val="auto"/>
          <w:sz w:val="28"/>
          <w:szCs w:val="28"/>
          <w:highlight w:val="none"/>
        </w:rPr>
        <w:t>15、系统设置</w:t>
      </w:r>
      <w:bookmarkEnd w:id="35"/>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15.1、提供院区维护增删改查功能，提供统一的多院区管理的功能，包括院区名称，院区编码信息维护。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15.2、提供科室维护增删改查功能，包括科室名称，科室编码，排序，拼音码信息维护。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15.3、提供切换全屏功能。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15.4、提供菜单维护增删改查功能，包括菜单名称、菜单编码、状态、图标信息维护。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15.5、提供角色维护增删改查功能，包括角色名称、角色编码、状态及权限配置。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15.6、提供统一的消息处理中心，支持消息即时推送，支持一对一，一对多消息发送。</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15.7、提供菜单权限配置功能，支持页面的功能点（按钮）权限配置。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15.8、提供微应用监控模块，负责实时监控微应用的运行情况，服务器健康检查等功能。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15.9、提供Widget 部件管理模块，用于现场根据用户的使用偏好和业务要求，组装功能部件。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5"/>
        <w:adjustRightInd/>
        <w:spacing w:before="0" w:after="0" w:line="520" w:lineRule="exac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品目十二：不良事件管理系统</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p>
      <w:pPr>
        <w:spacing w:line="520" w:lineRule="exact"/>
        <w:ind w:firstLine="560" w:firstLineChars="200"/>
        <w:rPr>
          <w:rFonts w:ascii="仿宋" w:hAnsi="仿宋" w:eastAsia="仿宋" w:cs="仿宋"/>
          <w:b/>
          <w:bCs/>
          <w:color w:val="auto"/>
          <w:sz w:val="28"/>
          <w:szCs w:val="28"/>
          <w:highlight w:val="none"/>
        </w:rPr>
      </w:pPr>
      <w:bookmarkStart w:id="36" w:name="_Toc128151648"/>
      <w:r>
        <w:rPr>
          <w:rFonts w:hint="eastAsia" w:ascii="仿宋" w:hAnsi="仿宋" w:eastAsia="仿宋" w:cs="仿宋"/>
          <w:b/>
          <w:bCs/>
          <w:color w:val="auto"/>
          <w:sz w:val="28"/>
          <w:szCs w:val="28"/>
          <w:highlight w:val="none"/>
        </w:rPr>
        <w:t>1、用户管理</w:t>
      </w:r>
      <w:bookmarkEnd w:id="36"/>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1.1、提供输入用户名、密码进行登陆功能。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1.2、提供退出登录界面功能。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1.3、提供切换科室功能。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1.4、提供用户信息维护功能，包括科室、角色、菜单。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1.5、提供用户修改密码、重置密码功能。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1.6、提供登陆界面切换医院功能。</w:t>
      </w:r>
    </w:p>
    <w:p>
      <w:pPr>
        <w:spacing w:line="520" w:lineRule="exact"/>
        <w:ind w:firstLine="560" w:firstLineChars="200"/>
        <w:rPr>
          <w:rFonts w:ascii="仿宋" w:hAnsi="仿宋" w:eastAsia="仿宋" w:cs="仿宋"/>
          <w:b/>
          <w:bCs/>
          <w:color w:val="auto"/>
          <w:sz w:val="28"/>
          <w:szCs w:val="28"/>
          <w:highlight w:val="none"/>
        </w:rPr>
      </w:pPr>
      <w:bookmarkStart w:id="37" w:name="_Toc128151649"/>
      <w:r>
        <w:rPr>
          <w:rFonts w:hint="eastAsia" w:ascii="仿宋" w:hAnsi="仿宋" w:eastAsia="仿宋" w:cs="仿宋"/>
          <w:b/>
          <w:bCs/>
          <w:color w:val="auto"/>
          <w:sz w:val="28"/>
          <w:szCs w:val="28"/>
          <w:highlight w:val="none"/>
        </w:rPr>
        <w:t>2、上报管理</w:t>
      </w:r>
      <w:bookmarkEnd w:id="37"/>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2.1、提供不良事件首页展示功能，展示内容为我的申请、我的待办、我的已办、已结案的总数量。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2.2、提供不良事件首页展示功能，展示内容查看医院14类不良事件上报的总数据。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2.3、提供不良事件首页展示功能，展示内容院内不良事件总数量每天趋势图。</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2.4、提供多种上报事件的模板，包括医疗、护理、院感、药师、安全科室提供相应的不良事件报告单。</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2.5、提供全院级不良事件管理功能。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2.6、提供智能调取患者基本信息功能。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2.7、提供上报卡列表总览功能，包含但不限于显示发生时间、护理单元、状态、不良事件名称、报告人、患者姓名信息。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2.8、提供上报列表按照不良事件类型、不良事件名称、发生日期查询条件检索数据功能。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2.9、提供不良事件上报匿名、非匿名方式上报。</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2.10、提供不良事件分享功能，包括进行全员、部分人员和专人的事件分享功能，了解事件的处理动态，全员学习和普及。</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2.11、提供支持勾选、填报、快速定位功能，支持表单内表格数据的新增，修改，删除功能。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2.12、提供不良事件上报查看功能，包括事件名称、报告人信息、当事人信息、患者信息、发生科室、发生时间内容。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2.13、提供支持自动获取患者基本信息，包括患者名称、住院号、患者号、住院次数。</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2.14、提供上报数据时上传附件、图片功能。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2.15、提供不良事件审批流程，包括待审批，已审批，已打回，已作废上报功能。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2.16、提供不良事件审批流程自定义配置角色功能，如配置护士、护士长、科护士长、护理部角色。</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2.17、提供查看不良事件审核状态，可直观显示当前审核进行到哪一环节。</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2.18、提供上报卡审批功能，审批时可以编辑上报卡内容，并提交至下一审批角色，模板内容。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2.19、提供查看不良事件各审核环节内容功能，包括提交人、提交时间、处理意见信息。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2.20、提供消息提供功能，根据事件处理流程设置不同的消息提醒，弹窗功能。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2.21、提供不良事件消息催办功能。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2.22、提供支持鱼骨图分析功能，按照“4321”原则、“人机物法环”多方面的原因自动生成完整的鱼骨图功能，同时可下载及打印功能。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2.23、提供分析与控制不良事件的管理指标，能从报告、处理记录中自动产生指标结果，并提供生成直观的分析图表。</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2.24、提供对不良事件分级处理功能，对高级别不良事件能及时提醒管理部门处理。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2.25、提供已审批的上报卡导出Excel功能。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2.26、提供不良事件上报卡打印功能。</w:t>
      </w:r>
    </w:p>
    <w:p>
      <w:pPr>
        <w:spacing w:line="520" w:lineRule="exact"/>
        <w:ind w:firstLine="560" w:firstLineChars="200"/>
        <w:rPr>
          <w:rFonts w:ascii="仿宋" w:hAnsi="仿宋" w:eastAsia="仿宋" w:cs="仿宋"/>
          <w:b/>
          <w:bCs/>
          <w:color w:val="auto"/>
          <w:sz w:val="28"/>
          <w:szCs w:val="28"/>
          <w:highlight w:val="none"/>
        </w:rPr>
      </w:pPr>
      <w:bookmarkStart w:id="38" w:name="_Toc128151650"/>
      <w:r>
        <w:rPr>
          <w:rFonts w:hint="eastAsia" w:ascii="仿宋" w:hAnsi="仿宋" w:eastAsia="仿宋" w:cs="仿宋"/>
          <w:b/>
          <w:bCs/>
          <w:color w:val="auto"/>
          <w:sz w:val="28"/>
          <w:szCs w:val="28"/>
          <w:highlight w:val="none"/>
        </w:rPr>
        <w:t>3、统计分析</w:t>
      </w:r>
      <w:bookmarkEnd w:id="38"/>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3.1、提供根据起止时间、科室、事件类型饼形图表现形式的统计分析功能。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3.2、提供根据起止时间，事件分类、上报科室、时间等级、事件严重度、事件状态查询各不良事件上报例数的分析表功能。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3.3、提供根据起止时间、科室、事件类型查询不良事件上报例数的分析表功能。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提供根据起止时间、科室、事件类型，以不良事件名称为单位统计各科室不良事件的详细信息，包括：不良事件名称、发生科室、发生时间、上报时间、患者住院号、患者姓名、性别、年龄、诊断、上报人姓名、当事人姓名信息。</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3.5、提供不良事件按年、科室、统计各不良事件上报例数统计分析功能。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3.6、提供SAC风险矩阵，根据事件严重程度，发生频率，形成风险矩阵图，显示不同级别的事件管理。</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3.7、提供根据不良事件名称及检查次数生成柏拉图功能。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3.8、提供根据起止时间、按科室、事件类型查询不良事件事件级别分布的分析表功能。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3.9、提供根据起止时间、按科室、事件类型查询不良事件超时上报统计报表分析表功能。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3.10、提供根据起止时间、按科室、事件类型统计不良事件按月度同比、环比分析表功能。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3.11、提供不良事件根据发生时间段统计分析功能。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3.12、提供根据起止时间、发生科室、事件类型统计各类不良事件详情分析功能。</w:t>
      </w:r>
    </w:p>
    <w:p>
      <w:pPr>
        <w:spacing w:line="520" w:lineRule="exact"/>
        <w:ind w:firstLine="560" w:firstLineChars="200"/>
        <w:rPr>
          <w:rFonts w:ascii="仿宋" w:hAnsi="仿宋" w:eastAsia="仿宋" w:cs="仿宋"/>
          <w:b/>
          <w:bCs/>
          <w:color w:val="auto"/>
          <w:sz w:val="28"/>
          <w:szCs w:val="28"/>
          <w:highlight w:val="none"/>
        </w:rPr>
      </w:pPr>
      <w:bookmarkStart w:id="39" w:name="_Toc128151651"/>
      <w:r>
        <w:rPr>
          <w:rFonts w:hint="eastAsia" w:ascii="仿宋" w:hAnsi="仿宋" w:eastAsia="仿宋" w:cs="仿宋"/>
          <w:b/>
          <w:bCs/>
          <w:color w:val="auto"/>
          <w:sz w:val="28"/>
          <w:szCs w:val="28"/>
          <w:highlight w:val="none"/>
        </w:rPr>
        <w:t>4、模板管理</w:t>
      </w:r>
      <w:bookmarkEnd w:id="39"/>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4.1、提供所见即所得的网页模板编辑器功能。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4.2、提供模板自带表单组件和数据元绑定功能，支持模板数据结构化存储功能。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4.3、提供模板富文本控件编辑功能，包括设置字体样式、段落设置、插入表格、图片的功能。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4.4、提供模板富文本控件自由复制粘贴功能，可复制粘贴Word带格式文档内容。</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4.5、提供模板多种基础表单组件功能，包括文本输入、数值输入、下拉框选择、单选、复选、日期时间、图片控件。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4.6、提供模板表格录入控件，支持配置表格数据列以及每列数据在编辑时使用的输入方式，包括文本框、下拉框、日期控件。</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4.7、提供模板图片查看功能，支持可以缩放、平移、旋转显示图片功能。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4.8、提供模板控件计算值功能，可根据实际需求编辑各控件的计算方式功能，包括加法、减法、乘法、除法基本运算公式。</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4.9、提供模板控件触发关联关系功能，控制各控件显示、隐藏功能。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4.10、提供模板控件动态获取值域功能，支持通过接口获取数据后绑定到模板控件上。</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4.11、提供模板维护管理，查询、新增、删除、修改功能。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4.12、提供模板数据元维护功能，查询、新增、删除、修改功能。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4.13、提供模板值域维护功能，查询、新增、删除、修改功能。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4.14、提供表单数据ETL采集模块，负责为模板编辑器从第三方系统收集整理业务数据。</w:t>
      </w:r>
    </w:p>
    <w:p>
      <w:pPr>
        <w:spacing w:line="520" w:lineRule="exact"/>
        <w:ind w:firstLine="560" w:firstLineChars="200"/>
        <w:rPr>
          <w:rFonts w:ascii="仿宋" w:hAnsi="仿宋" w:eastAsia="仿宋" w:cs="仿宋"/>
          <w:b/>
          <w:bCs/>
          <w:color w:val="auto"/>
          <w:sz w:val="28"/>
          <w:szCs w:val="28"/>
          <w:highlight w:val="none"/>
        </w:rPr>
      </w:pPr>
      <w:bookmarkStart w:id="40" w:name="_Toc128151652"/>
      <w:bookmarkStart w:id="41" w:name="_Toc108600808"/>
      <w:bookmarkStart w:id="42" w:name="_Toc105594194"/>
      <w:r>
        <w:rPr>
          <w:rFonts w:hint="eastAsia" w:ascii="仿宋" w:hAnsi="仿宋" w:eastAsia="仿宋" w:cs="仿宋"/>
          <w:b/>
          <w:bCs/>
          <w:color w:val="auto"/>
          <w:sz w:val="28"/>
          <w:szCs w:val="28"/>
          <w:highlight w:val="none"/>
        </w:rPr>
        <w:t>5、审批流程</w:t>
      </w:r>
      <w:bookmarkEnd w:id="40"/>
      <w:bookmarkEnd w:id="41"/>
      <w:bookmarkEnd w:id="42"/>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5.1、提供工作流程审核管理功能，使得工作审批更加灵活。</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5.2、提供查看我的申请功能，记录当前登录人提交申请的所有的数据。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5.3、提供查看我的待办功能，记录当前登录人需要审核的数据。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5.4、提供查看我的已办功能，记录当前登录人已经处理过的数据。</w:t>
      </w:r>
    </w:p>
    <w:p>
      <w:pPr>
        <w:spacing w:line="520" w:lineRule="exact"/>
        <w:ind w:firstLine="560" w:firstLineChars="200"/>
        <w:rPr>
          <w:rFonts w:ascii="仿宋" w:hAnsi="仿宋" w:eastAsia="仿宋" w:cs="仿宋"/>
          <w:b/>
          <w:bCs/>
          <w:color w:val="auto"/>
          <w:sz w:val="28"/>
          <w:szCs w:val="28"/>
          <w:highlight w:val="none"/>
        </w:rPr>
      </w:pPr>
      <w:bookmarkStart w:id="43" w:name="_Toc128151653"/>
      <w:r>
        <w:rPr>
          <w:rFonts w:hint="eastAsia" w:ascii="仿宋" w:hAnsi="仿宋" w:eastAsia="仿宋" w:cs="仿宋"/>
          <w:b/>
          <w:bCs/>
          <w:color w:val="auto"/>
          <w:sz w:val="28"/>
          <w:szCs w:val="28"/>
          <w:highlight w:val="none"/>
        </w:rPr>
        <w:t>6、系统管理</w:t>
      </w:r>
      <w:bookmarkEnd w:id="43"/>
      <w:r>
        <w:rPr>
          <w:rFonts w:hint="eastAsia" w:ascii="仿宋" w:hAnsi="仿宋" w:eastAsia="仿宋" w:cs="仿宋"/>
          <w:b/>
          <w:bCs/>
          <w:color w:val="auto"/>
          <w:sz w:val="28"/>
          <w:szCs w:val="28"/>
          <w:highlight w:val="none"/>
        </w:rPr>
        <w:t>：</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6.1、提供院区维护增删改查功能，提供统一的多院区管理的功能，包括院区名称，院区编码信息维护。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6.2、提供科室维护增删改查功能 ，包括科室名称，科室编码，排序，拼音码信息维护。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6.3、提供切换全屏功能。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6.4、提供菜单维护增删改查功能，包括菜单名称、菜单编码、状态、图标信息维护。</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6.5、提供角色维护增删改查功能，包括角色名称、角色编码、状态及权限配置。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6.6、提供统一的消息处理中心，支持消息即时推送，支持一对一，一对多消息发送。</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6.7、提供菜单权限配置功能，支持页面的功能点（按钮）权限配置。</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6.8、提供微应用监控模块，负责实时监控微应用的运行情况，服务器健康检查等功能。</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6.9、提供Widget 部件管理模块，用于现场根据用户的使用偏好和业务要求，组装功能部件。</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spacing w:line="24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品目十三：现有系统改造</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w:t>
      </w:r>
    </w:p>
    <w:tbl>
      <w:tblPr>
        <w:tblStyle w:val="28"/>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054"/>
        <w:gridCol w:w="6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7"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2054"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系统名称</w:t>
            </w:r>
          </w:p>
        </w:tc>
        <w:tc>
          <w:tcPr>
            <w:tcW w:w="6067"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7" w:type="dxa"/>
            <w:vAlign w:val="center"/>
          </w:tcPr>
          <w:p>
            <w:pPr>
              <w:pStyle w:val="52"/>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054" w:type="dxa"/>
            <w:vAlign w:val="center"/>
          </w:tcPr>
          <w:p>
            <w:pPr>
              <w:tabs>
                <w:tab w:val="right" w:pos="1769"/>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HIS系统</w:t>
            </w:r>
          </w:p>
        </w:tc>
        <w:tc>
          <w:tcPr>
            <w:tcW w:w="6067" w:type="dxa"/>
            <w:vMerge w:val="restart"/>
            <w:vAlign w:val="center"/>
          </w:tcPr>
          <w:p>
            <w:pPr>
              <w:ind w:firstLine="480" w:firstLine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各系统和集成平台、数据中心等系统进行数据对接保证数据中心数据完成；与可能的第三方系统进行系统web查询调阅及本次需要的未标明的对接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7" w:type="dxa"/>
            <w:vAlign w:val="center"/>
          </w:tcPr>
          <w:p>
            <w:pPr>
              <w:pStyle w:val="52"/>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2054"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移动护理系统</w:t>
            </w:r>
          </w:p>
        </w:tc>
        <w:tc>
          <w:tcPr>
            <w:tcW w:w="6067" w:type="dxa"/>
            <w:vMerge w:val="continue"/>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7" w:type="dxa"/>
            <w:vAlign w:val="center"/>
          </w:tcPr>
          <w:p>
            <w:pPr>
              <w:pStyle w:val="52"/>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2054"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PACS系统</w:t>
            </w:r>
          </w:p>
        </w:tc>
        <w:tc>
          <w:tcPr>
            <w:tcW w:w="6067" w:type="dxa"/>
            <w:vMerge w:val="continue"/>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7" w:type="dxa"/>
            <w:vAlign w:val="center"/>
          </w:tcPr>
          <w:p>
            <w:pPr>
              <w:pStyle w:val="52"/>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2054"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血透系统</w:t>
            </w:r>
          </w:p>
        </w:tc>
        <w:tc>
          <w:tcPr>
            <w:tcW w:w="6067" w:type="dxa"/>
            <w:vMerge w:val="continue"/>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7" w:type="dxa"/>
            <w:vAlign w:val="center"/>
          </w:tcPr>
          <w:p>
            <w:pPr>
              <w:pStyle w:val="52"/>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2054" w:type="dxa"/>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合理用药系统</w:t>
            </w:r>
          </w:p>
        </w:tc>
        <w:tc>
          <w:tcPr>
            <w:tcW w:w="6067" w:type="dxa"/>
            <w:vMerge w:val="continue"/>
            <w:vAlign w:val="center"/>
          </w:tcPr>
          <w:p>
            <w:pPr>
              <w:jc w:val="center"/>
              <w:rPr>
                <w:rFonts w:ascii="仿宋" w:hAnsi="仿宋" w:eastAsia="仿宋" w:cs="仿宋"/>
                <w:color w:val="auto"/>
                <w:sz w:val="24"/>
                <w:szCs w:val="24"/>
                <w:highlight w:val="none"/>
              </w:rPr>
            </w:pPr>
          </w:p>
        </w:tc>
      </w:tr>
    </w:tbl>
    <w:p>
      <w:pPr>
        <w:rPr>
          <w:rFonts w:ascii="仿宋" w:hAnsi="仿宋" w:eastAsia="仿宋" w:cs="仿宋"/>
          <w:color w:val="auto"/>
          <w:sz w:val="24"/>
          <w:szCs w:val="24"/>
          <w:highlight w:val="none"/>
        </w:rPr>
      </w:pPr>
    </w:p>
    <w:p>
      <w:pPr>
        <w:rPr>
          <w:rFonts w:ascii="仿宋" w:hAnsi="仿宋" w:eastAsia="仿宋" w:cs="仿宋"/>
          <w:b/>
          <w:bCs/>
          <w:color w:val="auto"/>
          <w:sz w:val="36"/>
          <w:szCs w:val="36"/>
          <w:highlight w:val="none"/>
        </w:rPr>
      </w:pPr>
    </w:p>
    <w:p>
      <w:pPr>
        <w:pStyle w:val="52"/>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numPr>
          <w:ilvl w:val="0"/>
          <w:numId w:val="79"/>
        </w:numPr>
        <w:jc w:val="center"/>
        <w:rPr>
          <w:rStyle w:val="48"/>
          <w:rFonts w:ascii="仿宋" w:hAnsi="仿宋" w:eastAsia="仿宋" w:cs="仿宋"/>
          <w:color w:val="auto"/>
          <w:sz w:val="36"/>
          <w:szCs w:val="36"/>
          <w:highlight w:val="none"/>
        </w:rPr>
      </w:pPr>
      <w:r>
        <w:rPr>
          <w:rStyle w:val="48"/>
          <w:rFonts w:hint="eastAsia" w:ascii="仿宋" w:hAnsi="仿宋" w:eastAsia="仿宋" w:cs="仿宋"/>
          <w:color w:val="auto"/>
          <w:sz w:val="36"/>
          <w:szCs w:val="36"/>
          <w:highlight w:val="none"/>
        </w:rPr>
        <w:t>合同主要条款</w:t>
      </w:r>
    </w:p>
    <w:p>
      <w:pPr>
        <w:ind w:firstLine="2800" w:firstLineChars="1000"/>
        <w:rPr>
          <w:rFonts w:ascii="仿宋" w:hAnsi="仿宋" w:eastAsia="仿宋"/>
          <w:color w:val="auto"/>
          <w:sz w:val="28"/>
          <w:highlight w:val="none"/>
        </w:rPr>
      </w:pPr>
      <w:r>
        <w:rPr>
          <w:rFonts w:hint="eastAsia" w:ascii="仿宋" w:hAnsi="仿宋" w:eastAsia="仿宋"/>
          <w:color w:val="auto"/>
          <w:sz w:val="28"/>
          <w:highlight w:val="none"/>
        </w:rPr>
        <w:t>（具体以实际签订合同为主）</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 </w:t>
      </w:r>
      <w:r>
        <w:rPr>
          <w:rFonts w:hint="eastAsia" w:ascii="仿宋" w:hAnsi="仿宋" w:eastAsia="仿宋" w:cs="仿宋"/>
          <w:color w:val="auto"/>
          <w:highlight w:val="none"/>
        </w:rPr>
        <w:t>质量要求、技术标准及卖方对质量负责的条件期限。</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1.1 </w:t>
      </w:r>
      <w:r>
        <w:rPr>
          <w:rFonts w:hint="eastAsia" w:ascii="仿宋" w:hAnsi="仿宋" w:eastAsia="仿宋" w:cs="仿宋"/>
          <w:color w:val="auto"/>
          <w:highlight w:val="none"/>
        </w:rPr>
        <w:t>卖方应严格按照系统制造国家标准和行业标准进行制造。出厂前卖方的质量检验部门应按照产品原产地国家制定的各项规定进行产品质量检验，检验合格后出具质量证明书后，方能出厂。</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 </w:t>
      </w:r>
      <w:r>
        <w:rPr>
          <w:rFonts w:hint="eastAsia" w:ascii="仿宋" w:hAnsi="仿宋" w:eastAsia="仿宋" w:cs="仿宋"/>
          <w:color w:val="auto"/>
          <w:highlight w:val="none"/>
        </w:rPr>
        <w:t>卖方对系统制造质量负责，在买方按照使用维护说明书的规定正确的安装维护及存放的情况下，卖方应保证所供系统自正式投入运行之日起</w:t>
      </w:r>
      <w:r>
        <w:rPr>
          <w:rFonts w:ascii="仿宋" w:hAnsi="仿宋" w:eastAsia="仿宋" w:cs="仿宋"/>
          <w:color w:val="auto"/>
          <w:highlight w:val="none"/>
        </w:rPr>
        <w:t>24</w:t>
      </w:r>
      <w:r>
        <w:rPr>
          <w:rFonts w:hint="eastAsia" w:ascii="仿宋" w:hAnsi="仿宋" w:eastAsia="仿宋" w:cs="仿宋"/>
          <w:color w:val="auto"/>
          <w:highlight w:val="none"/>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auto"/>
          <w:highlight w:val="none"/>
        </w:rPr>
        <w:t>1</w:t>
      </w:r>
      <w:r>
        <w:rPr>
          <w:rFonts w:hint="eastAsia" w:ascii="仿宋" w:hAnsi="仿宋" w:eastAsia="仿宋" w:cs="仿宋"/>
          <w:color w:val="auto"/>
          <w:highlight w:val="none"/>
        </w:rPr>
        <w:t>日内派人抵达系统使用现场处理，并承担相应的经济责任。</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1.3</w:t>
      </w:r>
      <w:r>
        <w:rPr>
          <w:rFonts w:hint="eastAsia" w:ascii="仿宋" w:hAnsi="仿宋" w:eastAsia="仿宋" w:cs="仿宋"/>
          <w:color w:val="auto"/>
          <w:highlight w:val="none"/>
        </w:rPr>
        <w:t>卖方应对所供应系统的外协、外购件质量负责，其负责期限和责任范围等同于</w:t>
      </w:r>
      <w:r>
        <w:rPr>
          <w:rFonts w:ascii="仿宋" w:hAnsi="仿宋" w:eastAsia="仿宋" w:cs="仿宋"/>
          <w:color w:val="auto"/>
          <w:highlight w:val="none"/>
        </w:rPr>
        <w:t>1.2</w:t>
      </w:r>
      <w:r>
        <w:rPr>
          <w:rFonts w:hint="eastAsia" w:ascii="仿宋" w:hAnsi="仿宋" w:eastAsia="仿宋" w:cs="仿宋"/>
          <w:color w:val="auto"/>
          <w:highlight w:val="none"/>
        </w:rPr>
        <w:t>条款的约定。卖方在交货时应提供外购件的使用维护说明书及证明文件。</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1.4 </w:t>
      </w:r>
      <w:r>
        <w:rPr>
          <w:rFonts w:hint="eastAsia" w:ascii="仿宋" w:hAnsi="仿宋" w:eastAsia="仿宋" w:cs="仿宋"/>
          <w:color w:val="auto"/>
          <w:highlight w:val="none"/>
        </w:rPr>
        <w:t>卖方单位所提供产品的技术应是最新的</w:t>
      </w:r>
      <w:r>
        <w:rPr>
          <w:rFonts w:ascii="仿宋" w:hAnsi="仿宋" w:eastAsia="仿宋" w:cs="仿宋"/>
          <w:color w:val="auto"/>
          <w:highlight w:val="none"/>
        </w:rPr>
        <w:t>,</w:t>
      </w:r>
      <w:r>
        <w:rPr>
          <w:rFonts w:hint="eastAsia" w:ascii="仿宋" w:hAnsi="仿宋" w:eastAsia="仿宋" w:cs="仿宋"/>
          <w:color w:val="auto"/>
          <w:highlight w:val="none"/>
        </w:rPr>
        <w:t>并且已有运行</w:t>
      </w:r>
      <w:r>
        <w:rPr>
          <w:rFonts w:ascii="仿宋" w:hAnsi="仿宋" w:eastAsia="仿宋" w:cs="仿宋"/>
          <w:color w:val="auto"/>
          <w:highlight w:val="none"/>
        </w:rPr>
        <w:t>3</w:t>
      </w:r>
      <w:r>
        <w:rPr>
          <w:rFonts w:hint="eastAsia" w:ascii="仿宋" w:hAnsi="仿宋" w:eastAsia="仿宋" w:cs="仿宋"/>
          <w:color w:val="auto"/>
          <w:highlight w:val="none"/>
        </w:rPr>
        <w:t>年以上的成功经验</w:t>
      </w:r>
      <w:r>
        <w:rPr>
          <w:rFonts w:ascii="仿宋" w:hAnsi="仿宋" w:eastAsia="仿宋" w:cs="仿宋"/>
          <w:color w:val="auto"/>
          <w:highlight w:val="none"/>
        </w:rPr>
        <w:t>,</w:t>
      </w:r>
      <w:r>
        <w:rPr>
          <w:rFonts w:hint="eastAsia" w:ascii="仿宋" w:hAnsi="仿宋" w:eastAsia="仿宋" w:cs="仿宋"/>
          <w:color w:val="auto"/>
          <w:highlight w:val="none"/>
        </w:rPr>
        <w:t>并附有证明文件。</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 </w:t>
      </w:r>
      <w:r>
        <w:rPr>
          <w:rFonts w:hint="eastAsia" w:ascii="仿宋" w:hAnsi="仿宋" w:eastAsia="仿宋" w:cs="仿宋"/>
          <w:color w:val="auto"/>
          <w:highlight w:val="none"/>
        </w:rPr>
        <w:t>运输方式、交货地点及到达项目现场费用负担</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2.1 </w:t>
      </w:r>
      <w:r>
        <w:rPr>
          <w:rFonts w:hint="eastAsia" w:ascii="仿宋" w:hAnsi="仿宋" w:eastAsia="仿宋" w:cs="仿宋"/>
          <w:color w:val="auto"/>
          <w:highlight w:val="none"/>
        </w:rPr>
        <w:t>运输方式由卖方决定、由卖方办理，运杂费用由卖方承担，产品包装应符合国家有关要求。</w:t>
      </w:r>
    </w:p>
    <w:p>
      <w:pPr>
        <w:pStyle w:val="41"/>
        <w:spacing w:line="520" w:lineRule="exact"/>
        <w:ind w:firstLine="562"/>
        <w:rPr>
          <w:rFonts w:ascii="仿宋" w:hAnsi="仿宋" w:eastAsia="仿宋" w:cs="仿宋"/>
          <w:color w:val="auto"/>
          <w:szCs w:val="22"/>
          <w:highlight w:val="none"/>
        </w:rPr>
      </w:pPr>
      <w:r>
        <w:rPr>
          <w:rFonts w:hint="eastAsia" w:ascii="仿宋" w:hAnsi="仿宋" w:eastAsia="仿宋" w:cs="仿宋"/>
          <w:b/>
          <w:bCs/>
          <w:color w:val="auto"/>
          <w:highlight w:val="none"/>
        </w:rPr>
        <w:t>交货地点</w:t>
      </w:r>
      <w:r>
        <w:rPr>
          <w:rFonts w:hint="eastAsia" w:ascii="仿宋" w:hAnsi="仿宋" w:eastAsia="仿宋" w:cs="仿宋"/>
          <w:b/>
          <w:bCs/>
          <w:color w:val="auto"/>
          <w:szCs w:val="22"/>
          <w:highlight w:val="none"/>
        </w:rPr>
        <w:t>：新疆医科大学第一附属医院昌吉分院指定地点。</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2.2 </w:t>
      </w:r>
      <w:r>
        <w:rPr>
          <w:rFonts w:hint="eastAsia" w:ascii="仿宋" w:hAnsi="仿宋" w:eastAsia="仿宋" w:cs="仿宋"/>
          <w:color w:val="auto"/>
          <w:highlight w:val="none"/>
        </w:rPr>
        <w:t>买方负责接收货物。卖方应将领货凭证及时交寄给收货人。因卖方未能及时准确地将领货凭证递交收货人而给买方造成的损失由卖方按实际数额赔偿。</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 </w:t>
      </w:r>
      <w:r>
        <w:rPr>
          <w:rFonts w:hint="eastAsia" w:ascii="仿宋" w:hAnsi="仿宋" w:eastAsia="仿宋" w:cs="仿宋"/>
          <w:color w:val="auto"/>
          <w:highlight w:val="none"/>
        </w:rPr>
        <w:t>安装及验收</w:t>
      </w:r>
    </w:p>
    <w:p>
      <w:pPr>
        <w:pStyle w:val="41"/>
        <w:spacing w:line="520" w:lineRule="exact"/>
        <w:ind w:firstLine="560"/>
        <w:rPr>
          <w:rFonts w:ascii="仿宋" w:hAnsi="仿宋" w:eastAsia="仿宋" w:cs="仿宋"/>
          <w:color w:val="auto"/>
          <w:szCs w:val="22"/>
          <w:highlight w:val="none"/>
        </w:rPr>
      </w:pPr>
      <w:r>
        <w:rPr>
          <w:rFonts w:ascii="仿宋" w:hAnsi="仿宋" w:eastAsia="仿宋" w:cs="仿宋"/>
          <w:color w:val="auto"/>
          <w:highlight w:val="none"/>
        </w:rPr>
        <w:t xml:space="preserve">3.1 </w:t>
      </w:r>
      <w:r>
        <w:rPr>
          <w:rFonts w:hint="eastAsia" w:ascii="仿宋" w:hAnsi="仿宋" w:eastAsia="仿宋" w:cs="仿宋"/>
          <w:color w:val="auto"/>
          <w:highlight w:val="none"/>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auto"/>
          <w:szCs w:val="22"/>
          <w:highlight w:val="none"/>
        </w:rPr>
        <w:t>充。</w:t>
      </w:r>
    </w:p>
    <w:p>
      <w:pPr>
        <w:pStyle w:val="41"/>
        <w:spacing w:line="520" w:lineRule="exact"/>
        <w:ind w:firstLine="560"/>
        <w:rPr>
          <w:rFonts w:ascii="仿宋" w:hAnsi="仿宋" w:eastAsia="仿宋" w:cs="仿宋"/>
          <w:color w:val="auto"/>
          <w:szCs w:val="22"/>
          <w:highlight w:val="none"/>
        </w:rPr>
      </w:pPr>
      <w:r>
        <w:rPr>
          <w:rFonts w:hint="eastAsia" w:ascii="仿宋" w:hAnsi="仿宋" w:eastAsia="仿宋" w:cs="仿宋"/>
          <w:color w:val="auto"/>
          <w:szCs w:val="22"/>
          <w:highlight w:val="none"/>
        </w:rPr>
        <w:t xml:space="preserve">3.2 </w:t>
      </w:r>
      <w:r>
        <w:rPr>
          <w:rStyle w:val="56"/>
          <w:rFonts w:ascii="仿宋" w:hAnsi="仿宋" w:eastAsia="仿宋"/>
          <w:color w:val="auto"/>
          <w:sz w:val="28"/>
          <w:highlight w:val="none"/>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3.3 </w:t>
      </w:r>
      <w:r>
        <w:rPr>
          <w:rFonts w:hint="eastAsia" w:ascii="仿宋" w:hAnsi="仿宋" w:eastAsia="仿宋" w:cs="仿宋"/>
          <w:color w:val="auto"/>
          <w:highlight w:val="none"/>
        </w:rPr>
        <w:t>安装验收合格后，卖方应向买方提供以下技术资料：</w:t>
      </w:r>
    </w:p>
    <w:p>
      <w:pPr>
        <w:pStyle w:val="41"/>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）系统安装图；</w:t>
      </w:r>
    </w:p>
    <w:p>
      <w:pPr>
        <w:pStyle w:val="41"/>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）系统及系统原理图；</w:t>
      </w:r>
    </w:p>
    <w:p>
      <w:pPr>
        <w:pStyle w:val="41"/>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3</w:t>
      </w:r>
      <w:r>
        <w:rPr>
          <w:rFonts w:hint="eastAsia" w:ascii="仿宋" w:hAnsi="仿宋" w:eastAsia="仿宋" w:cs="仿宋"/>
          <w:color w:val="auto"/>
          <w:highlight w:val="none"/>
        </w:rPr>
        <w:t>）电气系统及系统安装图；</w:t>
      </w:r>
    </w:p>
    <w:p>
      <w:pPr>
        <w:pStyle w:val="41"/>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4</w:t>
      </w:r>
      <w:r>
        <w:rPr>
          <w:rFonts w:hint="eastAsia" w:ascii="仿宋" w:hAnsi="仿宋" w:eastAsia="仿宋" w:cs="仿宋"/>
          <w:color w:val="auto"/>
          <w:highlight w:val="none"/>
        </w:rPr>
        <w:t>）构件、机械安装图；</w:t>
      </w:r>
    </w:p>
    <w:p>
      <w:pPr>
        <w:pStyle w:val="41"/>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5</w:t>
      </w:r>
      <w:r>
        <w:rPr>
          <w:rFonts w:hint="eastAsia" w:ascii="仿宋" w:hAnsi="仿宋" w:eastAsia="仿宋" w:cs="仿宋"/>
          <w:color w:val="auto"/>
          <w:highlight w:val="none"/>
        </w:rPr>
        <w:t>）安装手册；</w:t>
      </w:r>
    </w:p>
    <w:p>
      <w:pPr>
        <w:pStyle w:val="41"/>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6</w:t>
      </w:r>
      <w:r>
        <w:rPr>
          <w:rFonts w:hint="eastAsia" w:ascii="仿宋" w:hAnsi="仿宋" w:eastAsia="仿宋" w:cs="仿宋"/>
          <w:color w:val="auto"/>
          <w:highlight w:val="none"/>
        </w:rPr>
        <w:t>）操作手册；</w:t>
      </w:r>
    </w:p>
    <w:p>
      <w:pPr>
        <w:pStyle w:val="41"/>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7</w:t>
      </w:r>
      <w:r>
        <w:rPr>
          <w:rFonts w:hint="eastAsia" w:ascii="仿宋" w:hAnsi="仿宋" w:eastAsia="仿宋" w:cs="仿宋"/>
          <w:color w:val="auto"/>
          <w:highlight w:val="none"/>
        </w:rPr>
        <w:t>）维修保养手册；</w:t>
      </w:r>
    </w:p>
    <w:p>
      <w:pPr>
        <w:pStyle w:val="41"/>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8</w:t>
      </w:r>
      <w:r>
        <w:rPr>
          <w:rFonts w:hint="eastAsia" w:ascii="仿宋" w:hAnsi="仿宋" w:eastAsia="仿宋" w:cs="仿宋"/>
          <w:color w:val="auto"/>
          <w:highlight w:val="none"/>
        </w:rPr>
        <w:t>）制造、安装标准和技术规范；</w:t>
      </w:r>
    </w:p>
    <w:p>
      <w:pPr>
        <w:pStyle w:val="41"/>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9</w:t>
      </w:r>
      <w:r>
        <w:rPr>
          <w:rFonts w:hint="eastAsia" w:ascii="仿宋" w:hAnsi="仿宋" w:eastAsia="仿宋" w:cs="仿宋"/>
          <w:color w:val="auto"/>
          <w:highlight w:val="none"/>
        </w:rPr>
        <w:t>）安装及验收报告</w:t>
      </w:r>
    </w:p>
    <w:p>
      <w:pPr>
        <w:pStyle w:val="41"/>
        <w:spacing w:line="520" w:lineRule="exact"/>
        <w:ind w:firstLine="560"/>
        <w:rPr>
          <w:rFonts w:ascii="仿宋" w:hAnsi="仿宋" w:eastAsia="仿宋"/>
          <w:color w:val="auto"/>
          <w:highlight w:val="none"/>
          <w:u w:val="single"/>
        </w:rPr>
      </w:pPr>
      <w:r>
        <w:rPr>
          <w:rFonts w:hint="eastAsia" w:ascii="仿宋" w:hAnsi="仿宋" w:eastAsia="仿宋" w:cs="仿宋"/>
          <w:color w:val="auto"/>
          <w:highlight w:val="none"/>
        </w:rPr>
        <w:t>（</w:t>
      </w:r>
      <w:r>
        <w:rPr>
          <w:rFonts w:ascii="仿宋" w:hAnsi="仿宋" w:eastAsia="仿宋" w:cs="仿宋"/>
          <w:color w:val="auto"/>
          <w:highlight w:val="none"/>
        </w:rPr>
        <w:t>10</w:t>
      </w:r>
      <w:r>
        <w:rPr>
          <w:rFonts w:hint="eastAsia" w:ascii="仿宋" w:hAnsi="仿宋" w:eastAsia="仿宋" w:cs="仿宋"/>
          <w:color w:val="auto"/>
          <w:highlight w:val="none"/>
        </w:rPr>
        <w:t>）产品出厂合格证</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 </w:t>
      </w:r>
      <w:r>
        <w:rPr>
          <w:rFonts w:hint="eastAsia" w:ascii="仿宋" w:hAnsi="仿宋" w:eastAsia="仿宋" w:cs="仿宋"/>
          <w:color w:val="auto"/>
          <w:highlight w:val="none"/>
        </w:rPr>
        <w:t>结算方式</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4.1 </w:t>
      </w:r>
      <w:r>
        <w:rPr>
          <w:rFonts w:hint="eastAsia" w:ascii="仿宋" w:hAnsi="仿宋" w:eastAsia="仿宋" w:cs="仿宋"/>
          <w:color w:val="auto"/>
          <w:highlight w:val="none"/>
        </w:rPr>
        <w:t>本合同使用的货币种类为：人民币。</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4.2 </w:t>
      </w:r>
      <w:r>
        <w:rPr>
          <w:rFonts w:hint="eastAsia" w:ascii="仿宋" w:hAnsi="仿宋" w:eastAsia="仿宋" w:cs="仿宋"/>
          <w:color w:val="auto"/>
          <w:highlight w:val="none"/>
        </w:rPr>
        <w:t>本合同的付款方式采用：支票、电汇或汇票。</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4.3 </w:t>
      </w:r>
      <w:r>
        <w:rPr>
          <w:rFonts w:hint="eastAsia" w:ascii="仿宋" w:hAnsi="仿宋" w:eastAsia="仿宋" w:cs="仿宋"/>
          <w:color w:val="auto"/>
          <w:highlight w:val="none"/>
        </w:rPr>
        <w:t>货款的支付</w:t>
      </w:r>
    </w:p>
    <w:p>
      <w:pPr>
        <w:pStyle w:val="41"/>
        <w:spacing w:line="520" w:lineRule="exact"/>
        <w:ind w:firstLine="562"/>
        <w:rPr>
          <w:rFonts w:ascii="仿宋" w:hAnsi="仿宋" w:eastAsia="仿宋"/>
          <w:b/>
          <w:color w:val="auto"/>
          <w:sz w:val="24"/>
          <w:szCs w:val="24"/>
          <w:highlight w:val="none"/>
        </w:rPr>
      </w:pPr>
      <w:r>
        <w:rPr>
          <w:rFonts w:ascii="仿宋" w:hAnsi="仿宋" w:eastAsia="仿宋" w:cs="仿宋"/>
          <w:b/>
          <w:bCs/>
          <w:color w:val="auto"/>
          <w:highlight w:val="none"/>
        </w:rPr>
        <w:t>4.3.1</w:t>
      </w:r>
      <w:r>
        <w:rPr>
          <w:rFonts w:hint="eastAsia" w:ascii="仿宋" w:hAnsi="仿宋" w:eastAsia="仿宋" w:cs="仿宋"/>
          <w:b/>
          <w:bCs/>
          <w:color w:val="auto"/>
          <w:highlight w:val="none"/>
        </w:rPr>
        <w:t>付款方式：采购合同签订后，软件基础环境搭建到位后付款30%，软件全部调测、培训到位并正常运行、验收后,付款60%，免费服务期结束后付款剩余10%（免费服务器原则不低于2年，免费服务期指软件验收后约定的免费服务期限）</w:t>
      </w:r>
    </w:p>
    <w:p>
      <w:pPr>
        <w:pStyle w:val="41"/>
        <w:spacing w:line="520" w:lineRule="exact"/>
        <w:ind w:firstLine="560"/>
        <w:rPr>
          <w:rFonts w:ascii="仿宋" w:hAnsi="仿宋" w:eastAsia="仿宋"/>
          <w:b/>
          <w:bCs/>
          <w:color w:val="auto"/>
          <w:highlight w:val="none"/>
        </w:rPr>
      </w:pPr>
      <w:r>
        <w:rPr>
          <w:rFonts w:ascii="仿宋" w:hAnsi="仿宋" w:eastAsia="仿宋" w:cs="仿宋"/>
          <w:bCs/>
          <w:color w:val="auto"/>
          <w:highlight w:val="none"/>
        </w:rPr>
        <w:t xml:space="preserve">4.3.2 </w:t>
      </w:r>
      <w:r>
        <w:rPr>
          <w:rFonts w:hint="eastAsia" w:ascii="仿宋" w:hAnsi="仿宋" w:eastAsia="仿宋" w:cs="仿宋"/>
          <w:bCs/>
          <w:color w:val="auto"/>
          <w:highlight w:val="none"/>
        </w:rPr>
        <w:t>买方将鼓励供应商提出更有利于买方的结算方式</w:t>
      </w:r>
      <w:r>
        <w:rPr>
          <w:rFonts w:hint="eastAsia" w:ascii="仿宋" w:hAnsi="仿宋" w:eastAsia="仿宋" w:cs="仿宋"/>
          <w:b/>
          <w:bCs/>
          <w:color w:val="auto"/>
          <w:highlight w:val="none"/>
        </w:rPr>
        <w:t>。</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4.3.3 </w:t>
      </w:r>
      <w:r>
        <w:rPr>
          <w:rFonts w:hint="eastAsia" w:ascii="仿宋" w:hAnsi="仿宋" w:eastAsia="仿宋" w:cs="仿宋"/>
          <w:color w:val="auto"/>
          <w:highlight w:val="none"/>
        </w:rPr>
        <w:t>卖方应把下列单据提交给买方，买方审核后付款：</w:t>
      </w:r>
    </w:p>
    <w:p>
      <w:pPr>
        <w:pStyle w:val="41"/>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）全额发票；</w:t>
      </w:r>
    </w:p>
    <w:p>
      <w:pPr>
        <w:pStyle w:val="41"/>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）验收文件。</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 </w:t>
      </w:r>
      <w:r>
        <w:rPr>
          <w:rFonts w:hint="eastAsia" w:ascii="仿宋" w:hAnsi="仿宋" w:eastAsia="仿宋" w:cs="仿宋"/>
          <w:color w:val="auto"/>
          <w:highlight w:val="none"/>
        </w:rPr>
        <w:t>合同的生效</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5.1 </w:t>
      </w:r>
      <w:r>
        <w:rPr>
          <w:rFonts w:hint="eastAsia" w:ascii="仿宋" w:hAnsi="仿宋" w:eastAsia="仿宋" w:cs="仿宋"/>
          <w:color w:val="auto"/>
          <w:highlight w:val="none"/>
        </w:rPr>
        <w:t>合同经签字盖章生效，并按第</w:t>
      </w:r>
      <w:r>
        <w:rPr>
          <w:rFonts w:ascii="仿宋" w:hAnsi="仿宋" w:eastAsia="仿宋" w:cs="仿宋"/>
          <w:color w:val="auto"/>
          <w:highlight w:val="none"/>
        </w:rPr>
        <w:t>4</w:t>
      </w:r>
      <w:r>
        <w:rPr>
          <w:rFonts w:hint="eastAsia" w:ascii="仿宋" w:hAnsi="仿宋" w:eastAsia="仿宋" w:cs="仿宋"/>
          <w:color w:val="auto"/>
          <w:highlight w:val="none"/>
        </w:rPr>
        <w:t>条款的付款方式履行合同。</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5.2 </w:t>
      </w:r>
      <w:r>
        <w:rPr>
          <w:rFonts w:hint="eastAsia" w:ascii="仿宋" w:hAnsi="仿宋" w:eastAsia="仿宋" w:cs="仿宋"/>
          <w:color w:val="auto"/>
          <w:highlight w:val="none"/>
        </w:rPr>
        <w:t>若买卖双方发生纠纷，应首先友好协商解决，如不能达成一致意见，任何一方可将争端提交给合同履约地的法院提出诉讼。</w:t>
      </w:r>
    </w:p>
    <w:p>
      <w:pPr>
        <w:pStyle w:val="41"/>
        <w:spacing w:line="520" w:lineRule="exact"/>
        <w:ind w:firstLine="562"/>
        <w:rPr>
          <w:rFonts w:ascii="仿宋" w:hAnsi="仿宋" w:eastAsia="仿宋" w:cs="仿宋"/>
          <w:b/>
          <w:color w:val="auto"/>
          <w:szCs w:val="22"/>
          <w:highlight w:val="none"/>
        </w:rPr>
      </w:pPr>
      <w:r>
        <w:rPr>
          <w:rFonts w:ascii="仿宋" w:hAnsi="仿宋" w:eastAsia="仿宋" w:cs="仿宋"/>
          <w:b/>
          <w:color w:val="auto"/>
          <w:highlight w:val="none"/>
        </w:rPr>
        <w:t xml:space="preserve">6. </w:t>
      </w:r>
      <w:r>
        <w:rPr>
          <w:rFonts w:hint="eastAsia" w:ascii="仿宋" w:hAnsi="仿宋" w:eastAsia="仿宋" w:cs="仿宋"/>
          <w:b/>
          <w:color w:val="auto"/>
          <w:highlight w:val="none"/>
        </w:rPr>
        <w:t>交货期（项目工期）</w:t>
      </w:r>
      <w:r>
        <w:rPr>
          <w:rFonts w:hint="eastAsia" w:ascii="仿宋" w:hAnsi="仿宋" w:eastAsia="仿宋" w:cs="仿宋"/>
          <w:b/>
          <w:color w:val="auto"/>
          <w:szCs w:val="22"/>
          <w:highlight w:val="none"/>
        </w:rPr>
        <w:t>：120个工作日</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 </w:t>
      </w:r>
      <w:r>
        <w:rPr>
          <w:rFonts w:hint="eastAsia" w:ascii="仿宋" w:hAnsi="仿宋" w:eastAsia="仿宋" w:cs="仿宋"/>
          <w:color w:val="auto"/>
          <w:highlight w:val="none"/>
        </w:rPr>
        <w:t>变更指示及合同修改</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7.1 </w:t>
      </w:r>
      <w:r>
        <w:rPr>
          <w:rFonts w:hint="eastAsia" w:ascii="仿宋" w:hAnsi="仿宋" w:eastAsia="仿宋" w:cs="仿宋"/>
          <w:color w:val="auto"/>
          <w:highlight w:val="none"/>
        </w:rPr>
        <w:t>买方在任何时候都可以向卖方发出书面指示，在合同总体范围内提出变更，如变更导致了卖方履行合同项下任何部分义务的费用或所需时间的增减，卖方应在收到买方变更指示的</w:t>
      </w:r>
      <w:r>
        <w:rPr>
          <w:rFonts w:ascii="仿宋" w:hAnsi="仿宋" w:eastAsia="仿宋" w:cs="仿宋"/>
          <w:color w:val="auto"/>
          <w:highlight w:val="none"/>
        </w:rPr>
        <w:t>3</w:t>
      </w:r>
      <w:r>
        <w:rPr>
          <w:rFonts w:hint="eastAsia" w:ascii="仿宋" w:hAnsi="仿宋" w:eastAsia="仿宋" w:cs="仿宋"/>
          <w:color w:val="auto"/>
          <w:highlight w:val="none"/>
        </w:rPr>
        <w:t>日内提出书面调整要求。</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7.2 </w:t>
      </w:r>
      <w:r>
        <w:rPr>
          <w:rFonts w:hint="eastAsia" w:ascii="仿宋" w:hAnsi="仿宋" w:eastAsia="仿宋" w:cs="仿宋"/>
          <w:color w:val="auto"/>
          <w:highlight w:val="none"/>
        </w:rPr>
        <w:t>无论何方欲对合同条款做出任何改动或偏离</w:t>
      </w:r>
      <w:r>
        <w:rPr>
          <w:rFonts w:ascii="仿宋" w:hAnsi="仿宋" w:eastAsia="仿宋" w:cs="仿宋"/>
          <w:color w:val="auto"/>
          <w:highlight w:val="none"/>
        </w:rPr>
        <w:t>,</w:t>
      </w:r>
      <w:r>
        <w:rPr>
          <w:rFonts w:hint="eastAsia" w:ascii="仿宋" w:hAnsi="仿宋" w:eastAsia="仿宋" w:cs="仿宋"/>
          <w:color w:val="auto"/>
          <w:highlight w:val="none"/>
        </w:rPr>
        <w:t>均须合同双方签署书面的合同修改书。</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8</w:t>
      </w:r>
      <w:r>
        <w:rPr>
          <w:rFonts w:hint="eastAsia" w:ascii="仿宋" w:hAnsi="仿宋" w:eastAsia="仿宋" w:cs="仿宋"/>
          <w:color w:val="auto"/>
          <w:highlight w:val="none"/>
        </w:rPr>
        <w:t>．技术培训要求</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8.1 </w:t>
      </w:r>
      <w:r>
        <w:rPr>
          <w:rFonts w:hint="eastAsia" w:ascii="仿宋" w:hAnsi="仿宋" w:eastAsia="仿宋" w:cs="仿宋"/>
          <w:color w:val="auto"/>
          <w:highlight w:val="none"/>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auto"/>
          <w:highlight w:val="none"/>
        </w:rPr>
        <w:t xml:space="preserve">. </w:t>
      </w:r>
      <w:r>
        <w:rPr>
          <w:rFonts w:hint="eastAsia" w:ascii="仿宋" w:hAnsi="仿宋" w:eastAsia="仿宋" w:cs="仿宋"/>
          <w:color w:val="auto"/>
          <w:highlight w:val="none"/>
        </w:rPr>
        <w:t>须提供技术培训，包括系统管理维护培训和系统使用培训。系统正常使用后，在半年内派专人维护保证系统正常运行。</w:t>
      </w:r>
    </w:p>
    <w:p>
      <w:pPr>
        <w:pStyle w:val="41"/>
        <w:spacing w:line="520" w:lineRule="exact"/>
        <w:ind w:firstLine="560"/>
        <w:rPr>
          <w:rFonts w:ascii="仿宋" w:hAnsi="仿宋" w:eastAsia="仿宋" w:cs="仿宋"/>
          <w:color w:val="auto"/>
          <w:highlight w:val="none"/>
        </w:rPr>
      </w:pPr>
      <w:r>
        <w:rPr>
          <w:rFonts w:ascii="仿宋" w:hAnsi="仿宋" w:eastAsia="仿宋" w:cs="仿宋"/>
          <w:color w:val="auto"/>
          <w:highlight w:val="none"/>
        </w:rPr>
        <w:t xml:space="preserve">9. </w:t>
      </w:r>
      <w:r>
        <w:rPr>
          <w:rFonts w:hint="eastAsia" w:ascii="仿宋" w:hAnsi="仿宋" w:eastAsia="仿宋" w:cs="仿宋"/>
          <w:color w:val="auto"/>
          <w:highlight w:val="none"/>
        </w:rPr>
        <w:t>售后服务</w:t>
      </w:r>
    </w:p>
    <w:p>
      <w:pPr>
        <w:pStyle w:val="41"/>
        <w:spacing w:line="520" w:lineRule="exact"/>
        <w:ind w:firstLine="562"/>
        <w:rPr>
          <w:rFonts w:ascii="仿宋" w:hAnsi="仿宋" w:eastAsia="仿宋" w:cs="仿宋"/>
          <w:b/>
          <w:bCs/>
          <w:color w:val="auto"/>
          <w:szCs w:val="22"/>
          <w:highlight w:val="none"/>
        </w:rPr>
      </w:pPr>
      <w:r>
        <w:rPr>
          <w:rFonts w:ascii="仿宋" w:hAnsi="仿宋" w:eastAsia="仿宋" w:cs="仿宋"/>
          <w:b/>
          <w:bCs/>
          <w:color w:val="auto"/>
          <w:highlight w:val="none"/>
        </w:rPr>
        <w:t>9.1</w:t>
      </w:r>
      <w:r>
        <w:rPr>
          <w:rFonts w:hint="eastAsia" w:ascii="仿宋" w:hAnsi="仿宋" w:eastAsia="仿宋" w:cs="仿宋"/>
          <w:b/>
          <w:bCs/>
          <w:color w:val="auto"/>
          <w:highlight w:val="none"/>
        </w:rPr>
        <w:t xml:space="preserve"> </w:t>
      </w:r>
      <w:r>
        <w:rPr>
          <w:rFonts w:hint="eastAsia" w:ascii="仿宋" w:hAnsi="仿宋" w:eastAsia="仿宋" w:cs="仿宋"/>
          <w:b/>
          <w:bCs/>
          <w:color w:val="auto"/>
          <w:szCs w:val="22"/>
          <w:highlight w:val="none"/>
        </w:rPr>
        <w:t>免费服务期：≥</w:t>
      </w:r>
      <w:r>
        <w:rPr>
          <w:rFonts w:hint="eastAsia" w:ascii="仿宋" w:hAnsi="仿宋" w:eastAsia="仿宋" w:cs="仿宋"/>
          <w:b/>
          <w:bCs/>
          <w:color w:val="auto"/>
          <w:szCs w:val="22"/>
          <w:highlight w:val="none"/>
          <w:lang w:val="en-US" w:eastAsia="zh-CN"/>
        </w:rPr>
        <w:t>3</w:t>
      </w:r>
      <w:r>
        <w:rPr>
          <w:rFonts w:hint="eastAsia" w:ascii="仿宋" w:hAnsi="仿宋" w:eastAsia="仿宋" w:cs="仿宋"/>
          <w:b/>
          <w:bCs/>
          <w:color w:val="auto"/>
          <w:szCs w:val="22"/>
          <w:highlight w:val="none"/>
        </w:rPr>
        <w:t>年；免费保修期：附属硬件≥3年。</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9.2 </w:t>
      </w:r>
      <w:r>
        <w:rPr>
          <w:rFonts w:hint="eastAsia" w:ascii="仿宋" w:hAnsi="仿宋" w:eastAsia="仿宋" w:cs="仿宋"/>
          <w:color w:val="auto"/>
          <w:highlight w:val="none"/>
        </w:rPr>
        <w:t>产品安装后双方按国际和国家标准及本章第</w:t>
      </w:r>
      <w:r>
        <w:rPr>
          <w:rFonts w:ascii="仿宋" w:hAnsi="仿宋" w:eastAsia="仿宋" w:cs="仿宋"/>
          <w:color w:val="auto"/>
          <w:highlight w:val="none"/>
        </w:rPr>
        <w:t>3</w:t>
      </w:r>
      <w:r>
        <w:rPr>
          <w:rFonts w:hint="eastAsia" w:ascii="仿宋" w:hAnsi="仿宋" w:eastAsia="仿宋" w:cs="仿宋"/>
          <w:color w:val="auto"/>
          <w:highlight w:val="none"/>
        </w:rPr>
        <w:t>条款的要求进行质量验收。卖方应向买方提供详细的验收标准、验收手册，免费提供验收所需的仪器，买方在验收合格后将仪器归还卖方。</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9.3 </w:t>
      </w:r>
      <w:r>
        <w:rPr>
          <w:rFonts w:hint="eastAsia" w:ascii="仿宋" w:hAnsi="仿宋" w:eastAsia="仿宋" w:cs="仿宋"/>
          <w:color w:val="auto"/>
          <w:highlight w:val="none"/>
        </w:rPr>
        <w:t>自产品验收合格之日起</w:t>
      </w:r>
      <w:r>
        <w:rPr>
          <w:rFonts w:ascii="仿宋" w:hAnsi="仿宋" w:eastAsia="仿宋" w:cs="仿宋"/>
          <w:color w:val="auto"/>
          <w:highlight w:val="none"/>
        </w:rPr>
        <w:t>2</w:t>
      </w:r>
      <w:r>
        <w:rPr>
          <w:rFonts w:hint="eastAsia" w:ascii="仿宋" w:hAnsi="仿宋" w:eastAsia="仿宋" w:cs="仿宋"/>
          <w:color w:val="auto"/>
          <w:highlight w:val="none"/>
        </w:rPr>
        <w:t>年内提供所涉软件的免费升级服务，如“第三章招标内容及技术要求”中技术参数中有特别要求的请根据文件要求。</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9.4 </w:t>
      </w:r>
      <w:r>
        <w:rPr>
          <w:rFonts w:hint="eastAsia" w:ascii="仿宋" w:hAnsi="仿宋" w:eastAsia="仿宋" w:cs="仿宋"/>
          <w:color w:val="auto"/>
          <w:highlight w:val="none"/>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 </w:t>
      </w:r>
      <w:r>
        <w:rPr>
          <w:rFonts w:hint="eastAsia" w:ascii="仿宋" w:hAnsi="仿宋" w:eastAsia="仿宋" w:cs="仿宋"/>
          <w:color w:val="auto"/>
          <w:highlight w:val="none"/>
        </w:rPr>
        <w:t>备品备件</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10.1 </w:t>
      </w:r>
      <w:r>
        <w:rPr>
          <w:rFonts w:hint="eastAsia" w:ascii="仿宋" w:hAnsi="仿宋" w:eastAsia="仿宋" w:cs="仿宋"/>
          <w:color w:val="auto"/>
          <w:highlight w:val="none"/>
        </w:rPr>
        <w:t>应保证终身提供该系统的所有维修零备件。</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10.2 </w:t>
      </w:r>
      <w:r>
        <w:rPr>
          <w:rFonts w:hint="eastAsia" w:ascii="仿宋" w:hAnsi="仿宋" w:eastAsia="仿宋" w:cs="仿宋"/>
          <w:color w:val="auto"/>
          <w:highlight w:val="none"/>
        </w:rPr>
        <w:t>卖方须提供备件的名称、价格及有效期，保证供货期等。</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11</w:t>
      </w:r>
      <w:r>
        <w:rPr>
          <w:rFonts w:hint="eastAsia" w:ascii="仿宋" w:hAnsi="仿宋" w:eastAsia="仿宋" w:cs="仿宋"/>
          <w:color w:val="auto"/>
          <w:highlight w:val="none"/>
        </w:rPr>
        <w:t>．质保</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11.1</w:t>
      </w:r>
      <w:r>
        <w:rPr>
          <w:rFonts w:hint="eastAsia" w:ascii="仿宋" w:hAnsi="仿宋" w:eastAsia="仿宋" w:cs="仿宋"/>
          <w:color w:val="auto"/>
          <w:highlight w:val="none"/>
        </w:rPr>
        <w:t>质保期即自全部工程验收合格正式运行之日算起，详细质保时间参照相应要求。如出现质量问题，卖方在质保期内免费更换部件及维修。如果由于卖方责任致使系统不能验收，此质保期顺延。</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 </w:t>
      </w:r>
      <w:r>
        <w:rPr>
          <w:rFonts w:hint="eastAsia" w:ascii="仿宋" w:hAnsi="仿宋" w:eastAsia="仿宋" w:cs="仿宋"/>
          <w:color w:val="auto"/>
          <w:highlight w:val="none"/>
        </w:rPr>
        <w:t>其它事项</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12.1 </w:t>
      </w:r>
      <w:r>
        <w:rPr>
          <w:rFonts w:hint="eastAsia" w:ascii="仿宋" w:hAnsi="仿宋" w:eastAsia="仿宋" w:cs="仿宋"/>
          <w:color w:val="auto"/>
          <w:highlight w:val="none"/>
        </w:rPr>
        <w:t>本合同所确定的价格为最终价格</w:t>
      </w:r>
      <w:r>
        <w:rPr>
          <w:rFonts w:ascii="仿宋" w:hAnsi="仿宋" w:eastAsia="仿宋" w:cs="仿宋"/>
          <w:color w:val="auto"/>
          <w:highlight w:val="none"/>
        </w:rPr>
        <w:t>,</w:t>
      </w:r>
      <w:r>
        <w:rPr>
          <w:rFonts w:hint="eastAsia" w:ascii="仿宋" w:hAnsi="仿宋" w:eastAsia="仿宋" w:cs="仿宋"/>
          <w:color w:val="auto"/>
          <w:highlight w:val="none"/>
        </w:rPr>
        <w:t>已包含包装费、运杂费、保险费、卖方的现场验收、安装调试费、现场服务费等各项费用。</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12.2 </w:t>
      </w:r>
      <w:r>
        <w:rPr>
          <w:rFonts w:hint="eastAsia" w:ascii="仿宋" w:hAnsi="仿宋" w:eastAsia="仿宋" w:cs="仿宋"/>
          <w:color w:val="auto"/>
          <w:highlight w:val="none"/>
        </w:rPr>
        <w:t>在系统明显位置装有固定金属铭牌，铭牌至少应载明以下内容：</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A</w:t>
      </w:r>
      <w:r>
        <w:rPr>
          <w:rFonts w:hint="eastAsia" w:ascii="仿宋" w:hAnsi="仿宋" w:eastAsia="仿宋" w:cs="仿宋"/>
          <w:color w:val="auto"/>
          <w:highlight w:val="none"/>
        </w:rPr>
        <w:t>、制造厂名称</w:t>
      </w:r>
    </w:p>
    <w:p>
      <w:pPr>
        <w:pStyle w:val="41"/>
        <w:spacing w:line="520" w:lineRule="exact"/>
        <w:ind w:firstLine="560"/>
        <w:rPr>
          <w:rFonts w:ascii="仿宋" w:hAnsi="仿宋" w:eastAsia="仿宋"/>
          <w:color w:val="auto"/>
          <w:highlight w:val="none"/>
        </w:rPr>
      </w:pPr>
      <w:r>
        <w:rPr>
          <w:rFonts w:ascii="仿宋" w:hAnsi="仿宋" w:eastAsia="仿宋" w:cs="仿宋"/>
          <w:color w:val="auto"/>
          <w:highlight w:val="none"/>
        </w:rPr>
        <w:t>B</w:t>
      </w:r>
      <w:r>
        <w:rPr>
          <w:rFonts w:hint="eastAsia" w:ascii="仿宋" w:hAnsi="仿宋" w:eastAsia="仿宋" w:cs="仿宋"/>
          <w:color w:val="auto"/>
          <w:highlight w:val="none"/>
        </w:rPr>
        <w:t>、系统名称和型号规格</w:t>
      </w:r>
    </w:p>
    <w:p>
      <w:pPr>
        <w:pStyle w:val="41"/>
        <w:spacing w:line="520" w:lineRule="exact"/>
        <w:ind w:firstLine="560"/>
        <w:rPr>
          <w:rFonts w:ascii="仿宋" w:hAnsi="仿宋" w:eastAsia="仿宋" w:cs="仿宋"/>
          <w:color w:val="auto"/>
          <w:highlight w:val="none"/>
        </w:rPr>
      </w:pPr>
      <w:r>
        <w:rPr>
          <w:rFonts w:hint="eastAsia" w:ascii="仿宋" w:hAnsi="仿宋" w:eastAsia="仿宋" w:cs="仿宋"/>
          <w:color w:val="auto"/>
          <w:highlight w:val="none"/>
        </w:rPr>
        <w:t>C、制造厂产品编号</w:t>
      </w:r>
    </w:p>
    <w:p>
      <w:pPr>
        <w:pStyle w:val="41"/>
        <w:spacing w:line="520" w:lineRule="exact"/>
        <w:ind w:firstLine="560"/>
        <w:rPr>
          <w:rFonts w:ascii="仿宋" w:hAnsi="仿宋" w:eastAsia="仿宋"/>
          <w:b/>
          <w:color w:val="auto"/>
          <w:sz w:val="36"/>
          <w:highlight w:val="none"/>
        </w:rPr>
      </w:pPr>
      <w:r>
        <w:rPr>
          <w:rFonts w:hint="eastAsia" w:ascii="仿宋" w:hAnsi="仿宋" w:eastAsia="仿宋" w:cs="仿宋"/>
          <w:color w:val="auto"/>
          <w:highlight w:val="none"/>
        </w:rPr>
        <w:t>D、出厂日期</w:t>
      </w:r>
      <w:r>
        <w:rPr>
          <w:rFonts w:hint="eastAsia" w:ascii="仿宋" w:hAnsi="仿宋" w:eastAsia="仿宋"/>
          <w:b/>
          <w:color w:val="auto"/>
          <w:sz w:val="36"/>
          <w:highlight w:val="none"/>
        </w:rPr>
        <w:br w:type="page"/>
      </w:r>
    </w:p>
    <w:p>
      <w:pPr>
        <w:jc w:val="center"/>
        <w:rPr>
          <w:rFonts w:ascii="仿宋" w:hAnsi="仿宋" w:eastAsia="仿宋"/>
          <w:b/>
          <w:color w:val="auto"/>
          <w:highlight w:val="none"/>
        </w:rPr>
      </w:pPr>
      <w:r>
        <w:rPr>
          <w:rFonts w:hint="eastAsia" w:ascii="仿宋" w:hAnsi="仿宋" w:eastAsia="仿宋"/>
          <w:b/>
          <w:color w:val="auto"/>
          <w:sz w:val="36"/>
          <w:highlight w:val="none"/>
        </w:rPr>
        <w:t>附件：投标书格式</w:t>
      </w:r>
    </w:p>
    <w:p>
      <w:pPr>
        <w:pStyle w:val="44"/>
        <w:spacing w:line="360" w:lineRule="auto"/>
        <w:ind w:firstLine="1400" w:firstLineChars="200"/>
        <w:jc w:val="both"/>
        <w:rPr>
          <w:rFonts w:ascii="仿宋" w:hAnsi="仿宋" w:eastAsia="仿宋"/>
          <w:color w:val="auto"/>
          <w:sz w:val="70"/>
          <w:highlight w:val="none"/>
        </w:rPr>
      </w:pPr>
    </w:p>
    <w:p>
      <w:pPr>
        <w:spacing w:line="360" w:lineRule="atLeast"/>
        <w:jc w:val="right"/>
        <w:rPr>
          <w:rFonts w:ascii="仿宋" w:hAnsi="仿宋" w:eastAsia="仿宋"/>
          <w:b/>
          <w:color w:val="auto"/>
          <w:sz w:val="72"/>
          <w:highlight w:val="none"/>
        </w:rPr>
      </w:pPr>
      <w:r>
        <w:rPr>
          <w:rFonts w:hint="eastAsia" w:ascii="仿宋" w:hAnsi="仿宋" w:eastAsia="仿宋"/>
          <w:b/>
          <w:color w:val="auto"/>
          <w:sz w:val="72"/>
          <w:highlight w:val="none"/>
        </w:rPr>
        <w:t>项目</w:t>
      </w:r>
    </w:p>
    <w:p>
      <w:pPr>
        <w:spacing w:line="360" w:lineRule="atLeast"/>
        <w:jc w:val="center"/>
        <w:rPr>
          <w:rFonts w:ascii="仿宋" w:hAnsi="仿宋" w:eastAsia="仿宋"/>
          <w:color w:val="auto"/>
          <w:highlight w:val="none"/>
        </w:rPr>
      </w:pPr>
      <w:r>
        <w:rPr>
          <w:rFonts w:hint="eastAsia" w:ascii="仿宋" w:hAnsi="仿宋" w:eastAsia="仿宋"/>
          <w:b/>
          <w:color w:val="auto"/>
          <w:sz w:val="72"/>
          <w:highlight w:val="none"/>
        </w:rPr>
        <w:t>投标书</w:t>
      </w:r>
    </w:p>
    <w:p>
      <w:pPr>
        <w:spacing w:line="360" w:lineRule="atLeast"/>
        <w:rPr>
          <w:rFonts w:ascii="仿宋" w:hAnsi="仿宋" w:eastAsia="仿宋"/>
          <w:color w:val="auto"/>
          <w:highlight w:val="none"/>
        </w:rPr>
      </w:pPr>
    </w:p>
    <w:p>
      <w:pPr>
        <w:spacing w:line="360" w:lineRule="atLeast"/>
        <w:ind w:firstLine="420"/>
        <w:rPr>
          <w:rFonts w:ascii="仿宋" w:hAnsi="仿宋" w:eastAsia="仿宋"/>
          <w:color w:val="auto"/>
          <w:highlight w:val="none"/>
        </w:rPr>
      </w:pPr>
    </w:p>
    <w:p>
      <w:pPr>
        <w:spacing w:line="360" w:lineRule="atLeast"/>
        <w:ind w:firstLine="880" w:firstLineChars="200"/>
        <w:rPr>
          <w:rFonts w:ascii="仿宋" w:hAnsi="仿宋" w:eastAsia="仿宋"/>
          <w:color w:val="auto"/>
          <w:sz w:val="44"/>
          <w:highlight w:val="none"/>
        </w:rPr>
      </w:pPr>
      <w:r>
        <w:rPr>
          <w:rFonts w:hint="eastAsia" w:ascii="仿宋" w:hAnsi="仿宋" w:eastAsia="仿宋"/>
          <w:color w:val="auto"/>
          <w:sz w:val="44"/>
          <w:highlight w:val="none"/>
        </w:rPr>
        <w:t>项目名称：</w:t>
      </w:r>
    </w:p>
    <w:p>
      <w:pPr>
        <w:spacing w:line="360" w:lineRule="atLeast"/>
        <w:ind w:firstLine="880"/>
        <w:rPr>
          <w:rFonts w:ascii="仿宋" w:hAnsi="仿宋" w:eastAsia="仿宋"/>
          <w:color w:val="auto"/>
          <w:sz w:val="44"/>
          <w:highlight w:val="none"/>
        </w:rPr>
      </w:pPr>
    </w:p>
    <w:p>
      <w:pPr>
        <w:spacing w:line="360" w:lineRule="atLeast"/>
        <w:ind w:firstLine="880"/>
        <w:rPr>
          <w:rFonts w:ascii="仿宋" w:hAnsi="仿宋" w:eastAsia="仿宋"/>
          <w:color w:val="auto"/>
          <w:sz w:val="44"/>
          <w:highlight w:val="none"/>
        </w:rPr>
      </w:pPr>
      <w:r>
        <w:rPr>
          <w:rFonts w:hint="eastAsia" w:ascii="仿宋" w:hAnsi="仿宋" w:eastAsia="仿宋"/>
          <w:color w:val="auto"/>
          <w:sz w:val="44"/>
          <w:highlight w:val="none"/>
        </w:rPr>
        <w:t>供应商名称：</w:t>
      </w:r>
    </w:p>
    <w:p>
      <w:pPr>
        <w:spacing w:line="360" w:lineRule="atLeast"/>
        <w:ind w:firstLine="880"/>
        <w:rPr>
          <w:rFonts w:ascii="仿宋" w:hAnsi="仿宋" w:eastAsia="仿宋"/>
          <w:color w:val="auto"/>
          <w:sz w:val="44"/>
          <w:highlight w:val="none"/>
        </w:rPr>
      </w:pPr>
    </w:p>
    <w:p>
      <w:pPr>
        <w:spacing w:line="360" w:lineRule="atLeast"/>
        <w:ind w:firstLine="880"/>
        <w:rPr>
          <w:rFonts w:ascii="仿宋" w:hAnsi="仿宋" w:eastAsia="仿宋"/>
          <w:color w:val="auto"/>
          <w:highlight w:val="none"/>
        </w:rPr>
      </w:pPr>
      <w:r>
        <w:rPr>
          <w:rFonts w:hint="eastAsia" w:ascii="仿宋" w:hAnsi="仿宋" w:eastAsia="仿宋"/>
          <w:color w:val="auto"/>
          <w:sz w:val="44"/>
          <w:highlight w:val="none"/>
        </w:rPr>
        <w:t>供应商全权代表：</w:t>
      </w:r>
    </w:p>
    <w:p>
      <w:pPr>
        <w:spacing w:line="360" w:lineRule="atLeast"/>
        <w:ind w:firstLine="640"/>
        <w:rPr>
          <w:rFonts w:ascii="仿宋" w:hAnsi="仿宋" w:eastAsia="仿宋"/>
          <w:color w:val="auto"/>
          <w:sz w:val="32"/>
          <w:highlight w:val="none"/>
        </w:rPr>
      </w:pPr>
    </w:p>
    <w:p>
      <w:pPr>
        <w:spacing w:line="360" w:lineRule="atLeast"/>
        <w:ind w:firstLine="640"/>
        <w:rPr>
          <w:rFonts w:ascii="仿宋" w:hAnsi="仿宋" w:eastAsia="仿宋"/>
          <w:color w:val="auto"/>
          <w:sz w:val="32"/>
          <w:highlight w:val="none"/>
        </w:rPr>
      </w:pPr>
    </w:p>
    <w:p>
      <w:pPr>
        <w:spacing w:line="360" w:lineRule="atLeast"/>
        <w:ind w:firstLine="720"/>
        <w:jc w:val="center"/>
        <w:rPr>
          <w:rFonts w:ascii="仿宋" w:hAnsi="仿宋" w:eastAsia="仿宋"/>
          <w:color w:val="auto"/>
          <w:sz w:val="36"/>
          <w:highlight w:val="none"/>
        </w:rPr>
      </w:pPr>
      <w:r>
        <w:rPr>
          <w:rFonts w:hint="eastAsia" w:ascii="仿宋" w:hAnsi="仿宋" w:eastAsia="仿宋"/>
          <w:color w:val="auto"/>
          <w:sz w:val="36"/>
          <w:highlight w:val="none"/>
        </w:rPr>
        <w:t>年      月      日</w:t>
      </w:r>
    </w:p>
    <w:p>
      <w:pPr>
        <w:spacing w:line="360" w:lineRule="atLeast"/>
        <w:ind w:firstLine="720"/>
        <w:jc w:val="right"/>
        <w:rPr>
          <w:rFonts w:ascii="仿宋" w:hAnsi="仿宋" w:eastAsia="仿宋"/>
          <w:color w:val="auto"/>
          <w:sz w:val="28"/>
          <w:highlight w:val="none"/>
        </w:rPr>
      </w:pPr>
      <w:r>
        <w:rPr>
          <w:rFonts w:hint="eastAsia" w:ascii="仿宋" w:hAnsi="仿宋" w:eastAsia="仿宋"/>
          <w:color w:val="auto"/>
          <w:sz w:val="36"/>
          <w:highlight w:val="none"/>
        </w:rPr>
        <w:br w:type="page"/>
      </w:r>
      <w:r>
        <w:rPr>
          <w:rFonts w:hint="eastAsia" w:ascii="仿宋" w:hAnsi="仿宋" w:eastAsia="仿宋"/>
          <w:color w:val="auto"/>
          <w:sz w:val="28"/>
          <w:highlight w:val="none"/>
        </w:rPr>
        <w:t>附件一</w:t>
      </w:r>
    </w:p>
    <w:p>
      <w:pPr>
        <w:pStyle w:val="5"/>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color w:val="auto"/>
          <w:sz w:val="44"/>
          <w:szCs w:val="44"/>
          <w:highlight w:val="none"/>
        </w:rPr>
      </w:pPr>
      <w:r>
        <w:rPr>
          <w:rFonts w:hint="eastAsia" w:ascii="仿宋" w:hAnsi="仿宋" w:eastAsia="仿宋" w:cs="宋体"/>
          <w:bCs/>
          <w:color w:val="auto"/>
          <w:sz w:val="44"/>
          <w:szCs w:val="44"/>
          <w:highlight w:val="none"/>
        </w:rPr>
        <w:t>投  标  书</w:t>
      </w:r>
    </w:p>
    <w:p>
      <w:pPr>
        <w:pStyle w:val="45"/>
        <w:ind w:firstLine="0" w:firstLineChars="0"/>
        <w:jc w:val="both"/>
        <w:rPr>
          <w:rFonts w:ascii="仿宋" w:hAnsi="仿宋" w:eastAsia="仿宋"/>
          <w:color w:val="auto"/>
          <w:highlight w:val="none"/>
        </w:rPr>
      </w:pPr>
      <w:r>
        <w:rPr>
          <w:rFonts w:hint="eastAsia" w:ascii="仿宋" w:hAnsi="仿宋" w:eastAsia="仿宋"/>
          <w:color w:val="auto"/>
          <w:highlight w:val="none"/>
        </w:rPr>
        <w:t>新疆新之建工程咨询有限公司：</w:t>
      </w:r>
    </w:p>
    <w:p>
      <w:pPr>
        <w:spacing w:line="360" w:lineRule="atLeast"/>
        <w:ind w:firstLine="420"/>
        <w:rPr>
          <w:rFonts w:ascii="仿宋" w:hAnsi="仿宋" w:eastAsia="仿宋"/>
          <w:color w:val="auto"/>
          <w:highlight w:val="none"/>
        </w:rPr>
      </w:pP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我们收到你们</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号招标文件，经认真研究，我们决定参加投标。</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⒈按照招标文件中的一切要求，提供招标货物、安装及技术服务，投标总价</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元（人民币大写）￥：</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元（用阿拉伯数字书写）人民币，明细见投标产品名称数量报价表。</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⒉如果我们的投标书被接受，我们将履行招标文件中规定的每一项要求，按期、按质、按量完成交货和完工任务。</w:t>
      </w:r>
    </w:p>
    <w:p>
      <w:pPr>
        <w:spacing w:line="360" w:lineRule="atLeast"/>
        <w:ind w:firstLine="560" w:firstLineChars="200"/>
        <w:rPr>
          <w:rFonts w:ascii="仿宋" w:hAnsi="仿宋" w:eastAsia="仿宋"/>
          <w:color w:val="auto"/>
          <w:sz w:val="28"/>
          <w:highlight w:val="none"/>
        </w:rPr>
      </w:pPr>
      <w:r>
        <w:rPr>
          <w:rFonts w:hint="eastAsia" w:ascii="仿宋" w:hAnsi="仿宋" w:eastAsia="仿宋"/>
          <w:color w:val="auto"/>
          <w:sz w:val="28"/>
          <w:highlight w:val="none"/>
        </w:rPr>
        <w:t>⒊我们同意投标书在招标文件规定的投标截止日期届满后立即对供应商产生法律约束力，投标有效期截至开标日后90日历天。</w:t>
      </w:r>
    </w:p>
    <w:p>
      <w:pPr>
        <w:spacing w:line="360" w:lineRule="atLeast"/>
        <w:ind w:firstLine="560" w:firstLineChars="200"/>
        <w:rPr>
          <w:rFonts w:ascii="仿宋" w:hAnsi="仿宋" w:eastAsia="仿宋"/>
          <w:color w:val="auto"/>
          <w:sz w:val="28"/>
          <w:highlight w:val="none"/>
        </w:rPr>
      </w:pPr>
      <w:r>
        <w:rPr>
          <w:rFonts w:hint="eastAsia" w:ascii="仿宋" w:hAnsi="仿宋" w:eastAsia="仿宋"/>
          <w:color w:val="auto"/>
          <w:sz w:val="28"/>
          <w:highlight w:val="none"/>
        </w:rPr>
        <w:t>⒋我们愿意提供采购人在招标文件中要求的所有资料。</w:t>
      </w:r>
    </w:p>
    <w:p>
      <w:pPr>
        <w:spacing w:line="360" w:lineRule="atLeast"/>
        <w:ind w:firstLine="560" w:firstLineChars="200"/>
        <w:rPr>
          <w:rFonts w:ascii="仿宋" w:hAnsi="仿宋" w:eastAsia="仿宋"/>
          <w:color w:val="auto"/>
          <w:sz w:val="28"/>
          <w:highlight w:val="none"/>
        </w:rPr>
      </w:pPr>
      <w:r>
        <w:rPr>
          <w:rFonts w:hint="eastAsia" w:ascii="仿宋" w:hAnsi="仿宋" w:eastAsia="仿宋"/>
          <w:color w:val="auto"/>
          <w:sz w:val="28"/>
          <w:highlight w:val="none"/>
        </w:rPr>
        <w:t>⒌我们认为你们有选择或拒绝任何投标者中标的权力。</w:t>
      </w:r>
    </w:p>
    <w:p>
      <w:pPr>
        <w:spacing w:line="360" w:lineRule="atLeast"/>
        <w:ind w:firstLine="560" w:firstLineChars="200"/>
        <w:rPr>
          <w:rFonts w:ascii="仿宋" w:hAnsi="仿宋" w:eastAsia="仿宋"/>
          <w:color w:val="auto"/>
          <w:sz w:val="28"/>
          <w:highlight w:val="none"/>
        </w:rPr>
      </w:pPr>
      <w:r>
        <w:rPr>
          <w:rFonts w:hint="eastAsia" w:ascii="仿宋" w:hAnsi="仿宋" w:eastAsia="仿宋"/>
          <w:color w:val="auto"/>
          <w:sz w:val="28"/>
          <w:highlight w:val="none"/>
        </w:rPr>
        <w:t>6.我们理解，最低报价不是中标的唯一条件。</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7.我们愿按合同法履行自己的全部责任。</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8.我方愿意遵守国家有关规定及招标文件中规定的收费标准，承付中标服务费。</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9.该项投标在开标后的全过程中保持有效，不作任何更改和变动。</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10.我们同意按招标文件规定，交纳</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11.综合说明：</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（1）材料的详细技术参数、技术条件、技术标准、拟达到的质量标准和保险期限。</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（2）易损件、配件及供应方式。</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（3）工程安装计划、组织机构及人员安排。</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（4）技术服务。</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（5）运输方式。</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（6）要求项目单位提供的配合。</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（7）对招标文件内容有不同意见的偏离说明。</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（8）其它。</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12.所有有关本标书的函电，请按下列地址联系：</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单       位：</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地       址：</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电       话：</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传       真：</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邮 政 编 码：</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联  系  人：</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 xml:space="preserve">投标单位：   （公章）   </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授权代表签字：</w:t>
      </w:r>
    </w:p>
    <w:p>
      <w:pPr>
        <w:spacing w:line="360" w:lineRule="atLeast"/>
        <w:ind w:firstLine="560"/>
        <w:rPr>
          <w:rFonts w:ascii="仿宋" w:hAnsi="仿宋" w:eastAsia="仿宋"/>
          <w:color w:val="auto"/>
          <w:sz w:val="28"/>
          <w:highlight w:val="none"/>
        </w:rPr>
      </w:pPr>
    </w:p>
    <w:p>
      <w:pPr>
        <w:spacing w:line="360" w:lineRule="atLeast"/>
        <w:ind w:firstLine="4877" w:firstLineChars="1742"/>
        <w:jc w:val="right"/>
        <w:rPr>
          <w:rFonts w:ascii="仿宋" w:hAnsi="仿宋" w:eastAsia="仿宋"/>
          <w:b/>
          <w:color w:val="auto"/>
          <w:sz w:val="28"/>
          <w:highlight w:val="none"/>
        </w:rPr>
      </w:pPr>
      <w:r>
        <w:rPr>
          <w:rFonts w:hint="eastAsia" w:ascii="仿宋" w:hAnsi="仿宋" w:eastAsia="仿宋"/>
          <w:color w:val="auto"/>
          <w:sz w:val="28"/>
          <w:highlight w:val="none"/>
        </w:rPr>
        <w:t>年   月    日</w:t>
      </w:r>
      <w:r>
        <w:rPr>
          <w:rFonts w:hint="eastAsia" w:ascii="仿宋" w:hAnsi="仿宋" w:eastAsia="仿宋"/>
          <w:b/>
          <w:color w:val="auto"/>
          <w:sz w:val="28"/>
          <w:highlight w:val="none"/>
        </w:rPr>
        <w:br w:type="page"/>
      </w:r>
      <w:r>
        <w:rPr>
          <w:rFonts w:hint="eastAsia" w:ascii="仿宋" w:hAnsi="仿宋" w:eastAsia="仿宋"/>
          <w:color w:val="auto"/>
          <w:sz w:val="28"/>
          <w:highlight w:val="none"/>
        </w:rPr>
        <w:t>附件二</w:t>
      </w:r>
    </w:p>
    <w:p>
      <w:pPr>
        <w:pStyle w:val="5"/>
        <w:spacing w:line="500" w:lineRule="exact"/>
        <w:jc w:val="center"/>
        <w:rPr>
          <w:rFonts w:ascii="仿宋" w:hAnsi="仿宋" w:eastAsia="仿宋"/>
          <w:color w:val="auto"/>
          <w:sz w:val="32"/>
          <w:highlight w:val="none"/>
        </w:rPr>
      </w:pPr>
      <w:r>
        <w:rPr>
          <w:rFonts w:ascii="仿宋" w:hAnsi="仿宋" w:eastAsia="仿宋"/>
          <w:color w:val="auto"/>
          <w:sz w:val="32"/>
          <w:highlight w:val="none"/>
        </w:rPr>
        <w:t>法定代表人资格证明书</w:t>
      </w:r>
      <w:r>
        <w:rPr>
          <w:rFonts w:hint="eastAsia" w:ascii="仿宋" w:hAnsi="仿宋" w:eastAsia="仿宋"/>
          <w:color w:val="auto"/>
          <w:sz w:val="32"/>
          <w:highlight w:val="none"/>
        </w:rPr>
        <w:t>（格式）</w:t>
      </w:r>
    </w:p>
    <w:p>
      <w:pPr>
        <w:spacing w:line="500" w:lineRule="exact"/>
        <w:rPr>
          <w:rFonts w:ascii="仿宋" w:hAnsi="仿宋" w:eastAsia="仿宋"/>
          <w:color w:val="auto"/>
          <w:szCs w:val="21"/>
          <w:highlight w:val="none"/>
        </w:rPr>
      </w:pPr>
    </w:p>
    <w:p>
      <w:pPr>
        <w:pStyle w:val="41"/>
        <w:spacing w:line="580" w:lineRule="exact"/>
        <w:ind w:firstLine="560"/>
        <w:rPr>
          <w:rFonts w:ascii="仿宋" w:hAnsi="仿宋" w:eastAsia="仿宋"/>
          <w:color w:val="auto"/>
          <w:highlight w:val="none"/>
          <w:u w:val="single"/>
        </w:rPr>
      </w:pPr>
      <w:r>
        <w:rPr>
          <w:rFonts w:ascii="仿宋" w:hAnsi="仿宋" w:eastAsia="仿宋"/>
          <w:color w:val="auto"/>
          <w:highlight w:val="none"/>
        </w:rPr>
        <w:t>单位名称：</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pPr>
        <w:pStyle w:val="41"/>
        <w:spacing w:line="580" w:lineRule="exact"/>
        <w:ind w:firstLine="560"/>
        <w:rPr>
          <w:rFonts w:ascii="仿宋" w:hAnsi="仿宋" w:eastAsia="仿宋"/>
          <w:color w:val="auto"/>
          <w:highlight w:val="none"/>
        </w:rPr>
      </w:pPr>
      <w:r>
        <w:rPr>
          <w:rFonts w:ascii="仿宋" w:hAnsi="仿宋" w:eastAsia="仿宋"/>
          <w:color w:val="auto"/>
          <w:highlight w:val="none"/>
        </w:rPr>
        <w:t>地    址：</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pPr>
        <w:pStyle w:val="41"/>
        <w:spacing w:line="580" w:lineRule="exact"/>
        <w:ind w:firstLine="560"/>
        <w:rPr>
          <w:rFonts w:ascii="仿宋" w:hAnsi="仿宋" w:eastAsia="仿宋"/>
          <w:color w:val="auto"/>
          <w:highlight w:val="none"/>
        </w:rPr>
      </w:pPr>
      <w:r>
        <w:rPr>
          <w:rFonts w:ascii="仿宋" w:hAnsi="仿宋" w:eastAsia="仿宋"/>
          <w:color w:val="auto"/>
          <w:highlight w:val="none"/>
        </w:rPr>
        <w:t>姓    名：</w:t>
      </w:r>
      <w:r>
        <w:rPr>
          <w:rFonts w:hint="eastAsia" w:ascii="仿宋" w:hAnsi="仿宋" w:eastAsia="仿宋"/>
          <w:color w:val="auto"/>
          <w:highlight w:val="none"/>
          <w:u w:val="single"/>
        </w:rPr>
        <w:t xml:space="preserve">             </w:t>
      </w:r>
      <w:r>
        <w:rPr>
          <w:rFonts w:ascii="仿宋" w:hAnsi="仿宋" w:eastAsia="仿宋"/>
          <w:color w:val="auto"/>
          <w:highlight w:val="none"/>
        </w:rPr>
        <w:t>性别：</w:t>
      </w:r>
      <w:r>
        <w:rPr>
          <w:rFonts w:hint="eastAsia" w:ascii="仿宋" w:hAnsi="仿宋" w:eastAsia="仿宋"/>
          <w:color w:val="auto"/>
          <w:highlight w:val="none"/>
          <w:u w:val="single"/>
        </w:rPr>
        <w:t xml:space="preserve">     </w:t>
      </w:r>
      <w:r>
        <w:rPr>
          <w:rFonts w:ascii="仿宋" w:hAnsi="仿宋" w:eastAsia="仿宋"/>
          <w:color w:val="auto"/>
          <w:highlight w:val="none"/>
        </w:rPr>
        <w:t>年龄：</w:t>
      </w:r>
      <w:r>
        <w:rPr>
          <w:rFonts w:hint="eastAsia" w:ascii="仿宋" w:hAnsi="仿宋" w:eastAsia="仿宋"/>
          <w:color w:val="auto"/>
          <w:highlight w:val="none"/>
          <w:u w:val="single"/>
        </w:rPr>
        <w:t xml:space="preserve">     </w:t>
      </w:r>
      <w:r>
        <w:rPr>
          <w:rFonts w:ascii="仿宋" w:hAnsi="仿宋" w:eastAsia="仿宋"/>
          <w:color w:val="auto"/>
          <w:highlight w:val="none"/>
        </w:rPr>
        <w:t>职务：</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该同志</w:t>
      </w:r>
      <w:r>
        <w:rPr>
          <w:rFonts w:ascii="仿宋" w:hAnsi="仿宋" w:eastAsia="仿宋"/>
          <w:color w:val="auto"/>
          <w:highlight w:val="none"/>
        </w:rPr>
        <w:t>系</w:t>
      </w:r>
      <w:r>
        <w:rPr>
          <w:rFonts w:hint="eastAsia" w:ascii="仿宋" w:hAnsi="仿宋" w:eastAsia="仿宋"/>
          <w:color w:val="auto"/>
          <w:highlight w:val="none"/>
          <w:u w:val="single"/>
        </w:rPr>
        <w:t>公司</w:t>
      </w:r>
      <w:r>
        <w:rPr>
          <w:rFonts w:ascii="仿宋" w:hAnsi="仿宋" w:eastAsia="仿宋"/>
          <w:color w:val="auto"/>
          <w:highlight w:val="none"/>
        </w:rPr>
        <w:t>的法定代表人。为</w:t>
      </w:r>
      <w:r>
        <w:rPr>
          <w:rFonts w:hint="eastAsia" w:ascii="仿宋" w:hAnsi="仿宋" w:eastAsia="仿宋"/>
          <w:color w:val="auto"/>
          <w:highlight w:val="none"/>
        </w:rPr>
        <w:t>参加本项目</w:t>
      </w:r>
      <w:r>
        <w:rPr>
          <w:rFonts w:ascii="仿宋" w:hAnsi="仿宋" w:eastAsia="仿宋"/>
          <w:color w:val="auto"/>
          <w:highlight w:val="none"/>
        </w:rPr>
        <w:t>，签署上述的</w:t>
      </w:r>
      <w:r>
        <w:rPr>
          <w:rFonts w:hint="eastAsia" w:ascii="仿宋" w:hAnsi="仿宋" w:eastAsia="仿宋"/>
          <w:color w:val="auto"/>
          <w:highlight w:val="none"/>
        </w:rPr>
        <w:t>投标</w:t>
      </w:r>
      <w:r>
        <w:rPr>
          <w:rFonts w:ascii="仿宋" w:hAnsi="仿宋" w:eastAsia="仿宋"/>
          <w:color w:val="auto"/>
          <w:highlight w:val="none"/>
        </w:rPr>
        <w:t>文件、进行合同谈判、签署合同和处理与之有关的一切事务。</w:t>
      </w:r>
    </w:p>
    <w:p>
      <w:pPr>
        <w:pStyle w:val="41"/>
        <w:spacing w:line="580" w:lineRule="exact"/>
        <w:ind w:firstLine="560"/>
        <w:rPr>
          <w:rFonts w:ascii="仿宋" w:hAnsi="仿宋" w:eastAsia="仿宋"/>
          <w:color w:val="auto"/>
          <w:highlight w:val="none"/>
        </w:rPr>
      </w:pPr>
    </w:p>
    <w:p>
      <w:pPr>
        <w:pStyle w:val="41"/>
        <w:spacing w:line="580" w:lineRule="exact"/>
        <w:ind w:firstLine="560"/>
        <w:rPr>
          <w:rFonts w:ascii="仿宋" w:hAnsi="仿宋" w:eastAsia="仿宋"/>
          <w:color w:val="auto"/>
          <w:highlight w:val="none"/>
        </w:rPr>
      </w:pPr>
      <w:r>
        <w:rPr>
          <w:rFonts w:ascii="仿宋" w:hAnsi="仿宋" w:eastAsia="仿宋"/>
          <w:color w:val="auto"/>
          <w:highlight w:val="none"/>
        </w:rPr>
        <w:t>特此证明</w:t>
      </w:r>
    </w:p>
    <w:p>
      <w:pPr>
        <w:pStyle w:val="41"/>
        <w:ind w:firstLine="560"/>
        <w:rPr>
          <w:rFonts w:ascii="仿宋" w:hAnsi="仿宋" w:eastAsia="仿宋"/>
          <w:color w:val="auto"/>
          <w:highlight w:val="none"/>
        </w:rPr>
      </w:pPr>
    </w:p>
    <w:p>
      <w:pPr>
        <w:pStyle w:val="41"/>
        <w:ind w:firstLine="560"/>
        <w:rPr>
          <w:rFonts w:ascii="仿宋" w:hAnsi="仿宋" w:eastAsia="仿宋"/>
          <w:color w:val="auto"/>
          <w:highlight w:val="none"/>
        </w:rPr>
      </w:pPr>
    </w:p>
    <w:p>
      <w:pPr>
        <w:pStyle w:val="41"/>
        <w:ind w:firstLine="4200" w:firstLineChars="1500"/>
        <w:rPr>
          <w:rFonts w:ascii="仿宋" w:hAnsi="仿宋" w:eastAsia="仿宋"/>
          <w:color w:val="auto"/>
          <w:highlight w:val="none"/>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rPr>
        <w:t xml:space="preserve">    </w:t>
      </w:r>
      <w:r>
        <w:rPr>
          <w:rFonts w:ascii="仿宋" w:hAnsi="仿宋" w:eastAsia="仿宋"/>
          <w:color w:val="auto"/>
          <w:highlight w:val="none"/>
        </w:rPr>
        <w:t>（</w:t>
      </w:r>
      <w:r>
        <w:rPr>
          <w:rFonts w:hint="eastAsia" w:ascii="仿宋" w:hAnsi="仿宋" w:eastAsia="仿宋"/>
          <w:color w:val="auto"/>
          <w:highlight w:val="none"/>
        </w:rPr>
        <w:t>公</w:t>
      </w:r>
      <w:r>
        <w:rPr>
          <w:rFonts w:ascii="仿宋" w:hAnsi="仿宋" w:eastAsia="仿宋"/>
          <w:color w:val="auto"/>
          <w:highlight w:val="none"/>
        </w:rPr>
        <w:t>章）</w:t>
      </w:r>
      <w:r>
        <w:rPr>
          <w:rFonts w:hint="eastAsia" w:ascii="仿宋" w:hAnsi="仿宋" w:eastAsia="仿宋"/>
          <w:color w:val="auto"/>
          <w:highlight w:val="none"/>
        </w:rPr>
        <w:t xml:space="preserve">   </w:t>
      </w:r>
    </w:p>
    <w:p>
      <w:pPr>
        <w:pStyle w:val="41"/>
        <w:ind w:firstLine="4200" w:firstLineChars="1500"/>
        <w:rPr>
          <w:rFonts w:ascii="仿宋" w:hAnsi="仿宋" w:eastAsia="仿宋"/>
          <w:color w:val="auto"/>
          <w:highlight w:val="none"/>
        </w:rPr>
      </w:pPr>
    </w:p>
    <w:p>
      <w:pPr>
        <w:pStyle w:val="41"/>
        <w:ind w:firstLine="4200" w:firstLineChars="1500"/>
        <w:rPr>
          <w:rFonts w:ascii="仿宋" w:hAnsi="仿宋" w:eastAsia="仿宋"/>
          <w:color w:val="auto"/>
          <w:highlight w:val="none"/>
        </w:rPr>
      </w:pPr>
      <w:r>
        <w:rPr>
          <w:rFonts w:hint="eastAsia" w:ascii="仿宋" w:hAnsi="仿宋" w:eastAsia="仿宋"/>
          <w:color w:val="auto"/>
          <w:highlight w:val="none"/>
        </w:rPr>
        <w:t>法定代表人签名：</w:t>
      </w:r>
    </w:p>
    <w:p>
      <w:pPr>
        <w:pStyle w:val="41"/>
        <w:ind w:firstLine="4200" w:firstLineChars="1500"/>
        <w:rPr>
          <w:rFonts w:ascii="仿宋" w:hAnsi="仿宋" w:eastAsia="仿宋"/>
          <w:color w:val="auto"/>
          <w:highlight w:val="none"/>
        </w:rPr>
      </w:pPr>
    </w:p>
    <w:p>
      <w:pPr>
        <w:pStyle w:val="41"/>
        <w:ind w:firstLine="4200" w:firstLineChars="1500"/>
        <w:rPr>
          <w:rFonts w:ascii="仿宋" w:hAnsi="仿宋" w:eastAsia="仿宋"/>
          <w:color w:val="auto"/>
          <w:highlight w:val="none"/>
        </w:rPr>
      </w:pPr>
      <w:r>
        <w:rPr>
          <w:rFonts w:ascii="仿宋" w:hAnsi="仿宋" w:eastAsia="仿宋"/>
          <w:color w:val="auto"/>
          <w:highlight w:val="none"/>
        </w:rPr>
        <w:t>日  期：</w:t>
      </w:r>
      <w:r>
        <w:rPr>
          <w:rFonts w:hint="eastAsia" w:ascii="仿宋" w:hAnsi="仿宋" w:eastAsia="仿宋"/>
          <w:color w:val="auto"/>
          <w:highlight w:val="none"/>
        </w:rPr>
        <w:t xml:space="preserve">   </w:t>
      </w:r>
      <w:r>
        <w:rPr>
          <w:rFonts w:ascii="仿宋" w:hAnsi="仿宋" w:eastAsia="仿宋"/>
          <w:color w:val="auto"/>
          <w:highlight w:val="none"/>
        </w:rPr>
        <w:t>年</w:t>
      </w:r>
      <w:r>
        <w:rPr>
          <w:rFonts w:hint="eastAsia" w:ascii="仿宋" w:hAnsi="仿宋" w:eastAsia="仿宋"/>
          <w:color w:val="auto"/>
          <w:highlight w:val="none"/>
        </w:rPr>
        <w:t xml:space="preserve">   </w:t>
      </w:r>
      <w:r>
        <w:rPr>
          <w:rFonts w:ascii="仿宋" w:hAnsi="仿宋" w:eastAsia="仿宋"/>
          <w:color w:val="auto"/>
          <w:highlight w:val="none"/>
        </w:rPr>
        <w:t>月</w:t>
      </w:r>
      <w:r>
        <w:rPr>
          <w:rFonts w:hint="eastAsia" w:ascii="仿宋" w:hAnsi="仿宋" w:eastAsia="仿宋"/>
          <w:color w:val="auto"/>
          <w:highlight w:val="none"/>
        </w:rPr>
        <w:t xml:space="preserve">   </w:t>
      </w:r>
      <w:r>
        <w:rPr>
          <w:rFonts w:ascii="仿宋" w:hAnsi="仿宋" w:eastAsia="仿宋"/>
          <w:color w:val="auto"/>
          <w:highlight w:val="none"/>
        </w:rPr>
        <w:t>日</w:t>
      </w:r>
    </w:p>
    <w:p>
      <w:pPr>
        <w:ind w:firstLine="562"/>
        <w:jc w:val="right"/>
        <w:rPr>
          <w:rFonts w:ascii="仿宋" w:hAnsi="仿宋" w:eastAsia="仿宋"/>
          <w:color w:val="auto"/>
          <w:highlight w:val="none"/>
        </w:rPr>
      </w:pPr>
      <w:r>
        <w:rPr>
          <w:rFonts w:ascii="仿宋" w:hAnsi="仿宋" w:eastAsia="仿宋"/>
          <w:b/>
          <w:bCs/>
          <w:color w:val="auto"/>
          <w:sz w:val="24"/>
          <w:szCs w:val="21"/>
          <w:highlight w:val="none"/>
        </w:rPr>
        <w:br w:type="page"/>
      </w:r>
    </w:p>
    <w:p>
      <w:pPr>
        <w:rPr>
          <w:color w:val="auto"/>
          <w:highlight w:val="none"/>
        </w:rPr>
      </w:pPr>
    </w:p>
    <w:p>
      <w:pPr>
        <w:pStyle w:val="5"/>
        <w:spacing w:line="500" w:lineRule="exact"/>
        <w:jc w:val="center"/>
        <w:rPr>
          <w:rFonts w:ascii="仿宋" w:hAnsi="仿宋" w:eastAsia="仿宋"/>
          <w:color w:val="auto"/>
          <w:sz w:val="32"/>
          <w:highlight w:val="none"/>
        </w:rPr>
      </w:pPr>
      <w:r>
        <w:rPr>
          <w:rFonts w:hint="eastAsia" w:ascii="仿宋" w:hAnsi="仿宋" w:eastAsia="仿宋"/>
          <w:color w:val="auto"/>
          <w:sz w:val="32"/>
          <w:highlight w:val="none"/>
        </w:rPr>
        <w:t>法定代表人</w:t>
      </w:r>
      <w:r>
        <w:rPr>
          <w:rFonts w:ascii="仿宋" w:hAnsi="仿宋" w:eastAsia="仿宋"/>
          <w:color w:val="auto"/>
          <w:sz w:val="32"/>
          <w:highlight w:val="none"/>
        </w:rPr>
        <w:t>授权委托书</w:t>
      </w:r>
      <w:r>
        <w:rPr>
          <w:rFonts w:hint="eastAsia" w:ascii="仿宋" w:hAnsi="仿宋" w:eastAsia="仿宋"/>
          <w:color w:val="auto"/>
          <w:sz w:val="32"/>
          <w:highlight w:val="none"/>
        </w:rPr>
        <w:t>（格式）</w:t>
      </w:r>
    </w:p>
    <w:p>
      <w:pPr>
        <w:spacing w:line="500" w:lineRule="exact"/>
        <w:rPr>
          <w:rFonts w:ascii="仿宋" w:hAnsi="仿宋" w:eastAsia="仿宋"/>
          <w:color w:val="auto"/>
          <w:szCs w:val="21"/>
          <w:highlight w:val="none"/>
        </w:rPr>
      </w:pPr>
    </w:p>
    <w:p>
      <w:pPr>
        <w:pStyle w:val="41"/>
        <w:spacing w:line="580" w:lineRule="exact"/>
        <w:ind w:firstLine="560"/>
        <w:rPr>
          <w:rFonts w:ascii="仿宋" w:hAnsi="仿宋" w:eastAsia="仿宋"/>
          <w:color w:val="auto"/>
          <w:highlight w:val="none"/>
        </w:rPr>
      </w:pPr>
      <w:r>
        <w:rPr>
          <w:rFonts w:ascii="仿宋" w:hAnsi="仿宋" w:eastAsia="仿宋"/>
          <w:color w:val="auto"/>
          <w:highlight w:val="none"/>
        </w:rPr>
        <w:t>本授权委托书声明：我</w:t>
      </w:r>
      <w:r>
        <w:rPr>
          <w:rFonts w:ascii="仿宋" w:hAnsi="仿宋" w:eastAsia="仿宋"/>
          <w:color w:val="auto"/>
          <w:highlight w:val="none"/>
          <w:u w:val="single"/>
        </w:rPr>
        <w:t>（姓名）</w:t>
      </w:r>
      <w:r>
        <w:rPr>
          <w:rFonts w:ascii="仿宋" w:hAnsi="仿宋" w:eastAsia="仿宋"/>
          <w:color w:val="auto"/>
          <w:highlight w:val="none"/>
        </w:rPr>
        <w:t>系</w:t>
      </w:r>
      <w:r>
        <w:rPr>
          <w:rFonts w:ascii="仿宋" w:hAnsi="仿宋" w:eastAsia="仿宋"/>
          <w:color w:val="auto"/>
          <w:highlight w:val="none"/>
          <w:u w:val="single"/>
        </w:rPr>
        <w:t>（</w:t>
      </w:r>
      <w:r>
        <w:rPr>
          <w:rFonts w:hint="eastAsia" w:ascii="仿宋" w:hAnsi="仿宋" w:eastAsia="仿宋"/>
          <w:color w:val="auto"/>
          <w:highlight w:val="none"/>
          <w:u w:val="single"/>
        </w:rPr>
        <w:t>供应商</w:t>
      </w:r>
      <w:r>
        <w:rPr>
          <w:rFonts w:ascii="仿宋" w:hAnsi="仿宋" w:eastAsia="仿宋"/>
          <w:color w:val="auto"/>
          <w:highlight w:val="none"/>
          <w:u w:val="single"/>
        </w:rPr>
        <w:t>名称）</w:t>
      </w:r>
      <w:r>
        <w:rPr>
          <w:rFonts w:ascii="仿宋" w:hAnsi="仿宋" w:eastAsia="仿宋"/>
          <w:color w:val="auto"/>
          <w:highlight w:val="none"/>
        </w:rPr>
        <w:t>的法定代表人，现授权委托</w:t>
      </w:r>
      <w:r>
        <w:rPr>
          <w:rFonts w:ascii="仿宋" w:hAnsi="仿宋" w:eastAsia="仿宋"/>
          <w:color w:val="auto"/>
          <w:highlight w:val="none"/>
          <w:u w:val="single"/>
        </w:rPr>
        <w:t>（单位名称）</w:t>
      </w:r>
      <w:r>
        <w:rPr>
          <w:rFonts w:ascii="仿宋" w:hAnsi="仿宋" w:eastAsia="仿宋"/>
          <w:color w:val="auto"/>
          <w:highlight w:val="none"/>
        </w:rPr>
        <w:t>的</w:t>
      </w:r>
      <w:r>
        <w:rPr>
          <w:rFonts w:ascii="仿宋" w:hAnsi="仿宋" w:eastAsia="仿宋"/>
          <w:color w:val="auto"/>
          <w:highlight w:val="none"/>
          <w:u w:val="single"/>
        </w:rPr>
        <w:t>（姓名）</w:t>
      </w:r>
      <w:r>
        <w:rPr>
          <w:rFonts w:ascii="仿宋" w:hAnsi="仿宋" w:eastAsia="仿宋"/>
          <w:color w:val="auto"/>
          <w:highlight w:val="none"/>
        </w:rPr>
        <w:t>为我公司签署</w:t>
      </w:r>
      <w:r>
        <w:rPr>
          <w:rFonts w:hint="eastAsia" w:ascii="仿宋" w:hAnsi="仿宋" w:eastAsia="仿宋"/>
          <w:color w:val="auto"/>
          <w:highlight w:val="none"/>
        </w:rPr>
        <w:t>本项目投标文件</w:t>
      </w:r>
      <w:r>
        <w:rPr>
          <w:rFonts w:ascii="仿宋" w:hAnsi="仿宋" w:eastAsia="仿宋"/>
          <w:color w:val="auto"/>
          <w:highlight w:val="none"/>
        </w:rPr>
        <w:t>的法定代表人授权委托代理人，全权代表我</w:t>
      </w:r>
      <w:r>
        <w:rPr>
          <w:rFonts w:hint="eastAsia" w:ascii="仿宋" w:hAnsi="仿宋" w:eastAsia="仿宋"/>
          <w:color w:val="auto"/>
          <w:highlight w:val="none"/>
        </w:rPr>
        <w:t>单位处理本次投标的有关事宜。代理人所签署的一切有关文件，我单位均予承认。</w:t>
      </w:r>
    </w:p>
    <w:p>
      <w:pPr>
        <w:pStyle w:val="41"/>
        <w:spacing w:line="580" w:lineRule="exact"/>
        <w:ind w:firstLine="560"/>
        <w:rPr>
          <w:rFonts w:ascii="仿宋" w:hAnsi="仿宋" w:eastAsia="仿宋"/>
          <w:color w:val="auto"/>
          <w:highlight w:val="none"/>
        </w:rPr>
      </w:pPr>
    </w:p>
    <w:p>
      <w:pPr>
        <w:pStyle w:val="41"/>
        <w:spacing w:line="580" w:lineRule="exact"/>
        <w:ind w:firstLine="560"/>
        <w:rPr>
          <w:rFonts w:ascii="仿宋" w:hAnsi="仿宋" w:eastAsia="仿宋"/>
          <w:color w:val="auto"/>
          <w:highlight w:val="none"/>
        </w:rPr>
      </w:pPr>
      <w:r>
        <w:rPr>
          <w:rFonts w:ascii="仿宋" w:hAnsi="仿宋" w:eastAsia="仿宋"/>
          <w:color w:val="auto"/>
          <w:highlight w:val="none"/>
        </w:rPr>
        <w:t>代理人无转委托权，特此</w:t>
      </w:r>
      <w:r>
        <w:rPr>
          <w:rFonts w:hint="eastAsia" w:ascii="仿宋" w:hAnsi="仿宋" w:eastAsia="仿宋"/>
          <w:color w:val="auto"/>
          <w:highlight w:val="none"/>
        </w:rPr>
        <w:t>声明！</w:t>
      </w:r>
    </w:p>
    <w:p>
      <w:pPr>
        <w:pStyle w:val="41"/>
        <w:spacing w:line="580" w:lineRule="exact"/>
        <w:ind w:firstLine="560"/>
        <w:rPr>
          <w:rFonts w:ascii="仿宋" w:hAnsi="仿宋" w:eastAsia="仿宋"/>
          <w:color w:val="auto"/>
          <w:highlight w:val="none"/>
        </w:rPr>
      </w:pPr>
    </w:p>
    <w:p>
      <w:pPr>
        <w:pStyle w:val="41"/>
        <w:spacing w:line="580" w:lineRule="exact"/>
        <w:ind w:firstLine="560"/>
        <w:rPr>
          <w:rFonts w:ascii="仿宋" w:hAnsi="仿宋" w:eastAsia="仿宋"/>
          <w:color w:val="auto"/>
          <w:highlight w:val="none"/>
        </w:rPr>
      </w:pPr>
    </w:p>
    <w:p>
      <w:pPr>
        <w:pStyle w:val="41"/>
        <w:spacing w:line="580" w:lineRule="exact"/>
        <w:ind w:firstLine="560"/>
        <w:rPr>
          <w:rFonts w:ascii="仿宋" w:hAnsi="仿宋" w:eastAsia="仿宋"/>
          <w:color w:val="auto"/>
          <w:highlight w:val="none"/>
        </w:rPr>
      </w:pPr>
    </w:p>
    <w:p>
      <w:pPr>
        <w:pStyle w:val="41"/>
        <w:spacing w:line="580" w:lineRule="exact"/>
        <w:ind w:firstLine="560"/>
        <w:rPr>
          <w:rFonts w:ascii="仿宋" w:hAnsi="仿宋" w:eastAsia="仿宋"/>
          <w:color w:val="auto"/>
          <w:highlight w:val="none"/>
        </w:rPr>
      </w:pPr>
      <w:r>
        <w:rPr>
          <w:rFonts w:ascii="仿宋" w:hAnsi="仿宋" w:eastAsia="仿宋"/>
          <w:color w:val="auto"/>
          <w:highlight w:val="none"/>
        </w:rPr>
        <w:t>代理人：</w:t>
      </w:r>
      <w:r>
        <w:rPr>
          <w:rFonts w:hint="eastAsia" w:ascii="仿宋" w:hAnsi="仿宋" w:eastAsia="仿宋"/>
          <w:color w:val="auto"/>
          <w:highlight w:val="none"/>
        </w:rPr>
        <w:t xml:space="preserve">           姓名：            </w:t>
      </w:r>
      <w:r>
        <w:rPr>
          <w:rFonts w:ascii="仿宋" w:hAnsi="仿宋" w:eastAsia="仿宋"/>
          <w:color w:val="auto"/>
          <w:highlight w:val="none"/>
        </w:rPr>
        <w:t>性别：</w:t>
      </w:r>
      <w:r>
        <w:rPr>
          <w:rFonts w:hint="eastAsia" w:ascii="仿宋" w:hAnsi="仿宋" w:eastAsia="仿宋"/>
          <w:color w:val="auto"/>
          <w:highlight w:val="none"/>
        </w:rPr>
        <w:t xml:space="preserve">            </w:t>
      </w:r>
      <w:r>
        <w:rPr>
          <w:rFonts w:ascii="仿宋" w:hAnsi="仿宋" w:eastAsia="仿宋"/>
          <w:color w:val="auto"/>
          <w:highlight w:val="none"/>
        </w:rPr>
        <w:t>年龄：</w:t>
      </w:r>
    </w:p>
    <w:p>
      <w:pPr>
        <w:pStyle w:val="41"/>
        <w:spacing w:line="580" w:lineRule="exact"/>
        <w:ind w:firstLine="560"/>
        <w:rPr>
          <w:rFonts w:ascii="仿宋" w:hAnsi="仿宋" w:eastAsia="仿宋"/>
          <w:color w:val="auto"/>
          <w:highlight w:val="none"/>
        </w:rPr>
      </w:pPr>
    </w:p>
    <w:p>
      <w:pPr>
        <w:pStyle w:val="41"/>
        <w:spacing w:line="580" w:lineRule="exact"/>
        <w:ind w:firstLine="560"/>
        <w:rPr>
          <w:rFonts w:ascii="仿宋" w:hAnsi="仿宋" w:eastAsia="仿宋"/>
          <w:color w:val="auto"/>
          <w:highlight w:val="none"/>
        </w:rPr>
      </w:pPr>
      <w:r>
        <w:rPr>
          <w:rFonts w:ascii="仿宋" w:hAnsi="仿宋" w:eastAsia="仿宋"/>
          <w:color w:val="auto"/>
          <w:highlight w:val="none"/>
        </w:rPr>
        <w:t>身份证号码：</w:t>
      </w:r>
      <w:r>
        <w:rPr>
          <w:rFonts w:hint="eastAsia" w:ascii="仿宋" w:hAnsi="仿宋" w:eastAsia="仿宋"/>
          <w:color w:val="auto"/>
          <w:highlight w:val="none"/>
        </w:rPr>
        <w:t xml:space="preserve">                         </w:t>
      </w:r>
      <w:r>
        <w:rPr>
          <w:rFonts w:ascii="仿宋" w:hAnsi="仿宋" w:eastAsia="仿宋"/>
          <w:color w:val="auto"/>
          <w:highlight w:val="none"/>
        </w:rPr>
        <w:t>职务：</w:t>
      </w:r>
    </w:p>
    <w:p>
      <w:pPr>
        <w:pStyle w:val="41"/>
        <w:spacing w:line="580" w:lineRule="exact"/>
        <w:ind w:firstLine="560"/>
        <w:rPr>
          <w:rFonts w:ascii="仿宋" w:hAnsi="仿宋" w:eastAsia="仿宋"/>
          <w:color w:val="auto"/>
          <w:highlight w:val="none"/>
        </w:rPr>
      </w:pP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rPr>
        <w:t xml:space="preserve">    </w:t>
      </w:r>
      <w:r>
        <w:rPr>
          <w:rFonts w:ascii="仿宋" w:hAnsi="仿宋" w:eastAsia="仿宋"/>
          <w:color w:val="auto"/>
          <w:highlight w:val="none"/>
        </w:rPr>
        <w:t>（盖章）</w:t>
      </w:r>
      <w:r>
        <w:rPr>
          <w:rFonts w:hint="eastAsia" w:ascii="仿宋" w:hAnsi="仿宋" w:eastAsia="仿宋"/>
          <w:color w:val="auto"/>
          <w:highlight w:val="none"/>
        </w:rPr>
        <w:t xml:space="preserve">  </w:t>
      </w:r>
    </w:p>
    <w:p>
      <w:pPr>
        <w:pStyle w:val="41"/>
        <w:spacing w:line="580" w:lineRule="exact"/>
        <w:ind w:firstLine="560"/>
        <w:rPr>
          <w:rFonts w:ascii="仿宋" w:hAnsi="仿宋" w:eastAsia="仿宋"/>
          <w:color w:val="auto"/>
          <w:highlight w:val="none"/>
        </w:rPr>
      </w:pPr>
    </w:p>
    <w:p>
      <w:pPr>
        <w:pStyle w:val="41"/>
        <w:spacing w:line="580" w:lineRule="exact"/>
        <w:ind w:firstLine="560"/>
        <w:rPr>
          <w:rFonts w:ascii="仿宋" w:hAnsi="仿宋" w:eastAsia="仿宋"/>
          <w:color w:val="auto"/>
          <w:highlight w:val="none"/>
        </w:rPr>
      </w:pPr>
      <w:r>
        <w:rPr>
          <w:rFonts w:ascii="仿宋" w:hAnsi="仿宋" w:eastAsia="仿宋"/>
          <w:color w:val="auto"/>
          <w:highlight w:val="none"/>
        </w:rPr>
        <w:t>法定代表人：</w:t>
      </w:r>
      <w:r>
        <w:rPr>
          <w:rFonts w:hint="eastAsia" w:ascii="仿宋" w:hAnsi="仿宋" w:eastAsia="仿宋"/>
          <w:color w:val="auto"/>
          <w:highlight w:val="none"/>
        </w:rPr>
        <w:t xml:space="preserve">      </w:t>
      </w:r>
      <w:r>
        <w:rPr>
          <w:rFonts w:ascii="仿宋" w:hAnsi="仿宋" w:eastAsia="仿宋"/>
          <w:color w:val="auto"/>
          <w:highlight w:val="none"/>
        </w:rPr>
        <w:t>（签字）</w:t>
      </w:r>
      <w:r>
        <w:rPr>
          <w:rFonts w:hint="eastAsia" w:ascii="仿宋" w:hAnsi="仿宋" w:eastAsia="仿宋"/>
          <w:color w:val="auto"/>
          <w:highlight w:val="none"/>
        </w:rPr>
        <w:t xml:space="preserve">    </w:t>
      </w:r>
    </w:p>
    <w:p>
      <w:pPr>
        <w:pStyle w:val="41"/>
        <w:spacing w:line="580" w:lineRule="exact"/>
        <w:ind w:firstLine="560"/>
        <w:rPr>
          <w:rFonts w:ascii="仿宋" w:hAnsi="仿宋" w:eastAsia="仿宋"/>
          <w:color w:val="auto"/>
          <w:highlight w:val="none"/>
        </w:rPr>
      </w:pPr>
    </w:p>
    <w:p>
      <w:pPr>
        <w:pStyle w:val="41"/>
        <w:spacing w:line="580" w:lineRule="exact"/>
        <w:ind w:firstLine="560"/>
        <w:rPr>
          <w:rFonts w:ascii="仿宋" w:hAnsi="仿宋" w:eastAsia="仿宋"/>
          <w:color w:val="auto"/>
          <w:highlight w:val="none"/>
        </w:rPr>
      </w:pPr>
      <w:r>
        <w:rPr>
          <w:rFonts w:ascii="仿宋" w:hAnsi="仿宋" w:eastAsia="仿宋"/>
          <w:color w:val="auto"/>
          <w:highlight w:val="none"/>
        </w:rPr>
        <w:t>授权委托日期：</w:t>
      </w:r>
      <w:r>
        <w:rPr>
          <w:rFonts w:hint="eastAsia" w:ascii="仿宋" w:hAnsi="仿宋" w:eastAsia="仿宋"/>
          <w:color w:val="auto"/>
          <w:highlight w:val="none"/>
        </w:rPr>
        <w:t xml:space="preserve">   年   月   日</w:t>
      </w:r>
    </w:p>
    <w:p>
      <w:pPr>
        <w:pStyle w:val="41"/>
        <w:spacing w:line="580" w:lineRule="exact"/>
        <w:ind w:firstLine="560"/>
        <w:rPr>
          <w:rFonts w:ascii="仿宋" w:hAnsi="仿宋" w:eastAsia="仿宋"/>
          <w:color w:val="auto"/>
          <w:highlight w:val="none"/>
        </w:rPr>
      </w:pPr>
    </w:p>
    <w:p>
      <w:pPr>
        <w:ind w:firstLine="562"/>
        <w:jc w:val="right"/>
        <w:rPr>
          <w:rFonts w:ascii="仿宋" w:hAnsi="仿宋" w:eastAsia="仿宋"/>
          <w:color w:val="auto"/>
          <w:sz w:val="28"/>
          <w:highlight w:val="none"/>
        </w:rPr>
      </w:pPr>
      <w:r>
        <w:rPr>
          <w:rFonts w:ascii="仿宋" w:hAnsi="仿宋" w:eastAsia="仿宋"/>
          <w:color w:val="auto"/>
          <w:sz w:val="28"/>
          <w:highlight w:val="none"/>
        </w:rPr>
        <w:br w:type="page"/>
      </w:r>
      <w:r>
        <w:rPr>
          <w:rFonts w:hint="eastAsia" w:ascii="仿宋" w:hAnsi="仿宋" w:eastAsia="仿宋"/>
          <w:color w:val="auto"/>
          <w:sz w:val="28"/>
          <w:highlight w:val="none"/>
        </w:rPr>
        <w:t>附件三</w:t>
      </w:r>
    </w:p>
    <w:p>
      <w:pPr>
        <w:jc w:val="center"/>
        <w:rPr>
          <w:rFonts w:ascii="仿宋" w:hAnsi="仿宋" w:eastAsia="仿宋"/>
          <w:color w:val="auto"/>
          <w:highlight w:val="none"/>
        </w:rPr>
      </w:pPr>
    </w:p>
    <w:p>
      <w:pPr>
        <w:pStyle w:val="5"/>
        <w:spacing w:line="500" w:lineRule="exact"/>
        <w:jc w:val="center"/>
        <w:rPr>
          <w:rFonts w:ascii="仿宋" w:hAnsi="仿宋" w:eastAsia="仿宋"/>
          <w:color w:val="auto"/>
          <w:sz w:val="36"/>
          <w:szCs w:val="36"/>
          <w:highlight w:val="none"/>
        </w:rPr>
      </w:pPr>
      <w:r>
        <w:rPr>
          <w:rFonts w:hint="eastAsia" w:ascii="仿宋" w:hAnsi="仿宋" w:eastAsia="仿宋"/>
          <w:color w:val="auto"/>
          <w:sz w:val="36"/>
          <w:szCs w:val="36"/>
          <w:highlight w:val="none"/>
        </w:rPr>
        <w:t>供应商关于投标文件的声明函</w:t>
      </w:r>
    </w:p>
    <w:p>
      <w:pPr>
        <w:adjustRightInd w:val="0"/>
        <w:snapToGrid w:val="0"/>
        <w:spacing w:line="360" w:lineRule="auto"/>
        <w:ind w:firstLine="560" w:firstLineChars="200"/>
        <w:rPr>
          <w:rFonts w:ascii="仿宋" w:hAnsi="仿宋" w:eastAsia="仿宋"/>
          <w:color w:val="auto"/>
          <w:sz w:val="28"/>
          <w:szCs w:val="28"/>
          <w:highlight w:val="none"/>
        </w:rPr>
      </w:pPr>
    </w:p>
    <w:p>
      <w:pPr>
        <w:pStyle w:val="41"/>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致：新疆新之建工程咨询有限公司：</w:t>
      </w:r>
    </w:p>
    <w:p>
      <w:pPr>
        <w:pStyle w:val="41"/>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为响应你方    年    月   日的           招标邀请，下述签字人对招标文件已了解并认可并自愿参与招标，提供招标文件技术需求书中规定的         项目，提交下述招标文件并声明全部内容是真实的、并承担相关法律责任。如果提供的投标文件如：文字、图片、证明资料等出现虚假不真实等内容，我公司承担全部法律责任及后果。</w:t>
      </w:r>
    </w:p>
    <w:p>
      <w:pPr>
        <w:pStyle w:val="41"/>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下述签字人将就下述文件中存在的虚假或不真实内容对招标代理机构和采购人承担法律责任。</w:t>
      </w:r>
    </w:p>
    <w:p>
      <w:pPr>
        <w:pStyle w:val="41"/>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我公司签署下述声明函，证明招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pPr>
        <w:pStyle w:val="41"/>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下述签字人知道，采购人可能要求其提供进一步的资格材料并同意按采购人的要求提交。</w:t>
      </w:r>
    </w:p>
    <w:p>
      <w:pPr>
        <w:pStyle w:val="41"/>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供应商：    （公章）  </w:t>
      </w:r>
    </w:p>
    <w:p>
      <w:pPr>
        <w:pStyle w:val="41"/>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      </w:t>
      </w:r>
    </w:p>
    <w:p>
      <w:pPr>
        <w:pStyle w:val="41"/>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pPr>
        <w:ind w:firstLine="562"/>
        <w:jc w:val="right"/>
        <w:rPr>
          <w:rFonts w:ascii="仿宋" w:hAnsi="仿宋" w:eastAsia="仿宋" w:cs="仿宋"/>
          <w:color w:val="auto"/>
          <w:sz w:val="28"/>
          <w:highlight w:val="none"/>
        </w:rPr>
      </w:pPr>
    </w:p>
    <w:p>
      <w:pPr>
        <w:ind w:firstLine="562"/>
        <w:jc w:val="right"/>
        <w:rPr>
          <w:rFonts w:ascii="仿宋" w:hAnsi="仿宋" w:eastAsia="仿宋"/>
          <w:color w:val="auto"/>
          <w:sz w:val="28"/>
          <w:highlight w:val="none"/>
        </w:rPr>
      </w:pPr>
      <w:r>
        <w:rPr>
          <w:rFonts w:hint="eastAsia" w:ascii="仿宋" w:hAnsi="仿宋" w:eastAsia="仿宋" w:cs="仿宋"/>
          <w:color w:val="auto"/>
          <w:sz w:val="28"/>
          <w:highlight w:val="none"/>
        </w:rPr>
        <w:t>日期：   年   月   日</w:t>
      </w:r>
      <w:r>
        <w:rPr>
          <w:rFonts w:hint="eastAsia" w:ascii="仿宋" w:hAnsi="仿宋" w:eastAsia="仿宋" w:cs="仿宋"/>
          <w:color w:val="auto"/>
          <w:sz w:val="28"/>
          <w:highlight w:val="none"/>
        </w:rPr>
        <w:br w:type="page"/>
      </w:r>
      <w:r>
        <w:rPr>
          <w:rFonts w:hint="eastAsia" w:ascii="仿宋" w:hAnsi="仿宋" w:eastAsia="仿宋"/>
          <w:color w:val="auto"/>
          <w:sz w:val="28"/>
          <w:highlight w:val="none"/>
        </w:rPr>
        <w:t>附件四</w:t>
      </w:r>
    </w:p>
    <w:p>
      <w:pPr>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供应商诚信投标承诺书</w:t>
      </w:r>
    </w:p>
    <w:p>
      <w:pPr>
        <w:jc w:val="center"/>
        <w:rPr>
          <w:rFonts w:ascii="仿宋" w:hAnsi="仿宋" w:eastAsia="仿宋"/>
          <w:b/>
          <w:color w:val="auto"/>
          <w:sz w:val="10"/>
          <w:szCs w:val="10"/>
          <w:highlight w:val="none"/>
        </w:rPr>
      </w:pP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本人以企业法定代表人的身份郑重承诺：</w:t>
      </w: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一、投标文件中所提供的一切材料都是真实、有效、合法的；</w:t>
      </w: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二、不以他人名义投标或者以其他方式弄虚作假，骗取中标；</w:t>
      </w: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三、不与其他供应商互相串通投标，不排挤其他供应商的公平竞争，不损害招标人的合法权益；</w:t>
      </w: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四、不与招标人或者招标代理机构串通投标，损害国家利益、社会公共利益或者他人的合法权益；</w:t>
      </w: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五、不向招标人或者评标委员会成员行贿以牟取中标；</w:t>
      </w: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七、遵守《中华人民共和国政府采购法》、《政府采购货物和服务招标投标管理办法》（财政部87号令）、《政府采购非招标采购方式管理办法》（财政部74号令）的规定，保证不进行恶意投诉。</w:t>
      </w: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供应商：（公章）</w:t>
      </w:r>
    </w:p>
    <w:p>
      <w:pPr>
        <w:pStyle w:val="41"/>
        <w:spacing w:line="580" w:lineRule="exact"/>
        <w:ind w:firstLine="560"/>
        <w:rPr>
          <w:rFonts w:ascii="仿宋" w:hAnsi="仿宋" w:eastAsia="仿宋"/>
          <w:color w:val="auto"/>
          <w:highlight w:val="none"/>
        </w:rPr>
      </w:pPr>
    </w:p>
    <w:p>
      <w:pPr>
        <w:pStyle w:val="41"/>
        <w:spacing w:line="580" w:lineRule="exact"/>
        <w:ind w:firstLine="560"/>
        <w:rPr>
          <w:rFonts w:ascii="仿宋" w:hAnsi="仿宋" w:eastAsia="仿宋"/>
          <w:color w:val="auto"/>
          <w:highlight w:val="none"/>
        </w:rPr>
      </w:pPr>
      <w:r>
        <w:rPr>
          <w:rFonts w:hint="eastAsia" w:ascii="仿宋" w:hAnsi="仿宋" w:eastAsia="仿宋"/>
          <w:color w:val="auto"/>
          <w:highlight w:val="none"/>
        </w:rPr>
        <w:t>法定代表人：（签字）       法定代表授权委托人：（签字）</w:t>
      </w:r>
    </w:p>
    <w:p>
      <w:pPr>
        <w:ind w:firstLine="562"/>
        <w:jc w:val="right"/>
        <w:rPr>
          <w:rFonts w:ascii="仿宋" w:hAnsi="仿宋" w:eastAsia="仿宋"/>
          <w:color w:val="auto"/>
          <w:sz w:val="28"/>
          <w:highlight w:val="none"/>
        </w:rPr>
      </w:pPr>
      <w:r>
        <w:rPr>
          <w:rFonts w:hint="eastAsia" w:ascii="仿宋" w:hAnsi="仿宋" w:eastAsia="仿宋"/>
          <w:color w:val="auto"/>
          <w:sz w:val="28"/>
          <w:szCs w:val="28"/>
          <w:highlight w:val="none"/>
        </w:rPr>
        <w:br w:type="page"/>
      </w:r>
      <w:bookmarkStart w:id="44" w:name="_Toc435087575"/>
      <w:r>
        <w:rPr>
          <w:rFonts w:hint="eastAsia" w:ascii="仿宋" w:hAnsi="仿宋" w:eastAsia="仿宋"/>
          <w:color w:val="auto"/>
          <w:sz w:val="28"/>
          <w:highlight w:val="none"/>
        </w:rPr>
        <w:t>附件</w:t>
      </w:r>
      <w:bookmarkEnd w:id="44"/>
      <w:r>
        <w:rPr>
          <w:rFonts w:hint="eastAsia" w:ascii="仿宋" w:hAnsi="仿宋" w:eastAsia="仿宋"/>
          <w:color w:val="auto"/>
          <w:sz w:val="28"/>
          <w:highlight w:val="none"/>
        </w:rPr>
        <w:t>五</w:t>
      </w:r>
    </w:p>
    <w:p>
      <w:pPr>
        <w:jc w:val="center"/>
        <w:rPr>
          <w:rFonts w:ascii="仿宋" w:hAnsi="仿宋" w:eastAsia="仿宋" w:cs="宋体"/>
          <w:b/>
          <w:color w:val="auto"/>
          <w:kern w:val="0"/>
          <w:sz w:val="32"/>
          <w:szCs w:val="32"/>
          <w:highlight w:val="none"/>
          <w:lang w:val="zh-CN"/>
        </w:rPr>
      </w:pPr>
      <w:r>
        <w:rPr>
          <w:rFonts w:hint="eastAsia" w:ascii="仿宋" w:hAnsi="仿宋" w:eastAsia="仿宋" w:cs="宋体"/>
          <w:b/>
          <w:color w:val="auto"/>
          <w:kern w:val="0"/>
          <w:sz w:val="32"/>
          <w:szCs w:val="32"/>
          <w:highlight w:val="none"/>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auto"/>
          <w:kern w:val="0"/>
          <w:sz w:val="28"/>
          <w:szCs w:val="28"/>
          <w:highlight w:val="none"/>
          <w:lang w:val="zh-CN"/>
        </w:rPr>
      </w:pP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p>
    <w:p>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公司法人代表：</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4"/>
          <w:szCs w:val="24"/>
          <w:highlight w:val="none"/>
          <w:u w:val="single"/>
        </w:rPr>
        <w:t>.</w:t>
      </w:r>
    </w:p>
    <w:p>
      <w:pPr>
        <w:autoSpaceDE w:val="0"/>
        <w:autoSpaceDN w:val="0"/>
        <w:adjustRightInd w:val="0"/>
        <w:spacing w:line="360" w:lineRule="auto"/>
        <w:ind w:left="221"/>
        <w:rPr>
          <w:rFonts w:ascii="仿宋" w:hAnsi="仿宋" w:eastAsia="仿宋"/>
          <w:color w:val="auto"/>
          <w:kern w:val="0"/>
          <w:sz w:val="24"/>
          <w:szCs w:val="24"/>
          <w:highlight w:val="none"/>
        </w:rPr>
      </w:pPr>
    </w:p>
    <w:p>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法人授权代表：</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4"/>
          <w:szCs w:val="24"/>
          <w:highlight w:val="none"/>
          <w:u w:val="single"/>
        </w:rPr>
        <w:t>.</w:t>
      </w:r>
    </w:p>
    <w:p>
      <w:pPr>
        <w:autoSpaceDE w:val="0"/>
        <w:autoSpaceDN w:val="0"/>
        <w:adjustRightInd w:val="0"/>
        <w:spacing w:line="360" w:lineRule="auto"/>
        <w:ind w:left="221"/>
        <w:rPr>
          <w:rFonts w:ascii="仿宋" w:hAnsi="仿宋" w:eastAsia="仿宋"/>
          <w:color w:val="auto"/>
          <w:kern w:val="0"/>
          <w:sz w:val="24"/>
          <w:szCs w:val="24"/>
          <w:highlight w:val="none"/>
        </w:rPr>
      </w:pPr>
    </w:p>
    <w:p>
      <w:pPr>
        <w:autoSpaceDE w:val="0"/>
        <w:autoSpaceDN w:val="0"/>
        <w:adjustRightInd w:val="0"/>
        <w:spacing w:line="360" w:lineRule="auto"/>
        <w:ind w:left="221"/>
        <w:rPr>
          <w:rFonts w:ascii="仿宋" w:hAnsi="仿宋" w:eastAsia="仿宋"/>
          <w:color w:val="auto"/>
          <w:kern w:val="0"/>
          <w:sz w:val="28"/>
          <w:szCs w:val="28"/>
          <w:highlight w:val="none"/>
          <w:u w:val="single"/>
        </w:rPr>
      </w:pPr>
      <w:r>
        <w:rPr>
          <w:rFonts w:hint="eastAsia" w:ascii="仿宋" w:hAnsi="仿宋" w:eastAsia="仿宋"/>
          <w:color w:val="auto"/>
          <w:kern w:val="0"/>
          <w:sz w:val="24"/>
          <w:szCs w:val="24"/>
          <w:highlight w:val="none"/>
        </w:rPr>
        <w:t>项 目 经 理：</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8"/>
          <w:szCs w:val="28"/>
          <w:highlight w:val="none"/>
          <w:u w:val="single"/>
        </w:rPr>
        <w:t>.</w:t>
      </w:r>
    </w:p>
    <w:p>
      <w:pPr>
        <w:autoSpaceDE w:val="0"/>
        <w:autoSpaceDN w:val="0"/>
        <w:adjustRightInd w:val="0"/>
        <w:spacing w:line="360" w:lineRule="auto"/>
        <w:ind w:left="221"/>
        <w:rPr>
          <w:rFonts w:ascii="仿宋" w:hAnsi="仿宋" w:eastAsia="仿宋"/>
          <w:color w:val="auto"/>
          <w:kern w:val="0"/>
          <w:sz w:val="28"/>
          <w:szCs w:val="28"/>
          <w:highlight w:val="none"/>
        </w:rPr>
      </w:pPr>
    </w:p>
    <w:p>
      <w:pPr>
        <w:autoSpaceDE w:val="0"/>
        <w:autoSpaceDN w:val="0"/>
        <w:adjustRightInd w:val="0"/>
        <w:spacing w:line="360" w:lineRule="auto"/>
        <w:jc w:val="righ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公司签章       </w:t>
      </w:r>
      <w:r>
        <w:rPr>
          <w:rFonts w:ascii="仿宋" w:hAnsi="仿宋" w:eastAsia="仿宋"/>
          <w:color w:val="auto"/>
          <w:kern w:val="0"/>
          <w:sz w:val="28"/>
          <w:szCs w:val="28"/>
          <w:highlight w:val="none"/>
          <w:u w:val="single"/>
        </w:rPr>
        <w:t>.</w:t>
      </w:r>
    </w:p>
    <w:p>
      <w:pPr>
        <w:pStyle w:val="41"/>
        <w:spacing w:line="580" w:lineRule="exact"/>
        <w:ind w:firstLine="560"/>
        <w:jc w:val="right"/>
        <w:rPr>
          <w:rFonts w:ascii="仿宋" w:hAnsi="仿宋" w:eastAsia="仿宋"/>
          <w:color w:val="auto"/>
          <w:kern w:val="0"/>
          <w:szCs w:val="28"/>
          <w:highlight w:val="none"/>
        </w:rPr>
      </w:pPr>
      <w:r>
        <w:rPr>
          <w:rFonts w:hint="eastAsia" w:ascii="仿宋" w:hAnsi="仿宋" w:eastAsia="仿宋"/>
          <w:color w:val="auto"/>
          <w:kern w:val="0"/>
          <w:szCs w:val="28"/>
          <w:highlight w:val="none"/>
        </w:rPr>
        <w:t>年      月     日</w:t>
      </w:r>
    </w:p>
    <w:p>
      <w:pPr>
        <w:pStyle w:val="41"/>
        <w:spacing w:line="580" w:lineRule="exact"/>
        <w:ind w:firstLine="560"/>
        <w:rPr>
          <w:rFonts w:ascii="仿宋" w:hAnsi="仿宋" w:eastAsia="仿宋"/>
          <w:color w:val="auto"/>
          <w:highlight w:val="none"/>
        </w:rPr>
      </w:pPr>
    </w:p>
    <w:p>
      <w:pPr>
        <w:ind w:firstLine="622"/>
        <w:rPr>
          <w:rFonts w:ascii="仿宋" w:hAnsi="仿宋" w:eastAsia="仿宋"/>
          <w:b/>
          <w:color w:val="auto"/>
          <w:sz w:val="31"/>
          <w:highlight w:val="none"/>
        </w:rPr>
        <w:sectPr>
          <w:footerReference r:id="rId8" w:type="first"/>
          <w:footerReference r:id="rId7" w:type="default"/>
          <w:pgSz w:w="11906" w:h="16838"/>
          <w:pgMar w:top="1247" w:right="1134" w:bottom="1247" w:left="1134" w:header="851" w:footer="851" w:gutter="0"/>
          <w:cols w:space="720" w:num="1"/>
          <w:docGrid w:type="linesAndChars" w:linePitch="312" w:charSpace="0"/>
        </w:sectPr>
      </w:pPr>
    </w:p>
    <w:p>
      <w:pPr>
        <w:ind w:firstLine="560"/>
        <w:jc w:val="right"/>
        <w:rPr>
          <w:rFonts w:ascii="仿宋" w:hAnsi="仿宋" w:eastAsia="仿宋"/>
          <w:b/>
          <w:color w:val="auto"/>
          <w:sz w:val="28"/>
          <w:highlight w:val="none"/>
        </w:rPr>
      </w:pPr>
      <w:r>
        <w:rPr>
          <w:rFonts w:hint="eastAsia" w:ascii="仿宋" w:hAnsi="仿宋" w:eastAsia="仿宋"/>
          <w:color w:val="auto"/>
          <w:sz w:val="28"/>
          <w:highlight w:val="none"/>
        </w:rPr>
        <w:t>附件六</w:t>
      </w:r>
    </w:p>
    <w:p>
      <w:pPr>
        <w:tabs>
          <w:tab w:val="center" w:pos="7115"/>
          <w:tab w:val="right" w:pos="14230"/>
        </w:tabs>
        <w:ind w:firstLine="723"/>
        <w:jc w:val="center"/>
        <w:rPr>
          <w:rFonts w:ascii="仿宋" w:hAnsi="仿宋" w:eastAsia="仿宋"/>
          <w:b/>
          <w:color w:val="auto"/>
          <w:sz w:val="36"/>
          <w:highlight w:val="none"/>
        </w:rPr>
      </w:pPr>
      <w:r>
        <w:rPr>
          <w:rFonts w:hint="eastAsia" w:ascii="仿宋_GB2312" w:hAnsi="仿宋" w:eastAsia="仿宋_GB2312"/>
          <w:b/>
          <w:color w:val="auto"/>
          <w:sz w:val="36"/>
          <w:highlight w:val="none"/>
        </w:rPr>
        <w:t>开   标   一   览   表</w:t>
      </w:r>
    </w:p>
    <w:p>
      <w:pPr>
        <w:tabs>
          <w:tab w:val="center" w:pos="7115"/>
          <w:tab w:val="right" w:pos="14230"/>
        </w:tabs>
        <w:rPr>
          <w:rFonts w:ascii="仿宋" w:hAnsi="仿宋" w:eastAsia="仿宋"/>
          <w:color w:val="auto"/>
          <w:sz w:val="28"/>
          <w:szCs w:val="28"/>
          <w:highlight w:val="none"/>
        </w:rPr>
      </w:pPr>
      <w:r>
        <w:rPr>
          <w:rFonts w:hint="eastAsia" w:ascii="仿宋" w:hAnsi="仿宋" w:eastAsia="仿宋"/>
          <w:color w:val="auto"/>
          <w:sz w:val="28"/>
          <w:szCs w:val="28"/>
          <w:highlight w:val="none"/>
        </w:rPr>
        <w:t>供应商名称：                                                                      单位：元</w:t>
      </w:r>
    </w:p>
    <w:p>
      <w:pPr>
        <w:tabs>
          <w:tab w:val="center" w:pos="7115"/>
          <w:tab w:val="right" w:pos="14230"/>
        </w:tabs>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项目名称：                                                                       </w:t>
      </w:r>
      <w:r>
        <w:rPr>
          <w:rFonts w:hint="eastAsia" w:ascii="仿宋" w:hAnsi="仿宋" w:eastAsia="仿宋" w:cs="仿宋"/>
          <w:color w:val="auto"/>
          <w:sz w:val="28"/>
          <w:szCs w:val="28"/>
          <w:highlight w:val="none"/>
        </w:rPr>
        <w:t xml:space="preserve"> 编号：</w:t>
      </w:r>
    </w:p>
    <w:tbl>
      <w:tblPr>
        <w:tblStyle w:val="28"/>
        <w:tblW w:w="14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91"/>
        <w:gridCol w:w="1215"/>
        <w:gridCol w:w="4437"/>
        <w:gridCol w:w="2724"/>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8" w:hRule="exact"/>
          <w:jc w:val="center"/>
        </w:trPr>
        <w:tc>
          <w:tcPr>
            <w:tcW w:w="4791" w:type="dxa"/>
            <w:tcBorders>
              <w:bottom w:val="single" w:color="auto" w:sz="4" w:space="0"/>
            </w:tcBorders>
            <w:vAlign w:val="center"/>
          </w:tcPr>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投标内容</w:t>
            </w:r>
          </w:p>
        </w:tc>
        <w:tc>
          <w:tcPr>
            <w:tcW w:w="1215" w:type="dxa"/>
            <w:tcBorders>
              <w:bottom w:val="single" w:color="auto" w:sz="4" w:space="0"/>
            </w:tcBorders>
            <w:vAlign w:val="center"/>
          </w:tcPr>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数量</w:t>
            </w:r>
          </w:p>
        </w:tc>
        <w:tc>
          <w:tcPr>
            <w:tcW w:w="4437" w:type="dxa"/>
            <w:tcBorders>
              <w:bottom w:val="single" w:color="auto" w:sz="4" w:space="0"/>
            </w:tcBorders>
            <w:vAlign w:val="center"/>
          </w:tcPr>
          <w:p>
            <w:pPr>
              <w:spacing w:line="360" w:lineRule="exact"/>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投标报价（元）</w:t>
            </w:r>
          </w:p>
        </w:tc>
        <w:tc>
          <w:tcPr>
            <w:tcW w:w="2724" w:type="dxa"/>
            <w:tcBorders>
              <w:bottom w:val="single" w:color="auto" w:sz="4" w:space="0"/>
            </w:tcBorders>
            <w:vAlign w:val="center"/>
          </w:tcPr>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交货期（项目工期）</w:t>
            </w:r>
          </w:p>
        </w:tc>
        <w:tc>
          <w:tcPr>
            <w:tcW w:w="1167" w:type="dxa"/>
            <w:tcBorders>
              <w:bottom w:val="single" w:color="auto" w:sz="4" w:space="0"/>
            </w:tcBorders>
            <w:vAlign w:val="center"/>
          </w:tcPr>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7" w:hRule="atLeast"/>
          <w:jc w:val="center"/>
        </w:trPr>
        <w:tc>
          <w:tcPr>
            <w:tcW w:w="4791" w:type="dxa"/>
            <w:tcBorders>
              <w:bottom w:val="single" w:color="auto" w:sz="4" w:space="0"/>
            </w:tcBorders>
            <w:vAlign w:val="center"/>
          </w:tcPr>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医院信息系统建设</w:t>
            </w:r>
          </w:p>
        </w:tc>
        <w:tc>
          <w:tcPr>
            <w:tcW w:w="1215" w:type="dxa"/>
            <w:tcBorders>
              <w:bottom w:val="single" w:color="auto" w:sz="4" w:space="0"/>
            </w:tcBorders>
            <w:vAlign w:val="center"/>
          </w:tcPr>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一项</w:t>
            </w:r>
          </w:p>
        </w:tc>
        <w:tc>
          <w:tcPr>
            <w:tcW w:w="4437" w:type="dxa"/>
            <w:tcBorders>
              <w:bottom w:val="single" w:color="auto" w:sz="4" w:space="0"/>
            </w:tcBorders>
            <w:vAlign w:val="center"/>
          </w:tcPr>
          <w:p>
            <w:pPr>
              <w:jc w:val="center"/>
              <w:rPr>
                <w:rFonts w:ascii="仿宋_GB2312" w:hAnsi="仿宋" w:eastAsia="仿宋_GB2312"/>
                <w:color w:val="auto"/>
                <w:sz w:val="28"/>
                <w:szCs w:val="28"/>
                <w:highlight w:val="none"/>
              </w:rPr>
            </w:pPr>
          </w:p>
        </w:tc>
        <w:tc>
          <w:tcPr>
            <w:tcW w:w="2724" w:type="dxa"/>
            <w:tcBorders>
              <w:bottom w:val="single" w:color="auto" w:sz="4" w:space="0"/>
              <w:right w:val="single" w:color="auto" w:sz="4" w:space="0"/>
            </w:tcBorders>
            <w:vAlign w:val="center"/>
          </w:tcPr>
          <w:p>
            <w:pPr>
              <w:snapToGrid w:val="0"/>
              <w:jc w:val="center"/>
              <w:rPr>
                <w:rFonts w:ascii="仿宋_GB2312" w:hAnsi="仿宋" w:eastAsia="仿宋_GB2312"/>
                <w:color w:val="auto"/>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exact"/>
          <w:jc w:val="center"/>
        </w:trPr>
        <w:tc>
          <w:tcPr>
            <w:tcW w:w="4791" w:type="dxa"/>
            <w:tcBorders>
              <w:bottom w:val="single" w:color="auto" w:sz="4" w:space="0"/>
            </w:tcBorders>
            <w:vAlign w:val="center"/>
          </w:tcPr>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投标总报价(大写)</w:t>
            </w:r>
          </w:p>
        </w:tc>
        <w:tc>
          <w:tcPr>
            <w:tcW w:w="9543" w:type="dxa"/>
            <w:gridSpan w:val="4"/>
            <w:tcBorders>
              <w:bottom w:val="single" w:color="auto" w:sz="4" w:space="0"/>
            </w:tcBorders>
            <w:vAlign w:val="center"/>
          </w:tcPr>
          <w:p>
            <w:pPr>
              <w:jc w:val="center"/>
              <w:rPr>
                <w:rFonts w:ascii="仿宋_GB2312" w:hAnsi="仿宋" w:eastAsia="仿宋_GB2312"/>
                <w:color w:val="auto"/>
                <w:sz w:val="28"/>
                <w:szCs w:val="28"/>
                <w:highlight w:val="none"/>
              </w:rPr>
            </w:pPr>
          </w:p>
        </w:tc>
      </w:tr>
    </w:tbl>
    <w:p>
      <w:pPr>
        <w:ind w:firstLine="480"/>
        <w:rPr>
          <w:rFonts w:ascii="仿宋" w:hAnsi="仿宋" w:eastAsia="仿宋"/>
          <w:color w:val="auto"/>
          <w:sz w:val="24"/>
          <w:szCs w:val="24"/>
          <w:highlight w:val="none"/>
        </w:rPr>
      </w:pPr>
    </w:p>
    <w:p>
      <w:pPr>
        <w:spacing w:line="400" w:lineRule="exact"/>
        <w:ind w:firstLine="551" w:firstLineChars="196"/>
        <w:rPr>
          <w:rFonts w:ascii="仿宋" w:hAnsi="仿宋" w:eastAsia="仿宋"/>
          <w:b/>
          <w:bCs/>
          <w:color w:val="auto"/>
          <w:sz w:val="28"/>
          <w:highlight w:val="none"/>
        </w:rPr>
      </w:pPr>
      <w:r>
        <w:rPr>
          <w:rFonts w:hint="eastAsia" w:ascii="仿宋" w:hAnsi="仿宋" w:eastAsia="仿宋"/>
          <w:b/>
          <w:bCs/>
          <w:color w:val="auto"/>
          <w:sz w:val="28"/>
          <w:highlight w:val="none"/>
        </w:rPr>
        <w:t>注：1、请单独封装一份在信袋内。</w:t>
      </w:r>
    </w:p>
    <w:p>
      <w:pPr>
        <w:spacing w:line="40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 xml:space="preserve">    2、在开标一览表中，按第二章投标须知10.2条款的规定不允许出现两种报价，否则其投标将被拒绝。</w:t>
      </w:r>
    </w:p>
    <w:p>
      <w:pPr>
        <w:spacing w:line="40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 xml:space="preserve">    3、详细清单参照附件七自制。</w:t>
      </w:r>
    </w:p>
    <w:p>
      <w:pPr>
        <w:spacing w:line="400" w:lineRule="exact"/>
        <w:ind w:firstLine="562"/>
        <w:rPr>
          <w:rFonts w:ascii="仿宋" w:hAnsi="仿宋" w:eastAsia="仿宋"/>
          <w:b/>
          <w:color w:val="auto"/>
          <w:sz w:val="28"/>
          <w:highlight w:val="none"/>
        </w:rPr>
      </w:pPr>
    </w:p>
    <w:p>
      <w:pPr>
        <w:ind w:firstLine="537" w:firstLineChars="192"/>
        <w:rPr>
          <w:rFonts w:ascii="仿宋" w:hAnsi="仿宋" w:eastAsia="仿宋"/>
          <w:color w:val="auto"/>
          <w:sz w:val="28"/>
          <w:highlight w:val="none"/>
        </w:rPr>
      </w:pPr>
      <w:r>
        <w:rPr>
          <w:rFonts w:hint="eastAsia" w:ascii="仿宋" w:hAnsi="仿宋" w:eastAsia="仿宋"/>
          <w:color w:val="auto"/>
          <w:sz w:val="28"/>
          <w:szCs w:val="28"/>
          <w:highlight w:val="none"/>
        </w:rPr>
        <w:t>投标单位授权代表签字：                                             投标单位公章：</w:t>
      </w:r>
    </w:p>
    <w:p>
      <w:pPr>
        <w:widowControl/>
        <w:jc w:val="left"/>
        <w:rPr>
          <w:rFonts w:ascii="仿宋" w:hAnsi="仿宋" w:eastAsia="仿宋"/>
          <w:color w:val="auto"/>
          <w:sz w:val="28"/>
          <w:highlight w:val="none"/>
        </w:rPr>
      </w:pPr>
      <w:r>
        <w:rPr>
          <w:rFonts w:ascii="仿宋" w:hAnsi="仿宋" w:eastAsia="仿宋"/>
          <w:color w:val="auto"/>
          <w:sz w:val="28"/>
          <w:highlight w:val="none"/>
        </w:rPr>
        <w:br w:type="page"/>
      </w:r>
    </w:p>
    <w:p>
      <w:pPr>
        <w:spacing w:line="400" w:lineRule="exact"/>
        <w:ind w:right="560"/>
        <w:jc w:val="right"/>
        <w:rPr>
          <w:rFonts w:ascii="仿宋" w:hAnsi="仿宋" w:eastAsia="仿宋"/>
          <w:color w:val="auto"/>
          <w:sz w:val="28"/>
          <w:highlight w:val="none"/>
        </w:rPr>
      </w:pPr>
      <w:r>
        <w:rPr>
          <w:rFonts w:hint="eastAsia" w:ascii="仿宋" w:hAnsi="仿宋" w:eastAsia="仿宋"/>
          <w:color w:val="auto"/>
          <w:sz w:val="28"/>
          <w:highlight w:val="none"/>
        </w:rPr>
        <w:t>附件七</w:t>
      </w:r>
    </w:p>
    <w:p>
      <w:pPr>
        <w:tabs>
          <w:tab w:val="center" w:pos="7115"/>
          <w:tab w:val="right" w:pos="14230"/>
        </w:tabs>
        <w:ind w:firstLine="723"/>
        <w:jc w:val="center"/>
        <w:rPr>
          <w:rFonts w:ascii="仿宋" w:hAnsi="仿宋" w:eastAsia="仿宋"/>
          <w:b/>
          <w:color w:val="auto"/>
          <w:sz w:val="36"/>
          <w:highlight w:val="none"/>
        </w:rPr>
      </w:pPr>
      <w:r>
        <w:rPr>
          <w:rFonts w:hint="eastAsia" w:ascii="仿宋" w:hAnsi="仿宋" w:eastAsia="仿宋"/>
          <w:b/>
          <w:color w:val="auto"/>
          <w:sz w:val="36"/>
          <w:highlight w:val="none"/>
        </w:rPr>
        <w:t>投标产品名称、数量、规格明细报价表</w:t>
      </w:r>
    </w:p>
    <w:p>
      <w:pPr>
        <w:pStyle w:val="41"/>
        <w:spacing w:after="156" w:afterLines="50"/>
        <w:ind w:firstLine="560"/>
        <w:rPr>
          <w:rFonts w:ascii="仿宋" w:hAnsi="仿宋" w:eastAsia="仿宋"/>
          <w:color w:val="auto"/>
          <w:sz w:val="44"/>
          <w:highlight w:val="none"/>
        </w:rPr>
      </w:pPr>
      <w:r>
        <w:rPr>
          <w:rFonts w:hint="eastAsia" w:ascii="仿宋" w:hAnsi="仿宋" w:eastAsia="仿宋"/>
          <w:color w:val="auto"/>
          <w:highlight w:val="none"/>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s="仿宋"/>
          <w:color w:val="auto"/>
          <w:szCs w:val="28"/>
          <w:highlight w:val="none"/>
        </w:rPr>
        <w:t xml:space="preserve">   编号：</w:t>
      </w:r>
    </w:p>
    <w:tbl>
      <w:tblPr>
        <w:tblStyle w:val="28"/>
        <w:tblW w:w="1365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325"/>
        <w:gridCol w:w="1295"/>
        <w:gridCol w:w="2441"/>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3190"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名 称</w:t>
            </w:r>
          </w:p>
        </w:tc>
        <w:tc>
          <w:tcPr>
            <w:tcW w:w="1417"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规格型号</w:t>
            </w:r>
          </w:p>
        </w:tc>
        <w:tc>
          <w:tcPr>
            <w:tcW w:w="1985"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数量（标明单位）</w:t>
            </w:r>
          </w:p>
        </w:tc>
        <w:tc>
          <w:tcPr>
            <w:tcW w:w="1325"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单价（元）</w:t>
            </w:r>
          </w:p>
        </w:tc>
        <w:tc>
          <w:tcPr>
            <w:tcW w:w="1295"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总价（元）</w:t>
            </w:r>
          </w:p>
        </w:tc>
        <w:tc>
          <w:tcPr>
            <w:tcW w:w="2441"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生产厂家</w:t>
            </w:r>
          </w:p>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及品牌</w:t>
            </w:r>
          </w:p>
        </w:tc>
        <w:tc>
          <w:tcPr>
            <w:tcW w:w="1119"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3190" w:type="dxa"/>
            <w:vAlign w:val="bottom"/>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（所投的全部货物内容）</w:t>
            </w:r>
          </w:p>
        </w:tc>
        <w:tc>
          <w:tcPr>
            <w:tcW w:w="1417" w:type="dxa"/>
            <w:vAlign w:val="center"/>
          </w:tcPr>
          <w:p>
            <w:pPr>
              <w:spacing w:line="420" w:lineRule="exact"/>
              <w:jc w:val="center"/>
              <w:rPr>
                <w:rFonts w:ascii="仿宋" w:hAnsi="仿宋" w:eastAsia="仿宋"/>
                <w:color w:val="auto"/>
                <w:sz w:val="24"/>
                <w:highlight w:val="none"/>
              </w:rPr>
            </w:pPr>
          </w:p>
        </w:tc>
        <w:tc>
          <w:tcPr>
            <w:tcW w:w="1985" w:type="dxa"/>
            <w:vAlign w:val="center"/>
          </w:tcPr>
          <w:p>
            <w:pPr>
              <w:spacing w:line="420" w:lineRule="exact"/>
              <w:jc w:val="center"/>
              <w:rPr>
                <w:rFonts w:ascii="仿宋" w:hAnsi="仿宋" w:eastAsia="仿宋"/>
                <w:color w:val="auto"/>
                <w:sz w:val="24"/>
                <w:highlight w:val="none"/>
              </w:rPr>
            </w:pPr>
          </w:p>
        </w:tc>
        <w:tc>
          <w:tcPr>
            <w:tcW w:w="1325" w:type="dxa"/>
            <w:vAlign w:val="center"/>
          </w:tcPr>
          <w:p>
            <w:pPr>
              <w:spacing w:line="420" w:lineRule="exact"/>
              <w:jc w:val="center"/>
              <w:rPr>
                <w:rFonts w:ascii="仿宋" w:hAnsi="仿宋" w:eastAsia="仿宋"/>
                <w:color w:val="auto"/>
                <w:sz w:val="24"/>
                <w:highlight w:val="none"/>
              </w:rPr>
            </w:pPr>
          </w:p>
        </w:tc>
        <w:tc>
          <w:tcPr>
            <w:tcW w:w="1295" w:type="dxa"/>
            <w:vAlign w:val="center"/>
          </w:tcPr>
          <w:p>
            <w:pPr>
              <w:spacing w:line="420" w:lineRule="exact"/>
              <w:jc w:val="center"/>
              <w:rPr>
                <w:rFonts w:ascii="仿宋" w:hAnsi="仿宋" w:eastAsia="仿宋"/>
                <w:color w:val="auto"/>
                <w:sz w:val="24"/>
                <w:highlight w:val="none"/>
              </w:rPr>
            </w:pPr>
          </w:p>
        </w:tc>
        <w:tc>
          <w:tcPr>
            <w:tcW w:w="2441" w:type="dxa"/>
            <w:vAlign w:val="center"/>
          </w:tcPr>
          <w:p>
            <w:pPr>
              <w:spacing w:line="420" w:lineRule="exact"/>
              <w:jc w:val="center"/>
              <w:rPr>
                <w:rFonts w:ascii="仿宋" w:hAnsi="仿宋" w:eastAsia="仿宋"/>
                <w:color w:val="auto"/>
                <w:sz w:val="24"/>
                <w:highlight w:val="none"/>
              </w:rPr>
            </w:pPr>
          </w:p>
        </w:tc>
        <w:tc>
          <w:tcPr>
            <w:tcW w:w="1119" w:type="dxa"/>
            <w:vAlign w:val="center"/>
          </w:tcPr>
          <w:p>
            <w:pPr>
              <w:spacing w:line="42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3190" w:type="dxa"/>
            <w:vAlign w:val="bottom"/>
          </w:tcPr>
          <w:p>
            <w:pPr>
              <w:spacing w:line="420" w:lineRule="exact"/>
              <w:ind w:firstLine="480"/>
              <w:rPr>
                <w:rFonts w:ascii="仿宋" w:hAnsi="仿宋" w:eastAsia="仿宋"/>
                <w:color w:val="auto"/>
                <w:sz w:val="24"/>
                <w:highlight w:val="none"/>
              </w:rPr>
            </w:pPr>
            <w:r>
              <w:rPr>
                <w:rFonts w:hint="eastAsia" w:ascii="仿宋" w:hAnsi="仿宋" w:eastAsia="仿宋"/>
                <w:color w:val="auto"/>
                <w:sz w:val="24"/>
                <w:highlight w:val="none"/>
              </w:rPr>
              <w:t>…</w:t>
            </w:r>
          </w:p>
        </w:tc>
        <w:tc>
          <w:tcPr>
            <w:tcW w:w="1417" w:type="dxa"/>
            <w:vAlign w:val="center"/>
          </w:tcPr>
          <w:p>
            <w:pPr>
              <w:spacing w:line="420" w:lineRule="exact"/>
              <w:jc w:val="center"/>
              <w:rPr>
                <w:rFonts w:ascii="仿宋" w:hAnsi="仿宋" w:eastAsia="仿宋"/>
                <w:color w:val="auto"/>
                <w:sz w:val="24"/>
                <w:highlight w:val="none"/>
              </w:rPr>
            </w:pPr>
          </w:p>
        </w:tc>
        <w:tc>
          <w:tcPr>
            <w:tcW w:w="1985" w:type="dxa"/>
            <w:vAlign w:val="center"/>
          </w:tcPr>
          <w:p>
            <w:pPr>
              <w:spacing w:line="420" w:lineRule="exact"/>
              <w:jc w:val="center"/>
              <w:rPr>
                <w:rFonts w:ascii="仿宋" w:hAnsi="仿宋" w:eastAsia="仿宋"/>
                <w:color w:val="auto"/>
                <w:sz w:val="24"/>
                <w:highlight w:val="none"/>
              </w:rPr>
            </w:pPr>
          </w:p>
        </w:tc>
        <w:tc>
          <w:tcPr>
            <w:tcW w:w="1325" w:type="dxa"/>
            <w:vAlign w:val="center"/>
          </w:tcPr>
          <w:p>
            <w:pPr>
              <w:spacing w:line="420" w:lineRule="exact"/>
              <w:jc w:val="center"/>
              <w:rPr>
                <w:rFonts w:ascii="仿宋" w:hAnsi="仿宋" w:eastAsia="仿宋"/>
                <w:color w:val="auto"/>
                <w:sz w:val="24"/>
                <w:highlight w:val="none"/>
              </w:rPr>
            </w:pPr>
          </w:p>
        </w:tc>
        <w:tc>
          <w:tcPr>
            <w:tcW w:w="1295" w:type="dxa"/>
            <w:vAlign w:val="center"/>
          </w:tcPr>
          <w:p>
            <w:pPr>
              <w:spacing w:line="420" w:lineRule="exact"/>
              <w:jc w:val="center"/>
              <w:rPr>
                <w:rFonts w:ascii="仿宋" w:hAnsi="仿宋" w:eastAsia="仿宋"/>
                <w:color w:val="auto"/>
                <w:sz w:val="24"/>
                <w:highlight w:val="none"/>
              </w:rPr>
            </w:pPr>
          </w:p>
        </w:tc>
        <w:tc>
          <w:tcPr>
            <w:tcW w:w="2441" w:type="dxa"/>
            <w:vAlign w:val="center"/>
          </w:tcPr>
          <w:p>
            <w:pPr>
              <w:spacing w:line="420" w:lineRule="exact"/>
              <w:jc w:val="center"/>
              <w:rPr>
                <w:rFonts w:ascii="仿宋" w:hAnsi="仿宋" w:eastAsia="仿宋"/>
                <w:color w:val="auto"/>
                <w:sz w:val="24"/>
                <w:highlight w:val="none"/>
              </w:rPr>
            </w:pPr>
          </w:p>
        </w:tc>
        <w:tc>
          <w:tcPr>
            <w:tcW w:w="1119" w:type="dxa"/>
            <w:vAlign w:val="center"/>
          </w:tcPr>
          <w:p>
            <w:pPr>
              <w:spacing w:line="42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3190" w:type="dxa"/>
            <w:vAlign w:val="bottom"/>
          </w:tcPr>
          <w:p>
            <w:pPr>
              <w:spacing w:line="420" w:lineRule="exact"/>
              <w:ind w:firstLine="480"/>
              <w:rPr>
                <w:rFonts w:ascii="仿宋" w:hAnsi="仿宋" w:eastAsia="仿宋"/>
                <w:color w:val="auto"/>
                <w:sz w:val="24"/>
                <w:highlight w:val="none"/>
              </w:rPr>
            </w:pPr>
            <w:r>
              <w:rPr>
                <w:rFonts w:hint="eastAsia" w:ascii="仿宋" w:hAnsi="仿宋" w:eastAsia="仿宋"/>
                <w:color w:val="auto"/>
                <w:sz w:val="24"/>
                <w:highlight w:val="none"/>
              </w:rPr>
              <w:t>…</w:t>
            </w:r>
          </w:p>
        </w:tc>
        <w:tc>
          <w:tcPr>
            <w:tcW w:w="1417" w:type="dxa"/>
            <w:vAlign w:val="center"/>
          </w:tcPr>
          <w:p>
            <w:pPr>
              <w:spacing w:line="420" w:lineRule="exact"/>
              <w:jc w:val="center"/>
              <w:rPr>
                <w:rFonts w:ascii="仿宋" w:hAnsi="仿宋" w:eastAsia="仿宋"/>
                <w:color w:val="auto"/>
                <w:sz w:val="24"/>
                <w:highlight w:val="none"/>
              </w:rPr>
            </w:pPr>
          </w:p>
        </w:tc>
        <w:tc>
          <w:tcPr>
            <w:tcW w:w="1985" w:type="dxa"/>
            <w:vAlign w:val="center"/>
          </w:tcPr>
          <w:p>
            <w:pPr>
              <w:spacing w:line="420" w:lineRule="exact"/>
              <w:jc w:val="center"/>
              <w:rPr>
                <w:rFonts w:ascii="仿宋" w:hAnsi="仿宋" w:eastAsia="仿宋"/>
                <w:color w:val="auto"/>
                <w:sz w:val="24"/>
                <w:highlight w:val="none"/>
              </w:rPr>
            </w:pPr>
          </w:p>
        </w:tc>
        <w:tc>
          <w:tcPr>
            <w:tcW w:w="1325" w:type="dxa"/>
            <w:vAlign w:val="center"/>
          </w:tcPr>
          <w:p>
            <w:pPr>
              <w:spacing w:line="420" w:lineRule="exact"/>
              <w:jc w:val="center"/>
              <w:rPr>
                <w:rFonts w:ascii="仿宋" w:hAnsi="仿宋" w:eastAsia="仿宋"/>
                <w:color w:val="auto"/>
                <w:sz w:val="24"/>
                <w:highlight w:val="none"/>
              </w:rPr>
            </w:pPr>
          </w:p>
        </w:tc>
        <w:tc>
          <w:tcPr>
            <w:tcW w:w="1295" w:type="dxa"/>
            <w:vAlign w:val="center"/>
          </w:tcPr>
          <w:p>
            <w:pPr>
              <w:spacing w:line="420" w:lineRule="exact"/>
              <w:jc w:val="center"/>
              <w:rPr>
                <w:rFonts w:ascii="仿宋" w:hAnsi="仿宋" w:eastAsia="仿宋"/>
                <w:color w:val="auto"/>
                <w:sz w:val="24"/>
                <w:highlight w:val="none"/>
              </w:rPr>
            </w:pPr>
          </w:p>
        </w:tc>
        <w:tc>
          <w:tcPr>
            <w:tcW w:w="2441" w:type="dxa"/>
            <w:vAlign w:val="center"/>
          </w:tcPr>
          <w:p>
            <w:pPr>
              <w:spacing w:line="420" w:lineRule="exact"/>
              <w:jc w:val="center"/>
              <w:rPr>
                <w:rFonts w:ascii="仿宋" w:hAnsi="仿宋" w:eastAsia="仿宋"/>
                <w:color w:val="auto"/>
                <w:sz w:val="24"/>
                <w:highlight w:val="none"/>
              </w:rPr>
            </w:pPr>
          </w:p>
        </w:tc>
        <w:tc>
          <w:tcPr>
            <w:tcW w:w="1119" w:type="dxa"/>
            <w:vAlign w:val="center"/>
          </w:tcPr>
          <w:p>
            <w:pPr>
              <w:spacing w:line="42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3190" w:type="dxa"/>
            <w:vAlign w:val="bottom"/>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备品备件</w:t>
            </w:r>
          </w:p>
        </w:tc>
        <w:tc>
          <w:tcPr>
            <w:tcW w:w="9582"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3190" w:type="dxa"/>
            <w:vAlign w:val="bottom"/>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专用工具</w:t>
            </w:r>
          </w:p>
        </w:tc>
        <w:tc>
          <w:tcPr>
            <w:tcW w:w="9582"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3190" w:type="dxa"/>
            <w:vAlign w:val="bottom"/>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安装、调试、运行费</w:t>
            </w:r>
          </w:p>
        </w:tc>
        <w:tc>
          <w:tcPr>
            <w:tcW w:w="9582"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3190" w:type="dxa"/>
            <w:vAlign w:val="bottom"/>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运杂费</w:t>
            </w:r>
          </w:p>
        </w:tc>
        <w:tc>
          <w:tcPr>
            <w:tcW w:w="9582"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color w:val="auto"/>
                <w:sz w:val="24"/>
                <w:highlight w:val="none"/>
              </w:rPr>
            </w:pPr>
          </w:p>
        </w:tc>
        <w:tc>
          <w:tcPr>
            <w:tcW w:w="3190" w:type="dxa"/>
            <w:vAlign w:val="bottom"/>
          </w:tcPr>
          <w:p>
            <w:pPr>
              <w:spacing w:line="420" w:lineRule="exact"/>
              <w:ind w:firstLine="480"/>
              <w:rPr>
                <w:rFonts w:ascii="仿宋" w:hAnsi="仿宋" w:eastAsia="仿宋"/>
                <w:color w:val="auto"/>
                <w:sz w:val="24"/>
                <w:highlight w:val="none"/>
              </w:rPr>
            </w:pPr>
            <w:r>
              <w:rPr>
                <w:rFonts w:hint="eastAsia" w:ascii="仿宋" w:hAnsi="仿宋" w:eastAsia="仿宋"/>
                <w:color w:val="auto"/>
                <w:sz w:val="24"/>
                <w:highlight w:val="none"/>
              </w:rPr>
              <w:t>…</w:t>
            </w:r>
          </w:p>
        </w:tc>
        <w:tc>
          <w:tcPr>
            <w:tcW w:w="9582"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合计总价（元）</w:t>
            </w:r>
          </w:p>
        </w:tc>
        <w:tc>
          <w:tcPr>
            <w:tcW w:w="9582" w:type="dxa"/>
            <w:gridSpan w:val="6"/>
            <w:vAlign w:val="center"/>
          </w:tcPr>
          <w:p>
            <w:pPr>
              <w:spacing w:line="420" w:lineRule="exact"/>
              <w:ind w:firstLine="480"/>
              <w:jc w:val="center"/>
              <w:rPr>
                <w:rFonts w:ascii="仿宋" w:hAnsi="仿宋" w:eastAsia="仿宋"/>
                <w:color w:val="auto"/>
                <w:sz w:val="24"/>
                <w:highlight w:val="none"/>
              </w:rPr>
            </w:pPr>
          </w:p>
        </w:tc>
      </w:tr>
    </w:tbl>
    <w:p>
      <w:pPr>
        <w:spacing w:before="156" w:beforeLines="50" w:line="460" w:lineRule="exact"/>
        <w:rPr>
          <w:rFonts w:ascii="仿宋" w:hAnsi="仿宋" w:eastAsia="仿宋"/>
          <w:color w:val="auto"/>
          <w:sz w:val="28"/>
          <w:highlight w:val="none"/>
        </w:rPr>
      </w:pPr>
      <w:r>
        <w:rPr>
          <w:rFonts w:hint="eastAsia" w:ascii="仿宋" w:hAnsi="仿宋" w:eastAsia="仿宋"/>
          <w:b/>
          <w:color w:val="auto"/>
          <w:sz w:val="28"/>
          <w:highlight w:val="none"/>
        </w:rPr>
        <w:t>注</w:t>
      </w:r>
      <w:r>
        <w:rPr>
          <w:rFonts w:hint="eastAsia" w:ascii="仿宋" w:hAnsi="仿宋" w:eastAsia="仿宋"/>
          <w:color w:val="auto"/>
          <w:sz w:val="28"/>
          <w:highlight w:val="none"/>
        </w:rPr>
        <w:t>：1、如果按单价计算的结果与总价不一致，以单价为准修正总价。</w:t>
      </w:r>
    </w:p>
    <w:p>
      <w:pPr>
        <w:pStyle w:val="16"/>
        <w:spacing w:line="460" w:lineRule="exact"/>
        <w:ind w:right="-15" w:firstLine="562" w:firstLineChars="200"/>
        <w:rPr>
          <w:rFonts w:ascii="仿宋" w:hAnsi="仿宋" w:eastAsia="仿宋"/>
          <w:b/>
          <w:color w:val="auto"/>
          <w:sz w:val="28"/>
          <w:highlight w:val="none"/>
        </w:rPr>
      </w:pPr>
      <w:r>
        <w:rPr>
          <w:rFonts w:hint="eastAsia" w:ascii="仿宋" w:hAnsi="仿宋" w:eastAsia="仿宋"/>
          <w:b/>
          <w:color w:val="auto"/>
          <w:sz w:val="28"/>
          <w:highlight w:val="none"/>
        </w:rPr>
        <w:t>2、供应商须参照第三章各包所列明的内容全部报价。如果不提供详细分项报价视为未实质性响应招标文件。</w:t>
      </w:r>
    </w:p>
    <w:p>
      <w:pPr>
        <w:rPr>
          <w:rFonts w:ascii="仿宋" w:hAnsi="仿宋" w:eastAsia="仿宋"/>
          <w:color w:val="auto"/>
          <w:sz w:val="28"/>
          <w:highlight w:val="none"/>
        </w:rPr>
      </w:pPr>
      <w:r>
        <w:rPr>
          <w:rFonts w:hint="eastAsia" w:ascii="仿宋" w:hAnsi="仿宋" w:eastAsia="仿宋"/>
          <w:color w:val="auto"/>
          <w:sz w:val="28"/>
          <w:highlight w:val="none"/>
        </w:rPr>
        <w:t xml:space="preserve">投标单位授权代表签字：                                            投标单位公章：            </w:t>
      </w:r>
    </w:p>
    <w:p>
      <w:pPr>
        <w:pStyle w:val="16"/>
        <w:spacing w:line="460" w:lineRule="exact"/>
        <w:ind w:right="-15" w:firstLine="1120" w:firstLineChars="400"/>
        <w:jc w:val="right"/>
        <w:rPr>
          <w:rFonts w:ascii="仿宋" w:hAnsi="仿宋" w:eastAsia="仿宋"/>
          <w:color w:val="auto"/>
          <w:highlight w:val="none"/>
        </w:rPr>
      </w:pPr>
      <w:r>
        <w:rPr>
          <w:rFonts w:hint="eastAsia" w:ascii="仿宋" w:hAnsi="仿宋" w:eastAsia="仿宋"/>
          <w:color w:val="auto"/>
          <w:sz w:val="28"/>
          <w:highlight w:val="none"/>
        </w:rPr>
        <w:t>附件八</w:t>
      </w:r>
    </w:p>
    <w:p>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技 术 规 格 偏 离 表</w:t>
      </w:r>
    </w:p>
    <w:p>
      <w:pPr>
        <w:spacing w:line="360" w:lineRule="atLeast"/>
        <w:jc w:val="distribute"/>
        <w:rPr>
          <w:rFonts w:ascii="仿宋" w:hAnsi="仿宋" w:eastAsia="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olor w:val="auto"/>
          <w:sz w:val="28"/>
          <w:highlight w:val="none"/>
        </w:rPr>
        <w:t xml:space="preserve">                                                               年    月    日</w:t>
      </w:r>
    </w:p>
    <w:tbl>
      <w:tblPr>
        <w:tblStyle w:val="28"/>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olor w:val="auto"/>
                <w:sz w:val="28"/>
                <w:highlight w:val="none"/>
              </w:rPr>
            </w:pPr>
            <w:r>
              <w:rPr>
                <w:rFonts w:hint="eastAsia" w:ascii="仿宋" w:hAnsi="仿宋" w:eastAsia="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bl>
    <w:p>
      <w:pPr>
        <w:ind w:firstLine="562"/>
        <w:rPr>
          <w:rFonts w:ascii="仿宋" w:hAnsi="仿宋" w:eastAsia="仿宋"/>
          <w:color w:val="auto"/>
          <w:kern w:val="0"/>
          <w:sz w:val="24"/>
          <w:highlight w:val="none"/>
        </w:rPr>
      </w:pPr>
      <w:r>
        <w:rPr>
          <w:rFonts w:hint="eastAsia" w:ascii="仿宋" w:hAnsi="仿宋" w:eastAsia="仿宋"/>
          <w:b/>
          <w:color w:val="auto"/>
          <w:sz w:val="28"/>
          <w:highlight w:val="none"/>
        </w:rPr>
        <w:t>（供应商须对第三章所有技术参数条款逐条列明是否响应，如有偏离，须一一列明）</w:t>
      </w:r>
    </w:p>
    <w:p>
      <w:pPr>
        <w:ind w:right="848"/>
        <w:jc w:val="right"/>
        <w:rPr>
          <w:rFonts w:ascii="仿宋" w:hAnsi="仿宋" w:eastAsia="仿宋"/>
          <w:color w:val="auto"/>
          <w:sz w:val="28"/>
          <w:highlight w:val="none"/>
        </w:rPr>
      </w:pPr>
      <w:r>
        <w:rPr>
          <w:rFonts w:hint="eastAsia" w:ascii="仿宋" w:hAnsi="仿宋" w:eastAsia="仿宋"/>
          <w:color w:val="auto"/>
          <w:sz w:val="28"/>
          <w:highlight w:val="none"/>
        </w:rPr>
        <w:t>投标单位授权代表人签字：                                                  投标单位公章：</w:t>
      </w:r>
      <w:r>
        <w:rPr>
          <w:rFonts w:hint="eastAsia" w:ascii="仿宋" w:hAnsi="仿宋" w:eastAsia="仿宋"/>
          <w:b/>
          <w:color w:val="auto"/>
          <w:sz w:val="42"/>
          <w:highlight w:val="none"/>
        </w:rPr>
        <w:br w:type="page"/>
      </w:r>
      <w:r>
        <w:rPr>
          <w:rFonts w:hint="eastAsia" w:ascii="仿宋" w:hAnsi="仿宋" w:eastAsia="仿宋"/>
          <w:color w:val="auto"/>
          <w:sz w:val="28"/>
          <w:highlight w:val="none"/>
        </w:rPr>
        <w:t>附件九</w:t>
      </w:r>
    </w:p>
    <w:p>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商 务 所 有 条 款 偏 离 表</w:t>
      </w:r>
    </w:p>
    <w:p>
      <w:pPr>
        <w:spacing w:line="360" w:lineRule="atLeast"/>
        <w:ind w:right="352"/>
        <w:jc w:val="distribute"/>
        <w:rPr>
          <w:rFonts w:ascii="仿宋" w:hAnsi="仿宋" w:eastAsia="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olor w:val="auto"/>
          <w:sz w:val="28"/>
          <w:highlight w:val="none"/>
        </w:rPr>
        <w:t xml:space="preserve">                                                       年    月    日</w:t>
      </w:r>
    </w:p>
    <w:tbl>
      <w:tblPr>
        <w:tblStyle w:val="28"/>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olor w:val="auto"/>
                <w:sz w:val="28"/>
                <w:highlight w:val="none"/>
              </w:rPr>
            </w:pPr>
            <w:r>
              <w:rPr>
                <w:rFonts w:hint="eastAsia" w:ascii="仿宋" w:hAnsi="仿宋" w:eastAsia="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bl>
    <w:p>
      <w:pPr>
        <w:ind w:firstLine="620"/>
        <w:rPr>
          <w:rFonts w:ascii="仿宋" w:hAnsi="仿宋" w:eastAsia="仿宋"/>
          <w:color w:val="auto"/>
          <w:sz w:val="31"/>
          <w:highlight w:val="none"/>
        </w:rPr>
      </w:pPr>
      <w:r>
        <w:rPr>
          <w:rFonts w:hint="eastAsia" w:ascii="仿宋" w:hAnsi="仿宋" w:eastAsia="仿宋"/>
          <w:b/>
          <w:color w:val="auto"/>
          <w:sz w:val="28"/>
          <w:highlight w:val="none"/>
        </w:rPr>
        <w:t>（供应商须对招标文件中所有商务条款逐条列明是否响应，如有偏离，须一一列明）</w:t>
      </w:r>
    </w:p>
    <w:p>
      <w:pPr>
        <w:ind w:right="10" w:firstLine="560"/>
        <w:rPr>
          <w:rFonts w:ascii="仿宋" w:hAnsi="仿宋" w:eastAsia="仿宋"/>
          <w:color w:val="auto"/>
          <w:sz w:val="28"/>
          <w:highlight w:val="none"/>
        </w:rPr>
      </w:pPr>
      <w:r>
        <w:rPr>
          <w:rFonts w:hint="eastAsia" w:ascii="仿宋" w:hAnsi="仿宋" w:eastAsia="仿宋"/>
          <w:color w:val="auto"/>
          <w:sz w:val="28"/>
          <w:highlight w:val="none"/>
        </w:rPr>
        <w:t>投标单位授权代表人签字：                                                  投标单位公章：</w:t>
      </w:r>
    </w:p>
    <w:p>
      <w:pPr>
        <w:ind w:right="10" w:firstLine="560"/>
        <w:jc w:val="right"/>
        <w:rPr>
          <w:rFonts w:ascii="仿宋" w:hAnsi="仿宋" w:eastAsia="仿宋"/>
          <w:color w:val="auto"/>
          <w:sz w:val="24"/>
          <w:highlight w:val="none"/>
        </w:rPr>
      </w:pPr>
      <w:r>
        <w:rPr>
          <w:rFonts w:hint="eastAsia" w:ascii="仿宋" w:hAnsi="仿宋" w:eastAsia="仿宋"/>
          <w:color w:val="auto"/>
          <w:sz w:val="28"/>
          <w:highlight w:val="none"/>
        </w:rPr>
        <w:br w:type="page"/>
      </w:r>
      <w:r>
        <w:rPr>
          <w:rFonts w:hint="eastAsia" w:ascii="仿宋" w:hAnsi="仿宋" w:eastAsia="仿宋"/>
          <w:color w:val="auto"/>
          <w:sz w:val="28"/>
          <w:highlight w:val="none"/>
        </w:rPr>
        <w:t>附件十</w:t>
      </w:r>
    </w:p>
    <w:p>
      <w:pPr>
        <w:spacing w:line="360" w:lineRule="atLeast"/>
        <w:ind w:firstLine="723"/>
        <w:jc w:val="center"/>
        <w:rPr>
          <w:rFonts w:hint="eastAsia" w:ascii="仿宋" w:hAnsi="仿宋" w:eastAsia="仿宋"/>
          <w:b/>
          <w:color w:val="auto"/>
          <w:sz w:val="36"/>
          <w:highlight w:val="none"/>
          <w:lang w:eastAsia="zh-CN"/>
        </w:rPr>
      </w:pPr>
      <w:r>
        <w:rPr>
          <w:rFonts w:hint="eastAsia" w:ascii="仿宋" w:hAnsi="仿宋" w:eastAsia="仿宋"/>
          <w:b/>
          <w:color w:val="auto"/>
          <w:sz w:val="36"/>
          <w:highlight w:val="none"/>
          <w:lang w:eastAsia="zh-CN"/>
        </w:rPr>
        <w:t>近五年同类项目案例表</w:t>
      </w:r>
    </w:p>
    <w:p>
      <w:pPr>
        <w:spacing w:line="360" w:lineRule="atLeast"/>
        <w:rPr>
          <w:rFonts w:ascii="仿宋" w:hAnsi="仿宋" w:eastAsia="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olor w:val="auto"/>
          <w:sz w:val="28"/>
          <w:highlight w:val="none"/>
        </w:rPr>
        <w:t xml:space="preserve">                                                                              年    月    日</w:t>
      </w:r>
    </w:p>
    <w:tbl>
      <w:tblPr>
        <w:tblStyle w:val="28"/>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bl>
    <w:p>
      <w:pPr>
        <w:spacing w:line="520" w:lineRule="exact"/>
        <w:ind w:firstLine="138" w:firstLineChars="49"/>
        <w:rPr>
          <w:rFonts w:ascii="仿宋" w:hAnsi="仿宋" w:eastAsia="仿宋"/>
          <w:b/>
          <w:color w:val="auto"/>
          <w:sz w:val="28"/>
          <w:szCs w:val="28"/>
          <w:highlight w:val="none"/>
        </w:rPr>
      </w:pPr>
      <w:r>
        <w:rPr>
          <w:rFonts w:hint="eastAsia" w:ascii="仿宋" w:hAnsi="仿宋" w:eastAsia="仿宋"/>
          <w:b/>
          <w:color w:val="auto"/>
          <w:sz w:val="28"/>
          <w:szCs w:val="28"/>
          <w:highlight w:val="none"/>
        </w:rPr>
        <w:t>注：供应商应随此表附上相关的</w:t>
      </w:r>
      <w:r>
        <w:rPr>
          <w:rFonts w:hint="eastAsia" w:ascii="仿宋" w:hAnsi="仿宋" w:eastAsia="仿宋"/>
          <w:b/>
          <w:color w:val="auto"/>
          <w:sz w:val="28"/>
          <w:szCs w:val="28"/>
          <w:highlight w:val="none"/>
          <w:lang w:val="en-US" w:eastAsia="zh-CN"/>
        </w:rPr>
        <w:t>案例</w:t>
      </w:r>
      <w:r>
        <w:rPr>
          <w:rFonts w:hint="eastAsia" w:ascii="仿宋" w:hAnsi="仿宋" w:eastAsia="仿宋"/>
          <w:b/>
          <w:color w:val="auto"/>
          <w:sz w:val="28"/>
          <w:szCs w:val="28"/>
          <w:highlight w:val="none"/>
        </w:rPr>
        <w:t>证明（</w:t>
      </w:r>
      <w:r>
        <w:rPr>
          <w:rFonts w:hint="eastAsia" w:ascii="仿宋" w:hAnsi="仿宋" w:eastAsia="仿宋"/>
          <w:b/>
          <w:color w:val="auto"/>
          <w:sz w:val="28"/>
          <w:szCs w:val="28"/>
          <w:highlight w:val="none"/>
          <w:lang w:val="en-US" w:eastAsia="zh-CN"/>
        </w:rPr>
        <w:t>详见详细评审</w:t>
      </w:r>
      <w:r>
        <w:rPr>
          <w:rFonts w:hint="eastAsia" w:ascii="仿宋" w:hAnsi="仿宋" w:eastAsia="仿宋"/>
          <w:b/>
          <w:color w:val="auto"/>
          <w:sz w:val="28"/>
          <w:szCs w:val="28"/>
          <w:highlight w:val="none"/>
        </w:rPr>
        <w:t>）。</w:t>
      </w:r>
    </w:p>
    <w:p>
      <w:pPr>
        <w:spacing w:line="520" w:lineRule="exact"/>
        <w:ind w:firstLine="138" w:firstLineChars="49"/>
        <w:rPr>
          <w:rFonts w:ascii="仿宋" w:hAnsi="仿宋" w:eastAsia="仿宋"/>
          <w:b/>
          <w:color w:val="auto"/>
          <w:sz w:val="28"/>
          <w:szCs w:val="28"/>
          <w:highlight w:val="none"/>
        </w:rPr>
      </w:pPr>
    </w:p>
    <w:p>
      <w:pPr>
        <w:ind w:firstLine="560"/>
        <w:rPr>
          <w:rFonts w:ascii="仿宋" w:hAnsi="仿宋" w:eastAsia="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olor w:val="auto"/>
          <w:sz w:val="28"/>
          <w:highlight w:val="none"/>
        </w:rPr>
        <w:t>投标单位授权代表人签字：                                                  投标单位公章：</w:t>
      </w:r>
    </w:p>
    <w:p>
      <w:pPr>
        <w:pStyle w:val="10"/>
        <w:jc w:val="right"/>
        <w:rPr>
          <w:rFonts w:eastAsia="仿宋"/>
          <w:color w:val="auto"/>
          <w:highlight w:val="none"/>
          <w:lang w:val="en-US"/>
        </w:rPr>
      </w:pPr>
      <w:r>
        <w:rPr>
          <w:rFonts w:hint="eastAsia" w:ascii="仿宋" w:hAnsi="仿宋" w:eastAsia="仿宋"/>
          <w:color w:val="auto"/>
          <w:sz w:val="28"/>
          <w:highlight w:val="none"/>
        </w:rPr>
        <w:t>附件十</w:t>
      </w:r>
      <w:r>
        <w:rPr>
          <w:rFonts w:hint="eastAsia" w:ascii="仿宋" w:hAnsi="仿宋" w:eastAsia="仿宋"/>
          <w:color w:val="auto"/>
          <w:sz w:val="28"/>
          <w:highlight w:val="none"/>
          <w:lang w:val="en-US"/>
        </w:rPr>
        <w:t>一</w:t>
      </w:r>
    </w:p>
    <w:p>
      <w:pPr>
        <w:spacing w:line="360" w:lineRule="atLeast"/>
        <w:ind w:firstLine="723"/>
        <w:jc w:val="center"/>
        <w:rPr>
          <w:rFonts w:ascii="仿宋" w:hAnsi="仿宋" w:eastAsia="仿宋"/>
          <w:b/>
          <w:color w:val="auto"/>
          <w:sz w:val="36"/>
          <w:highlight w:val="none"/>
        </w:rPr>
      </w:pPr>
      <w:r>
        <w:rPr>
          <w:rFonts w:hint="eastAsia" w:ascii="仿宋" w:hAnsi="仿宋" w:eastAsia="仿宋"/>
          <w:b/>
          <w:color w:val="auto"/>
          <w:sz w:val="36"/>
          <w:highlight w:val="none"/>
        </w:rPr>
        <w:t>中小企业声明函  (工程、服务)</w:t>
      </w:r>
    </w:p>
    <w:p>
      <w:pPr>
        <w:tabs>
          <w:tab w:val="left" w:pos="375"/>
        </w:tabs>
        <w:spacing w:before="133" w:line="520" w:lineRule="exact"/>
        <w:ind w:left="170" w:right="300" w:firstLine="650"/>
        <w:rPr>
          <w:rFonts w:ascii="仿宋" w:hAnsi="仿宋" w:eastAsia="仿宋" w:cs="仿宋"/>
          <w:color w:val="auto"/>
          <w:sz w:val="28"/>
          <w:szCs w:val="28"/>
          <w:highlight w:val="none"/>
        </w:rPr>
      </w:pPr>
      <w:r>
        <w:rPr>
          <w:rFonts w:hint="eastAsia" w:ascii="仿宋" w:hAnsi="仿宋" w:eastAsia="仿宋" w:cs="仿宋"/>
          <w:color w:val="auto"/>
          <w:spacing w:val="22"/>
          <w:sz w:val="28"/>
          <w:szCs w:val="28"/>
          <w:highlight w:val="none"/>
        </w:rPr>
        <w:t>本</w:t>
      </w:r>
      <w:r>
        <w:rPr>
          <w:rFonts w:hint="eastAsia" w:ascii="仿宋" w:hAnsi="仿宋" w:eastAsia="仿宋" w:cs="仿宋"/>
          <w:color w:val="auto"/>
          <w:spacing w:val="18"/>
          <w:sz w:val="28"/>
          <w:szCs w:val="28"/>
          <w:highlight w:val="none"/>
        </w:rPr>
        <w:t>公司(联合体)郑重声明，根据《政府采购促进中小企业发展管理办</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34"/>
          <w:sz w:val="28"/>
          <w:szCs w:val="28"/>
          <w:highlight w:val="none"/>
        </w:rPr>
        <w:t>法</w:t>
      </w:r>
      <w:r>
        <w:rPr>
          <w:rFonts w:hint="eastAsia" w:ascii="仿宋" w:hAnsi="仿宋" w:eastAsia="仿宋" w:cs="仿宋"/>
          <w:color w:val="auto"/>
          <w:spacing w:val="33"/>
          <w:sz w:val="28"/>
          <w:szCs w:val="28"/>
          <w:highlight w:val="none"/>
        </w:rPr>
        <w:t>》</w:t>
      </w:r>
      <w:r>
        <w:rPr>
          <w:rFonts w:hint="eastAsia" w:ascii="仿宋" w:hAnsi="仿宋" w:eastAsia="仿宋" w:cs="仿宋"/>
          <w:color w:val="auto"/>
          <w:spacing w:val="17"/>
          <w:sz w:val="28"/>
          <w:szCs w:val="28"/>
          <w:highlight w:val="none"/>
        </w:rPr>
        <w:t>(财库〔2020〕  46号)的规定，本公司(联合体)参加</w:t>
      </w:r>
      <w:r>
        <w:rPr>
          <w:rFonts w:hint="eastAsia" w:ascii="仿宋" w:hAnsi="仿宋" w:eastAsia="仿宋" w:cs="仿宋"/>
          <w:color w:val="auto"/>
          <w:spacing w:val="17"/>
          <w:sz w:val="28"/>
          <w:szCs w:val="28"/>
          <w:highlight w:val="none"/>
          <w:u w:val="single"/>
        </w:rPr>
        <w:t xml:space="preserve">  (单位名称)  </w:t>
      </w:r>
      <w:r>
        <w:rPr>
          <w:rFonts w:hint="eastAsia" w:ascii="仿宋" w:hAnsi="仿宋" w:eastAsia="仿宋" w:cs="仿宋"/>
          <w:color w:val="auto"/>
          <w:spacing w:val="17"/>
          <w:sz w:val="28"/>
          <w:szCs w:val="28"/>
          <w:highlight w:val="none"/>
        </w:rPr>
        <w:t xml:space="preserve"> 的</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6"/>
          <w:sz w:val="28"/>
          <w:szCs w:val="28"/>
          <w:highlight w:val="none"/>
          <w:u w:val="single"/>
        </w:rPr>
        <w:t>(</w:t>
      </w:r>
      <w:r>
        <w:rPr>
          <w:rFonts w:hint="eastAsia" w:ascii="仿宋" w:hAnsi="仿宋" w:eastAsia="仿宋" w:cs="仿宋"/>
          <w:color w:val="auto"/>
          <w:spacing w:val="11"/>
          <w:sz w:val="28"/>
          <w:szCs w:val="28"/>
          <w:highlight w:val="none"/>
          <w:u w:val="single"/>
        </w:rPr>
        <w:t xml:space="preserve">项目名称)  </w:t>
      </w:r>
      <w:r>
        <w:rPr>
          <w:rFonts w:hint="eastAsia" w:ascii="仿宋" w:hAnsi="仿宋" w:eastAsia="仿宋" w:cs="仿宋"/>
          <w:color w:val="auto"/>
          <w:spacing w:val="11"/>
          <w:sz w:val="28"/>
          <w:szCs w:val="28"/>
          <w:highlight w:val="none"/>
        </w:rPr>
        <w:t>采购活动，工程的施工单位全部为符合政策要求的中小企业(或</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1"/>
          <w:sz w:val="28"/>
          <w:szCs w:val="28"/>
          <w:highlight w:val="none"/>
        </w:rPr>
        <w:t>者</w:t>
      </w:r>
      <w:r>
        <w:rPr>
          <w:rFonts w:hint="eastAsia" w:ascii="仿宋" w:hAnsi="仿宋" w:eastAsia="仿宋" w:cs="仿宋"/>
          <w:color w:val="auto"/>
          <w:spacing w:val="17"/>
          <w:sz w:val="28"/>
          <w:szCs w:val="28"/>
          <w:highlight w:val="none"/>
        </w:rPr>
        <w:t>：服务全部由符合政策要求的中小企业承接)。相关企业(含联合体中的中</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0"/>
          <w:sz w:val="28"/>
          <w:szCs w:val="28"/>
          <w:highlight w:val="none"/>
        </w:rPr>
        <w:t>小</w:t>
      </w:r>
      <w:r>
        <w:rPr>
          <w:rFonts w:hint="eastAsia" w:ascii="仿宋" w:hAnsi="仿宋" w:eastAsia="仿宋" w:cs="仿宋"/>
          <w:color w:val="auto"/>
          <w:spacing w:val="15"/>
          <w:sz w:val="28"/>
          <w:szCs w:val="28"/>
          <w:highlight w:val="none"/>
        </w:rPr>
        <w:t>企</w:t>
      </w:r>
      <w:r>
        <w:rPr>
          <w:rFonts w:hint="eastAsia" w:ascii="仿宋" w:hAnsi="仿宋" w:eastAsia="仿宋" w:cs="仿宋"/>
          <w:color w:val="auto"/>
          <w:spacing w:val="10"/>
          <w:sz w:val="28"/>
          <w:szCs w:val="28"/>
          <w:highlight w:val="none"/>
        </w:rPr>
        <w:t>业、签订分包意向协议的中小企业)的具体情况如下：</w:t>
      </w:r>
    </w:p>
    <w:p>
      <w:pPr>
        <w:spacing w:before="31" w:line="520" w:lineRule="exact"/>
        <w:ind w:left="176" w:right="343" w:firstLine="671"/>
        <w:rPr>
          <w:rFonts w:ascii="仿宋" w:hAnsi="仿宋" w:eastAsia="仿宋" w:cs="仿宋"/>
          <w:color w:val="auto"/>
          <w:sz w:val="28"/>
          <w:szCs w:val="28"/>
          <w:highlight w:val="none"/>
        </w:rPr>
      </w:pPr>
      <w:r>
        <w:rPr>
          <w:rFonts w:hint="eastAsia" w:ascii="仿宋" w:hAnsi="仿宋" w:eastAsia="仿宋" w:cs="仿宋"/>
          <w:color w:val="auto"/>
          <w:spacing w:val="20"/>
          <w:sz w:val="28"/>
          <w:szCs w:val="28"/>
          <w:highlight w:val="none"/>
        </w:rPr>
        <w:t>1</w:t>
      </w:r>
      <w:r>
        <w:rPr>
          <w:rFonts w:hint="eastAsia" w:ascii="仿宋" w:hAnsi="仿宋" w:eastAsia="仿宋" w:cs="仿宋"/>
          <w:color w:val="auto"/>
          <w:spacing w:val="13"/>
          <w:sz w:val="28"/>
          <w:szCs w:val="28"/>
          <w:highlight w:val="none"/>
        </w:rPr>
        <w:t>.</w:t>
      </w:r>
      <w:r>
        <w:rPr>
          <w:rFonts w:hint="eastAsia" w:ascii="仿宋" w:hAnsi="仿宋" w:eastAsia="仿宋" w:cs="仿宋"/>
          <w:color w:val="auto"/>
          <w:spacing w:val="10"/>
          <w:sz w:val="28"/>
          <w:szCs w:val="28"/>
          <w:highlight w:val="none"/>
          <w:u w:val="single"/>
        </w:rPr>
        <w:t xml:space="preserve">  (标的名称)  </w:t>
      </w:r>
      <w:r>
        <w:rPr>
          <w:rFonts w:hint="eastAsia" w:ascii="仿宋" w:hAnsi="仿宋" w:eastAsia="仿宋" w:cs="仿宋"/>
          <w:color w:val="auto"/>
          <w:spacing w:val="10"/>
          <w:sz w:val="28"/>
          <w:szCs w:val="28"/>
          <w:highlight w:val="none"/>
        </w:rPr>
        <w:t xml:space="preserve"> ，属于</w:t>
      </w:r>
      <w:r>
        <w:rPr>
          <w:rFonts w:hint="eastAsia" w:ascii="仿宋" w:hAnsi="仿宋" w:eastAsia="仿宋" w:cs="仿宋"/>
          <w:color w:val="auto"/>
          <w:spacing w:val="10"/>
          <w:sz w:val="28"/>
          <w:szCs w:val="28"/>
          <w:highlight w:val="none"/>
          <w:u w:val="single"/>
        </w:rPr>
        <w:t xml:space="preserve">  (采购文件中明确的所属行业)  </w:t>
      </w:r>
      <w:r>
        <w:rPr>
          <w:rFonts w:hint="eastAsia" w:ascii="仿宋" w:hAnsi="仿宋" w:eastAsia="仿宋" w:cs="仿宋"/>
          <w:color w:val="auto"/>
          <w:spacing w:val="10"/>
          <w:sz w:val="28"/>
          <w:szCs w:val="28"/>
          <w:highlight w:val="none"/>
        </w:rPr>
        <w:t xml:space="preserve"> ；承建(承接)企</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4"/>
          <w:sz w:val="28"/>
          <w:szCs w:val="28"/>
          <w:highlight w:val="none"/>
        </w:rPr>
        <w:t>业为</w:t>
      </w:r>
      <w:r>
        <w:rPr>
          <w:rFonts w:hint="eastAsia" w:ascii="仿宋" w:hAnsi="仿宋" w:eastAsia="仿宋" w:cs="仿宋"/>
          <w:color w:val="auto"/>
          <w:spacing w:val="4"/>
          <w:sz w:val="28"/>
          <w:szCs w:val="28"/>
          <w:highlight w:val="none"/>
          <w:u w:val="single"/>
        </w:rPr>
        <w:t xml:space="preserve">  (企业名</w:t>
      </w:r>
      <w:r>
        <w:rPr>
          <w:rFonts w:hint="eastAsia" w:ascii="仿宋" w:hAnsi="仿宋" w:eastAsia="仿宋" w:cs="仿宋"/>
          <w:color w:val="auto"/>
          <w:spacing w:val="3"/>
          <w:sz w:val="28"/>
          <w:szCs w:val="28"/>
          <w:highlight w:val="none"/>
          <w:u w:val="single"/>
        </w:rPr>
        <w:t>称</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2"/>
          <w:sz w:val="28"/>
          <w:szCs w:val="28"/>
          <w:highlight w:val="none"/>
        </w:rPr>
        <w:t xml:space="preserve"> ，从业人员</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2"/>
          <w:sz w:val="28"/>
          <w:szCs w:val="28"/>
          <w:highlight w:val="none"/>
        </w:rPr>
        <w:t>人，营业收入为</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2"/>
          <w:sz w:val="28"/>
          <w:szCs w:val="28"/>
          <w:highlight w:val="none"/>
        </w:rPr>
        <w:t>万元，资产总额为</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2"/>
          <w:sz w:val="28"/>
          <w:szCs w:val="28"/>
          <w:highlight w:val="none"/>
        </w:rPr>
        <w:t>万元，属</w:t>
      </w:r>
    </w:p>
    <w:p>
      <w:pPr>
        <w:spacing w:before="2" w:line="520" w:lineRule="exact"/>
        <w:ind w:left="176"/>
        <w:rPr>
          <w:rFonts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于</w:t>
      </w:r>
      <w:r>
        <w:rPr>
          <w:rFonts w:hint="eastAsia" w:ascii="仿宋" w:hAnsi="仿宋" w:eastAsia="仿宋" w:cs="仿宋"/>
          <w:color w:val="auto"/>
          <w:spacing w:val="10"/>
          <w:sz w:val="28"/>
          <w:szCs w:val="28"/>
          <w:highlight w:val="none"/>
          <w:u w:val="single"/>
        </w:rPr>
        <w:t xml:space="preserve"> </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5"/>
          <w:sz w:val="28"/>
          <w:szCs w:val="28"/>
          <w:highlight w:val="none"/>
          <w:u w:val="single"/>
        </w:rPr>
        <w:t xml:space="preserve">(中型企业、小型企业、微型企业)  </w:t>
      </w:r>
      <w:r>
        <w:rPr>
          <w:rFonts w:hint="eastAsia" w:ascii="仿宋" w:hAnsi="仿宋" w:eastAsia="仿宋" w:cs="仿宋"/>
          <w:color w:val="auto"/>
          <w:spacing w:val="5"/>
          <w:sz w:val="28"/>
          <w:szCs w:val="28"/>
          <w:highlight w:val="none"/>
        </w:rPr>
        <w:t>；</w:t>
      </w:r>
    </w:p>
    <w:p>
      <w:pPr>
        <w:spacing w:before="186" w:line="520" w:lineRule="exact"/>
        <w:ind w:left="176" w:right="343" w:firstLine="657"/>
        <w:rPr>
          <w:rFonts w:ascii="仿宋" w:hAnsi="仿宋" w:eastAsia="仿宋" w:cs="仿宋"/>
          <w:color w:val="auto"/>
          <w:sz w:val="28"/>
          <w:szCs w:val="28"/>
          <w:highlight w:val="none"/>
        </w:rPr>
      </w:pPr>
      <w:r>
        <w:rPr>
          <w:rFonts w:hint="eastAsia" w:ascii="仿宋" w:hAnsi="仿宋" w:eastAsia="仿宋" w:cs="仿宋"/>
          <w:color w:val="auto"/>
          <w:spacing w:val="20"/>
          <w:sz w:val="28"/>
          <w:szCs w:val="28"/>
          <w:highlight w:val="none"/>
        </w:rPr>
        <w:t>2.</w:t>
      </w:r>
      <w:r>
        <w:rPr>
          <w:rFonts w:hint="eastAsia" w:ascii="仿宋" w:hAnsi="仿宋" w:eastAsia="仿宋" w:cs="仿宋"/>
          <w:color w:val="auto"/>
          <w:spacing w:val="18"/>
          <w:sz w:val="28"/>
          <w:szCs w:val="28"/>
          <w:highlight w:val="none"/>
          <w:u w:val="single"/>
        </w:rPr>
        <w:t xml:space="preserve"> </w:t>
      </w:r>
      <w:r>
        <w:rPr>
          <w:rFonts w:hint="eastAsia" w:ascii="仿宋" w:hAnsi="仿宋" w:eastAsia="仿宋" w:cs="仿宋"/>
          <w:color w:val="auto"/>
          <w:spacing w:val="10"/>
          <w:sz w:val="28"/>
          <w:szCs w:val="28"/>
          <w:highlight w:val="none"/>
          <w:u w:val="single"/>
        </w:rPr>
        <w:t xml:space="preserve"> (标的名称)  </w:t>
      </w:r>
      <w:r>
        <w:rPr>
          <w:rFonts w:hint="eastAsia" w:ascii="仿宋" w:hAnsi="仿宋" w:eastAsia="仿宋" w:cs="仿宋"/>
          <w:color w:val="auto"/>
          <w:spacing w:val="10"/>
          <w:sz w:val="28"/>
          <w:szCs w:val="28"/>
          <w:highlight w:val="none"/>
        </w:rPr>
        <w:t xml:space="preserve"> ，属于</w:t>
      </w:r>
      <w:r>
        <w:rPr>
          <w:rFonts w:hint="eastAsia" w:ascii="仿宋" w:hAnsi="仿宋" w:eastAsia="仿宋" w:cs="仿宋"/>
          <w:color w:val="auto"/>
          <w:spacing w:val="10"/>
          <w:sz w:val="28"/>
          <w:szCs w:val="28"/>
          <w:highlight w:val="none"/>
          <w:u w:val="single"/>
        </w:rPr>
        <w:t xml:space="preserve">  (采购文件中明确的所属行业)  </w:t>
      </w:r>
      <w:r>
        <w:rPr>
          <w:rFonts w:hint="eastAsia" w:ascii="仿宋" w:hAnsi="仿宋" w:eastAsia="仿宋" w:cs="仿宋"/>
          <w:color w:val="auto"/>
          <w:spacing w:val="10"/>
          <w:sz w:val="28"/>
          <w:szCs w:val="28"/>
          <w:highlight w:val="none"/>
        </w:rPr>
        <w:t xml:space="preserve"> ；承建(承接)企</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4"/>
          <w:sz w:val="28"/>
          <w:szCs w:val="28"/>
          <w:highlight w:val="none"/>
        </w:rPr>
        <w:t>业为</w:t>
      </w:r>
      <w:r>
        <w:rPr>
          <w:rFonts w:hint="eastAsia" w:ascii="仿宋" w:hAnsi="仿宋" w:eastAsia="仿宋" w:cs="仿宋"/>
          <w:color w:val="auto"/>
          <w:spacing w:val="4"/>
          <w:sz w:val="28"/>
          <w:szCs w:val="28"/>
          <w:highlight w:val="none"/>
          <w:u w:val="single"/>
        </w:rPr>
        <w:t xml:space="preserve">  (企业名称)  </w:t>
      </w:r>
      <w:r>
        <w:rPr>
          <w:rFonts w:hint="eastAsia" w:ascii="仿宋" w:hAnsi="仿宋" w:eastAsia="仿宋" w:cs="仿宋"/>
          <w:color w:val="auto"/>
          <w:spacing w:val="4"/>
          <w:sz w:val="28"/>
          <w:szCs w:val="28"/>
          <w:highlight w:val="none"/>
        </w:rPr>
        <w:t xml:space="preserve"> ，从</w:t>
      </w:r>
      <w:r>
        <w:rPr>
          <w:rFonts w:hint="eastAsia" w:ascii="仿宋" w:hAnsi="仿宋" w:eastAsia="仿宋" w:cs="仿宋"/>
          <w:color w:val="auto"/>
          <w:spacing w:val="2"/>
          <w:sz w:val="28"/>
          <w:szCs w:val="28"/>
          <w:highlight w:val="none"/>
        </w:rPr>
        <w:t>业人员</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2"/>
          <w:sz w:val="28"/>
          <w:szCs w:val="28"/>
          <w:highlight w:val="none"/>
        </w:rPr>
        <w:t>人，营业收入为</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2"/>
          <w:sz w:val="28"/>
          <w:szCs w:val="28"/>
          <w:highlight w:val="none"/>
        </w:rPr>
        <w:t>万元，资产总额为</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2"/>
          <w:sz w:val="28"/>
          <w:szCs w:val="28"/>
          <w:highlight w:val="none"/>
        </w:rPr>
        <w:t>万元，属</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0"/>
          <w:sz w:val="28"/>
          <w:szCs w:val="28"/>
          <w:highlight w:val="none"/>
        </w:rPr>
        <w:t>于</w:t>
      </w:r>
      <w:r>
        <w:rPr>
          <w:rFonts w:hint="eastAsia" w:ascii="仿宋" w:hAnsi="仿宋" w:eastAsia="仿宋" w:cs="仿宋"/>
          <w:color w:val="auto"/>
          <w:spacing w:val="10"/>
          <w:sz w:val="28"/>
          <w:szCs w:val="28"/>
          <w:highlight w:val="none"/>
          <w:u w:val="single"/>
        </w:rPr>
        <w:t xml:space="preserve">  </w:t>
      </w:r>
      <w:r>
        <w:rPr>
          <w:rFonts w:hint="eastAsia" w:ascii="仿宋" w:hAnsi="仿宋" w:eastAsia="仿宋" w:cs="仿宋"/>
          <w:color w:val="auto"/>
          <w:spacing w:val="5"/>
          <w:sz w:val="28"/>
          <w:szCs w:val="28"/>
          <w:highlight w:val="none"/>
          <w:u w:val="single"/>
        </w:rPr>
        <w:t xml:space="preserve">(中型企业、小型企业、微型企业)  </w:t>
      </w:r>
      <w:r>
        <w:rPr>
          <w:rFonts w:hint="eastAsia" w:ascii="仿宋" w:hAnsi="仿宋" w:eastAsia="仿宋" w:cs="仿宋"/>
          <w:color w:val="auto"/>
          <w:spacing w:val="5"/>
          <w:sz w:val="28"/>
          <w:szCs w:val="28"/>
          <w:highlight w:val="none"/>
        </w:rPr>
        <w:t>；</w:t>
      </w:r>
    </w:p>
    <w:p>
      <w:pPr>
        <w:spacing w:before="244" w:line="520" w:lineRule="exact"/>
        <w:ind w:left="838"/>
        <w:rPr>
          <w:rFonts w:ascii="仿宋" w:hAnsi="仿宋" w:eastAsia="仿宋" w:cs="仿宋"/>
          <w:color w:val="auto"/>
          <w:sz w:val="28"/>
          <w:szCs w:val="28"/>
          <w:highlight w:val="none"/>
        </w:rPr>
      </w:pPr>
      <w:r>
        <w:rPr>
          <w:rFonts w:hint="eastAsia" w:ascii="仿宋" w:hAnsi="仿宋" w:eastAsia="仿宋" w:cs="仿宋"/>
          <w:color w:val="auto"/>
          <w:spacing w:val="-5"/>
          <w:position w:val="4"/>
          <w:sz w:val="28"/>
          <w:szCs w:val="28"/>
          <w:highlight w:val="none"/>
        </w:rPr>
        <w:t>…</w:t>
      </w:r>
      <w:r>
        <w:rPr>
          <w:rFonts w:hint="eastAsia" w:ascii="仿宋" w:hAnsi="仿宋" w:eastAsia="仿宋" w:cs="仿宋"/>
          <w:color w:val="auto"/>
          <w:spacing w:val="-3"/>
          <w:position w:val="4"/>
          <w:sz w:val="28"/>
          <w:szCs w:val="28"/>
          <w:highlight w:val="none"/>
        </w:rPr>
        <w:t>…</w:t>
      </w:r>
    </w:p>
    <w:p>
      <w:pPr>
        <w:spacing w:before="250" w:line="520" w:lineRule="exact"/>
        <w:ind w:left="174" w:right="349" w:firstLine="656"/>
        <w:rPr>
          <w:rFonts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以上企业，不属</w:t>
      </w:r>
      <w:r>
        <w:rPr>
          <w:rFonts w:hint="eastAsia" w:ascii="仿宋" w:hAnsi="仿宋" w:eastAsia="仿宋" w:cs="仿宋"/>
          <w:color w:val="auto"/>
          <w:spacing w:val="3"/>
          <w:sz w:val="28"/>
          <w:szCs w:val="28"/>
          <w:highlight w:val="none"/>
        </w:rPr>
        <w:t>于</w:t>
      </w:r>
      <w:r>
        <w:rPr>
          <w:rFonts w:hint="eastAsia" w:ascii="仿宋" w:hAnsi="仿宋" w:eastAsia="仿宋" w:cs="仿宋"/>
          <w:color w:val="auto"/>
          <w:spacing w:val="2"/>
          <w:sz w:val="28"/>
          <w:szCs w:val="28"/>
          <w:highlight w:val="none"/>
        </w:rPr>
        <w:t>大企业的分支机构，不存在控股股东为大企业的情形，</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也不存在与大企业的负责人为</w:t>
      </w:r>
      <w:r>
        <w:rPr>
          <w:rFonts w:hint="eastAsia" w:ascii="仿宋" w:hAnsi="仿宋" w:eastAsia="仿宋" w:cs="仿宋"/>
          <w:color w:val="auto"/>
          <w:spacing w:val="1"/>
          <w:sz w:val="28"/>
          <w:szCs w:val="28"/>
          <w:highlight w:val="none"/>
        </w:rPr>
        <w:t>同一人的情形。</w:t>
      </w:r>
    </w:p>
    <w:p>
      <w:pPr>
        <w:spacing w:before="1" w:line="520" w:lineRule="exact"/>
        <w:ind w:left="820"/>
        <w:rPr>
          <w:rFonts w:ascii="微软雅黑" w:hAnsi="微软雅黑" w:eastAsia="微软雅黑" w:cs="微软雅黑"/>
          <w:color w:val="auto"/>
          <w:sz w:val="31"/>
          <w:szCs w:val="31"/>
          <w:highlight w:val="none"/>
        </w:rPr>
      </w:pPr>
      <w:r>
        <w:rPr>
          <w:rFonts w:hint="eastAsia" w:ascii="仿宋" w:hAnsi="仿宋" w:eastAsia="仿宋" w:cs="仿宋"/>
          <w:color w:val="auto"/>
          <w:spacing w:val="3"/>
          <w:sz w:val="28"/>
          <w:szCs w:val="28"/>
          <w:highlight w:val="none"/>
        </w:rPr>
        <w:t>本企业对上述声明内容的真实性负责。如有虚假，将依法承担相应责</w:t>
      </w:r>
      <w:r>
        <w:rPr>
          <w:rFonts w:hint="eastAsia" w:ascii="仿宋" w:hAnsi="仿宋" w:eastAsia="仿宋" w:cs="仿宋"/>
          <w:color w:val="auto"/>
          <w:spacing w:val="2"/>
          <w:sz w:val="28"/>
          <w:szCs w:val="28"/>
          <w:highlight w:val="none"/>
        </w:rPr>
        <w:t>任</w:t>
      </w:r>
      <w:r>
        <w:rPr>
          <w:rFonts w:hint="eastAsia" w:ascii="仿宋" w:hAnsi="仿宋" w:eastAsia="仿宋" w:cs="仿宋"/>
          <w:color w:val="auto"/>
          <w:sz w:val="28"/>
          <w:szCs w:val="28"/>
          <w:highlight w:val="none"/>
        </w:rPr>
        <w:t>。</w:t>
      </w:r>
    </w:p>
    <w:p>
      <w:pPr>
        <w:spacing w:line="256" w:lineRule="auto"/>
        <w:rPr>
          <w:rFonts w:ascii="Arial"/>
          <w:color w:val="auto"/>
          <w:highlight w:val="none"/>
        </w:rPr>
      </w:pPr>
    </w:p>
    <w:p>
      <w:pPr>
        <w:spacing w:line="256" w:lineRule="auto"/>
        <w:rPr>
          <w:rFonts w:ascii="Arial"/>
          <w:color w:val="auto"/>
          <w:highlight w:val="none"/>
        </w:rPr>
      </w:pPr>
    </w:p>
    <w:p>
      <w:pPr>
        <w:spacing w:before="1" w:line="186" w:lineRule="auto"/>
        <w:ind w:left="820"/>
        <w:rPr>
          <w:rFonts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企业名称(盖章)：</w:t>
      </w:r>
    </w:p>
    <w:p>
      <w:pPr>
        <w:spacing w:before="1" w:line="186" w:lineRule="auto"/>
        <w:ind w:left="820"/>
        <w:rPr>
          <w:rFonts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日期：</w:t>
      </w: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FZZD Extra JW">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49"/>
      </w:rPr>
    </w:pPr>
    <w:r>
      <w:rPr>
        <w:rStyle w:val="49"/>
        <w:rFonts w:hint="eastAsia"/>
      </w:rPr>
      <w:t>电话：0991-8852519  传真：0991-8852</w:t>
    </w:r>
    <w:r>
      <w:rPr>
        <w:rStyle w:val="49"/>
      </w:rPr>
      <w:t>5</w:t>
    </w:r>
    <w:r>
      <w:rPr>
        <w:rStyle w:val="49"/>
        <w:rFonts w:hint="eastAsia"/>
      </w:rPr>
      <w:t>30               -</w:t>
    </w:r>
    <w:r>
      <w:rPr>
        <w:rFonts w:hint="eastAsia" w:ascii="仿宋_GB2312" w:eastAsia="仿宋_GB2312"/>
        <w:b/>
        <w:i/>
        <w:sz w:val="18"/>
      </w:rPr>
      <w:fldChar w:fldCharType="begin"/>
    </w:r>
    <w:r>
      <w:rPr>
        <w:rStyle w:val="32"/>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32"/>
        <w:rFonts w:ascii="仿宋_GB2312" w:eastAsia="仿宋_GB2312"/>
        <w:b/>
        <w:i/>
        <w:sz w:val="18"/>
      </w:rPr>
      <w:t>3</w:t>
    </w:r>
    <w:r>
      <w:rPr>
        <w:rFonts w:hint="eastAsia" w:ascii="仿宋_GB2312" w:eastAsia="仿宋_GB2312"/>
        <w:b/>
        <w:i/>
        <w:sz w:val="18"/>
      </w:rPr>
      <w:fldChar w:fldCharType="end"/>
    </w:r>
    <w:r>
      <w:rPr>
        <w:rStyle w:val="49"/>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rPr>
        <w:rStyle w:val="49"/>
      </w:rPr>
    </w:pPr>
    <w:r>
      <w:rPr>
        <w:rStyle w:val="49"/>
        <w:rFonts w:hint="eastAsia"/>
      </w:rPr>
      <w:t xml:space="preserve">电话：0991-8852519                             </w:t>
    </w:r>
    <w:r>
      <w:rPr>
        <w:rStyle w:val="49"/>
      </w:rPr>
      <w:t xml:space="preserve"> </w:t>
    </w:r>
    <w:r>
      <w:fldChar w:fldCharType="begin"/>
    </w:r>
    <w:r>
      <w:rPr>
        <w:rStyle w:val="49"/>
      </w:rPr>
      <w:instrText xml:space="preserve"> PAGE </w:instrText>
    </w:r>
    <w:r>
      <w:fldChar w:fldCharType="separate"/>
    </w:r>
    <w:r>
      <w:rPr>
        <w:rStyle w:val="49"/>
      </w:rPr>
      <w:t>- 34 -</w:t>
    </w:r>
    <w:r>
      <w:fldChar w:fldCharType="end"/>
    </w:r>
    <w:r>
      <w:rPr>
        <w:rStyle w:val="49"/>
      </w:rPr>
      <w:t xml:space="preserve"> </w:t>
    </w:r>
    <w:r>
      <w:rPr>
        <w:rStyle w:val="49"/>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49"/>
      </w:rPr>
    </w:pPr>
    <w:r>
      <w:rPr>
        <w:rStyle w:val="49"/>
        <w:rFonts w:hint="eastAsia"/>
      </w:rPr>
      <w:t>电话：0991-8852519                                   -</w:t>
    </w:r>
    <w:r>
      <w:rPr>
        <w:rFonts w:hint="eastAsia" w:ascii="仿宋_GB2312" w:eastAsia="仿宋_GB2312"/>
        <w:b/>
        <w:i/>
        <w:sz w:val="18"/>
      </w:rPr>
      <w:fldChar w:fldCharType="begin"/>
    </w:r>
    <w:r>
      <w:rPr>
        <w:rStyle w:val="32"/>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32"/>
        <w:rFonts w:ascii="仿宋_GB2312" w:eastAsia="仿宋_GB2312"/>
        <w:b/>
        <w:i/>
        <w:sz w:val="18"/>
      </w:rPr>
      <w:t>23</w:t>
    </w:r>
    <w:r>
      <w:rPr>
        <w:rFonts w:hint="eastAsia" w:ascii="仿宋_GB2312" w:eastAsia="仿宋_GB2312"/>
        <w:b/>
        <w:i/>
        <w:sz w:val="18"/>
      </w:rPr>
      <w:fldChar w:fldCharType="end"/>
    </w:r>
    <w:r>
      <w:rPr>
        <w:rStyle w:val="49"/>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9"/>
      </w:rPr>
    </w:pPr>
    <w:r>
      <w:rPr>
        <w:rStyle w:val="49"/>
        <w:rFonts w:hint="eastAsia"/>
      </w:rPr>
      <w:t>电话：0991-8852519                                               -</w:t>
    </w:r>
    <w:r>
      <w:fldChar w:fldCharType="begin"/>
    </w:r>
    <w:r>
      <w:rPr>
        <w:rStyle w:val="49"/>
      </w:rPr>
      <w:instrText xml:space="preserve"> PAGE </w:instrText>
    </w:r>
    <w:r>
      <w:fldChar w:fldCharType="separate"/>
    </w:r>
    <w:r>
      <w:rPr>
        <w:rStyle w:val="49"/>
      </w:rPr>
      <w:t>132</w:t>
    </w:r>
    <w:r>
      <w:fldChar w:fldCharType="end"/>
    </w:r>
    <w:r>
      <w:rPr>
        <w:rStyle w:val="49"/>
        <w:rFonts w:hint="eastAsia"/>
      </w:rPr>
      <w:t>-                                                新疆新之建工程咨询有限公司编制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133</w:t>
                    </w:r>
                    <w:r>
                      <w:fldChar w:fldCharType="end"/>
                    </w:r>
                  </w:p>
                </w:txbxContent>
              </v:textbox>
            </v:shape>
          </w:pict>
        </mc:Fallback>
      </mc:AlternateContent>
    </w:r>
    <w:r>
      <w:rPr>
        <w:rStyle w:val="49"/>
        <w:rFonts w:hint="eastAsia"/>
      </w:rPr>
      <w:t>电话：0991-8852519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DACB9"/>
    <w:multiLevelType w:val="singleLevel"/>
    <w:tmpl w:val="A22DACB9"/>
    <w:lvl w:ilvl="0" w:tentative="0">
      <w:start w:val="1"/>
      <w:numFmt w:val="decimal"/>
      <w:lvlText w:val="%1."/>
      <w:lvlJc w:val="left"/>
      <w:pPr>
        <w:tabs>
          <w:tab w:val="left" w:pos="312"/>
        </w:tabs>
      </w:pPr>
    </w:lvl>
  </w:abstractNum>
  <w:abstractNum w:abstractNumId="1">
    <w:nsid w:val="EB7968F1"/>
    <w:multiLevelType w:val="singleLevel"/>
    <w:tmpl w:val="EB7968F1"/>
    <w:lvl w:ilvl="0" w:tentative="0">
      <w:start w:val="1"/>
      <w:numFmt w:val="decimal"/>
      <w:suff w:val="nothing"/>
      <w:lvlText w:val="%1、"/>
      <w:lvlJc w:val="left"/>
    </w:lvl>
  </w:abstractNum>
  <w:abstractNum w:abstractNumId="2">
    <w:nsid w:val="001C5D28"/>
    <w:multiLevelType w:val="multilevel"/>
    <w:tmpl w:val="001C5D2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E57727"/>
    <w:multiLevelType w:val="multilevel"/>
    <w:tmpl w:val="00E5772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2436523"/>
    <w:multiLevelType w:val="multilevel"/>
    <w:tmpl w:val="0243652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30A4C7C"/>
    <w:multiLevelType w:val="multilevel"/>
    <w:tmpl w:val="030A4C7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5E854E1"/>
    <w:multiLevelType w:val="multilevel"/>
    <w:tmpl w:val="05E854E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054975"/>
    <w:multiLevelType w:val="multilevel"/>
    <w:tmpl w:val="0805497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F66A35"/>
    <w:multiLevelType w:val="multilevel"/>
    <w:tmpl w:val="0CF66A3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690B9B"/>
    <w:multiLevelType w:val="multilevel"/>
    <w:tmpl w:val="11690B9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1924047"/>
    <w:multiLevelType w:val="multilevel"/>
    <w:tmpl w:val="1192404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1AE7E95"/>
    <w:multiLevelType w:val="multilevel"/>
    <w:tmpl w:val="11AE7E9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1C43B2F"/>
    <w:multiLevelType w:val="singleLevel"/>
    <w:tmpl w:val="11C43B2F"/>
    <w:lvl w:ilvl="0" w:tentative="0">
      <w:start w:val="1"/>
      <w:numFmt w:val="decimal"/>
      <w:lvlText w:val="(%1)"/>
      <w:lvlJc w:val="left"/>
      <w:pPr>
        <w:ind w:left="425" w:hanging="425"/>
      </w:pPr>
      <w:rPr>
        <w:rFonts w:hint="default"/>
      </w:rPr>
    </w:lvl>
  </w:abstractNum>
  <w:abstractNum w:abstractNumId="13">
    <w:nsid w:val="11F230D2"/>
    <w:multiLevelType w:val="multilevel"/>
    <w:tmpl w:val="11F230D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3567650"/>
    <w:multiLevelType w:val="multilevel"/>
    <w:tmpl w:val="1356765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50359AD"/>
    <w:multiLevelType w:val="singleLevel"/>
    <w:tmpl w:val="150359AD"/>
    <w:lvl w:ilvl="0" w:tentative="0">
      <w:start w:val="1"/>
      <w:numFmt w:val="decimal"/>
      <w:lvlText w:val="(%1)"/>
      <w:lvlJc w:val="left"/>
      <w:pPr>
        <w:ind w:left="425" w:hanging="425"/>
      </w:pPr>
      <w:rPr>
        <w:rFonts w:hint="default"/>
      </w:rPr>
    </w:lvl>
  </w:abstractNum>
  <w:abstractNum w:abstractNumId="16">
    <w:nsid w:val="157F4FE4"/>
    <w:multiLevelType w:val="multilevel"/>
    <w:tmpl w:val="157F4FE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6597CFE"/>
    <w:multiLevelType w:val="singleLevel"/>
    <w:tmpl w:val="16597CFE"/>
    <w:lvl w:ilvl="0" w:tentative="0">
      <w:start w:val="1"/>
      <w:numFmt w:val="decimal"/>
      <w:lvlText w:val="(%1)"/>
      <w:lvlJc w:val="left"/>
      <w:pPr>
        <w:ind w:left="425" w:hanging="425"/>
      </w:pPr>
      <w:rPr>
        <w:rFonts w:hint="default"/>
      </w:rPr>
    </w:lvl>
  </w:abstractNum>
  <w:abstractNum w:abstractNumId="18">
    <w:nsid w:val="166C559E"/>
    <w:multiLevelType w:val="multilevel"/>
    <w:tmpl w:val="166C559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86C2BC8"/>
    <w:multiLevelType w:val="singleLevel"/>
    <w:tmpl w:val="186C2BC8"/>
    <w:lvl w:ilvl="0" w:tentative="0">
      <w:start w:val="4"/>
      <w:numFmt w:val="chineseCounting"/>
      <w:suff w:val="space"/>
      <w:lvlText w:val="第%1章"/>
      <w:lvlJc w:val="left"/>
      <w:rPr>
        <w:rFonts w:hint="eastAsia"/>
      </w:rPr>
    </w:lvl>
  </w:abstractNum>
  <w:abstractNum w:abstractNumId="20">
    <w:nsid w:val="18B1692F"/>
    <w:multiLevelType w:val="multilevel"/>
    <w:tmpl w:val="18B1692F"/>
    <w:lvl w:ilvl="0" w:tentative="0">
      <w:start w:val="1"/>
      <w:numFmt w:val="decimal"/>
      <w:lvlText w:val="(%1)"/>
      <w:lvlJc w:val="left"/>
      <w:pPr>
        <w:ind w:left="420" w:hanging="4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B7F169B"/>
    <w:multiLevelType w:val="multilevel"/>
    <w:tmpl w:val="1B7F169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DC556AA"/>
    <w:multiLevelType w:val="multilevel"/>
    <w:tmpl w:val="1DC556A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F78056D"/>
    <w:multiLevelType w:val="multilevel"/>
    <w:tmpl w:val="1F78056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F997096"/>
    <w:multiLevelType w:val="singleLevel"/>
    <w:tmpl w:val="1F997096"/>
    <w:lvl w:ilvl="0" w:tentative="0">
      <w:start w:val="1"/>
      <w:numFmt w:val="decimal"/>
      <w:lvlText w:val="(%1)"/>
      <w:lvlJc w:val="left"/>
      <w:pPr>
        <w:ind w:left="425" w:hanging="425"/>
      </w:pPr>
      <w:rPr>
        <w:rFonts w:hint="default"/>
      </w:rPr>
    </w:lvl>
  </w:abstractNum>
  <w:abstractNum w:abstractNumId="25">
    <w:nsid w:val="22AD7AA3"/>
    <w:multiLevelType w:val="singleLevel"/>
    <w:tmpl w:val="22AD7AA3"/>
    <w:lvl w:ilvl="0" w:tentative="0">
      <w:start w:val="1"/>
      <w:numFmt w:val="decimal"/>
      <w:lvlText w:val="(%1)"/>
      <w:lvlJc w:val="left"/>
      <w:pPr>
        <w:ind w:left="425" w:hanging="425"/>
      </w:pPr>
      <w:rPr>
        <w:rFonts w:hint="default"/>
      </w:rPr>
    </w:lvl>
  </w:abstractNum>
  <w:abstractNum w:abstractNumId="26">
    <w:nsid w:val="23CF075E"/>
    <w:multiLevelType w:val="multilevel"/>
    <w:tmpl w:val="23CF075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6333C98"/>
    <w:multiLevelType w:val="multilevel"/>
    <w:tmpl w:val="26333C9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74530D7"/>
    <w:multiLevelType w:val="multilevel"/>
    <w:tmpl w:val="274530D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7A348E7"/>
    <w:multiLevelType w:val="multilevel"/>
    <w:tmpl w:val="27A348E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8766A2C"/>
    <w:multiLevelType w:val="singleLevel"/>
    <w:tmpl w:val="28766A2C"/>
    <w:lvl w:ilvl="0" w:tentative="0">
      <w:start w:val="1"/>
      <w:numFmt w:val="decimal"/>
      <w:lvlText w:val="(%1)"/>
      <w:lvlJc w:val="left"/>
      <w:pPr>
        <w:ind w:left="425" w:hanging="425"/>
      </w:pPr>
      <w:rPr>
        <w:rFonts w:hint="default"/>
      </w:rPr>
    </w:lvl>
  </w:abstractNum>
  <w:abstractNum w:abstractNumId="31">
    <w:nsid w:val="28987F9A"/>
    <w:multiLevelType w:val="multilevel"/>
    <w:tmpl w:val="28987F9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9D34048"/>
    <w:multiLevelType w:val="multilevel"/>
    <w:tmpl w:val="29D3404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B7F7035"/>
    <w:multiLevelType w:val="multilevel"/>
    <w:tmpl w:val="2B7F703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2DAD7171"/>
    <w:multiLevelType w:val="multilevel"/>
    <w:tmpl w:val="2DAD717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F4C4317"/>
    <w:multiLevelType w:val="multilevel"/>
    <w:tmpl w:val="2F4C431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04F12AB"/>
    <w:multiLevelType w:val="multilevel"/>
    <w:tmpl w:val="304F12A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6175D31"/>
    <w:multiLevelType w:val="multilevel"/>
    <w:tmpl w:val="36175D3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85423E3"/>
    <w:multiLevelType w:val="multilevel"/>
    <w:tmpl w:val="385423E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9C041D0"/>
    <w:multiLevelType w:val="multilevel"/>
    <w:tmpl w:val="39C041D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B2C41C8"/>
    <w:multiLevelType w:val="multilevel"/>
    <w:tmpl w:val="3B2C41C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1440AEE"/>
    <w:multiLevelType w:val="multilevel"/>
    <w:tmpl w:val="41440AE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3DE6435"/>
    <w:multiLevelType w:val="multilevel"/>
    <w:tmpl w:val="43DE643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4595390"/>
    <w:multiLevelType w:val="multilevel"/>
    <w:tmpl w:val="4459539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51C0FF7"/>
    <w:multiLevelType w:val="multilevel"/>
    <w:tmpl w:val="451C0FF7"/>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4A683B90"/>
    <w:multiLevelType w:val="multilevel"/>
    <w:tmpl w:val="4A683B9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B6117B2"/>
    <w:multiLevelType w:val="singleLevel"/>
    <w:tmpl w:val="4B6117B2"/>
    <w:lvl w:ilvl="0" w:tentative="0">
      <w:start w:val="1"/>
      <w:numFmt w:val="decimal"/>
      <w:lvlText w:val="(%1)"/>
      <w:lvlJc w:val="left"/>
      <w:pPr>
        <w:ind w:left="425" w:hanging="425"/>
      </w:pPr>
      <w:rPr>
        <w:rFonts w:hint="default"/>
      </w:rPr>
    </w:lvl>
  </w:abstractNum>
  <w:abstractNum w:abstractNumId="47">
    <w:nsid w:val="4D502C27"/>
    <w:multiLevelType w:val="multilevel"/>
    <w:tmpl w:val="4D502C2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E0010BF"/>
    <w:multiLevelType w:val="multilevel"/>
    <w:tmpl w:val="4E0010B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4EDE5673"/>
    <w:multiLevelType w:val="singleLevel"/>
    <w:tmpl w:val="4EDE5673"/>
    <w:lvl w:ilvl="0" w:tentative="0">
      <w:start w:val="1"/>
      <w:numFmt w:val="decimal"/>
      <w:lvlText w:val="(%1)"/>
      <w:lvlJc w:val="left"/>
      <w:pPr>
        <w:ind w:left="425" w:hanging="425"/>
      </w:pPr>
      <w:rPr>
        <w:rFonts w:hint="default"/>
      </w:rPr>
    </w:lvl>
  </w:abstractNum>
  <w:abstractNum w:abstractNumId="50">
    <w:nsid w:val="4F912853"/>
    <w:multiLevelType w:val="multilevel"/>
    <w:tmpl w:val="4F91285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1573C98"/>
    <w:multiLevelType w:val="multilevel"/>
    <w:tmpl w:val="51573C9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396657A"/>
    <w:multiLevelType w:val="multilevel"/>
    <w:tmpl w:val="5396657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ADF55CF"/>
    <w:multiLevelType w:val="multilevel"/>
    <w:tmpl w:val="5ADF55C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B5640D6"/>
    <w:multiLevelType w:val="multilevel"/>
    <w:tmpl w:val="5B5640D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C865347"/>
    <w:multiLevelType w:val="multilevel"/>
    <w:tmpl w:val="5C86534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CAB4EC4"/>
    <w:multiLevelType w:val="multilevel"/>
    <w:tmpl w:val="5CAB4EC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D5541F6"/>
    <w:multiLevelType w:val="multilevel"/>
    <w:tmpl w:val="5D5541F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EA41614"/>
    <w:multiLevelType w:val="multilevel"/>
    <w:tmpl w:val="5EA4161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3127D77"/>
    <w:multiLevelType w:val="multilevel"/>
    <w:tmpl w:val="63127D7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6465770"/>
    <w:multiLevelType w:val="multilevel"/>
    <w:tmpl w:val="6646577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84C0B84"/>
    <w:multiLevelType w:val="multilevel"/>
    <w:tmpl w:val="684C0B8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88E5BF5"/>
    <w:multiLevelType w:val="multilevel"/>
    <w:tmpl w:val="688E5BF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923AB43"/>
    <w:multiLevelType w:val="singleLevel"/>
    <w:tmpl w:val="6923AB43"/>
    <w:lvl w:ilvl="0" w:tentative="0">
      <w:start w:val="6"/>
      <w:numFmt w:val="chineseCounting"/>
      <w:suff w:val="nothing"/>
      <w:lvlText w:val="%1、"/>
      <w:lvlJc w:val="left"/>
      <w:rPr>
        <w:rFonts w:hint="eastAsia"/>
      </w:rPr>
    </w:lvl>
  </w:abstractNum>
  <w:abstractNum w:abstractNumId="64">
    <w:nsid w:val="6D0E0998"/>
    <w:multiLevelType w:val="multilevel"/>
    <w:tmpl w:val="6D0E099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E230238"/>
    <w:multiLevelType w:val="multilevel"/>
    <w:tmpl w:val="6E23023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0467BE3"/>
    <w:multiLevelType w:val="multilevel"/>
    <w:tmpl w:val="70467BE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2975D4A"/>
    <w:multiLevelType w:val="singleLevel"/>
    <w:tmpl w:val="72975D4A"/>
    <w:lvl w:ilvl="0" w:tentative="0">
      <w:start w:val="1"/>
      <w:numFmt w:val="decimal"/>
      <w:lvlText w:val="(%1)"/>
      <w:lvlJc w:val="left"/>
      <w:pPr>
        <w:ind w:left="425" w:hanging="425"/>
      </w:pPr>
      <w:rPr>
        <w:rFonts w:hint="default"/>
      </w:rPr>
    </w:lvl>
  </w:abstractNum>
  <w:abstractNum w:abstractNumId="68">
    <w:nsid w:val="75D111A1"/>
    <w:multiLevelType w:val="multilevel"/>
    <w:tmpl w:val="75D111A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7181F1B"/>
    <w:multiLevelType w:val="singleLevel"/>
    <w:tmpl w:val="77181F1B"/>
    <w:lvl w:ilvl="0" w:tentative="0">
      <w:start w:val="1"/>
      <w:numFmt w:val="decimal"/>
      <w:lvlText w:val="(%1)"/>
      <w:lvlJc w:val="left"/>
      <w:pPr>
        <w:ind w:left="425" w:hanging="425"/>
      </w:pPr>
      <w:rPr>
        <w:rFonts w:hint="default"/>
      </w:rPr>
    </w:lvl>
  </w:abstractNum>
  <w:abstractNum w:abstractNumId="70">
    <w:nsid w:val="7835669D"/>
    <w:multiLevelType w:val="multilevel"/>
    <w:tmpl w:val="7835669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AFEEE7E"/>
    <w:multiLevelType w:val="singleLevel"/>
    <w:tmpl w:val="7AFEEE7E"/>
    <w:lvl w:ilvl="0" w:tentative="0">
      <w:start w:val="1"/>
      <w:numFmt w:val="decimal"/>
      <w:lvlText w:val="(%1)"/>
      <w:lvlJc w:val="left"/>
      <w:pPr>
        <w:ind w:left="425" w:hanging="425"/>
      </w:pPr>
      <w:rPr>
        <w:rFonts w:hint="default"/>
      </w:rPr>
    </w:lvl>
  </w:abstractNum>
  <w:abstractNum w:abstractNumId="72">
    <w:nsid w:val="7B7E7452"/>
    <w:multiLevelType w:val="multilevel"/>
    <w:tmpl w:val="7B7E7452"/>
    <w:lvl w:ilvl="0" w:tentative="0">
      <w:start w:val="1"/>
      <w:numFmt w:val="decimal"/>
      <w:lvlText w:val="(%1)"/>
      <w:lvlJc w:val="left"/>
      <w:pPr>
        <w:ind w:left="420" w:hanging="4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BE677B2"/>
    <w:multiLevelType w:val="multilevel"/>
    <w:tmpl w:val="7BE677B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D433712"/>
    <w:multiLevelType w:val="singleLevel"/>
    <w:tmpl w:val="7D433712"/>
    <w:lvl w:ilvl="0" w:tentative="0">
      <w:start w:val="1"/>
      <w:numFmt w:val="decimal"/>
      <w:lvlText w:val="(%1)"/>
      <w:lvlJc w:val="left"/>
      <w:pPr>
        <w:ind w:left="425" w:hanging="425"/>
      </w:pPr>
      <w:rPr>
        <w:rFonts w:hint="default"/>
      </w:rPr>
    </w:lvl>
  </w:abstractNum>
  <w:abstractNum w:abstractNumId="75">
    <w:nsid w:val="7E5A26A1"/>
    <w:multiLevelType w:val="multilevel"/>
    <w:tmpl w:val="7E5A26A1"/>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6">
    <w:nsid w:val="7E5C5331"/>
    <w:multiLevelType w:val="multilevel"/>
    <w:tmpl w:val="7E5C533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7FB35B50"/>
    <w:multiLevelType w:val="multilevel"/>
    <w:tmpl w:val="7FB35B5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7FC87880"/>
    <w:multiLevelType w:val="multilevel"/>
    <w:tmpl w:val="7FC8788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3"/>
  </w:num>
  <w:num w:numId="2">
    <w:abstractNumId w:val="0"/>
  </w:num>
  <w:num w:numId="3">
    <w:abstractNumId w:val="56"/>
  </w:num>
  <w:num w:numId="4">
    <w:abstractNumId w:val="70"/>
  </w:num>
  <w:num w:numId="5">
    <w:abstractNumId w:val="4"/>
  </w:num>
  <w:num w:numId="6">
    <w:abstractNumId w:val="52"/>
  </w:num>
  <w:num w:numId="7">
    <w:abstractNumId w:val="38"/>
  </w:num>
  <w:num w:numId="8">
    <w:abstractNumId w:val="35"/>
  </w:num>
  <w:num w:numId="9">
    <w:abstractNumId w:val="14"/>
  </w:num>
  <w:num w:numId="10">
    <w:abstractNumId w:val="22"/>
  </w:num>
  <w:num w:numId="11">
    <w:abstractNumId w:val="51"/>
  </w:num>
  <w:num w:numId="12">
    <w:abstractNumId w:val="57"/>
  </w:num>
  <w:num w:numId="13">
    <w:abstractNumId w:val="27"/>
  </w:num>
  <w:num w:numId="14">
    <w:abstractNumId w:val="42"/>
  </w:num>
  <w:num w:numId="15">
    <w:abstractNumId w:val="11"/>
  </w:num>
  <w:num w:numId="16">
    <w:abstractNumId w:val="77"/>
  </w:num>
  <w:num w:numId="17">
    <w:abstractNumId w:val="43"/>
  </w:num>
  <w:num w:numId="18">
    <w:abstractNumId w:val="54"/>
  </w:num>
  <w:num w:numId="19">
    <w:abstractNumId w:val="26"/>
  </w:num>
  <w:num w:numId="20">
    <w:abstractNumId w:val="60"/>
  </w:num>
  <w:num w:numId="21">
    <w:abstractNumId w:val="33"/>
  </w:num>
  <w:num w:numId="22">
    <w:abstractNumId w:val="23"/>
  </w:num>
  <w:num w:numId="23">
    <w:abstractNumId w:val="55"/>
  </w:num>
  <w:num w:numId="24">
    <w:abstractNumId w:val="7"/>
  </w:num>
  <w:num w:numId="25">
    <w:abstractNumId w:val="47"/>
  </w:num>
  <w:num w:numId="26">
    <w:abstractNumId w:val="13"/>
  </w:num>
  <w:num w:numId="27">
    <w:abstractNumId w:val="45"/>
  </w:num>
  <w:num w:numId="28">
    <w:abstractNumId w:val="65"/>
  </w:num>
  <w:num w:numId="29">
    <w:abstractNumId w:val="40"/>
  </w:num>
  <w:num w:numId="30">
    <w:abstractNumId w:val="36"/>
  </w:num>
  <w:num w:numId="31">
    <w:abstractNumId w:val="48"/>
  </w:num>
  <w:num w:numId="32">
    <w:abstractNumId w:val="18"/>
  </w:num>
  <w:num w:numId="33">
    <w:abstractNumId w:val="16"/>
  </w:num>
  <w:num w:numId="34">
    <w:abstractNumId w:val="29"/>
  </w:num>
  <w:num w:numId="35">
    <w:abstractNumId w:val="5"/>
  </w:num>
  <w:num w:numId="36">
    <w:abstractNumId w:val="64"/>
  </w:num>
  <w:num w:numId="37">
    <w:abstractNumId w:val="37"/>
  </w:num>
  <w:num w:numId="38">
    <w:abstractNumId w:val="6"/>
  </w:num>
  <w:num w:numId="39">
    <w:abstractNumId w:val="50"/>
  </w:num>
  <w:num w:numId="40">
    <w:abstractNumId w:val="68"/>
  </w:num>
  <w:num w:numId="41">
    <w:abstractNumId w:val="62"/>
  </w:num>
  <w:num w:numId="42">
    <w:abstractNumId w:val="28"/>
  </w:num>
  <w:num w:numId="43">
    <w:abstractNumId w:val="53"/>
  </w:num>
  <w:num w:numId="44">
    <w:abstractNumId w:val="71"/>
  </w:num>
  <w:num w:numId="45">
    <w:abstractNumId w:val="17"/>
  </w:num>
  <w:num w:numId="46">
    <w:abstractNumId w:val="49"/>
  </w:num>
  <w:num w:numId="47">
    <w:abstractNumId w:val="67"/>
  </w:num>
  <w:num w:numId="48">
    <w:abstractNumId w:val="24"/>
  </w:num>
  <w:num w:numId="49">
    <w:abstractNumId w:val="46"/>
  </w:num>
  <w:num w:numId="50">
    <w:abstractNumId w:val="74"/>
  </w:num>
  <w:num w:numId="51">
    <w:abstractNumId w:val="25"/>
  </w:num>
  <w:num w:numId="52">
    <w:abstractNumId w:val="73"/>
  </w:num>
  <w:num w:numId="53">
    <w:abstractNumId w:val="61"/>
  </w:num>
  <w:num w:numId="54">
    <w:abstractNumId w:val="2"/>
  </w:num>
  <w:num w:numId="55">
    <w:abstractNumId w:val="39"/>
  </w:num>
  <w:num w:numId="56">
    <w:abstractNumId w:val="21"/>
  </w:num>
  <w:num w:numId="57">
    <w:abstractNumId w:val="66"/>
  </w:num>
  <w:num w:numId="58">
    <w:abstractNumId w:val="58"/>
  </w:num>
  <w:num w:numId="59">
    <w:abstractNumId w:val="31"/>
  </w:num>
  <w:num w:numId="60">
    <w:abstractNumId w:val="76"/>
  </w:num>
  <w:num w:numId="61">
    <w:abstractNumId w:val="75"/>
  </w:num>
  <w:num w:numId="62">
    <w:abstractNumId w:val="20"/>
  </w:num>
  <w:num w:numId="63">
    <w:abstractNumId w:val="72"/>
  </w:num>
  <w:num w:numId="64">
    <w:abstractNumId w:val="15"/>
  </w:num>
  <w:num w:numId="65">
    <w:abstractNumId w:val="30"/>
  </w:num>
  <w:num w:numId="66">
    <w:abstractNumId w:val="12"/>
  </w:num>
  <w:num w:numId="67">
    <w:abstractNumId w:val="69"/>
  </w:num>
  <w:num w:numId="68">
    <w:abstractNumId w:val="32"/>
  </w:num>
  <w:num w:numId="69">
    <w:abstractNumId w:val="78"/>
  </w:num>
  <w:num w:numId="70">
    <w:abstractNumId w:val="59"/>
  </w:num>
  <w:num w:numId="71">
    <w:abstractNumId w:val="41"/>
  </w:num>
  <w:num w:numId="72">
    <w:abstractNumId w:val="9"/>
  </w:num>
  <w:num w:numId="73">
    <w:abstractNumId w:val="3"/>
  </w:num>
  <w:num w:numId="74">
    <w:abstractNumId w:val="34"/>
  </w:num>
  <w:num w:numId="75">
    <w:abstractNumId w:val="8"/>
  </w:num>
  <w:num w:numId="76">
    <w:abstractNumId w:val="10"/>
  </w:num>
  <w:num w:numId="77">
    <w:abstractNumId w:val="44"/>
  </w:num>
  <w:num w:numId="78">
    <w:abstractNumId w:val="1"/>
  </w:num>
  <w:num w:numId="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NjY4YWNkOWVjOTNkM2ZiYmE0NjVkYmRmNTkyMzYifQ=="/>
    <w:docVar w:name="KSO_WPS_MARK_KEY" w:val="e0a409d7-22be-441e-8ef3-a7b9d9151efa"/>
  </w:docVars>
  <w:rsids>
    <w:rsidRoot w:val="6FE95F5B"/>
    <w:rsid w:val="00011DB7"/>
    <w:rsid w:val="000353F1"/>
    <w:rsid w:val="00044EF2"/>
    <w:rsid w:val="0005678C"/>
    <w:rsid w:val="000628C2"/>
    <w:rsid w:val="000719FA"/>
    <w:rsid w:val="00072F4A"/>
    <w:rsid w:val="00076A29"/>
    <w:rsid w:val="000A168C"/>
    <w:rsid w:val="000A3B81"/>
    <w:rsid w:val="000B40A8"/>
    <w:rsid w:val="000F33D6"/>
    <w:rsid w:val="0012684C"/>
    <w:rsid w:val="00133CA5"/>
    <w:rsid w:val="00134255"/>
    <w:rsid w:val="001A489E"/>
    <w:rsid w:val="001E61C9"/>
    <w:rsid w:val="0020050D"/>
    <w:rsid w:val="00211A96"/>
    <w:rsid w:val="00211E8C"/>
    <w:rsid w:val="00214D09"/>
    <w:rsid w:val="00216DB8"/>
    <w:rsid w:val="00230380"/>
    <w:rsid w:val="002465BF"/>
    <w:rsid w:val="00252E7E"/>
    <w:rsid w:val="0028398B"/>
    <w:rsid w:val="00292CC6"/>
    <w:rsid w:val="002A6289"/>
    <w:rsid w:val="002B2605"/>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7F4"/>
    <w:rsid w:val="003C2D18"/>
    <w:rsid w:val="003D229E"/>
    <w:rsid w:val="003D7BF9"/>
    <w:rsid w:val="00401ED0"/>
    <w:rsid w:val="00410755"/>
    <w:rsid w:val="004108D5"/>
    <w:rsid w:val="00417D37"/>
    <w:rsid w:val="00423D28"/>
    <w:rsid w:val="0042422B"/>
    <w:rsid w:val="00461923"/>
    <w:rsid w:val="0047594C"/>
    <w:rsid w:val="0049614A"/>
    <w:rsid w:val="004A6E8F"/>
    <w:rsid w:val="004B6405"/>
    <w:rsid w:val="004F6AF9"/>
    <w:rsid w:val="00581000"/>
    <w:rsid w:val="005A4F9A"/>
    <w:rsid w:val="005A5221"/>
    <w:rsid w:val="005A5376"/>
    <w:rsid w:val="005B6FF5"/>
    <w:rsid w:val="005D6588"/>
    <w:rsid w:val="005E4E07"/>
    <w:rsid w:val="00612B14"/>
    <w:rsid w:val="006218F9"/>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5383C"/>
    <w:rsid w:val="009607F0"/>
    <w:rsid w:val="009A1F57"/>
    <w:rsid w:val="009D3185"/>
    <w:rsid w:val="009D5FA5"/>
    <w:rsid w:val="009E7A24"/>
    <w:rsid w:val="00A161EC"/>
    <w:rsid w:val="00A33991"/>
    <w:rsid w:val="00A874B5"/>
    <w:rsid w:val="00AB2D7E"/>
    <w:rsid w:val="00AC0163"/>
    <w:rsid w:val="00B06B07"/>
    <w:rsid w:val="00B63374"/>
    <w:rsid w:val="00B72B33"/>
    <w:rsid w:val="00B8645B"/>
    <w:rsid w:val="00BA48B6"/>
    <w:rsid w:val="00BA657A"/>
    <w:rsid w:val="00BB435E"/>
    <w:rsid w:val="00BE485B"/>
    <w:rsid w:val="00BF7538"/>
    <w:rsid w:val="00C0782A"/>
    <w:rsid w:val="00C17C7B"/>
    <w:rsid w:val="00C222D1"/>
    <w:rsid w:val="00C31A79"/>
    <w:rsid w:val="00C52E2F"/>
    <w:rsid w:val="00CA0E26"/>
    <w:rsid w:val="00CC6FD3"/>
    <w:rsid w:val="00CD3F45"/>
    <w:rsid w:val="00CD4193"/>
    <w:rsid w:val="00CF0997"/>
    <w:rsid w:val="00D14316"/>
    <w:rsid w:val="00D25CC5"/>
    <w:rsid w:val="00D505C6"/>
    <w:rsid w:val="00D879E2"/>
    <w:rsid w:val="00D90230"/>
    <w:rsid w:val="00E00FEE"/>
    <w:rsid w:val="00E0321E"/>
    <w:rsid w:val="00E417CB"/>
    <w:rsid w:val="00E5149B"/>
    <w:rsid w:val="00E900AC"/>
    <w:rsid w:val="00EB3426"/>
    <w:rsid w:val="00ED65C8"/>
    <w:rsid w:val="00EF5E62"/>
    <w:rsid w:val="00F02D83"/>
    <w:rsid w:val="00F05CB6"/>
    <w:rsid w:val="00F20D52"/>
    <w:rsid w:val="00F25072"/>
    <w:rsid w:val="00F30390"/>
    <w:rsid w:val="00F41F7C"/>
    <w:rsid w:val="00F4630D"/>
    <w:rsid w:val="00F601A2"/>
    <w:rsid w:val="00F61BED"/>
    <w:rsid w:val="00F7311E"/>
    <w:rsid w:val="00F83669"/>
    <w:rsid w:val="00F8543C"/>
    <w:rsid w:val="00F90E63"/>
    <w:rsid w:val="00F96776"/>
    <w:rsid w:val="00FD0E0A"/>
    <w:rsid w:val="00FE146C"/>
    <w:rsid w:val="00FF4BFD"/>
    <w:rsid w:val="00FF5B0A"/>
    <w:rsid w:val="01061C0C"/>
    <w:rsid w:val="01081817"/>
    <w:rsid w:val="010F7A8A"/>
    <w:rsid w:val="01E43876"/>
    <w:rsid w:val="01F831E8"/>
    <w:rsid w:val="0288699A"/>
    <w:rsid w:val="029344EA"/>
    <w:rsid w:val="02A705C7"/>
    <w:rsid w:val="03072C83"/>
    <w:rsid w:val="032338E1"/>
    <w:rsid w:val="03243BEE"/>
    <w:rsid w:val="035A4E74"/>
    <w:rsid w:val="03667C72"/>
    <w:rsid w:val="037E4FBC"/>
    <w:rsid w:val="03814D9D"/>
    <w:rsid w:val="03990047"/>
    <w:rsid w:val="039C27C3"/>
    <w:rsid w:val="03D46603"/>
    <w:rsid w:val="04067DD0"/>
    <w:rsid w:val="040C63BD"/>
    <w:rsid w:val="04231503"/>
    <w:rsid w:val="042D5B84"/>
    <w:rsid w:val="0439520A"/>
    <w:rsid w:val="043B4FF5"/>
    <w:rsid w:val="049C27D5"/>
    <w:rsid w:val="051A58B9"/>
    <w:rsid w:val="05303DFE"/>
    <w:rsid w:val="05424315"/>
    <w:rsid w:val="0542684F"/>
    <w:rsid w:val="055E6E53"/>
    <w:rsid w:val="05A77896"/>
    <w:rsid w:val="062405EC"/>
    <w:rsid w:val="06287762"/>
    <w:rsid w:val="064F67D3"/>
    <w:rsid w:val="06614B30"/>
    <w:rsid w:val="07000E6E"/>
    <w:rsid w:val="07156772"/>
    <w:rsid w:val="072C6E2A"/>
    <w:rsid w:val="07960107"/>
    <w:rsid w:val="080236CE"/>
    <w:rsid w:val="084A4DE8"/>
    <w:rsid w:val="087C32C1"/>
    <w:rsid w:val="08C2594B"/>
    <w:rsid w:val="08D6179C"/>
    <w:rsid w:val="09351EEC"/>
    <w:rsid w:val="09387C3D"/>
    <w:rsid w:val="09461CD3"/>
    <w:rsid w:val="09561FCD"/>
    <w:rsid w:val="09C65D3C"/>
    <w:rsid w:val="0A0008AA"/>
    <w:rsid w:val="0A03446D"/>
    <w:rsid w:val="0A15612A"/>
    <w:rsid w:val="0A1C49E3"/>
    <w:rsid w:val="0A2554C2"/>
    <w:rsid w:val="0A372F4E"/>
    <w:rsid w:val="0A6878BB"/>
    <w:rsid w:val="0B0F117D"/>
    <w:rsid w:val="0B3D4278"/>
    <w:rsid w:val="0B575FF7"/>
    <w:rsid w:val="0B9D37CB"/>
    <w:rsid w:val="0BFF42FC"/>
    <w:rsid w:val="0C156BD4"/>
    <w:rsid w:val="0C23550B"/>
    <w:rsid w:val="0C250E1C"/>
    <w:rsid w:val="0C7665FA"/>
    <w:rsid w:val="0C9B0435"/>
    <w:rsid w:val="0C9F0100"/>
    <w:rsid w:val="0CAD62C4"/>
    <w:rsid w:val="0CC81C89"/>
    <w:rsid w:val="0CE75AAF"/>
    <w:rsid w:val="0D0A4682"/>
    <w:rsid w:val="0D47367B"/>
    <w:rsid w:val="0D696CDD"/>
    <w:rsid w:val="0D7A0EAE"/>
    <w:rsid w:val="0DB3669E"/>
    <w:rsid w:val="0DC31F2A"/>
    <w:rsid w:val="0DD8478D"/>
    <w:rsid w:val="0E5974A3"/>
    <w:rsid w:val="0E5A2165"/>
    <w:rsid w:val="0E7C3E91"/>
    <w:rsid w:val="0EF3684A"/>
    <w:rsid w:val="0F2122EE"/>
    <w:rsid w:val="0F25113D"/>
    <w:rsid w:val="0F676C53"/>
    <w:rsid w:val="0FA50F04"/>
    <w:rsid w:val="0FAE4E5F"/>
    <w:rsid w:val="0FDF5034"/>
    <w:rsid w:val="100E76C7"/>
    <w:rsid w:val="101051ED"/>
    <w:rsid w:val="101F2400"/>
    <w:rsid w:val="10746C6E"/>
    <w:rsid w:val="1086055C"/>
    <w:rsid w:val="10CD1E1D"/>
    <w:rsid w:val="11196324"/>
    <w:rsid w:val="115555F0"/>
    <w:rsid w:val="11B00A36"/>
    <w:rsid w:val="11B21D8F"/>
    <w:rsid w:val="11CB47B9"/>
    <w:rsid w:val="11D07A25"/>
    <w:rsid w:val="11D22BC7"/>
    <w:rsid w:val="11F7143C"/>
    <w:rsid w:val="124D6FE7"/>
    <w:rsid w:val="12DD6AC6"/>
    <w:rsid w:val="13517FF7"/>
    <w:rsid w:val="13784EEC"/>
    <w:rsid w:val="1393198B"/>
    <w:rsid w:val="13C80BD2"/>
    <w:rsid w:val="140008F8"/>
    <w:rsid w:val="141E6154"/>
    <w:rsid w:val="141E6A33"/>
    <w:rsid w:val="144637F4"/>
    <w:rsid w:val="146A0901"/>
    <w:rsid w:val="148E2A7D"/>
    <w:rsid w:val="14BF79D4"/>
    <w:rsid w:val="14F450DE"/>
    <w:rsid w:val="14F4742C"/>
    <w:rsid w:val="14FA5B60"/>
    <w:rsid w:val="150E79BB"/>
    <w:rsid w:val="15866059"/>
    <w:rsid w:val="15A028A9"/>
    <w:rsid w:val="15CF3257"/>
    <w:rsid w:val="15E4675F"/>
    <w:rsid w:val="16054E5D"/>
    <w:rsid w:val="1647748F"/>
    <w:rsid w:val="16565924"/>
    <w:rsid w:val="16972DF1"/>
    <w:rsid w:val="16986BD2"/>
    <w:rsid w:val="16A11295"/>
    <w:rsid w:val="16DB250A"/>
    <w:rsid w:val="17483CA3"/>
    <w:rsid w:val="17601B3C"/>
    <w:rsid w:val="176302F9"/>
    <w:rsid w:val="1766157D"/>
    <w:rsid w:val="177911BD"/>
    <w:rsid w:val="17D411F6"/>
    <w:rsid w:val="17DA3CDD"/>
    <w:rsid w:val="17E94CA2"/>
    <w:rsid w:val="182113FF"/>
    <w:rsid w:val="186A4256"/>
    <w:rsid w:val="189015C1"/>
    <w:rsid w:val="18951C7F"/>
    <w:rsid w:val="18EB65DA"/>
    <w:rsid w:val="19270676"/>
    <w:rsid w:val="194B330E"/>
    <w:rsid w:val="19B83701"/>
    <w:rsid w:val="19C342B3"/>
    <w:rsid w:val="19CA0B03"/>
    <w:rsid w:val="19FA5C86"/>
    <w:rsid w:val="1A1966DC"/>
    <w:rsid w:val="1A351993"/>
    <w:rsid w:val="1A357699"/>
    <w:rsid w:val="1A534A87"/>
    <w:rsid w:val="1A7139F7"/>
    <w:rsid w:val="1A890064"/>
    <w:rsid w:val="1AB3346E"/>
    <w:rsid w:val="1ABF5994"/>
    <w:rsid w:val="1AE96E91"/>
    <w:rsid w:val="1AF640B8"/>
    <w:rsid w:val="1B1D26B5"/>
    <w:rsid w:val="1B462EFA"/>
    <w:rsid w:val="1B6D6BD3"/>
    <w:rsid w:val="1BCD1DFB"/>
    <w:rsid w:val="1C054790"/>
    <w:rsid w:val="1C274B4F"/>
    <w:rsid w:val="1C3023B3"/>
    <w:rsid w:val="1C3109C5"/>
    <w:rsid w:val="1C530D57"/>
    <w:rsid w:val="1CA02734"/>
    <w:rsid w:val="1CA35874"/>
    <w:rsid w:val="1CAC2A24"/>
    <w:rsid w:val="1CB05D8E"/>
    <w:rsid w:val="1CBF09E4"/>
    <w:rsid w:val="1CCE05A0"/>
    <w:rsid w:val="1D16215F"/>
    <w:rsid w:val="1D616919"/>
    <w:rsid w:val="1D9D190F"/>
    <w:rsid w:val="1E0B5432"/>
    <w:rsid w:val="1E1E2279"/>
    <w:rsid w:val="1E8B06F1"/>
    <w:rsid w:val="1E8F17D3"/>
    <w:rsid w:val="1E8F582D"/>
    <w:rsid w:val="1EDD3086"/>
    <w:rsid w:val="1EE77A61"/>
    <w:rsid w:val="1F6F0182"/>
    <w:rsid w:val="1FE0385F"/>
    <w:rsid w:val="1FF52394"/>
    <w:rsid w:val="2076477C"/>
    <w:rsid w:val="216A233C"/>
    <w:rsid w:val="21D55D49"/>
    <w:rsid w:val="21F232D3"/>
    <w:rsid w:val="22284201"/>
    <w:rsid w:val="225C2514"/>
    <w:rsid w:val="22BD71A2"/>
    <w:rsid w:val="231121FD"/>
    <w:rsid w:val="23287C72"/>
    <w:rsid w:val="232E1A5F"/>
    <w:rsid w:val="236E35A1"/>
    <w:rsid w:val="23782E33"/>
    <w:rsid w:val="23816BBE"/>
    <w:rsid w:val="23CE5787"/>
    <w:rsid w:val="24740A7D"/>
    <w:rsid w:val="24D32992"/>
    <w:rsid w:val="24D44FD3"/>
    <w:rsid w:val="251610A0"/>
    <w:rsid w:val="254A5265"/>
    <w:rsid w:val="255572BB"/>
    <w:rsid w:val="255C25B8"/>
    <w:rsid w:val="258A5156"/>
    <w:rsid w:val="25E250FE"/>
    <w:rsid w:val="26123389"/>
    <w:rsid w:val="26447CB4"/>
    <w:rsid w:val="265E6CAC"/>
    <w:rsid w:val="267A619D"/>
    <w:rsid w:val="26897B0F"/>
    <w:rsid w:val="26D72803"/>
    <w:rsid w:val="27495BBE"/>
    <w:rsid w:val="278029C3"/>
    <w:rsid w:val="27895B59"/>
    <w:rsid w:val="27CC727A"/>
    <w:rsid w:val="283C15F6"/>
    <w:rsid w:val="28947F0C"/>
    <w:rsid w:val="289C17B8"/>
    <w:rsid w:val="28A06A49"/>
    <w:rsid w:val="28EE02B7"/>
    <w:rsid w:val="28FB2432"/>
    <w:rsid w:val="29197A7E"/>
    <w:rsid w:val="29217B42"/>
    <w:rsid w:val="29325D7D"/>
    <w:rsid w:val="294A7C23"/>
    <w:rsid w:val="29743BA4"/>
    <w:rsid w:val="298176C7"/>
    <w:rsid w:val="299B5B9F"/>
    <w:rsid w:val="29A97319"/>
    <w:rsid w:val="29C4645F"/>
    <w:rsid w:val="29F54205"/>
    <w:rsid w:val="2A0F0766"/>
    <w:rsid w:val="2A500837"/>
    <w:rsid w:val="2AC737BF"/>
    <w:rsid w:val="2B230073"/>
    <w:rsid w:val="2B5078AC"/>
    <w:rsid w:val="2B706456"/>
    <w:rsid w:val="2B917718"/>
    <w:rsid w:val="2BBB02AC"/>
    <w:rsid w:val="2BEF7FCF"/>
    <w:rsid w:val="2C1E6A67"/>
    <w:rsid w:val="2C373EE2"/>
    <w:rsid w:val="2C774E6F"/>
    <w:rsid w:val="2C7853FE"/>
    <w:rsid w:val="2CEB2E12"/>
    <w:rsid w:val="2D076842"/>
    <w:rsid w:val="2D2751A3"/>
    <w:rsid w:val="2D89442E"/>
    <w:rsid w:val="2DD75637"/>
    <w:rsid w:val="2DDC7C6C"/>
    <w:rsid w:val="2E105CFC"/>
    <w:rsid w:val="2E1F4014"/>
    <w:rsid w:val="2E5170AF"/>
    <w:rsid w:val="2E93123A"/>
    <w:rsid w:val="2E943BD6"/>
    <w:rsid w:val="2EC42BB2"/>
    <w:rsid w:val="2EF72753"/>
    <w:rsid w:val="2EFE1F2E"/>
    <w:rsid w:val="2F654E4E"/>
    <w:rsid w:val="2F98604D"/>
    <w:rsid w:val="2FA5591F"/>
    <w:rsid w:val="2FFC795C"/>
    <w:rsid w:val="304556D5"/>
    <w:rsid w:val="30DA7426"/>
    <w:rsid w:val="30ED05B5"/>
    <w:rsid w:val="30F27788"/>
    <w:rsid w:val="31033D7C"/>
    <w:rsid w:val="316A12DE"/>
    <w:rsid w:val="318C6116"/>
    <w:rsid w:val="31AC30F6"/>
    <w:rsid w:val="3203475A"/>
    <w:rsid w:val="32062029"/>
    <w:rsid w:val="321C2A5E"/>
    <w:rsid w:val="32320A9D"/>
    <w:rsid w:val="32873093"/>
    <w:rsid w:val="32C71353"/>
    <w:rsid w:val="32EB1476"/>
    <w:rsid w:val="32FA0AA1"/>
    <w:rsid w:val="33016CDE"/>
    <w:rsid w:val="330D14F2"/>
    <w:rsid w:val="331E511B"/>
    <w:rsid w:val="33204C1A"/>
    <w:rsid w:val="33212815"/>
    <w:rsid w:val="332C7C9F"/>
    <w:rsid w:val="33356B95"/>
    <w:rsid w:val="338E73F8"/>
    <w:rsid w:val="339E390B"/>
    <w:rsid w:val="33C323F3"/>
    <w:rsid w:val="344C3CA5"/>
    <w:rsid w:val="34A6487E"/>
    <w:rsid w:val="34C13259"/>
    <w:rsid w:val="34CE1050"/>
    <w:rsid w:val="34F8431E"/>
    <w:rsid w:val="357B2A2D"/>
    <w:rsid w:val="36301896"/>
    <w:rsid w:val="3693372F"/>
    <w:rsid w:val="36A15658"/>
    <w:rsid w:val="36A57E05"/>
    <w:rsid w:val="36C8795A"/>
    <w:rsid w:val="373F51A3"/>
    <w:rsid w:val="37836459"/>
    <w:rsid w:val="38082816"/>
    <w:rsid w:val="38567480"/>
    <w:rsid w:val="385F2F28"/>
    <w:rsid w:val="38BC2174"/>
    <w:rsid w:val="38C62416"/>
    <w:rsid w:val="39280E84"/>
    <w:rsid w:val="392C2962"/>
    <w:rsid w:val="394105E5"/>
    <w:rsid w:val="394D35F9"/>
    <w:rsid w:val="3959005D"/>
    <w:rsid w:val="39736669"/>
    <w:rsid w:val="398E2F47"/>
    <w:rsid w:val="3A15288E"/>
    <w:rsid w:val="3A7B2995"/>
    <w:rsid w:val="3AB72319"/>
    <w:rsid w:val="3B0F28FC"/>
    <w:rsid w:val="3B24025E"/>
    <w:rsid w:val="3B331EFF"/>
    <w:rsid w:val="3B471B5C"/>
    <w:rsid w:val="3B575321"/>
    <w:rsid w:val="3B5B2E9B"/>
    <w:rsid w:val="3B8C756F"/>
    <w:rsid w:val="3BDD513F"/>
    <w:rsid w:val="3BE25187"/>
    <w:rsid w:val="3C0373B7"/>
    <w:rsid w:val="3C18275B"/>
    <w:rsid w:val="3C353306"/>
    <w:rsid w:val="3CA70B7E"/>
    <w:rsid w:val="3D6860A5"/>
    <w:rsid w:val="3D973442"/>
    <w:rsid w:val="3D9D4ADF"/>
    <w:rsid w:val="3DA2751D"/>
    <w:rsid w:val="3DB513CC"/>
    <w:rsid w:val="3DC05072"/>
    <w:rsid w:val="3DDF544F"/>
    <w:rsid w:val="3E3D0232"/>
    <w:rsid w:val="3EA937C7"/>
    <w:rsid w:val="3F0011CD"/>
    <w:rsid w:val="3F3B7EFD"/>
    <w:rsid w:val="3F3E3276"/>
    <w:rsid w:val="3F9179A1"/>
    <w:rsid w:val="3FA960E5"/>
    <w:rsid w:val="3FC27EA8"/>
    <w:rsid w:val="40013A50"/>
    <w:rsid w:val="40052B7E"/>
    <w:rsid w:val="407F1933"/>
    <w:rsid w:val="408804E2"/>
    <w:rsid w:val="40956EC5"/>
    <w:rsid w:val="40C00457"/>
    <w:rsid w:val="40D95C88"/>
    <w:rsid w:val="412F2E76"/>
    <w:rsid w:val="414D7CF7"/>
    <w:rsid w:val="415379A0"/>
    <w:rsid w:val="415C28EC"/>
    <w:rsid w:val="416119E1"/>
    <w:rsid w:val="416C40CA"/>
    <w:rsid w:val="417B52A4"/>
    <w:rsid w:val="41CD0CA4"/>
    <w:rsid w:val="420E6F2F"/>
    <w:rsid w:val="42BB659F"/>
    <w:rsid w:val="42C22121"/>
    <w:rsid w:val="42F413CF"/>
    <w:rsid w:val="42F943E6"/>
    <w:rsid w:val="431267B6"/>
    <w:rsid w:val="439C2A47"/>
    <w:rsid w:val="43B67A67"/>
    <w:rsid w:val="43BF1554"/>
    <w:rsid w:val="43C8022C"/>
    <w:rsid w:val="43DB1D54"/>
    <w:rsid w:val="44011F61"/>
    <w:rsid w:val="44105092"/>
    <w:rsid w:val="444058F7"/>
    <w:rsid w:val="4447544B"/>
    <w:rsid w:val="445F2173"/>
    <w:rsid w:val="4465204A"/>
    <w:rsid w:val="44654541"/>
    <w:rsid w:val="446D6522"/>
    <w:rsid w:val="447A1950"/>
    <w:rsid w:val="448B1388"/>
    <w:rsid w:val="44A504D3"/>
    <w:rsid w:val="44E32C79"/>
    <w:rsid w:val="452A51D6"/>
    <w:rsid w:val="45772680"/>
    <w:rsid w:val="45C4785B"/>
    <w:rsid w:val="45D545C8"/>
    <w:rsid w:val="461D282F"/>
    <w:rsid w:val="466C76FB"/>
    <w:rsid w:val="470D4AFE"/>
    <w:rsid w:val="47200A23"/>
    <w:rsid w:val="475A699A"/>
    <w:rsid w:val="476D570A"/>
    <w:rsid w:val="47714024"/>
    <w:rsid w:val="47A06DF6"/>
    <w:rsid w:val="47A55B81"/>
    <w:rsid w:val="47E23ED4"/>
    <w:rsid w:val="47FB7F56"/>
    <w:rsid w:val="482F7BFF"/>
    <w:rsid w:val="485A6CB7"/>
    <w:rsid w:val="48D253C7"/>
    <w:rsid w:val="48DD32E1"/>
    <w:rsid w:val="49575660"/>
    <w:rsid w:val="49902920"/>
    <w:rsid w:val="499822EE"/>
    <w:rsid w:val="49C1766A"/>
    <w:rsid w:val="49E07403"/>
    <w:rsid w:val="4A070E34"/>
    <w:rsid w:val="4A155359"/>
    <w:rsid w:val="4A2F256B"/>
    <w:rsid w:val="4A460383"/>
    <w:rsid w:val="4A534ED7"/>
    <w:rsid w:val="4A5C0031"/>
    <w:rsid w:val="4A8D4698"/>
    <w:rsid w:val="4AB77801"/>
    <w:rsid w:val="4AF16B84"/>
    <w:rsid w:val="4AF8063C"/>
    <w:rsid w:val="4B094738"/>
    <w:rsid w:val="4B936642"/>
    <w:rsid w:val="4BAF1783"/>
    <w:rsid w:val="4BC41256"/>
    <w:rsid w:val="4C170A0B"/>
    <w:rsid w:val="4C4D554B"/>
    <w:rsid w:val="4C666461"/>
    <w:rsid w:val="4C6C31D0"/>
    <w:rsid w:val="4D181058"/>
    <w:rsid w:val="4D20071A"/>
    <w:rsid w:val="4D21659F"/>
    <w:rsid w:val="4D357A66"/>
    <w:rsid w:val="4D4A3E41"/>
    <w:rsid w:val="4D7D3F15"/>
    <w:rsid w:val="4D8D30B8"/>
    <w:rsid w:val="4DB9141C"/>
    <w:rsid w:val="4E2D1BC0"/>
    <w:rsid w:val="4EB52D1B"/>
    <w:rsid w:val="4F184326"/>
    <w:rsid w:val="4F457671"/>
    <w:rsid w:val="50320661"/>
    <w:rsid w:val="50397EEB"/>
    <w:rsid w:val="504C38B5"/>
    <w:rsid w:val="506B1160"/>
    <w:rsid w:val="50804E82"/>
    <w:rsid w:val="50DD28EE"/>
    <w:rsid w:val="50E31FED"/>
    <w:rsid w:val="51883EAB"/>
    <w:rsid w:val="51966E7D"/>
    <w:rsid w:val="51A86C73"/>
    <w:rsid w:val="51D33A2F"/>
    <w:rsid w:val="51D77C12"/>
    <w:rsid w:val="51EF10AE"/>
    <w:rsid w:val="523C0E31"/>
    <w:rsid w:val="5258209E"/>
    <w:rsid w:val="528B596D"/>
    <w:rsid w:val="52C42A28"/>
    <w:rsid w:val="53377679"/>
    <w:rsid w:val="5342729E"/>
    <w:rsid w:val="536D7AB6"/>
    <w:rsid w:val="539A463F"/>
    <w:rsid w:val="53C572CD"/>
    <w:rsid w:val="540006A2"/>
    <w:rsid w:val="54735DCC"/>
    <w:rsid w:val="547810F8"/>
    <w:rsid w:val="547A7E1F"/>
    <w:rsid w:val="54814E0E"/>
    <w:rsid w:val="549650AC"/>
    <w:rsid w:val="54AD1C06"/>
    <w:rsid w:val="54B44191"/>
    <w:rsid w:val="54DE2A32"/>
    <w:rsid w:val="54F544AB"/>
    <w:rsid w:val="550D3283"/>
    <w:rsid w:val="55125B22"/>
    <w:rsid w:val="551B5793"/>
    <w:rsid w:val="55213F71"/>
    <w:rsid w:val="55374098"/>
    <w:rsid w:val="55936D3E"/>
    <w:rsid w:val="5627302A"/>
    <w:rsid w:val="5642770C"/>
    <w:rsid w:val="564742FE"/>
    <w:rsid w:val="56801F55"/>
    <w:rsid w:val="56BB7FD0"/>
    <w:rsid w:val="56CA2358"/>
    <w:rsid w:val="56E63BDC"/>
    <w:rsid w:val="56EB34B7"/>
    <w:rsid w:val="57192EC2"/>
    <w:rsid w:val="57315742"/>
    <w:rsid w:val="5765746A"/>
    <w:rsid w:val="5790570A"/>
    <w:rsid w:val="57A00592"/>
    <w:rsid w:val="57C16F73"/>
    <w:rsid w:val="57CF0AB7"/>
    <w:rsid w:val="57F041B4"/>
    <w:rsid w:val="58303308"/>
    <w:rsid w:val="589F62C7"/>
    <w:rsid w:val="58A3615A"/>
    <w:rsid w:val="58A47DCE"/>
    <w:rsid w:val="58BA4904"/>
    <w:rsid w:val="58DF4A53"/>
    <w:rsid w:val="592F065C"/>
    <w:rsid w:val="59420E45"/>
    <w:rsid w:val="597B5A48"/>
    <w:rsid w:val="59831679"/>
    <w:rsid w:val="59F059EB"/>
    <w:rsid w:val="59FD5CE3"/>
    <w:rsid w:val="5A4602EE"/>
    <w:rsid w:val="5A66437A"/>
    <w:rsid w:val="5A867B53"/>
    <w:rsid w:val="5AF820D3"/>
    <w:rsid w:val="5B082F15"/>
    <w:rsid w:val="5B0A2639"/>
    <w:rsid w:val="5B1160AF"/>
    <w:rsid w:val="5B3217C1"/>
    <w:rsid w:val="5B487FCC"/>
    <w:rsid w:val="5B4C3F13"/>
    <w:rsid w:val="5B6A5F64"/>
    <w:rsid w:val="5B790969"/>
    <w:rsid w:val="5B904A5E"/>
    <w:rsid w:val="5BA0255D"/>
    <w:rsid w:val="5BA303C3"/>
    <w:rsid w:val="5BDB154C"/>
    <w:rsid w:val="5BF2722C"/>
    <w:rsid w:val="5BFB1E7B"/>
    <w:rsid w:val="5C496ACB"/>
    <w:rsid w:val="5CB00F5A"/>
    <w:rsid w:val="5CB0535B"/>
    <w:rsid w:val="5CC14E0F"/>
    <w:rsid w:val="5D0B6F6D"/>
    <w:rsid w:val="5D271550"/>
    <w:rsid w:val="5D2A1EDB"/>
    <w:rsid w:val="5D647EF4"/>
    <w:rsid w:val="5D8F2EC7"/>
    <w:rsid w:val="5DAB6759"/>
    <w:rsid w:val="5DDF6040"/>
    <w:rsid w:val="5E232766"/>
    <w:rsid w:val="5E446FDB"/>
    <w:rsid w:val="5E4C5A33"/>
    <w:rsid w:val="5EC61942"/>
    <w:rsid w:val="5EE450D1"/>
    <w:rsid w:val="5F4C0ED4"/>
    <w:rsid w:val="5F4F240C"/>
    <w:rsid w:val="5F8D5E20"/>
    <w:rsid w:val="5F8F28CB"/>
    <w:rsid w:val="5FA639FC"/>
    <w:rsid w:val="603F189E"/>
    <w:rsid w:val="606766A3"/>
    <w:rsid w:val="60880454"/>
    <w:rsid w:val="60883EF9"/>
    <w:rsid w:val="60A53E80"/>
    <w:rsid w:val="60B374E0"/>
    <w:rsid w:val="60C217C8"/>
    <w:rsid w:val="610E08A2"/>
    <w:rsid w:val="611C22FF"/>
    <w:rsid w:val="613F0A5C"/>
    <w:rsid w:val="61815124"/>
    <w:rsid w:val="618B1EF3"/>
    <w:rsid w:val="619D5078"/>
    <w:rsid w:val="61A07EAA"/>
    <w:rsid w:val="62307FF0"/>
    <w:rsid w:val="62606BB5"/>
    <w:rsid w:val="627829D2"/>
    <w:rsid w:val="62A80882"/>
    <w:rsid w:val="62DF5D12"/>
    <w:rsid w:val="63184B5B"/>
    <w:rsid w:val="6345388C"/>
    <w:rsid w:val="635D166D"/>
    <w:rsid w:val="6395152A"/>
    <w:rsid w:val="63C416EC"/>
    <w:rsid w:val="641877BA"/>
    <w:rsid w:val="645F3C17"/>
    <w:rsid w:val="648C1B70"/>
    <w:rsid w:val="64E53364"/>
    <w:rsid w:val="64EC710A"/>
    <w:rsid w:val="653F6CEE"/>
    <w:rsid w:val="663B0604"/>
    <w:rsid w:val="668D04BB"/>
    <w:rsid w:val="67442F4B"/>
    <w:rsid w:val="67796C38"/>
    <w:rsid w:val="67C043CD"/>
    <w:rsid w:val="67E2064D"/>
    <w:rsid w:val="68031F62"/>
    <w:rsid w:val="681A0AA6"/>
    <w:rsid w:val="682F3772"/>
    <w:rsid w:val="68555008"/>
    <w:rsid w:val="68842217"/>
    <w:rsid w:val="68A6079A"/>
    <w:rsid w:val="68C63810"/>
    <w:rsid w:val="68CF45AF"/>
    <w:rsid w:val="6937728C"/>
    <w:rsid w:val="694D6296"/>
    <w:rsid w:val="69827750"/>
    <w:rsid w:val="69AE677E"/>
    <w:rsid w:val="69D1617D"/>
    <w:rsid w:val="69FB2C2E"/>
    <w:rsid w:val="6AC3666E"/>
    <w:rsid w:val="6ACD70D8"/>
    <w:rsid w:val="6AD83ABE"/>
    <w:rsid w:val="6ADF677E"/>
    <w:rsid w:val="6B412693"/>
    <w:rsid w:val="6B53068C"/>
    <w:rsid w:val="6BE96194"/>
    <w:rsid w:val="6BEE7306"/>
    <w:rsid w:val="6C4E7ECE"/>
    <w:rsid w:val="6C6D2921"/>
    <w:rsid w:val="6C713532"/>
    <w:rsid w:val="6C912018"/>
    <w:rsid w:val="6C970639"/>
    <w:rsid w:val="6CAD5413"/>
    <w:rsid w:val="6CBD649F"/>
    <w:rsid w:val="6D1578C1"/>
    <w:rsid w:val="6D8B6DD7"/>
    <w:rsid w:val="6DF04E6B"/>
    <w:rsid w:val="6E361438"/>
    <w:rsid w:val="6EC15DBF"/>
    <w:rsid w:val="6EE175F6"/>
    <w:rsid w:val="6F0545DD"/>
    <w:rsid w:val="6F067523"/>
    <w:rsid w:val="6F454FEE"/>
    <w:rsid w:val="6F4C6CB0"/>
    <w:rsid w:val="6F6278BD"/>
    <w:rsid w:val="6F631015"/>
    <w:rsid w:val="6F924E62"/>
    <w:rsid w:val="6F9D6EF4"/>
    <w:rsid w:val="6FDF6D35"/>
    <w:rsid w:val="6FE95F5B"/>
    <w:rsid w:val="701C4EE3"/>
    <w:rsid w:val="70394425"/>
    <w:rsid w:val="703D7E7D"/>
    <w:rsid w:val="70A42756"/>
    <w:rsid w:val="710220D3"/>
    <w:rsid w:val="71090F67"/>
    <w:rsid w:val="715D3AF0"/>
    <w:rsid w:val="71A24191"/>
    <w:rsid w:val="71A81E54"/>
    <w:rsid w:val="71F907B3"/>
    <w:rsid w:val="7237488A"/>
    <w:rsid w:val="723802CC"/>
    <w:rsid w:val="7248337C"/>
    <w:rsid w:val="7275252F"/>
    <w:rsid w:val="72984758"/>
    <w:rsid w:val="72C26316"/>
    <w:rsid w:val="73262488"/>
    <w:rsid w:val="73493FA4"/>
    <w:rsid w:val="739829F6"/>
    <w:rsid w:val="73C9344F"/>
    <w:rsid w:val="73EC6624"/>
    <w:rsid w:val="740D32B5"/>
    <w:rsid w:val="742C73A7"/>
    <w:rsid w:val="74612B66"/>
    <w:rsid w:val="751D5853"/>
    <w:rsid w:val="751E6016"/>
    <w:rsid w:val="75227D41"/>
    <w:rsid w:val="755E374E"/>
    <w:rsid w:val="75666269"/>
    <w:rsid w:val="75810A35"/>
    <w:rsid w:val="75852EB8"/>
    <w:rsid w:val="758D6EB1"/>
    <w:rsid w:val="7634256E"/>
    <w:rsid w:val="76386548"/>
    <w:rsid w:val="76811E83"/>
    <w:rsid w:val="768346E7"/>
    <w:rsid w:val="769F07F2"/>
    <w:rsid w:val="76A53D3A"/>
    <w:rsid w:val="76D518CE"/>
    <w:rsid w:val="76F105F2"/>
    <w:rsid w:val="76F629C8"/>
    <w:rsid w:val="770B5AA6"/>
    <w:rsid w:val="773959F8"/>
    <w:rsid w:val="773D67BB"/>
    <w:rsid w:val="779A6C51"/>
    <w:rsid w:val="77AA22F9"/>
    <w:rsid w:val="77DC19EB"/>
    <w:rsid w:val="77F21374"/>
    <w:rsid w:val="78165246"/>
    <w:rsid w:val="784925DA"/>
    <w:rsid w:val="784D7AAA"/>
    <w:rsid w:val="787663E2"/>
    <w:rsid w:val="787E5528"/>
    <w:rsid w:val="78A4684A"/>
    <w:rsid w:val="78E97583"/>
    <w:rsid w:val="79034B6F"/>
    <w:rsid w:val="79655550"/>
    <w:rsid w:val="7971112A"/>
    <w:rsid w:val="798E57EB"/>
    <w:rsid w:val="79D10A02"/>
    <w:rsid w:val="79E01C10"/>
    <w:rsid w:val="7A3507F6"/>
    <w:rsid w:val="7A351927"/>
    <w:rsid w:val="7A52091D"/>
    <w:rsid w:val="7A5B6727"/>
    <w:rsid w:val="7A8A6D94"/>
    <w:rsid w:val="7AAB489A"/>
    <w:rsid w:val="7AC073CB"/>
    <w:rsid w:val="7AC54831"/>
    <w:rsid w:val="7AFD7566"/>
    <w:rsid w:val="7B3342CD"/>
    <w:rsid w:val="7C286864"/>
    <w:rsid w:val="7CE107C1"/>
    <w:rsid w:val="7D0A5F6A"/>
    <w:rsid w:val="7D0E4A27"/>
    <w:rsid w:val="7D40373A"/>
    <w:rsid w:val="7D404DF9"/>
    <w:rsid w:val="7D576DC2"/>
    <w:rsid w:val="7E0D38A0"/>
    <w:rsid w:val="7EC9775F"/>
    <w:rsid w:val="7F0A1332"/>
    <w:rsid w:val="7F1B7214"/>
    <w:rsid w:val="7F750AD5"/>
    <w:rsid w:val="7F8A3392"/>
    <w:rsid w:val="7F904007"/>
    <w:rsid w:val="7F967F89"/>
    <w:rsid w:val="7F9969BB"/>
    <w:rsid w:val="7FC429AD"/>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qFormat="1"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qFormat/>
    <w:uiPriority w:val="98"/>
    <w:pPr>
      <w:keepNext/>
      <w:keepLines/>
      <w:spacing w:before="340" w:after="330" w:line="578" w:lineRule="auto"/>
    </w:pPr>
    <w:rPr>
      <w:rFonts w:ascii="Times New Roman"/>
      <w:b w:val="0"/>
      <w:bCs w:val="0"/>
      <w:kern w:val="44"/>
      <w:sz w:val="44"/>
      <w:szCs w:val="44"/>
    </w:rPr>
  </w:style>
  <w:style w:type="paragraph" w:styleId="5">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6">
    <w:name w:val="heading 3"/>
    <w:basedOn w:val="1"/>
    <w:next w:val="1"/>
    <w:unhideWhenUsed/>
    <w:qFormat/>
    <w:uiPriority w:val="9"/>
    <w:pPr>
      <w:keepNext/>
      <w:keepLines/>
      <w:spacing w:before="260" w:after="260" w:line="416" w:lineRule="auto"/>
      <w:outlineLvl w:val="2"/>
    </w:pPr>
    <w:rPr>
      <w:b/>
      <w:bCs/>
      <w:sz w:val="28"/>
      <w:szCs w:val="32"/>
    </w:rPr>
  </w:style>
  <w:style w:type="paragraph" w:styleId="7">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 w:val="24"/>
    </w:rPr>
  </w:style>
  <w:style w:type="paragraph" w:styleId="4">
    <w:name w:val="Title"/>
    <w:basedOn w:val="1"/>
    <w:next w:val="1"/>
    <w:link w:val="48"/>
    <w:qFormat/>
    <w:uiPriority w:val="0"/>
    <w:pPr>
      <w:spacing w:before="240" w:after="60"/>
      <w:ind w:left="425" w:hanging="425"/>
      <w:jc w:val="center"/>
      <w:outlineLvl w:val="0"/>
    </w:pPr>
    <w:rPr>
      <w:rFonts w:ascii="Arial" w:hAnsi="Arial" w:cs="Arial"/>
      <w:b/>
      <w:bCs/>
      <w:sz w:val="32"/>
      <w:szCs w:val="32"/>
    </w:rPr>
  </w:style>
  <w:style w:type="paragraph" w:styleId="8">
    <w:name w:val="toa heading"/>
    <w:basedOn w:val="1"/>
    <w:next w:val="1"/>
    <w:unhideWhenUsed/>
    <w:qFormat/>
    <w:uiPriority w:val="99"/>
    <w:pPr>
      <w:spacing w:before="120"/>
    </w:pPr>
    <w:rPr>
      <w:rFonts w:ascii="Cambria" w:hAnsi="Cambria"/>
      <w:sz w:val="24"/>
      <w:szCs w:val="24"/>
    </w:rPr>
  </w:style>
  <w:style w:type="paragraph" w:styleId="9">
    <w:name w:val="annotation text"/>
    <w:basedOn w:val="1"/>
    <w:link w:val="71"/>
    <w:semiHidden/>
    <w:unhideWhenUsed/>
    <w:qFormat/>
    <w:uiPriority w:val="0"/>
    <w:pPr>
      <w:jc w:val="left"/>
    </w:pPr>
  </w:style>
  <w:style w:type="paragraph" w:styleId="10">
    <w:name w:val="Body Text"/>
    <w:basedOn w:val="1"/>
    <w:next w:val="11"/>
    <w:qFormat/>
    <w:uiPriority w:val="1"/>
    <w:pPr>
      <w:spacing w:before="182"/>
      <w:ind w:left="720" w:hanging="361"/>
    </w:pPr>
    <w:rPr>
      <w:rFonts w:ascii="微软雅黑" w:hAnsi="微软雅黑" w:eastAsia="微软雅黑" w:cs="微软雅黑"/>
      <w:sz w:val="24"/>
      <w:lang w:val="zh-CN" w:bidi="zh-CN"/>
    </w:rPr>
  </w:style>
  <w:style w:type="paragraph" w:customStyle="1" w:styleId="11">
    <w:name w:val="Default"/>
    <w:basedOn w:val="4"/>
    <w:next w:val="12"/>
    <w:qFormat/>
    <w:uiPriority w:val="0"/>
    <w:pPr>
      <w:autoSpaceDE w:val="0"/>
      <w:autoSpaceDN w:val="0"/>
      <w:adjustRightInd w:val="0"/>
    </w:pPr>
    <w:rPr>
      <w:rFonts w:ascii="FZZD Extra JW" w:hAnsi="Times New Roman" w:eastAsia="FZZD Extra JW" w:cs="FZZD Extra JW"/>
      <w:color w:val="000000"/>
      <w:sz w:val="24"/>
      <w:szCs w:val="24"/>
    </w:rPr>
  </w:style>
  <w:style w:type="paragraph" w:customStyle="1" w:styleId="12">
    <w:name w:val="大标题"/>
    <w:basedOn w:val="1"/>
    <w:next w:val="13"/>
    <w:qFormat/>
    <w:uiPriority w:val="0"/>
    <w:pPr>
      <w:jc w:val="center"/>
    </w:pPr>
    <w:rPr>
      <w:rFonts w:ascii="Arial" w:hAnsi="Arial"/>
      <w:b/>
      <w:sz w:val="28"/>
    </w:rPr>
  </w:style>
  <w:style w:type="paragraph" w:styleId="13">
    <w:name w:val="Body Text First Indent 2"/>
    <w:basedOn w:val="14"/>
    <w:next w:val="1"/>
    <w:qFormat/>
    <w:uiPriority w:val="0"/>
    <w:pPr>
      <w:ind w:firstLine="420" w:firstLineChars="200"/>
    </w:pPr>
    <w:rPr>
      <w:rFonts w:hAnsi="宋体"/>
      <w:sz w:val="28"/>
      <w:szCs w:val="28"/>
    </w:rPr>
  </w:style>
  <w:style w:type="paragraph" w:styleId="14">
    <w:name w:val="Body Text Indent"/>
    <w:basedOn w:val="1"/>
    <w:next w:val="11"/>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cstheme="minorBidi"/>
      <w:sz w:val="11"/>
      <w:szCs w:val="22"/>
    </w:rPr>
  </w:style>
  <w:style w:type="paragraph" w:styleId="17">
    <w:name w:val="Date"/>
    <w:basedOn w:val="1"/>
    <w:next w:val="1"/>
    <w:qFormat/>
    <w:uiPriority w:val="0"/>
    <w:pPr>
      <w:ind w:left="100" w:leftChars="2500"/>
    </w:pPr>
    <w:rPr>
      <w:szCs w:val="24"/>
    </w:rPr>
  </w:style>
  <w:style w:type="paragraph" w:styleId="18">
    <w:name w:val="endnote text"/>
    <w:basedOn w:val="1"/>
    <w:qFormat/>
    <w:uiPriority w:val="0"/>
    <w:pPr>
      <w:snapToGrid w:val="0"/>
      <w:jc w:val="left"/>
    </w:pPr>
  </w:style>
  <w:style w:type="paragraph" w:styleId="19">
    <w:name w:val="Balloon Text"/>
    <w:basedOn w:val="1"/>
    <w:link w:val="63"/>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line="360" w:lineRule="auto"/>
      <w:ind w:firstLine="200" w:firstLineChars="200"/>
      <w:jc w:val="left"/>
    </w:pPr>
    <w:rPr>
      <w:b/>
      <w:bCs/>
      <w:caps/>
      <w:sz w:val="20"/>
    </w:rPr>
  </w:style>
  <w:style w:type="paragraph" w:styleId="23">
    <w:name w:val="footnote text"/>
    <w:basedOn w:val="1"/>
    <w:semiHidden/>
    <w:unhideWhenUsed/>
    <w:qFormat/>
    <w:uiPriority w:val="99"/>
    <w:pPr>
      <w:snapToGrid w:val="0"/>
      <w:jc w:val="left"/>
    </w:pPr>
    <w:rPr>
      <w:sz w:val="18"/>
      <w:szCs w:val="18"/>
    </w:rPr>
  </w:style>
  <w:style w:type="paragraph" w:styleId="24">
    <w:name w:val="Normal (Web)"/>
    <w:basedOn w:val="1"/>
    <w:next w:val="25"/>
    <w:qFormat/>
    <w:uiPriority w:val="99"/>
    <w:pPr>
      <w:widowControl/>
      <w:spacing w:before="100" w:beforeAutospacing="1" w:after="100" w:afterAutospacing="1"/>
      <w:jc w:val="left"/>
    </w:pPr>
    <w:rPr>
      <w:rFonts w:ascii="宋体" w:hAnsi="宋体"/>
      <w:kern w:val="0"/>
      <w:sz w:val="24"/>
    </w:rPr>
  </w:style>
  <w:style w:type="paragraph" w:customStyle="1" w:styleId="25">
    <w:name w:val="目录 41"/>
    <w:next w:val="1"/>
    <w:qFormat/>
    <w:uiPriority w:val="0"/>
    <w:pPr>
      <w:wordWrap w:val="0"/>
      <w:ind w:left="1275"/>
      <w:jc w:val="both"/>
    </w:pPr>
    <w:rPr>
      <w:rFonts w:ascii="Calibri" w:hAnsi="Calibri" w:eastAsia="宋体" w:cs="宋体"/>
      <w:sz w:val="21"/>
      <w:lang w:val="en-US" w:eastAsia="zh-CN" w:bidi="ar-SA"/>
    </w:rPr>
  </w:style>
  <w:style w:type="paragraph" w:styleId="26">
    <w:name w:val="annotation subject"/>
    <w:basedOn w:val="9"/>
    <w:next w:val="9"/>
    <w:link w:val="72"/>
    <w:semiHidden/>
    <w:unhideWhenUsed/>
    <w:qFormat/>
    <w:uiPriority w:val="0"/>
    <w:rPr>
      <w:b/>
      <w:bCs/>
    </w:rPr>
  </w:style>
  <w:style w:type="paragraph" w:styleId="27">
    <w:name w:val="Body Text First Indent"/>
    <w:basedOn w:val="10"/>
    <w:semiHidden/>
    <w:qFormat/>
    <w:uiPriority w:val="0"/>
    <w:pPr>
      <w:ind w:firstLine="420" w:firstLineChars="100"/>
    </w:pPr>
    <w:rPr>
      <w:rFonts w:eastAsia="仿宋_GB2312"/>
      <w:sz w:val="28"/>
      <w:szCs w:val="28"/>
    </w:rPr>
  </w:style>
  <w:style w:type="table" w:styleId="29">
    <w:name w:val="Table Grid"/>
    <w:basedOn w:val="28"/>
    <w:qFormat/>
    <w:uiPriority w:val="3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Emphasis"/>
    <w:basedOn w:val="30"/>
    <w:qFormat/>
    <w:uiPriority w:val="20"/>
    <w:rPr>
      <w:i/>
      <w:iCs/>
    </w:rPr>
  </w:style>
  <w:style w:type="character" w:styleId="34">
    <w:name w:val="Hyperlink"/>
    <w:qFormat/>
    <w:uiPriority w:val="99"/>
    <w:rPr>
      <w:color w:val="0000FF"/>
      <w:u w:val="single"/>
    </w:rPr>
  </w:style>
  <w:style w:type="character" w:styleId="35">
    <w:name w:val="annotation reference"/>
    <w:basedOn w:val="30"/>
    <w:semiHidden/>
    <w:unhideWhenUsed/>
    <w:qFormat/>
    <w:uiPriority w:val="0"/>
    <w:rPr>
      <w:sz w:val="21"/>
      <w:szCs w:val="21"/>
    </w:rPr>
  </w:style>
  <w:style w:type="character" w:styleId="36">
    <w:name w:val="footnote reference"/>
    <w:basedOn w:val="30"/>
    <w:semiHidden/>
    <w:unhideWhenUsed/>
    <w:qFormat/>
    <w:uiPriority w:val="99"/>
    <w:rPr>
      <w:vertAlign w:val="superscript"/>
    </w:rPr>
  </w:style>
  <w:style w:type="character" w:styleId="37">
    <w:name w:val="HTML Sample"/>
    <w:basedOn w:val="30"/>
    <w:qFormat/>
    <w:uiPriority w:val="0"/>
    <w:rPr>
      <w:rFonts w:ascii="Courier New" w:hAnsi="Courier New"/>
    </w:rPr>
  </w:style>
  <w:style w:type="paragraph" w:customStyle="1" w:styleId="38">
    <w:name w:val="BodyText"/>
    <w:basedOn w:val="1"/>
    <w:qFormat/>
    <w:uiPriority w:val="0"/>
    <w:pPr>
      <w:textAlignment w:val="baseline"/>
    </w:pPr>
    <w:rPr>
      <w:rFonts w:ascii="宋体" w:hAnsi="宋体"/>
      <w:color w:val="0000FF"/>
      <w:sz w:val="24"/>
      <w:szCs w:val="24"/>
    </w:rPr>
  </w:style>
  <w:style w:type="paragraph" w:customStyle="1" w:styleId="39">
    <w:name w:val="_Style 1"/>
    <w:basedOn w:val="1"/>
    <w:qFormat/>
    <w:uiPriority w:val="0"/>
    <w:pPr>
      <w:ind w:firstLine="420" w:firstLineChars="200"/>
    </w:pPr>
    <w:rPr>
      <w:rFonts w:ascii="宋体"/>
      <w:kern w:val="0"/>
      <w:sz w:val="18"/>
      <w:szCs w:val="18"/>
    </w:rPr>
  </w:style>
  <w:style w:type="paragraph" w:customStyle="1" w:styleId="40">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4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42">
    <w:name w:val="Default Text"/>
    <w:link w:val="51"/>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43">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44">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6">
    <w:name w:val="答复表头"/>
    <w:basedOn w:val="47"/>
    <w:next w:val="1"/>
    <w:qFormat/>
    <w:uiPriority w:val="0"/>
    <w:pPr>
      <w:tabs>
        <w:tab w:val="left" w:pos="480"/>
      </w:tabs>
    </w:pPr>
  </w:style>
  <w:style w:type="paragraph" w:customStyle="1" w:styleId="4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8">
    <w:name w:val="标题 字符"/>
    <w:basedOn w:val="30"/>
    <w:link w:val="4"/>
    <w:qFormat/>
    <w:uiPriority w:val="0"/>
    <w:rPr>
      <w:rFonts w:ascii="Arial" w:hAnsi="Arial" w:cs="Arial"/>
      <w:b/>
      <w:bCs/>
      <w:sz w:val="32"/>
      <w:szCs w:val="32"/>
    </w:rPr>
  </w:style>
  <w:style w:type="character" w:customStyle="1" w:styleId="49">
    <w:name w:val="7）页眉页脚"/>
    <w:qFormat/>
    <w:uiPriority w:val="0"/>
    <w:rPr>
      <w:rFonts w:ascii="仿宋_GB2312" w:eastAsia="仿宋_GB2312"/>
      <w:b/>
      <w:i/>
      <w:sz w:val="18"/>
      <w:vertAlign w:val="baseline"/>
    </w:rPr>
  </w:style>
  <w:style w:type="paragraph" w:customStyle="1" w:styleId="50">
    <w:name w:val="Char"/>
    <w:basedOn w:val="1"/>
    <w:qFormat/>
    <w:uiPriority w:val="0"/>
    <w:rPr>
      <w:rFonts w:ascii="Tahoma" w:hAnsi="Tahoma" w:cs="仿宋_GB2312"/>
      <w:sz w:val="24"/>
      <w:szCs w:val="28"/>
    </w:rPr>
  </w:style>
  <w:style w:type="character" w:customStyle="1" w:styleId="51">
    <w:name w:val="Default Text Char"/>
    <w:link w:val="42"/>
    <w:qFormat/>
    <w:uiPriority w:val="0"/>
    <w:rPr>
      <w:rFonts w:asciiTheme="minorHAnsi" w:hAnsiTheme="minorHAnsi" w:eastAsiaTheme="minorEastAsia" w:cstheme="minorBidi"/>
      <w:color w:val="000000"/>
      <w:kern w:val="2"/>
      <w:sz w:val="24"/>
      <w:szCs w:val="22"/>
    </w:rPr>
  </w:style>
  <w:style w:type="paragraph" w:styleId="52">
    <w:name w:val="List Paragraph"/>
    <w:basedOn w:val="1"/>
    <w:qFormat/>
    <w:uiPriority w:val="34"/>
    <w:pPr>
      <w:ind w:firstLine="420" w:firstLineChars="200"/>
    </w:pPr>
    <w:rPr>
      <w:szCs w:val="24"/>
    </w:rPr>
  </w:style>
  <w:style w:type="paragraph" w:customStyle="1" w:styleId="53">
    <w:name w:val="列出段落1"/>
    <w:basedOn w:val="1"/>
    <w:qFormat/>
    <w:uiPriority w:val="34"/>
    <w:pPr>
      <w:ind w:firstLine="420" w:firstLineChars="200"/>
    </w:pPr>
    <w:rPr>
      <w:szCs w:val="24"/>
    </w:rPr>
  </w:style>
  <w:style w:type="paragraph" w:customStyle="1" w:styleId="54">
    <w:name w:val="普通(网站)1"/>
    <w:basedOn w:val="1"/>
    <w:qFormat/>
    <w:uiPriority w:val="0"/>
    <w:pPr>
      <w:spacing w:before="100" w:beforeAutospacing="1" w:after="100" w:afterAutospacing="1"/>
      <w:jc w:val="left"/>
    </w:pPr>
    <w:rPr>
      <w:kern w:val="0"/>
      <w:sz w:val="24"/>
    </w:rPr>
  </w:style>
  <w:style w:type="paragraph" w:customStyle="1" w:styleId="55">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56">
    <w:name w:val="NormalCharacter"/>
    <w:link w:val="57"/>
    <w:qFormat/>
    <w:uiPriority w:val="0"/>
    <w:rPr>
      <w:rFonts w:ascii="Times New Roman" w:hAnsi="Times New Roman" w:eastAsia="宋体"/>
      <w:kern w:val="2"/>
      <w:sz w:val="21"/>
      <w:szCs w:val="24"/>
      <w:lang w:val="en-US" w:eastAsia="zh-CN" w:bidi="ar-SA"/>
    </w:rPr>
  </w:style>
  <w:style w:type="paragraph" w:customStyle="1" w:styleId="57">
    <w:name w:val="UserStyle_2"/>
    <w:basedOn w:val="1"/>
    <w:link w:val="56"/>
    <w:qFormat/>
    <w:uiPriority w:val="0"/>
    <w:pPr>
      <w:textAlignment w:val="baseline"/>
    </w:pPr>
    <w:rPr>
      <w:szCs w:val="24"/>
    </w:rPr>
  </w:style>
  <w:style w:type="paragraph" w:customStyle="1" w:styleId="58">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9">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60">
    <w:name w:val="UserStyle_11"/>
    <w:basedOn w:val="61"/>
    <w:next w:val="1"/>
    <w:qFormat/>
    <w:uiPriority w:val="0"/>
    <w:pPr>
      <w:tabs>
        <w:tab w:val="left" w:pos="480"/>
      </w:tabs>
    </w:pPr>
    <w:rPr>
      <w:rFonts w:ascii="Times New Roman" w:hAnsi="Times New Roman"/>
      <w:b/>
    </w:rPr>
  </w:style>
  <w:style w:type="paragraph" w:customStyle="1" w:styleId="61">
    <w:name w:val="UserStyle_10"/>
    <w:basedOn w:val="1"/>
    <w:qFormat/>
    <w:uiPriority w:val="0"/>
    <w:pPr>
      <w:tabs>
        <w:tab w:val="left" w:pos="480"/>
      </w:tabs>
      <w:jc w:val="center"/>
      <w:textAlignment w:val="baseline"/>
    </w:pPr>
    <w:rPr>
      <w:rFonts w:ascii="宋体" w:hAnsi="Tms Rmn"/>
      <w:color w:val="000000"/>
      <w:kern w:val="0"/>
    </w:rPr>
  </w:style>
  <w:style w:type="paragraph" w:customStyle="1" w:styleId="62">
    <w:name w:val="_Style 3"/>
    <w:basedOn w:val="1"/>
    <w:qFormat/>
    <w:uiPriority w:val="0"/>
    <w:pPr>
      <w:ind w:firstLine="420" w:firstLineChars="200"/>
    </w:pPr>
    <w:rPr>
      <w:rFonts w:ascii="Calibri" w:hAnsi="Calibri"/>
      <w:szCs w:val="22"/>
    </w:rPr>
  </w:style>
  <w:style w:type="character" w:customStyle="1" w:styleId="63">
    <w:name w:val="批注框文本 字符"/>
    <w:basedOn w:val="30"/>
    <w:link w:val="19"/>
    <w:qFormat/>
    <w:uiPriority w:val="0"/>
    <w:rPr>
      <w:kern w:val="2"/>
      <w:sz w:val="18"/>
      <w:szCs w:val="18"/>
    </w:rPr>
  </w:style>
  <w:style w:type="paragraph" w:customStyle="1" w:styleId="64">
    <w:name w:val="Table Paragraph"/>
    <w:basedOn w:val="1"/>
    <w:qFormat/>
    <w:uiPriority w:val="1"/>
    <w:pPr>
      <w:spacing w:before="135"/>
      <w:ind w:left="106"/>
    </w:pPr>
    <w:rPr>
      <w:rFonts w:ascii="宋体" w:hAnsi="宋体" w:cs="宋体"/>
      <w:lang w:val="zh-CN" w:bidi="zh-CN"/>
    </w:rPr>
  </w:style>
  <w:style w:type="character" w:customStyle="1" w:styleId="65">
    <w:name w:val="font91"/>
    <w:basedOn w:val="30"/>
    <w:qFormat/>
    <w:uiPriority w:val="0"/>
    <w:rPr>
      <w:rFonts w:hint="eastAsia" w:ascii="微软雅黑" w:hAnsi="微软雅黑" w:eastAsia="微软雅黑" w:cs="微软雅黑"/>
      <w:color w:val="000000"/>
      <w:sz w:val="24"/>
      <w:szCs w:val="24"/>
      <w:u w:val="none"/>
    </w:rPr>
  </w:style>
  <w:style w:type="paragraph" w:customStyle="1" w:styleId="66">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7">
    <w:name w:val="Table Normal"/>
    <w:semiHidden/>
    <w:unhideWhenUsed/>
    <w:qFormat/>
    <w:uiPriority w:val="0"/>
    <w:tblPr>
      <w:tblCellMar>
        <w:top w:w="0" w:type="dxa"/>
        <w:left w:w="0" w:type="dxa"/>
        <w:bottom w:w="0" w:type="dxa"/>
        <w:right w:w="0" w:type="dxa"/>
      </w:tblCellMar>
    </w:tblPr>
  </w:style>
  <w:style w:type="table" w:customStyle="1" w:styleId="68">
    <w:name w:val="浅色底纹1"/>
    <w:basedOn w:val="28"/>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9">
    <w:name w:val="font21"/>
    <w:qFormat/>
    <w:uiPriority w:val="0"/>
    <w:rPr>
      <w:rFonts w:hint="default" w:ascii="仿宋_GB2312" w:eastAsia="仿宋_GB2312" w:cs="仿宋_GB2312"/>
      <w:color w:val="000000"/>
      <w:sz w:val="20"/>
      <w:szCs w:val="20"/>
      <w:u w:val="none"/>
    </w:rPr>
  </w:style>
  <w:style w:type="character" w:customStyle="1" w:styleId="70">
    <w:name w:val="font71"/>
    <w:qFormat/>
    <w:uiPriority w:val="0"/>
    <w:rPr>
      <w:rFonts w:hint="eastAsia" w:ascii="仿宋_GB2312" w:eastAsia="仿宋_GB2312" w:cs="仿宋_GB2312"/>
      <w:color w:val="000000"/>
      <w:sz w:val="20"/>
      <w:szCs w:val="20"/>
      <w:u w:val="none"/>
    </w:rPr>
  </w:style>
  <w:style w:type="character" w:customStyle="1" w:styleId="71">
    <w:name w:val="批注文字 字符"/>
    <w:basedOn w:val="30"/>
    <w:link w:val="9"/>
    <w:semiHidden/>
    <w:qFormat/>
    <w:uiPriority w:val="0"/>
    <w:rPr>
      <w:kern w:val="2"/>
      <w:sz w:val="21"/>
    </w:rPr>
  </w:style>
  <w:style w:type="character" w:customStyle="1" w:styleId="72">
    <w:name w:val="批注主题 字符"/>
    <w:basedOn w:val="71"/>
    <w:link w:val="26"/>
    <w:semiHidden/>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3CA1E-3819-4610-8C4B-5FE5CB9A95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133</Pages>
  <Words>76025</Words>
  <Characters>82025</Characters>
  <Lines>628</Lines>
  <Paragraphs>177</Paragraphs>
  <TotalTime>30</TotalTime>
  <ScaleCrop>false</ScaleCrop>
  <LinksUpToDate>false</LinksUpToDate>
  <CharactersWithSpaces>83622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2023-05-31T16:13:00Z</dcterms:created>
  <dc:creator>Administrator</dc:creator>
  <cp:lastModifiedBy>33524</cp:lastModifiedBy>
  <cp:lastPrinted>2023-05-11T08:57:00Z</cp:lastPrinted>
  <dcterms:modified xsi:type="dcterms:W3CDTF">2023-06-09T04:58:30Z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CC753ABAAAFB47AEB72AFA66D91BBE52</vt:lpwstr>
  </property>
</Properties>
</file>