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highlight w:val="none"/>
          <w:lang w:val="en-US"/>
        </w:rPr>
      </w:pPr>
      <w:r>
        <w:rPr>
          <w:color w:val="auto"/>
          <w:highlight w:val="none"/>
        </w:rPr>
        <w:drawing>
          <wp:inline distT="0" distB="0" distL="114300" distR="114300">
            <wp:extent cx="1176655" cy="916940"/>
            <wp:effectExtent l="0" t="0" r="4445" b="1651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9"/>
                    <a:srcRect t="13322" r="3647" b="17383"/>
                    <a:stretch>
                      <a:fillRect/>
                    </a:stretch>
                  </pic:blipFill>
                  <pic:spPr>
                    <a:xfrm>
                      <a:off x="0" y="0"/>
                      <a:ext cx="1176655" cy="916940"/>
                    </a:xfrm>
                    <a:prstGeom prst="rect">
                      <a:avLst/>
                    </a:prstGeom>
                    <a:noFill/>
                    <a:ln>
                      <a:noFill/>
                    </a:ln>
                  </pic:spPr>
                </pic:pic>
              </a:graphicData>
            </a:graphic>
          </wp:inline>
        </w:drawing>
      </w:r>
      <w:r>
        <w:rPr>
          <w:rFonts w:hint="eastAsia"/>
          <w:color w:val="auto"/>
          <w:highlight w:val="none"/>
          <w:lang w:val="en-US" w:eastAsia="zh-CN"/>
        </w:rPr>
        <w:t xml:space="preserve">                                      </w:t>
      </w:r>
      <w:r>
        <w:rPr>
          <w:rFonts w:hint="eastAsia" w:ascii="黑体" w:hAnsi="黑体" w:eastAsia="黑体" w:cs="黑体"/>
          <w:color w:val="auto"/>
          <w:sz w:val="28"/>
          <w:szCs w:val="28"/>
          <w:highlight w:val="none"/>
          <w:lang w:val="en-US" w:eastAsia="zh-CN"/>
        </w:rPr>
        <w:t>项目编号：XJPC-2023-037</w:t>
      </w:r>
    </w:p>
    <w:p>
      <w:pPr>
        <w:pStyle w:val="37"/>
        <w:spacing w:line="360" w:lineRule="auto"/>
        <w:rPr>
          <w:rFonts w:hint="eastAsia" w:ascii="宋体" w:hAnsi="宋体" w:cs="宋体"/>
          <w:b/>
          <w:color w:val="auto"/>
          <w:sz w:val="28"/>
          <w:szCs w:val="28"/>
          <w:highlight w:val="none"/>
        </w:rPr>
      </w:pPr>
    </w:p>
    <w:p>
      <w:pPr>
        <w:pStyle w:val="37"/>
        <w:spacing w:line="360" w:lineRule="auto"/>
        <w:rPr>
          <w:rFonts w:hint="eastAsia" w:ascii="宋体" w:hAnsi="宋体" w:cs="宋体"/>
          <w:b/>
          <w:color w:val="auto"/>
          <w:sz w:val="28"/>
          <w:szCs w:val="28"/>
          <w:highlight w:val="none"/>
        </w:rPr>
      </w:pPr>
    </w:p>
    <w:p>
      <w:pPr>
        <w:pStyle w:val="37"/>
        <w:spacing w:line="360" w:lineRule="auto"/>
        <w:jc w:val="center"/>
        <w:rPr>
          <w:rFonts w:hint="eastAsia" w:ascii="宋体" w:hAnsi="宋体" w:cs="宋体"/>
          <w:b/>
          <w:bCs/>
          <w:color w:val="auto"/>
          <w:sz w:val="72"/>
          <w:szCs w:val="72"/>
          <w:highlight w:val="none"/>
          <w:lang w:eastAsia="zh-CN"/>
        </w:rPr>
      </w:pPr>
      <w:r>
        <w:rPr>
          <w:rFonts w:hint="eastAsia" w:ascii="宋体" w:hAnsi="宋体" w:cs="宋体"/>
          <w:b/>
          <w:bCs/>
          <w:color w:val="auto"/>
          <w:sz w:val="72"/>
          <w:szCs w:val="72"/>
          <w:highlight w:val="none"/>
          <w:lang w:eastAsia="zh-CN"/>
        </w:rPr>
        <w:t>团结路小区岗亭建设及安装工程项目</w:t>
      </w:r>
    </w:p>
    <w:p>
      <w:pPr>
        <w:pStyle w:val="37"/>
        <w:spacing w:line="360" w:lineRule="auto"/>
        <w:jc w:val="center"/>
        <w:rPr>
          <w:rFonts w:hint="eastAsia" w:ascii="宋体" w:hAnsi="宋体" w:cs="宋体"/>
          <w:b/>
          <w:bCs/>
          <w:color w:val="auto"/>
          <w:sz w:val="72"/>
          <w:szCs w:val="72"/>
          <w:highlight w:val="none"/>
          <w:lang w:eastAsia="zh-CN"/>
        </w:rPr>
      </w:pPr>
    </w:p>
    <w:p>
      <w:pPr>
        <w:pStyle w:val="37"/>
        <w:spacing w:line="360" w:lineRule="auto"/>
        <w:jc w:val="center"/>
        <w:rPr>
          <w:rFonts w:hint="eastAsia" w:ascii="宋体" w:hAnsi="宋体" w:cs="宋体"/>
          <w:b/>
          <w:bCs/>
          <w:color w:val="auto"/>
          <w:sz w:val="72"/>
          <w:szCs w:val="72"/>
          <w:highlight w:val="none"/>
          <w:lang w:eastAsia="zh-CN"/>
        </w:rPr>
      </w:pPr>
    </w:p>
    <w:p>
      <w:pPr>
        <w:pStyle w:val="37"/>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37"/>
        <w:spacing w:line="360" w:lineRule="auto"/>
        <w:jc w:val="center"/>
        <w:rPr>
          <w:rFonts w:hint="eastAsia" w:ascii="宋体" w:hAnsi="宋体" w:cs="宋体"/>
          <w:b/>
          <w:bCs/>
          <w:color w:val="auto"/>
          <w:sz w:val="44"/>
          <w:szCs w:val="44"/>
          <w:highlight w:val="none"/>
        </w:rPr>
      </w:pPr>
    </w:p>
    <w:p>
      <w:pPr>
        <w:pStyle w:val="37"/>
        <w:spacing w:line="360" w:lineRule="auto"/>
        <w:jc w:val="center"/>
        <w:rPr>
          <w:rFonts w:hint="eastAsia" w:ascii="宋体" w:hAnsi="宋体" w:cs="宋体"/>
          <w:b/>
          <w:bCs/>
          <w:color w:val="auto"/>
          <w:sz w:val="28"/>
          <w:szCs w:val="28"/>
          <w:highlight w:val="none"/>
        </w:rPr>
      </w:pPr>
    </w:p>
    <w:p>
      <w:pPr>
        <w:pStyle w:val="37"/>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w:t>
      </w:r>
    </w:p>
    <w:p>
      <w:pPr>
        <w:pStyle w:val="37"/>
        <w:spacing w:line="360" w:lineRule="auto"/>
        <w:jc w:val="center"/>
        <w:rPr>
          <w:rFonts w:hint="eastAsia" w:ascii="宋体" w:hAnsi="宋体" w:cs="宋体"/>
          <w:b/>
          <w:bCs/>
          <w:color w:val="auto"/>
          <w:sz w:val="28"/>
          <w:szCs w:val="28"/>
          <w:highlight w:val="none"/>
        </w:rPr>
      </w:pPr>
    </w:p>
    <w:p>
      <w:pPr>
        <w:pStyle w:val="11"/>
        <w:spacing w:line="360" w:lineRule="auto"/>
        <w:rPr>
          <w:rFonts w:hint="eastAsia" w:ascii="宋体" w:hAnsi="宋体" w:cs="宋体"/>
          <w:b/>
          <w:color w:val="auto"/>
          <w:sz w:val="28"/>
          <w:szCs w:val="28"/>
          <w:highlight w:val="none"/>
          <w:u w:val="single"/>
        </w:rPr>
      </w:pPr>
    </w:p>
    <w:p>
      <w:pPr>
        <w:pStyle w:val="11"/>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采购人：</w:t>
      </w:r>
      <w:r>
        <w:rPr>
          <w:rFonts w:hint="eastAsia" w:ascii="宋体" w:hAnsi="宋体" w:cs="宋体"/>
          <w:b/>
          <w:color w:val="auto"/>
          <w:sz w:val="28"/>
          <w:szCs w:val="28"/>
          <w:highlight w:val="none"/>
          <w:lang w:val="en-US" w:eastAsia="zh-CN"/>
        </w:rPr>
        <w:t>新疆维吾尔自治区省级干部住宅小区管理服务中心</w:t>
      </w:r>
    </w:p>
    <w:p>
      <w:pPr>
        <w:pStyle w:val="20"/>
        <w:ind w:left="0" w:leftChars="0" w:firstLine="562" w:firstLineChars="200"/>
        <w:rPr>
          <w:rFonts w:hint="eastAsia" w:eastAsia="宋体"/>
          <w:color w:val="auto"/>
          <w:highlight w:val="non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lang w:eastAsia="zh-CN"/>
        </w:rPr>
        <w:t>新疆谱诚项目管理咨询有限公司</w:t>
      </w:r>
    </w:p>
    <w:p>
      <w:pPr>
        <w:pStyle w:val="37"/>
        <w:spacing w:line="360" w:lineRule="auto"/>
        <w:ind w:firstLine="562" w:firstLineChars="200"/>
        <w:jc w:val="both"/>
        <w:rPr>
          <w:rFonts w:hint="eastAsia" w:cs="宋体"/>
          <w:b/>
          <w:color w:val="auto"/>
          <w:spacing w:val="160"/>
          <w:sz w:val="32"/>
          <w:szCs w:val="32"/>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val="en-US" w:eastAsia="zh-CN"/>
        </w:rPr>
        <w:t>2023年6月</w:t>
      </w:r>
    </w:p>
    <w:p>
      <w:pPr>
        <w:pStyle w:val="37"/>
        <w:spacing w:line="360" w:lineRule="auto"/>
        <w:jc w:val="center"/>
        <w:rPr>
          <w:rFonts w:hint="eastAsia" w:cs="宋体"/>
          <w:b/>
          <w:color w:val="auto"/>
          <w:spacing w:val="160"/>
          <w:sz w:val="32"/>
          <w:szCs w:val="32"/>
          <w:highlight w:val="none"/>
        </w:rPr>
      </w:pPr>
      <w:r>
        <w:rPr>
          <w:rFonts w:hint="eastAsia" w:cs="宋体"/>
          <w:b/>
          <w:color w:val="auto"/>
          <w:spacing w:val="160"/>
          <w:sz w:val="32"/>
          <w:szCs w:val="32"/>
          <w:highlight w:val="none"/>
        </w:rPr>
        <w:t>目录</w:t>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五、磋商和评审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六、成交结果及合同授予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七、质疑与投诉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八、其他规定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第三章 评审方法（综合评分法）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一、综合评分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二.综合评分细则表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三.推荐成交供应商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四.确定成交供应商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第四章  政府采购合同格式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第五章 工程量清单及技术标准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第六章  图纸另附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第七章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bidi="ar-SA"/>
        </w:rPr>
        <w:t>一、投标文件封面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_Toc6929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二、供应商资格声明</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_Toc6929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65</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_Toc16957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三、法定代表人身份证明或附有法定代表人身份证明的授权书</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_Toc16957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66</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_Toc25982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四、近三年无重大违法记录信息证明文件及反商业贿赂书</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_Toc25982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67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_Toc32154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五、其他资格证明文件</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_Toc32154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_Toc2838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六、磋商保证金</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_Toc2838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_Toc3812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八、中、小微企业声明函</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_Toc3812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72</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_Toc13736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九、磋商申请</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_Toc13736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73</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_Toc17925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十、磋商申请附录</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_Toc17925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74</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_Toc30052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十一、已标价的工程量清单</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_Toc30052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75</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_Toc21245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十二、联合体协议书格式（如有）</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_Toc21245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76</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_Toc27641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十三、报价书格式</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_Toc27630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_Toc27630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十四、施工组织设计</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_Toc27630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_Toc30473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十五、项目管理机构组成表</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_Toc30473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80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_Toc12728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十六、项目经理简历表</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_Toc12728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81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_Toc27741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十七、其他材料</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_Toc27741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81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pPr>
        <w:autoSpaceDE w:val="0"/>
        <w:autoSpaceDN w:val="0"/>
        <w:adjustRightInd w:val="0"/>
        <w:snapToGrid w:val="0"/>
        <w:spacing w:line="360" w:lineRule="auto"/>
        <w:jc w:val="center"/>
        <w:rPr>
          <w:rFonts w:hint="eastAsia" w:ascii="宋体" w:hAnsi="宋体" w:eastAsia="宋体" w:cs="宋体"/>
          <w:b/>
          <w:bCs/>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1314"/>
      <w:bookmarkStart w:id="1" w:name="_Toc26928"/>
    </w:p>
    <w:p>
      <w:pPr>
        <w:spacing w:line="360" w:lineRule="auto"/>
        <w:jc w:val="center"/>
        <w:outlineLvl w:val="0"/>
        <w:rPr>
          <w:rFonts w:hint="eastAsia" w:ascii="宋体" w:hAnsi="宋体" w:eastAsia="宋体" w:cs="宋体"/>
          <w:b/>
          <w:color w:val="auto"/>
          <w:sz w:val="32"/>
          <w:szCs w:val="32"/>
          <w:highlight w:val="none"/>
        </w:rPr>
      </w:pPr>
      <w:bookmarkStart w:id="2" w:name="_Toc5154"/>
      <w:bookmarkStart w:id="3" w:name="_Toc9738"/>
      <w:bookmarkStart w:id="4" w:name="_Toc7533"/>
      <w:r>
        <w:rPr>
          <w:rFonts w:hint="eastAsia" w:ascii="宋体" w:hAnsi="宋体" w:eastAsia="宋体" w:cs="宋体"/>
          <w:b/>
          <w:color w:val="auto"/>
          <w:sz w:val="32"/>
          <w:szCs w:val="32"/>
          <w:highlight w:val="none"/>
        </w:rPr>
        <w:t>第一章 竞争性磋商公告</w:t>
      </w:r>
      <w:bookmarkEnd w:id="0"/>
      <w:bookmarkEnd w:id="1"/>
      <w:bookmarkEnd w:id="2"/>
      <w:bookmarkEnd w:id="3"/>
      <w:bookmarkEnd w:id="4"/>
    </w:p>
    <w:p>
      <w:pPr>
        <w:pStyle w:val="24"/>
        <w:keepNext w:val="0"/>
        <w:keepLines w:val="0"/>
        <w:widowControl/>
        <w:suppressLineNumbers w:val="0"/>
        <w:spacing w:before="204" w:beforeAutospacing="0" w:after="204" w:afterAutospacing="0" w:line="360" w:lineRule="atLeast"/>
        <w:ind w:left="0" w:right="0"/>
        <w:jc w:val="both"/>
        <w:rPr>
          <w:rStyle w:val="30"/>
          <w:rFonts w:ascii="黑体" w:hAnsi="宋体" w:eastAsia="黑体" w:cs="黑体"/>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一、项目基本情况</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 </w:t>
      </w: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XJPC-2023-037</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r>
        <w:rPr>
          <w:rFonts w:hint="eastAsia" w:ascii="仿宋" w:hAnsi="仿宋" w:eastAsia="仿宋" w:cs="仿宋"/>
          <w:color w:val="auto"/>
          <w:sz w:val="22"/>
          <w:szCs w:val="22"/>
          <w:highlight w:val="none"/>
          <w:lang w:eastAsia="zh-CN"/>
        </w:rPr>
        <w:t>团结路小区岗亭建设及安装工程项目</w:t>
      </w:r>
      <w:r>
        <w:rPr>
          <w:rFonts w:hint="eastAsia" w:ascii="仿宋" w:hAnsi="仿宋" w:eastAsia="仿宋" w:cs="仿宋"/>
          <w:color w:val="auto"/>
          <w:sz w:val="22"/>
          <w:szCs w:val="22"/>
          <w:highlight w:val="none"/>
        </w:rPr>
        <w:t xml:space="preserve">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采购方式：竞争性磋商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103500.00 </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eastAsia="zh-CN"/>
        </w:rPr>
        <w:t>103158.76</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序号</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标项名称</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简要规格描述</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预算金额（元）</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团结路小区岗亭建设及安装工程项目</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工程量清单范围内的全部工作内容。</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eastAsia="zh-CN"/>
              </w:rPr>
              <w:t>103500.00 </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eastAsia="zh-CN"/>
              </w:rPr>
            </w:pPr>
            <w:r>
              <w:rPr>
                <w:rFonts w:hint="eastAsia" w:ascii="仿宋" w:hAnsi="仿宋" w:eastAsia="仿宋" w:cs="仿宋"/>
                <w:color w:val="auto"/>
                <w:sz w:val="22"/>
                <w:szCs w:val="22"/>
                <w:highlight w:val="none"/>
                <w:lang w:eastAsia="zh-CN"/>
              </w:rPr>
              <w:t>103158.76</w:t>
            </w:r>
          </w:p>
        </w:tc>
      </w:tr>
    </w:tbl>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p>
    <w:p>
      <w:pPr>
        <w:pStyle w:val="24"/>
        <w:keepNext w:val="0"/>
        <w:keepLines w:val="0"/>
        <w:widowControl/>
        <w:suppressLineNumbers w:val="0"/>
        <w:spacing w:line="240" w:lineRule="atLeast"/>
        <w:rPr>
          <w:rFonts w:hint="default" w:eastAsia="仿宋"/>
          <w:color w:val="auto"/>
          <w:sz w:val="28"/>
          <w:szCs w:val="28"/>
          <w:highlight w:val="none"/>
          <w:lang w:val="en-US" w:eastAsia="zh-CN"/>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2"/>
          <w:szCs w:val="22"/>
          <w:highlight w:val="none"/>
          <w:lang w:val="en-US" w:eastAsia="zh-CN"/>
        </w:rPr>
        <w:t>合同签订后30日</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本项目（否）接受联合体投标。</w:t>
      </w:r>
      <w:r>
        <w:rPr>
          <w:rFonts w:hint="eastAsia" w:ascii="仿宋" w:hAnsi="仿宋" w:eastAsia="仿宋" w:cs="仿宋"/>
          <w:color w:val="auto"/>
          <w:sz w:val="28"/>
          <w:szCs w:val="28"/>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二、申请人的资格要求：</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1.满足《中华人民共和国政府采购法》第二十二条规定；</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2.落实政府采购政策需满足的资格要求：</w:t>
      </w:r>
      <w:r>
        <w:rPr>
          <w:rFonts w:hint="eastAsia" w:ascii="仿宋" w:hAnsi="仿宋" w:eastAsia="仿宋" w:cs="仿宋"/>
          <w:color w:val="auto"/>
          <w:sz w:val="22"/>
          <w:szCs w:val="22"/>
          <w:highlight w:val="none"/>
          <w:lang w:eastAsia="zh-CN"/>
        </w:rPr>
        <w:t>本项目专门面向小</w:t>
      </w:r>
      <w:r>
        <w:rPr>
          <w:rFonts w:hint="eastAsia" w:ascii="仿宋" w:hAnsi="仿宋" w:eastAsia="仿宋" w:cs="仿宋"/>
          <w:color w:val="auto"/>
          <w:sz w:val="22"/>
          <w:szCs w:val="22"/>
          <w:highlight w:val="none"/>
          <w:lang w:val="en-US" w:eastAsia="zh-CN"/>
        </w:rPr>
        <w:t>微</w:t>
      </w:r>
      <w:r>
        <w:rPr>
          <w:rFonts w:hint="eastAsia" w:ascii="仿宋" w:hAnsi="仿宋" w:eastAsia="仿宋" w:cs="仿宋"/>
          <w:color w:val="auto"/>
          <w:sz w:val="22"/>
          <w:szCs w:val="22"/>
          <w:highlight w:val="none"/>
          <w:lang w:eastAsia="zh-CN"/>
        </w:rPr>
        <w:t>企业。</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3.本项目的特定资格要求：</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【标项1】</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lang w:val="en-US" w:eastAsia="zh-CN"/>
        </w:rPr>
        <w:t>（1）具有建筑工程施工总承包叁级及以上资质；有效的安全生产许可证；</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（2）项目负责人具有在本单位注册的建筑工程二级及以上注册建造师执业资格及有效的安全生产考核合格证书。</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（3）供应商具有需在中华人民共和国境内注册，并具有独立法人资格、有提供相应服务能力的单位（须在人员、设备、资金、技术等方面具备相应的服务能力）。</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三、获取采购文件</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20</w:t>
      </w:r>
      <w:r>
        <w:rPr>
          <w:rFonts w:hint="eastAsia" w:ascii="仿宋" w:hAnsi="仿宋" w:eastAsia="仿宋" w:cs="仿宋"/>
          <w:color w:val="auto"/>
          <w:sz w:val="22"/>
          <w:szCs w:val="22"/>
          <w:highlight w:val="none"/>
          <w:u w:val="none"/>
        </w:rPr>
        <w:t>日至202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7</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3</w:t>
      </w:r>
      <w:bookmarkStart w:id="837" w:name="_GoBack"/>
      <w:bookmarkEnd w:id="837"/>
      <w:r>
        <w:rPr>
          <w:rFonts w:hint="eastAsia" w:ascii="仿宋" w:hAnsi="仿宋" w:eastAsia="仿宋" w:cs="仿宋"/>
          <w:color w:val="auto"/>
          <w:sz w:val="22"/>
          <w:szCs w:val="22"/>
          <w:highlight w:val="none"/>
          <w:u w:val="none"/>
        </w:rPr>
        <w:t>日，每天上午10:00至1</w:t>
      </w:r>
      <w:r>
        <w:rPr>
          <w:rFonts w:hint="eastAsia" w:ascii="仿宋" w:hAnsi="仿宋" w:eastAsia="仿宋" w:cs="仿宋"/>
          <w:color w:val="auto"/>
          <w:sz w:val="22"/>
          <w:szCs w:val="22"/>
          <w:highlight w:val="none"/>
          <w:u w:val="none"/>
          <w:lang w:val="en-US" w:eastAsia="zh-CN"/>
        </w:rPr>
        <w:t>4</w:t>
      </w:r>
      <w:r>
        <w:rPr>
          <w:rFonts w:hint="eastAsia" w:ascii="仿宋" w:hAnsi="仿宋" w:eastAsia="仿宋" w:cs="仿宋"/>
          <w:color w:val="auto"/>
          <w:sz w:val="22"/>
          <w:szCs w:val="22"/>
          <w:highlight w:val="none"/>
          <w:u w:val="none"/>
        </w:rPr>
        <w:t>:00，下午1</w:t>
      </w:r>
      <w:r>
        <w:rPr>
          <w:rFonts w:hint="eastAsia" w:ascii="仿宋" w:hAnsi="仿宋" w:eastAsia="仿宋" w:cs="仿宋"/>
          <w:color w:val="auto"/>
          <w:sz w:val="22"/>
          <w:szCs w:val="22"/>
          <w:highlight w:val="none"/>
          <w:u w:val="none"/>
          <w:lang w:val="en-US" w:eastAsia="zh-CN"/>
        </w:rPr>
        <w:t>5</w:t>
      </w:r>
      <w:r>
        <w:rPr>
          <w:rFonts w:hint="eastAsia" w:ascii="仿宋" w:hAnsi="仿宋" w:eastAsia="仿宋" w:cs="仿宋"/>
          <w:color w:val="auto"/>
          <w:sz w:val="22"/>
          <w:szCs w:val="22"/>
          <w:highlight w:val="none"/>
          <w:u w:val="none"/>
        </w:rPr>
        <w:t>:</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0至19:30（北京时间，法定节假日除外）</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 xml:space="preserve">新疆政采云平台https://www.zcygov.cn/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方式：</w:t>
      </w:r>
      <w:r>
        <w:rPr>
          <w:rFonts w:hint="eastAsia" w:ascii="仿宋" w:hAnsi="仿宋" w:eastAsia="仿宋" w:cs="仿宋"/>
          <w:color w:val="auto"/>
          <w:sz w:val="21"/>
          <w:szCs w:val="21"/>
          <w:highlight w:val="none"/>
        </w:rPr>
        <w:t>线上获取。供应商登录政采云平台https://www.zcygov.cn/在线申请获取招标文件（进入“项目采购”应用，在获取招标文件菜单中选择项目，申请获取招标文件）</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eastAsia="仿宋"/>
          <w:color w:val="auto"/>
          <w:sz w:val="28"/>
          <w:szCs w:val="28"/>
          <w:highlight w:val="none"/>
          <w:lang w:val="en-US" w:eastAsia="zh-CN"/>
        </w:rPr>
      </w:pPr>
      <w:r>
        <w:rPr>
          <w:rFonts w:hint="eastAsia" w:ascii="仿宋" w:hAnsi="仿宋" w:eastAsia="仿宋" w:cs="仿宋"/>
          <w:color w:val="auto"/>
          <w:sz w:val="22"/>
          <w:szCs w:val="22"/>
          <w:highlight w:val="none"/>
        </w:rPr>
        <w:t>    售价（元）：</w:t>
      </w:r>
      <w:r>
        <w:rPr>
          <w:rFonts w:hint="eastAsia" w:ascii="仿宋" w:hAnsi="仿宋" w:eastAsia="仿宋" w:cs="仿宋"/>
          <w:color w:val="auto"/>
          <w:sz w:val="22"/>
          <w:szCs w:val="22"/>
          <w:highlight w:val="none"/>
          <w:lang w:val="en-US" w:eastAsia="zh-CN"/>
        </w:rPr>
        <w:t>0</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截止时间：202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日1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r>
        <w:rPr>
          <w:rFonts w:hint="eastAsia" w:ascii="仿宋" w:hAnsi="仿宋" w:eastAsia="仿宋" w:cs="仿宋"/>
          <w:color w:val="auto"/>
          <w:sz w:val="22"/>
          <w:szCs w:val="22"/>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开启时间：202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日 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 （北京时间）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六、公告期限</w:t>
      </w:r>
    </w:p>
    <w:p>
      <w:pPr>
        <w:pStyle w:val="24"/>
        <w:keepNext w:val="0"/>
        <w:keepLines w:val="0"/>
        <w:widowControl/>
        <w:suppressLineNumbers w:val="0"/>
        <w:rPr>
          <w:color w:val="auto"/>
          <w:sz w:val="28"/>
          <w:szCs w:val="28"/>
          <w:highlight w:val="none"/>
        </w:rPr>
      </w:pPr>
      <w:r>
        <w:rPr>
          <w:rFonts w:hint="eastAsia" w:ascii="仿宋" w:hAnsi="仿宋" w:eastAsia="仿宋" w:cs="仿宋"/>
          <w:color w:val="auto"/>
          <w:sz w:val="22"/>
          <w:szCs w:val="22"/>
          <w:highlight w:val="none"/>
        </w:rPr>
        <w:t>    自本公告发布之日起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个工作日。</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2.本项目实行网上投标，采用电子响应文件，若供应商参与采购，应自行承担采购一切费用。</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3.投标人应在采购前应确保成为新疆政府采购网正式注册入库供应商，并完成CA 数字证书申领。因未注册入库、未办理CA 数字证书等原因造成无法投标或投标失败等后果由供应商自行承担。</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5.投标人应当在递交响应文件截止时间前，将生成的“电子加密响应文件”上传递交至“政府采购云平台”，递交响应文件截止时间后上传递交的响应文件将被“政府采购云平台”拒收。</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6.供应商登录政采云平台，在开标时间后30 分钟内用“项目采购-开标评标”功能进行解密响应文件。若供应商在规定时间内未按时解密的，视为无效响应。解密与加密响应文件须使用同一个CA。</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4"/>
        <w:keepNext w:val="0"/>
        <w:keepLines w:val="0"/>
        <w:widowControl/>
        <w:suppressLineNumbers w:val="0"/>
        <w:spacing w:before="204" w:beforeAutospacing="0" w:after="204" w:afterAutospacing="0" w:line="384"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八、凡对本次招标提出询问，请按以下方式联系</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1.采购人信息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名称：新疆维吾尔自治区省级干部住宅小区管理服务中心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地址：新疆维吾尔自治区乌鲁木齐市天山区和平北路12号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项目联系人：谷强</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项目联系方式：0991-2381275</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2.采购代理机构信息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名称：新疆谱诚项目管理咨询有限公司</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地址：乌鲁木齐市水磨沟区龙腾路1118号中央公园二期9栋503室</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 xml:space="preserve">项目联系人：李金航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项目联系方式：0991-8828891  13669952946</w:t>
      </w:r>
    </w:p>
    <w:p>
      <w:pPr>
        <w:rPr>
          <w:color w:val="auto"/>
          <w:sz w:val="22"/>
          <w:szCs w:val="21"/>
          <w:highlight w:val="none"/>
        </w:rPr>
      </w:pPr>
    </w:p>
    <w:p>
      <w:pPr>
        <w:snapToGrid w:val="0"/>
        <w:spacing w:line="360" w:lineRule="auto"/>
        <w:ind w:firstLine="480" w:firstLineChars="200"/>
        <w:rPr>
          <w:rFonts w:hint="eastAsia" w:ascii="宋体" w:hAnsi="宋体" w:eastAsia="宋体" w:cs="宋体"/>
          <w:bCs/>
          <w:color w:val="auto"/>
          <w:sz w:val="24"/>
          <w:szCs w:val="24"/>
          <w:highlight w:val="none"/>
          <w:lang w:eastAsia="zh-CN"/>
        </w:rPr>
      </w:pPr>
    </w:p>
    <w:p>
      <w:pPr>
        <w:pStyle w:val="26"/>
        <w:ind w:left="0" w:leftChars="0" w:firstLine="0" w:firstLineChars="0"/>
        <w:jc w:val="center"/>
        <w:rPr>
          <w:rFonts w:hint="eastAsia" w:ascii="宋体" w:hAnsi="宋体" w:cs="宋体"/>
          <w:b/>
          <w:color w:val="auto"/>
          <w:sz w:val="44"/>
          <w:szCs w:val="44"/>
          <w:highlight w:val="none"/>
        </w:rPr>
      </w:pPr>
      <w:r>
        <w:rPr>
          <w:rFonts w:hint="eastAsia" w:ascii="宋体" w:hAnsi="宋体" w:cs="宋体"/>
          <w:b/>
          <w:color w:val="auto"/>
          <w:sz w:val="28"/>
          <w:szCs w:val="28"/>
          <w:highlight w:val="none"/>
        </w:rPr>
        <w:br w:type="page"/>
      </w:r>
      <w:bookmarkStart w:id="5" w:name="_Toc8062"/>
      <w:bookmarkStart w:id="6" w:name="_Toc18843"/>
      <w:bookmarkStart w:id="7" w:name="_Toc6138"/>
      <w:bookmarkStart w:id="8" w:name="_Toc3846"/>
      <w:bookmarkStart w:id="9" w:name="_Toc3973"/>
      <w:r>
        <w:rPr>
          <w:rFonts w:hint="eastAsia" w:ascii="宋体" w:hAnsi="宋体" w:cs="宋体"/>
          <w:b/>
          <w:color w:val="auto"/>
          <w:sz w:val="32"/>
          <w:szCs w:val="32"/>
          <w:highlight w:val="none"/>
        </w:rPr>
        <w:t>第二章  供应商须知</w:t>
      </w:r>
      <w:bookmarkEnd w:id="5"/>
      <w:bookmarkEnd w:id="6"/>
      <w:bookmarkEnd w:id="7"/>
      <w:bookmarkEnd w:id="8"/>
      <w:bookmarkEnd w:id="9"/>
    </w:p>
    <w:p>
      <w:pPr>
        <w:pStyle w:val="11"/>
        <w:spacing w:line="360" w:lineRule="auto"/>
        <w:jc w:val="center"/>
        <w:outlineLvl w:val="1"/>
        <w:rPr>
          <w:rFonts w:hint="eastAsia" w:ascii="宋体" w:hAnsi="宋体" w:eastAsia="宋体" w:cs="宋体"/>
          <w:b/>
          <w:color w:val="auto"/>
          <w:kern w:val="2"/>
          <w:sz w:val="28"/>
          <w:szCs w:val="28"/>
          <w:highlight w:val="none"/>
          <w:lang w:val="en-US" w:eastAsia="zh-CN" w:bidi="ar-SA"/>
        </w:rPr>
      </w:pPr>
      <w:bookmarkStart w:id="10" w:name="_Toc8813"/>
      <w:bookmarkStart w:id="11" w:name="_Toc13602"/>
      <w:r>
        <w:rPr>
          <w:rFonts w:hint="eastAsia" w:ascii="宋体" w:hAnsi="宋体" w:eastAsia="宋体" w:cs="宋体"/>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团结路小区岗亭建设及安装工程项目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名称: 新疆维吾尔自治区省级干部住宅小区管理服务中心</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 新疆维吾尔自治区乌鲁木齐市天山区和平北路12号</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联系人：谷强</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联系方式:0991-2381275</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名称：新疆谱诚项目管理咨询有限公司</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地址：乌鲁木齐市水磨沟区龙腾路1118号中央公园二期9栋503室</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项目联系人：李金航  </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项目联系方式：0991-8828891  13669952946</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新疆维吾尔自治区采购办</w:t>
            </w:r>
          </w:p>
        </w:tc>
      </w:tr>
      <w:tr>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项目预算</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最高限价</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采购预算：</w:t>
            </w:r>
            <w:r>
              <w:rPr>
                <w:rFonts w:hint="eastAsia" w:ascii="宋体" w:hAnsi="宋体" w:cs="宋体"/>
                <w:bCs/>
                <w:color w:val="auto"/>
                <w:sz w:val="24"/>
                <w:szCs w:val="24"/>
                <w:highlight w:val="none"/>
                <w:lang w:val="en-US" w:eastAsia="zh-CN"/>
              </w:rPr>
              <w:t>103500</w:t>
            </w:r>
            <w:r>
              <w:rPr>
                <w:rFonts w:hint="eastAsia" w:ascii="宋体" w:hAnsi="宋体" w:eastAsia="宋体" w:cs="宋体"/>
                <w:bCs/>
                <w:color w:val="auto"/>
                <w:sz w:val="24"/>
                <w:szCs w:val="24"/>
                <w:highlight w:val="none"/>
                <w:lang w:val="en-US" w:eastAsia="zh-CN"/>
              </w:rPr>
              <w:t>元</w:t>
            </w:r>
          </w:p>
          <w:p>
            <w:pPr>
              <w:spacing w:line="240" w:lineRule="auto"/>
              <w:jc w:val="left"/>
              <w:rPr>
                <w:rFonts w:hint="default" w:ascii="宋体" w:hAnsi="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最高限价</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lang w:val="en-US" w:eastAsia="zh-CN"/>
              </w:rPr>
              <w:t>103158.76</w:t>
            </w:r>
            <w:r>
              <w:rPr>
                <w:rFonts w:hint="eastAsia" w:ascii="宋体" w:hAnsi="宋体" w:eastAsia="宋体" w:cs="宋体"/>
                <w:bCs/>
                <w:color w:val="auto"/>
                <w:sz w:val="24"/>
                <w:szCs w:val="24"/>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1.满足《中华人民共和国政府采购法》第二十二条规定；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2.落实政府采购政策需满足的资格要求：供应商为中小企业/小微企业；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（1）投标人具有需在中华人民共和国境内注册，并具有独立法人资格、有提供相应服务能力的单位（须在人员、设备、资金、技术等方面具备相应的服务能力）。</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（2）具有建筑工程施工总承包叁级及以上资质；有效的安全生产许可证；</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（3）项目负责人具有在本单位注册的建筑工程二级及以上注册建造师执业资格及有效的安全生产考核合格证书。</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default"/>
                <w:bCs/>
                <w:color w:val="auto"/>
                <w:highlight w:val="none"/>
                <w:lang w:val="en-US" w:eastAsia="zh-CN"/>
              </w:rPr>
            </w:pP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不接受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接受</w:t>
            </w:r>
          </w:p>
          <w:p>
            <w:pPr>
              <w:adjustRightInd w:val="0"/>
              <w:snapToGrid w:val="0"/>
              <w:spacing w:line="240" w:lineRule="auto"/>
              <w:jc w:val="left"/>
              <w:rPr>
                <w:rFonts w:hint="eastAsia" w:ascii="宋体" w:hAnsi="宋体" w:eastAsia="宋体" w:cs="宋体"/>
                <w:color w:val="auto"/>
                <w:highlight w:val="none"/>
                <w:lang w:val="en-US" w:eastAsia="zh-CN"/>
              </w:rPr>
            </w:pPr>
            <w:r>
              <w:rPr>
                <w:rFonts w:hint="eastAsia" w:ascii="宋体" w:hAnsi="宋体" w:cs="宋体"/>
                <w:bCs/>
                <w:color w:val="auto"/>
                <w:sz w:val="24"/>
                <w:szCs w:val="24"/>
                <w:highlight w:val="none"/>
              </w:rPr>
              <w:t>应满足要求：</w:t>
            </w: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不组织</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组织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position w:val="2"/>
                <w:sz w:val="1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bCs/>
                <w:color w:val="auto"/>
                <w:sz w:val="24"/>
                <w:szCs w:val="24"/>
                <w:highlight w:val="none"/>
              </w:rPr>
              <w:t>不允许</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eastAsia="宋体"/>
                <w:color w:val="auto"/>
                <w:highlight w:val="none"/>
                <w:lang w:eastAsia="zh-CN"/>
              </w:rPr>
            </w:pPr>
            <w:r>
              <w:rPr>
                <w:rFonts w:hint="eastAsia" w:ascii="宋体" w:hAnsi="宋体" w:cs="宋体"/>
                <w:bCs/>
                <w:color w:val="auto"/>
                <w:sz w:val="24"/>
                <w:szCs w:val="24"/>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乌鲁木齐市</w:t>
            </w:r>
            <w:r>
              <w:rPr>
                <w:rFonts w:hint="eastAsia" w:ascii="宋体" w:hAnsi="宋体" w:cs="宋体"/>
                <w:bCs/>
                <w:color w:val="auto"/>
                <w:sz w:val="24"/>
                <w:szCs w:val="24"/>
                <w:highlight w:val="none"/>
                <w:lang w:val="en-US" w:eastAsia="zh-CN"/>
              </w:rPr>
              <w:t>团结路小区</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合同履约期限（</w:t>
            </w:r>
            <w:r>
              <w:rPr>
                <w:rFonts w:hint="eastAsia" w:ascii="宋体" w:hAnsi="宋体" w:cs="宋体"/>
                <w:bCs/>
                <w:color w:val="auto"/>
                <w:sz w:val="24"/>
                <w:szCs w:val="24"/>
                <w:highlight w:val="none"/>
                <w:lang w:val="en-US" w:eastAsia="zh-CN"/>
              </w:rPr>
              <w:t>工期</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en-US" w:eastAsia="zh-CN"/>
              </w:rPr>
              <w:t>天，具体内容在合同中约定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投标报价包括采购范围内所有项目包含的全部费用。</w:t>
            </w:r>
          </w:p>
        </w:tc>
      </w:tr>
      <w:tr>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采购单位依法组建磋商小组</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3人</w:t>
            </w:r>
            <w:r>
              <w:rPr>
                <w:rFonts w:hint="eastAsia" w:ascii="宋体" w:hAnsi="宋体" w:eastAsia="宋体" w:cs="宋体"/>
                <w:color w:val="auto"/>
                <w:highlight w:val="none"/>
                <w:lang w:val="en-US" w:eastAsia="zh-CN"/>
              </w:rPr>
              <w:t>以上</w:t>
            </w:r>
            <w:r>
              <w:rPr>
                <w:rFonts w:hint="eastAsia" w:ascii="宋体" w:hAnsi="宋体" w:eastAsia="宋体" w:cs="宋体"/>
                <w:color w:val="auto"/>
                <w:highlight w:val="none"/>
              </w:rPr>
              <w:t>组成。</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小组确定方式：</w:t>
            </w:r>
            <w:r>
              <w:rPr>
                <w:rFonts w:hint="eastAsia" w:ascii="宋体" w:hAnsi="宋体" w:eastAsia="宋体" w:cs="宋体"/>
                <w:bCs/>
                <w:color w:val="auto"/>
                <w:sz w:val="24"/>
                <w:szCs w:val="24"/>
                <w:highlight w:val="none"/>
                <w:lang w:val="en-US" w:eastAsia="zh-CN"/>
              </w:rPr>
              <w:t>新疆政府采购网</w:t>
            </w:r>
            <w:r>
              <w:rPr>
                <w:rFonts w:hint="eastAsia" w:ascii="宋体" w:hAnsi="宋体" w:eastAsia="宋体" w:cs="宋体"/>
                <w:color w:val="auto"/>
                <w:highlight w:val="none"/>
                <w:lang w:val="en-US" w:eastAsia="zh-CN"/>
              </w:rPr>
              <w:t>专家库中随机</w:t>
            </w:r>
            <w:r>
              <w:rPr>
                <w:rFonts w:hint="eastAsia" w:ascii="宋体" w:hAnsi="宋体" w:eastAsia="宋体" w:cs="宋体"/>
                <w:color w:val="auto"/>
                <w:highlight w:val="none"/>
              </w:rPr>
              <w:t>抽取</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rPr>
              <w:t>计算机随机抽取语音通知方式</w:t>
            </w:r>
          </w:p>
          <w:p>
            <w:pPr>
              <w:pStyle w:val="24"/>
              <w:spacing w:before="75" w:after="75" w:line="240" w:lineRule="auto"/>
              <w:ind w:left="0" w:leftChars="0" w:firstLine="0" w:firstLineChars="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其他方式：</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cs="宋体"/>
                <w:bCs/>
                <w:color w:val="auto"/>
                <w:sz w:val="24"/>
                <w:highlight w:val="none"/>
                <w:lang w:bidi="ar"/>
              </w:rPr>
            </w:pPr>
            <w:r>
              <w:rPr>
                <w:rFonts w:hint="eastAsia" w:ascii="宋体" w:hAnsi="宋体" w:cs="宋体"/>
                <w:bCs/>
                <w:color w:val="auto"/>
                <w:sz w:val="24"/>
                <w:highlight w:val="none"/>
                <w:lang w:bidi="ar"/>
              </w:rPr>
              <w:t>一、投标保证金：</w:t>
            </w:r>
            <w:r>
              <w:rPr>
                <w:rFonts w:hint="eastAsia" w:ascii="宋体" w:hAnsi="宋体" w:cs="宋体"/>
                <w:bCs/>
                <w:color w:val="auto"/>
                <w:sz w:val="24"/>
                <w:highlight w:val="none"/>
                <w:lang w:val="en-US" w:eastAsia="zh-CN" w:bidi="ar"/>
              </w:rPr>
              <w:t>2000</w:t>
            </w:r>
            <w:r>
              <w:rPr>
                <w:rFonts w:hint="eastAsia"/>
                <w:bCs/>
                <w:color w:val="auto"/>
                <w:sz w:val="24"/>
                <w:highlight w:val="none"/>
              </w:rPr>
              <w:t>元；大写：</w:t>
            </w:r>
            <w:r>
              <w:rPr>
                <w:rFonts w:hint="eastAsia"/>
                <w:bCs/>
                <w:color w:val="auto"/>
                <w:sz w:val="24"/>
                <w:highlight w:val="none"/>
                <w:lang w:val="en-US" w:eastAsia="zh-CN"/>
              </w:rPr>
              <w:t>贰仟</w:t>
            </w:r>
            <w:r>
              <w:rPr>
                <w:rFonts w:hint="eastAsia"/>
                <w:bCs/>
                <w:color w:val="auto"/>
                <w:sz w:val="24"/>
                <w:highlight w:val="none"/>
              </w:rPr>
              <w:t>元整。</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二、投标保证金应当以转账的形式由投标人汇出，并汇入指定帐户；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开户银行及账号如下：</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账户名：</w:t>
            </w:r>
            <w:r>
              <w:rPr>
                <w:rFonts w:hint="eastAsia" w:ascii="宋体" w:hAnsi="宋体" w:cs="宋体"/>
                <w:color w:val="auto"/>
                <w:spacing w:val="-1"/>
                <w:sz w:val="24"/>
                <w:highlight w:val="none"/>
                <w:lang w:val="zh-CN"/>
              </w:rPr>
              <w:t>新疆谱诚项目管理咨询有限公司</w:t>
            </w:r>
          </w:p>
          <w:p>
            <w:pPr>
              <w:adjustRightInd w:val="0"/>
              <w:snapToGrid w:val="0"/>
              <w:spacing w:line="360" w:lineRule="auto"/>
              <w:rPr>
                <w:rFonts w:hint="eastAsia" w:ascii="宋体" w:hAnsi="宋体" w:cs="宋体"/>
                <w:color w:val="auto"/>
                <w:spacing w:val="-1"/>
                <w:sz w:val="24"/>
                <w:highlight w:val="none"/>
              </w:rPr>
            </w:pPr>
            <w:r>
              <w:rPr>
                <w:rFonts w:hint="eastAsia" w:ascii="宋体" w:hAnsi="宋体" w:cs="宋体"/>
                <w:bCs/>
                <w:color w:val="auto"/>
                <w:sz w:val="24"/>
                <w:highlight w:val="none"/>
                <w:lang w:bidi="ar"/>
              </w:rPr>
              <w:t>开户行：</w:t>
            </w:r>
            <w:r>
              <w:rPr>
                <w:rFonts w:hint="eastAsia" w:ascii="宋体" w:hAnsi="宋体" w:cs="宋体"/>
                <w:color w:val="auto"/>
                <w:spacing w:val="-1"/>
                <w:sz w:val="24"/>
                <w:highlight w:val="none"/>
              </w:rPr>
              <w:t>乌鲁木齐银行营业部</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bCs/>
                <w:color w:val="auto"/>
                <w:sz w:val="24"/>
                <w:highlight w:val="none"/>
                <w:lang w:bidi="ar"/>
              </w:rPr>
              <w:t>账  号：</w:t>
            </w:r>
            <w:r>
              <w:rPr>
                <w:rFonts w:hint="eastAsia" w:ascii="宋体" w:hAnsi="宋体" w:cs="宋体"/>
                <w:color w:val="auto"/>
                <w:spacing w:val="-1"/>
                <w:sz w:val="24"/>
                <w:highlight w:val="none"/>
                <w:lang w:val="zh-CN"/>
              </w:rPr>
              <w:t>0000020080110046604455</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行号：313881000019 </w:t>
            </w:r>
          </w:p>
          <w:p>
            <w:pPr>
              <w:adjustRightInd w:val="0"/>
              <w:snapToGrid w:val="0"/>
              <w:spacing w:line="360" w:lineRule="auto"/>
              <w:rPr>
                <w:rFonts w:ascii="宋体" w:hAnsi="宋体" w:cs="宋体"/>
                <w:bCs/>
                <w:color w:val="auto"/>
                <w:sz w:val="24"/>
                <w:highlight w:val="none"/>
                <w:lang w:bidi="ar"/>
              </w:rPr>
            </w:pPr>
            <w:r>
              <w:rPr>
                <w:rFonts w:hint="eastAsia" w:ascii="宋体" w:hAnsi="宋体" w:cs="宋体"/>
                <w:bCs/>
                <w:color w:val="auto"/>
                <w:sz w:val="24"/>
                <w:highlight w:val="none"/>
                <w:lang w:bidi="ar"/>
              </w:rPr>
              <w:t>备注：项目简称或项目编号</w:t>
            </w:r>
          </w:p>
          <w:p>
            <w:pPr>
              <w:adjustRightInd w:val="0"/>
              <w:snapToGrid w:val="0"/>
              <w:spacing w:line="360" w:lineRule="auto"/>
              <w:rPr>
                <w:rFonts w:hint="eastAsia" w:ascii="宋体" w:hAnsi="宋体" w:cs="宋体"/>
                <w:bCs/>
                <w:color w:val="auto"/>
                <w:sz w:val="24"/>
                <w:highlight w:val="none"/>
                <w:u w:val="single"/>
              </w:rPr>
            </w:pPr>
            <w:r>
              <w:rPr>
                <w:rFonts w:hint="eastAsia" w:ascii="宋体" w:hAnsi="宋体" w:cs="宋体"/>
                <w:bCs/>
                <w:color w:val="auto"/>
                <w:sz w:val="24"/>
                <w:highlight w:val="none"/>
                <w:lang w:bidi="ar"/>
              </w:rPr>
              <w:t>到账截止时间：</w:t>
            </w:r>
            <w:r>
              <w:rPr>
                <w:rFonts w:hint="eastAsia" w:ascii="宋体" w:hAnsi="宋体" w:cs="宋体"/>
                <w:b/>
                <w:bCs w:val="0"/>
                <w:color w:val="auto"/>
                <w:kern w:val="1"/>
                <w:sz w:val="24"/>
                <w:szCs w:val="22"/>
                <w:highlight w:val="none"/>
                <w:lang w:val="en-US" w:eastAsia="zh-CN"/>
              </w:rPr>
              <w:t>投标截止时间前</w:t>
            </w:r>
            <w:r>
              <w:rPr>
                <w:rFonts w:hint="eastAsia" w:ascii="宋体" w:hAnsi="宋体" w:cs="宋体"/>
                <w:b/>
                <w:bCs w:val="0"/>
                <w:color w:val="auto"/>
                <w:kern w:val="1"/>
                <w:sz w:val="24"/>
                <w:szCs w:val="22"/>
                <w:highlight w:val="none"/>
              </w:rPr>
              <w:t>(北京时间)</w:t>
            </w:r>
            <w:r>
              <w:rPr>
                <w:rFonts w:hint="eastAsia" w:ascii="宋体" w:hAnsi="宋体" w:cs="宋体"/>
                <w:b w:val="0"/>
                <w:bCs/>
                <w:color w:val="auto"/>
                <w:sz w:val="24"/>
                <w:highlight w:val="none"/>
                <w:lang w:bidi="ar"/>
              </w:rPr>
              <w:t>（汇款时务必注明项目名称</w:t>
            </w:r>
            <w:r>
              <w:rPr>
                <w:rFonts w:hint="eastAsia" w:ascii="宋体" w:hAnsi="宋体" w:cs="宋体"/>
                <w:bCs/>
                <w:color w:val="auto"/>
                <w:sz w:val="24"/>
                <w:highlight w:val="none"/>
                <w:lang w:bidi="ar"/>
              </w:rPr>
              <w:t>，保证金在开标前打入指定账户。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三、投标保证金还可以采用支票、汇票、本票或保函等形式递交。递交联系人：李金航；联系电话：0991-8828891。投标人应充分考虑票据转存时间、到账时间，否决后果自负。保函应由金融机构或担保机构出具。</w:t>
            </w:r>
            <w:r>
              <w:rPr>
                <w:rFonts w:hint="eastAsia" w:ascii="宋体" w:hAnsi="宋体" w:cs="宋体"/>
                <w:b/>
                <w:color w:val="auto"/>
                <w:sz w:val="24"/>
                <w:highlight w:val="none"/>
              </w:rPr>
              <w:t>如采用保函递交，保函原件需在截止时间前递交至招标代理公司，由采购代理公司联系人签收，未递交原件按否决投标处理。</w:t>
            </w:r>
          </w:p>
          <w:p>
            <w:pPr>
              <w:pStyle w:val="24"/>
              <w:spacing w:before="75" w:after="75" w:line="240" w:lineRule="auto"/>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b/>
                <w:color w:val="auto"/>
                <w:sz w:val="24"/>
                <w:szCs w:val="24"/>
                <w:highlight w:val="none"/>
              </w:rPr>
              <w:t>四、投标文件中须附投标保证金交纳凭证扫描件或保函扫描件，否则视为未按要求提交投标保证金。</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线上获取采购文件</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√不允许</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企业公章、法人章</w:t>
            </w:r>
            <w:r>
              <w:rPr>
                <w:rFonts w:hint="eastAsia" w:ascii="宋体" w:hAnsi="宋体" w:cs="宋体"/>
                <w:bCs/>
                <w:color w:val="auto"/>
                <w:sz w:val="24"/>
                <w:szCs w:val="24"/>
                <w:highlight w:val="none"/>
                <w:lang w:val="en-US" w:eastAsia="zh-CN"/>
              </w:rPr>
              <w:t>及</w:t>
            </w:r>
            <w:r>
              <w:rPr>
                <w:rFonts w:hint="eastAsia" w:ascii="宋体" w:hAnsi="宋体" w:cs="宋体"/>
                <w:bCs/>
                <w:color w:val="auto"/>
                <w:sz w:val="24"/>
                <w:szCs w:val="24"/>
                <w:highlight w:val="none"/>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i w:val="0"/>
                <w:caps w:val="0"/>
                <w:color w:val="auto"/>
                <w:spacing w:val="0"/>
                <w:w w:val="100"/>
                <w:sz w:val="24"/>
                <w:szCs w:val="24"/>
                <w:highlight w:val="none"/>
                <w:lang w:eastAsia="zh-CN"/>
              </w:rPr>
              <w:t>投标文件</w:t>
            </w:r>
            <w:r>
              <w:rPr>
                <w:rFonts w:hint="eastAsia" w:ascii="宋体" w:hAnsi="宋体" w:eastAsia="宋体" w:cs="宋体"/>
                <w:b w:val="0"/>
                <w:i w:val="0"/>
                <w:caps w:val="0"/>
                <w:color w:val="auto"/>
                <w:spacing w:val="0"/>
                <w:w w:val="100"/>
                <w:sz w:val="24"/>
                <w:szCs w:val="24"/>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采用不见面开标：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1．本项目采用不见面开标、投标人需要递交电子投标文件，加密的电子投标文件（文件格式为.jmbs），在投标截止时间前通过政采云平台上传到指定位置。无需递交纸质文件。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解密时长：30分钟。</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 参与“不见面”开标的招标人或其委托代理机构、投标人等各交易主体，应当按照规定使用CA数字证书及电子签章。各方主体在系统中所有操作均具有法律效力，并承担法律责任。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4.投标人（供应商）由于数字证书遗失、损坏、更换、续期等情况导致投标文件无法解密，由投标人（供应商）自行承担责任。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各投标人（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开标、评标过程中，投标人（供应商）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综合评分法（本项目采用竞争性磋商方式招标）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default" w:ascii="Arial" w:hAnsi="Arial" w:cs="Arial"/>
                <w:color w:val="auto"/>
                <w:highlight w:val="none"/>
              </w:rPr>
              <w:sym w:font="Wingdings" w:char="00FE"/>
            </w:r>
            <w:r>
              <w:rPr>
                <w:rFonts w:hint="eastAsia"/>
                <w:color w:val="auto"/>
                <w:highlight w:val="none"/>
              </w:rPr>
              <w:t>否</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交纳时间：</w:t>
            </w:r>
            <w:bookmarkStart w:id="12" w:name="EB80018a400e2944cca35737b83cee6afa"/>
            <w:bookmarkEnd w:id="12"/>
            <w:r>
              <w:rPr>
                <w:rFonts w:hint="eastAsia" w:ascii="宋体" w:hAnsi="宋体" w:eastAsia="宋体" w:cs="宋体"/>
                <w:bCs/>
                <w:color w:val="auto"/>
                <w:kern w:val="2"/>
                <w:sz w:val="24"/>
                <w:szCs w:val="24"/>
                <w:highlight w:val="none"/>
                <w:lang w:val="en-US" w:eastAsia="zh-CN" w:bidi="ar-SA"/>
              </w:rPr>
              <w:t>在《中标通知书》核发前，向采购代理机构支付采购代理服务费</w:t>
            </w:r>
          </w:p>
          <w:p>
            <w:pPr>
              <w:adjustRightInd w:val="0"/>
              <w:snapToGrid w:val="0"/>
              <w:spacing w:line="240" w:lineRule="auto"/>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交纳金额：</w:t>
            </w:r>
            <w:bookmarkStart w:id="13" w:name="EB08acd175b39d48b299ea518ca053ce1b"/>
            <w:bookmarkEnd w:id="13"/>
            <w:r>
              <w:rPr>
                <w:rFonts w:hint="eastAsia" w:ascii="宋体" w:hAnsi="宋体" w:cs="宋体"/>
                <w:bCs/>
                <w:color w:val="auto"/>
                <w:kern w:val="2"/>
                <w:sz w:val="24"/>
                <w:szCs w:val="24"/>
                <w:highlight w:val="none"/>
                <w:lang w:val="en-US" w:eastAsia="zh-CN" w:bidi="ar-SA"/>
              </w:rPr>
              <w:t>固定取费3000元。</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收款单位：</w:t>
            </w:r>
            <w:bookmarkStart w:id="14" w:name="EB874e4b65a4d942b5992c5c911d409bea"/>
            <w:bookmarkEnd w:id="14"/>
            <w:r>
              <w:rPr>
                <w:rFonts w:hint="eastAsia" w:ascii="宋体" w:hAnsi="宋体" w:eastAsia="宋体" w:cs="宋体"/>
                <w:bCs/>
                <w:color w:val="auto"/>
                <w:kern w:val="2"/>
                <w:sz w:val="24"/>
                <w:szCs w:val="24"/>
                <w:highlight w:val="none"/>
                <w:lang w:val="en-US" w:eastAsia="zh-CN" w:bidi="ar-SA"/>
              </w:rPr>
              <w:t xml:space="preserve">新疆谱诚项目管理咨询有限公司 </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开户银行：</w:t>
            </w:r>
            <w:bookmarkStart w:id="15" w:name="EB2f8920637a254a8486c629fbd96d5257"/>
            <w:bookmarkEnd w:id="15"/>
            <w:r>
              <w:rPr>
                <w:rFonts w:hint="eastAsia" w:ascii="宋体" w:hAnsi="宋体" w:eastAsia="宋体" w:cs="宋体"/>
                <w:bCs/>
                <w:color w:val="auto"/>
                <w:kern w:val="2"/>
                <w:sz w:val="24"/>
                <w:szCs w:val="24"/>
                <w:highlight w:val="none"/>
                <w:lang w:val="en-US" w:eastAsia="zh-CN" w:bidi="ar-SA"/>
              </w:rPr>
              <w:t>乌鲁木齐银行营业部</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账号：0000020080110046604455</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行号：313881000019 </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宋体" w:hAnsi="宋体" w:eastAsia="宋体" w:cs="宋体"/>
                <w:bCs/>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中小微型等企业</w:t>
            </w:r>
          </w:p>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szCs w:val="24"/>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uto"/>
              <w:rPr>
                <w:rFonts w:hint="eastAsia" w:cs="宋体"/>
                <w:bCs/>
                <w:color w:val="auto"/>
                <w:sz w:val="24"/>
                <w:szCs w:val="24"/>
                <w:highlight w:val="none"/>
              </w:rPr>
            </w:pPr>
            <w:r>
              <w:rPr>
                <w:rFonts w:hint="eastAsia" w:cs="宋体"/>
                <w:bCs/>
                <w:color w:val="auto"/>
                <w:sz w:val="24"/>
                <w:szCs w:val="24"/>
                <w:highlight w:val="none"/>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在法定质疑期内供应商针对同一采购程序环节的质疑应当一次性提出。</w:t>
            </w:r>
          </w:p>
        </w:tc>
      </w:tr>
      <w:tr>
        <w:tblPrEx>
          <w:tblCellMar>
            <w:top w:w="0" w:type="dxa"/>
            <w:left w:w="108" w:type="dxa"/>
            <w:bottom w:w="0" w:type="dxa"/>
            <w:right w:w="108" w:type="dxa"/>
          </w:tblCellMar>
        </w:tblPrEx>
        <w:trPr>
          <w:trHeight w:val="192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rPr>
                <w:rFonts w:ascii="宋体" w:hAnsi="Arial"/>
                <w:b/>
                <w:color w:val="auto"/>
                <w:sz w:val="24"/>
                <w:szCs w:val="21"/>
                <w:highlight w:val="none"/>
              </w:rPr>
            </w:pPr>
            <w:r>
              <w:rPr>
                <w:rFonts w:hint="eastAsia" w:ascii="宋体" w:hAnsi="Arial"/>
                <w:b/>
                <w:color w:val="auto"/>
                <w:sz w:val="24"/>
                <w:szCs w:val="21"/>
                <w:highlight w:val="none"/>
              </w:rPr>
              <w:t>1、签字盖章要求：</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(1)供应商资格证明材料、法定代表人身份证明或授权书应加盖公章；</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(2)其他证明供应商资格的文件或证明材料应为加盖单位公章，样式可参照</w:t>
            </w:r>
            <w:r>
              <w:rPr>
                <w:rFonts w:ascii="宋体" w:hAnsi="Arial"/>
                <w:b/>
                <w:color w:val="auto"/>
                <w:sz w:val="24"/>
                <w:szCs w:val="21"/>
                <w:highlight w:val="none"/>
              </w:rPr>
              <w:t>“</w:t>
            </w:r>
            <w:r>
              <w:rPr>
                <w:rFonts w:hint="eastAsia" w:ascii="宋体" w:hAnsi="Arial"/>
                <w:b/>
                <w:color w:val="auto"/>
                <w:sz w:val="24"/>
                <w:szCs w:val="21"/>
                <w:highlight w:val="none"/>
              </w:rPr>
              <w:t>投标文件格式</w:t>
            </w:r>
            <w:r>
              <w:rPr>
                <w:rFonts w:ascii="宋体" w:hAnsi="Arial"/>
                <w:b/>
                <w:color w:val="auto"/>
                <w:sz w:val="24"/>
                <w:szCs w:val="21"/>
                <w:highlight w:val="none"/>
              </w:rPr>
              <w:t>”</w:t>
            </w:r>
            <w:r>
              <w:rPr>
                <w:rFonts w:hint="eastAsia" w:ascii="宋体" w:hAnsi="Arial"/>
                <w:b/>
                <w:color w:val="auto"/>
                <w:sz w:val="24"/>
                <w:szCs w:val="21"/>
                <w:highlight w:val="none"/>
              </w:rPr>
              <w:t>编制；</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(3)本文件中明确要求盖章或签字的，须盖章或签字。</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2、投标人提供的投标文件应当使用磋商文件所提供投标文件格式（表格可按照同样格式扩展）。未提供格式的，需要时由投标人用文字或者表格、图片等其它形式提供。</w:t>
            </w:r>
          </w:p>
          <w:p>
            <w:pPr>
              <w:pStyle w:val="10"/>
              <w:rPr>
                <w:rFonts w:hint="eastAsia" w:ascii="宋体" w:hAnsi="宋体" w:cs="宋体"/>
                <w:bCs/>
                <w:color w:val="auto"/>
                <w:sz w:val="24"/>
                <w:szCs w:val="24"/>
                <w:highlight w:val="none"/>
              </w:rPr>
            </w:pPr>
            <w:r>
              <w:rPr>
                <w:rFonts w:hint="eastAsia" w:ascii="宋体"/>
                <w:b/>
                <w:color w:val="auto"/>
                <w:highlight w:val="none"/>
              </w:rPr>
              <w:t>3、</w:t>
            </w:r>
            <w:r>
              <w:rPr>
                <w:rFonts w:hint="eastAsia" w:ascii="宋体" w:hAnsi="宋体" w:cs="宋体"/>
                <w:b/>
                <w:bCs/>
                <w:color w:val="auto"/>
                <w:sz w:val="24"/>
                <w:szCs w:val="24"/>
                <w:highlight w:val="none"/>
                <w:lang w:val="zh-CN" w:bidi="ar"/>
              </w:rPr>
              <w:t>在结果公示结束后</w:t>
            </w:r>
            <w:r>
              <w:rPr>
                <w:rFonts w:hint="eastAsia" w:ascii="宋体"/>
                <w:b/>
                <w:color w:val="auto"/>
                <w:highlight w:val="none"/>
              </w:rPr>
              <w:t>，成交供应商需向代理机构提供本项目一正</w:t>
            </w:r>
            <w:r>
              <w:rPr>
                <w:rFonts w:hint="eastAsia" w:ascii="宋体"/>
                <w:b/>
                <w:color w:val="auto"/>
                <w:highlight w:val="none"/>
                <w:lang w:val="en-US" w:eastAsia="zh-CN"/>
              </w:rPr>
              <w:t>一</w:t>
            </w:r>
            <w:r>
              <w:rPr>
                <w:rFonts w:hint="eastAsia" w:ascii="宋体"/>
                <w:b/>
                <w:color w:val="auto"/>
                <w:highlight w:val="none"/>
              </w:rPr>
              <w:t>副</w:t>
            </w:r>
            <w:r>
              <w:rPr>
                <w:rFonts w:hint="eastAsia" w:ascii="宋体" w:hAnsi="宋体" w:cs="宋体"/>
                <w:b/>
                <w:bCs/>
                <w:color w:val="auto"/>
                <w:sz w:val="24"/>
                <w:szCs w:val="24"/>
                <w:highlight w:val="none"/>
                <w:lang w:val="zh-CN" w:bidi="ar"/>
              </w:rPr>
              <w:t>纸质响应文件，纸质响应文件</w:t>
            </w:r>
            <w:r>
              <w:rPr>
                <w:rFonts w:hint="eastAsia" w:ascii="宋体" w:hAnsi="宋体" w:cs="宋体"/>
                <w:b/>
                <w:bCs/>
                <w:color w:val="auto"/>
                <w:sz w:val="24"/>
                <w:szCs w:val="24"/>
                <w:highlight w:val="none"/>
                <w:lang w:bidi="ar"/>
              </w:rPr>
              <w:t>须</w:t>
            </w:r>
            <w:r>
              <w:rPr>
                <w:rFonts w:hint="eastAsia" w:ascii="宋体" w:hAnsi="宋体" w:cs="宋体"/>
                <w:b/>
                <w:bCs/>
                <w:color w:val="auto"/>
                <w:sz w:val="24"/>
                <w:szCs w:val="24"/>
                <w:highlight w:val="none"/>
                <w:lang w:val="zh-CN" w:bidi="ar"/>
              </w:rPr>
              <w:t>与网上提交的电子</w:t>
            </w:r>
            <w:r>
              <w:rPr>
                <w:rFonts w:hint="eastAsia" w:ascii="宋体" w:hAnsi="宋体" w:cs="宋体"/>
                <w:b/>
                <w:bCs/>
                <w:color w:val="auto"/>
                <w:sz w:val="24"/>
                <w:szCs w:val="24"/>
                <w:highlight w:val="none"/>
                <w:lang w:bidi="ar"/>
              </w:rPr>
              <w:t>投标</w:t>
            </w:r>
            <w:r>
              <w:rPr>
                <w:rFonts w:hint="eastAsia" w:ascii="宋体" w:hAnsi="宋体" w:cs="宋体"/>
                <w:b/>
                <w:bCs/>
                <w:color w:val="auto"/>
                <w:sz w:val="24"/>
                <w:szCs w:val="24"/>
                <w:highlight w:val="none"/>
                <w:lang w:val="zh-CN" w:bidi="ar"/>
              </w:rPr>
              <w:t>文件一致。</w:t>
            </w:r>
          </w:p>
        </w:tc>
      </w:tr>
    </w:tbl>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47"/>
        <w:jc w:val="center"/>
        <w:outlineLvl w:val="1"/>
        <w:rPr>
          <w:rFonts w:hint="eastAsia" w:ascii="宋体" w:hAnsi="宋体" w:eastAsia="宋体" w:cs="宋体"/>
          <w:b/>
          <w:bCs/>
          <w:color w:val="auto"/>
          <w:szCs w:val="22"/>
          <w:highlight w:val="none"/>
        </w:rPr>
      </w:pPr>
      <w:bookmarkStart w:id="16" w:name="_Toc256000014"/>
      <w:bookmarkStart w:id="17" w:name="_Toc25893"/>
      <w:bookmarkStart w:id="18" w:name="_Toc256000005"/>
      <w:bookmarkStart w:id="19" w:name="_Toc5724"/>
      <w:bookmarkStart w:id="20" w:name="_Toc937"/>
      <w:r>
        <w:rPr>
          <w:rFonts w:hint="eastAsia" w:ascii="宋体" w:hAnsi="宋体" w:eastAsia="宋体" w:cs="宋体"/>
          <w:b/>
          <w:bCs/>
          <w:color w:val="auto"/>
          <w:szCs w:val="22"/>
          <w:highlight w:val="none"/>
        </w:rPr>
        <w:t>一、说明</w:t>
      </w:r>
      <w:bookmarkEnd w:id="16"/>
      <w:bookmarkEnd w:id="17"/>
      <w:bookmarkEnd w:id="18"/>
      <w:bookmarkEnd w:id="19"/>
      <w:bookmarkEnd w:id="20"/>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适用范围</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1.1本磋商文件仅适用于本磋商邀请中所叙述的采购项目。</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项目概况</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磋商须知前附表1</w:t>
      </w:r>
      <w:r>
        <w:rPr>
          <w:rFonts w:hint="eastAsia" w:ascii="宋体" w:hAnsi="宋体" w:eastAsia="宋体" w:cs="宋体"/>
          <w:color w:val="auto"/>
          <w:sz w:val="24"/>
          <w:szCs w:val="24"/>
          <w:highlight w:val="none"/>
        </w:rPr>
        <w:t>。</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合格的供应商</w:t>
      </w:r>
    </w:p>
    <w:p>
      <w:pPr>
        <w:pStyle w:val="49"/>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1.3.1 供应商的资格要求见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1.3.2凡为本采购项目提供整体设计、规范编制或者项目管理、监理、检测等服务的供应商，不得参加报价。</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1.3.3一个供应商只能提交一个响应文件。但如果不同供应商之间的单位负责人为同一人或者存在直接控股、管理关系的，均作无效报价处理。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1.3.4供应商存在下列情形之一的，将被认定为串通报价行为并作无效报价处理：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（1）不同供应商的响应文件错、漏之处一致或雷同，且不能合理解释的；</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（3）有关法律、法规或规章规定的其他串通报价行为。</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1.4 参与磋商的费用 </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无论磋商的结果如何，供应商应自行承担所有与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zh-CN"/>
        </w:rPr>
        <w:t>采购活动</w:t>
      </w:r>
      <w:r>
        <w:rPr>
          <w:rFonts w:hint="eastAsia" w:ascii="宋体" w:hAnsi="宋体" w:eastAsia="宋体" w:cs="宋体"/>
          <w:color w:val="auto"/>
          <w:sz w:val="24"/>
          <w:szCs w:val="24"/>
          <w:highlight w:val="none"/>
        </w:rPr>
        <w:t>有关的全部费用。</w:t>
      </w:r>
    </w:p>
    <w:p>
      <w:pPr>
        <w:pStyle w:val="47"/>
        <w:jc w:val="center"/>
        <w:outlineLvl w:val="1"/>
        <w:rPr>
          <w:rFonts w:hint="eastAsia" w:ascii="宋体" w:hAnsi="宋体" w:eastAsia="宋体" w:cs="宋体"/>
          <w:b/>
          <w:bCs/>
          <w:color w:val="auto"/>
          <w:szCs w:val="22"/>
          <w:highlight w:val="none"/>
        </w:rPr>
      </w:pPr>
      <w:bookmarkStart w:id="21" w:name="_Toc31239"/>
      <w:bookmarkStart w:id="22" w:name="_Toc256000015"/>
      <w:bookmarkStart w:id="23" w:name="_Toc256000006"/>
      <w:bookmarkStart w:id="24" w:name="_Toc20876"/>
      <w:bookmarkStart w:id="25" w:name="_Toc23764"/>
      <w:r>
        <w:rPr>
          <w:rFonts w:hint="eastAsia" w:ascii="宋体" w:hAnsi="宋体" w:eastAsia="宋体" w:cs="宋体"/>
          <w:b/>
          <w:bCs/>
          <w:color w:val="auto"/>
          <w:szCs w:val="22"/>
          <w:highlight w:val="none"/>
        </w:rPr>
        <w:t>二、磋商文件</w:t>
      </w:r>
      <w:bookmarkEnd w:id="21"/>
      <w:bookmarkEnd w:id="22"/>
      <w:bookmarkEnd w:id="23"/>
      <w:bookmarkEnd w:id="24"/>
      <w:bookmarkEnd w:id="2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  磋商文件的组成</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（1）磋商邀请</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（2）磋商须知</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（3）政府采购合同格式</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（4）工程量清单及技术标准</w:t>
      </w:r>
    </w:p>
    <w:p>
      <w:pPr>
        <w:pStyle w:val="52"/>
        <w:adjustRightInd w:val="0"/>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（5）</w:t>
      </w:r>
      <w:r>
        <w:rPr>
          <w:rFonts w:hint="eastAsia" w:hAnsi="宋体" w:cs="宋体"/>
          <w:bCs/>
          <w:color w:val="auto"/>
          <w:sz w:val="24"/>
          <w:szCs w:val="24"/>
          <w:highlight w:val="none"/>
        </w:rPr>
        <w:t>图纸</w:t>
      </w:r>
    </w:p>
    <w:p>
      <w:pPr>
        <w:pStyle w:val="49"/>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（6）响应文件格式</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（7）磋商方发出的所有修改、澄清通知。</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2.2 磋商文件的澄清</w:t>
      </w:r>
      <w:r>
        <w:rPr>
          <w:rFonts w:hint="eastAsia" w:ascii="宋体" w:hAnsi="宋体" w:cs="宋体"/>
          <w:b/>
          <w:color w:val="auto"/>
          <w:kern w:val="0"/>
          <w:sz w:val="24"/>
          <w:highlight w:val="none"/>
          <w:lang w:val="zh-CN"/>
        </w:rPr>
        <w:t>或者</w:t>
      </w:r>
      <w:r>
        <w:rPr>
          <w:rFonts w:hint="eastAsia" w:ascii="宋体" w:hAnsi="宋体" w:cs="宋体"/>
          <w:b/>
          <w:bCs/>
          <w:color w:val="auto"/>
          <w:sz w:val="24"/>
          <w:highlight w:val="none"/>
        </w:rPr>
        <w:t>修改</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lang w:val="zh-CN"/>
        </w:rPr>
        <w:t>供应商在收到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文件后，若有疑问需要澄清，应于收到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highlight w:val="none"/>
        </w:rPr>
        <w:t>磋商采购活动</w:t>
      </w:r>
      <w:r>
        <w:rPr>
          <w:rFonts w:hint="eastAsia" w:ascii="宋体" w:hAnsi="宋体" w:cs="宋体"/>
          <w:color w:val="auto"/>
          <w:sz w:val="24"/>
          <w:highlight w:val="none"/>
          <w:lang w:val="zh-CN"/>
        </w:rPr>
        <w:t>的供应商。</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7"/>
        <w:jc w:val="center"/>
        <w:outlineLvl w:val="1"/>
        <w:rPr>
          <w:rFonts w:hint="eastAsia" w:ascii="宋体" w:hAnsi="宋体" w:eastAsia="宋体" w:cs="宋体"/>
          <w:b/>
          <w:bCs/>
          <w:color w:val="auto"/>
          <w:szCs w:val="22"/>
          <w:highlight w:val="none"/>
        </w:rPr>
      </w:pPr>
      <w:bookmarkStart w:id="26" w:name="_Toc5778"/>
      <w:bookmarkStart w:id="27" w:name="_Toc29250"/>
      <w:bookmarkStart w:id="28" w:name="_Toc256000007"/>
      <w:bookmarkStart w:id="29" w:name="_Toc256000016"/>
      <w:bookmarkStart w:id="30" w:name="_Toc17421"/>
      <w:r>
        <w:rPr>
          <w:rFonts w:hint="eastAsia" w:ascii="宋体" w:hAnsi="宋体" w:eastAsia="宋体" w:cs="宋体"/>
          <w:b/>
          <w:bCs/>
          <w:color w:val="auto"/>
          <w:szCs w:val="22"/>
          <w:highlight w:val="none"/>
        </w:rPr>
        <w:t>三、响应文件</w:t>
      </w:r>
      <w:bookmarkEnd w:id="26"/>
      <w:bookmarkEnd w:id="27"/>
      <w:bookmarkEnd w:id="28"/>
      <w:bookmarkEnd w:id="29"/>
      <w:bookmarkEnd w:id="30"/>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 一般要求</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3.1.1 供应商应按本文件第七章“响应文件格式”的要求编制响应文件。</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3.1.2计量单位应使用我国法定计量单位。</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3.2 </w:t>
      </w:r>
      <w:r>
        <w:rPr>
          <w:rFonts w:hint="eastAsia" w:ascii="宋体" w:hAnsi="宋体" w:cs="宋体"/>
          <w:b/>
          <w:color w:val="auto"/>
          <w:sz w:val="24"/>
          <w:highlight w:val="none"/>
        </w:rPr>
        <w:t>响应文件</w:t>
      </w:r>
      <w:r>
        <w:rPr>
          <w:rFonts w:hint="eastAsia" w:ascii="宋体" w:hAnsi="宋体" w:cs="宋体"/>
          <w:b/>
          <w:bCs/>
          <w:color w:val="auto"/>
          <w:sz w:val="24"/>
          <w:highlight w:val="none"/>
        </w:rPr>
        <w:t>的组成</w:t>
      </w:r>
    </w:p>
    <w:p>
      <w:pPr>
        <w:pStyle w:val="49"/>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（1）磋商申请及附录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（2）已标价的工程量清单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（3）资格证明文件</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w:t>
      </w:r>
      <w:r>
        <w:rPr>
          <w:rFonts w:hint="eastAsia" w:ascii="宋体" w:hAnsi="宋体" w:cs="宋体"/>
          <w:color w:val="auto"/>
          <w:sz w:val="24"/>
          <w:highlight w:val="none"/>
          <w:lang w:val="zh-CN"/>
        </w:rPr>
        <w:t>4）施工组织设计</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（5）</w:t>
      </w:r>
      <w:r>
        <w:rPr>
          <w:rFonts w:hint="eastAsia" w:ascii="宋体" w:hAnsi="宋体" w:cs="宋体"/>
          <w:color w:val="auto"/>
          <w:sz w:val="24"/>
          <w:highlight w:val="none"/>
        </w:rPr>
        <w:t>项目管理机构</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 报价要求</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zh-CN"/>
        </w:rPr>
        <w:t>供应商应根据所提供的工程项目清单的要求编制单价、合价和总价</w:t>
      </w:r>
      <w:r>
        <w:rPr>
          <w:rFonts w:hint="eastAsia" w:ascii="宋体" w:hAnsi="宋体" w:cs="宋体"/>
          <w:color w:val="auto"/>
          <w:sz w:val="24"/>
          <w:highlight w:val="none"/>
        </w:rPr>
        <w:t>，且只允许有一个报价</w:t>
      </w:r>
      <w:r>
        <w:rPr>
          <w:rFonts w:hint="eastAsia" w:ascii="宋体" w:hAnsi="宋体" w:cs="宋体"/>
          <w:color w:val="auto"/>
          <w:sz w:val="24"/>
          <w:highlight w:val="none"/>
          <w:lang w:val="zh-CN"/>
        </w:rPr>
        <w:t>。</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3.3.4采购项目预算</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的报价不得超过</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。否则，按无效报价处理。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 证明供应商资格的文件</w:t>
      </w:r>
    </w:p>
    <w:p>
      <w:pPr>
        <w:pStyle w:val="52"/>
        <w:adjustRightInd w:val="0"/>
        <w:snapToGrid w:val="0"/>
        <w:spacing w:line="360" w:lineRule="auto"/>
        <w:ind w:firstLine="480" w:firstLineChars="200"/>
        <w:rPr>
          <w:rFonts w:hint="eastAsia" w:hAnsi="宋体" w:cs="宋体"/>
          <w:color w:val="auto"/>
          <w:kern w:val="0"/>
          <w:sz w:val="24"/>
          <w:szCs w:val="24"/>
          <w:highlight w:val="none"/>
          <w:lang w:val="zh-CN"/>
        </w:rPr>
      </w:pP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应提交满足本章第1.3</w:t>
      </w:r>
      <w:r>
        <w:rPr>
          <w:rFonts w:hint="eastAsia" w:hAnsi="宋体" w:cs="宋体"/>
          <w:color w:val="auto"/>
          <w:kern w:val="0"/>
          <w:sz w:val="24"/>
          <w:szCs w:val="24"/>
          <w:highlight w:val="none"/>
          <w:lang w:val="zh-CN"/>
        </w:rPr>
        <w:t>款</w:t>
      </w:r>
      <w:r>
        <w:rPr>
          <w:rFonts w:hint="eastAsia" w:hAnsi="宋体" w:cs="宋体"/>
          <w:color w:val="auto"/>
          <w:sz w:val="24"/>
          <w:szCs w:val="24"/>
          <w:highlight w:val="none"/>
        </w:rPr>
        <w:t>规定的资格条件要求的证明文件,该证明文件作为响应文件的一部分。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3.5磋商保证金</w:t>
      </w:r>
    </w:p>
    <w:p>
      <w:pPr>
        <w:pStyle w:val="52"/>
        <w:adjustRightInd w:val="0"/>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3.5.1供应商应按</w:t>
      </w:r>
      <w:r>
        <w:rPr>
          <w:rFonts w:hint="eastAsia" w:hAnsi="宋体" w:cs="宋体"/>
          <w:b/>
          <w:color w:val="auto"/>
          <w:sz w:val="24"/>
          <w:szCs w:val="24"/>
          <w:highlight w:val="none"/>
        </w:rPr>
        <w:t>磋商须知前附表</w:t>
      </w:r>
      <w:r>
        <w:rPr>
          <w:rFonts w:hint="eastAsia" w:hAnsi="宋体" w:cs="宋体"/>
          <w:color w:val="auto"/>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3.5.2 未按磋商文件规定提交磋商保证金的响应文件，将被视为非实质响应而被拒绝。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3.5.3 未成交供应商的磋商保证金在成交通知书发出后五个工作日内退还；成交供应商的磋商保证金在采购合同签定后五个工作日内退还。</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3.5.4发生以下情况磋商保证金将不予退还：</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（一）供应商在提交响应文件截止时间后撤回响应文件的；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（二）供应商在响应文件中提供虚假材料的；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（三）除因不可抗力或磋商文件认可的情形以外，成交供应商不与采购人签订合同的；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（四）供应商与采购人、其他供应商或者采购代理机构恶意串通的；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（五）磋商文件规定的其他情形。</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3.6 </w:t>
      </w:r>
      <w:r>
        <w:rPr>
          <w:rFonts w:hint="eastAsia" w:ascii="宋体" w:hAnsi="宋体" w:cs="宋体"/>
          <w:color w:val="auto"/>
          <w:sz w:val="24"/>
          <w:highlight w:val="none"/>
        </w:rPr>
        <w:t xml:space="preserve"> </w:t>
      </w:r>
      <w:r>
        <w:rPr>
          <w:rFonts w:hint="eastAsia" w:ascii="宋体" w:hAnsi="宋体" w:cs="宋体"/>
          <w:b/>
          <w:color w:val="auto"/>
          <w:sz w:val="24"/>
          <w:highlight w:val="none"/>
        </w:rPr>
        <w:t>响应文件有效期</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3.6.1响应文件有效期见</w:t>
      </w:r>
      <w:r>
        <w:rPr>
          <w:rFonts w:hint="eastAsia" w:ascii="宋体" w:hAnsi="宋体" w:cs="宋体"/>
          <w:b/>
          <w:color w:val="auto"/>
          <w:sz w:val="24"/>
          <w:highlight w:val="none"/>
        </w:rPr>
        <w:t>磋商须知前附表</w:t>
      </w:r>
      <w:r>
        <w:rPr>
          <w:rFonts w:hint="eastAsia" w:ascii="宋体" w:hAnsi="宋体" w:cs="宋体"/>
          <w:color w:val="auto"/>
          <w:sz w:val="24"/>
          <w:highlight w:val="none"/>
        </w:rPr>
        <w:t>，响应文件有效期不足的将被视为无效响应，并予以拒绝。</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3.7 响应文件的签署及规定</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3.7.1供应商应提供响应文件份数见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p>
    <w:p>
      <w:pPr>
        <w:pStyle w:val="49"/>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val="zh-CN"/>
        </w:rPr>
        <w:t xml:space="preserve">3.7.2 </w:t>
      </w:r>
      <w:r>
        <w:rPr>
          <w:rFonts w:hint="eastAsia" w:ascii="宋体" w:hAnsi="宋体" w:cs="宋体"/>
          <w:color w:val="auto"/>
          <w:sz w:val="24"/>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宋体" w:hAnsi="宋体" w:eastAsia="宋体" w:cs="宋体"/>
          <w:b/>
          <w:bCs/>
          <w:color w:val="auto"/>
          <w:szCs w:val="22"/>
          <w:highlight w:val="none"/>
        </w:rPr>
      </w:pPr>
      <w:bookmarkStart w:id="31" w:name="_Toc4490"/>
      <w:bookmarkStart w:id="32" w:name="_Toc256000017"/>
      <w:bookmarkStart w:id="33" w:name="_Toc31717"/>
      <w:bookmarkStart w:id="34" w:name="_Toc256000008"/>
      <w:bookmarkStart w:id="35" w:name="_Toc1343"/>
      <w:r>
        <w:rPr>
          <w:rFonts w:hint="eastAsia" w:ascii="宋体" w:hAnsi="宋体" w:eastAsia="宋体" w:cs="宋体"/>
          <w:b/>
          <w:bCs/>
          <w:color w:val="auto"/>
          <w:szCs w:val="22"/>
          <w:highlight w:val="none"/>
        </w:rPr>
        <w:t>四、响应文件的递交</w:t>
      </w:r>
      <w:bookmarkEnd w:id="31"/>
      <w:bookmarkEnd w:id="32"/>
      <w:bookmarkEnd w:id="33"/>
      <w:bookmarkEnd w:id="34"/>
      <w:bookmarkEnd w:id="35"/>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r>
        <w:rPr>
          <w:rFonts w:hint="eastAsia" w:ascii="宋体" w:hAnsi="宋体" w:eastAsia="宋体" w:cs="宋体"/>
          <w:b/>
          <w:color w:val="auto"/>
          <w:sz w:val="24"/>
          <w:highlight w:val="none"/>
        </w:rPr>
        <w:t>响应文件</w:t>
      </w:r>
      <w:r>
        <w:rPr>
          <w:rFonts w:hint="eastAsia" w:ascii="宋体" w:hAnsi="宋体" w:eastAsia="宋体" w:cs="宋体"/>
          <w:b/>
          <w:bCs/>
          <w:color w:val="auto"/>
          <w:sz w:val="24"/>
          <w:highlight w:val="none"/>
        </w:rPr>
        <w:t>的密封和标记</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4.1.1响应文件的密封：详见供应商须知前附表。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4.1.2由于不可抗拒的原因或无法控制的事件而导致丢失或损坏投标包装体内的响应文件，采购人将不负责任。</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4.1.3如果投标人未按上述要求密封及加写标记，采购代理机构对投标文件的误投和提前启封概不负责。对由此造成提前开封的投标文件，采购代理机构有权予以拒绝，并退回投标人。</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4.2响应文件的递交</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响应文件的递交截止时间为采购文件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4.2.2</w:t>
      </w:r>
      <w:r>
        <w:rPr>
          <w:rFonts w:hint="eastAsia" w:ascii="宋体" w:hAnsi="宋体" w:eastAsia="宋体" w:cs="宋体"/>
          <w:color w:val="auto"/>
          <w:sz w:val="24"/>
          <w:highlight w:val="none"/>
        </w:rPr>
        <w:t>逾期送达或者未按照采购文件要求密封的响应文件，采购人、采购代理机构应当拒收。</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4.3响应文件的</w:t>
      </w:r>
      <w:r>
        <w:rPr>
          <w:rFonts w:hint="eastAsia" w:ascii="宋体" w:hAnsi="宋体" w:eastAsia="宋体" w:cs="宋体"/>
          <w:b/>
          <w:color w:val="auto"/>
          <w:kern w:val="0"/>
          <w:sz w:val="24"/>
          <w:highlight w:val="none"/>
          <w:lang w:val="zh-CN"/>
        </w:rPr>
        <w:t>补充、修改或者撤回</w:t>
      </w:r>
    </w:p>
    <w:p>
      <w:pPr>
        <w:pStyle w:val="52"/>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4.3.2在递交响应文件截止时间后，供应商不得对响应文件</w:t>
      </w:r>
      <w:r>
        <w:rPr>
          <w:rFonts w:hint="eastAsia" w:ascii="宋体" w:hAnsi="宋体" w:eastAsia="宋体" w:cs="宋体"/>
          <w:color w:val="auto"/>
          <w:kern w:val="0"/>
          <w:sz w:val="24"/>
          <w:szCs w:val="24"/>
          <w:highlight w:val="none"/>
          <w:lang w:val="zh-CN"/>
        </w:rPr>
        <w:t>补充、修改或者撤回，但属于本须知5.4.2款规定的情形除外</w:t>
      </w:r>
      <w:r>
        <w:rPr>
          <w:rFonts w:hint="eastAsia" w:ascii="宋体" w:hAnsi="宋体" w:eastAsia="宋体" w:cs="宋体"/>
          <w:color w:val="auto"/>
          <w:sz w:val="24"/>
          <w:szCs w:val="24"/>
          <w:highlight w:val="none"/>
        </w:rPr>
        <w:t>。</w:t>
      </w:r>
    </w:p>
    <w:p>
      <w:pPr>
        <w:pStyle w:val="47"/>
        <w:jc w:val="center"/>
        <w:outlineLvl w:val="1"/>
        <w:rPr>
          <w:rFonts w:hint="eastAsia" w:ascii="宋体" w:hAnsi="宋体" w:eastAsia="宋体" w:cs="宋体"/>
          <w:b/>
          <w:bCs/>
          <w:color w:val="auto"/>
          <w:szCs w:val="22"/>
          <w:highlight w:val="none"/>
        </w:rPr>
      </w:pPr>
      <w:bookmarkStart w:id="36" w:name="_Toc13285"/>
      <w:bookmarkStart w:id="37" w:name="_Toc18508"/>
      <w:bookmarkStart w:id="38" w:name="_Toc256000018"/>
      <w:bookmarkStart w:id="39" w:name="_Toc256000009"/>
      <w:bookmarkStart w:id="40" w:name="_Toc12287"/>
      <w:r>
        <w:rPr>
          <w:rFonts w:hint="eastAsia" w:ascii="宋体" w:hAnsi="宋体" w:eastAsia="宋体" w:cs="宋体"/>
          <w:b/>
          <w:bCs/>
          <w:color w:val="auto"/>
          <w:szCs w:val="22"/>
          <w:highlight w:val="none"/>
        </w:rPr>
        <w:t>五、磋商和评审</w:t>
      </w:r>
      <w:bookmarkEnd w:id="36"/>
      <w:bookmarkEnd w:id="37"/>
      <w:bookmarkEnd w:id="38"/>
      <w:bookmarkEnd w:id="39"/>
      <w:bookmarkEnd w:id="40"/>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5.1 磋商仪式</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5.1.1采购机构在</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规定的日期、时间和地点组织磋商仪式。供应商应派代表参加，并按要求签名报到以证明其出席。</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5.1.2磋商开始时，</w:t>
      </w:r>
      <w:r>
        <w:rPr>
          <w:rFonts w:hint="eastAsia" w:ascii="宋体" w:hAnsi="宋体" w:eastAsia="宋体" w:cs="宋体"/>
          <w:color w:val="auto"/>
          <w:sz w:val="24"/>
          <w:szCs w:val="24"/>
          <w:highlight w:val="none"/>
        </w:rPr>
        <w:t>由</w:t>
      </w:r>
      <w:r>
        <w:rPr>
          <w:rFonts w:hint="eastAsia" w:ascii="宋体" w:hAnsi="宋体" w:eastAsia="宋体" w:cs="宋体"/>
          <w:bCs/>
          <w:color w:val="auto"/>
          <w:sz w:val="24"/>
          <w:szCs w:val="24"/>
          <w:highlight w:val="none"/>
        </w:rPr>
        <w:t>供应商或供应商代表</w:t>
      </w:r>
      <w:r>
        <w:rPr>
          <w:rFonts w:hint="eastAsia" w:ascii="宋体" w:hAnsi="宋体" w:eastAsia="宋体" w:cs="宋体"/>
          <w:color w:val="auto"/>
          <w:sz w:val="24"/>
          <w:szCs w:val="24"/>
          <w:highlight w:val="none"/>
        </w:rPr>
        <w:t>当场查验响应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的密封状况，</w:t>
      </w:r>
      <w:r>
        <w:rPr>
          <w:rFonts w:hint="eastAsia" w:ascii="宋体" w:hAnsi="宋体" w:eastAsia="宋体" w:cs="宋体"/>
          <w:bCs/>
          <w:color w:val="auto"/>
          <w:sz w:val="24"/>
          <w:szCs w:val="24"/>
          <w:highlight w:val="none"/>
        </w:rPr>
        <w:t>采购代理机构</w:t>
      </w:r>
      <w:r>
        <w:rPr>
          <w:rFonts w:hint="eastAsia" w:ascii="宋体" w:hAnsi="宋体" w:eastAsia="宋体" w:cs="宋体"/>
          <w:color w:val="auto"/>
          <w:sz w:val="24"/>
          <w:szCs w:val="24"/>
          <w:highlight w:val="none"/>
        </w:rPr>
        <w:t>拆封</w:t>
      </w:r>
      <w:r>
        <w:rPr>
          <w:rFonts w:hint="eastAsia" w:ascii="宋体" w:hAnsi="宋体" w:eastAsia="宋体" w:cs="宋体"/>
          <w:bCs/>
          <w:color w:val="auto"/>
          <w:sz w:val="24"/>
          <w:szCs w:val="24"/>
          <w:highlight w:val="none"/>
        </w:rPr>
        <w:t>响应文件，公布供应商名称、报价等相关信息</w:t>
      </w:r>
      <w:r>
        <w:rPr>
          <w:rFonts w:hint="eastAsia" w:ascii="宋体" w:hAnsi="宋体" w:eastAsia="宋体" w:cs="宋体"/>
          <w:color w:val="auto"/>
          <w:sz w:val="24"/>
          <w:szCs w:val="24"/>
          <w:highlight w:val="none"/>
        </w:rPr>
        <w:t>。</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5.1.3除了存在以下情形的响应文件之外，磋商开始时将不得拒绝任何报价。</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(1)未按磋商邀请要求报名和获取磋商文件，并提交相关资料的；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(2)未按磋商须知第5.1.1项规定提交响应文件，并出席磋商仪式的；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(3)未按磋商须知第4.1项要求对响应文件进行密封和加写标记的；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(4)响应文件的递交、修改或撤回不符合磋商须知第4.2、4.3项规定的。</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5.2磋商小组</w:t>
      </w:r>
    </w:p>
    <w:p>
      <w:pPr>
        <w:pStyle w:val="49"/>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磋商小组将根据采购项目的特点依法组建，磋商小组的组成见</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w:t>
      </w:r>
    </w:p>
    <w:p>
      <w:pPr>
        <w:pStyle w:val="49"/>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w:t>
      </w:r>
      <w:r>
        <w:rPr>
          <w:rFonts w:hint="eastAsia" w:ascii="宋体" w:hAnsi="宋体" w:eastAsia="宋体" w:cs="宋体"/>
          <w:b/>
          <w:color w:val="auto"/>
          <w:sz w:val="24"/>
          <w:highlight w:val="none"/>
        </w:rPr>
        <w:t>响应文件的初步评审与澄清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5.3.1响应文件的初步评审分为资格性检查、符合性检查。</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eastAsia="宋体" w:cs="宋体"/>
          <w:b/>
          <w:bCs/>
          <w:color w:val="auto"/>
          <w:spacing w:val="-2"/>
          <w:sz w:val="24"/>
          <w:highlight w:val="none"/>
        </w:rPr>
        <w:t>资格审查表</w:t>
      </w:r>
      <w:r>
        <w:rPr>
          <w:rFonts w:hint="eastAsia" w:ascii="宋体" w:hAnsi="宋体" w:eastAsia="宋体" w:cs="宋体"/>
          <w:color w:val="auto"/>
          <w:spacing w:val="-2"/>
          <w:sz w:val="24"/>
          <w:highlight w:val="none"/>
        </w:rPr>
        <w:t>。</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b/>
          <w:bCs/>
          <w:color w:val="auto"/>
          <w:spacing w:val="-2"/>
          <w:sz w:val="24"/>
          <w:highlight w:val="none"/>
          <w:lang w:val="en-US" w:eastAsia="zh-CN"/>
        </w:rPr>
        <w:t>符合性</w:t>
      </w:r>
      <w:r>
        <w:rPr>
          <w:rFonts w:hint="eastAsia" w:ascii="宋体" w:hAnsi="宋体" w:eastAsia="宋体" w:cs="宋体"/>
          <w:b/>
          <w:bCs/>
          <w:color w:val="auto"/>
          <w:spacing w:val="-2"/>
          <w:sz w:val="24"/>
          <w:highlight w:val="none"/>
        </w:rPr>
        <w:t>审查表。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5.3.1.1资格性检查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（1）磋商小组根据评审办法前附表规定的评审因素和评审标准，对供应商的响应文件进行资格评审。资格性检查不合格的供应商的响应文件作无效文件处理。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（2）磋商小组在进行资格检查时，不得改变磋商文件中已载明的资格条件、标准和办法。资格性检查不合格的供应商的响应文件作无效文件处理。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（3）供应商在递交响应文件的同时，应逐项对照上述资格性检查要求提交相应的原件和资格证明文件供磋商小组核查，否则评委将不予采信。</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（4）磋商小组在评审中必要时可按供应商提供的联系方式就有关问题进行查询核实，或要求供应商做出书面澄清，查询及澄清结果将作为审查的依据。</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（5）通过全部资格性检查条件合格的供应商才能通过资格检查，其响应文件方可进入下一个检查阶段。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5.3.1.2符合性检查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磋商小组根据评审办法前附表规定的评审因素和评审标准，对供应商的响应文件进行符合性检查。符合性检查不合格的供应商的响应文件作无效文件处理。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5.3.1.3在评审过程中，磋商小组发现供应商有下列情形之一的，作无效文件处理：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（1）属于同一集团、协会、商会等组织成员的供应商按照该组织要求协同投标；</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（2）不同供应商的响应文件由同一单位或者个人编制；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（3）不同供应商委托同一单位或者个人办理投标事宜；</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（4）不同供应商的响应文件载明的项目管理成员为同一人；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（5）不同供应商的响应文件异常一致或者投标报价呈规律性差异；</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（6）不同供应商的响应文件相互混装；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（7）使用伪造、变造的行政许可证件；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（8）提供虚假的财务状况或者业绩；</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（9）提供虚假的项目负责人或者主要技术人员简历、劳动关系证明；</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（10）提供虚假的信用状况；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（11）其他弄虚作假的行为。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5.3.2响应文件的澄清</w:t>
      </w:r>
    </w:p>
    <w:p>
      <w:pPr>
        <w:pStyle w:val="49"/>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磋商小组在对响应文件的有效性、完整性和对磋商文件的响应程度进行审查时，可以要求供应商对响应文件中含义不明</w:t>
      </w:r>
      <w:r>
        <w:rPr>
          <w:rFonts w:hint="eastAsia" w:ascii="宋体" w:hAnsi="宋体" w:eastAsia="宋体" w:cs="宋体"/>
          <w:color w:val="auto"/>
          <w:sz w:val="24"/>
          <w:highlight w:val="none"/>
        </w:rPr>
        <w:t>确</w:t>
      </w:r>
      <w:r>
        <w:rPr>
          <w:rFonts w:hint="eastAsia" w:ascii="宋体" w:hAnsi="宋体" w:eastAsia="宋体" w:cs="宋体"/>
          <w:color w:val="auto"/>
          <w:sz w:val="24"/>
          <w:highlight w:val="none"/>
          <w:lang w:val="zh-CN"/>
        </w:rPr>
        <w:t>、同类问题表述不一致或者有明显文字和计算错误的内容等作出必要的澄清、说明或者纠正。该要求</w:t>
      </w:r>
      <w:r>
        <w:rPr>
          <w:rFonts w:hint="eastAsia" w:ascii="宋体" w:hAnsi="宋体" w:eastAsia="宋体" w:cs="宋体"/>
          <w:color w:val="auto"/>
          <w:sz w:val="24"/>
          <w:highlight w:val="none"/>
        </w:rPr>
        <w:t>应当以</w:t>
      </w:r>
      <w:r>
        <w:rPr>
          <w:rFonts w:hint="eastAsia" w:ascii="宋体" w:hAnsi="宋体" w:eastAsia="宋体" w:cs="宋体"/>
          <w:color w:val="auto"/>
          <w:sz w:val="24"/>
          <w:highlight w:val="none"/>
          <w:lang w:val="zh-CN"/>
        </w:rPr>
        <w:t>书面形式作出。供应商的澄清、说明或者补正应当采用书面形式，由其</w:t>
      </w:r>
      <w:r>
        <w:rPr>
          <w:rFonts w:hint="eastAsia" w:ascii="宋体" w:hAnsi="宋体" w:eastAsia="宋体" w:cs="宋体"/>
          <w:color w:val="auto"/>
          <w:sz w:val="24"/>
          <w:highlight w:val="none"/>
        </w:rPr>
        <w:t>法定代表人或其授权代表签字</w:t>
      </w:r>
      <w:r>
        <w:rPr>
          <w:rFonts w:hint="eastAsia" w:ascii="宋体" w:hAnsi="宋体" w:eastAsia="宋体" w:cs="宋体"/>
          <w:color w:val="auto"/>
          <w:sz w:val="24"/>
          <w:highlight w:val="none"/>
          <w:lang w:val="zh-CN"/>
        </w:rPr>
        <w:t>。供应商的澄清、说明或者更正不得超出磋商文件的范围或</w:t>
      </w:r>
      <w:r>
        <w:rPr>
          <w:rFonts w:hint="eastAsia" w:ascii="宋体" w:hAnsi="宋体" w:eastAsia="宋体" w:cs="宋体"/>
          <w:color w:val="auto"/>
          <w:kern w:val="0"/>
          <w:sz w:val="24"/>
          <w:highlight w:val="none"/>
          <w:lang w:val="zh-CN"/>
        </w:rPr>
        <w:t>者改变响应文件的实质性内容。</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kern w:val="0"/>
          <w:sz w:val="24"/>
          <w:highlight w:val="none"/>
          <w:lang w:val="zh-CN"/>
        </w:rPr>
        <w:t>计算</w:t>
      </w:r>
      <w:r>
        <w:rPr>
          <w:rFonts w:hint="eastAsia" w:ascii="宋体" w:hAnsi="宋体" w:eastAsia="宋体" w:cs="宋体"/>
          <w:color w:val="auto"/>
          <w:sz w:val="24"/>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49"/>
        <w:tabs>
          <w:tab w:val="left" w:pos="0"/>
        </w:tabs>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5.4 磋商、最后报价</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5.4.1</w:t>
      </w:r>
      <w:r>
        <w:rPr>
          <w:rFonts w:hint="eastAsia" w:ascii="宋体" w:hAnsi="宋体" w:eastAsia="宋体" w:cs="宋体"/>
          <w:color w:val="auto"/>
          <w:kern w:val="0"/>
          <w:sz w:val="24"/>
          <w:highlight w:val="none"/>
          <w:lang w:val="zh-CN"/>
        </w:rPr>
        <w:t>磋商小组所有成员按以下两种情况和程序集中与单一供应商分别进行磋商。并给予所有参加</w:t>
      </w:r>
      <w:r>
        <w:rPr>
          <w:rFonts w:hint="eastAsia" w:ascii="宋体" w:hAnsi="宋体" w:eastAsia="宋体" w:cs="宋体"/>
          <w:bCs/>
          <w:color w:val="auto"/>
          <w:sz w:val="24"/>
          <w:highlight w:val="none"/>
        </w:rPr>
        <w:t>磋商</w:t>
      </w:r>
      <w:r>
        <w:rPr>
          <w:rFonts w:hint="eastAsia" w:ascii="宋体" w:hAnsi="宋体" w:eastAsia="宋体" w:cs="宋体"/>
          <w:color w:val="auto"/>
          <w:kern w:val="0"/>
          <w:sz w:val="24"/>
          <w:highlight w:val="none"/>
          <w:lang w:val="zh-CN"/>
        </w:rPr>
        <w:t>的供应商相同的磋商机会。</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（1）第一种情况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color w:val="auto"/>
          <w:kern w:val="0"/>
          <w:sz w:val="24"/>
          <w:highlight w:val="none"/>
        </w:rPr>
        <w:t>提交最后报价的供应商不得少于3家。</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（2）第二种情况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snapToGrid w:val="0"/>
          <w:color w:val="auto"/>
          <w:kern w:val="0"/>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最后报价是供应商响应文件的有效组成部分。</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5.4.2</w:t>
      </w: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5.4.3已提交响应文件的供应商，在提交最后报价之前，可以根据磋商情况退出磋商。采购机构将退还退出磋商的供应商的磋商保证金。</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5.4.4磋商轮数和最后</w:t>
      </w:r>
      <w:r>
        <w:rPr>
          <w:rFonts w:hint="eastAsia" w:ascii="宋体" w:hAnsi="宋体" w:eastAsia="宋体" w:cs="宋体"/>
          <w:color w:val="auto"/>
          <w:sz w:val="24"/>
          <w:highlight w:val="none"/>
        </w:rPr>
        <w:t>报价的要求</w:t>
      </w:r>
      <w:r>
        <w:rPr>
          <w:rFonts w:hint="eastAsia" w:ascii="宋体" w:hAnsi="宋体" w:eastAsia="宋体" w:cs="宋体"/>
          <w:color w:val="auto"/>
          <w:sz w:val="24"/>
          <w:highlight w:val="none"/>
          <w:lang w:val="zh-CN"/>
        </w:rPr>
        <w:t>见</w:t>
      </w:r>
      <w:r>
        <w:rPr>
          <w:rFonts w:hint="eastAsia" w:ascii="宋体" w:hAnsi="宋体" w:eastAsia="宋体" w:cs="宋体"/>
          <w:b/>
          <w:color w:val="auto"/>
          <w:sz w:val="24"/>
          <w:highlight w:val="none"/>
          <w:lang w:val="zh-CN"/>
        </w:rPr>
        <w:t>磋商须知前附表。</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5.5综合评审</w:t>
      </w:r>
    </w:p>
    <w:p>
      <w:pPr>
        <w:pStyle w:val="49"/>
        <w:tabs>
          <w:tab w:val="left" w:pos="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5.5.1</w:t>
      </w:r>
      <w:r>
        <w:rPr>
          <w:rFonts w:hint="eastAsia" w:ascii="宋体" w:hAnsi="宋体" w:eastAsia="宋体" w:cs="宋体"/>
          <w:bCs/>
          <w:color w:val="auto"/>
          <w:sz w:val="24"/>
          <w:highlight w:val="none"/>
        </w:rPr>
        <w:t>评审方法</w:t>
      </w: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5.5.2磋商小组依据磋商文件及供应商的响应文件</w:t>
      </w:r>
      <w:r>
        <w:rPr>
          <w:rFonts w:hint="eastAsia" w:ascii="宋体" w:hAnsi="宋体" w:eastAsia="宋体" w:cs="宋体"/>
          <w:color w:val="auto"/>
          <w:sz w:val="24"/>
          <w:highlight w:val="none"/>
        </w:rPr>
        <w:t>和</w:t>
      </w:r>
      <w:r>
        <w:rPr>
          <w:rFonts w:hint="eastAsia" w:ascii="宋体" w:hAnsi="宋体" w:eastAsia="宋体" w:cs="宋体"/>
          <w:color w:val="auto"/>
          <w:kern w:val="0"/>
          <w:sz w:val="24"/>
          <w:highlight w:val="none"/>
          <w:lang w:val="zh-CN"/>
        </w:rPr>
        <w:t>最后报价</w:t>
      </w:r>
      <w:r>
        <w:rPr>
          <w:rFonts w:hint="eastAsia" w:ascii="宋体" w:hAnsi="宋体" w:eastAsia="宋体" w:cs="宋体"/>
          <w:bCs/>
          <w:color w:val="auto"/>
          <w:sz w:val="24"/>
          <w:highlight w:val="none"/>
        </w:rPr>
        <w:t>，对响应文件的商务和技术部分进行进一步的比较和评价，详细</w:t>
      </w:r>
      <w:r>
        <w:rPr>
          <w:rFonts w:hint="eastAsia" w:ascii="宋体" w:hAnsi="宋体" w:eastAsia="宋体" w:cs="宋体"/>
          <w:color w:val="auto"/>
          <w:sz w:val="24"/>
          <w:highlight w:val="none"/>
        </w:rPr>
        <w:t>评审标准见</w:t>
      </w:r>
      <w:r>
        <w:rPr>
          <w:rFonts w:hint="eastAsia" w:ascii="宋体" w:hAnsi="宋体" w:eastAsia="宋体" w:cs="宋体"/>
          <w:b/>
          <w:bCs/>
          <w:color w:val="auto"/>
          <w:sz w:val="24"/>
          <w:highlight w:val="none"/>
        </w:rPr>
        <w:t>第三章 评审方法</w:t>
      </w:r>
      <w:r>
        <w:rPr>
          <w:rFonts w:hint="eastAsia" w:ascii="宋体" w:hAnsi="宋体" w:eastAsia="宋体" w:cs="宋体"/>
          <w:bCs/>
          <w:color w:val="auto"/>
          <w:sz w:val="24"/>
          <w:highlight w:val="none"/>
        </w:rPr>
        <w:t>。</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5.6成交原则</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对经比较和评价符合磋商文件要求的供应商，按照综合评审得分由高到低顺序推荐</w:t>
      </w:r>
      <w:r>
        <w:rPr>
          <w:rFonts w:hint="eastAsia" w:ascii="宋体" w:hAnsi="宋体" w:eastAsia="宋体" w:cs="宋体"/>
          <w:b/>
          <w:bCs/>
          <w:color w:val="auto"/>
          <w:sz w:val="24"/>
          <w:highlight w:val="none"/>
        </w:rPr>
        <w:t>磋商须知前附表</w:t>
      </w:r>
      <w:r>
        <w:rPr>
          <w:rFonts w:hint="eastAsia" w:ascii="宋体" w:hAnsi="宋体" w:eastAsia="宋体" w:cs="宋体"/>
          <w:bCs/>
          <w:color w:val="auto"/>
          <w:sz w:val="24"/>
          <w:highlight w:val="none"/>
        </w:rPr>
        <w:t>规定数量的成交候选</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并确定排名第一的</w:t>
      </w:r>
      <w:r>
        <w:rPr>
          <w:rFonts w:hint="eastAsia" w:ascii="宋体" w:hAnsi="宋体" w:eastAsia="宋体" w:cs="宋体"/>
          <w:color w:val="auto"/>
          <w:kern w:val="0"/>
          <w:sz w:val="24"/>
          <w:highlight w:val="none"/>
          <w:lang w:val="zh-CN"/>
        </w:rPr>
        <w:t>成交候选</w:t>
      </w:r>
      <w:r>
        <w:rPr>
          <w:rFonts w:hint="eastAsia" w:ascii="宋体" w:hAnsi="宋体" w:eastAsia="宋体" w:cs="宋体"/>
          <w:bCs/>
          <w:color w:val="auto"/>
          <w:sz w:val="24"/>
          <w:highlight w:val="none"/>
        </w:rPr>
        <w:t>供应商为成交供应商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lang w:val="zh-CN"/>
        </w:rPr>
        <w:t>如报价</w:t>
      </w:r>
      <w:r>
        <w:rPr>
          <w:rFonts w:hint="eastAsia" w:ascii="宋体" w:hAnsi="宋体" w:eastAsia="宋体" w:cs="宋体"/>
          <w:color w:val="auto"/>
          <w:sz w:val="24"/>
          <w:highlight w:val="none"/>
        </w:rPr>
        <w:t>相同，由磋商小组按技术指标、实力等综合因素优劣排列。</w:t>
      </w:r>
    </w:p>
    <w:p>
      <w:pPr>
        <w:pStyle w:val="52"/>
        <w:adjustRightInd w:val="0"/>
        <w:snapToGrid w:val="0"/>
        <w:spacing w:line="360" w:lineRule="auto"/>
        <w:ind w:left="723"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5.7 磋商的特殊情形</w:t>
      </w:r>
    </w:p>
    <w:p>
      <w:pPr>
        <w:pStyle w:val="52"/>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5.7.1递交响应文件的供应商不足三家的，不开标唱标，除采购任务取消外，如磋商文件没有不合理条款，发布项目延期公告，延长三个工作日，延长期满后，仍不足三家的，继续进入磋商程序。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5.7.2对磋商文件</w:t>
      </w:r>
      <w:r>
        <w:rPr>
          <w:rFonts w:hint="eastAsia" w:ascii="宋体" w:hAnsi="宋体" w:eastAsia="宋体" w:cs="宋体"/>
          <w:color w:val="auto"/>
          <w:sz w:val="24"/>
          <w:highlight w:val="none"/>
        </w:rPr>
        <w:t>作出实质性响应的供应商不足三家，但</w:t>
      </w:r>
      <w:r>
        <w:rPr>
          <w:rFonts w:hint="eastAsia" w:ascii="宋体" w:hAnsi="宋体" w:eastAsia="宋体" w:cs="宋体"/>
          <w:snapToGrid w:val="0"/>
          <w:color w:val="auto"/>
          <w:kern w:val="0"/>
          <w:sz w:val="24"/>
          <w:highlight w:val="none"/>
        </w:rPr>
        <w:t>符合《</w:t>
      </w:r>
      <w:r>
        <w:rPr>
          <w:rFonts w:hint="eastAsia" w:ascii="宋体" w:hAnsi="宋体" w:eastAsia="宋体" w:cs="宋体"/>
          <w:color w:val="auto"/>
          <w:sz w:val="24"/>
          <w:highlight w:val="none"/>
        </w:rPr>
        <w:t>政府采购竞争性磋商采购方式管理暂行办法</w:t>
      </w:r>
      <w:r>
        <w:rPr>
          <w:rFonts w:hint="eastAsia" w:ascii="宋体" w:hAnsi="宋体" w:eastAsia="宋体" w:cs="宋体"/>
          <w:snapToGrid w:val="0"/>
          <w:color w:val="auto"/>
          <w:kern w:val="0"/>
          <w:sz w:val="24"/>
          <w:highlight w:val="none"/>
        </w:rPr>
        <w:t>》第二十一条规定的属于本办法第三条第四项“市场竞争不充分的科研项目，以及需要扶持的科技成果转化项目”情形的，提交最后报价的供应商可以为2家。</w:t>
      </w:r>
    </w:p>
    <w:p>
      <w:pPr>
        <w:pStyle w:val="47"/>
        <w:jc w:val="center"/>
        <w:outlineLvl w:val="1"/>
        <w:rPr>
          <w:rFonts w:hint="eastAsia" w:ascii="宋体" w:hAnsi="宋体" w:eastAsia="宋体" w:cs="宋体"/>
          <w:b/>
          <w:bCs/>
          <w:color w:val="auto"/>
          <w:szCs w:val="22"/>
          <w:highlight w:val="none"/>
        </w:rPr>
      </w:pPr>
      <w:bookmarkStart w:id="41" w:name="_Toc13595"/>
      <w:bookmarkStart w:id="42" w:name="_Toc31596"/>
      <w:bookmarkStart w:id="43" w:name="_Toc256000010"/>
      <w:bookmarkStart w:id="44" w:name="_Toc8378"/>
      <w:bookmarkStart w:id="45" w:name="_Toc256000019"/>
      <w:r>
        <w:rPr>
          <w:rFonts w:hint="eastAsia" w:ascii="宋体" w:hAnsi="宋体" w:eastAsia="宋体" w:cs="宋体"/>
          <w:b/>
          <w:bCs/>
          <w:color w:val="auto"/>
          <w:szCs w:val="22"/>
          <w:highlight w:val="none"/>
        </w:rPr>
        <w:t>六、成交结果及合同授予</w:t>
      </w:r>
      <w:bookmarkEnd w:id="41"/>
      <w:bookmarkEnd w:id="42"/>
      <w:bookmarkEnd w:id="43"/>
      <w:bookmarkEnd w:id="44"/>
      <w:bookmarkEnd w:id="4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6.1成交结果</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磋商结束后，成交结果信息将在</w:t>
      </w:r>
      <w:r>
        <w:rPr>
          <w:rFonts w:hint="eastAsia" w:hAnsi="宋体" w:cs="宋体"/>
          <w:b/>
          <w:color w:val="auto"/>
          <w:sz w:val="24"/>
          <w:szCs w:val="24"/>
          <w:highlight w:val="none"/>
        </w:rPr>
        <w:t>磋商须知前附表</w:t>
      </w:r>
      <w:r>
        <w:rPr>
          <w:rFonts w:hint="eastAsia" w:hAnsi="宋体" w:cs="宋体"/>
          <w:color w:val="auto"/>
          <w:sz w:val="24"/>
          <w:szCs w:val="24"/>
          <w:highlight w:val="none"/>
        </w:rPr>
        <w:t>规定的媒体上公布。</w:t>
      </w:r>
      <w:r>
        <w:rPr>
          <w:rFonts w:hint="eastAsia" w:hAnsi="宋体" w:cs="宋体"/>
          <w:color w:val="auto"/>
          <w:sz w:val="24"/>
          <w:szCs w:val="24"/>
          <w:highlight w:val="none"/>
          <w:lang w:val="zh-CN"/>
        </w:rPr>
        <w:t>同时向成交供应商发出成交通知书，该通知书将是合同的组成部分。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6.2签订合同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6.2.1 成交供应商应按成交通知书规定的时间、地点与采购人签订书面合同。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6.2.2 </w:t>
      </w:r>
      <w:r>
        <w:rPr>
          <w:rFonts w:hint="eastAsia" w:ascii="宋体" w:hAnsi="宋体" w:cs="宋体"/>
          <w:color w:val="auto"/>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49"/>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47"/>
        <w:jc w:val="center"/>
        <w:outlineLvl w:val="1"/>
        <w:rPr>
          <w:rFonts w:hint="eastAsia" w:ascii="宋体" w:hAnsi="宋体" w:eastAsia="宋体" w:cs="宋体"/>
          <w:b/>
          <w:bCs/>
          <w:color w:val="auto"/>
          <w:szCs w:val="22"/>
          <w:highlight w:val="none"/>
        </w:rPr>
      </w:pPr>
      <w:bookmarkStart w:id="46" w:name="_Toc12809"/>
      <w:bookmarkStart w:id="47" w:name="_Toc32267"/>
      <w:bookmarkStart w:id="48" w:name="_Toc1603"/>
      <w:bookmarkStart w:id="49" w:name="_Toc256000011"/>
      <w:bookmarkStart w:id="50" w:name="_Toc256000020"/>
      <w:r>
        <w:rPr>
          <w:rFonts w:hint="eastAsia" w:ascii="宋体" w:hAnsi="宋体" w:eastAsia="宋体" w:cs="宋体"/>
          <w:b/>
          <w:bCs/>
          <w:color w:val="auto"/>
          <w:szCs w:val="22"/>
          <w:highlight w:val="none"/>
        </w:rPr>
        <w:t>七、质疑与投诉</w:t>
      </w:r>
      <w:bookmarkEnd w:id="46"/>
      <w:bookmarkEnd w:id="47"/>
      <w:bookmarkEnd w:id="48"/>
      <w:bookmarkEnd w:id="49"/>
      <w:bookmarkEnd w:id="50"/>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7.2供应商若认为磋商文件、磋商过程和成交结果使自己的权益受到损害，应在以下规定时间内以书面形式向采购机构提出：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（2）对磋商过程提出质疑的，应当在各磋商程序环节结束之日起七个工作日内；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（3）对成交结果提出质疑的，应当在成交结果公告期限届满之日起七个工作日内提出；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（4）磋商文件或法律法规规定的其他时间内。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供应商提出质疑的，应当有明确的请求和必要的证明材料，并提供质疑书原件。招标采购单位向质疑供应商签收回执。</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 质疑书应当由质疑供应商法定代表人或授权代表人签字并加盖公章，质疑书由授权代表人签字的应附法定代表人授权书。</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 采购机构将在签收回执之日起七个工作日内作出书面答复，并以书面形式通知与质疑处理结果有关的供应商。</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宋体" w:hAnsi="宋体" w:eastAsia="宋体" w:cs="宋体"/>
          <w:b/>
          <w:bCs/>
          <w:color w:val="auto"/>
          <w:szCs w:val="22"/>
          <w:highlight w:val="none"/>
        </w:rPr>
      </w:pPr>
      <w:bookmarkStart w:id="51" w:name="_Toc6750"/>
      <w:bookmarkStart w:id="52" w:name="_Toc256000012"/>
      <w:bookmarkStart w:id="53" w:name="_Toc9458"/>
      <w:bookmarkStart w:id="54" w:name="_Toc256000021"/>
      <w:bookmarkStart w:id="55" w:name="_Toc4019"/>
      <w:r>
        <w:rPr>
          <w:rFonts w:hint="eastAsia" w:ascii="宋体" w:hAnsi="宋体" w:eastAsia="宋体" w:cs="宋体"/>
          <w:b/>
          <w:bCs/>
          <w:color w:val="auto"/>
          <w:szCs w:val="22"/>
          <w:highlight w:val="none"/>
        </w:rPr>
        <w:t>八、其他规定</w:t>
      </w:r>
      <w:bookmarkEnd w:id="51"/>
      <w:bookmarkEnd w:id="52"/>
      <w:bookmarkEnd w:id="53"/>
      <w:bookmarkEnd w:id="54"/>
      <w:bookmarkEnd w:id="55"/>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磋商文件的其他规定见磋商须知前附</w:t>
      </w:r>
      <w:bookmarkStart w:id="56" w:name="_Toc7041"/>
      <w:bookmarkStart w:id="57" w:name="_Toc23825"/>
      <w:bookmarkStart w:id="58" w:name="_Toc256000022"/>
      <w:bookmarkStart w:id="59" w:name="_Toc529952598"/>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spacing w:line="360" w:lineRule="auto"/>
        <w:jc w:val="center"/>
        <w:outlineLvl w:val="0"/>
        <w:rPr>
          <w:rFonts w:hint="eastAsia" w:ascii="宋体" w:hAnsi="宋体" w:eastAsia="宋体" w:cs="宋体"/>
          <w:b/>
          <w:color w:val="auto"/>
          <w:sz w:val="32"/>
          <w:szCs w:val="32"/>
          <w:highlight w:val="none"/>
        </w:rPr>
      </w:pPr>
      <w:bookmarkStart w:id="60" w:name="_Toc6876"/>
      <w:bookmarkStart w:id="61" w:name="_Toc7252"/>
      <w:bookmarkStart w:id="62" w:name="_Toc19877"/>
      <w:r>
        <w:rPr>
          <w:rFonts w:hint="eastAsia" w:ascii="宋体" w:hAnsi="宋体" w:eastAsia="宋体" w:cs="宋体"/>
          <w:b/>
          <w:color w:val="auto"/>
          <w:sz w:val="32"/>
          <w:szCs w:val="32"/>
          <w:highlight w:val="none"/>
          <w:lang w:val="en-US" w:eastAsia="zh-CN"/>
        </w:rPr>
        <w:t>第三章 评审方法（综合评分法）</w:t>
      </w:r>
      <w:bookmarkEnd w:id="56"/>
      <w:bookmarkEnd w:id="57"/>
      <w:bookmarkEnd w:id="58"/>
      <w:bookmarkEnd w:id="59"/>
      <w:bookmarkEnd w:id="60"/>
      <w:bookmarkEnd w:id="61"/>
      <w:bookmarkEnd w:id="62"/>
    </w:p>
    <w:p>
      <w:pPr>
        <w:tabs>
          <w:tab w:val="left" w:pos="420"/>
          <w:tab w:val="left" w:pos="7560"/>
          <w:tab w:val="left" w:pos="7740"/>
          <w:tab w:val="left" w:pos="7920"/>
        </w:tabs>
        <w:adjustRightInd w:val="0"/>
        <w:snapToGrid w:val="0"/>
        <w:spacing w:line="360" w:lineRule="auto"/>
        <w:outlineLvl w:val="1"/>
        <w:rPr>
          <w:rFonts w:hint="eastAsia" w:ascii="宋体" w:hAnsi="宋体" w:cs="宋体"/>
          <w:b/>
          <w:color w:val="auto"/>
          <w:sz w:val="24"/>
          <w:szCs w:val="24"/>
          <w:highlight w:val="none"/>
        </w:rPr>
      </w:pPr>
      <w:bookmarkStart w:id="63" w:name="_Toc30287"/>
      <w:bookmarkStart w:id="64" w:name="_Toc15535"/>
      <w:r>
        <w:rPr>
          <w:rFonts w:hint="eastAsia" w:ascii="宋体" w:hAnsi="宋体" w:cs="宋体"/>
          <w:b/>
          <w:color w:val="auto"/>
          <w:sz w:val="24"/>
          <w:szCs w:val="24"/>
          <w:highlight w:val="none"/>
        </w:rPr>
        <w:t>一、综合评分</w:t>
      </w:r>
      <w:bookmarkEnd w:id="63"/>
      <w:bookmarkEnd w:id="64"/>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2.评审时，磋商小组各成员应当独立对每个有效响应的文件进行评价、打分，然后汇总每个供应商每项评分因素的得分。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bookmarkStart w:id="65" w:name="_Toc14524"/>
      <w:bookmarkStart w:id="66" w:name="_Toc11231"/>
      <w:r>
        <w:rPr>
          <w:rFonts w:hint="eastAsia" w:ascii="宋体" w:hAnsi="宋体" w:eastAsia="宋体" w:cs="宋体"/>
          <w:b/>
          <w:color w:val="auto"/>
          <w:sz w:val="24"/>
          <w:szCs w:val="24"/>
          <w:highlight w:val="none"/>
        </w:rPr>
        <w:t>二.综合评分细则表</w:t>
      </w:r>
      <w:bookmarkEnd w:id="65"/>
      <w:bookmarkEnd w:id="66"/>
      <w:bookmarkStart w:id="67" w:name="EB2b9517aba70e41b6b8039ac384a1ee3b"/>
      <w:bookmarkStart w:id="68" w:name="EBa7c662697928483c8bec43b86b5b112f"/>
    </w:p>
    <w:tbl>
      <w:tblPr>
        <w:tblStyle w:val="28"/>
        <w:tblpPr w:leftFromText="180" w:rightFromText="180" w:vertAnchor="text" w:horzAnchor="page" w:tblpXSpec="center" w:tblpY="286"/>
        <w:tblOverlap w:val="never"/>
        <w:tblW w:w="5654"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34"/>
        <w:gridCol w:w="809"/>
        <w:gridCol w:w="1973"/>
        <w:gridCol w:w="5425"/>
        <w:gridCol w:w="601"/>
        <w:gridCol w:w="601"/>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2674"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674"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b/>
                <w:color w:val="auto"/>
                <w:szCs w:val="21"/>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1"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p>
            <w:pPr>
              <w:pStyle w:val="86"/>
              <w:rPr>
                <w:rFonts w:hint="eastAsia" w:ascii="宋体" w:hAnsi="宋体" w:eastAsia="宋体" w:cs="宋体"/>
                <w:color w:val="auto"/>
                <w:sz w:val="21"/>
                <w:szCs w:val="21"/>
                <w:highlight w:val="none"/>
              </w:rPr>
            </w:pPr>
          </w:p>
          <w:p>
            <w:pPr>
              <w:pStyle w:val="86"/>
              <w:rPr>
                <w:rFonts w:hint="eastAsia" w:ascii="宋体" w:hAnsi="宋体" w:eastAsia="宋体" w:cs="宋体"/>
                <w:color w:val="auto"/>
                <w:sz w:val="21"/>
                <w:szCs w:val="21"/>
                <w:highlight w:val="none"/>
              </w:rPr>
            </w:pPr>
          </w:p>
        </w:tc>
        <w:tc>
          <w:tcPr>
            <w:tcW w:w="398"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具有独立承担民事责任的能力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资质证书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具有建筑工程施工总承包叁级及以上资质；有效的安全生产许可证；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项目负责人证书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项目负责人具有在本单位注册的建筑工程二级及以上注册建造师执业资格及有效的安全生产考核合格证书</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是法人的，提供提供2021年度经会计事务所出具的财务审计报告或提供近三个月内银行出具的资信证明；其他组织和自然人，没有经审计的财务报告，可以提供在递交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文件前三个月内银行出具的资信证明。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具有履行合同所必须的设备和专业技术能力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提供</w:t>
            </w:r>
            <w:r>
              <w:rPr>
                <w:rFonts w:hint="eastAsia" w:ascii="宋体" w:hAnsi="宋体" w:cs="宋体"/>
                <w:color w:val="auto"/>
                <w:szCs w:val="21"/>
                <w:highlight w:val="none"/>
              </w:rPr>
              <w:t>具有履行合同所需的设备和专业技术能力的书面声明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有依法缴纳税收和社会保障金的良好记录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递交投标文件前六个月内任意一个月份的企业缴税凭证或证明；递交投标文件前六个月内任意一月份的缴纳社会保障资金的凭证或当地社会保障局出具的缴纳明细。依法免税或不需要缴纳社会保障资金的投标人，应当提供相关文件证明其依法免税或不需要缴纳社会保障资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具备法律、行政法规规定的其他条件。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信用查询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（以采购代理机构于递交响应文件截止日当天在“信用中国”网站（www.creditchina.gov.cn）查询结果为准。</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限制性情形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专门面向小</w:t>
            </w:r>
            <w:r>
              <w:rPr>
                <w:rFonts w:hint="eastAsia" w:ascii="宋体" w:hAnsi="宋体" w:cs="宋体"/>
                <w:color w:val="auto"/>
                <w:kern w:val="0"/>
                <w:szCs w:val="21"/>
                <w:highlight w:val="none"/>
                <w:lang w:val="en-US" w:eastAsia="zh-CN"/>
              </w:rPr>
              <w:t>微</w:t>
            </w:r>
            <w:r>
              <w:rPr>
                <w:rFonts w:hint="eastAsia" w:ascii="宋体" w:hAnsi="宋体" w:cs="宋体"/>
                <w:color w:val="auto"/>
                <w:kern w:val="0"/>
                <w:szCs w:val="21"/>
                <w:highlight w:val="none"/>
              </w:rPr>
              <w:t>企业采购</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小微企业以</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符合性检查</w:t>
            </w: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文件内容</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文件签署</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文件上法定代表人或其授权代理人的签字、</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文件未附有采购人不能接受的条件或不符合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文件的其他要求。</w:t>
            </w:r>
          </w:p>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bl>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详细评审表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07"/>
        <w:gridCol w:w="784"/>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评审项目</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根据供应商近</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年以来至投标截止日）的与本项目相同或</w:t>
            </w:r>
            <w:r>
              <w:rPr>
                <w:rFonts w:hint="eastAsia" w:ascii="宋体" w:hAnsi="宋体" w:eastAsia="宋体" w:cs="宋体"/>
                <w:bCs/>
                <w:color w:val="auto"/>
                <w:sz w:val="24"/>
                <w:szCs w:val="24"/>
                <w:highlight w:val="none"/>
                <w:lang w:eastAsia="zh-CN"/>
              </w:rPr>
              <w:t>类</w:t>
            </w:r>
            <w:r>
              <w:rPr>
                <w:rFonts w:hint="eastAsia" w:ascii="宋体" w:hAnsi="宋体" w:eastAsia="宋体" w:cs="宋体"/>
                <w:bCs/>
                <w:color w:val="auto"/>
                <w:sz w:val="24"/>
                <w:szCs w:val="24"/>
                <w:highlight w:val="none"/>
              </w:rPr>
              <w:t>似的项目业绩（标书内附成交通知书</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合同扫描件</w:t>
            </w:r>
            <w:r>
              <w:rPr>
                <w:rFonts w:hint="eastAsia" w:ascii="宋体" w:hAnsi="宋体" w:eastAsia="宋体" w:cs="宋体"/>
                <w:bCs/>
                <w:color w:val="auto"/>
                <w:sz w:val="24"/>
                <w:szCs w:val="24"/>
                <w:highlight w:val="none"/>
                <w:lang w:eastAsia="zh-CN"/>
              </w:rPr>
              <w:t>，两者必须同时具备</w:t>
            </w:r>
            <w:r>
              <w:rPr>
                <w:rFonts w:hint="eastAsia" w:ascii="宋体" w:hAnsi="宋体" w:eastAsia="宋体" w:cs="宋体"/>
                <w:bCs/>
                <w:color w:val="auto"/>
                <w:sz w:val="24"/>
                <w:szCs w:val="24"/>
                <w:highlight w:val="none"/>
              </w:rPr>
              <w:t>），有一项得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保修服务承诺及措施，保修服务响应时间及人员岗位设置合理，在缺陷责任期内保障本项目全面达到合格标准，得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施工准备计划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施工技术、现场、物资与机械、队伍准备计划应能充分保证工程需要等综合打分。计划内容完整可行、符合项目实际情况的得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施工进度计划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进度计划应在空间和时间上做合理的统筹安排且符合施工的科学规律等综合打分。计划完整、科学、符合项目实际情况的得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分；计划内容完整但空间及时间安排不合理的得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现场文明施工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质量、进度、安全保证措施和体系</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售后服务方案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2、维修能力证明，提供承诺函的得2分，未提供不得分。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3、根据提供的针对客户当地实际情况制定售后服务承诺，提供承诺函得3分，未提供不得分。</w:t>
            </w:r>
          </w:p>
        </w:tc>
      </w:tr>
      <w:bookmarkEnd w:id="67"/>
      <w:bookmarkEnd w:id="68"/>
    </w:tbl>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9" w:name="_Toc17560"/>
      <w:bookmarkStart w:id="70" w:name="_Toc28810"/>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三.推荐成交供应商</w:t>
      </w:r>
      <w:bookmarkEnd w:id="69"/>
      <w:bookmarkEnd w:id="70"/>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2.评分计算方法解释</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（1）供应商的评审得分是指所有磋商小组成员对其评分的算术平均值。</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71" w:name="_Toc15185"/>
      <w:bookmarkStart w:id="72" w:name="_Toc13826"/>
      <w:r>
        <w:rPr>
          <w:rFonts w:hint="eastAsia" w:ascii="宋体" w:hAnsi="宋体" w:eastAsia="宋体" w:cs="宋体"/>
          <w:b/>
          <w:color w:val="auto"/>
          <w:sz w:val="24"/>
          <w:szCs w:val="24"/>
          <w:highlight w:val="none"/>
        </w:rPr>
        <w:t>四.确定成交供应商</w:t>
      </w:r>
      <w:bookmarkEnd w:id="71"/>
      <w:bookmarkEnd w:id="72"/>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1.采购代理机构应当在评审结束后2个工作日内将评审报告送采购人确认。</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3" w:name="_Toc20330"/>
      <w:bookmarkStart w:id="74" w:name="_Toc7149"/>
      <w:bookmarkStart w:id="75" w:name="_Toc13730"/>
      <w:bookmarkStart w:id="76" w:name="_Toc256000023"/>
      <w:bookmarkStart w:id="77" w:name="_Toc30232"/>
      <w:bookmarkStart w:id="78" w:name="_Toc529952599"/>
      <w:bookmarkStart w:id="79" w:name="_Toc9140"/>
    </w:p>
    <w:p>
      <w:pPr>
        <w:kinsoku w:val="0"/>
        <w:overflowPunct w:val="0"/>
        <w:spacing w:line="360" w:lineRule="auto"/>
        <w:jc w:val="left"/>
        <w:outlineLvl w:val="9"/>
        <w:rPr>
          <w:rFonts w:hint="eastAsia" w:ascii="宋体" w:hAnsi="宋体" w:eastAsia="宋体" w:cs="宋体"/>
          <w:bCs/>
          <w:color w:val="auto"/>
          <w:sz w:val="24"/>
          <w:szCs w:val="24"/>
          <w:highlight w:val="none"/>
        </w:rPr>
      </w:pPr>
    </w:p>
    <w:p>
      <w:pPr>
        <w:kinsoku w:val="0"/>
        <w:overflowPunct w:val="0"/>
        <w:spacing w:line="360" w:lineRule="auto"/>
        <w:jc w:val="left"/>
        <w:outlineLvl w:val="9"/>
        <w:rPr>
          <w:rFonts w:hint="eastAsia" w:ascii="宋体" w:hAnsi="宋体" w:eastAsia="宋体" w:cs="宋体"/>
          <w:bCs/>
          <w:color w:val="auto"/>
          <w:sz w:val="24"/>
          <w:szCs w:val="24"/>
          <w:highlight w:val="none"/>
        </w:rPr>
      </w:pPr>
    </w:p>
    <w:p>
      <w:pPr>
        <w:kinsoku w:val="0"/>
        <w:overflowPunct w:val="0"/>
        <w:spacing w:line="360" w:lineRule="auto"/>
        <w:jc w:val="left"/>
        <w:outlineLvl w:val="9"/>
        <w:rPr>
          <w:rFonts w:hint="eastAsia" w:ascii="宋体" w:hAnsi="宋体" w:eastAsia="宋体" w:cs="宋体"/>
          <w:bCs/>
          <w:color w:val="auto"/>
          <w:sz w:val="24"/>
          <w:szCs w:val="24"/>
          <w:highlight w:val="none"/>
        </w:rPr>
      </w:pPr>
    </w:p>
    <w:p>
      <w:pPr>
        <w:rPr>
          <w:rFonts w:hint="eastAsia"/>
          <w:color w:val="auto"/>
          <w:highlight w:val="none"/>
          <w:lang w:val="en-US" w:eastAsia="zh-CN"/>
        </w:rPr>
      </w:pPr>
    </w:p>
    <w:p>
      <w:pPr>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第四章  政府采购合同格式</w:t>
      </w:r>
      <w:bookmarkEnd w:id="73"/>
      <w:bookmarkEnd w:id="74"/>
      <w:bookmarkEnd w:id="75"/>
      <w:bookmarkEnd w:id="76"/>
      <w:bookmarkEnd w:id="77"/>
      <w:bookmarkEnd w:id="78"/>
      <w:bookmarkEnd w:id="79"/>
    </w:p>
    <w:p>
      <w:pPr>
        <w:rPr>
          <w:rFonts w:hint="eastAsia" w:ascii="宋体" w:hAnsi="宋体" w:cs="宋体"/>
          <w:b/>
          <w:bCs/>
          <w:color w:val="auto"/>
          <w:highlight w:val="none"/>
          <w:lang w:eastAsia="zh-CN"/>
        </w:rPr>
      </w:pPr>
      <w:bookmarkStart w:id="80" w:name="EB0241872a782746df84ab771927209b83"/>
      <w:bookmarkStart w:id="81" w:name="_Toc28066"/>
      <w:bookmarkStart w:id="82" w:name="_Toc20420"/>
      <w:bookmarkStart w:id="83" w:name="_Toc256000024"/>
      <w:bookmarkStart w:id="84" w:name="_Toc529952600"/>
    </w:p>
    <w:p>
      <w:pPr>
        <w:pStyle w:val="3"/>
        <w:spacing w:line="400" w:lineRule="exact"/>
        <w:jc w:val="center"/>
        <w:rPr>
          <w:rFonts w:hint="eastAsia" w:ascii="宋体" w:hAnsi="宋体"/>
          <w:color w:val="auto"/>
          <w:sz w:val="36"/>
          <w:szCs w:val="36"/>
          <w:highlight w:val="none"/>
          <w:lang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eastAsia="zh-CN"/>
        </w:rPr>
        <w:t>政府采购合同（参考文本）</w:t>
      </w:r>
    </w:p>
    <w:p>
      <w:pPr>
        <w:pStyle w:val="11"/>
        <w:snapToGrid w:val="0"/>
        <w:spacing w:after="0" w:line="360" w:lineRule="auto"/>
        <w:ind w:firstLine="424" w:firstLineChars="202"/>
        <w:rPr>
          <w:rFonts w:ascii="宋体" w:hAnsi="宋体"/>
          <w:snapToGrid w:val="0"/>
          <w:color w:val="auto"/>
          <w:highlight w:val="none"/>
        </w:rPr>
      </w:pPr>
    </w:p>
    <w:bookmarkEnd w:id="80"/>
    <w:p>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建设工程施工合同</w:t>
      </w:r>
    </w:p>
    <w:p>
      <w:pPr>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2738" w:firstLineChars="1304"/>
        <w:jc w:val="distribute"/>
        <w:rPr>
          <w:rFonts w:hint="eastAsia" w:ascii="仿宋" w:hAnsi="仿宋" w:eastAsia="仿宋" w:cs="仿宋"/>
          <w:b/>
          <w:color w:val="auto"/>
          <w:sz w:val="32"/>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仿宋" w:hAnsi="仿宋" w:eastAsia="仿宋" w:cs="仿宋"/>
          <w:b/>
          <w:color w:val="auto"/>
          <w:sz w:val="32"/>
          <w:szCs w:val="28"/>
          <w:highlight w:val="none"/>
        </w:rPr>
        <w:t>住房城乡建设部</w:t>
      </w:r>
    </w:p>
    <w:p>
      <w:pPr>
        <w:ind w:right="2719" w:rightChars="1295" w:firstLine="2750" w:firstLineChars="856"/>
        <w:jc w:val="distribute"/>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国家工商行政管理总局</w:t>
      </w:r>
    </w:p>
    <w:p>
      <w:pPr>
        <w:pStyle w:val="5"/>
        <w:rPr>
          <w:rFonts w:hint="eastAsia" w:ascii="仿宋" w:hAnsi="仿宋" w:eastAsia="仿宋" w:cs="仿宋"/>
          <w:color w:val="auto"/>
          <w:sz w:val="28"/>
          <w:szCs w:val="28"/>
          <w:highlight w:val="none"/>
        </w:rPr>
        <w:sectPr>
          <w:footerReference r:id="rId12" w:type="first"/>
          <w:headerReference r:id="rId10" w:type="default"/>
          <w:footerReference r:id="rId11" w:type="default"/>
          <w:pgSz w:w="11906" w:h="16838"/>
          <w:pgMar w:top="1418" w:right="1555" w:bottom="1418" w:left="1531" w:header="851" w:footer="992" w:gutter="0"/>
          <w:pgNumType w:fmt="decimal" w:start="1"/>
          <w:cols w:space="720" w:num="1"/>
          <w:titlePg/>
          <w:docGrid w:type="lines" w:linePitch="312" w:charSpace="0"/>
        </w:sectPr>
      </w:pPr>
      <w:bookmarkStart w:id="85" w:name="_Toc296890982"/>
      <w:bookmarkStart w:id="86" w:name="_Toc351203480"/>
      <w:bookmarkStart w:id="87" w:name="_Toc296503025"/>
    </w:p>
    <w:p>
      <w:pPr>
        <w:pStyle w:val="5"/>
        <w:jc w:val="center"/>
        <w:rPr>
          <w:rFonts w:hint="eastAsia" w:ascii="仿宋" w:hAnsi="仿宋" w:eastAsia="仿宋" w:cs="仿宋"/>
          <w:b w:val="0"/>
          <w:color w:val="auto"/>
          <w:szCs w:val="32"/>
          <w:highlight w:val="none"/>
        </w:rPr>
      </w:pPr>
      <w:bookmarkStart w:id="88" w:name="_Toc24336"/>
      <w:r>
        <w:rPr>
          <w:rFonts w:hint="eastAsia" w:ascii="仿宋" w:hAnsi="仿宋" w:eastAsia="仿宋" w:cs="仿宋"/>
          <w:color w:val="auto"/>
          <w:szCs w:val="32"/>
          <w:highlight w:val="none"/>
        </w:rPr>
        <w:t>第一部分 合同协议书</w:t>
      </w:r>
      <w:bookmarkEnd w:id="85"/>
      <w:bookmarkEnd w:id="86"/>
      <w:bookmarkEnd w:id="87"/>
      <w:bookmarkEnd w:id="88"/>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xml:space="preserve">                                        </w:t>
      </w:r>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9" w:name="_Toc351203481"/>
      <w:r>
        <w:rPr>
          <w:rFonts w:hint="eastAsia" w:ascii="仿宋" w:hAnsi="仿宋" w:eastAsia="仿宋" w:cs="仿宋"/>
          <w:b w:val="0"/>
          <w:color w:val="auto"/>
          <w:sz w:val="24"/>
          <w:szCs w:val="24"/>
          <w:highlight w:val="none"/>
        </w:rPr>
        <w:t>一、工程概况</w:t>
      </w:r>
      <w:bookmarkEnd w:id="89"/>
    </w:p>
    <w:p>
      <w:pPr>
        <w:spacing w:line="360" w:lineRule="auto"/>
        <w:ind w:firstLine="470" w:firstLineChars="196"/>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6.工程承包范围：</w:t>
      </w:r>
    </w:p>
    <w:p>
      <w:pPr>
        <w:spacing w:line="360" w:lineRule="auto"/>
        <w:ind w:firstLine="463" w:firstLineChars="19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90" w:name="_Toc351203482"/>
      <w:r>
        <w:rPr>
          <w:rFonts w:hint="eastAsia" w:ascii="仿宋" w:hAnsi="仿宋" w:eastAsia="仿宋" w:cs="仿宋"/>
          <w:b w:val="0"/>
          <w:color w:val="auto"/>
          <w:sz w:val="24"/>
          <w:szCs w:val="24"/>
          <w:highlight w:val="none"/>
        </w:rPr>
        <w:t>二、合同工期</w:t>
      </w:r>
      <w:bookmarkEnd w:id="90"/>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1" w:name="_Toc351203483"/>
      <w:r>
        <w:rPr>
          <w:rFonts w:hint="eastAsia" w:ascii="仿宋" w:hAnsi="仿宋" w:eastAsia="仿宋" w:cs="仿宋"/>
          <w:b w:val="0"/>
          <w:color w:val="auto"/>
          <w:sz w:val="24"/>
          <w:szCs w:val="24"/>
          <w:highlight w:val="none"/>
        </w:rPr>
        <w:t>三、质量标准</w:t>
      </w:r>
      <w:bookmarkEnd w:id="91"/>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2" w:name="_Toc351203484"/>
      <w:r>
        <w:rPr>
          <w:rFonts w:hint="eastAsia" w:ascii="仿宋" w:hAnsi="仿宋" w:eastAsia="仿宋" w:cs="仿宋"/>
          <w:b w:val="0"/>
          <w:color w:val="auto"/>
          <w:sz w:val="24"/>
          <w:szCs w:val="24"/>
          <w:highlight w:val="none"/>
        </w:rPr>
        <w:t>四、签约合同价与合同价格形式</w:t>
      </w:r>
      <w:bookmarkEnd w:id="92"/>
      <w:r>
        <w:rPr>
          <w:rFonts w:hint="eastAsia" w:ascii="仿宋" w:hAnsi="仿宋" w:eastAsia="仿宋" w:cs="仿宋"/>
          <w:b w:val="0"/>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 xml:space="preserve">   单价合同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3" w:name="_Toc351203485"/>
      <w:r>
        <w:rPr>
          <w:rFonts w:hint="eastAsia" w:ascii="仿宋" w:hAnsi="仿宋" w:eastAsia="仿宋" w:cs="仿宋"/>
          <w:b w:val="0"/>
          <w:color w:val="auto"/>
          <w:sz w:val="24"/>
          <w:szCs w:val="24"/>
          <w:highlight w:val="none"/>
        </w:rPr>
        <w:t>五、</w:t>
      </w:r>
      <w:bookmarkEnd w:id="93"/>
      <w:r>
        <w:rPr>
          <w:rFonts w:hint="eastAsia" w:ascii="仿宋" w:hAnsi="仿宋" w:eastAsia="仿宋" w:cs="仿宋"/>
          <w:b w:val="0"/>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4" w:name="_Toc351203486"/>
      <w:r>
        <w:rPr>
          <w:rFonts w:hint="eastAsia" w:ascii="仿宋" w:hAnsi="仿宋" w:eastAsia="仿宋" w:cs="仿宋"/>
          <w:b w:val="0"/>
          <w:color w:val="auto"/>
          <w:sz w:val="24"/>
          <w:szCs w:val="24"/>
          <w:highlight w:val="none"/>
        </w:rPr>
        <w:t>六、合同文件构成</w:t>
      </w:r>
      <w:bookmarkEnd w:id="94"/>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（2）磋商函及其附录（如果有）；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5" w:name="_Toc351203487"/>
      <w:r>
        <w:rPr>
          <w:rFonts w:hint="eastAsia" w:ascii="仿宋" w:hAnsi="仿宋" w:eastAsia="仿宋" w:cs="仿宋"/>
          <w:b w:val="0"/>
          <w:color w:val="auto"/>
          <w:sz w:val="24"/>
          <w:szCs w:val="24"/>
          <w:highlight w:val="none"/>
        </w:rPr>
        <w:t>七、承诺</w:t>
      </w:r>
      <w:bookmarkEnd w:id="95"/>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w:t>
      </w:r>
      <w:r>
        <w:rPr>
          <w:rFonts w:hint="eastAsia" w:ascii="仿宋" w:hAnsi="仿宋" w:eastAsia="仿宋" w:cs="仿宋"/>
          <w:bCs/>
          <w:color w:val="auto"/>
          <w:sz w:val="24"/>
          <w:szCs w:val="24"/>
          <w:highlight w:val="none"/>
          <w:lang w:val="en-US" w:eastAsia="zh-CN"/>
        </w:rPr>
        <w:t>政府采购</w:t>
      </w:r>
      <w:r>
        <w:rPr>
          <w:rFonts w:hint="eastAsia" w:ascii="仿宋" w:hAnsi="仿宋" w:eastAsia="仿宋" w:cs="仿宋"/>
          <w:bCs/>
          <w:color w:val="auto"/>
          <w:sz w:val="24"/>
          <w:szCs w:val="24"/>
          <w:highlight w:val="none"/>
        </w:rPr>
        <w:t>形式签订合同的，双方理解并承诺不再就同一工程另行签订与合同实质性内容相背离的协议。</w:t>
      </w:r>
    </w:p>
    <w:p>
      <w:pPr>
        <w:spacing w:line="360" w:lineRule="auto"/>
        <w:rPr>
          <w:rFonts w:hint="eastAsia" w:ascii="仿宋" w:hAnsi="仿宋" w:eastAsia="仿宋" w:cs="仿宋"/>
          <w:bCs/>
          <w:color w:val="auto"/>
          <w:sz w:val="24"/>
          <w:szCs w:val="24"/>
          <w:highlight w:val="none"/>
        </w:rPr>
      </w:pPr>
      <w:bookmarkStart w:id="96" w:name="_Toc351203488"/>
      <w:r>
        <w:rPr>
          <w:rFonts w:hint="eastAsia" w:ascii="仿宋" w:hAnsi="仿宋" w:eastAsia="仿宋" w:cs="仿宋"/>
          <w:b/>
          <w:color w:val="auto"/>
          <w:sz w:val="24"/>
          <w:szCs w:val="24"/>
          <w:highlight w:val="none"/>
        </w:rPr>
        <w:t xml:space="preserve">    八、词语含义</w:t>
      </w:r>
      <w:bookmarkEnd w:id="96"/>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7" w:name="_Toc351203489"/>
      <w:r>
        <w:rPr>
          <w:rFonts w:hint="eastAsia" w:ascii="仿宋" w:hAnsi="仿宋" w:eastAsia="仿宋" w:cs="仿宋"/>
          <w:b w:val="0"/>
          <w:color w:val="auto"/>
          <w:sz w:val="24"/>
          <w:szCs w:val="24"/>
          <w:highlight w:val="none"/>
        </w:rPr>
        <w:t>九、签订时间</w:t>
      </w:r>
      <w:bookmarkEnd w:id="97"/>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8" w:name="_Toc351203490"/>
      <w:r>
        <w:rPr>
          <w:rFonts w:hint="eastAsia" w:ascii="仿宋" w:hAnsi="仿宋" w:eastAsia="仿宋" w:cs="仿宋"/>
          <w:b w:val="0"/>
          <w:color w:val="auto"/>
          <w:sz w:val="24"/>
          <w:szCs w:val="24"/>
          <w:highlight w:val="none"/>
        </w:rPr>
        <w:t>十、签订地点</w:t>
      </w:r>
      <w:bookmarkEnd w:id="98"/>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9" w:name="_Toc351203491"/>
      <w:r>
        <w:rPr>
          <w:rFonts w:hint="eastAsia" w:ascii="仿宋" w:hAnsi="仿宋" w:eastAsia="仿宋" w:cs="仿宋"/>
          <w:b w:val="0"/>
          <w:color w:val="auto"/>
          <w:sz w:val="24"/>
          <w:szCs w:val="24"/>
          <w:highlight w:val="none"/>
        </w:rPr>
        <w:t>十一、补充协议</w:t>
      </w:r>
      <w:bookmarkEnd w:id="99"/>
    </w:p>
    <w:p>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100" w:name="_Toc351203492"/>
      <w:r>
        <w:rPr>
          <w:rFonts w:hint="eastAsia" w:ascii="仿宋" w:hAnsi="仿宋" w:eastAsia="仿宋" w:cs="仿宋"/>
          <w:b w:val="0"/>
          <w:color w:val="auto"/>
          <w:sz w:val="24"/>
          <w:szCs w:val="24"/>
          <w:highlight w:val="none"/>
        </w:rPr>
        <w:t>十二、合同生效</w:t>
      </w:r>
      <w:bookmarkEnd w:id="100"/>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本合同自</w:t>
      </w:r>
      <w:r>
        <w:rPr>
          <w:rFonts w:hint="eastAsia" w:ascii="仿宋" w:hAnsi="仿宋" w:eastAsia="仿宋" w:cs="仿宋"/>
          <w:bCs/>
          <w:color w:val="auto"/>
          <w:sz w:val="24"/>
          <w:szCs w:val="24"/>
          <w:highlight w:val="none"/>
          <w:u w:val="single"/>
        </w:rPr>
        <w:t>双方</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"http://china.findlaw.cn/data/gsflgw_462.html" </w:instrText>
      </w:r>
      <w:r>
        <w:rPr>
          <w:rFonts w:hint="eastAsia" w:ascii="仿宋" w:hAnsi="仿宋" w:eastAsia="仿宋" w:cs="仿宋"/>
          <w:color w:val="auto"/>
          <w:sz w:val="24"/>
          <w:szCs w:val="24"/>
          <w:highlight w:val="none"/>
        </w:rPr>
        <w:fldChar w:fldCharType="separate"/>
      </w:r>
      <w:r>
        <w:rPr>
          <w:rStyle w:val="31"/>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u w:val="single"/>
        </w:rPr>
        <w:t>或其授权代理人签字（盖章）并加盖本单位公章后</w:t>
      </w:r>
      <w:r>
        <w:rPr>
          <w:rFonts w:hint="eastAsia" w:ascii="仿宋" w:hAnsi="仿宋" w:eastAsia="仿宋" w:cs="仿宋"/>
          <w:bCs/>
          <w:color w:val="auto"/>
          <w:sz w:val="24"/>
          <w:szCs w:val="24"/>
          <w:highlight w:val="none"/>
        </w:rPr>
        <w:t>生效。</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101" w:name="_Toc351203493"/>
      <w:r>
        <w:rPr>
          <w:rFonts w:hint="eastAsia" w:ascii="仿宋" w:hAnsi="仿宋" w:eastAsia="仿宋" w:cs="仿宋"/>
          <w:b w:val="0"/>
          <w:color w:val="auto"/>
          <w:sz w:val="24"/>
          <w:szCs w:val="24"/>
          <w:highlight w:val="none"/>
        </w:rPr>
        <w:t>十三、合同份数</w:t>
      </w:r>
      <w:bookmarkEnd w:id="101"/>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陆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w:t>
      </w: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color w:val="auto"/>
          <w:sz w:val="30"/>
          <w:szCs w:val="30"/>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pPr>
        <w:spacing w:line="360" w:lineRule="auto"/>
        <w:rPr>
          <w:rFonts w:hint="eastAsia" w:ascii="仿宋" w:hAnsi="仿宋" w:eastAsia="仿宋" w:cs="仿宋"/>
          <w:color w:val="auto"/>
          <w:sz w:val="24"/>
          <w:szCs w:val="24"/>
          <w:highlight w:val="none"/>
          <w:u w:val="single"/>
        </w:rPr>
      </w:pPr>
    </w:p>
    <w:p>
      <w:pPr>
        <w:tabs>
          <w:tab w:val="left" w:pos="441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pPr>
        <w:pStyle w:val="5"/>
        <w:jc w:val="center"/>
        <w:rPr>
          <w:rFonts w:hint="eastAsia" w:ascii="仿宋" w:hAnsi="仿宋" w:eastAsia="仿宋" w:cs="仿宋"/>
          <w:color w:val="auto"/>
          <w:szCs w:val="32"/>
          <w:highlight w:val="none"/>
        </w:rPr>
      </w:pPr>
      <w:r>
        <w:rPr>
          <w:rFonts w:hint="eastAsia" w:ascii="仿宋" w:hAnsi="仿宋" w:eastAsia="仿宋" w:cs="仿宋"/>
          <w:color w:val="auto"/>
          <w:highlight w:val="none"/>
        </w:rPr>
        <w:br w:type="page"/>
      </w:r>
      <w:bookmarkStart w:id="102" w:name="_Toc29615"/>
      <w:bookmarkStart w:id="103" w:name="_Toc351203494"/>
      <w:r>
        <w:rPr>
          <w:rFonts w:hint="eastAsia" w:ascii="仿宋" w:hAnsi="仿宋" w:eastAsia="仿宋" w:cs="仿宋"/>
          <w:color w:val="auto"/>
          <w:szCs w:val="32"/>
          <w:highlight w:val="none"/>
        </w:rPr>
        <w:t>第二部分 通用合同条款</w:t>
      </w:r>
      <w:bookmarkEnd w:id="102"/>
      <w:bookmarkEnd w:id="103"/>
      <w:bookmarkStart w:id="104" w:name="_Toc337558727"/>
    </w:p>
    <w:p>
      <w:pPr>
        <w:pStyle w:val="6"/>
        <w:spacing w:before="120" w:after="120" w:line="360" w:lineRule="auto"/>
        <w:rPr>
          <w:rFonts w:hint="eastAsia" w:ascii="仿宋" w:hAnsi="仿宋" w:eastAsia="仿宋" w:cs="仿宋"/>
          <w:b w:val="0"/>
          <w:color w:val="auto"/>
          <w:sz w:val="32"/>
          <w:szCs w:val="32"/>
          <w:highlight w:val="none"/>
        </w:rPr>
      </w:pPr>
      <w:bookmarkStart w:id="105" w:name="_Toc351203495"/>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104"/>
    <w:bookmarkEnd w:id="105"/>
    <w:p>
      <w:pPr>
        <w:pStyle w:val="5"/>
        <w:jc w:val="center"/>
        <w:rPr>
          <w:rFonts w:hint="eastAsia" w:ascii="仿宋" w:hAnsi="仿宋" w:eastAsia="仿宋" w:cs="仿宋"/>
          <w:color w:val="auto"/>
          <w:sz w:val="44"/>
          <w:szCs w:val="44"/>
          <w:highlight w:val="none"/>
        </w:rPr>
      </w:pPr>
      <w:bookmarkStart w:id="106" w:name="_Toc25752"/>
      <w:bookmarkEnd w:id="106"/>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pStyle w:val="5"/>
        <w:jc w:val="center"/>
        <w:rPr>
          <w:rFonts w:hint="eastAsia"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107" w:name="_Toc8894"/>
      <w:r>
        <w:rPr>
          <w:rFonts w:hint="eastAsia" w:ascii="仿宋" w:hAnsi="仿宋" w:eastAsia="仿宋" w:cs="仿宋"/>
          <w:color w:val="auto"/>
          <w:szCs w:val="32"/>
          <w:highlight w:val="none"/>
        </w:rPr>
        <w:t>第三部分 专用合同条款</w:t>
      </w:r>
      <w:bookmarkEnd w:id="107"/>
    </w:p>
    <w:p>
      <w:pPr>
        <w:pStyle w:val="6"/>
        <w:spacing w:before="120" w:after="120" w:line="360" w:lineRule="auto"/>
        <w:rPr>
          <w:rFonts w:hint="eastAsia" w:ascii="仿宋" w:hAnsi="仿宋" w:eastAsia="仿宋" w:cs="仿宋"/>
          <w:b w:val="0"/>
          <w:color w:val="auto"/>
          <w:sz w:val="24"/>
          <w:szCs w:val="24"/>
          <w:highlight w:val="none"/>
        </w:rPr>
      </w:pPr>
      <w:bookmarkStart w:id="108" w:name="_Toc351203633"/>
      <w:r>
        <w:rPr>
          <w:rFonts w:hint="eastAsia" w:ascii="仿宋" w:hAnsi="仿宋" w:eastAsia="仿宋" w:cs="仿宋"/>
          <w:b w:val="0"/>
          <w:color w:val="auto"/>
          <w:sz w:val="24"/>
          <w:szCs w:val="24"/>
          <w:highlight w:val="none"/>
        </w:rPr>
        <w:t>1</w:t>
      </w:r>
      <w:bookmarkStart w:id="109" w:name="_Toc296503156"/>
      <w:bookmarkStart w:id="110" w:name="_Toc297048342"/>
      <w:bookmarkStart w:id="111" w:name="_Toc297120456"/>
      <w:bookmarkStart w:id="112" w:name="_Toc296346657"/>
      <w:bookmarkStart w:id="113" w:name="_Toc296944495"/>
      <w:bookmarkStart w:id="114" w:name="_Toc292559866"/>
      <w:bookmarkStart w:id="115" w:name="_Toc292559361"/>
      <w:bookmarkStart w:id="116" w:name="_Toc296890984"/>
      <w:bookmarkStart w:id="117" w:name="_Toc296347155"/>
      <w:bookmarkStart w:id="118" w:name="_Toc296891196"/>
      <w:r>
        <w:rPr>
          <w:rFonts w:hint="eastAsia" w:ascii="仿宋" w:hAnsi="仿宋" w:eastAsia="仿宋" w:cs="仿宋"/>
          <w:b w:val="0"/>
          <w:color w:val="auto"/>
          <w:sz w:val="24"/>
          <w:szCs w:val="24"/>
          <w:highlight w:val="none"/>
        </w:rPr>
        <w:t>. 一般约定</w:t>
      </w:r>
      <w:bookmarkEnd w:id="108"/>
    </w:p>
    <w:bookmarkEnd w:id="109"/>
    <w:bookmarkEnd w:id="110"/>
    <w:bookmarkEnd w:id="111"/>
    <w:bookmarkEnd w:id="112"/>
    <w:bookmarkEnd w:id="113"/>
    <w:bookmarkEnd w:id="114"/>
    <w:bookmarkEnd w:id="115"/>
    <w:bookmarkEnd w:id="116"/>
    <w:bookmarkEnd w:id="117"/>
    <w:bookmarkEnd w:id="118"/>
    <w:p>
      <w:pPr>
        <w:spacing w:after="120" w:line="360" w:lineRule="auto"/>
        <w:ind w:firstLine="480" w:firstLineChars="200"/>
        <w:outlineLvl w:val="0"/>
        <w:rPr>
          <w:rFonts w:hint="eastAsia" w:ascii="仿宋" w:hAnsi="仿宋" w:eastAsia="仿宋" w:cs="仿宋"/>
          <w:color w:val="auto"/>
          <w:sz w:val="24"/>
          <w:szCs w:val="24"/>
          <w:highlight w:val="none"/>
        </w:rPr>
      </w:pPr>
      <w:bookmarkStart w:id="119" w:name="_Toc7711"/>
      <w:r>
        <w:rPr>
          <w:rFonts w:hint="eastAsia" w:ascii="仿宋" w:hAnsi="仿宋" w:eastAsia="仿宋" w:cs="仿宋"/>
          <w:color w:val="auto"/>
          <w:sz w:val="24"/>
          <w:szCs w:val="24"/>
          <w:highlight w:val="none"/>
        </w:rPr>
        <w:t>1.1 词语定义</w:t>
      </w:r>
      <w:bookmarkEnd w:id="119"/>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pPr>
        <w:spacing w:line="360" w:lineRule="auto"/>
        <w:ind w:left="1436" w:leftChars="284" w:hanging="840" w:hangingChars="3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1.1.1.1其他合同文件包括：</w:t>
      </w:r>
      <w:r>
        <w:rPr>
          <w:rFonts w:hint="eastAsia" w:ascii="仿宋" w:hAnsi="仿宋" w:eastAsia="仿宋" w:cs="仿宋"/>
          <w:color w:val="auto"/>
          <w:kern w:val="0"/>
          <w:sz w:val="24"/>
          <w:szCs w:val="24"/>
          <w:highlight w:val="none"/>
          <w:u w:val="single"/>
        </w:rPr>
        <w:t>施工组织设计、</w:t>
      </w:r>
      <w:r>
        <w:rPr>
          <w:rFonts w:hint="eastAsia" w:ascii="仿宋" w:hAnsi="仿宋" w:eastAsia="仿宋" w:cs="仿宋"/>
          <w:color w:val="auto"/>
          <w:kern w:val="0"/>
          <w:sz w:val="24"/>
          <w:szCs w:val="24"/>
          <w:highlight w:val="none"/>
          <w:u w:val="single"/>
          <w:lang w:val="en-US" w:eastAsia="zh-CN"/>
        </w:rPr>
        <w:t>采购</w:t>
      </w:r>
      <w:r>
        <w:rPr>
          <w:rFonts w:hint="eastAsia" w:ascii="仿宋" w:hAnsi="仿宋" w:eastAsia="仿宋" w:cs="仿宋"/>
          <w:color w:val="auto"/>
          <w:kern w:val="0"/>
          <w:sz w:val="24"/>
          <w:szCs w:val="24"/>
          <w:highlight w:val="none"/>
          <w:u w:val="single"/>
        </w:rPr>
        <w:t>文件（含澄清文件、暂列金、暂估价）、洽谈记录、图纸会审记录、发包人相关制度、廉政协议等文件</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1.1.2.1监理人：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设计人：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作为施工现场组成部分的其他场所包括：</w:t>
      </w:r>
      <w:r>
        <w:rPr>
          <w:rFonts w:hint="eastAsia" w:ascii="仿宋" w:hAnsi="仿宋" w:eastAsia="仿宋" w:cs="仿宋"/>
          <w:color w:val="auto"/>
          <w:sz w:val="24"/>
          <w:szCs w:val="24"/>
          <w:highlight w:val="none"/>
          <w:u w:val="single"/>
        </w:rPr>
        <w:t>施工所必需的临时设施占用的土地</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1.1.3.2 永久占地包括：</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1.1.3.3 临时占地包括：</w:t>
      </w:r>
      <w:r>
        <w:rPr>
          <w:rFonts w:hint="eastAsia" w:ascii="仿宋" w:hAnsi="仿宋" w:eastAsia="仿宋" w:cs="仿宋"/>
          <w:color w:val="auto"/>
          <w:sz w:val="24"/>
          <w:szCs w:val="24"/>
          <w:highlight w:val="none"/>
          <w:u w:val="single"/>
        </w:rPr>
        <w:t xml:space="preserve">经许可，施工所需的临时设施所占土地 </w:t>
      </w:r>
      <w:r>
        <w:rPr>
          <w:rFonts w:hint="eastAsia" w:ascii="仿宋" w:hAnsi="仿宋" w:eastAsia="仿宋" w:cs="仿宋"/>
          <w:color w:val="auto"/>
          <w:kern w:val="0"/>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1.2法律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《建筑法》、《</w:t>
      </w:r>
      <w:r>
        <w:rPr>
          <w:rFonts w:hint="eastAsia" w:ascii="仿宋" w:hAnsi="仿宋" w:eastAsia="仿宋" w:cs="仿宋"/>
          <w:color w:val="auto"/>
          <w:sz w:val="24"/>
          <w:szCs w:val="24"/>
          <w:highlight w:val="none"/>
          <w:u w:val="single"/>
          <w:lang w:val="en-US" w:eastAsia="zh-CN"/>
        </w:rPr>
        <w:t>民法典</w:t>
      </w:r>
      <w:r>
        <w:rPr>
          <w:rFonts w:hint="eastAsia" w:ascii="仿宋" w:hAnsi="仿宋" w:eastAsia="仿宋" w:cs="仿宋"/>
          <w:color w:val="auto"/>
          <w:sz w:val="24"/>
          <w:szCs w:val="24"/>
          <w:highlight w:val="none"/>
          <w:u w:val="single"/>
        </w:rPr>
        <w:t>》、《安全生产法》、《建筑工程质量管理体系》等国家法规及自治区和地方的有关规定</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标准和规范</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1.3.1适用于工程的标准规范包括：</w:t>
      </w:r>
      <w:r>
        <w:rPr>
          <w:rFonts w:hint="eastAsia" w:ascii="仿宋" w:hAnsi="仿宋" w:eastAsia="仿宋" w:cs="仿宋"/>
          <w:color w:val="auto"/>
          <w:sz w:val="24"/>
          <w:szCs w:val="24"/>
          <w:highlight w:val="none"/>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文件有关规定执行，计税方式为增值税销项税</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20" w:name="_Toc4405"/>
      <w:r>
        <w:rPr>
          <w:rFonts w:hint="eastAsia" w:ascii="仿宋" w:hAnsi="仿宋" w:eastAsia="仿宋" w:cs="仿宋"/>
          <w:color w:val="auto"/>
          <w:kern w:val="0"/>
          <w:sz w:val="24"/>
          <w:szCs w:val="24"/>
          <w:highlight w:val="none"/>
        </w:rPr>
        <w:t>1.3.2 发包人提供国外标准、规范的名称：</w:t>
      </w:r>
      <w:r>
        <w:rPr>
          <w:rFonts w:hint="eastAsia" w:ascii="仿宋" w:hAnsi="仿宋" w:eastAsia="仿宋" w:cs="仿宋"/>
          <w:color w:val="auto"/>
          <w:kern w:val="0"/>
          <w:sz w:val="24"/>
          <w:szCs w:val="24"/>
          <w:highlight w:val="none"/>
          <w:u w:val="single"/>
        </w:rPr>
        <w:t>无    ；</w:t>
      </w:r>
      <w:bookmarkEnd w:id="120"/>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1.3.3发包人对工程的技术标准和功能要求的特殊要求：</w:t>
      </w:r>
      <w:r>
        <w:rPr>
          <w:rFonts w:hint="eastAsia" w:ascii="仿宋" w:hAnsi="仿宋" w:eastAsia="仿宋" w:cs="仿宋"/>
          <w:color w:val="auto"/>
          <w:sz w:val="24"/>
          <w:szCs w:val="24"/>
          <w:highlight w:val="none"/>
          <w:u w:val="single"/>
        </w:rPr>
        <w:t>按合同约定执行</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1" w:name="_Toc13363"/>
      <w:r>
        <w:rPr>
          <w:rFonts w:hint="eastAsia" w:ascii="仿宋" w:hAnsi="仿宋" w:eastAsia="仿宋" w:cs="仿宋"/>
          <w:color w:val="auto"/>
          <w:sz w:val="24"/>
          <w:szCs w:val="24"/>
          <w:highlight w:val="none"/>
        </w:rPr>
        <w:t>1.4 合同文件的优先顺序</w:t>
      </w:r>
      <w:bookmarkEnd w:id="12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(1)合同协议书；(2)成交通知书；(3)本工程施工采购文件（含采购文件附件、采购文件补充）；(4)响应文件及其附件（含承包人在评审期间递交和确认并经业主同意的对有关问题的补充资料和澄清文件等）；(5)合同专用条款（含数据表和招标文件补充答疑书中与此有关的部分）；(6)合同通用条款；(7)标准、规范及有关技术文件（含采购文件补充答疑书中与此有关的部分）；(8)图纸（含招标文件补充答疑书中与此有关的部分）；(9)工程量清单。双方有关工程的洽商、变更等书面协议或文件均视为本合同的组成部分。合同双方在合同履行过程中签订的补充协议亦构成合同文件的组成部分，其解释顺序视其内容与其合同文件的相互关系而定</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2" w:name="_Toc4775"/>
      <w:r>
        <w:rPr>
          <w:rFonts w:hint="eastAsia" w:ascii="仿宋" w:hAnsi="仿宋" w:eastAsia="仿宋" w:cs="仿宋"/>
          <w:color w:val="auto"/>
          <w:sz w:val="24"/>
          <w:szCs w:val="24"/>
          <w:highlight w:val="none"/>
        </w:rPr>
        <w:t>1.5 图纸和承包人文件</w:t>
      </w:r>
      <w:bookmarkEnd w:id="122"/>
      <w:r>
        <w:rPr>
          <w:rFonts w:hint="eastAsia" w:ascii="仿宋" w:hAnsi="仿宋" w:eastAsia="仿宋" w:cs="仿宋"/>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图纸的提供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承包人文件</w:t>
      </w:r>
    </w:p>
    <w:p>
      <w:pPr>
        <w:spacing w:line="560" w:lineRule="exact"/>
        <w:ind w:firstLine="475" w:firstLineChars="19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开工报告，施工组织设计，专项施工方案，进度报表及有关现场、经济签证、设计变更、竣工验收图纸、工程量清单。</w:t>
      </w:r>
    </w:p>
    <w:p>
      <w:pPr>
        <w:widowControl/>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开工报告、施工组织设计、专项施工方案、进度报表须在开工7日前提供。经济签证、设计变更、竣工验收图纸、工程量清单须在竣工验收后15日内提供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一式叁份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纸质、电子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收到文件起7日内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现场图纸准备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施工现场保存两套完整的施工图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3" w:name="_Toc11382"/>
      <w:r>
        <w:rPr>
          <w:rFonts w:hint="eastAsia" w:ascii="仿宋" w:hAnsi="仿宋" w:eastAsia="仿宋" w:cs="仿宋"/>
          <w:color w:val="auto"/>
          <w:sz w:val="24"/>
          <w:szCs w:val="24"/>
          <w:highlight w:val="none"/>
        </w:rPr>
        <w:t>1.6 联络</w:t>
      </w:r>
      <w:bookmarkEnd w:id="123"/>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1.6.1发包人和承包人应当在</w:t>
      </w:r>
      <w:r>
        <w:rPr>
          <w:rFonts w:hint="eastAsia" w:ascii="仿宋" w:hAnsi="仿宋" w:eastAsia="仿宋" w:cs="仿宋"/>
          <w:color w:val="auto"/>
          <w:sz w:val="24"/>
          <w:szCs w:val="24"/>
          <w:highlight w:val="none"/>
          <w:u w:val="single"/>
        </w:rPr>
        <w:t>合同签订后伍</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 发包人接收文件的地点：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4" w:name="_Toc23861"/>
      <w:r>
        <w:rPr>
          <w:rFonts w:hint="eastAsia" w:ascii="仿宋" w:hAnsi="仿宋" w:eastAsia="仿宋" w:cs="仿宋"/>
          <w:color w:val="auto"/>
          <w:sz w:val="24"/>
          <w:szCs w:val="24"/>
          <w:highlight w:val="none"/>
        </w:rPr>
        <w:t>1.7 交通运输</w:t>
      </w:r>
      <w:bookmarkEnd w:id="124"/>
    </w:p>
    <w:p>
      <w:pPr>
        <w:spacing w:line="360" w:lineRule="auto"/>
        <w:ind w:firstLine="480" w:firstLineChars="200"/>
        <w:outlineLvl w:val="0"/>
        <w:rPr>
          <w:rFonts w:hint="eastAsia" w:ascii="仿宋" w:hAnsi="仿宋" w:eastAsia="仿宋" w:cs="仿宋"/>
          <w:color w:val="auto"/>
          <w:sz w:val="24"/>
          <w:szCs w:val="24"/>
          <w:highlight w:val="none"/>
        </w:rPr>
      </w:pPr>
      <w:bookmarkStart w:id="125" w:name="_Toc14177"/>
      <w:r>
        <w:rPr>
          <w:rFonts w:hint="eastAsia" w:ascii="仿宋" w:hAnsi="仿宋" w:eastAsia="仿宋" w:cs="仿宋"/>
          <w:color w:val="auto"/>
          <w:sz w:val="24"/>
          <w:szCs w:val="24"/>
          <w:highlight w:val="none"/>
        </w:rPr>
        <w:t>1</w:t>
      </w:r>
      <w:bookmarkStart w:id="126" w:name="_Toc304295521"/>
      <w:bookmarkStart w:id="127" w:name="_Toc303539100"/>
      <w:bookmarkStart w:id="128" w:name="_Toc312677986"/>
      <w:bookmarkStart w:id="129" w:name="_Toc300934943"/>
      <w:bookmarkStart w:id="130" w:name="_Toc318581155"/>
      <w:r>
        <w:rPr>
          <w:rFonts w:hint="eastAsia" w:ascii="仿宋" w:hAnsi="仿宋" w:eastAsia="仿宋" w:cs="仿宋"/>
          <w:color w:val="auto"/>
          <w:sz w:val="24"/>
          <w:szCs w:val="24"/>
          <w:highlight w:val="none"/>
        </w:rPr>
        <w:t>.7.1 出入现场的权利</w:t>
      </w:r>
      <w:bookmarkEnd w:id="12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甲方负责办理乙方出入手续，相关费用由乙方承担</w:t>
      </w:r>
      <w:r>
        <w:rPr>
          <w:rFonts w:hint="eastAsia" w:ascii="仿宋" w:hAnsi="仿宋" w:eastAsia="仿宋" w:cs="仿宋"/>
          <w:color w:val="auto"/>
          <w:sz w:val="24"/>
          <w:szCs w:val="24"/>
          <w:highlight w:val="none"/>
        </w:rPr>
        <w:t>。</w:t>
      </w:r>
    </w:p>
    <w:bookmarkEnd w:id="126"/>
    <w:bookmarkEnd w:id="127"/>
    <w:bookmarkEnd w:id="128"/>
    <w:bookmarkEnd w:id="129"/>
    <w:bookmarkEnd w:id="130"/>
    <w:p>
      <w:pPr>
        <w:spacing w:line="360" w:lineRule="auto"/>
        <w:ind w:firstLine="480" w:firstLineChars="200"/>
        <w:jc w:val="left"/>
        <w:outlineLvl w:val="0"/>
        <w:rPr>
          <w:rFonts w:hint="eastAsia" w:ascii="仿宋" w:hAnsi="仿宋" w:eastAsia="仿宋" w:cs="仿宋"/>
          <w:color w:val="auto"/>
          <w:sz w:val="24"/>
          <w:szCs w:val="24"/>
          <w:highlight w:val="none"/>
        </w:rPr>
      </w:pPr>
      <w:bookmarkStart w:id="131" w:name="_Toc28370"/>
      <w:r>
        <w:rPr>
          <w:rFonts w:hint="eastAsia" w:ascii="仿宋" w:hAnsi="仿宋" w:eastAsia="仿宋" w:cs="仿宋"/>
          <w:color w:val="auto"/>
          <w:sz w:val="24"/>
          <w:szCs w:val="24"/>
          <w:highlight w:val="none"/>
        </w:rPr>
        <w:t>1</w:t>
      </w:r>
      <w:bookmarkStart w:id="132" w:name="_Toc300934944"/>
      <w:bookmarkStart w:id="133" w:name="_Toc318581156"/>
      <w:bookmarkStart w:id="134" w:name="_Toc304295522"/>
      <w:bookmarkStart w:id="135" w:name="_Toc312677987"/>
      <w:bookmarkStart w:id="136" w:name="_Toc303539101"/>
      <w:r>
        <w:rPr>
          <w:rFonts w:hint="eastAsia" w:ascii="仿宋" w:hAnsi="仿宋" w:eastAsia="仿宋" w:cs="仿宋"/>
          <w:color w:val="auto"/>
          <w:sz w:val="24"/>
          <w:szCs w:val="24"/>
          <w:highlight w:val="none"/>
        </w:rPr>
        <w:t>.7.2 场内交通</w:t>
      </w:r>
      <w:bookmarkEnd w:id="131"/>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sz w:val="24"/>
          <w:szCs w:val="24"/>
          <w:highlight w:val="none"/>
          <w:u w:val="single"/>
        </w:rPr>
        <w:t>施工现场封闭围挡范围以内为场内交通，范围以外为场外交通</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发包人提供施工场地道路满足承包人大型机械设备和运输车辆进出施工现场及通行的需要</w:t>
      </w:r>
      <w:r>
        <w:rPr>
          <w:rFonts w:hint="eastAsia" w:ascii="仿宋" w:hAnsi="仿宋" w:eastAsia="仿宋" w:cs="仿宋"/>
          <w:color w:val="auto"/>
          <w:sz w:val="24"/>
          <w:szCs w:val="24"/>
          <w:highlight w:val="none"/>
        </w:rPr>
        <w:t>。</w:t>
      </w:r>
      <w:bookmarkEnd w:id="132"/>
      <w:bookmarkEnd w:id="133"/>
      <w:bookmarkEnd w:id="134"/>
      <w:bookmarkEnd w:id="135"/>
      <w:bookmarkEnd w:id="136"/>
      <w:r>
        <w:rPr>
          <w:rFonts w:hint="eastAsia" w:ascii="仿宋" w:hAnsi="仿宋" w:eastAsia="仿宋" w:cs="仿宋"/>
          <w:color w:val="auto"/>
          <w:sz w:val="24"/>
          <w:szCs w:val="24"/>
          <w:highlight w:val="none"/>
        </w:rPr>
        <w:t xml:space="preserve">  </w:t>
      </w:r>
      <w:bookmarkStart w:id="137" w:name="_Toc3185811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1.7.3超大件和超重件的运输</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sz w:val="24"/>
          <w:szCs w:val="24"/>
          <w:highlight w:val="none"/>
        </w:rPr>
        <w:t>承担。</w:t>
      </w:r>
    </w:p>
    <w:bookmarkEnd w:id="137"/>
    <w:p>
      <w:pPr>
        <w:spacing w:after="120" w:line="360" w:lineRule="auto"/>
        <w:ind w:firstLine="480" w:firstLineChars="200"/>
        <w:outlineLvl w:val="0"/>
        <w:rPr>
          <w:rFonts w:hint="eastAsia" w:ascii="仿宋" w:hAnsi="仿宋" w:eastAsia="仿宋" w:cs="仿宋"/>
          <w:color w:val="auto"/>
          <w:sz w:val="24"/>
          <w:szCs w:val="24"/>
          <w:highlight w:val="none"/>
        </w:rPr>
      </w:pPr>
      <w:bookmarkStart w:id="138" w:name="_Toc5392"/>
      <w:r>
        <w:rPr>
          <w:rFonts w:hint="eastAsia" w:ascii="仿宋" w:hAnsi="仿宋" w:eastAsia="仿宋" w:cs="仿宋"/>
          <w:color w:val="auto"/>
          <w:sz w:val="24"/>
          <w:szCs w:val="24"/>
          <w:highlight w:val="none"/>
        </w:rPr>
        <w:t>1.8 知识产权</w:t>
      </w:r>
      <w:bookmarkEnd w:id="13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kern w:val="0"/>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关于承包人为实施工程所编制文件的著作权的归属：</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执行本合同通用条款 </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39" w:name="_Toc8531"/>
      <w:r>
        <w:rPr>
          <w:rFonts w:hint="eastAsia" w:ascii="仿宋" w:hAnsi="仿宋" w:eastAsia="仿宋" w:cs="仿宋"/>
          <w:color w:val="auto"/>
          <w:sz w:val="24"/>
          <w:szCs w:val="24"/>
          <w:highlight w:val="none"/>
        </w:rPr>
        <w:t>1.8.3 承包人在施工过程中所采用的专利、专有技术、技术秘密的使用费的承担方式：</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kern w:val="0"/>
          <w:sz w:val="24"/>
          <w:szCs w:val="24"/>
          <w:highlight w:val="none"/>
        </w:rPr>
        <w:t>。</w:t>
      </w:r>
      <w:bookmarkEnd w:id="13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1.9工程量清单错误的修正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超过-15%的原综合单价上浮10%,当清单出现漏项项目，漏项造价超出</w:t>
      </w:r>
      <w:r>
        <w:rPr>
          <w:rFonts w:hint="eastAsia" w:ascii="仿宋" w:hAnsi="仿宋" w:eastAsia="仿宋" w:cs="仿宋"/>
          <w:color w:val="auto"/>
          <w:sz w:val="24"/>
          <w:szCs w:val="24"/>
          <w:highlight w:val="none"/>
          <w:u w:val="single"/>
          <w:lang w:val="en-US" w:eastAsia="zh-CN"/>
        </w:rPr>
        <w:t>合同</w:t>
      </w:r>
      <w:r>
        <w:rPr>
          <w:rFonts w:hint="eastAsia" w:ascii="仿宋" w:hAnsi="仿宋" w:eastAsia="仿宋" w:cs="仿宋"/>
          <w:color w:val="auto"/>
          <w:sz w:val="24"/>
          <w:szCs w:val="24"/>
          <w:highlight w:val="none"/>
          <w:u w:val="single"/>
        </w:rPr>
        <w:t>总价（不含暂列金额）的3%时，3%以内（含3%）不予调整，超出3%部分按新疆现行预算定额取费后下浮15%结算，其中，主材、人工费和人工费调整、材料费及材差、税金不下浮。当确认变更的费用发生争议时，施工方不得以该争议作为怠工、停工等的理由，必须正常施工。</w:t>
      </w:r>
    </w:p>
    <w:p>
      <w:pPr>
        <w:pStyle w:val="6"/>
        <w:spacing w:before="120" w:after="120" w:line="360" w:lineRule="auto"/>
        <w:rPr>
          <w:rFonts w:hint="eastAsia" w:ascii="仿宋" w:hAnsi="仿宋" w:eastAsia="仿宋" w:cs="仿宋"/>
          <w:b w:val="0"/>
          <w:color w:val="auto"/>
          <w:sz w:val="24"/>
          <w:szCs w:val="24"/>
          <w:highlight w:val="none"/>
        </w:rPr>
      </w:pPr>
      <w:bookmarkStart w:id="140" w:name="_Toc351203634"/>
      <w:r>
        <w:rPr>
          <w:rFonts w:hint="eastAsia" w:ascii="仿宋" w:hAnsi="仿宋" w:eastAsia="仿宋" w:cs="仿宋"/>
          <w:b w:val="0"/>
          <w:color w:val="auto"/>
          <w:sz w:val="24"/>
          <w:szCs w:val="24"/>
          <w:highlight w:val="none"/>
        </w:rPr>
        <w:t>2</w:t>
      </w:r>
      <w:bookmarkStart w:id="141" w:name="_Toc296347156"/>
      <w:bookmarkStart w:id="142" w:name="_Toc297048343"/>
      <w:bookmarkStart w:id="143" w:name="_Toc292559362"/>
      <w:bookmarkStart w:id="144" w:name="_Toc296944496"/>
      <w:bookmarkStart w:id="145" w:name="_Toc297120457"/>
      <w:bookmarkStart w:id="146" w:name="_Toc296503157"/>
      <w:bookmarkStart w:id="147" w:name="_Toc296890985"/>
      <w:bookmarkStart w:id="148" w:name="_Toc292559867"/>
      <w:bookmarkStart w:id="149" w:name="_Toc296891197"/>
      <w:bookmarkStart w:id="150" w:name="_Toc296346658"/>
      <w:r>
        <w:rPr>
          <w:rFonts w:hint="eastAsia" w:ascii="仿宋" w:hAnsi="仿宋" w:eastAsia="仿宋" w:cs="仿宋"/>
          <w:b w:val="0"/>
          <w:color w:val="auto"/>
          <w:sz w:val="24"/>
          <w:szCs w:val="24"/>
          <w:highlight w:val="none"/>
        </w:rPr>
        <w:t>. 发包人</w:t>
      </w:r>
      <w:bookmarkEnd w:id="140"/>
    </w:p>
    <w:bookmarkEnd w:id="141"/>
    <w:bookmarkEnd w:id="142"/>
    <w:bookmarkEnd w:id="143"/>
    <w:bookmarkEnd w:id="144"/>
    <w:bookmarkEnd w:id="145"/>
    <w:bookmarkEnd w:id="146"/>
    <w:bookmarkEnd w:id="147"/>
    <w:bookmarkEnd w:id="148"/>
    <w:bookmarkEnd w:id="149"/>
    <w:bookmarkEnd w:id="150"/>
    <w:p>
      <w:pPr>
        <w:spacing w:after="120" w:line="360" w:lineRule="auto"/>
        <w:ind w:firstLine="480" w:firstLineChars="200"/>
        <w:outlineLvl w:val="0"/>
        <w:rPr>
          <w:rFonts w:hint="eastAsia" w:ascii="仿宋" w:hAnsi="仿宋" w:eastAsia="仿宋" w:cs="仿宋"/>
          <w:color w:val="auto"/>
          <w:sz w:val="24"/>
          <w:szCs w:val="24"/>
          <w:highlight w:val="none"/>
        </w:rPr>
      </w:pPr>
      <w:bookmarkStart w:id="151" w:name="_Toc4488"/>
      <w:r>
        <w:rPr>
          <w:rFonts w:hint="eastAsia" w:ascii="仿宋" w:hAnsi="仿宋" w:eastAsia="仿宋" w:cs="仿宋"/>
          <w:color w:val="auto"/>
          <w:sz w:val="24"/>
          <w:szCs w:val="24"/>
          <w:highlight w:val="none"/>
        </w:rPr>
        <w:t>2.1 发包人代表</w:t>
      </w:r>
      <w:bookmarkEnd w:id="15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负责工程材料、工程质量与工程进度的监督，负责施工现场的卫生与安全监督，负责施工现场管理协调。对工程经济技术签证进行确认；对工程设计变更、工程量变更等，按程序上报至发包人相关负责人处，经相关负责人批准后执行；其它方面需由发包人以书面授权委托的方式确认；发包人派驻工程管理代表需更换的，应提前7天书面通知承包人</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2" w:name="_Toc3106"/>
      <w:r>
        <w:rPr>
          <w:rFonts w:hint="eastAsia" w:ascii="仿宋" w:hAnsi="仿宋" w:eastAsia="仿宋" w:cs="仿宋"/>
          <w:color w:val="auto"/>
          <w:sz w:val="24"/>
          <w:szCs w:val="24"/>
          <w:highlight w:val="none"/>
        </w:rPr>
        <w:t>2.2 施工现场、施工条件和基础资料的提供</w:t>
      </w:r>
      <w:bookmarkEnd w:id="152"/>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提供施工现场</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kern w:val="0"/>
          <w:sz w:val="24"/>
          <w:szCs w:val="24"/>
          <w:highlight w:val="none"/>
          <w:u w:val="single"/>
        </w:rPr>
        <w:t>开工前提供施工现场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提供施工条件</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kern w:val="0"/>
          <w:sz w:val="24"/>
          <w:szCs w:val="24"/>
          <w:highlight w:val="none"/>
          <w:u w:val="single"/>
        </w:rPr>
        <w:t>发包人协调，承包人完成，费用包含在合同价中</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3" w:name="_Toc23573"/>
      <w:r>
        <w:rPr>
          <w:rFonts w:hint="eastAsia" w:ascii="仿宋" w:hAnsi="仿宋" w:eastAsia="仿宋" w:cs="仿宋"/>
          <w:color w:val="auto"/>
          <w:sz w:val="24"/>
          <w:szCs w:val="24"/>
          <w:highlight w:val="none"/>
        </w:rPr>
        <w:t>2.3 资金来源证明及支付担保</w:t>
      </w:r>
      <w:bookmarkEnd w:id="15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154" w:name="_Toc351203635"/>
      <w:r>
        <w:rPr>
          <w:rFonts w:hint="eastAsia" w:ascii="仿宋" w:hAnsi="仿宋" w:eastAsia="仿宋" w:cs="仿宋"/>
          <w:b w:val="0"/>
          <w:color w:val="auto"/>
          <w:sz w:val="24"/>
          <w:szCs w:val="24"/>
          <w:highlight w:val="none"/>
        </w:rPr>
        <w:t>3</w:t>
      </w:r>
      <w:bookmarkStart w:id="155" w:name="_Toc296346659"/>
      <w:bookmarkStart w:id="156" w:name="_Toc292559363"/>
      <w:bookmarkStart w:id="157" w:name="_Toc296891198"/>
      <w:bookmarkStart w:id="158" w:name="_Toc296890986"/>
      <w:bookmarkStart w:id="159" w:name="_Toc296503158"/>
      <w:bookmarkStart w:id="160" w:name="_Toc297048344"/>
      <w:bookmarkStart w:id="161" w:name="_Toc297120458"/>
      <w:bookmarkStart w:id="162" w:name="_Toc292559868"/>
      <w:bookmarkStart w:id="163" w:name="_Toc296944497"/>
      <w:bookmarkStart w:id="164" w:name="_Toc296347157"/>
      <w:r>
        <w:rPr>
          <w:rFonts w:hint="eastAsia" w:ascii="仿宋" w:hAnsi="仿宋" w:eastAsia="仿宋" w:cs="仿宋"/>
          <w:b w:val="0"/>
          <w:color w:val="auto"/>
          <w:sz w:val="24"/>
          <w:szCs w:val="24"/>
          <w:highlight w:val="none"/>
        </w:rPr>
        <w:t>. 承包人</w:t>
      </w:r>
      <w:bookmarkEnd w:id="154"/>
    </w:p>
    <w:bookmarkEnd w:id="155"/>
    <w:bookmarkEnd w:id="156"/>
    <w:bookmarkEnd w:id="157"/>
    <w:bookmarkEnd w:id="158"/>
    <w:bookmarkEnd w:id="159"/>
    <w:bookmarkEnd w:id="160"/>
    <w:bookmarkEnd w:id="161"/>
    <w:bookmarkEnd w:id="162"/>
    <w:bookmarkEnd w:id="163"/>
    <w:bookmarkEnd w:id="164"/>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承包人提交的竣工资料的内容：</w:t>
      </w:r>
      <w:r>
        <w:rPr>
          <w:rFonts w:hint="eastAsia" w:ascii="仿宋" w:hAnsi="仿宋" w:eastAsia="仿宋" w:cs="仿宋"/>
          <w:color w:val="auto"/>
          <w:sz w:val="24"/>
          <w:szCs w:val="24"/>
          <w:highlight w:val="none"/>
          <w:u w:val="single"/>
        </w:rPr>
        <w:t>全套施工及验收资料</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五套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承包人承担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工程竣工验收合格后7日内</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纸质五套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color w:val="auto"/>
          <w:sz w:val="24"/>
          <w:szCs w:val="24"/>
          <w:highlight w:val="none"/>
          <w:u w:val="single"/>
        </w:rPr>
        <w:t>1、严格执行建筑节能相关法律法规,在施工工程中节约资源,杜绝浪费。2、环保、卫生、安全等符合国家规定以及发包人的相关规定</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代表承包人履行合同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rPr>
        <w:t>25日以上</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发包人限期承包人在收到提交要求后3日内补交，并承担违约金1万元；3日内不能补交的，承包人必须更换项目经理，并承担违约金3万元/天，直至补交完毕为止，同时由此导致的一切责任由承包人承担，若给发包人造成损失的承包人负责。</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项目经理未经发包人批准，擅自离开施工现场的违约责任：</w:t>
      </w:r>
      <w:r>
        <w:rPr>
          <w:rFonts w:hint="eastAsia" w:ascii="仿宋" w:hAnsi="仿宋" w:eastAsia="仿宋" w:cs="仿宋"/>
          <w:color w:val="auto"/>
          <w:sz w:val="24"/>
          <w:szCs w:val="24"/>
          <w:highlight w:val="none"/>
          <w:u w:val="single"/>
        </w:rPr>
        <w:t>擅自离场≤3日的，承包人承担违约金1万元；擅自离场＞3日的，发包人有权要求承包人更换项目经理，并承担违约金3万元，由此导致的一切责任由承包人承担，若给发包人造成损失的承包人负责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承包人擅自更换项目经理的违约责任：</w:t>
      </w:r>
      <w:r>
        <w:rPr>
          <w:rFonts w:hint="eastAsia" w:ascii="仿宋" w:hAnsi="仿宋" w:eastAsia="仿宋" w:cs="仿宋"/>
          <w:color w:val="auto"/>
          <w:sz w:val="24"/>
          <w:szCs w:val="24"/>
          <w:highlight w:val="none"/>
          <w:u w:val="single"/>
        </w:rPr>
        <w:t>原项目经理如能继续履行职责，发包人应责令承包人撤销其更换决定，承包人承担违约金1万元；如原项目经理无法继续履行职责，发包人有权要求审核确认承包人更换的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65" w:name="_Toc2212"/>
      <w:r>
        <w:rPr>
          <w:rFonts w:hint="eastAsia" w:ascii="仿宋" w:hAnsi="仿宋" w:eastAsia="仿宋" w:cs="仿宋"/>
          <w:color w:val="auto"/>
          <w:sz w:val="24"/>
          <w:szCs w:val="24"/>
          <w:highlight w:val="none"/>
        </w:rPr>
        <w:t>3.2.3 承包人无正当理由拒绝更换项目经理的违约责任：</w:t>
      </w:r>
      <w:r>
        <w:rPr>
          <w:rFonts w:hint="eastAsia" w:ascii="仿宋" w:hAnsi="仿宋" w:eastAsia="仿宋" w:cs="仿宋"/>
          <w:color w:val="auto"/>
          <w:sz w:val="24"/>
          <w:szCs w:val="24"/>
          <w:highlight w:val="none"/>
          <w:u w:val="single"/>
        </w:rPr>
        <w:t>发包人应在承包人接到第二次更换通知第3日书面通知该项目经理停止工作，并指示暂时停止施工，按照通用条款7.8.2款处理</w:t>
      </w:r>
      <w:r>
        <w:rPr>
          <w:rFonts w:hint="eastAsia" w:ascii="仿宋" w:hAnsi="仿宋" w:eastAsia="仿宋" w:cs="仿宋"/>
          <w:color w:val="auto"/>
          <w:sz w:val="24"/>
          <w:szCs w:val="24"/>
          <w:highlight w:val="none"/>
        </w:rPr>
        <w:t>。</w:t>
      </w:r>
      <w:bookmarkEnd w:id="165"/>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开工前七日内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承包人无正当理由拒绝撤换主要施工管理人员的违约责任：</w:t>
      </w:r>
      <w:r>
        <w:rPr>
          <w:rFonts w:hint="eastAsia" w:ascii="仿宋" w:hAnsi="仿宋" w:eastAsia="仿宋" w:cs="仿宋"/>
          <w:color w:val="auto"/>
          <w:sz w:val="24"/>
          <w:szCs w:val="24"/>
          <w:highlight w:val="none"/>
          <w:u w:val="single"/>
        </w:rPr>
        <w:t xml:space="preserve">发包人应再次发出通知要求承包人3天之内予以更换，并承担违约金0.5万元/天；如承包人在接到第二次通知3天内仍拒绝更换的，发包人应书面通知该施工管理人员停止工作，并指示暂时停止施工，按照通用条款7.8.2款处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承包人主要施工管理人员离开施工现场的批准要求：</w:t>
      </w:r>
      <w:r>
        <w:rPr>
          <w:rFonts w:hint="eastAsia" w:ascii="仿宋" w:hAnsi="仿宋" w:eastAsia="仿宋" w:cs="仿宋"/>
          <w:color w:val="auto"/>
          <w:sz w:val="24"/>
          <w:szCs w:val="24"/>
          <w:highlight w:val="none"/>
          <w:u w:val="single"/>
        </w:rPr>
        <w:t xml:space="preserve"> 由监理人和发包人书面批准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3.3.4承包人擅自更换主要施工管理人员的违约责任：</w:t>
      </w:r>
      <w:r>
        <w:rPr>
          <w:rFonts w:hint="eastAsia" w:ascii="仿宋" w:hAnsi="仿宋" w:eastAsia="仿宋" w:cs="仿宋"/>
          <w:color w:val="auto"/>
          <w:sz w:val="24"/>
          <w:szCs w:val="24"/>
          <w:highlight w:val="none"/>
          <w:u w:val="single"/>
        </w:rPr>
        <w:t>如原主要施工管理人员能继续履行职责，发包人应责令承包人撤销其更换决定，承包人承担违约金0.5万元；如原主要施工管理人员无法继续履行职责，发包人有权要求审核确认承包人更换的施工管理人员，并承担违约金1万元，由此导致的一切责任由承包人承担。</w:t>
      </w:r>
    </w:p>
    <w:p>
      <w:pPr>
        <w:spacing w:after="12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 xml:space="preserve">擅自离场≤3日的，承包人承担违约金0.5万元/天；擅自离场＞3日的，监理人有权要求承包人更换该管理人员，并承担违约金1万元/天，由此导致的一切责任由承包人承担。 </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66" w:name="_Toc296346660"/>
      <w:bookmarkStart w:id="167" w:name="_Toc296503159"/>
      <w:bookmarkStart w:id="168" w:name="_Toc297123492"/>
      <w:bookmarkStart w:id="169" w:name="_Toc297048345"/>
      <w:bookmarkStart w:id="170" w:name="_Toc303539102"/>
      <w:bookmarkStart w:id="171" w:name="_Toc292559869"/>
      <w:bookmarkStart w:id="172" w:name="_Toc296944498"/>
      <w:bookmarkStart w:id="173" w:name="_Toc312677988"/>
      <w:bookmarkStart w:id="174" w:name="_Toc297216151"/>
      <w:bookmarkStart w:id="175" w:name="_Toc300934945"/>
      <w:bookmarkStart w:id="176" w:name="_Toc296890987"/>
      <w:bookmarkStart w:id="177" w:name="_Toc304295523"/>
      <w:bookmarkStart w:id="178" w:name="_Toc296891199"/>
      <w:bookmarkStart w:id="179" w:name="_Toc297120459"/>
      <w:bookmarkStart w:id="180" w:name="_Toc296347158"/>
      <w:bookmarkStart w:id="181" w:name="_Toc292559364"/>
      <w:r>
        <w:rPr>
          <w:rFonts w:hint="eastAsia" w:ascii="仿宋" w:hAnsi="仿宋" w:eastAsia="仿宋" w:cs="仿宋"/>
          <w:color w:val="auto"/>
          <w:sz w:val="24"/>
          <w:szCs w:val="24"/>
          <w:highlight w:val="none"/>
        </w:rPr>
        <w:t>.5 分包</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82" w:name="_Toc296346661"/>
      <w:bookmarkStart w:id="183" w:name="_Toc296890988"/>
      <w:bookmarkStart w:id="184" w:name="_Toc296503160"/>
      <w:bookmarkStart w:id="185" w:name="_Toc296944499"/>
      <w:bookmarkStart w:id="186" w:name="_Toc297048346"/>
      <w:bookmarkStart w:id="187" w:name="_Toc292559365"/>
      <w:bookmarkStart w:id="188" w:name="_Toc304295524"/>
      <w:bookmarkStart w:id="189" w:name="_Toc300934946"/>
      <w:bookmarkStart w:id="190" w:name="_Toc303539103"/>
      <w:bookmarkStart w:id="191" w:name="_Toc297120460"/>
      <w:bookmarkStart w:id="192" w:name="_Toc296891200"/>
      <w:bookmarkStart w:id="193" w:name="_Toc296347159"/>
      <w:bookmarkStart w:id="194" w:name="_Toc292559870"/>
      <w:bookmarkStart w:id="195" w:name="_Toc297123493"/>
      <w:bookmarkStart w:id="196" w:name="_Toc297216152"/>
      <w:bookmarkStart w:id="197" w:name="_Toc312677989"/>
      <w:bookmarkStart w:id="198" w:name="_Toc318581158"/>
      <w:r>
        <w:rPr>
          <w:rFonts w:hint="eastAsia" w:ascii="仿宋" w:hAnsi="仿宋" w:eastAsia="仿宋" w:cs="仿宋"/>
          <w:color w:val="auto"/>
          <w:sz w:val="24"/>
          <w:szCs w:val="24"/>
          <w:highlight w:val="none"/>
        </w:rPr>
        <w:t>.5.1 分包的一般约定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本工程无分包项目，合同约定承包范围的工作均交由承包人完成</w:t>
      </w:r>
      <w:r>
        <w:rPr>
          <w:rFonts w:hint="eastAsia" w:ascii="仿宋" w:hAnsi="仿宋" w:eastAsia="仿宋" w:cs="仿宋"/>
          <w:color w:val="auto"/>
          <w:sz w:val="24"/>
          <w:szCs w:val="24"/>
          <w:highlight w:val="none"/>
        </w:rPr>
        <w: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9" w:name="_Toc300934947"/>
      <w:bookmarkStart w:id="200" w:name="_Toc303539104"/>
      <w:bookmarkStart w:id="201" w:name="_Toc304295525"/>
      <w:bookmarkStart w:id="202" w:name="_Toc296891201"/>
      <w:bookmarkStart w:id="203" w:name="_Toc296347160"/>
      <w:bookmarkStart w:id="204" w:name="_Toc296503161"/>
      <w:bookmarkStart w:id="205" w:name="_Toc297216153"/>
      <w:bookmarkStart w:id="206" w:name="_Toc297048347"/>
      <w:bookmarkStart w:id="207" w:name="_Toc296346662"/>
      <w:bookmarkStart w:id="208" w:name="_Toc296890989"/>
      <w:bookmarkStart w:id="209" w:name="_Toc297120461"/>
      <w:bookmarkStart w:id="210" w:name="_Toc296944500"/>
      <w:bookmarkStart w:id="211" w:name="_Toc297123494"/>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212" w:name="_Toc318581159"/>
      <w:bookmarkStart w:id="213" w:name="_Toc312677990"/>
      <w:r>
        <w:rPr>
          <w:rFonts w:hint="eastAsia" w:ascii="仿宋" w:hAnsi="仿宋" w:eastAsia="仿宋" w:cs="仿宋"/>
          <w:color w:val="auto"/>
          <w:sz w:val="24"/>
          <w:szCs w:val="24"/>
          <w:highlight w:val="none"/>
        </w:rPr>
        <w:t>.5.2分包的确定</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分包合同价款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bookmarkEnd w:id="212"/>
    <w:bookmarkEnd w:id="21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从开工至工程竣工交付使用</w:t>
      </w:r>
      <w:r>
        <w:rPr>
          <w:rFonts w:hint="eastAsia" w:ascii="仿宋" w:hAnsi="仿宋" w:eastAsia="仿宋" w:cs="仿宋"/>
          <w:color w:val="auto"/>
          <w:kern w:val="0"/>
          <w:sz w:val="24"/>
          <w:szCs w:val="24"/>
          <w:highlight w:val="none"/>
        </w:rPr>
        <w:t>。</w:t>
      </w:r>
    </w:p>
    <w:p>
      <w:pPr>
        <w:spacing w:after="12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必须提供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承包人应按合同价款的3%提供履约担保金，履约担保可使用银行履约保函的形式。在收到成交通知书后承包人须在7个工作日内向采购人提交履约保证金。合同履约完成，缺陷责任期（12个月）结束，无息退还履约保证金。</w:t>
      </w:r>
    </w:p>
    <w:p>
      <w:pPr>
        <w:pStyle w:val="6"/>
        <w:spacing w:before="120" w:after="120" w:line="360" w:lineRule="auto"/>
        <w:rPr>
          <w:rFonts w:hint="eastAsia" w:ascii="仿宋" w:hAnsi="仿宋" w:eastAsia="仿宋" w:cs="仿宋"/>
          <w:b w:val="0"/>
          <w:color w:val="auto"/>
          <w:sz w:val="24"/>
          <w:szCs w:val="24"/>
          <w:highlight w:val="none"/>
        </w:rPr>
      </w:pPr>
      <w:bookmarkStart w:id="214" w:name="_Toc351203636"/>
      <w:r>
        <w:rPr>
          <w:rFonts w:hint="eastAsia" w:ascii="仿宋" w:hAnsi="仿宋" w:eastAsia="仿宋" w:cs="仿宋"/>
          <w:b w:val="0"/>
          <w:color w:val="auto"/>
          <w:sz w:val="24"/>
          <w:szCs w:val="24"/>
          <w:highlight w:val="none"/>
        </w:rPr>
        <w:t>4</w:t>
      </w:r>
      <w:bookmarkStart w:id="215" w:name="_Toc297120462"/>
      <w:bookmarkStart w:id="216" w:name="_Toc297048348"/>
      <w:bookmarkStart w:id="217" w:name="_Toc296944501"/>
      <w:bookmarkStart w:id="218" w:name="_Toc267251413"/>
      <w:bookmarkStart w:id="219" w:name="_Toc296347161"/>
      <w:bookmarkStart w:id="220" w:name="_Toc296346663"/>
      <w:bookmarkStart w:id="221" w:name="_Toc296891202"/>
      <w:bookmarkStart w:id="222" w:name="_Toc292559366"/>
      <w:bookmarkStart w:id="223" w:name="_Toc296890990"/>
      <w:bookmarkStart w:id="224" w:name="_Toc296503162"/>
      <w:bookmarkStart w:id="225" w:name="_Toc292559871"/>
      <w:r>
        <w:rPr>
          <w:rFonts w:hint="eastAsia" w:ascii="仿宋" w:hAnsi="仿宋" w:eastAsia="仿宋" w:cs="仿宋"/>
          <w:b w:val="0"/>
          <w:color w:val="auto"/>
          <w:sz w:val="24"/>
          <w:szCs w:val="24"/>
          <w:highlight w:val="none"/>
        </w:rPr>
        <w:t>. 监</w:t>
      </w:r>
      <w:bookmarkEnd w:id="215"/>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b w:val="0"/>
          <w:color w:val="auto"/>
          <w:sz w:val="24"/>
          <w:szCs w:val="24"/>
          <w:highlight w:val="none"/>
        </w:rPr>
        <w:t>理人</w:t>
      </w:r>
      <w:bookmarkEnd w:id="21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商定或确定</w:t>
      </w:r>
    </w:p>
    <w:p>
      <w:pPr>
        <w:spacing w:line="360" w:lineRule="auto"/>
        <w:ind w:firstLine="480" w:firstLineChars="200"/>
        <w:rPr>
          <w:rFonts w:hint="eastAsia" w:ascii="仿宋" w:hAnsi="仿宋" w:eastAsia="仿宋" w:cs="仿宋"/>
          <w:color w:val="auto"/>
          <w:sz w:val="24"/>
          <w:szCs w:val="24"/>
          <w:highlight w:val="none"/>
        </w:rPr>
      </w:pPr>
      <w:bookmarkStart w:id="226"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u w:val="single"/>
        </w:rPr>
        <w:t xml:space="preserve">  / 。</w:t>
      </w:r>
    </w:p>
    <w:p>
      <w:pPr>
        <w:pStyle w:val="6"/>
        <w:spacing w:before="120" w:after="120" w:line="360" w:lineRule="auto"/>
        <w:rPr>
          <w:rFonts w:hint="eastAsia" w:ascii="仿宋" w:hAnsi="仿宋" w:eastAsia="仿宋" w:cs="仿宋"/>
          <w:b w:val="0"/>
          <w:color w:val="auto"/>
          <w:sz w:val="24"/>
          <w:szCs w:val="24"/>
          <w:highlight w:val="none"/>
        </w:rPr>
      </w:pPr>
      <w:bookmarkStart w:id="227" w:name="_Toc351203637"/>
      <w:r>
        <w:rPr>
          <w:rFonts w:hint="eastAsia" w:ascii="仿宋" w:hAnsi="仿宋" w:eastAsia="仿宋" w:cs="仿宋"/>
          <w:b w:val="0"/>
          <w:color w:val="auto"/>
          <w:sz w:val="24"/>
          <w:szCs w:val="24"/>
          <w:highlight w:val="none"/>
        </w:rPr>
        <w:t>5</w:t>
      </w:r>
      <w:bookmarkEnd w:id="226"/>
      <w:bookmarkStart w:id="228" w:name="_Toc296891203"/>
      <w:bookmarkStart w:id="229" w:name="_Toc297120463"/>
      <w:bookmarkStart w:id="230" w:name="_Toc297048349"/>
      <w:bookmarkStart w:id="231" w:name="_Toc296944502"/>
      <w:bookmarkStart w:id="232" w:name="_Toc296890991"/>
      <w:bookmarkStart w:id="233" w:name="_Toc296503163"/>
      <w:bookmarkStart w:id="234" w:name="_Toc296346664"/>
      <w:bookmarkStart w:id="235" w:name="_Toc292559367"/>
      <w:bookmarkStart w:id="236" w:name="_Toc296347162"/>
      <w:bookmarkStart w:id="237" w:name="_Toc292559872"/>
      <w:r>
        <w:rPr>
          <w:rFonts w:hint="eastAsia" w:ascii="仿宋" w:hAnsi="仿宋" w:eastAsia="仿宋" w:cs="仿宋"/>
          <w:b w:val="0"/>
          <w:color w:val="auto"/>
          <w:sz w:val="24"/>
          <w:szCs w:val="24"/>
          <w:highlight w:val="none"/>
        </w:rPr>
        <w:t>. 工程质量</w:t>
      </w:r>
      <w:bookmarkEnd w:id="227"/>
    </w:p>
    <w:p>
      <w:pPr>
        <w:spacing w:after="120" w:line="360" w:lineRule="auto"/>
        <w:ind w:firstLine="480" w:firstLineChars="200"/>
        <w:outlineLvl w:val="0"/>
        <w:rPr>
          <w:rFonts w:hint="eastAsia" w:ascii="仿宋" w:hAnsi="仿宋" w:eastAsia="仿宋" w:cs="仿宋"/>
          <w:color w:val="auto"/>
          <w:sz w:val="24"/>
          <w:szCs w:val="24"/>
          <w:highlight w:val="none"/>
        </w:rPr>
      </w:pPr>
      <w:bookmarkStart w:id="238" w:name="_Toc23220"/>
      <w:r>
        <w:rPr>
          <w:rFonts w:hint="eastAsia" w:ascii="仿宋" w:hAnsi="仿宋" w:eastAsia="仿宋" w:cs="仿宋"/>
          <w:color w:val="auto"/>
          <w:sz w:val="24"/>
          <w:szCs w:val="24"/>
          <w:highlight w:val="none"/>
        </w:rPr>
        <w:t>5.1 质量要求</w:t>
      </w:r>
      <w:bookmarkEnd w:id="238"/>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39" w:name="_Toc300934949"/>
      <w:bookmarkStart w:id="240" w:name="_Toc318581164"/>
      <w:bookmarkStart w:id="241" w:name="_Toc304295527"/>
      <w:bookmarkStart w:id="242" w:name="_Toc297216155"/>
      <w:bookmarkStart w:id="243" w:name="_Toc303539106"/>
      <w:bookmarkStart w:id="244" w:name="_Toc297123496"/>
      <w:bookmarkStart w:id="245" w:name="_Toc312677997"/>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kern w:val="0"/>
          <w:sz w:val="24"/>
          <w:szCs w:val="24"/>
          <w:highlight w:val="none"/>
          <w:u w:val="single"/>
        </w:rPr>
        <w:t>工程质量标准必须符合现行国家有关工程施工质量验收规范和标准的要求</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6" w:name="_Toc5758"/>
      <w:r>
        <w:rPr>
          <w:rFonts w:hint="eastAsia" w:ascii="仿宋" w:hAnsi="仿宋" w:eastAsia="仿宋" w:cs="仿宋"/>
          <w:color w:val="auto"/>
          <w:sz w:val="24"/>
          <w:szCs w:val="24"/>
          <w:highlight w:val="none"/>
        </w:rPr>
        <w:t>5.2 隐蔽工程检查</w:t>
      </w:r>
      <w:bookmarkEnd w:id="24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5.2.1承包人提前通知监理人隐蔽工程检查的期限的约定：</w:t>
      </w:r>
      <w:r>
        <w:rPr>
          <w:rFonts w:hint="eastAsia" w:ascii="仿宋" w:hAnsi="仿宋" w:eastAsia="仿宋" w:cs="仿宋"/>
          <w:color w:val="auto"/>
          <w:sz w:val="24"/>
          <w:szCs w:val="24"/>
          <w:highlight w:val="none"/>
          <w:u w:val="single"/>
        </w:rPr>
        <w:t>工程隐蔽部位隐蔽前48小时内。因为承包人未提前通知造成监理人未能对隐蔽工程进行检查的，以后因为隐蔽工程而引发的一切争议的后果均由承包人承担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24</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48</w:t>
      </w:r>
      <w:r>
        <w:rPr>
          <w:rFonts w:hint="eastAsia" w:ascii="仿宋" w:hAnsi="仿宋" w:eastAsia="仿宋" w:cs="仿宋"/>
          <w:color w:val="auto"/>
          <w:sz w:val="24"/>
          <w:szCs w:val="24"/>
          <w:highlight w:val="none"/>
        </w:rPr>
        <w:t>小时。</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7" w:name="_Toc24993"/>
      <w:r>
        <w:rPr>
          <w:rFonts w:hint="eastAsia" w:ascii="仿宋" w:hAnsi="仿宋" w:eastAsia="仿宋" w:cs="仿宋"/>
          <w:color w:val="auto"/>
          <w:sz w:val="24"/>
          <w:szCs w:val="24"/>
          <w:highlight w:val="none"/>
        </w:rPr>
        <w:t>5.3不合格工程处理</w:t>
      </w:r>
      <w:bookmarkEnd w:id="24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除执行通用合同条款外，还应执行：①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承包人向发包人支付签约合同价格10％的违约金，造成发包人损失的，承包人应当承担损失的赔偿责任，该损失包括但不限于诉讼费、律师费、公证费、鉴定费、评估费、差旅费等费用。④发包人认为必要时，可以没收履约保证金，单方解除合同，另行发包。</w:t>
      </w:r>
    </w:p>
    <w:p>
      <w:pPr>
        <w:pStyle w:val="6"/>
        <w:spacing w:before="120" w:after="120" w:line="360" w:lineRule="auto"/>
        <w:rPr>
          <w:rFonts w:hint="eastAsia" w:ascii="仿宋" w:hAnsi="仿宋" w:eastAsia="仿宋" w:cs="仿宋"/>
          <w:b w:val="0"/>
          <w:color w:val="auto"/>
          <w:sz w:val="24"/>
          <w:szCs w:val="24"/>
          <w:highlight w:val="none"/>
        </w:rPr>
      </w:pPr>
      <w:bookmarkStart w:id="248" w:name="_Toc351203638"/>
      <w:r>
        <w:rPr>
          <w:rFonts w:hint="eastAsia" w:ascii="仿宋" w:hAnsi="仿宋" w:eastAsia="仿宋" w:cs="仿宋"/>
          <w:b w:val="0"/>
          <w:color w:val="auto"/>
          <w:sz w:val="24"/>
          <w:szCs w:val="24"/>
          <w:highlight w:val="none"/>
        </w:rPr>
        <w:t>6. 安全文明施工与环境保护</w:t>
      </w:r>
      <w:bookmarkEnd w:id="248"/>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关费用。否则，因此给发包人造成经济损失的，承包人应双倍赔偿发包人，因此受到的全部损失，发包人有权从应给承包人支付的后期费用中优先扣除，不足部分，承包人负责赔偿，承包人不及时赔偿的，每日向发包人承担付款百分之五的滞纳金。</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关于治安保卫的特别约定：</w:t>
      </w:r>
      <w:r>
        <w:rPr>
          <w:rFonts w:hint="eastAsia" w:ascii="仿宋" w:hAnsi="仿宋" w:eastAsia="仿宋" w:cs="仿宋"/>
          <w:color w:val="auto"/>
          <w:sz w:val="24"/>
          <w:szCs w:val="24"/>
          <w:highlight w:val="none"/>
          <w:u w:val="single"/>
        </w:rPr>
        <w:t>承包人制定应对突发治安事件紧急预案,承包人负责统一管理施工场地的治安保卫事项,对因治安事件发生的人身和财产损失，均由承包方负责,发包人不承担任何责任</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开工前2日内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关于安全文明施工费支付比例和支付期限的约定：</w:t>
      </w:r>
      <w:r>
        <w:rPr>
          <w:rFonts w:hint="eastAsia" w:ascii="仿宋" w:hAnsi="仿宋" w:eastAsia="仿宋" w:cs="仿宋"/>
          <w:color w:val="auto"/>
          <w:sz w:val="24"/>
          <w:szCs w:val="24"/>
          <w:highlight w:val="none"/>
          <w:u w:val="single"/>
        </w:rPr>
        <w:t>包含在合同价支付</w:t>
      </w:r>
      <w:r>
        <w:rPr>
          <w:rFonts w:hint="eastAsia" w:ascii="仿宋" w:hAnsi="仿宋" w:eastAsia="仿宋" w:cs="仿宋"/>
          <w:color w:val="auto"/>
          <w:sz w:val="24"/>
          <w:szCs w:val="24"/>
          <w:highlight w:val="none"/>
        </w:rPr>
        <w:t>。</w:t>
      </w:r>
    </w:p>
    <w:bookmarkEnd w:id="239"/>
    <w:bookmarkEnd w:id="240"/>
    <w:bookmarkEnd w:id="241"/>
    <w:bookmarkEnd w:id="242"/>
    <w:bookmarkEnd w:id="243"/>
    <w:bookmarkEnd w:id="244"/>
    <w:bookmarkEnd w:id="245"/>
    <w:p>
      <w:pPr>
        <w:pStyle w:val="6"/>
        <w:spacing w:before="120" w:after="120" w:line="360" w:lineRule="auto"/>
        <w:rPr>
          <w:rFonts w:hint="eastAsia" w:ascii="仿宋" w:hAnsi="仿宋" w:eastAsia="仿宋" w:cs="仿宋"/>
          <w:b w:val="0"/>
          <w:color w:val="auto"/>
          <w:sz w:val="24"/>
          <w:szCs w:val="24"/>
          <w:highlight w:val="none"/>
        </w:rPr>
      </w:pPr>
      <w:bookmarkStart w:id="249" w:name="_Toc351203639"/>
      <w:r>
        <w:rPr>
          <w:rFonts w:hint="eastAsia" w:ascii="仿宋" w:hAnsi="仿宋" w:eastAsia="仿宋" w:cs="仿宋"/>
          <w:b w:val="0"/>
          <w:color w:val="auto"/>
          <w:sz w:val="24"/>
          <w:szCs w:val="24"/>
          <w:highlight w:val="none"/>
        </w:rPr>
        <w:t>7. 工期和进度</w:t>
      </w:r>
      <w:bookmarkEnd w:id="24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7.1.2 </w:t>
      </w:r>
      <w:r>
        <w:rPr>
          <w:rFonts w:hint="eastAsia" w:ascii="仿宋" w:hAnsi="仿宋" w:eastAsia="仿宋" w:cs="仿宋"/>
          <w:color w:val="auto"/>
          <w:kern w:val="0"/>
          <w:sz w:val="24"/>
          <w:szCs w:val="24"/>
          <w:highlight w:val="none"/>
        </w:rPr>
        <w:t>施工组织设计的提交和修改</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sz w:val="24"/>
          <w:szCs w:val="24"/>
          <w:highlight w:val="none"/>
          <w:u w:val="single"/>
        </w:rPr>
        <w:t>开工三日内承包人将施工组织设计（方案）和进度计划提交发包人</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0" w:name="_Toc312677479"/>
      <w:bookmarkStart w:id="251" w:name="_Toc304295541"/>
      <w:bookmarkStart w:id="252" w:name="_Toc300934966"/>
      <w:bookmarkStart w:id="253" w:name="_Toc303539123"/>
      <w:bookmarkStart w:id="254" w:name="_Toc297123514"/>
      <w:bookmarkStart w:id="255" w:name="_Toc297216173"/>
      <w:bookmarkStart w:id="256" w:name="_Toc312678005"/>
      <w:r>
        <w:rPr>
          <w:rFonts w:hint="eastAsia" w:ascii="仿宋" w:hAnsi="仿宋" w:eastAsia="仿宋" w:cs="仿宋"/>
          <w:color w:val="auto"/>
          <w:sz w:val="24"/>
          <w:szCs w:val="24"/>
          <w:highlight w:val="none"/>
        </w:rPr>
        <w:t>.2 施工进度计划</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 施工进度计划的修订</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spacing w:line="360" w:lineRule="auto"/>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sz w:val="24"/>
          <w:szCs w:val="24"/>
          <w:highlight w:val="none"/>
          <w:u w:val="single"/>
        </w:rPr>
        <w:t>[开工通知]载明日期前7天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开工前7天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开工前7天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天内发出开工通知的，承包人有权提出价格调整要求，或者解除合同。</w:t>
      </w:r>
    </w:p>
    <w:bookmarkEnd w:id="250"/>
    <w:bookmarkEnd w:id="251"/>
    <w:bookmarkEnd w:id="252"/>
    <w:bookmarkEnd w:id="253"/>
    <w:bookmarkEnd w:id="254"/>
    <w:bookmarkEnd w:id="255"/>
    <w:bookmarkEnd w:id="256"/>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7" w:name="_Toc312678010"/>
      <w:bookmarkStart w:id="258" w:name="_Toc300934968"/>
      <w:bookmarkStart w:id="259" w:name="_Toc297216175"/>
      <w:bookmarkStart w:id="260" w:name="_Toc312677484"/>
      <w:bookmarkStart w:id="261" w:name="_Toc304295546"/>
      <w:bookmarkStart w:id="262" w:name="_Toc303539125"/>
      <w:bookmarkStart w:id="263" w:name="_Toc297123516"/>
      <w:r>
        <w:rPr>
          <w:rFonts w:hint="eastAsia" w:ascii="仿宋" w:hAnsi="仿宋" w:eastAsia="仿宋" w:cs="仿宋"/>
          <w:color w:val="auto"/>
          <w:sz w:val="24"/>
          <w:szCs w:val="24"/>
          <w:highlight w:val="none"/>
        </w:rPr>
        <w:t>.5 工期延误</w:t>
      </w:r>
    </w:p>
    <w:bookmarkEnd w:id="257"/>
    <w:bookmarkEnd w:id="258"/>
    <w:bookmarkEnd w:id="259"/>
    <w:bookmarkEnd w:id="260"/>
    <w:bookmarkEnd w:id="261"/>
    <w:bookmarkEnd w:id="262"/>
    <w:bookmarkEnd w:id="263"/>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因发包人原因导致工期延误的其他情形：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64" w:name="_Toc300934970"/>
      <w:bookmarkStart w:id="265" w:name="_Toc312677486"/>
      <w:bookmarkStart w:id="266" w:name="_Toc303539127"/>
      <w:bookmarkStart w:id="267" w:name="_Toc318581169"/>
      <w:bookmarkStart w:id="268" w:name="_Toc297216177"/>
      <w:bookmarkStart w:id="269" w:name="_Toc297123518"/>
      <w:bookmarkStart w:id="270" w:name="_Toc312678012"/>
      <w:bookmarkStart w:id="271" w:name="_Toc304295548"/>
      <w:r>
        <w:rPr>
          <w:rFonts w:hint="eastAsia" w:ascii="仿宋" w:hAnsi="仿宋" w:eastAsia="仿宋" w:cs="仿宋"/>
          <w:color w:val="auto"/>
          <w:sz w:val="24"/>
          <w:szCs w:val="24"/>
          <w:highlight w:val="none"/>
        </w:rPr>
        <w:t>.5.2 因承包人原因导致工期延误</w:t>
      </w:r>
    </w:p>
    <w:bookmarkEnd w:id="264"/>
    <w:bookmarkEnd w:id="265"/>
    <w:bookmarkEnd w:id="266"/>
    <w:bookmarkEnd w:id="267"/>
    <w:bookmarkEnd w:id="268"/>
    <w:bookmarkEnd w:id="269"/>
    <w:bookmarkEnd w:id="270"/>
    <w:bookmarkEnd w:id="271"/>
    <w:p>
      <w:pPr>
        <w:spacing w:line="560" w:lineRule="exact"/>
        <w:ind w:firstLine="480" w:firstLineChars="200"/>
        <w:jc w:val="left"/>
        <w:rPr>
          <w:rFonts w:hint="eastAsia" w:ascii="仿宋" w:hAnsi="仿宋" w:eastAsia="仿宋" w:cs="仿宋"/>
          <w:color w:val="auto"/>
          <w:sz w:val="24"/>
          <w:szCs w:val="24"/>
          <w:highlight w:val="none"/>
          <w:u w:val="single"/>
        </w:rPr>
      </w:pPr>
      <w:bookmarkStart w:id="272" w:name="_Toc318581171"/>
      <w:bookmarkStart w:id="273" w:name="_Toc312678014"/>
      <w:r>
        <w:rPr>
          <w:rFonts w:hint="eastAsia" w:ascii="仿宋" w:hAnsi="仿宋" w:eastAsia="仿宋" w:cs="仿宋"/>
          <w:color w:val="auto"/>
          <w:sz w:val="24"/>
          <w:szCs w:val="24"/>
          <w:highlight w:val="none"/>
        </w:rPr>
        <w:t>因</w:t>
      </w:r>
      <w:bookmarkStart w:id="274" w:name="_Toc312677487"/>
      <w:bookmarkStart w:id="275" w:name="_Toc312678013"/>
      <w:bookmarkStart w:id="276" w:name="_Toc318581170"/>
      <w:r>
        <w:rPr>
          <w:rFonts w:hint="eastAsia" w:ascii="仿宋" w:hAnsi="仿宋" w:eastAsia="仿宋" w:cs="仿宋"/>
          <w:color w:val="auto"/>
          <w:sz w:val="24"/>
          <w:szCs w:val="24"/>
          <w:highlight w:val="none"/>
        </w:rPr>
        <w:t>承包人原因造成工期延误，逾期竣工违约金的计算方法为：</w:t>
      </w:r>
      <w:r>
        <w:rPr>
          <w:rFonts w:hint="eastAsia" w:ascii="仿宋" w:hAnsi="仿宋" w:eastAsia="仿宋" w:cs="仿宋"/>
          <w:color w:val="auto"/>
          <w:sz w:val="24"/>
          <w:szCs w:val="24"/>
          <w:highlight w:val="none"/>
          <w:u w:val="single"/>
        </w:rPr>
        <w:t xml:space="preserve">每推延一天，赔偿一万元的违约金 </w:t>
      </w:r>
      <w:r>
        <w:rPr>
          <w:rFonts w:hint="eastAsia" w:ascii="仿宋" w:hAnsi="仿宋" w:eastAsia="仿宋" w:cs="仿宋"/>
          <w:color w:val="auto"/>
          <w:sz w:val="24"/>
          <w:szCs w:val="24"/>
          <w:highlight w:val="none"/>
        </w:rPr>
        <w:t>。</w:t>
      </w:r>
      <w:bookmarkEnd w:id="274"/>
      <w:bookmarkEnd w:id="275"/>
    </w:p>
    <w:bookmarkEnd w:id="276"/>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因承包人原因造成工期延误，逾期竣工违约金的上限：</w:t>
      </w:r>
      <w:r>
        <w:rPr>
          <w:rFonts w:hint="eastAsia" w:ascii="仿宋" w:hAnsi="仿宋" w:eastAsia="仿宋" w:cs="仿宋"/>
          <w:color w:val="auto"/>
          <w:sz w:val="24"/>
          <w:szCs w:val="24"/>
          <w:highlight w:val="none"/>
          <w:u w:val="single"/>
        </w:rPr>
        <w:t xml:space="preserve">逾期竣工的违约金不超过合同总价的10% </w:t>
      </w:r>
      <w:r>
        <w:rPr>
          <w:rFonts w:hint="eastAsia" w:ascii="仿宋" w:hAnsi="仿宋" w:eastAsia="仿宋" w:cs="仿宋"/>
          <w:color w:val="auto"/>
          <w:sz w:val="24"/>
          <w:szCs w:val="24"/>
          <w:highlight w:val="none"/>
        </w:rPr>
        <w:t>。</w:t>
      </w:r>
    </w:p>
    <w:bookmarkEnd w:id="272"/>
    <w:bookmarkEnd w:id="27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77" w:name="_Toc297123519"/>
      <w:bookmarkStart w:id="278" w:name="_Toc312678015"/>
      <w:bookmarkStart w:id="279" w:name="_Toc297216178"/>
      <w:bookmarkStart w:id="280" w:name="_Toc303539128"/>
      <w:bookmarkStart w:id="281" w:name="_Toc304295549"/>
      <w:bookmarkStart w:id="282" w:name="_Toc300934971"/>
      <w:r>
        <w:rPr>
          <w:rFonts w:hint="eastAsia" w:ascii="仿宋" w:hAnsi="仿宋" w:eastAsia="仿宋" w:cs="仿宋"/>
          <w:color w:val="auto"/>
          <w:sz w:val="24"/>
          <w:szCs w:val="24"/>
          <w:highlight w:val="none"/>
        </w:rPr>
        <w:t>.6 不</w:t>
      </w:r>
      <w:bookmarkEnd w:id="277"/>
      <w:bookmarkEnd w:id="278"/>
      <w:bookmarkEnd w:id="279"/>
      <w:bookmarkEnd w:id="280"/>
      <w:bookmarkEnd w:id="281"/>
      <w:bookmarkEnd w:id="282"/>
      <w:r>
        <w:rPr>
          <w:rFonts w:hint="eastAsia" w:ascii="仿宋" w:hAnsi="仿宋" w:eastAsia="仿宋" w:cs="仿宋"/>
          <w:color w:val="auto"/>
          <w:sz w:val="24"/>
          <w:szCs w:val="24"/>
          <w:highlight w:val="none"/>
        </w:rPr>
        <w:t>利物质条件</w:t>
      </w:r>
    </w:p>
    <w:p>
      <w:pPr>
        <w:spacing w:line="360" w:lineRule="auto"/>
        <w:ind w:firstLine="480" w:firstLineChars="200"/>
        <w:jc w:val="left"/>
        <w:rPr>
          <w:rFonts w:hint="eastAsia" w:ascii="仿宋" w:hAnsi="仿宋" w:eastAsia="仿宋" w:cs="仿宋"/>
          <w:color w:val="auto"/>
          <w:sz w:val="24"/>
          <w:szCs w:val="24"/>
          <w:highlight w:val="none"/>
        </w:rPr>
      </w:pPr>
      <w:bookmarkStart w:id="283" w:name="_Toc318581172"/>
      <w:bookmarkStart w:id="284" w:name="_Toc304295550"/>
      <w:bookmarkStart w:id="285" w:name="_Toc297123520"/>
      <w:bookmarkStart w:id="286" w:name="_Toc300934972"/>
      <w:bookmarkStart w:id="287" w:name="_Toc312678016"/>
      <w:bookmarkStart w:id="288" w:name="_Toc303539129"/>
      <w:bookmarkStart w:id="289" w:name="_Toc297216179"/>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283"/>
    <w:bookmarkEnd w:id="284"/>
    <w:bookmarkEnd w:id="285"/>
    <w:bookmarkEnd w:id="286"/>
    <w:bookmarkEnd w:id="287"/>
    <w:bookmarkEnd w:id="288"/>
    <w:bookmarkEnd w:id="289"/>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90" w:name="_Toc300934973"/>
      <w:bookmarkStart w:id="291" w:name="_Toc303539130"/>
      <w:bookmarkStart w:id="292" w:name="_Toc312678017"/>
      <w:bookmarkStart w:id="293" w:name="_Toc297123521"/>
      <w:bookmarkStart w:id="294" w:name="_Toc304295551"/>
      <w:bookmarkStart w:id="295" w:name="_Toc297216180"/>
      <w:r>
        <w:rPr>
          <w:rFonts w:hint="eastAsia" w:ascii="仿宋" w:hAnsi="仿宋" w:eastAsia="仿宋" w:cs="仿宋"/>
          <w:color w:val="auto"/>
          <w:sz w:val="24"/>
          <w:szCs w:val="24"/>
          <w:highlight w:val="none"/>
        </w:rPr>
        <w:t>.7异常恶劣的气候条件</w:t>
      </w:r>
    </w:p>
    <w:bookmarkEnd w:id="290"/>
    <w:bookmarkEnd w:id="291"/>
    <w:bookmarkEnd w:id="292"/>
    <w:bookmarkEnd w:id="293"/>
    <w:bookmarkEnd w:id="294"/>
    <w:bookmarkEnd w:id="29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执行通用条款。</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7.8其他约定</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7.8.1 承包人自行负责建筑垃圾的清理,交工时必须保证场地的干净整齐，所发生的费用由承包人自行承担。</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施工水、电的费用由承包人自理（包括开挖、堆土造成的草坪、树木恢复费用）。</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7.8.3承包人在工程施工、竣工及保修的整个过程中对施工现场全部人员的保险及安全负责，费用自理。</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解除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双倍赔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7.8.6承包人应具备该工程所需的施工资质，并确保其工作人员具有该工程所需的资格证书。否则因此给发包人造成任何损失的，承包人双倍赔偿。</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96" w:name="_Toc1893"/>
      <w:r>
        <w:rPr>
          <w:rFonts w:hint="eastAsia" w:ascii="仿宋" w:hAnsi="仿宋" w:eastAsia="仿宋" w:cs="仿宋"/>
          <w:color w:val="auto"/>
          <w:sz w:val="24"/>
          <w:szCs w:val="24"/>
          <w:highlight w:val="none"/>
        </w:rPr>
        <w:t>7.9 提前竣工的奖励</w:t>
      </w:r>
      <w:bookmarkEnd w:id="29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7.9.1提前竣工的奖励：</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297" w:name="_Toc351203640"/>
      <w:r>
        <w:rPr>
          <w:rFonts w:hint="eastAsia" w:ascii="仿宋" w:hAnsi="仿宋" w:eastAsia="仿宋" w:cs="仿宋"/>
          <w:b w:val="0"/>
          <w:color w:val="auto"/>
          <w:sz w:val="24"/>
          <w:szCs w:val="24"/>
          <w:highlight w:val="none"/>
        </w:rPr>
        <w:t>8. 材料与设备</w:t>
      </w:r>
      <w:bookmarkEnd w:id="297"/>
    </w:p>
    <w:bookmarkEnd w:id="228"/>
    <w:bookmarkEnd w:id="229"/>
    <w:bookmarkEnd w:id="230"/>
    <w:bookmarkEnd w:id="231"/>
    <w:bookmarkEnd w:id="232"/>
    <w:bookmarkEnd w:id="233"/>
    <w:bookmarkEnd w:id="234"/>
    <w:bookmarkEnd w:id="235"/>
    <w:bookmarkEnd w:id="236"/>
    <w:bookmarkEnd w:id="237"/>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298" w:name="_Toc280868654"/>
      <w:bookmarkStart w:id="299" w:name="_Toc296346668"/>
      <w:bookmarkStart w:id="300" w:name="_Toc296891207"/>
      <w:bookmarkStart w:id="301" w:name="_Toc304295556"/>
      <w:bookmarkStart w:id="302" w:name="_Toc300934979"/>
      <w:bookmarkStart w:id="303" w:name="_Toc296347166"/>
      <w:bookmarkStart w:id="304" w:name="_Toc296944506"/>
      <w:bookmarkStart w:id="305" w:name="_Toc312677493"/>
      <w:bookmarkStart w:id="306" w:name="_Toc312678019"/>
      <w:bookmarkStart w:id="307" w:name="_Toc297048353"/>
      <w:bookmarkStart w:id="308" w:name="_Toc297216186"/>
      <w:bookmarkStart w:id="309" w:name="_Toc296890995"/>
      <w:bookmarkStart w:id="310" w:name="_Toc292559877"/>
      <w:bookmarkStart w:id="311" w:name="_Toc297120467"/>
      <w:bookmarkStart w:id="312" w:name="_Toc303539136"/>
      <w:bookmarkStart w:id="313" w:name="_Toc297123527"/>
      <w:bookmarkStart w:id="314" w:name="_Toc296503167"/>
      <w:bookmarkStart w:id="315" w:name="_Toc292559372"/>
      <w:bookmarkStart w:id="316" w:name="_Toc280868656"/>
      <w:bookmarkStart w:id="317" w:name="_Toc267251424"/>
      <w:bookmarkStart w:id="318" w:name="_Toc280868655"/>
      <w:r>
        <w:rPr>
          <w:rFonts w:hint="eastAsia" w:ascii="仿宋" w:hAnsi="仿宋" w:eastAsia="仿宋" w:cs="仿宋"/>
          <w:color w:val="auto"/>
          <w:sz w:val="24"/>
          <w:szCs w:val="24"/>
          <w:highlight w:val="none"/>
        </w:rPr>
        <w:t>.1材料与工程设备的保管与使用</w:t>
      </w:r>
    </w:p>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19" w:name="_Toc292559373"/>
      <w:bookmarkStart w:id="320" w:name="_Toc292559878"/>
      <w:bookmarkStart w:id="321" w:name="_Toc303539137"/>
      <w:bookmarkStart w:id="322" w:name="_Toc296891208"/>
      <w:bookmarkStart w:id="323" w:name="_Toc296890996"/>
      <w:bookmarkStart w:id="324" w:name="_Toc312678020"/>
      <w:bookmarkStart w:id="325" w:name="_Toc300934980"/>
      <w:bookmarkStart w:id="326" w:name="_Toc297120468"/>
      <w:bookmarkStart w:id="327" w:name="_Toc304295557"/>
      <w:bookmarkStart w:id="328" w:name="_Toc318581173"/>
      <w:bookmarkStart w:id="329" w:name="_Toc297123528"/>
      <w:bookmarkStart w:id="330" w:name="_Toc296503168"/>
      <w:bookmarkStart w:id="331" w:name="_Toc296346669"/>
      <w:bookmarkStart w:id="332" w:name="_Toc297048354"/>
      <w:bookmarkStart w:id="333" w:name="_Toc312677494"/>
      <w:bookmarkStart w:id="334" w:name="_Toc297216187"/>
      <w:bookmarkStart w:id="335" w:name="_Toc296944507"/>
      <w:bookmarkStart w:id="336" w:name="_Toc296347167"/>
      <w:r>
        <w:rPr>
          <w:rFonts w:hint="eastAsia" w:ascii="仿宋" w:hAnsi="仿宋" w:eastAsia="仿宋" w:cs="仿宋"/>
          <w:color w:val="auto"/>
          <w:sz w:val="24"/>
          <w:szCs w:val="24"/>
          <w:highlight w:val="none"/>
        </w:rPr>
        <w:t>.1.1发包人供应的材料设备的保管费用的承担：</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bookmarkEnd w:id="319"/>
      <w:bookmarkEnd w:id="320"/>
    </w:p>
    <w:p>
      <w:pPr>
        <w:spacing w:after="120" w:line="360" w:lineRule="auto"/>
        <w:ind w:firstLine="480" w:firstLineChars="200"/>
        <w:outlineLvl w:val="0"/>
        <w:rPr>
          <w:rFonts w:hint="eastAsia" w:ascii="仿宋" w:hAnsi="仿宋" w:eastAsia="仿宋" w:cs="仿宋"/>
          <w:color w:val="auto"/>
          <w:sz w:val="24"/>
          <w:szCs w:val="24"/>
          <w:highlight w:val="none"/>
        </w:rPr>
      </w:pPr>
      <w:bookmarkStart w:id="337" w:name="_Toc14465"/>
      <w:r>
        <w:rPr>
          <w:rFonts w:hint="eastAsia" w:ascii="仿宋" w:hAnsi="仿宋" w:eastAsia="仿宋" w:cs="仿宋"/>
          <w:color w:val="auto"/>
          <w:sz w:val="24"/>
          <w:szCs w:val="24"/>
          <w:highlight w:val="none"/>
        </w:rPr>
        <w:t>8.2 样品</w:t>
      </w:r>
      <w:bookmarkEnd w:id="337"/>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38" w:name="_Toc22052"/>
      <w:r>
        <w:rPr>
          <w:rFonts w:hint="eastAsia" w:ascii="仿宋" w:hAnsi="仿宋" w:eastAsia="仿宋" w:cs="仿宋"/>
          <w:color w:val="auto"/>
          <w:sz w:val="24"/>
          <w:szCs w:val="24"/>
          <w:highlight w:val="none"/>
        </w:rPr>
        <w:t>8.3 施工设备和临时设施</w:t>
      </w:r>
      <w:bookmarkEnd w:id="338"/>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 承包人提供的施工设备和临时设施</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承包人自行承担</w:t>
      </w:r>
      <w:r>
        <w:rPr>
          <w:rFonts w:hint="eastAsia" w:ascii="仿宋" w:hAnsi="仿宋" w:eastAsia="仿宋" w:cs="仿宋"/>
          <w:color w:val="auto"/>
          <w:sz w:val="24"/>
          <w:szCs w:val="24"/>
          <w:highlight w:val="none"/>
        </w:rPr>
        <w:t>。</w:t>
      </w:r>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pStyle w:val="6"/>
        <w:spacing w:before="120" w:after="120" w:line="360" w:lineRule="auto"/>
        <w:rPr>
          <w:rFonts w:hint="eastAsia" w:ascii="仿宋" w:hAnsi="仿宋" w:eastAsia="仿宋" w:cs="仿宋"/>
          <w:b w:val="0"/>
          <w:color w:val="auto"/>
          <w:sz w:val="24"/>
          <w:szCs w:val="24"/>
          <w:highlight w:val="none"/>
        </w:rPr>
      </w:pPr>
      <w:bookmarkStart w:id="339" w:name="_Toc351203641"/>
      <w:r>
        <w:rPr>
          <w:rFonts w:hint="eastAsia" w:ascii="仿宋" w:hAnsi="仿宋" w:eastAsia="仿宋" w:cs="仿宋"/>
          <w:b w:val="0"/>
          <w:color w:val="auto"/>
          <w:sz w:val="24"/>
          <w:szCs w:val="24"/>
          <w:highlight w:val="none"/>
        </w:rPr>
        <w:t>9</w:t>
      </w:r>
      <w:bookmarkEnd w:id="316"/>
      <w:bookmarkEnd w:id="317"/>
      <w:bookmarkEnd w:id="318"/>
      <w:bookmarkStart w:id="340" w:name="_Toc297216192"/>
      <w:bookmarkStart w:id="341" w:name="_Toc300934982"/>
      <w:bookmarkStart w:id="342" w:name="_Toc312677495"/>
      <w:bookmarkStart w:id="343" w:name="_Toc312678021"/>
      <w:bookmarkStart w:id="344" w:name="_Toc304295559"/>
      <w:bookmarkStart w:id="345" w:name="_Toc303539139"/>
      <w:bookmarkStart w:id="346" w:name="_Toc297123533"/>
      <w:bookmarkStart w:id="347" w:name="_Toc296347172"/>
      <w:bookmarkStart w:id="348" w:name="_Toc292559883"/>
      <w:bookmarkStart w:id="349" w:name="_Toc292559378"/>
      <w:bookmarkStart w:id="350" w:name="_Toc296346674"/>
      <w:bookmarkStart w:id="351" w:name="_Toc296503173"/>
      <w:bookmarkStart w:id="352" w:name="_Toc296944512"/>
      <w:bookmarkStart w:id="353" w:name="_Toc297048359"/>
      <w:bookmarkStart w:id="354" w:name="_Toc297120473"/>
      <w:bookmarkStart w:id="355" w:name="_Toc267251427"/>
      <w:bookmarkStart w:id="356" w:name="_Toc296891001"/>
      <w:bookmarkStart w:id="357" w:name="_Toc296891213"/>
      <w:bookmarkStart w:id="358" w:name="_Toc267251428"/>
      <w:r>
        <w:rPr>
          <w:rFonts w:hint="eastAsia" w:ascii="仿宋" w:hAnsi="仿宋" w:eastAsia="仿宋" w:cs="仿宋"/>
          <w:b w:val="0"/>
          <w:color w:val="auto"/>
          <w:sz w:val="24"/>
          <w:szCs w:val="24"/>
          <w:highlight w:val="none"/>
        </w:rPr>
        <w:t>. 试验与检验</w:t>
      </w:r>
      <w:bookmarkEnd w:id="339"/>
    </w:p>
    <w:bookmarkEnd w:id="340"/>
    <w:bookmarkEnd w:id="341"/>
    <w:bookmarkEnd w:id="342"/>
    <w:bookmarkEnd w:id="343"/>
    <w:bookmarkEnd w:id="344"/>
    <w:bookmarkEnd w:id="345"/>
    <w:bookmarkEnd w:id="346"/>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59" w:name="_Toc312677496"/>
      <w:bookmarkStart w:id="360" w:name="_Toc297123534"/>
      <w:bookmarkStart w:id="361" w:name="_Toc300934983"/>
      <w:bookmarkStart w:id="362" w:name="_Toc304295560"/>
      <w:bookmarkStart w:id="363" w:name="_Toc297216193"/>
      <w:bookmarkStart w:id="364" w:name="_Toc303539140"/>
      <w:bookmarkStart w:id="365" w:name="_Toc312678022"/>
      <w:r>
        <w:rPr>
          <w:rFonts w:hint="eastAsia" w:ascii="仿宋" w:hAnsi="仿宋" w:eastAsia="仿宋" w:cs="仿宋"/>
          <w:color w:val="auto"/>
          <w:sz w:val="24"/>
          <w:szCs w:val="24"/>
          <w:highlight w:val="none"/>
        </w:rPr>
        <w:t>.1试验设备与试验人员</w:t>
      </w:r>
    </w:p>
    <w:bookmarkEnd w:id="359"/>
    <w:bookmarkEnd w:id="360"/>
    <w:bookmarkEnd w:id="361"/>
    <w:bookmarkEnd w:id="362"/>
    <w:bookmarkEnd w:id="363"/>
    <w:bookmarkEnd w:id="364"/>
    <w:bookmarkEnd w:id="36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66" w:name="_Toc312677497"/>
      <w:bookmarkStart w:id="367" w:name="_Toc297216194"/>
      <w:bookmarkStart w:id="368" w:name="_Toc312678023"/>
      <w:bookmarkStart w:id="369" w:name="_Toc303539141"/>
      <w:bookmarkStart w:id="370" w:name="_Toc300934984"/>
      <w:bookmarkStart w:id="371" w:name="_Toc297123535"/>
      <w:bookmarkStart w:id="372" w:name="_Toc304295561"/>
      <w:bookmarkStart w:id="373" w:name="_Toc318581174"/>
      <w:r>
        <w:rPr>
          <w:rFonts w:hint="eastAsia" w:ascii="仿宋" w:hAnsi="仿宋" w:eastAsia="仿宋" w:cs="仿宋"/>
          <w:color w:val="auto"/>
          <w:sz w:val="24"/>
          <w:szCs w:val="24"/>
          <w:highlight w:val="none"/>
        </w:rPr>
        <w:t>.1.1 试验设备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366"/>
      <w:bookmarkEnd w:id="367"/>
      <w:bookmarkEnd w:id="368"/>
      <w:bookmarkEnd w:id="369"/>
      <w:bookmarkEnd w:id="370"/>
      <w:bookmarkEnd w:id="371"/>
      <w:bookmarkEnd w:id="372"/>
      <w:bookmarkStart w:id="374" w:name="_Toc297123536"/>
      <w:bookmarkStart w:id="375" w:name="_Toc312677498"/>
      <w:bookmarkStart w:id="376" w:name="_Toc312678024"/>
      <w:bookmarkStart w:id="377" w:name="_Toc303539142"/>
      <w:bookmarkStart w:id="378" w:name="_Toc297216195"/>
      <w:bookmarkStart w:id="379" w:name="_Toc304295562"/>
      <w:bookmarkStart w:id="380" w:name="_Toc300934985"/>
      <w:r>
        <w:rPr>
          <w:rFonts w:hint="eastAsia" w:ascii="仿宋" w:hAnsi="仿宋" w:eastAsia="仿宋" w:cs="仿宋"/>
          <w:color w:val="auto"/>
          <w:kern w:val="0"/>
          <w:sz w:val="24"/>
          <w:szCs w:val="24"/>
          <w:highlight w:val="none"/>
          <w:u w:val="single"/>
        </w:rPr>
        <w:t>承包人根据合同约定或监理人指示进行的现场材料试验，应由承包人提供试验场所、试验人员、试验设备以及其他必要的试验条件</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81" w:name="_Toc25031"/>
      <w:r>
        <w:rPr>
          <w:rFonts w:hint="eastAsia" w:ascii="仿宋" w:hAnsi="仿宋" w:eastAsia="仿宋" w:cs="仿宋"/>
          <w:color w:val="auto"/>
          <w:sz w:val="24"/>
          <w:szCs w:val="24"/>
          <w:highlight w:val="none"/>
        </w:rPr>
        <w:t>9.2 现场工艺试验</w:t>
      </w:r>
      <w:bookmarkEnd w:id="381"/>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bookmarkEnd w:id="373"/>
    <w:bookmarkEnd w:id="374"/>
    <w:bookmarkEnd w:id="375"/>
    <w:bookmarkEnd w:id="376"/>
    <w:bookmarkEnd w:id="377"/>
    <w:bookmarkEnd w:id="378"/>
    <w:bookmarkEnd w:id="379"/>
    <w:bookmarkEnd w:id="380"/>
    <w:p>
      <w:pPr>
        <w:pStyle w:val="6"/>
        <w:spacing w:before="120" w:after="120" w:line="360" w:lineRule="auto"/>
        <w:rPr>
          <w:rFonts w:hint="eastAsia" w:ascii="仿宋" w:hAnsi="仿宋" w:eastAsia="仿宋" w:cs="仿宋"/>
          <w:b w:val="0"/>
          <w:color w:val="auto"/>
          <w:sz w:val="24"/>
          <w:szCs w:val="24"/>
          <w:highlight w:val="none"/>
        </w:rPr>
      </w:pPr>
      <w:bookmarkStart w:id="382" w:name="_Toc351203642"/>
      <w:r>
        <w:rPr>
          <w:rFonts w:hint="eastAsia" w:ascii="仿宋" w:hAnsi="仿宋" w:eastAsia="仿宋" w:cs="仿宋"/>
          <w:b w:val="0"/>
          <w:color w:val="auto"/>
          <w:sz w:val="24"/>
          <w:szCs w:val="24"/>
          <w:highlight w:val="none"/>
        </w:rPr>
        <w:t>1</w:t>
      </w:r>
      <w:bookmarkEnd w:id="347"/>
      <w:bookmarkEnd w:id="348"/>
      <w:bookmarkEnd w:id="349"/>
      <w:bookmarkEnd w:id="350"/>
      <w:bookmarkEnd w:id="351"/>
      <w:bookmarkEnd w:id="352"/>
      <w:bookmarkEnd w:id="353"/>
      <w:bookmarkEnd w:id="354"/>
      <w:bookmarkEnd w:id="355"/>
      <w:bookmarkEnd w:id="356"/>
      <w:bookmarkEnd w:id="357"/>
      <w:bookmarkEnd w:id="358"/>
      <w:bookmarkStart w:id="383" w:name="_Toc296891233"/>
      <w:bookmarkStart w:id="384" w:name="_Toc297123540"/>
      <w:bookmarkStart w:id="385" w:name="_Toc297120493"/>
      <w:bookmarkStart w:id="386" w:name="_Toc296347192"/>
      <w:bookmarkStart w:id="387" w:name="_Toc297216199"/>
      <w:bookmarkStart w:id="388" w:name="_Toc296503193"/>
      <w:bookmarkStart w:id="389" w:name="_Toc292559903"/>
      <w:bookmarkStart w:id="390" w:name="_Toc296944532"/>
      <w:bookmarkStart w:id="391" w:name="_Toc296891021"/>
      <w:bookmarkStart w:id="392" w:name="_Toc297048379"/>
      <w:bookmarkStart w:id="393" w:name="_Toc296346694"/>
      <w:bookmarkStart w:id="394" w:name="_Toc303539146"/>
      <w:bookmarkStart w:id="395" w:name="_Toc304295566"/>
      <w:bookmarkStart w:id="396" w:name="_Toc300934989"/>
      <w:bookmarkStart w:id="397" w:name="_Toc292559398"/>
      <w:bookmarkStart w:id="398" w:name="_Toc312677499"/>
      <w:bookmarkStart w:id="399" w:name="_Toc312678025"/>
      <w:bookmarkStart w:id="400" w:name="_Toc267251440"/>
      <w:bookmarkStart w:id="401" w:name="_Toc267251439"/>
      <w:bookmarkStart w:id="402" w:name="_Toc267251441"/>
      <w:bookmarkStart w:id="403" w:name="_Toc267251433"/>
      <w:bookmarkStart w:id="404" w:name="_Toc267251435"/>
      <w:bookmarkStart w:id="405" w:name="_Toc267251437"/>
      <w:bookmarkStart w:id="406" w:name="_Toc267251442"/>
      <w:r>
        <w:rPr>
          <w:rFonts w:hint="eastAsia" w:ascii="仿宋" w:hAnsi="仿宋" w:eastAsia="仿宋" w:cs="仿宋"/>
          <w:b w:val="0"/>
          <w:color w:val="auto"/>
          <w:sz w:val="24"/>
          <w:szCs w:val="24"/>
          <w:highlight w:val="none"/>
        </w:rPr>
        <w:t>0. 变更</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bookmarkEnd w:id="398"/>
    <w:bookmarkEnd w:id="399"/>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07" w:name="_Toc296503194"/>
      <w:bookmarkStart w:id="408" w:name="_Toc296891234"/>
      <w:bookmarkStart w:id="409" w:name="_Toc296944533"/>
      <w:bookmarkStart w:id="410" w:name="_Toc297123541"/>
      <w:bookmarkStart w:id="411" w:name="_Toc296347193"/>
      <w:bookmarkStart w:id="412" w:name="_Toc292559399"/>
      <w:bookmarkStart w:id="413" w:name="_Toc297048380"/>
      <w:bookmarkStart w:id="414" w:name="_Toc292559904"/>
      <w:bookmarkStart w:id="415" w:name="_Toc312678026"/>
      <w:bookmarkStart w:id="416" w:name="_Toc297216200"/>
      <w:bookmarkStart w:id="417" w:name="_Toc296346695"/>
      <w:bookmarkStart w:id="418" w:name="_Toc300934990"/>
      <w:bookmarkStart w:id="419" w:name="_Toc304295567"/>
      <w:bookmarkStart w:id="420" w:name="_Toc296891022"/>
      <w:bookmarkStart w:id="421" w:name="_Toc297120494"/>
      <w:bookmarkStart w:id="422" w:name="_Toc312677500"/>
      <w:bookmarkStart w:id="423" w:name="_Toc303539147"/>
      <w:r>
        <w:rPr>
          <w:rFonts w:hint="eastAsia" w:ascii="仿宋" w:hAnsi="仿宋" w:eastAsia="仿宋" w:cs="仿宋"/>
          <w:color w:val="auto"/>
          <w:sz w:val="24"/>
          <w:szCs w:val="24"/>
          <w:highlight w:val="none"/>
        </w:rPr>
        <w:t>0.1变更的范围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rPr>
        <w:t>执行合同通用条款10.1条</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424" w:name="_Toc27373"/>
      <w:r>
        <w:rPr>
          <w:rFonts w:hint="eastAsia" w:ascii="仿宋" w:hAnsi="仿宋" w:eastAsia="仿宋" w:cs="仿宋"/>
          <w:color w:val="auto"/>
          <w:sz w:val="24"/>
          <w:szCs w:val="24"/>
          <w:highlight w:val="none"/>
        </w:rPr>
        <w:t>10.2 变更估价</w:t>
      </w:r>
      <w:bookmarkEnd w:id="424"/>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 变更估价原则</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（1）已标价工程量清单或预算书有相同项目的，按照相同项目单价认定；</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（2）已标价工程量清单或预算书中无相同项目，但有类似项目的，参照类似项目的单价认定；</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通用条款第4.4款〔商定或确定〕确定变更工作的单价</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Start w:id="425" w:name="_Toc297120497"/>
      <w:bookmarkStart w:id="426" w:name="_Toc296944536"/>
      <w:bookmarkStart w:id="427" w:name="_Toc297216203"/>
      <w:bookmarkStart w:id="428" w:name="_Toc292559402"/>
      <w:bookmarkStart w:id="429" w:name="_Toc296891025"/>
      <w:bookmarkStart w:id="430" w:name="_Toc296891237"/>
      <w:bookmarkStart w:id="431" w:name="_Toc292559907"/>
      <w:bookmarkStart w:id="432" w:name="_Toc296346698"/>
      <w:bookmarkStart w:id="433" w:name="_Toc297048383"/>
      <w:bookmarkStart w:id="434" w:name="_Toc296503197"/>
      <w:bookmarkStart w:id="435" w:name="_Toc300934993"/>
      <w:bookmarkStart w:id="436" w:name="_Toc297123544"/>
      <w:bookmarkStart w:id="437" w:name="_Toc296347196"/>
      <w:bookmarkStart w:id="438" w:name="_Toc303539150"/>
      <w:bookmarkStart w:id="439" w:name="_Toc304295570"/>
      <w:bookmarkStart w:id="440" w:name="_Toc312677503"/>
      <w:bookmarkStart w:id="441" w:name="_Toc312678029"/>
      <w:r>
        <w:rPr>
          <w:rFonts w:hint="eastAsia" w:ascii="仿宋" w:hAnsi="仿宋" w:eastAsia="仿宋" w:cs="仿宋"/>
          <w:color w:val="auto"/>
          <w:sz w:val="24"/>
          <w:szCs w:val="24"/>
          <w:highlight w:val="none"/>
        </w:rPr>
        <w:t>0.3承</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Start w:id="442" w:name="_Toc297120503"/>
      <w:bookmarkStart w:id="443" w:name="_Toc296503203"/>
      <w:bookmarkStart w:id="444" w:name="_Toc300934994"/>
      <w:bookmarkStart w:id="445" w:name="_Toc296347202"/>
      <w:bookmarkStart w:id="446" w:name="_Toc296944542"/>
      <w:bookmarkStart w:id="447" w:name="_Toc292559913"/>
      <w:bookmarkStart w:id="448" w:name="_Toc296891031"/>
      <w:bookmarkStart w:id="449" w:name="_Toc303539151"/>
      <w:bookmarkStart w:id="450" w:name="_Toc292559408"/>
      <w:bookmarkStart w:id="451" w:name="_Toc297123545"/>
      <w:bookmarkStart w:id="452" w:name="_Toc297216204"/>
      <w:bookmarkStart w:id="453" w:name="_Toc297048389"/>
      <w:bookmarkStart w:id="454" w:name="_Toc296346704"/>
      <w:bookmarkStart w:id="455" w:name="_Toc296891243"/>
      <w:r>
        <w:rPr>
          <w:rFonts w:hint="eastAsia" w:ascii="仿宋" w:hAnsi="仿宋" w:eastAsia="仿宋" w:cs="仿宋"/>
          <w:color w:val="auto"/>
          <w:sz w:val="24"/>
          <w:szCs w:val="24"/>
          <w:highlight w:val="none"/>
        </w:rPr>
        <w:t>包人的合理化建议</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Pr>
        <w:spacing w:line="560" w:lineRule="exact"/>
        <w:ind w:firstLine="480" w:firstLineChars="200"/>
        <w:jc w:val="left"/>
        <w:rPr>
          <w:rFonts w:hint="eastAsia" w:ascii="仿宋" w:hAnsi="仿宋" w:eastAsia="仿宋" w:cs="仿宋"/>
          <w:color w:val="auto"/>
          <w:sz w:val="24"/>
          <w:szCs w:val="24"/>
          <w:highlight w:val="none"/>
        </w:rPr>
      </w:pPr>
      <w:bookmarkStart w:id="456" w:name="_Toc297216205"/>
      <w:bookmarkStart w:id="457" w:name="_Toc296891032"/>
      <w:bookmarkStart w:id="458" w:name="_Toc297123546"/>
      <w:bookmarkStart w:id="459" w:name="_Toc296891244"/>
      <w:bookmarkStart w:id="460" w:name="_Toc296346705"/>
      <w:bookmarkStart w:id="461" w:name="_Toc296347203"/>
      <w:bookmarkStart w:id="462" w:name="_Toc296503204"/>
      <w:bookmarkStart w:id="463" w:name="_Toc303539152"/>
      <w:bookmarkStart w:id="464" w:name="_Toc292559914"/>
      <w:bookmarkStart w:id="465" w:name="_Toc304295571"/>
      <w:bookmarkStart w:id="466" w:name="_Toc297120504"/>
      <w:bookmarkStart w:id="467" w:name="_Toc312678030"/>
      <w:bookmarkStart w:id="468" w:name="_Toc318581175"/>
      <w:bookmarkStart w:id="469" w:name="_Toc300934995"/>
      <w:bookmarkStart w:id="470" w:name="_Toc297048390"/>
      <w:bookmarkStart w:id="471" w:name="_Toc292559409"/>
      <w:bookmarkStart w:id="472" w:name="_Toc312677504"/>
      <w:bookmarkStart w:id="473" w:name="_Toc296944543"/>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监理人应在收到承包人提交的合理化建议后7天内审查完毕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发包人应在收到监理人提交的合理化建议后7天内审查完毕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Pr>
        <w:spacing w:after="120" w:line="360" w:lineRule="auto"/>
        <w:ind w:firstLine="480" w:firstLineChars="200"/>
        <w:outlineLvl w:val="0"/>
        <w:rPr>
          <w:rFonts w:hint="eastAsia" w:ascii="仿宋" w:hAnsi="仿宋" w:eastAsia="仿宋" w:cs="仿宋"/>
          <w:color w:val="auto"/>
          <w:sz w:val="24"/>
          <w:szCs w:val="24"/>
          <w:highlight w:val="none"/>
        </w:rPr>
      </w:pPr>
      <w:bookmarkStart w:id="474" w:name="_Toc32316"/>
      <w:r>
        <w:rPr>
          <w:rFonts w:hint="eastAsia" w:ascii="仿宋" w:hAnsi="仿宋" w:eastAsia="仿宋" w:cs="仿宋"/>
          <w:color w:val="auto"/>
          <w:sz w:val="24"/>
          <w:szCs w:val="24"/>
          <w:highlight w:val="none"/>
        </w:rPr>
        <w:t>1</w:t>
      </w:r>
      <w:bookmarkStart w:id="475" w:name="_Toc304295574"/>
      <w:bookmarkStart w:id="476" w:name="_Toc296944538"/>
      <w:bookmarkStart w:id="477" w:name="_Toc296891027"/>
      <w:bookmarkStart w:id="478" w:name="_Toc296503199"/>
      <w:bookmarkStart w:id="479" w:name="_Toc300934997"/>
      <w:bookmarkStart w:id="480" w:name="_Toc297120499"/>
      <w:bookmarkStart w:id="481" w:name="_Toc296347198"/>
      <w:bookmarkStart w:id="482" w:name="_Toc297216207"/>
      <w:bookmarkStart w:id="483" w:name="_Toc296891239"/>
      <w:bookmarkStart w:id="484" w:name="_Toc297048385"/>
      <w:bookmarkStart w:id="485" w:name="_Toc297123548"/>
      <w:bookmarkStart w:id="486" w:name="_Toc312678033"/>
      <w:bookmarkStart w:id="487" w:name="_Toc296346700"/>
      <w:bookmarkStart w:id="488" w:name="_Toc292559404"/>
      <w:bookmarkStart w:id="489" w:name="_Toc292559909"/>
      <w:bookmarkStart w:id="490" w:name="_Toc312677507"/>
      <w:bookmarkStart w:id="491" w:name="_Toc303539154"/>
      <w:r>
        <w:rPr>
          <w:rFonts w:hint="eastAsia" w:ascii="仿宋" w:hAnsi="仿宋" w:eastAsia="仿宋" w:cs="仿宋"/>
          <w:color w:val="auto"/>
          <w:sz w:val="24"/>
          <w:szCs w:val="24"/>
          <w:highlight w:val="none"/>
        </w:rPr>
        <w:t>0.4 暂估价</w:t>
      </w:r>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92" w:name="_Toc312678035"/>
      <w:bookmarkStart w:id="493" w:name="_Toc318581177"/>
      <w:bookmarkStart w:id="494" w:name="_Toc312677509"/>
      <w:r>
        <w:rPr>
          <w:rFonts w:hint="eastAsia" w:ascii="仿宋" w:hAnsi="仿宋" w:eastAsia="仿宋" w:cs="仿宋"/>
          <w:color w:val="auto"/>
          <w:sz w:val="24"/>
          <w:szCs w:val="24"/>
          <w:highlight w:val="none"/>
        </w:rPr>
        <w:t>0.4.1 依法必须招标的暂估价项目</w:t>
      </w:r>
    </w:p>
    <w:bookmarkEnd w:id="492"/>
    <w:bookmarkEnd w:id="493"/>
    <w:bookmarkEnd w:id="49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w:t>
      </w:r>
      <w:r>
        <w:rPr>
          <w:rFonts w:hint="eastAsia" w:ascii="仿宋" w:hAnsi="仿宋" w:eastAsia="仿宋" w:cs="仿宋"/>
          <w:color w:val="auto"/>
          <w:kern w:val="0"/>
          <w:sz w:val="24"/>
          <w:szCs w:val="24"/>
          <w:highlight w:val="none"/>
          <w:u w:val="single"/>
        </w:rPr>
        <w:t>通用条款10.7.1中的第2</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10.4.2 不属于依法必须招标的暂估价项目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w:t>
      </w:r>
      <w:r>
        <w:rPr>
          <w:rFonts w:hint="eastAsia" w:ascii="仿宋" w:hAnsi="仿宋" w:eastAsia="仿宋" w:cs="仿宋"/>
          <w:color w:val="auto"/>
          <w:kern w:val="0"/>
          <w:sz w:val="24"/>
          <w:szCs w:val="24"/>
          <w:highlight w:val="none"/>
          <w:u w:val="single"/>
        </w:rPr>
        <w:t xml:space="preserve">通用合同条款10.7.2中的第1 </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第3种方式：</w:t>
      </w:r>
      <w:r>
        <w:rPr>
          <w:rFonts w:hint="eastAsia" w:ascii="仿宋" w:hAnsi="仿宋" w:eastAsia="仿宋" w:cs="仿宋"/>
          <w:color w:val="auto"/>
          <w:kern w:val="0"/>
          <w:sz w:val="24"/>
          <w:szCs w:val="24"/>
          <w:highlight w:val="none"/>
        </w:rPr>
        <w:t>承包人直接实施的暂估价项目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kern w:val="0"/>
          <w:sz w:val="24"/>
          <w:szCs w:val="24"/>
          <w:highlight w:val="none"/>
          <w:u w:val="single"/>
        </w:rPr>
        <w:t>在工程施工时，即可由发包人对暂估价项目的综合单价进行确认；若不使用暂估价项目原报价的，应由承包人提出新的综合单价及计价依据，经发包人确认后予以调整</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暂列金额</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pPr>
        <w:pStyle w:val="6"/>
        <w:spacing w:before="120" w:after="120" w:line="360" w:lineRule="auto"/>
        <w:rPr>
          <w:rFonts w:hint="eastAsia" w:ascii="仿宋" w:hAnsi="仿宋" w:eastAsia="仿宋" w:cs="仿宋"/>
          <w:b w:val="0"/>
          <w:color w:val="auto"/>
          <w:sz w:val="24"/>
          <w:szCs w:val="24"/>
          <w:highlight w:val="none"/>
        </w:rPr>
      </w:pPr>
      <w:bookmarkStart w:id="495" w:name="_Toc351203643"/>
      <w:r>
        <w:rPr>
          <w:rFonts w:hint="eastAsia" w:ascii="仿宋" w:hAnsi="仿宋" w:eastAsia="仿宋" w:cs="仿宋"/>
          <w:b w:val="0"/>
          <w:color w:val="auto"/>
          <w:sz w:val="24"/>
          <w:szCs w:val="24"/>
          <w:highlight w:val="none"/>
        </w:rPr>
        <w:t>11. 价格调整</w:t>
      </w:r>
      <w:bookmarkEnd w:id="495"/>
    </w:p>
    <w:p>
      <w:pPr>
        <w:spacing w:after="120" w:line="360" w:lineRule="auto"/>
        <w:ind w:firstLine="480" w:firstLineChars="200"/>
        <w:rPr>
          <w:rFonts w:hint="eastAsia" w:ascii="仿宋" w:hAnsi="仿宋" w:eastAsia="仿宋" w:cs="仿宋"/>
          <w:color w:val="auto"/>
          <w:sz w:val="24"/>
          <w:szCs w:val="24"/>
          <w:highlight w:val="none"/>
        </w:rPr>
      </w:pPr>
      <w:bookmarkStart w:id="496" w:name="_Toc296346702"/>
      <w:bookmarkStart w:id="497" w:name="_Toc300935000"/>
      <w:bookmarkStart w:id="498" w:name="_Toc296891241"/>
      <w:bookmarkStart w:id="499" w:name="_Toc303539157"/>
      <w:bookmarkStart w:id="500" w:name="_Toc296891029"/>
      <w:bookmarkStart w:id="501" w:name="_Toc296347200"/>
      <w:bookmarkStart w:id="502" w:name="_Toc296503201"/>
      <w:bookmarkStart w:id="503" w:name="_Toc312678039"/>
      <w:bookmarkStart w:id="504" w:name="_Toc296944540"/>
      <w:bookmarkStart w:id="505" w:name="_Toc297048387"/>
      <w:bookmarkStart w:id="506" w:name="_Toc297123550"/>
      <w:bookmarkStart w:id="507" w:name="_Toc304295577"/>
      <w:bookmarkStart w:id="508" w:name="_Toc297216209"/>
      <w:bookmarkStart w:id="509" w:name="_Toc297120501"/>
      <w:bookmarkStart w:id="510" w:name="_Toc292559406"/>
      <w:bookmarkStart w:id="511" w:name="_Toc292559911"/>
      <w:r>
        <w:rPr>
          <w:rFonts w:hint="eastAsia" w:ascii="仿宋" w:hAnsi="仿宋" w:eastAsia="仿宋" w:cs="仿宋"/>
          <w:color w:val="auto"/>
          <w:sz w:val="24"/>
          <w:szCs w:val="24"/>
          <w:highlight w:val="none"/>
        </w:rPr>
        <w:t>11.1 市场价格波动引起的调整</w:t>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w:t>
      </w:r>
      <w:r>
        <w:rPr>
          <w:rFonts w:hint="eastAsia" w:ascii="仿宋" w:hAnsi="仿宋" w:eastAsia="仿宋" w:cs="仿宋"/>
          <w:color w:val="auto"/>
          <w:sz w:val="24"/>
          <w:szCs w:val="24"/>
          <w:highlight w:val="none"/>
          <w:u w:val="single"/>
        </w:rPr>
        <w:t>签约合同价编制时的材料价格信息。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400"/>
    <w:bookmarkEnd w:id="401"/>
    <w:bookmarkEnd w:id="402"/>
    <w:bookmarkEnd w:id="403"/>
    <w:bookmarkEnd w:id="404"/>
    <w:bookmarkEnd w:id="405"/>
    <w:p>
      <w:pPr>
        <w:pStyle w:val="6"/>
        <w:spacing w:before="120" w:after="120" w:line="360" w:lineRule="auto"/>
        <w:rPr>
          <w:rFonts w:hint="eastAsia" w:ascii="仿宋" w:hAnsi="仿宋" w:eastAsia="仿宋" w:cs="仿宋"/>
          <w:b w:val="0"/>
          <w:color w:val="auto"/>
          <w:sz w:val="24"/>
          <w:szCs w:val="24"/>
          <w:highlight w:val="none"/>
        </w:rPr>
      </w:pPr>
      <w:bookmarkStart w:id="512" w:name="_Toc296346706"/>
      <w:bookmarkStart w:id="513" w:name="_Toc296347204"/>
      <w:bookmarkStart w:id="514" w:name="_Toc296503205"/>
      <w:bookmarkStart w:id="515" w:name="_Toc297048391"/>
      <w:bookmarkStart w:id="516" w:name="_Toc292559410"/>
      <w:bookmarkStart w:id="517" w:name="_Toc297120505"/>
      <w:bookmarkStart w:id="518" w:name="_Toc292559915"/>
      <w:bookmarkStart w:id="519" w:name="_Toc296891245"/>
      <w:bookmarkStart w:id="520" w:name="_Toc296944544"/>
      <w:bookmarkStart w:id="521" w:name="_Toc296891033"/>
      <w:bookmarkStart w:id="522" w:name="_Toc351203644"/>
      <w:bookmarkStart w:id="523" w:name="_Toc297216211"/>
      <w:bookmarkStart w:id="524" w:name="_Toc303539159"/>
      <w:bookmarkStart w:id="525" w:name="_Toc300935002"/>
      <w:bookmarkStart w:id="526" w:name="_Toc297123552"/>
      <w:bookmarkStart w:id="527" w:name="_Toc312678040"/>
      <w:bookmarkStart w:id="528" w:name="_Toc304295579"/>
      <w:r>
        <w:rPr>
          <w:rFonts w:hint="eastAsia" w:ascii="仿宋" w:hAnsi="仿宋" w:eastAsia="仿宋" w:cs="仿宋"/>
          <w:b w:val="0"/>
          <w:color w:val="auto"/>
          <w:sz w:val="24"/>
          <w:szCs w:val="24"/>
          <w:highlight w:val="none"/>
        </w:rPr>
        <w:t xml:space="preserve">12. </w:t>
      </w:r>
      <w:bookmarkEnd w:id="512"/>
      <w:bookmarkEnd w:id="513"/>
      <w:bookmarkEnd w:id="514"/>
      <w:bookmarkEnd w:id="515"/>
      <w:bookmarkEnd w:id="516"/>
      <w:bookmarkEnd w:id="517"/>
      <w:bookmarkEnd w:id="518"/>
      <w:bookmarkEnd w:id="519"/>
      <w:bookmarkEnd w:id="520"/>
      <w:bookmarkEnd w:id="521"/>
      <w:r>
        <w:rPr>
          <w:rFonts w:hint="eastAsia" w:ascii="仿宋" w:hAnsi="仿宋" w:eastAsia="仿宋" w:cs="仿宋"/>
          <w:b w:val="0"/>
          <w:color w:val="auto"/>
          <w:sz w:val="24"/>
          <w:szCs w:val="24"/>
          <w:highlight w:val="none"/>
        </w:rPr>
        <w:t>合同价格、计量与支付</w:t>
      </w:r>
      <w:bookmarkEnd w:id="522"/>
    </w:p>
    <w:bookmarkEnd w:id="523"/>
    <w:bookmarkEnd w:id="524"/>
    <w:bookmarkEnd w:id="525"/>
    <w:bookmarkEnd w:id="526"/>
    <w:bookmarkEnd w:id="527"/>
    <w:bookmarkEnd w:id="528"/>
    <w:p>
      <w:pPr>
        <w:spacing w:after="120" w:line="360" w:lineRule="auto"/>
        <w:ind w:firstLine="480" w:firstLineChars="200"/>
        <w:rPr>
          <w:rFonts w:hint="eastAsia" w:ascii="仿宋" w:hAnsi="仿宋" w:eastAsia="仿宋" w:cs="仿宋"/>
          <w:color w:val="auto"/>
          <w:sz w:val="24"/>
          <w:szCs w:val="24"/>
          <w:highlight w:val="none"/>
        </w:rPr>
      </w:pPr>
      <w:bookmarkStart w:id="529" w:name="_Toc292559411"/>
      <w:bookmarkStart w:id="530" w:name="_Toc292559916"/>
      <w:bookmarkStart w:id="531" w:name="_Toc267251461"/>
      <w:bookmarkStart w:id="532" w:name="_Toc296891246"/>
      <w:bookmarkStart w:id="533" w:name="_Toc296503206"/>
      <w:bookmarkStart w:id="534" w:name="_Toc297120506"/>
      <w:bookmarkStart w:id="535" w:name="_Toc296944545"/>
      <w:bookmarkStart w:id="536" w:name="_Toc296891034"/>
      <w:bookmarkStart w:id="537" w:name="_Toc297048392"/>
      <w:bookmarkStart w:id="538" w:name="_Toc296346707"/>
      <w:bookmarkStart w:id="539" w:name="_Toc296347205"/>
      <w:bookmarkStart w:id="540" w:name="_Toc303539160"/>
      <w:bookmarkStart w:id="541" w:name="_Toc300935003"/>
      <w:bookmarkStart w:id="542" w:name="_Toc312678041"/>
      <w:bookmarkStart w:id="543" w:name="_Toc304295580"/>
      <w:bookmarkStart w:id="544" w:name="_Toc297216212"/>
      <w:bookmarkStart w:id="545" w:name="_Toc297123553"/>
      <w:r>
        <w:rPr>
          <w:rFonts w:hint="eastAsia" w:ascii="仿宋" w:hAnsi="仿宋" w:eastAsia="仿宋" w:cs="仿宋"/>
          <w:color w:val="auto"/>
          <w:sz w:val="24"/>
          <w:szCs w:val="24"/>
          <w:highlight w:val="none"/>
        </w:rPr>
        <w:t>12.1 合</w:t>
      </w:r>
      <w:bookmarkEnd w:id="529"/>
      <w:bookmarkEnd w:id="530"/>
      <w:bookmarkEnd w:id="531"/>
      <w:r>
        <w:rPr>
          <w:rFonts w:hint="eastAsia" w:ascii="仿宋" w:hAnsi="仿宋" w:eastAsia="仿宋" w:cs="仿宋"/>
          <w:color w:val="auto"/>
          <w:sz w:val="24"/>
          <w:szCs w:val="24"/>
          <w:highlight w:val="none"/>
        </w:rPr>
        <w:t>同价</w:t>
      </w:r>
      <w:bookmarkEnd w:id="532"/>
      <w:bookmarkEnd w:id="533"/>
      <w:bookmarkEnd w:id="534"/>
      <w:bookmarkEnd w:id="535"/>
      <w:bookmarkEnd w:id="536"/>
      <w:bookmarkEnd w:id="537"/>
      <w:bookmarkEnd w:id="538"/>
      <w:bookmarkEnd w:id="539"/>
      <w:r>
        <w:rPr>
          <w:rFonts w:hint="eastAsia" w:ascii="仿宋" w:hAnsi="仿宋" w:eastAsia="仿宋" w:cs="仿宋"/>
          <w:color w:val="auto"/>
          <w:sz w:val="24"/>
          <w:szCs w:val="24"/>
          <w:highlight w:val="none"/>
        </w:rPr>
        <w:t>格形式</w:t>
      </w:r>
    </w:p>
    <w:bookmarkEnd w:id="540"/>
    <w:bookmarkEnd w:id="541"/>
    <w:bookmarkEnd w:id="542"/>
    <w:bookmarkEnd w:id="543"/>
    <w:bookmarkEnd w:id="544"/>
    <w:bookmarkEnd w:id="54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1）因天气、地形、地质等自然条件的变化，采取的临时措施，发包人签字认可的除外；（2）因承包人原因延误工期所采取的赶工措施；（3）施工现场的施工人员必须进行安全文明施工教育，配备必要的劳动保护用具，保证工程的施工安全和人身安全；（4）自购材料的卸车及保管费、交叉作业费、试验费、材料和设备的二次搬运费</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执行通用和专用条款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1）新增项目综合单价的确定：签订合同后，因分部分项工程量清单漏项、非承包人原因引发的工程变更、经济签证、新增项目，造成增加新的工程量清单项目，其对应的综合单价按下列方法确定：执行GB50500-2013《建设工程工程量清单计价规范》中合同价款调整第9.3条、9.4条、9.5条、9.6条；具体调整方式参见《2013建设工程计价计量规范辅导》。所有费率按原</w:t>
      </w:r>
      <w:r>
        <w:rPr>
          <w:rFonts w:hint="eastAsia" w:ascii="仿宋" w:hAnsi="仿宋" w:eastAsia="仿宋" w:cs="仿宋"/>
          <w:color w:val="auto"/>
          <w:sz w:val="24"/>
          <w:szCs w:val="24"/>
          <w:highlight w:val="none"/>
          <w:u w:val="single"/>
          <w:lang w:val="en-US" w:eastAsia="zh-CN"/>
        </w:rPr>
        <w:t>响应文件</w:t>
      </w:r>
      <w:r>
        <w:rPr>
          <w:rFonts w:hint="eastAsia" w:ascii="仿宋" w:hAnsi="仿宋" w:eastAsia="仿宋" w:cs="仿宋"/>
          <w:color w:val="auto"/>
          <w:sz w:val="24"/>
          <w:szCs w:val="24"/>
          <w:highlight w:val="none"/>
          <w:u w:val="single"/>
        </w:rPr>
        <w:t>费率执行，由承包人提出适当的综合单价，经发包人会同监理单位及跟踪审计单位审核后，按发包人维修工程管理制度和程序审批确定。（2）合同范围内工程量增减综合单价的确定：签订合同后，如清单项目工程量发生变化，执行GB50500-2013《建设工程工程量清单计价规范》中合同价款调整第9.6条；具体调整方式参见《2013建设工程计价计量规范辅导》。（3）材料变更价格确定：①承包人材料价格明细表已有的材料，根据承包人材料价格明细表所列材料单价计算；②承包人材料价格明细表中没有的材料，按照新疆维吾尔自治区造价管理总站施工期间公布的材料单价计算；③新疆维吾尔自治区工程造价管理总站没有公布的材料，由承包人提出适当的价格，发包人会同监理单位及跟踪审计单位审定后按采购人维修工程管理制度和程序审批确定；④对有暂估价的材料或设备的子项的单价，结算时按发包人认可的供货价或合同价进行价差调整</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以上调整仅限主材价格进行的调整，组成综合单价的其他一切费用不得调整。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bookmarkStart w:id="546" w:name="_Toc296891247"/>
      <w:bookmarkStart w:id="547" w:name="_Toc296346708"/>
      <w:bookmarkStart w:id="548" w:name="_Toc297048393"/>
      <w:bookmarkStart w:id="549" w:name="_Toc292559917"/>
      <w:bookmarkStart w:id="550" w:name="_Toc304295581"/>
      <w:bookmarkStart w:id="551" w:name="_Toc312678042"/>
      <w:bookmarkStart w:id="552" w:name="_Toc297120507"/>
      <w:bookmarkStart w:id="553" w:name="_Toc297123554"/>
      <w:bookmarkStart w:id="554" w:name="_Toc296891035"/>
      <w:bookmarkStart w:id="555" w:name="_Toc303539161"/>
      <w:bookmarkStart w:id="556" w:name="_Toc300935004"/>
      <w:bookmarkStart w:id="557" w:name="_Toc292559412"/>
      <w:bookmarkStart w:id="558" w:name="_Toc296503207"/>
      <w:bookmarkStart w:id="559" w:name="_Toc296944546"/>
      <w:bookmarkStart w:id="560" w:name="_Toc297216213"/>
      <w:bookmarkStart w:id="561" w:name="_Toc296347206"/>
      <w:r>
        <w:rPr>
          <w:rFonts w:hint="eastAsia" w:ascii="仿宋" w:hAnsi="仿宋" w:eastAsia="仿宋" w:cs="仿宋"/>
          <w:color w:val="auto"/>
          <w:sz w:val="24"/>
          <w:szCs w:val="24"/>
          <w:highlight w:val="none"/>
        </w:rPr>
        <w:t>12.2 预付款</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预付款的额度为合同价的30%。</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合同签订后支付。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工程施工过程中，在预付款暂不到位的情况下，承包人也应按计划组织施工，不得因此停工并延误竣工日期。发包人不承担逾期支利息及其他衍生费用。</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kern w:val="0"/>
          <w:sz w:val="24"/>
          <w:szCs w:val="24"/>
          <w:highlight w:val="none"/>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kern w:val="0"/>
          <w:sz w:val="24"/>
          <w:szCs w:val="24"/>
          <w:highlight w:val="none"/>
          <w:u w:val="single"/>
        </w:rPr>
        <w:t>按月计量</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spacing w:line="360" w:lineRule="auto"/>
        <w:ind w:firstLine="480" w:firstLineChars="200"/>
        <w:jc w:val="left"/>
        <w:rPr>
          <w:rFonts w:hint="eastAsia" w:ascii="仿宋" w:hAnsi="仿宋" w:eastAsia="仿宋" w:cs="仿宋"/>
          <w:color w:val="auto"/>
          <w:sz w:val="24"/>
          <w:szCs w:val="24"/>
          <w:highlight w:val="none"/>
        </w:rPr>
      </w:pPr>
      <w:bookmarkStart w:id="562" w:name="_Toc296503211"/>
      <w:bookmarkStart w:id="563" w:name="_Toc296347210"/>
      <w:bookmarkStart w:id="564" w:name="_Toc303539163"/>
      <w:bookmarkStart w:id="565" w:name="_Toc296891039"/>
      <w:bookmarkStart w:id="566" w:name="_Toc292559416"/>
      <w:bookmarkStart w:id="567" w:name="_Toc297048397"/>
      <w:bookmarkStart w:id="568" w:name="_Toc297120511"/>
      <w:bookmarkStart w:id="569" w:name="_Toc297123556"/>
      <w:bookmarkStart w:id="570" w:name="_Toc296346712"/>
      <w:bookmarkStart w:id="571" w:name="_Toc296944550"/>
      <w:bookmarkStart w:id="572" w:name="_Toc300935006"/>
      <w:bookmarkStart w:id="573" w:name="_Toc292559921"/>
      <w:bookmarkStart w:id="574" w:name="_Toc297216215"/>
      <w:bookmarkStart w:id="575" w:name="_Toc296891251"/>
      <w:r>
        <w:rPr>
          <w:rFonts w:hint="eastAsia" w:ascii="仿宋" w:hAnsi="仿宋" w:eastAsia="仿宋" w:cs="仿宋"/>
          <w:color w:val="auto"/>
          <w:sz w:val="24"/>
          <w:szCs w:val="24"/>
          <w:highlight w:val="none"/>
        </w:rPr>
        <w:t>12.4.1 付款周期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kern w:val="0"/>
          <w:sz w:val="24"/>
          <w:szCs w:val="24"/>
          <w:highlight w:val="none"/>
          <w:u w:val="single"/>
        </w:rPr>
        <w:t>按工程形象进度支付工程款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双方签订合同后支付预付款30%，工程竣工验收合格后支付至合同价的</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0%；工程经结算审计后，以审计结果为准，付款至审计价的100%</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本合同约定价款为含税价，承包人应在发包人付款前提供符合发包人财务做账需求的足额工程款增值税专用发票，否则发包人有权拒付款项且不承担违约责任，并写清贵单位开发票相关信息。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如质保期内工程存在质量问题，进行维修的，相应部分质保期顺延；若质保期内承包人不能按发包人要求及时进行维修，发包人有权自行处理，所产生的一切费用由承包人承担。</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hint="eastAsia" w:ascii="仿宋" w:hAnsi="仿宋" w:eastAsia="仿宋" w:cs="仿宋"/>
          <w:color w:val="auto"/>
          <w:sz w:val="24"/>
          <w:szCs w:val="24"/>
          <w:highlight w:val="none"/>
        </w:rPr>
        <w:t>2.4.3 进度付款申请单的提交</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kern w:val="0"/>
          <w:sz w:val="24"/>
          <w:szCs w:val="24"/>
          <w:highlight w:val="none"/>
          <w:u w:val="single"/>
        </w:rPr>
        <w:t>进度付款申请单一式伍份</w:t>
      </w:r>
      <w:r>
        <w:rPr>
          <w:rFonts w:hint="eastAsia" w:ascii="仿宋" w:hAnsi="仿宋" w:eastAsia="仿宋" w:cs="仿宋"/>
          <w:color w:val="auto"/>
          <w:sz w:val="24"/>
          <w:szCs w:val="24"/>
          <w:highlight w:val="none"/>
        </w:rPr>
        <w:t>。</w:t>
      </w:r>
    </w:p>
    <w:bookmarkEnd w:id="406"/>
    <w:p>
      <w:pPr>
        <w:pStyle w:val="6"/>
        <w:spacing w:before="120" w:after="120" w:line="360" w:lineRule="auto"/>
        <w:rPr>
          <w:rFonts w:hint="eastAsia" w:ascii="仿宋" w:hAnsi="仿宋" w:eastAsia="仿宋" w:cs="仿宋"/>
          <w:b w:val="0"/>
          <w:color w:val="auto"/>
          <w:sz w:val="24"/>
          <w:szCs w:val="24"/>
          <w:highlight w:val="none"/>
        </w:rPr>
      </w:pPr>
      <w:bookmarkStart w:id="576" w:name="_Toc351203645"/>
      <w:bookmarkStart w:id="577" w:name="_Toc296346720"/>
      <w:bookmarkStart w:id="578" w:name="_Toc297123564"/>
      <w:bookmarkStart w:id="579" w:name="_Toc303539172"/>
      <w:bookmarkStart w:id="580" w:name="_Toc292559929"/>
      <w:bookmarkStart w:id="581" w:name="_Toc297216223"/>
      <w:bookmarkStart w:id="582" w:name="_Toc296347218"/>
      <w:bookmarkStart w:id="583" w:name="_Toc296891259"/>
      <w:bookmarkStart w:id="584" w:name="_Toc304295593"/>
      <w:bookmarkStart w:id="585" w:name="_Toc300935015"/>
      <w:bookmarkStart w:id="586" w:name="_Toc296891047"/>
      <w:bookmarkStart w:id="587" w:name="_Toc312678053"/>
      <w:bookmarkStart w:id="588" w:name="_Toc297120519"/>
      <w:bookmarkStart w:id="589" w:name="_Toc296503219"/>
      <w:bookmarkStart w:id="590" w:name="_Toc296944558"/>
      <w:bookmarkStart w:id="591" w:name="_Toc292559424"/>
      <w:bookmarkStart w:id="592" w:name="_Toc297048405"/>
      <w:r>
        <w:rPr>
          <w:rFonts w:hint="eastAsia" w:ascii="仿宋" w:hAnsi="仿宋" w:eastAsia="仿宋" w:cs="仿宋"/>
          <w:b w:val="0"/>
          <w:color w:val="auto"/>
          <w:sz w:val="24"/>
          <w:szCs w:val="24"/>
          <w:highlight w:val="none"/>
        </w:rPr>
        <w:t>13. 验收和工程试车</w:t>
      </w:r>
      <w:bookmarkEnd w:id="576"/>
    </w:p>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pPr>
        <w:spacing w:after="120" w:line="360" w:lineRule="auto"/>
        <w:ind w:firstLine="480" w:firstLineChars="200"/>
        <w:rPr>
          <w:rFonts w:hint="eastAsia" w:ascii="仿宋" w:hAnsi="仿宋" w:eastAsia="仿宋" w:cs="仿宋"/>
          <w:color w:val="auto"/>
          <w:sz w:val="24"/>
          <w:szCs w:val="24"/>
          <w:highlight w:val="none"/>
        </w:rPr>
      </w:pPr>
      <w:bookmarkStart w:id="593" w:name="_Toc297048409"/>
      <w:bookmarkStart w:id="594" w:name="_Toc297216224"/>
      <w:bookmarkStart w:id="595" w:name="_Toc296503223"/>
      <w:bookmarkStart w:id="596" w:name="_Toc292559428"/>
      <w:bookmarkStart w:id="597" w:name="_Toc312678056"/>
      <w:bookmarkStart w:id="598" w:name="_Toc296346724"/>
      <w:bookmarkStart w:id="599" w:name="_Toc292559933"/>
      <w:bookmarkStart w:id="600" w:name="_Toc296944562"/>
      <w:bookmarkStart w:id="601" w:name="_Toc296891263"/>
      <w:bookmarkStart w:id="602" w:name="_Toc300935016"/>
      <w:bookmarkStart w:id="603" w:name="_Toc297123565"/>
      <w:bookmarkStart w:id="604" w:name="_Toc296891051"/>
      <w:bookmarkStart w:id="605" w:name="_Toc304295596"/>
      <w:bookmarkStart w:id="606" w:name="_Toc297120523"/>
      <w:bookmarkStart w:id="607" w:name="_Toc303539173"/>
      <w:bookmarkStart w:id="608" w:name="_Toc296347222"/>
      <w:bookmarkStart w:id="609" w:name="_Toc267251476"/>
      <w:bookmarkStart w:id="610" w:name="_Toc267251471"/>
      <w:bookmarkStart w:id="611" w:name="_Toc267251473"/>
      <w:bookmarkStart w:id="612" w:name="_Toc267251475"/>
      <w:bookmarkStart w:id="613" w:name="_Toc267251474"/>
      <w:bookmarkStart w:id="614" w:name="_Toc267251472"/>
      <w:bookmarkStart w:id="615" w:name="_Toc267251470"/>
      <w:r>
        <w:rPr>
          <w:rFonts w:hint="eastAsia" w:ascii="仿宋" w:hAnsi="仿宋" w:eastAsia="仿宋" w:cs="仿宋"/>
          <w:color w:val="auto"/>
          <w:sz w:val="24"/>
          <w:szCs w:val="24"/>
          <w:highlight w:val="none"/>
        </w:rPr>
        <w:t>13.2 竣工验收</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Pr>
        <w:spacing w:line="360" w:lineRule="auto"/>
        <w:ind w:firstLine="480" w:firstLineChars="200"/>
        <w:jc w:val="left"/>
        <w:rPr>
          <w:rFonts w:hint="eastAsia" w:ascii="仿宋" w:hAnsi="仿宋" w:eastAsia="仿宋" w:cs="仿宋"/>
          <w:color w:val="auto"/>
          <w:sz w:val="24"/>
          <w:szCs w:val="24"/>
          <w:highlight w:val="none"/>
        </w:rPr>
      </w:pPr>
      <w:bookmarkStart w:id="616" w:name="_Toc280868704"/>
      <w:bookmarkStart w:id="617" w:name="_Toc280868705"/>
      <w:bookmarkStart w:id="618" w:name="_Toc280868706"/>
      <w:bookmarkStart w:id="619" w:name="_Toc280868707"/>
      <w:bookmarkStart w:id="620" w:name="_Toc280868708"/>
      <w:bookmarkStart w:id="621" w:name="_Toc280868709"/>
      <w:r>
        <w:rPr>
          <w:rFonts w:hint="eastAsia" w:ascii="仿宋" w:hAnsi="仿宋" w:eastAsia="仿宋" w:cs="仿宋"/>
          <w:color w:val="auto"/>
          <w:sz w:val="24"/>
          <w:szCs w:val="24"/>
          <w:highlight w:val="none"/>
        </w:rPr>
        <w:t>13.2.1竣工验收程序</w:t>
      </w:r>
    </w:p>
    <w:bookmarkEnd w:id="616"/>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承包人在合同约定的时间内报送竣工验收申请报告，经监理及发包人审批后，由发包人组织相关单位进行竣工验收。</w:t>
      </w:r>
    </w:p>
    <w:bookmarkEnd w:id="617"/>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13.2.2移交、接收全部与部分工程</w:t>
      </w:r>
    </w:p>
    <w:bookmarkEnd w:id="618"/>
    <w:bookmarkEnd w:id="619"/>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合同当事人应当在颁发工程接收证书后7天内完成工程的移交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每延期一天，赔偿合同总额千分之一的违约金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如因承包人违约导致发包人解除合同的，承包人应在收到发包人解除合同通知书之日起3日内将工程及工程相关资料全部移交给发包人。</w:t>
      </w:r>
      <w:r>
        <w:rPr>
          <w:rFonts w:hint="eastAsia" w:ascii="仿宋" w:hAnsi="仿宋" w:eastAsia="仿宋" w:cs="仿宋"/>
          <w:color w:val="auto"/>
          <w:sz w:val="24"/>
          <w:szCs w:val="24"/>
          <w:highlight w:val="none"/>
          <w:u w:val="single"/>
        </w:rPr>
        <w:t>每延期一日，承担合同总额千分之一的违约金</w:t>
      </w:r>
      <w:r>
        <w:rPr>
          <w:rFonts w:hint="eastAsia" w:ascii="仿宋" w:hAnsi="仿宋" w:eastAsia="仿宋" w:cs="仿宋"/>
          <w:color w:val="auto"/>
          <w:sz w:val="24"/>
          <w:szCs w:val="24"/>
          <w:highlight w:val="none"/>
        </w:rPr>
        <w:t>。</w:t>
      </w:r>
    </w:p>
    <w:bookmarkEnd w:id="620"/>
    <w:p>
      <w:pPr>
        <w:spacing w:after="120" w:line="360" w:lineRule="auto"/>
        <w:ind w:firstLine="480" w:firstLineChars="200"/>
        <w:outlineLvl w:val="0"/>
        <w:rPr>
          <w:rFonts w:hint="eastAsia" w:ascii="仿宋" w:hAnsi="仿宋" w:eastAsia="仿宋" w:cs="仿宋"/>
          <w:color w:val="auto"/>
          <w:sz w:val="24"/>
          <w:szCs w:val="24"/>
          <w:highlight w:val="none"/>
        </w:rPr>
      </w:pPr>
      <w:bookmarkStart w:id="622" w:name="_Toc24383"/>
      <w:r>
        <w:rPr>
          <w:rFonts w:hint="eastAsia" w:ascii="仿宋" w:hAnsi="仿宋" w:eastAsia="仿宋" w:cs="仿宋"/>
          <w:color w:val="auto"/>
          <w:sz w:val="24"/>
          <w:szCs w:val="24"/>
          <w:highlight w:val="none"/>
        </w:rPr>
        <w:t>13.3 竣工退场</w:t>
      </w:r>
      <w:bookmarkEnd w:id="622"/>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竣工退场</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工程竣工验收合格后七日内，或发包人解除合同之日起三日内</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23" w:name="_Toc351203646"/>
      <w:r>
        <w:rPr>
          <w:rFonts w:hint="eastAsia" w:ascii="仿宋" w:hAnsi="仿宋" w:eastAsia="仿宋" w:cs="仿宋"/>
          <w:b w:val="0"/>
          <w:color w:val="auto"/>
          <w:sz w:val="24"/>
          <w:szCs w:val="24"/>
          <w:highlight w:val="none"/>
        </w:rPr>
        <w:t>14. 竣工结算</w:t>
      </w:r>
      <w:bookmarkEnd w:id="623"/>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竣工结算申请</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按通用合同条款14.1执行 </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24" w:name="_Toc13782"/>
      <w:r>
        <w:rPr>
          <w:rFonts w:hint="eastAsia" w:ascii="仿宋" w:hAnsi="仿宋" w:eastAsia="仿宋" w:cs="仿宋"/>
          <w:color w:val="auto"/>
          <w:sz w:val="24"/>
          <w:szCs w:val="24"/>
          <w:highlight w:val="none"/>
        </w:rPr>
        <w:t>14.2 竣工结算审核</w:t>
      </w:r>
      <w:bookmarkEnd w:id="624"/>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关于竣工付款证书异议部分复核的方式和程序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最终结清</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14.3.1 最终结清申请单</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捌份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30天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14.3.2 最终结清证书和支付</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609"/>
    <w:bookmarkEnd w:id="610"/>
    <w:bookmarkEnd w:id="611"/>
    <w:bookmarkEnd w:id="612"/>
    <w:bookmarkEnd w:id="613"/>
    <w:bookmarkEnd w:id="614"/>
    <w:bookmarkEnd w:id="615"/>
    <w:bookmarkEnd w:id="621"/>
    <w:p>
      <w:pPr>
        <w:pStyle w:val="6"/>
        <w:spacing w:before="120" w:after="120" w:line="360" w:lineRule="auto"/>
        <w:rPr>
          <w:rFonts w:hint="eastAsia" w:ascii="仿宋" w:hAnsi="仿宋" w:eastAsia="仿宋" w:cs="仿宋"/>
          <w:b w:val="0"/>
          <w:color w:val="auto"/>
          <w:sz w:val="24"/>
          <w:szCs w:val="24"/>
          <w:highlight w:val="none"/>
        </w:rPr>
      </w:pPr>
      <w:bookmarkStart w:id="625" w:name="_Toc351203647"/>
      <w:bookmarkStart w:id="626" w:name="_Toc267251483"/>
      <w:bookmarkStart w:id="627" w:name="_Toc267251484"/>
      <w:bookmarkStart w:id="628" w:name="_Toc267251482"/>
      <w:bookmarkStart w:id="629" w:name="_Toc267251485"/>
      <w:bookmarkStart w:id="630" w:name="_Toc267251490"/>
      <w:bookmarkStart w:id="631" w:name="_Toc267251489"/>
      <w:bookmarkStart w:id="632" w:name="_Toc267251488"/>
      <w:bookmarkStart w:id="633" w:name="_Toc267251486"/>
      <w:bookmarkStart w:id="634" w:name="_Toc267251496"/>
      <w:bookmarkStart w:id="635" w:name="_Toc267251495"/>
      <w:bookmarkStart w:id="636" w:name="_Toc267251503"/>
      <w:bookmarkStart w:id="637" w:name="_Toc267251493"/>
      <w:bookmarkStart w:id="638" w:name="_Toc267251499"/>
      <w:bookmarkStart w:id="639" w:name="_Toc267251494"/>
      <w:bookmarkStart w:id="640" w:name="_Toc267251491"/>
      <w:bookmarkStart w:id="641" w:name="_Toc267251497"/>
      <w:bookmarkStart w:id="642" w:name="_Toc267251498"/>
      <w:bookmarkStart w:id="643" w:name="_Toc267251492"/>
      <w:bookmarkStart w:id="644" w:name="_Toc267251501"/>
      <w:bookmarkStart w:id="645" w:name="_Toc267251502"/>
      <w:bookmarkStart w:id="646" w:name="_Toc267251506"/>
      <w:bookmarkStart w:id="647" w:name="_Toc267251507"/>
      <w:bookmarkStart w:id="648" w:name="_Toc267251504"/>
      <w:bookmarkStart w:id="649" w:name="_Toc267251508"/>
      <w:bookmarkStart w:id="650" w:name="_Toc267251515"/>
      <w:bookmarkStart w:id="651" w:name="_Toc267251514"/>
      <w:bookmarkStart w:id="652" w:name="_Toc267251513"/>
      <w:bookmarkStart w:id="653" w:name="_Toc267251510"/>
      <w:bookmarkStart w:id="654" w:name="_Toc267251511"/>
      <w:bookmarkStart w:id="655" w:name="_Toc267251509"/>
      <w:r>
        <w:rPr>
          <w:rFonts w:hint="eastAsia" w:ascii="仿宋" w:hAnsi="仿宋" w:eastAsia="仿宋" w:cs="仿宋"/>
          <w:b w:val="0"/>
          <w:color w:val="auto"/>
          <w:sz w:val="24"/>
          <w:szCs w:val="24"/>
          <w:highlight w:val="none"/>
        </w:rPr>
        <w:t>15. 缺陷责任期与保修</w:t>
      </w:r>
      <w:bookmarkEnd w:id="625"/>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15.1缺陷责任期</w:t>
      </w:r>
      <w:bookmarkEnd w:id="62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自工程实际竣工之日起计算，12个月</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56" w:name="_Toc9696"/>
      <w:r>
        <w:rPr>
          <w:rFonts w:hint="eastAsia" w:ascii="仿宋" w:hAnsi="仿宋" w:eastAsia="仿宋" w:cs="仿宋"/>
          <w:color w:val="auto"/>
          <w:sz w:val="24"/>
          <w:szCs w:val="24"/>
          <w:highlight w:val="none"/>
        </w:rPr>
        <w:t>15.2 质量保证金</w:t>
      </w:r>
      <w:bookmarkEnd w:id="65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。在工程项目竣工前，承包人按专用合同条款提供履约担保的，发包人不得同时预留工程质量保证金。</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7" w:name="_Toc6213"/>
      <w:r>
        <w:rPr>
          <w:rFonts w:hint="eastAsia" w:ascii="仿宋" w:hAnsi="仿宋" w:eastAsia="仿宋" w:cs="仿宋"/>
          <w:color w:val="auto"/>
          <w:sz w:val="24"/>
          <w:szCs w:val="24"/>
          <w:highlight w:val="none"/>
        </w:rPr>
        <w:t>15.2.1 承包人提供质量保证金的方式</w:t>
      </w:r>
      <w:bookmarkEnd w:id="6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的工程款；</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8" w:name="_Toc24507"/>
      <w:r>
        <w:rPr>
          <w:rFonts w:hint="eastAsia" w:ascii="仿宋" w:hAnsi="仿宋" w:eastAsia="仿宋" w:cs="仿宋"/>
          <w:color w:val="auto"/>
          <w:sz w:val="24"/>
          <w:szCs w:val="24"/>
          <w:highlight w:val="none"/>
        </w:rPr>
        <w:t>15.2.2 质量保证金的扣留</w:t>
      </w:r>
      <w:bookmarkEnd w:id="658"/>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仿宋" w:hAnsi="仿宋" w:eastAsia="仿宋" w:cs="仿宋"/>
          <w:color w:val="auto"/>
          <w:kern w:val="0"/>
          <w:sz w:val="24"/>
          <w:szCs w:val="24"/>
          <w:highlight w:val="none"/>
        </w:rPr>
      </w:pPr>
      <w:bookmarkStart w:id="659" w:name="_Toc15066"/>
      <w:r>
        <w:rPr>
          <w:rFonts w:hint="eastAsia" w:ascii="仿宋" w:hAnsi="仿宋" w:eastAsia="仿宋" w:cs="仿宋"/>
          <w:color w:val="auto"/>
          <w:kern w:val="0"/>
          <w:sz w:val="24"/>
          <w:szCs w:val="24"/>
          <w:highlight w:val="none"/>
        </w:rPr>
        <w:t>（2）工程竣工结算时一次性扣留质量保证金；</w:t>
      </w:r>
      <w:bookmarkEnd w:id="659"/>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bookmarkEnd w:id="627"/>
    <w:bookmarkEnd w:id="62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15.3保修</w:t>
      </w:r>
    </w:p>
    <w:bookmarkEnd w:id="629"/>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保修的原则</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保修责任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土建维修2年，安装工程中给排水、电气2年，采暖2个采暖期，屋面防水工程5年，主体工程为工程设计的合理期限</w:t>
      </w:r>
      <w:r>
        <w:rPr>
          <w:rFonts w:hint="eastAsia" w:ascii="仿宋" w:hAnsi="仿宋" w:eastAsia="仿宋" w:cs="仿宋"/>
          <w:color w:val="auto"/>
          <w:kern w:val="0"/>
          <w:sz w:val="24"/>
          <w:szCs w:val="24"/>
          <w:highlight w:val="none"/>
        </w:rPr>
        <w:t>。</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修复通知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24小时内</w:t>
      </w:r>
      <w:r>
        <w:rPr>
          <w:rFonts w:hint="eastAsia" w:ascii="仿宋" w:hAnsi="仿宋" w:eastAsia="仿宋" w:cs="仿宋"/>
          <w:color w:val="auto"/>
          <w:kern w:val="0"/>
          <w:sz w:val="24"/>
          <w:szCs w:val="24"/>
          <w:highlight w:val="none"/>
        </w:rPr>
        <w:t>。</w:t>
      </w:r>
    </w:p>
    <w:p>
      <w:pPr>
        <w:spacing w:line="560" w:lineRule="exac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15.3.4本工程双方约定的工程质量保修期自竣工验收合格之日起</w:t>
      </w:r>
      <w:r>
        <w:rPr>
          <w:rFonts w:hint="eastAsia" w:ascii="仿宋" w:hAnsi="仿宋" w:eastAsia="仿宋" w:cs="仿宋"/>
          <w:color w:val="auto"/>
          <w:sz w:val="24"/>
          <w:szCs w:val="24"/>
          <w:highlight w:val="none"/>
          <w:u w:val="single"/>
        </w:rPr>
        <w:t xml:space="preserve"> 2年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bookmarkEnd w:id="630"/>
    <w:bookmarkEnd w:id="631"/>
    <w:bookmarkEnd w:id="632"/>
    <w:bookmarkEnd w:id="633"/>
    <w:p>
      <w:pPr>
        <w:pStyle w:val="6"/>
        <w:spacing w:before="120" w:after="120" w:line="360" w:lineRule="auto"/>
        <w:rPr>
          <w:rFonts w:hint="eastAsia" w:ascii="仿宋" w:hAnsi="仿宋" w:eastAsia="仿宋" w:cs="仿宋"/>
          <w:b w:val="0"/>
          <w:color w:val="auto"/>
          <w:sz w:val="24"/>
          <w:szCs w:val="24"/>
          <w:highlight w:val="none"/>
        </w:rPr>
      </w:pPr>
      <w:bookmarkStart w:id="660" w:name="_Toc351203648"/>
      <w:bookmarkStart w:id="661" w:name="_Toc280868717"/>
      <w:bookmarkStart w:id="662" w:name="_Toc280868718"/>
      <w:r>
        <w:rPr>
          <w:rFonts w:hint="eastAsia" w:ascii="仿宋" w:hAnsi="仿宋" w:eastAsia="仿宋" w:cs="仿宋"/>
          <w:b w:val="0"/>
          <w:color w:val="auto"/>
          <w:sz w:val="24"/>
          <w:szCs w:val="24"/>
          <w:highlight w:val="none"/>
        </w:rPr>
        <w:t>16. 违约</w:t>
      </w:r>
      <w:bookmarkEnd w:id="660"/>
    </w:p>
    <w:p>
      <w:pPr>
        <w:spacing w:after="120" w:line="360" w:lineRule="auto"/>
        <w:ind w:firstLine="480" w:firstLineChars="200"/>
        <w:outlineLvl w:val="0"/>
        <w:rPr>
          <w:rFonts w:hint="eastAsia" w:ascii="仿宋" w:hAnsi="仿宋" w:eastAsia="仿宋" w:cs="仿宋"/>
          <w:color w:val="auto"/>
          <w:sz w:val="24"/>
          <w:szCs w:val="24"/>
          <w:highlight w:val="none"/>
        </w:rPr>
      </w:pPr>
      <w:bookmarkStart w:id="663" w:name="_Toc11430"/>
      <w:r>
        <w:rPr>
          <w:rFonts w:hint="eastAsia" w:ascii="仿宋" w:hAnsi="仿宋" w:eastAsia="仿宋" w:cs="仿宋"/>
          <w:color w:val="auto"/>
          <w:sz w:val="24"/>
          <w:szCs w:val="24"/>
          <w:highlight w:val="none"/>
        </w:rPr>
        <w:t>16.1 发包人违约</w:t>
      </w:r>
      <w:bookmarkEnd w:id="66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spacing w:line="360" w:lineRule="auto"/>
        <w:ind w:left="1316" w:leftChars="284"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left="12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4" w:name="_Toc18103"/>
      <w:r>
        <w:rPr>
          <w:rFonts w:hint="eastAsia" w:ascii="仿宋" w:hAnsi="仿宋" w:eastAsia="仿宋" w:cs="仿宋"/>
          <w:color w:val="auto"/>
          <w:sz w:val="24"/>
          <w:szCs w:val="24"/>
          <w:highlight w:val="none"/>
        </w:rPr>
        <w:t>16.2 承包人违约</w:t>
      </w:r>
      <w:bookmarkEnd w:id="664"/>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甲方有权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u w:val="single"/>
        </w:rPr>
        <w:t>（1）因承包人原因造成不能按期完工，每延误一天工期承包人向发包人支付</w:t>
      </w:r>
      <w:r>
        <w:rPr>
          <w:rFonts w:hint="eastAsia" w:ascii="仿宋" w:hAnsi="仿宋" w:eastAsia="仿宋" w:cs="仿宋"/>
          <w:color w:val="auto"/>
          <w:sz w:val="24"/>
          <w:szCs w:val="24"/>
          <w:highlight w:val="none"/>
          <w:u w:val="single"/>
        </w:rPr>
        <w:t>一万元的</w:t>
      </w:r>
      <w:r>
        <w:rPr>
          <w:rFonts w:hint="eastAsia" w:ascii="仿宋" w:hAnsi="仿宋" w:eastAsia="仿宋" w:cs="仿宋"/>
          <w:color w:val="auto"/>
          <w:kern w:val="0"/>
          <w:sz w:val="24"/>
          <w:szCs w:val="24"/>
          <w:highlight w:val="none"/>
          <w:u w:val="single"/>
        </w:rPr>
        <w:t>逾期违约金，逾期违约金金额的最高限额为合同价的10%，达到逾期违约金的最高限额后，发包人有权单方面解除合同，承包人承担全部经济责任，同时向发包人赔偿因工期延误造成的经济损失。（2）承包人施工质量不合格，发包人有权选择要求承包人返修或者单方解除合同；要求返修的，承包人逾期完工，按本条上一款承担违约责任。（3）承包人分包或转包本合同约定的全部或部分施工内容，发包人有权单方解除合同，不支付工程款，并要求承包人承担合同总额30%的违约金。（4）承包人违反本合同的其他约定或相关法律规定，给发包人造成损失的，发包人有权单方解除合同。（5）一方违约，还应赔偿守约方因此遭受的其他损失，包括为主张权益所支付的律师费、交通费等全部费用。承包人违约的，发包方有权将相应违约金从应给承包方支付的货款、质保金中直接予以扣除。（6）承包人在缺陷责任期及保修期内，未能在合理期限对工程缺陷进行修复，或拒绝按发包人要求进行修复的，发包人有权使用扣留保证金修复工程，质保金不足部分发包人有权要求承包方承担；（7）承包人明确表示或者以其行为表明不履行合同主要义务的，发包人有权单方解除协议，并要求承包人按照合同金额的30%承担违约责任，已支付的款项根据承包人已完成工程量（质量合格部分）进行结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承包人违约，发包人可发出整改通知要求承包人限期进行整改，如承包人在规定时间内仍不纠正违约行为的，发包人有权单方解除合同，承包人向发包人支付签约合同价格5%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承包人违约的，应当赔偿甲方相关损失，除特别约定外另按照合同金额的30%承担违约责任。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65" w:name="_Toc351203649"/>
      <w:r>
        <w:rPr>
          <w:rFonts w:hint="eastAsia" w:ascii="仿宋" w:hAnsi="仿宋" w:eastAsia="仿宋" w:cs="仿宋"/>
          <w:b w:val="0"/>
          <w:color w:val="auto"/>
          <w:sz w:val="24"/>
          <w:szCs w:val="24"/>
          <w:highlight w:val="none"/>
        </w:rPr>
        <w:t>17. 不可抗力</w:t>
      </w:r>
      <w:bookmarkEnd w:id="665"/>
      <w:r>
        <w:rPr>
          <w:rFonts w:hint="eastAsia" w:ascii="仿宋" w:hAnsi="仿宋" w:eastAsia="仿宋" w:cs="仿宋"/>
          <w:b w:val="0"/>
          <w:color w:val="auto"/>
          <w:sz w:val="24"/>
          <w:szCs w:val="24"/>
          <w:highlight w:val="none"/>
        </w:rPr>
        <w:t xml:space="preserve"> </w:t>
      </w:r>
      <w:bookmarkEnd w:id="661"/>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6" w:name="_Toc32600"/>
      <w:r>
        <w:rPr>
          <w:rFonts w:hint="eastAsia" w:ascii="仿宋" w:hAnsi="仿宋" w:eastAsia="仿宋" w:cs="仿宋"/>
          <w:color w:val="auto"/>
          <w:sz w:val="24"/>
          <w:szCs w:val="24"/>
          <w:highlight w:val="none"/>
        </w:rPr>
        <w:t>17.2 因不可抗力解除合同</w:t>
      </w:r>
      <w:bookmarkEnd w:id="66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天内完成款项的支付。</w:t>
      </w:r>
    </w:p>
    <w:p>
      <w:pPr>
        <w:pStyle w:val="6"/>
        <w:spacing w:before="120" w:after="120" w:line="360" w:lineRule="auto"/>
        <w:rPr>
          <w:rFonts w:hint="eastAsia" w:ascii="仿宋" w:hAnsi="仿宋" w:eastAsia="仿宋" w:cs="仿宋"/>
          <w:b w:val="0"/>
          <w:color w:val="auto"/>
          <w:sz w:val="24"/>
          <w:szCs w:val="24"/>
          <w:highlight w:val="none"/>
        </w:rPr>
      </w:pPr>
      <w:bookmarkStart w:id="667" w:name="_Toc351203650"/>
      <w:r>
        <w:rPr>
          <w:rFonts w:hint="eastAsia" w:ascii="仿宋" w:hAnsi="仿宋" w:eastAsia="仿宋" w:cs="仿宋"/>
          <w:b w:val="0"/>
          <w:color w:val="auto"/>
          <w:sz w:val="24"/>
          <w:szCs w:val="24"/>
          <w:highlight w:val="none"/>
        </w:rPr>
        <w:t>18. 保险</w:t>
      </w:r>
      <w:bookmarkEnd w:id="667"/>
    </w:p>
    <w:bookmarkEnd w:id="66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8" w:name="_Toc358"/>
      <w:r>
        <w:rPr>
          <w:rFonts w:hint="eastAsia" w:ascii="仿宋" w:hAnsi="仿宋" w:eastAsia="仿宋" w:cs="仿宋"/>
          <w:color w:val="auto"/>
          <w:sz w:val="24"/>
          <w:szCs w:val="24"/>
          <w:highlight w:val="none"/>
        </w:rPr>
        <w:t>18.2 其他保险</w:t>
      </w:r>
      <w:bookmarkEnd w:id="668"/>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kern w:val="0"/>
          <w:sz w:val="24"/>
          <w:szCs w:val="24"/>
          <w:highlight w:val="none"/>
          <w:u w:val="single"/>
        </w:rPr>
        <w:t>承包人负责为</w:t>
      </w:r>
      <w:r>
        <w:rPr>
          <w:rFonts w:hint="eastAsia" w:ascii="仿宋" w:hAnsi="仿宋" w:eastAsia="仿宋" w:cs="仿宋"/>
          <w:color w:val="auto"/>
          <w:sz w:val="24"/>
          <w:szCs w:val="24"/>
          <w:highlight w:val="none"/>
          <w:u w:val="single"/>
        </w:rPr>
        <w:t>承包人在</w:t>
      </w:r>
      <w:r>
        <w:rPr>
          <w:rFonts w:hint="eastAsia" w:ascii="仿宋" w:hAnsi="仿宋" w:eastAsia="仿宋" w:cs="仿宋"/>
          <w:color w:val="auto"/>
          <w:kern w:val="0"/>
          <w:sz w:val="24"/>
          <w:szCs w:val="24"/>
          <w:highlight w:val="none"/>
          <w:u w:val="single"/>
        </w:rPr>
        <w:t>施工现场全部人员办理意外伤害保险并支付保险费</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承包人自行办理</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通知义务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34"/>
    <w:bookmarkEnd w:id="635"/>
    <w:bookmarkEnd w:id="636"/>
    <w:bookmarkEnd w:id="637"/>
    <w:bookmarkEnd w:id="638"/>
    <w:bookmarkEnd w:id="639"/>
    <w:bookmarkEnd w:id="640"/>
    <w:bookmarkEnd w:id="641"/>
    <w:bookmarkEnd w:id="642"/>
    <w:bookmarkEnd w:id="643"/>
    <w:bookmarkEnd w:id="644"/>
    <w:bookmarkEnd w:id="645"/>
    <w:p>
      <w:pPr>
        <w:pStyle w:val="6"/>
        <w:spacing w:before="120" w:after="120" w:line="360" w:lineRule="auto"/>
        <w:rPr>
          <w:rFonts w:hint="eastAsia" w:ascii="仿宋" w:hAnsi="仿宋" w:eastAsia="仿宋" w:cs="仿宋"/>
          <w:color w:val="auto"/>
          <w:sz w:val="24"/>
          <w:szCs w:val="24"/>
          <w:highlight w:val="none"/>
        </w:rPr>
      </w:pPr>
      <w:bookmarkStart w:id="669" w:name="_Toc351203651"/>
      <w:r>
        <w:rPr>
          <w:rFonts w:hint="eastAsia" w:ascii="仿宋" w:hAnsi="仿宋" w:eastAsia="仿宋" w:cs="仿宋"/>
          <w:b w:val="0"/>
          <w:color w:val="auto"/>
          <w:sz w:val="24"/>
          <w:szCs w:val="24"/>
          <w:highlight w:val="none"/>
        </w:rPr>
        <w:t>19. 争议解决</w:t>
      </w:r>
      <w:bookmarkEnd w:id="646"/>
      <w:bookmarkEnd w:id="647"/>
      <w:bookmarkEnd w:id="648"/>
      <w:bookmarkEnd w:id="669"/>
    </w:p>
    <w:p>
      <w:pPr>
        <w:spacing w:after="120" w:line="360" w:lineRule="auto"/>
        <w:ind w:firstLine="480" w:firstLineChars="200"/>
        <w:outlineLvl w:val="0"/>
        <w:rPr>
          <w:rFonts w:hint="eastAsia" w:ascii="仿宋" w:hAnsi="仿宋" w:eastAsia="仿宋" w:cs="仿宋"/>
          <w:color w:val="auto"/>
          <w:sz w:val="24"/>
          <w:szCs w:val="24"/>
          <w:highlight w:val="none"/>
        </w:rPr>
      </w:pPr>
      <w:bookmarkStart w:id="670" w:name="_Toc30235"/>
      <w:r>
        <w:rPr>
          <w:rFonts w:hint="eastAsia" w:ascii="仿宋" w:hAnsi="仿宋" w:eastAsia="仿宋" w:cs="仿宋"/>
          <w:color w:val="auto"/>
          <w:sz w:val="24"/>
          <w:szCs w:val="24"/>
          <w:highlight w:val="none"/>
        </w:rPr>
        <w:t>19.1仲裁或诉讼</w:t>
      </w:r>
      <w:bookmarkEnd w:id="649"/>
      <w:bookmarkEnd w:id="670"/>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仲裁委员会申请仲裁；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发包人所在地  </w:t>
      </w:r>
      <w:r>
        <w:rPr>
          <w:rFonts w:hint="eastAsia" w:ascii="仿宋" w:hAnsi="仿宋" w:eastAsia="仿宋" w:cs="仿宋"/>
          <w:color w:val="auto"/>
          <w:sz w:val="24"/>
          <w:szCs w:val="24"/>
          <w:highlight w:val="none"/>
        </w:rPr>
        <w:t>人民法院起诉。</w:t>
      </w:r>
      <w:bookmarkEnd w:id="650"/>
      <w:bookmarkEnd w:id="651"/>
      <w:bookmarkEnd w:id="652"/>
      <w:bookmarkEnd w:id="653"/>
      <w:bookmarkEnd w:id="654"/>
      <w:bookmarkEnd w:id="655"/>
    </w:p>
    <w:p>
      <w:pPr>
        <w:widowControl/>
        <w:spacing w:line="5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p>
      <w:pPr>
        <w:widowControl/>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20.1本合同尾部载明的双方地址、电话等信息，系双方有效联系方式，如发生变更，应提前书面通知另一方，否则依该联系方式送达相关文书的，视为送达成功。</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20.2本合同第一部分合同协议书或第二部分通用条款部分与第三部分专用合同条款内容不一致之处，以第三部分专用合同条款的内容为准。</w:t>
      </w:r>
    </w:p>
    <w:p>
      <w:pPr>
        <w:spacing w:line="360" w:lineRule="auto"/>
        <w:ind w:firstLine="480" w:firstLineChars="200"/>
        <w:jc w:val="left"/>
        <w:rPr>
          <w:rFonts w:hint="eastAsia" w:ascii="仿宋" w:hAnsi="仿宋" w:eastAsia="仿宋" w:cs="仿宋"/>
          <w:color w:val="auto"/>
          <w:sz w:val="24"/>
          <w:szCs w:val="24"/>
          <w:highlight w:val="none"/>
          <w:u w:val="single"/>
        </w:rPr>
      </w:pPr>
    </w:p>
    <w:p>
      <w:pPr>
        <w:widowControl/>
        <w:spacing w:line="5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补充条款：</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承包人同意接受甲方工程结算审计原则。</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竣工后，承包方要在规定的时间内报送完整、规范的竣工材料，工程竣工验收单（记录）须加盖承包方、工程管理部门、使用单位公章并由单位负责人或项目负责人签字，否则视为工程未通过验收。并对报送材料的全面、准确、真实性负责。</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2.承包方须在竣工验收合格之日起三个月内报送工程结算及全部工程资料，承包方送审的工程竣工材料要恪守承诺和质量要求，工程施工内容与结算内容相一致，符合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及合同内容，不得违反合同约定。承包方如未在规定的时间内提供完整、真实、合法的资料、包括工程中涉及变更项目及增加的项目，由此产生的不良后果由承包方负责，发包方不承担责任，也不予受理；工程管理部门拖延者，将按采购人的相关规定进行问责。工程结算报甲方审计处进行审计，最终以甲方审计处审定结算价为准。</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3.工程结算资料延报第一个月，每延报一天，扣承包方1000元/天，延报第二个月，每延报一天，扣承包方3000元/天；延报超过两个月，扣违约金的最高限额为合同价的30%。</w:t>
      </w:r>
    </w:p>
    <w:p>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671" w:name="_Toc351203652"/>
      <w:r>
        <w:rPr>
          <w:rFonts w:hint="eastAsia" w:ascii="仿宋" w:hAnsi="仿宋" w:eastAsia="仿宋" w:cs="仿宋"/>
          <w:b/>
          <w:color w:val="auto"/>
          <w:sz w:val="24"/>
          <w:szCs w:val="24"/>
          <w:highlight w:val="none"/>
        </w:rPr>
        <w:t>附件</w:t>
      </w:r>
      <w:bookmarkEnd w:id="671"/>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附件2：建设工程廉政责任书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附件3：承包人用于本工程施工的机械设备表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附件4：承包人主要施工管理人员表</w:t>
      </w:r>
    </w:p>
    <w:p>
      <w:pPr>
        <w:spacing w:line="360" w:lineRule="auto"/>
        <w:jc w:val="left"/>
        <w:rPr>
          <w:rFonts w:hint="eastAsia" w:ascii="仿宋" w:hAnsi="仿宋" w:eastAsia="仿宋" w:cs="仿宋"/>
          <w:color w:val="auto"/>
          <w:sz w:val="28"/>
          <w:szCs w:val="28"/>
          <w:highlight w:val="none"/>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附件5：本工程主材明细表</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pPr>
        <w:jc w:val="left"/>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工程质量保修书</w:t>
      </w:r>
    </w:p>
    <w:p>
      <w:pPr>
        <w:spacing w:line="540" w:lineRule="exact"/>
        <w:ind w:firstLine="560" w:firstLineChars="200"/>
        <w:rPr>
          <w:rFonts w:hint="eastAsia" w:ascii="仿宋" w:hAnsi="仿宋" w:eastAsia="仿宋" w:cs="仿宋"/>
          <w:color w:val="auto"/>
          <w:sz w:val="28"/>
          <w:szCs w:val="28"/>
          <w:highlight w:val="none"/>
        </w:rPr>
      </w:pP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发包人（全称）：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工程签订工程质量保修书。</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一、工程质量保修范围和内容</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工程承包范围内的全部事项</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r>
        <w:rPr>
          <w:rFonts w:hint="eastAsia" w:ascii="仿宋" w:hAnsi="仿宋" w:eastAsia="仿宋" w:cs="仿宋"/>
          <w:color w:val="auto"/>
          <w:sz w:val="24"/>
          <w:szCs w:val="24"/>
          <w:highlight w:val="none"/>
        </w:rPr>
        <w:t>二、质量保修期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个采暖期、供冷期；</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7．其他项目保修期限约定如下：</w:t>
      </w:r>
      <w:r>
        <w:rPr>
          <w:rFonts w:hint="eastAsia" w:ascii="仿宋" w:hAnsi="仿宋" w:eastAsia="仿宋" w:cs="仿宋"/>
          <w:color w:val="auto"/>
          <w:sz w:val="24"/>
          <w:szCs w:val="24"/>
          <w:highlight w:val="none"/>
          <w:u w:val="single"/>
        </w:rPr>
        <w:t xml:space="preserve"> 本项目质保期2年 </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12</w:t>
      </w:r>
      <w:r>
        <w:rPr>
          <w:rFonts w:hint="eastAsia" w:ascii="仿宋" w:hAnsi="仿宋" w:eastAsia="仿宋" w:cs="仿宋"/>
          <w:color w:val="auto"/>
          <w:sz w:val="24"/>
          <w:szCs w:val="24"/>
          <w:highlight w:val="none"/>
        </w:rPr>
        <w:t>个月，缺陷责任期自工程实际竣工之日起计算。单位工程先于全部工程进行验收，单位工程缺陷责任期自单位工程验收合格之日起算。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1．属于保修范围、内容的项目，承包人应当在接到保修通知之日起7天内派人保修。承包人不在约定期限内派人保修的，发包人可以委托他人修理，修理费用从质量保修金内扣除。</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五、保修费用</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保修费用由造成质量缺陷的责任方承担。</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六、质量保修金的支付</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发包人和承包人约定预留质量保证金比例为结算价的/，在工程竣工结算时一次性预留保证金。</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七、质量保修金的返还</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缺陷责任期满后经甲方再次验收无任何质量问题后无息给予付清。</w:t>
      </w:r>
    </w:p>
    <w:p>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color w:val="auto"/>
          <w:sz w:val="24"/>
          <w:szCs w:val="24"/>
          <w:highlight w:val="none"/>
        </w:rPr>
        <w:t>、双方约定的其他工程质量保修事项：</w:t>
      </w:r>
    </w:p>
    <w:p>
      <w:pPr>
        <w:spacing w:line="540" w:lineRule="exact"/>
        <w:ind w:firstLine="6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spacing w:line="54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spacing w:line="540" w:lineRule="exact"/>
        <w:ind w:firstLine="420"/>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w:t>
      </w:r>
    </w:p>
    <w:p>
      <w:pPr>
        <w:spacing w:line="600" w:lineRule="exact"/>
        <w:jc w:val="left"/>
        <w:rPr>
          <w:rFonts w:hint="eastAsia" w:ascii="仿宋" w:hAnsi="仿宋" w:eastAsia="仿宋" w:cs="仿宋"/>
          <w:b/>
          <w:color w:val="auto"/>
          <w:sz w:val="28"/>
          <w:szCs w:val="28"/>
          <w:highlight w:val="none"/>
        </w:rPr>
      </w:pPr>
    </w:p>
    <w:p>
      <w:pPr>
        <w:spacing w:line="60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建设工程廉政责任书</w:t>
      </w: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一、双方的责任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1.1应严格遵守国家关于建设工程的有关法律、法规，相关政策，以及廉政建设的各项规定。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1.2严格执行建设工程合同文件，自觉按合同办事。</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1.4发现对方在业务活动中有违规、违纪、违法行为的，应及时提醒对方，情节严重的，应向其上级主管部门或纪检监察、司法等有关机关举报。</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二、发包人责任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发包人的领导和从事该建设工程项目的工作人员，在工程建设的事前、事中、事后应遵守以下规定：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2.1不得向承包人和相关单位索要或接受回扣、礼金、有价证券、贵重物品和好处费、感谢费等。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2.2不得在承包人和相关单位报销任何应由发包人或个人支付的费用。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2.3不得要求、暗示或接受承包人和相关单位为个人装修住房、婚丧嫁娶、配偶子女的工作安排以及出国(境)、旅游等提供方便。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2.4不得参加有可能影响公正执行公务的承包人和相关单位的宴请、健身、娱乐等活动。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3.1不得以任何理由向发包人及其工作人员索要、接受或赠送礼金、有价证券、贵重物品及回扣、好处费、感谢费等。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3.2不得以任何理由为发包人和相关单位报销应由对方或个人支付的费用。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3.3不得接受或暗示为发包人、相关单位或个人装修住房、婚丧嫁娶、配偶子女的工作安排以及出国(境)、旅游等提供方便。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3.4不得以任何理由为发包人、相关单位或个人组织有可能影响公正执行公务的宴请、健身、娱乐等活动。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4.3本责任书作为建设工程合同的组成部分，与建设工程合同具有同等法律效力。经双方签署后立即生效。</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五、责任书有效期</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本责任书的有效期为双方签署之日起至该工程项目竣工验收合格时止。</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六、责任书份数</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本责任书一式二份，发包人承包人各执一份，具有同等效力。</w:t>
      </w:r>
    </w:p>
    <w:p>
      <w:pPr>
        <w:spacing w:line="560" w:lineRule="exact"/>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附件3：</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承包人用于本工程施工的机械设备表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附件4：</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本工程主材明细表</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599"/>
        <w:gridCol w:w="1500"/>
        <w:gridCol w:w="1680"/>
        <w:gridCol w:w="1365"/>
        <w:gridCol w:w="2039"/>
        <w:gridCol w:w="1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150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名称</w:t>
            </w:r>
          </w:p>
        </w:tc>
        <w:tc>
          <w:tcPr>
            <w:tcW w:w="168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品牌</w:t>
            </w:r>
          </w:p>
        </w:tc>
        <w:tc>
          <w:tcPr>
            <w:tcW w:w="1365"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产地</w:t>
            </w:r>
          </w:p>
        </w:tc>
        <w:tc>
          <w:tcPr>
            <w:tcW w:w="203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规格</w:t>
            </w:r>
          </w:p>
        </w:tc>
        <w:tc>
          <w:tcPr>
            <w:tcW w:w="1635" w:type="dxa"/>
            <w:tcBorders>
              <w:bottom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9</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10</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13</w:t>
            </w:r>
          </w:p>
        </w:tc>
        <w:tc>
          <w:tcPr>
            <w:tcW w:w="150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noWrap w:val="0"/>
            <w:vAlign w:val="center"/>
          </w:tcPr>
          <w:p>
            <w:pPr>
              <w:jc w:val="center"/>
              <w:rPr>
                <w:rFonts w:hint="eastAsia" w:ascii="仿宋" w:hAnsi="仿宋" w:eastAsia="仿宋" w:cs="仿宋"/>
                <w:color w:val="auto"/>
                <w:sz w:val="24"/>
                <w:szCs w:val="24"/>
                <w:highlight w:val="none"/>
              </w:rPr>
            </w:pPr>
          </w:p>
        </w:tc>
      </w:tr>
    </w:tbl>
    <w:p>
      <w:pPr>
        <w:pStyle w:val="5"/>
        <w:numPr>
          <w:ilvl w:val="0"/>
          <w:numId w:val="0"/>
        </w:numPr>
        <w:ind w:leftChars="0"/>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ascii="宋体" w:hAnsi="宋体" w:cs="宋体"/>
          <w:color w:val="auto"/>
          <w:sz w:val="24"/>
          <w:szCs w:val="24"/>
          <w:highlight w:val="none"/>
        </w:rPr>
      </w:pPr>
    </w:p>
    <w:p>
      <w:pPr>
        <w:jc w:val="center"/>
        <w:outlineLvl w:val="9"/>
        <w:rPr>
          <w:rFonts w:hint="eastAsia" w:ascii="宋体" w:hAnsi="宋体" w:cs="宋体"/>
          <w:color w:val="auto"/>
          <w:sz w:val="32"/>
          <w:szCs w:val="32"/>
          <w:highlight w:val="none"/>
        </w:rPr>
      </w:pPr>
    </w:p>
    <w:p>
      <w:pPr>
        <w:pStyle w:val="5"/>
        <w:numPr>
          <w:ilvl w:val="0"/>
          <w:numId w:val="0"/>
        </w:numPr>
        <w:ind w:leftChars="0"/>
        <w:rPr>
          <w:rFonts w:hint="eastAsia"/>
          <w:color w:val="auto"/>
          <w:highlight w:val="none"/>
        </w:rPr>
      </w:pPr>
    </w:p>
    <w:p>
      <w:pPr>
        <w:pStyle w:val="5"/>
        <w:numPr>
          <w:ilvl w:val="0"/>
          <w:numId w:val="0"/>
        </w:numPr>
        <w:ind w:leftChars="0"/>
        <w:rPr>
          <w:rFonts w:hint="eastAsia"/>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numPr>
          <w:ilvl w:val="0"/>
          <w:numId w:val="6"/>
        </w:num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72" w:name="_Toc23309"/>
      <w:bookmarkStart w:id="673" w:name="_Toc47"/>
      <w:bookmarkStart w:id="674" w:name="_Toc16084"/>
      <w:r>
        <w:rPr>
          <w:rFonts w:hint="eastAsia" w:ascii="宋体" w:hAnsi="宋体" w:cs="宋体"/>
          <w:b/>
          <w:color w:val="auto"/>
          <w:sz w:val="32"/>
          <w:szCs w:val="32"/>
          <w:highlight w:val="none"/>
          <w:lang w:val="en-US" w:eastAsia="zh-CN"/>
        </w:rPr>
        <w:t>采购需求</w:t>
      </w:r>
    </w:p>
    <w:p>
      <w:pPr>
        <w:autoSpaceDE w:val="0"/>
        <w:autoSpaceDN w:val="0"/>
        <w:adjustRightInd w:val="0"/>
        <w:spacing w:line="440" w:lineRule="exact"/>
        <w:ind w:left="-630" w:firstLine="6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工程概况：</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1、建设单位：</w:t>
      </w:r>
      <w:r>
        <w:rPr>
          <w:rFonts w:hint="eastAsia" w:ascii="宋体" w:hAnsi="宋体" w:eastAsia="宋体" w:cs="宋体"/>
          <w:color w:val="auto"/>
          <w:sz w:val="24"/>
          <w:highlight w:val="none"/>
          <w:lang w:val="en-US" w:eastAsia="zh-CN"/>
        </w:rPr>
        <w:t>新疆维吾尔自治区省级干部住宅小区管理服务中心</w:t>
      </w:r>
    </w:p>
    <w:p>
      <w:pPr>
        <w:adjustRightInd w:val="0"/>
        <w:snapToGrid w:val="0"/>
        <w:spacing w:line="44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2、工程名称：</w:t>
      </w:r>
      <w:r>
        <w:rPr>
          <w:rFonts w:hint="eastAsia" w:ascii="宋体" w:hAnsi="宋体" w:cs="宋体"/>
          <w:color w:val="auto"/>
          <w:sz w:val="24"/>
          <w:highlight w:val="none"/>
          <w:lang w:eastAsia="zh-CN"/>
        </w:rPr>
        <w:t>团结路小区岗亭建设及安装工程项目</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建设地址：</w:t>
      </w:r>
      <w:r>
        <w:rPr>
          <w:rFonts w:hint="eastAsia" w:ascii="宋体" w:hAnsi="宋体" w:cs="宋体"/>
          <w:color w:val="auto"/>
          <w:sz w:val="24"/>
          <w:highlight w:val="none"/>
          <w:lang w:eastAsia="zh-CN"/>
        </w:rPr>
        <w:t>团结路小区</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4、建设规模及工程内容：工程量清单范围内的全部工作内容</w:t>
      </w:r>
      <w:r>
        <w:rPr>
          <w:rFonts w:hint="eastAsia" w:ascii="宋体" w:hAnsi="宋体" w:cs="宋体"/>
          <w:color w:val="auto"/>
          <w:sz w:val="24"/>
          <w:highlight w:val="none"/>
          <w:lang w:val="en-US" w:eastAsia="zh-CN"/>
        </w:rPr>
        <w:t>。</w:t>
      </w:r>
    </w:p>
    <w:p>
      <w:pPr>
        <w:pStyle w:val="2"/>
        <w:rPr>
          <w:rFonts w:hint="eastAsia"/>
          <w:color w:val="auto"/>
          <w:highlight w:val="none"/>
          <w:lang w:val="en-US" w:eastAsia="zh-CN"/>
        </w:rPr>
      </w:pPr>
    </w:p>
    <w:p>
      <w:pPr>
        <w:autoSpaceDE w:val="0"/>
        <w:autoSpaceDN w:val="0"/>
        <w:adjustRightInd w:val="0"/>
        <w:spacing w:line="440" w:lineRule="exact"/>
        <w:ind w:left="-630" w:firstLine="6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二、项目工程量清单</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详见附件。</w:t>
      </w:r>
    </w:p>
    <w:p>
      <w:pPr>
        <w:autoSpaceDE w:val="0"/>
        <w:autoSpaceDN w:val="0"/>
        <w:adjustRightInd w:val="0"/>
        <w:spacing w:line="440" w:lineRule="exact"/>
        <w:ind w:left="-630" w:firstLine="600"/>
        <w:rPr>
          <w:rFonts w:hint="default" w:ascii="Times New Roman" w:hAnsi="Times New Roman" w:eastAsia="宋体" w:cs="Times New Roman"/>
          <w:b/>
          <w:bCs/>
          <w:color w:val="auto"/>
          <w:sz w:val="28"/>
          <w:szCs w:val="32"/>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商务要求</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1、合同履约期限：</w:t>
      </w:r>
      <w:r>
        <w:rPr>
          <w:rFonts w:hint="eastAsia" w:ascii="宋体" w:hAnsi="宋体"/>
          <w:bCs/>
          <w:color w:val="auto"/>
          <w:sz w:val="24"/>
          <w:highlight w:val="none"/>
          <w:lang w:val="en-US" w:eastAsia="zh-CN"/>
        </w:rPr>
        <w:t>合同签订后30</w:t>
      </w:r>
      <w:r>
        <w:rPr>
          <w:rFonts w:hint="eastAsia" w:ascii="宋体" w:hAnsi="宋体"/>
          <w:bCs/>
          <w:color w:val="auto"/>
          <w:sz w:val="24"/>
          <w:highlight w:val="none"/>
        </w:rPr>
        <w:t>日内完成所有工作内容</w:t>
      </w:r>
      <w:r>
        <w:rPr>
          <w:rFonts w:hint="eastAsia" w:ascii="宋体" w:hAnsi="宋体"/>
          <w:bCs/>
          <w:color w:val="auto"/>
          <w:sz w:val="24"/>
          <w:highlight w:val="none"/>
          <w:lang w:val="en-US" w:eastAsia="zh-CN"/>
        </w:rPr>
        <w:t>并验收合格</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2、履约地点：采购人指定地点。</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3、付款方式：</w:t>
      </w:r>
      <w:r>
        <w:rPr>
          <w:rFonts w:hint="eastAsia" w:ascii="宋体" w:hAnsi="宋体" w:cs="Times New Roman"/>
          <w:bCs/>
          <w:color w:val="auto"/>
          <w:sz w:val="24"/>
          <w:highlight w:val="none"/>
          <w:lang w:val="en-US" w:eastAsia="zh-CN"/>
        </w:rPr>
        <w:t>按合同约定</w:t>
      </w:r>
      <w:r>
        <w:rPr>
          <w:rFonts w:hint="eastAsia" w:ascii="宋体" w:hAnsi="宋体" w:eastAsia="宋体" w:cs="Times New Roman"/>
          <w:bCs/>
          <w:color w:val="auto"/>
          <w:sz w:val="24"/>
          <w:highlight w:val="none"/>
          <w:lang w:eastAsia="zh-CN"/>
        </w:rPr>
        <w:t>。</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4、验收标准：按国家有关规定、采购文件的要求、供应商</w:t>
      </w:r>
      <w:r>
        <w:rPr>
          <w:rFonts w:hint="eastAsia" w:ascii="宋体" w:hAnsi="宋体" w:eastAsia="宋体" w:cs="Times New Roman"/>
          <w:color w:val="auto"/>
          <w:sz w:val="24"/>
          <w:highlight w:val="none"/>
          <w:lang w:val="en-US" w:eastAsia="zh-CN"/>
        </w:rPr>
        <w:t>响应文件</w:t>
      </w:r>
      <w:r>
        <w:rPr>
          <w:rFonts w:hint="default" w:ascii="宋体" w:hAnsi="宋体" w:eastAsia="宋体" w:cs="Times New Roman"/>
          <w:color w:val="auto"/>
          <w:sz w:val="24"/>
          <w:highlight w:val="none"/>
          <w:lang w:val="en-US" w:eastAsia="zh-CN"/>
        </w:rPr>
        <w:t>及承诺进行验收。</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5、履约责任：成交单位须在结果公示后</w:t>
      </w:r>
      <w:r>
        <w:rPr>
          <w:rFonts w:hint="eastAsia" w:ascii="宋体" w:hAnsi="宋体" w:eastAsia="宋体" w:cs="Times New Roman"/>
          <w:color w:val="auto"/>
          <w:sz w:val="24"/>
          <w:highlight w:val="none"/>
          <w:lang w:val="en-US" w:eastAsia="zh-CN"/>
        </w:rPr>
        <w:t>30</w:t>
      </w:r>
      <w:r>
        <w:rPr>
          <w:rFonts w:hint="default" w:ascii="宋体" w:hAnsi="宋体" w:eastAsia="宋体" w:cs="Times New Roman"/>
          <w:color w:val="auto"/>
          <w:sz w:val="24"/>
          <w:highlight w:val="none"/>
          <w:lang w:val="en-US" w:eastAsia="zh-CN"/>
        </w:rPr>
        <w:t>天内与采购人签订合同，并按采购文件要求和</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文件响应内容履行相应职责，否则招标采购单位不予退还其交纳的</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保证金，给采购人造成的经济损失的，采购人将依法追究其法律责任。</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6、工程质量保修期为</w:t>
      </w:r>
      <w:r>
        <w:rPr>
          <w:rFonts w:hint="eastAsia" w:ascii="宋体" w:hAnsi="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年。</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工程量清单</w:t>
      </w:r>
      <w:bookmarkEnd w:id="672"/>
      <w:bookmarkEnd w:id="673"/>
      <w:bookmarkEnd w:id="674"/>
      <w:r>
        <w:rPr>
          <w:rFonts w:hint="eastAsia" w:ascii="宋体" w:hAnsi="宋体" w:eastAsia="宋体" w:cs="宋体"/>
          <w:b/>
          <w:color w:val="auto"/>
          <w:sz w:val="32"/>
          <w:szCs w:val="32"/>
          <w:highlight w:val="none"/>
          <w:lang w:val="en-US" w:eastAsia="zh-CN"/>
        </w:rPr>
        <w:t>（详见附件）</w:t>
      </w: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pStyle w:val="26"/>
        <w:rPr>
          <w:rFonts w:hint="eastAsia"/>
          <w:color w:val="auto"/>
          <w:highlight w:val="none"/>
          <w:lang w:val="en-US" w:eastAsia="zh-CN"/>
        </w:rPr>
      </w:pPr>
    </w:p>
    <w:bookmarkEnd w:id="81"/>
    <w:bookmarkEnd w:id="82"/>
    <w:bookmarkEnd w:id="83"/>
    <w:bookmarkEnd w:id="84"/>
    <w:p>
      <w:pPr>
        <w:pStyle w:val="27"/>
        <w:numPr>
          <w:ilvl w:val="0"/>
          <w:numId w:val="0"/>
        </w:numPr>
        <w:rPr>
          <w:rFonts w:hint="eastAsia"/>
          <w:color w:val="auto"/>
          <w:highlight w:val="none"/>
          <w:lang w:val="en-US" w:eastAsia="zh-CN"/>
        </w:rPr>
      </w:pPr>
      <w:bookmarkStart w:id="675" w:name="_Toc8076"/>
      <w:bookmarkStart w:id="676" w:name="_Toc256000028"/>
      <w:bookmarkStart w:id="677" w:name="_Toc529952601"/>
      <w:bookmarkStart w:id="678" w:name="_Toc17616"/>
      <w:bookmarkStart w:id="679" w:name="_Toc23930"/>
      <w:bookmarkStart w:id="680" w:name="_Toc22819"/>
      <w:bookmarkStart w:id="681" w:name="_Toc9479"/>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en-US" w:eastAsia="zh-CN"/>
        </w:rPr>
        <w:t>章  图纸</w:t>
      </w:r>
      <w:bookmarkEnd w:id="675"/>
      <w:bookmarkEnd w:id="676"/>
      <w:bookmarkEnd w:id="677"/>
      <w:bookmarkEnd w:id="678"/>
      <w:r>
        <w:rPr>
          <w:rFonts w:hint="eastAsia" w:ascii="宋体" w:hAnsi="宋体" w:eastAsia="宋体" w:cs="宋体"/>
          <w:b/>
          <w:color w:val="auto"/>
          <w:sz w:val="32"/>
          <w:szCs w:val="32"/>
          <w:highlight w:val="none"/>
          <w:lang w:val="en-US" w:eastAsia="zh-CN"/>
        </w:rPr>
        <w:t>另附</w:t>
      </w:r>
      <w:bookmarkEnd w:id="679"/>
      <w:bookmarkEnd w:id="680"/>
      <w:bookmarkEnd w:id="681"/>
    </w:p>
    <w:p>
      <w:pPr>
        <w:rPr>
          <w:rFonts w:hint="eastAsia" w:ascii="宋体" w:hAnsi="宋体" w:cs="宋体"/>
          <w:b/>
          <w:bCs/>
          <w:color w:val="auto"/>
          <w:sz w:val="22"/>
          <w:szCs w:val="21"/>
          <w:highlight w:val="none"/>
          <w:lang w:val="en-US" w:eastAsia="zh-CN"/>
        </w:rPr>
      </w:pPr>
      <w:bookmarkStart w:id="682" w:name="EB494e10445b284177a9350c3e96722e55"/>
    </w:p>
    <w:p>
      <w:pPr>
        <w:rPr>
          <w:rFonts w:hint="eastAsia" w:ascii="宋体" w:hAnsi="宋体" w:cs="宋体"/>
          <w:b/>
          <w:bCs/>
          <w:color w:val="auto"/>
          <w:sz w:val="22"/>
          <w:szCs w:val="21"/>
          <w:highlight w:val="none"/>
          <w:lang w:val="en-US" w:eastAsia="zh-CN"/>
        </w:rPr>
      </w:pPr>
    </w:p>
    <w:p>
      <w:pPr>
        <w:jc w:val="center"/>
        <w:rPr>
          <w:rFonts w:hint="eastAsia" w:ascii="宋体" w:hAnsi="宋体" w:cs="宋体"/>
          <w:b/>
          <w:bCs/>
          <w:color w:val="auto"/>
          <w:sz w:val="22"/>
          <w:szCs w:val="21"/>
          <w:highlight w:val="none"/>
          <w:lang w:val="en-US" w:eastAsia="zh-CN"/>
        </w:rPr>
      </w:pPr>
      <w:r>
        <w:rPr>
          <w:rFonts w:hint="eastAsia" w:ascii="宋体" w:hAnsi="宋体" w:cs="宋体"/>
          <w:b/>
          <w:bCs/>
          <w:color w:val="auto"/>
          <w:sz w:val="22"/>
          <w:szCs w:val="21"/>
          <w:highlight w:val="none"/>
          <w:lang w:val="en-US" w:eastAsia="zh-CN"/>
        </w:rPr>
        <w:t>本项目无图纸</w:t>
      </w:r>
    </w:p>
    <w:p>
      <w:pPr>
        <w:pStyle w:val="27"/>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bookmarkEnd w:id="682"/>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83" w:name="_Toc256000029"/>
      <w:bookmarkStart w:id="684" w:name="_Toc5936"/>
      <w:bookmarkStart w:id="685" w:name="_Toc25776"/>
      <w:bookmarkStart w:id="686" w:name="_Toc9752"/>
      <w:bookmarkStart w:id="687" w:name="_Toc529952602"/>
      <w:bookmarkStart w:id="688" w:name="_Toc30879"/>
      <w:bookmarkStart w:id="689" w:name="_Toc19130"/>
      <w:r>
        <w:rPr>
          <w:rFonts w:hint="eastAsia" w:ascii="宋体" w:hAnsi="宋体" w:eastAsia="宋体" w:cs="宋体"/>
          <w:b/>
          <w:color w:val="auto"/>
          <w:sz w:val="32"/>
          <w:szCs w:val="32"/>
          <w:highlight w:val="none"/>
          <w:lang w:val="en-US" w:eastAsia="zh-CN"/>
        </w:rPr>
        <w:t>第</w:t>
      </w: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en-US" w:eastAsia="zh-CN"/>
        </w:rPr>
        <w:t>章 响应文件格式</w:t>
      </w:r>
      <w:bookmarkEnd w:id="683"/>
      <w:bookmarkEnd w:id="684"/>
      <w:bookmarkEnd w:id="685"/>
      <w:bookmarkEnd w:id="686"/>
      <w:bookmarkEnd w:id="687"/>
      <w:bookmarkEnd w:id="688"/>
      <w:bookmarkEnd w:id="689"/>
    </w:p>
    <w:p>
      <w:pPr>
        <w:rPr>
          <w:rFonts w:hint="eastAsia" w:ascii="宋体" w:hAnsi="宋体" w:cs="宋体"/>
          <w:color w:val="auto"/>
          <w:highlight w:val="none"/>
        </w:rPr>
      </w:pPr>
      <w:bookmarkStart w:id="690" w:name="EB77e84d16e8514e3d843450083f22a83d"/>
    </w:p>
    <w:p>
      <w:pPr>
        <w:pStyle w:val="54"/>
        <w:spacing w:after="100" w:afterAutospacing="1"/>
        <w:jc w:val="center"/>
        <w:outlineLvl w:val="9"/>
        <w:rPr>
          <w:rFonts w:hint="eastAsia" w:ascii="宋体" w:hAnsi="宋体" w:eastAsia="宋体" w:cs="宋体"/>
          <w:color w:val="auto"/>
          <w:highlight w:val="none"/>
        </w:rPr>
      </w:pPr>
      <w:bookmarkStart w:id="691" w:name="_Toc27473"/>
      <w:bookmarkStart w:id="692" w:name="_Toc29643"/>
      <w:bookmarkStart w:id="693" w:name="_Toc28793"/>
      <w:r>
        <w:rPr>
          <w:rFonts w:hint="eastAsia" w:ascii="宋体" w:hAnsi="宋体" w:eastAsia="宋体" w:cs="宋体"/>
          <w:color w:val="auto"/>
          <w:sz w:val="40"/>
          <w:highlight w:val="none"/>
        </w:rPr>
        <w:t>目    录</w:t>
      </w:r>
      <w:bookmarkEnd w:id="691"/>
      <w:bookmarkEnd w:id="692"/>
      <w:bookmarkEnd w:id="693"/>
    </w:p>
    <w:p>
      <w:pPr>
        <w:pStyle w:val="54"/>
        <w:spacing w:after="100" w:afterAutospacing="1"/>
        <w:outlineLvl w:val="9"/>
        <w:rPr>
          <w:rFonts w:hint="eastAsia" w:ascii="宋体" w:hAnsi="宋体" w:eastAsia="宋体" w:cs="宋体"/>
          <w:color w:val="auto"/>
          <w:sz w:val="24"/>
          <w:szCs w:val="21"/>
          <w:highlight w:val="none"/>
        </w:rPr>
      </w:pPr>
      <w:bookmarkStart w:id="694" w:name="_Toc21481"/>
      <w:bookmarkStart w:id="695" w:name="_Toc28827"/>
      <w:r>
        <w:rPr>
          <w:rFonts w:hint="eastAsia" w:ascii="宋体" w:hAnsi="宋体" w:eastAsia="宋体" w:cs="宋体"/>
          <w:color w:val="auto"/>
          <w:sz w:val="24"/>
          <w:szCs w:val="21"/>
          <w:highlight w:val="none"/>
        </w:rPr>
        <w:t>一、投标文件封面</w:t>
      </w:r>
      <w:bookmarkEnd w:id="694"/>
      <w:bookmarkEnd w:id="695"/>
    </w:p>
    <w:p>
      <w:pPr>
        <w:pStyle w:val="54"/>
        <w:spacing w:after="100" w:afterAutospacing="1"/>
        <w:outlineLvl w:val="9"/>
        <w:rPr>
          <w:rFonts w:hint="eastAsia" w:ascii="宋体" w:hAnsi="宋体" w:eastAsia="宋体" w:cs="宋体"/>
          <w:color w:val="auto"/>
          <w:sz w:val="24"/>
          <w:szCs w:val="21"/>
          <w:highlight w:val="none"/>
        </w:rPr>
      </w:pPr>
      <w:bookmarkStart w:id="696" w:name="_Toc26828"/>
      <w:bookmarkStart w:id="697" w:name="_Toc22739"/>
      <w:r>
        <w:rPr>
          <w:rFonts w:hint="eastAsia" w:ascii="宋体" w:hAnsi="宋体" w:eastAsia="宋体" w:cs="宋体"/>
          <w:color w:val="auto"/>
          <w:sz w:val="24"/>
          <w:szCs w:val="21"/>
          <w:highlight w:val="none"/>
        </w:rPr>
        <w:t>二、供应商资格声明</w:t>
      </w:r>
      <w:bookmarkEnd w:id="696"/>
      <w:bookmarkEnd w:id="697"/>
    </w:p>
    <w:p>
      <w:pPr>
        <w:pStyle w:val="54"/>
        <w:spacing w:after="100" w:afterAutospacing="1"/>
        <w:outlineLvl w:val="9"/>
        <w:rPr>
          <w:rFonts w:hint="eastAsia" w:ascii="宋体" w:hAnsi="宋体" w:eastAsia="宋体" w:cs="宋体"/>
          <w:color w:val="auto"/>
          <w:sz w:val="24"/>
          <w:szCs w:val="21"/>
          <w:highlight w:val="none"/>
        </w:rPr>
      </w:pPr>
      <w:bookmarkStart w:id="698" w:name="_Toc28701"/>
      <w:bookmarkStart w:id="699" w:name="_Toc19474"/>
      <w:r>
        <w:rPr>
          <w:rFonts w:hint="eastAsia" w:ascii="宋体" w:hAnsi="宋体" w:eastAsia="宋体" w:cs="宋体"/>
          <w:color w:val="auto"/>
          <w:sz w:val="24"/>
          <w:szCs w:val="21"/>
          <w:highlight w:val="none"/>
        </w:rPr>
        <w:t>三、法定代表人身份证明或附有法定代表人身份证明的授权书</w:t>
      </w:r>
      <w:bookmarkEnd w:id="698"/>
      <w:bookmarkEnd w:id="699"/>
    </w:p>
    <w:p>
      <w:pPr>
        <w:pStyle w:val="54"/>
        <w:spacing w:after="100" w:afterAutospacing="1"/>
        <w:outlineLvl w:val="9"/>
        <w:rPr>
          <w:rFonts w:hint="eastAsia" w:ascii="宋体" w:hAnsi="宋体" w:eastAsia="宋体" w:cs="宋体"/>
          <w:color w:val="auto"/>
          <w:sz w:val="24"/>
          <w:szCs w:val="21"/>
          <w:highlight w:val="none"/>
        </w:rPr>
      </w:pPr>
      <w:bookmarkStart w:id="700" w:name="_Toc13980"/>
      <w:bookmarkStart w:id="701" w:name="_Toc21152"/>
      <w:r>
        <w:rPr>
          <w:rFonts w:hint="eastAsia" w:ascii="宋体" w:hAnsi="宋体" w:eastAsia="宋体" w:cs="宋体"/>
          <w:color w:val="auto"/>
          <w:sz w:val="24"/>
          <w:szCs w:val="21"/>
          <w:highlight w:val="none"/>
        </w:rPr>
        <w:t>四、近三年无重大违法记录信息证明文件</w:t>
      </w:r>
      <w:bookmarkEnd w:id="700"/>
      <w:bookmarkEnd w:id="701"/>
    </w:p>
    <w:p>
      <w:pPr>
        <w:pStyle w:val="54"/>
        <w:spacing w:after="100" w:afterAutospacing="1"/>
        <w:outlineLvl w:val="9"/>
        <w:rPr>
          <w:rFonts w:hint="eastAsia" w:ascii="宋体" w:hAnsi="宋体" w:eastAsia="宋体" w:cs="宋体"/>
          <w:color w:val="auto"/>
          <w:sz w:val="24"/>
          <w:szCs w:val="21"/>
          <w:highlight w:val="none"/>
        </w:rPr>
      </w:pPr>
      <w:bookmarkStart w:id="702" w:name="_Toc2427"/>
      <w:bookmarkStart w:id="703" w:name="_Toc11075"/>
      <w:r>
        <w:rPr>
          <w:rFonts w:hint="eastAsia" w:ascii="宋体" w:hAnsi="宋体" w:eastAsia="宋体" w:cs="宋体"/>
          <w:color w:val="auto"/>
          <w:sz w:val="24"/>
          <w:szCs w:val="21"/>
          <w:highlight w:val="none"/>
        </w:rPr>
        <w:t>五、其他资格证明文件</w:t>
      </w:r>
      <w:bookmarkEnd w:id="702"/>
      <w:bookmarkEnd w:id="703"/>
    </w:p>
    <w:p>
      <w:pPr>
        <w:pStyle w:val="54"/>
        <w:spacing w:after="100" w:afterAutospacing="1"/>
        <w:outlineLvl w:val="9"/>
        <w:rPr>
          <w:rFonts w:hint="eastAsia" w:ascii="宋体" w:hAnsi="宋体" w:eastAsia="宋体" w:cs="宋体"/>
          <w:color w:val="auto"/>
          <w:sz w:val="24"/>
          <w:szCs w:val="21"/>
          <w:highlight w:val="none"/>
        </w:rPr>
      </w:pPr>
      <w:bookmarkStart w:id="704" w:name="_Toc9249"/>
      <w:bookmarkStart w:id="705" w:name="_Toc31609"/>
      <w:r>
        <w:rPr>
          <w:rFonts w:hint="eastAsia" w:ascii="宋体" w:hAnsi="宋体" w:eastAsia="宋体" w:cs="宋体"/>
          <w:color w:val="auto"/>
          <w:sz w:val="24"/>
          <w:szCs w:val="21"/>
          <w:highlight w:val="none"/>
        </w:rPr>
        <w:t>六、</w:t>
      </w:r>
      <w:bookmarkEnd w:id="704"/>
      <w:bookmarkEnd w:id="705"/>
      <w:r>
        <w:rPr>
          <w:rFonts w:hint="eastAsia" w:ascii="宋体" w:hAnsi="宋体" w:eastAsia="宋体" w:cs="宋体"/>
          <w:color w:val="auto"/>
          <w:sz w:val="24"/>
          <w:szCs w:val="21"/>
          <w:highlight w:val="none"/>
        </w:rPr>
        <w:t>投标保证金</w:t>
      </w:r>
    </w:p>
    <w:p>
      <w:pPr>
        <w:pStyle w:val="54"/>
        <w:spacing w:after="100" w:afterAutospacing="1"/>
        <w:outlineLvl w:val="9"/>
        <w:rPr>
          <w:rFonts w:hint="eastAsia" w:ascii="宋体" w:hAnsi="宋体" w:eastAsia="宋体" w:cs="宋体"/>
          <w:color w:val="auto"/>
          <w:sz w:val="24"/>
          <w:szCs w:val="21"/>
          <w:highlight w:val="none"/>
        </w:rPr>
      </w:pPr>
      <w:bookmarkStart w:id="706" w:name="_Toc3224"/>
      <w:bookmarkStart w:id="707" w:name="_Toc6695"/>
      <w:r>
        <w:rPr>
          <w:rFonts w:hint="eastAsia" w:ascii="宋体" w:hAnsi="宋体" w:eastAsia="宋体" w:cs="宋体"/>
          <w:color w:val="auto"/>
          <w:sz w:val="24"/>
          <w:szCs w:val="21"/>
          <w:highlight w:val="none"/>
        </w:rPr>
        <w:t>七、不参与围标串标承诺书</w:t>
      </w:r>
      <w:bookmarkEnd w:id="706"/>
      <w:bookmarkEnd w:id="707"/>
    </w:p>
    <w:p>
      <w:pPr>
        <w:pStyle w:val="54"/>
        <w:spacing w:after="100" w:afterAutospacing="1"/>
        <w:outlineLvl w:val="9"/>
        <w:rPr>
          <w:rFonts w:hint="eastAsia" w:ascii="宋体" w:hAnsi="宋体" w:eastAsia="宋体" w:cs="宋体"/>
          <w:color w:val="auto"/>
          <w:sz w:val="24"/>
          <w:szCs w:val="21"/>
          <w:highlight w:val="none"/>
        </w:rPr>
      </w:pPr>
      <w:bookmarkStart w:id="708" w:name="_Toc28448"/>
      <w:bookmarkStart w:id="709" w:name="_Toc7013"/>
      <w:r>
        <w:rPr>
          <w:rFonts w:hint="eastAsia" w:ascii="宋体" w:hAnsi="宋体" w:eastAsia="宋体" w:cs="宋体"/>
          <w:color w:val="auto"/>
          <w:sz w:val="24"/>
          <w:szCs w:val="21"/>
          <w:highlight w:val="none"/>
        </w:rPr>
        <w:t>八、中、小微企业声明函（中、小、微型企业产品价格需扣除的须提供）</w:t>
      </w:r>
      <w:bookmarkEnd w:id="708"/>
      <w:bookmarkEnd w:id="709"/>
    </w:p>
    <w:p>
      <w:pPr>
        <w:pStyle w:val="54"/>
        <w:spacing w:after="100" w:afterAutospacing="1"/>
        <w:outlineLvl w:val="9"/>
        <w:rPr>
          <w:rFonts w:hint="eastAsia" w:ascii="宋体" w:hAnsi="宋体" w:eastAsia="宋体" w:cs="宋体"/>
          <w:color w:val="auto"/>
          <w:sz w:val="24"/>
          <w:szCs w:val="21"/>
          <w:highlight w:val="none"/>
        </w:rPr>
      </w:pPr>
      <w:bookmarkStart w:id="710" w:name="_Toc7720"/>
      <w:bookmarkStart w:id="711" w:name="_Toc25675"/>
      <w:r>
        <w:rPr>
          <w:rFonts w:hint="eastAsia" w:ascii="宋体" w:hAnsi="宋体" w:eastAsia="宋体" w:cs="宋体"/>
          <w:color w:val="auto"/>
          <w:sz w:val="24"/>
          <w:szCs w:val="21"/>
          <w:highlight w:val="none"/>
        </w:rPr>
        <w:t>九、磋商申请</w:t>
      </w:r>
      <w:bookmarkEnd w:id="710"/>
      <w:bookmarkEnd w:id="711"/>
    </w:p>
    <w:p>
      <w:pPr>
        <w:pStyle w:val="54"/>
        <w:spacing w:after="100" w:afterAutospacing="1"/>
        <w:outlineLvl w:val="9"/>
        <w:rPr>
          <w:rFonts w:hint="eastAsia" w:ascii="宋体" w:hAnsi="宋体" w:eastAsia="宋体" w:cs="宋体"/>
          <w:color w:val="auto"/>
          <w:sz w:val="24"/>
          <w:szCs w:val="21"/>
          <w:highlight w:val="none"/>
        </w:rPr>
      </w:pPr>
      <w:bookmarkStart w:id="712" w:name="_Toc12572"/>
      <w:bookmarkStart w:id="713" w:name="_Toc21302"/>
      <w:r>
        <w:rPr>
          <w:rFonts w:hint="eastAsia" w:ascii="宋体" w:hAnsi="宋体" w:eastAsia="宋体" w:cs="宋体"/>
          <w:color w:val="auto"/>
          <w:sz w:val="24"/>
          <w:szCs w:val="21"/>
          <w:highlight w:val="none"/>
        </w:rPr>
        <w:t>十、磋商申请附录</w:t>
      </w:r>
      <w:bookmarkEnd w:id="712"/>
      <w:bookmarkEnd w:id="713"/>
    </w:p>
    <w:p>
      <w:pPr>
        <w:pStyle w:val="54"/>
        <w:spacing w:after="100" w:afterAutospacing="1"/>
        <w:outlineLvl w:val="9"/>
        <w:rPr>
          <w:rFonts w:hint="eastAsia" w:ascii="宋体" w:hAnsi="宋体" w:eastAsia="宋体" w:cs="宋体"/>
          <w:color w:val="auto"/>
          <w:sz w:val="24"/>
          <w:szCs w:val="21"/>
          <w:highlight w:val="none"/>
        </w:rPr>
      </w:pPr>
      <w:bookmarkStart w:id="714" w:name="_Toc27937"/>
      <w:bookmarkStart w:id="715" w:name="_Toc23163"/>
      <w:r>
        <w:rPr>
          <w:rFonts w:hint="eastAsia" w:ascii="宋体" w:hAnsi="宋体" w:eastAsia="宋体" w:cs="宋体"/>
          <w:color w:val="auto"/>
          <w:sz w:val="24"/>
          <w:szCs w:val="21"/>
          <w:highlight w:val="none"/>
        </w:rPr>
        <w:t>十一、已标价的工程量清单</w:t>
      </w:r>
      <w:bookmarkEnd w:id="714"/>
      <w:bookmarkEnd w:id="715"/>
    </w:p>
    <w:p>
      <w:pPr>
        <w:pStyle w:val="54"/>
        <w:spacing w:after="100" w:afterAutospacing="1"/>
        <w:outlineLvl w:val="9"/>
        <w:rPr>
          <w:rFonts w:hint="eastAsia" w:ascii="宋体" w:hAnsi="宋体" w:eastAsia="宋体" w:cs="宋体"/>
          <w:color w:val="auto"/>
          <w:sz w:val="24"/>
          <w:szCs w:val="21"/>
          <w:highlight w:val="none"/>
        </w:rPr>
      </w:pPr>
      <w:bookmarkStart w:id="716" w:name="_Toc13706"/>
      <w:bookmarkStart w:id="717" w:name="_Toc23514"/>
      <w:r>
        <w:rPr>
          <w:rFonts w:hint="eastAsia" w:ascii="宋体" w:hAnsi="宋体" w:eastAsia="宋体" w:cs="宋体"/>
          <w:color w:val="auto"/>
          <w:sz w:val="24"/>
          <w:szCs w:val="21"/>
          <w:highlight w:val="none"/>
        </w:rPr>
        <w:t>十二、联合体协议书格式（如有）</w:t>
      </w:r>
      <w:bookmarkEnd w:id="716"/>
      <w:bookmarkEnd w:id="717"/>
    </w:p>
    <w:p>
      <w:pPr>
        <w:pStyle w:val="54"/>
        <w:spacing w:after="100" w:afterAutospacing="1"/>
        <w:outlineLvl w:val="9"/>
        <w:rPr>
          <w:rFonts w:hint="eastAsia" w:ascii="宋体" w:hAnsi="宋体" w:eastAsia="宋体" w:cs="宋体"/>
          <w:color w:val="auto"/>
          <w:sz w:val="24"/>
          <w:szCs w:val="21"/>
          <w:highlight w:val="none"/>
        </w:rPr>
      </w:pPr>
      <w:bookmarkStart w:id="718" w:name="_Toc25336"/>
      <w:bookmarkStart w:id="719" w:name="_Toc2686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三</w:t>
      </w:r>
      <w:r>
        <w:rPr>
          <w:rFonts w:hint="eastAsia" w:ascii="宋体" w:hAnsi="宋体" w:eastAsia="宋体" w:cs="宋体"/>
          <w:color w:val="auto"/>
          <w:sz w:val="24"/>
          <w:szCs w:val="21"/>
          <w:highlight w:val="none"/>
        </w:rPr>
        <w:t>、施工组织设计</w:t>
      </w:r>
      <w:bookmarkEnd w:id="718"/>
      <w:bookmarkEnd w:id="719"/>
    </w:p>
    <w:p>
      <w:pPr>
        <w:pStyle w:val="54"/>
        <w:spacing w:after="100" w:afterAutospacing="1"/>
        <w:outlineLvl w:val="9"/>
        <w:rPr>
          <w:rFonts w:hint="eastAsia" w:ascii="宋体" w:hAnsi="宋体" w:eastAsia="宋体" w:cs="宋体"/>
          <w:color w:val="auto"/>
          <w:sz w:val="24"/>
          <w:szCs w:val="21"/>
          <w:highlight w:val="none"/>
        </w:rPr>
      </w:pPr>
      <w:bookmarkStart w:id="720" w:name="_Toc8875"/>
      <w:bookmarkStart w:id="721" w:name="_Toc2056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四</w:t>
      </w:r>
      <w:r>
        <w:rPr>
          <w:rFonts w:hint="eastAsia" w:ascii="宋体" w:hAnsi="宋体" w:eastAsia="宋体" w:cs="宋体"/>
          <w:color w:val="auto"/>
          <w:sz w:val="24"/>
          <w:szCs w:val="21"/>
          <w:highlight w:val="none"/>
        </w:rPr>
        <w:t>、项目管理机构组成表</w:t>
      </w:r>
      <w:bookmarkEnd w:id="720"/>
      <w:bookmarkEnd w:id="721"/>
    </w:p>
    <w:p>
      <w:pPr>
        <w:pStyle w:val="54"/>
        <w:spacing w:after="100" w:afterAutospacing="1"/>
        <w:outlineLvl w:val="9"/>
        <w:rPr>
          <w:rFonts w:hint="eastAsia" w:ascii="宋体" w:hAnsi="宋体" w:eastAsia="宋体" w:cs="宋体"/>
          <w:color w:val="auto"/>
          <w:sz w:val="24"/>
          <w:szCs w:val="21"/>
          <w:highlight w:val="none"/>
        </w:rPr>
      </w:pPr>
      <w:bookmarkStart w:id="722" w:name="_Toc25913"/>
      <w:bookmarkStart w:id="723" w:name="_Toc528"/>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rPr>
        <w:t>、项目经理简历表</w:t>
      </w:r>
      <w:bookmarkEnd w:id="722"/>
      <w:bookmarkEnd w:id="723"/>
    </w:p>
    <w:p>
      <w:pPr>
        <w:pStyle w:val="55"/>
        <w:outlineLvl w:val="9"/>
        <w:rPr>
          <w:rFonts w:hint="eastAsia" w:ascii="宋体" w:hAnsi="宋体" w:eastAsia="宋体" w:cs="宋体"/>
          <w:color w:val="auto"/>
          <w:sz w:val="24"/>
          <w:szCs w:val="21"/>
          <w:highlight w:val="none"/>
        </w:rPr>
      </w:pPr>
      <w:bookmarkStart w:id="724" w:name="_Toc2446"/>
      <w:bookmarkStart w:id="725" w:name="_Toc32524"/>
      <w:bookmarkStart w:id="726" w:name="_Toc22593"/>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六</w:t>
      </w:r>
      <w:r>
        <w:rPr>
          <w:rFonts w:hint="eastAsia" w:ascii="宋体" w:hAnsi="宋体" w:eastAsia="宋体" w:cs="宋体"/>
          <w:color w:val="auto"/>
          <w:sz w:val="24"/>
          <w:szCs w:val="21"/>
          <w:highlight w:val="none"/>
        </w:rPr>
        <w:t>、其他材料</w:t>
      </w:r>
      <w:bookmarkEnd w:id="724"/>
      <w:bookmarkEnd w:id="725"/>
      <w:bookmarkEnd w:id="726"/>
      <w:bookmarkStart w:id="727" w:name="_Toc24498"/>
      <w:bookmarkStart w:id="728" w:name="_Toc256000030"/>
      <w:bookmarkStart w:id="729" w:name="_Toc6608"/>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1"/>
        <w:rPr>
          <w:rFonts w:hint="eastAsia" w:ascii="宋体" w:hAnsi="宋体" w:eastAsia="宋体" w:cs="宋体"/>
          <w:color w:val="auto"/>
          <w:highlight w:val="none"/>
        </w:rPr>
      </w:pPr>
      <w:bookmarkStart w:id="730" w:name="_Toc32047"/>
      <w:bookmarkStart w:id="731" w:name="_Toc7451"/>
      <w:r>
        <w:rPr>
          <w:rFonts w:hint="eastAsia" w:ascii="宋体" w:hAnsi="宋体" w:eastAsia="宋体" w:cs="宋体"/>
          <w:b/>
          <w:color w:val="auto"/>
          <w:sz w:val="28"/>
          <w:szCs w:val="22"/>
          <w:highlight w:val="none"/>
          <w:lang w:val="en-US" w:eastAsia="zh-CN" w:bidi="ar-SA"/>
        </w:rPr>
        <w:t>一、响应文件封面</w:t>
      </w:r>
      <w:bookmarkEnd w:id="727"/>
      <w:bookmarkEnd w:id="728"/>
      <w:bookmarkEnd w:id="729"/>
      <w:bookmarkEnd w:id="730"/>
      <w:bookmarkEnd w:id="731"/>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（项目名称）</w:t>
      </w:r>
    </w:p>
    <w:p>
      <w:pPr>
        <w:pStyle w:val="50"/>
        <w:spacing w:line="360" w:lineRule="auto"/>
        <w:jc w:val="center"/>
        <w:rPr>
          <w:rFonts w:hint="eastAsia" w:ascii="宋体" w:hAnsi="宋体" w:cs="宋体"/>
          <w:color w:val="auto"/>
          <w:sz w:val="28"/>
          <w:szCs w:val="28"/>
          <w:highlight w:val="none"/>
        </w:rPr>
      </w:pPr>
    </w:p>
    <w:p>
      <w:pPr>
        <w:pStyle w:val="50"/>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（包号）</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响应</w:t>
      </w:r>
      <w:r>
        <w:rPr>
          <w:rFonts w:hint="eastAsia" w:ascii="宋体" w:hAnsi="宋体" w:cs="宋体"/>
          <w:b/>
          <w:color w:val="auto"/>
          <w:sz w:val="52"/>
          <w:szCs w:val="52"/>
          <w:highlight w:val="none"/>
        </w:rPr>
        <w:t>文件</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ind w:left="0" w:leftChars="0" w:firstLine="840" w:firstLineChars="3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标</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盖</w:t>
      </w:r>
      <w:r>
        <w:rPr>
          <w:rFonts w:hint="eastAsia" w:ascii="宋体" w:hAnsi="宋体" w:cs="宋体"/>
          <w:color w:val="auto"/>
          <w:sz w:val="28"/>
          <w:szCs w:val="28"/>
          <w:highlight w:val="none"/>
        </w:rPr>
        <w:t>章）</w:t>
      </w:r>
    </w:p>
    <w:p>
      <w:pPr>
        <w:pStyle w:val="50"/>
        <w:spacing w:line="360" w:lineRule="auto"/>
        <w:ind w:left="0" w:leftChars="0" w:firstLine="840" w:firstLineChars="3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签字或盖章</w:t>
      </w:r>
      <w:r>
        <w:rPr>
          <w:rFonts w:hint="eastAsia" w:ascii="宋体" w:hAnsi="宋体" w:cs="宋体"/>
          <w:color w:val="auto"/>
          <w:sz w:val="28"/>
          <w:szCs w:val="28"/>
          <w:highlight w:val="none"/>
        </w:rPr>
        <w:t>）</w:t>
      </w:r>
    </w:p>
    <w:p>
      <w:pPr>
        <w:pStyle w:val="50"/>
        <w:spacing w:line="360" w:lineRule="auto"/>
        <w:ind w:left="0" w:leftChars="0" w:firstLine="840" w:firstLine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Start w:id="732" w:name="_Toc3934"/>
      <w:bookmarkStart w:id="733" w:name="_Toc10938"/>
      <w:bookmarkStart w:id="734" w:name="_Toc256000031"/>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5"/>
        <w:outlineLvl w:val="1"/>
        <w:rPr>
          <w:rFonts w:hint="eastAsia" w:ascii="宋体" w:hAnsi="宋体" w:eastAsia="宋体" w:cs="宋体"/>
          <w:b/>
          <w:color w:val="auto"/>
          <w:sz w:val="28"/>
          <w:szCs w:val="22"/>
          <w:highlight w:val="none"/>
          <w:lang w:val="en-US" w:eastAsia="zh-CN" w:bidi="ar-SA"/>
        </w:rPr>
      </w:pPr>
      <w:bookmarkStart w:id="735" w:name="_Toc6929"/>
      <w:bookmarkStart w:id="736" w:name="_Toc5128"/>
      <w:bookmarkStart w:id="737" w:name="_Toc28332"/>
      <w:r>
        <w:rPr>
          <w:rFonts w:hint="eastAsia" w:ascii="宋体" w:hAnsi="宋体" w:eastAsia="宋体" w:cs="宋体"/>
          <w:b/>
          <w:color w:val="auto"/>
          <w:sz w:val="28"/>
          <w:szCs w:val="22"/>
          <w:highlight w:val="none"/>
          <w:lang w:val="en-US" w:eastAsia="zh-CN" w:bidi="ar-SA"/>
        </w:rPr>
        <w:t>二、供应商资格声明</w:t>
      </w:r>
      <w:bookmarkEnd w:id="732"/>
      <w:bookmarkEnd w:id="733"/>
      <w:bookmarkEnd w:id="734"/>
      <w:bookmarkEnd w:id="735"/>
      <w:bookmarkEnd w:id="736"/>
      <w:bookmarkEnd w:id="737"/>
    </w:p>
    <w:p>
      <w:pPr>
        <w:pStyle w:val="56"/>
        <w:jc w:val="center"/>
        <w:outlineLvl w:val="9"/>
        <w:rPr>
          <w:rFonts w:hint="eastAsia" w:ascii="宋体" w:hAnsi="宋体" w:eastAsia="宋体" w:cs="宋体"/>
          <w:b/>
          <w:color w:val="auto"/>
          <w:sz w:val="24"/>
          <w:szCs w:val="24"/>
          <w:highlight w:val="none"/>
        </w:rPr>
      </w:pPr>
      <w:bookmarkStart w:id="738" w:name="_Toc256000032"/>
    </w:p>
    <w:p>
      <w:pPr>
        <w:pStyle w:val="56"/>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供应商资格声明</w:t>
      </w:r>
      <w:bookmarkEnd w:id="738"/>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1．供应商概况：                                   </w:t>
      </w:r>
    </w:p>
    <w:p>
      <w:pPr>
        <w:pStyle w:val="16"/>
        <w:ind w:firstLine="480" w:firstLineChars="200"/>
        <w:rPr>
          <w:rFonts w:hint="eastAsia" w:ascii="仿宋" w:hAnsi="仿宋" w:eastAsia="仿宋" w:cs="仿宋"/>
          <w:color w:val="auto"/>
          <w:highlight w:val="none"/>
        </w:rPr>
      </w:pPr>
      <w:r>
        <w:rPr>
          <w:rFonts w:hint="eastAsia" w:ascii="宋体" w:hAnsi="宋体" w:eastAsia="宋体" w:cs="宋体"/>
          <w:color w:val="auto"/>
          <w:sz w:val="24"/>
          <w:szCs w:val="24"/>
          <w:highlight w:val="none"/>
        </w:rPr>
        <w:t xml:space="preserve">   </w:t>
      </w:r>
    </w:p>
    <w:p>
      <w:pPr>
        <w:pStyle w:val="16"/>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供应商基本情况表</w:t>
      </w:r>
    </w:p>
    <w:p>
      <w:pPr>
        <w:pStyle w:val="16"/>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供应商：(公章)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统一社会信用代码</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邮政编码</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授权代表</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电子邮箱</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上年营业收入</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员工总人数</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基本账户开户行及账号</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税务登记机关</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等级</w:t>
            </w: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发证机关</w:t>
            </w:r>
          </w:p>
        </w:tc>
        <w:tc>
          <w:tcPr>
            <w:tcW w:w="1528"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bl>
    <w:p>
      <w:pPr>
        <w:pStyle w:val="57"/>
        <w:spacing w:line="360" w:lineRule="auto"/>
        <w:ind w:firstLine="1440" w:firstLineChars="60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2．我方在此声明，我方具备并满足下列各项条款的规定。本声明如有虚假或不实之处，我方将失去合格供应商资格且我方的磋商保证金将不予退还。</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（3）具有履行合同所必需的设备和专业技术能力；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（4）有依法缴纳税收的良好记录；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附法人营业执照、资质证书、安全生产许可证复印件。</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56"/>
        <w:outlineLvl w:val="0"/>
        <w:rPr>
          <w:rFonts w:hint="eastAsia" w:ascii="宋体" w:hAnsi="宋体" w:eastAsia="宋体" w:cs="宋体"/>
          <w:b/>
          <w:color w:val="auto"/>
          <w:sz w:val="24"/>
          <w:szCs w:val="21"/>
          <w:highlight w:val="none"/>
          <w:lang w:val="en-US" w:eastAsia="zh-CN" w:bidi="ar-SA"/>
        </w:rPr>
      </w:pPr>
      <w:r>
        <w:rPr>
          <w:rFonts w:hint="eastAsia" w:ascii="宋体" w:hAnsi="宋体" w:eastAsia="宋体" w:cs="宋体"/>
          <w:color w:val="auto"/>
          <w:sz w:val="24"/>
          <w:szCs w:val="24"/>
          <w:highlight w:val="none"/>
        </w:rPr>
        <w:br w:type="page"/>
      </w:r>
      <w:bookmarkStart w:id="739" w:name="_Toc16957"/>
      <w:bookmarkStart w:id="740" w:name="_Toc8658"/>
      <w:bookmarkStart w:id="741" w:name="_Toc18057"/>
      <w:bookmarkStart w:id="742" w:name="_Toc12095"/>
      <w:bookmarkStart w:id="743" w:name="_Toc16962"/>
      <w:bookmarkStart w:id="744" w:name="_Toc256000033"/>
      <w:r>
        <w:rPr>
          <w:rFonts w:hint="eastAsia" w:ascii="宋体" w:hAnsi="宋体" w:eastAsia="宋体" w:cs="宋体"/>
          <w:b/>
          <w:color w:val="auto"/>
          <w:sz w:val="28"/>
          <w:szCs w:val="22"/>
          <w:highlight w:val="none"/>
          <w:lang w:val="en-US" w:eastAsia="zh-CN" w:bidi="ar-SA"/>
        </w:rPr>
        <w:t>三、法定代表人身份证明或附有法定代表人身份证明的授权书</w:t>
      </w:r>
      <w:bookmarkEnd w:id="739"/>
      <w:bookmarkEnd w:id="740"/>
      <w:bookmarkEnd w:id="741"/>
      <w:bookmarkEnd w:id="742"/>
      <w:bookmarkEnd w:id="743"/>
      <w:bookmarkEnd w:id="744"/>
    </w:p>
    <w:p>
      <w:pPr>
        <w:pStyle w:val="58"/>
        <w:spacing w:line="360" w:lineRule="auto"/>
        <w:jc w:val="center"/>
        <w:rPr>
          <w:rFonts w:hint="eastAsia" w:ascii="宋体" w:hAnsi="宋体" w:eastAsia="宋体" w:cs="宋体"/>
          <w:b/>
          <w:bCs/>
          <w:color w:val="auto"/>
          <w:sz w:val="24"/>
          <w:szCs w:val="24"/>
          <w:highlight w:val="none"/>
          <w:lang w:val="en-US" w:eastAsia="zh-CN"/>
        </w:rPr>
      </w:pPr>
      <w:bookmarkStart w:id="745" w:name="_Toc256000034"/>
      <w:r>
        <w:rPr>
          <w:rFonts w:hint="eastAsia" w:ascii="宋体" w:hAnsi="宋体" w:eastAsia="宋体" w:cs="宋体"/>
          <w:b/>
          <w:bCs/>
          <w:color w:val="auto"/>
          <w:sz w:val="24"/>
          <w:szCs w:val="24"/>
          <w:highlight w:val="none"/>
          <w:lang w:val="en-US" w:eastAsia="zh-CN"/>
        </w:rPr>
        <w:t>（二）法定代表人身份证明或附有法定代表人身份证明的授权书</w:t>
      </w:r>
      <w:bookmarkEnd w:id="745"/>
    </w:p>
    <w:p>
      <w:pPr>
        <w:pStyle w:val="58"/>
        <w:spacing w:line="360" w:lineRule="auto"/>
        <w:ind w:firstLine="420"/>
        <w:jc w:val="center"/>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法定代表人身份证明</w:t>
      </w:r>
    </w:p>
    <w:p>
      <w:pPr>
        <w:pStyle w:val="58"/>
        <w:spacing w:line="360" w:lineRule="auto"/>
        <w:ind w:firstLine="48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（供应商）的法定代表人。</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zh-CN"/>
        </w:rPr>
        <w:t>授权委托书</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(供应商名称)的法定代表人，现授权委托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(姓名)为我公司本次磋商采购活动的授权代表，参加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pStyle w:val="59"/>
        <w:adjustRightInd w:val="0"/>
        <w:snapToGrid w:val="0"/>
        <w:spacing w:line="360" w:lineRule="auto"/>
        <w:ind w:left="412"/>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授权代表（姓名）：               性别：                    年龄：</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               部门：                    职务：</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附：授权代表身份证复印件正反面</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 (</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(签章)：</w:t>
      </w:r>
    </w:p>
    <w:p>
      <w:pPr>
        <w:pStyle w:val="59"/>
        <w:adjustRightInd w:val="0"/>
        <w:snapToGrid w:val="0"/>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0"/>
        <w:outlineLvl w:val="9"/>
        <w:rPr>
          <w:rFonts w:hint="eastAsia" w:ascii="宋体" w:hAnsi="宋体" w:eastAsia="宋体" w:cs="宋体"/>
          <w:b/>
          <w:color w:val="auto"/>
          <w:sz w:val="24"/>
          <w:szCs w:val="24"/>
          <w:highlight w:val="none"/>
        </w:rPr>
      </w:pPr>
      <w:bookmarkStart w:id="746" w:name="_Toc28905"/>
      <w:bookmarkStart w:id="747" w:name="_Toc256000035"/>
      <w:bookmarkStart w:id="748" w:name="_Toc6993"/>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49" w:name="_Toc25982"/>
      <w:bookmarkStart w:id="750" w:name="_Toc11330"/>
      <w:bookmarkStart w:id="751" w:name="_Toc17707"/>
      <w:r>
        <w:rPr>
          <w:rFonts w:hint="eastAsia" w:ascii="宋体" w:hAnsi="宋体" w:eastAsia="宋体" w:cs="宋体"/>
          <w:b/>
          <w:color w:val="auto"/>
          <w:sz w:val="28"/>
          <w:szCs w:val="22"/>
          <w:highlight w:val="none"/>
          <w:lang w:val="en-US" w:eastAsia="zh-CN" w:bidi="ar-SA"/>
        </w:rPr>
        <w:t>四、近三年无重大违法记录信息证明文件</w:t>
      </w:r>
      <w:bookmarkEnd w:id="746"/>
      <w:bookmarkEnd w:id="747"/>
      <w:bookmarkEnd w:id="748"/>
      <w:r>
        <w:rPr>
          <w:rFonts w:hint="eastAsia" w:ascii="宋体" w:hAnsi="宋体" w:eastAsia="宋体" w:cs="宋体"/>
          <w:b/>
          <w:color w:val="auto"/>
          <w:sz w:val="28"/>
          <w:szCs w:val="22"/>
          <w:highlight w:val="none"/>
          <w:lang w:val="en-US" w:eastAsia="zh-CN" w:bidi="ar-SA"/>
        </w:rPr>
        <w:t>及反商业贿赂书</w:t>
      </w:r>
      <w:bookmarkEnd w:id="749"/>
      <w:bookmarkEnd w:id="750"/>
      <w:bookmarkEnd w:id="751"/>
    </w:p>
    <w:p>
      <w:pPr>
        <w:pStyle w:val="60"/>
        <w:outlineLvl w:val="9"/>
        <w:rPr>
          <w:rFonts w:hint="eastAsia" w:ascii="宋体" w:hAnsi="宋体" w:eastAsia="宋体" w:cs="宋体"/>
          <w:b/>
          <w:color w:val="auto"/>
          <w:sz w:val="24"/>
          <w:szCs w:val="24"/>
          <w:highlight w:val="none"/>
        </w:rPr>
      </w:pPr>
    </w:p>
    <w:p>
      <w:pPr>
        <w:pStyle w:val="16"/>
        <w:spacing w:line="360" w:lineRule="auto"/>
        <w:ind w:firstLine="480" w:firstLineChars="200"/>
        <w:jc w:val="center"/>
        <w:rPr>
          <w:rFonts w:hint="eastAsia" w:ascii="宋体" w:hAnsi="宋体" w:eastAsia="宋体" w:cs="宋体"/>
          <w:color w:val="auto"/>
          <w:sz w:val="24"/>
          <w:szCs w:val="24"/>
          <w:highlight w:val="none"/>
        </w:rPr>
      </w:pPr>
      <w:bookmarkStart w:id="752" w:name="_Toc256000036"/>
      <w:bookmarkStart w:id="753" w:name="_Toc21668"/>
      <w:bookmarkStart w:id="754" w:name="_Toc31760"/>
      <w:r>
        <w:rPr>
          <w:rFonts w:hint="eastAsia" w:ascii="宋体" w:hAnsi="宋体" w:eastAsia="宋体" w:cs="宋体"/>
          <w:color w:val="auto"/>
          <w:sz w:val="24"/>
          <w:szCs w:val="24"/>
          <w:highlight w:val="none"/>
        </w:rPr>
        <w:t>参加政府采购活动前三年内在经营活动中</w:t>
      </w:r>
    </w:p>
    <w:p>
      <w:pPr>
        <w:pStyle w:val="16"/>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没有重大违法记录的书面声明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6"/>
        <w:spacing w:line="360" w:lineRule="auto"/>
        <w:ind w:firstLine="480" w:firstLineChars="200"/>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rPr>
        <w:br w:type="page"/>
      </w:r>
    </w:p>
    <w:p>
      <w:pPr>
        <w:pStyle w:val="8"/>
        <w:numPr>
          <w:ilvl w:val="0"/>
          <w:numId w:val="0"/>
        </w:numPr>
        <w:tabs>
          <w:tab w:val="clear" w:pos="1152"/>
        </w:tabs>
        <w:spacing w:before="0" w:after="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无不良信用记录承诺函</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供应商自行查询适用</w:t>
      </w:r>
      <w:r>
        <w:rPr>
          <w:rFonts w:ascii="仿宋" w:hAnsi="仿宋" w:eastAsia="仿宋" w:cs="宋体"/>
          <w:color w:val="auto"/>
          <w:sz w:val="28"/>
          <w:szCs w:val="28"/>
          <w:highlight w:val="none"/>
        </w:rPr>
        <w:t>)</w:t>
      </w:r>
    </w:p>
    <w:p>
      <w:pPr>
        <w:pStyle w:val="16"/>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采购人或采购代理机构</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本单位郑重承诺，我单位无以下不良信用记录情形：</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被人民法院列入失信被执行人；</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被税务部门列入重大税收违法案件当事人名单；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被政府采购监管部门列入政府采购严重违法失信行为记录名单；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不符合《政府采购法》第二十二条规定的条件。</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供应商</w:t>
      </w:r>
      <w:r>
        <w:rPr>
          <w:rFonts w:hint="eastAsia" w:ascii="仿宋" w:hAnsi="仿宋" w:eastAsia="仿宋" w:cs="宋体"/>
          <w:color w:val="auto"/>
          <w:sz w:val="24"/>
          <w:szCs w:val="24"/>
          <w:highlight w:val="none"/>
        </w:rPr>
        <w:t>名称</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盖公章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法定代表人或其授权代表</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签字或盖章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年</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月</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日</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符合磋商文件要求的供应商特定资格条件的证明材料</w:t>
      </w:r>
      <w:r>
        <w:rPr>
          <w:rFonts w:ascii="仿宋" w:hAnsi="仿宋" w:eastAsia="仿宋" w:cs="宋体"/>
          <w:b/>
          <w:bCs/>
          <w:color w:val="auto"/>
          <w:sz w:val="24"/>
          <w:szCs w:val="24"/>
          <w:highlight w:val="none"/>
        </w:rPr>
        <w:t>(</w:t>
      </w:r>
      <w:r>
        <w:rPr>
          <w:rFonts w:hint="eastAsia" w:ascii="仿宋" w:hAnsi="仿宋" w:eastAsia="仿宋" w:cs="宋体"/>
          <w:b/>
          <w:bCs/>
          <w:color w:val="auto"/>
          <w:sz w:val="24"/>
          <w:szCs w:val="24"/>
          <w:highlight w:val="none"/>
          <w:lang w:val="en-US" w:eastAsia="zh-CN"/>
        </w:rPr>
        <w:t>信用查询资料可自行查询，具体以</w:t>
      </w:r>
      <w:r>
        <w:rPr>
          <w:rFonts w:hint="eastAsia" w:ascii="仿宋" w:hAnsi="仿宋" w:eastAsia="仿宋" w:cs="宋体"/>
          <w:b/>
          <w:bCs/>
          <w:color w:val="auto"/>
          <w:sz w:val="24"/>
          <w:szCs w:val="24"/>
          <w:highlight w:val="none"/>
        </w:rPr>
        <w:t>采购代理机构</w:t>
      </w:r>
      <w:r>
        <w:rPr>
          <w:rFonts w:hint="eastAsia" w:ascii="仿宋" w:hAnsi="仿宋" w:eastAsia="仿宋" w:cs="宋体"/>
          <w:b/>
          <w:bCs/>
          <w:color w:val="auto"/>
          <w:sz w:val="24"/>
          <w:szCs w:val="24"/>
          <w:highlight w:val="none"/>
          <w:lang w:val="en-US" w:eastAsia="zh-CN"/>
        </w:rPr>
        <w:t>现场查询为准</w:t>
      </w:r>
      <w:r>
        <w:rPr>
          <w:rFonts w:ascii="仿宋" w:hAnsi="仿宋" w:eastAsia="仿宋" w:cs="宋体"/>
          <w:b/>
          <w:bCs/>
          <w:color w:val="auto"/>
          <w:sz w:val="24"/>
          <w:szCs w:val="24"/>
          <w:highlight w:val="none"/>
        </w:rPr>
        <w:t>)</w:t>
      </w:r>
    </w:p>
    <w:p>
      <w:pPr>
        <w:pStyle w:val="56"/>
        <w:outlineLvl w:val="9"/>
        <w:rPr>
          <w:rFonts w:hint="eastAsia" w:ascii="宋体" w:hAnsi="宋体" w:eastAsia="宋体" w:cs="宋体"/>
          <w:b/>
          <w:color w:val="auto"/>
          <w:sz w:val="24"/>
          <w:szCs w:val="21"/>
          <w:highlight w:val="none"/>
          <w:lang w:val="en-US" w:eastAsia="zh-CN" w:bidi="ar-SA"/>
        </w:rPr>
      </w:pPr>
      <w:r>
        <w:rPr>
          <w:rFonts w:ascii="仿宋" w:hAnsi="仿宋" w:eastAsia="仿宋" w:cs="宋体"/>
          <w:color w:val="auto"/>
          <w:sz w:val="24"/>
          <w:szCs w:val="24"/>
          <w:highlight w:val="none"/>
        </w:rPr>
        <w:br w:type="page"/>
      </w:r>
    </w:p>
    <w:p>
      <w:pPr>
        <w:pStyle w:val="56"/>
        <w:outlineLvl w:val="0"/>
        <w:rPr>
          <w:rFonts w:hint="eastAsia" w:ascii="宋体" w:hAnsi="宋体" w:eastAsia="宋体" w:cs="宋体"/>
          <w:b/>
          <w:color w:val="auto"/>
          <w:sz w:val="28"/>
          <w:szCs w:val="22"/>
          <w:highlight w:val="none"/>
          <w:lang w:val="en-US" w:eastAsia="zh-CN" w:bidi="ar-SA"/>
        </w:rPr>
      </w:pPr>
      <w:bookmarkStart w:id="755" w:name="_Toc32154"/>
      <w:bookmarkStart w:id="756" w:name="_Toc14962"/>
      <w:bookmarkStart w:id="757" w:name="_Toc16243"/>
      <w:r>
        <w:rPr>
          <w:rFonts w:hint="eastAsia" w:ascii="宋体" w:hAnsi="宋体" w:eastAsia="宋体" w:cs="宋体"/>
          <w:b/>
          <w:color w:val="auto"/>
          <w:sz w:val="28"/>
          <w:szCs w:val="22"/>
          <w:highlight w:val="none"/>
          <w:lang w:val="en-US" w:eastAsia="zh-CN" w:bidi="ar-SA"/>
        </w:rPr>
        <w:t>五、其他资格证明文件</w:t>
      </w:r>
      <w:bookmarkEnd w:id="752"/>
      <w:bookmarkEnd w:id="753"/>
      <w:bookmarkEnd w:id="754"/>
      <w:bookmarkEnd w:id="755"/>
      <w:bookmarkEnd w:id="756"/>
      <w:bookmarkEnd w:id="757"/>
    </w:p>
    <w:p>
      <w:pPr>
        <w:pStyle w:val="60"/>
        <w:outlineLvl w:val="9"/>
        <w:rPr>
          <w:rFonts w:hint="eastAsia" w:ascii="宋体" w:hAnsi="宋体" w:eastAsia="宋体" w:cs="宋体"/>
          <w:b/>
          <w:color w:val="auto"/>
          <w:sz w:val="24"/>
          <w:szCs w:val="24"/>
          <w:highlight w:val="none"/>
        </w:rPr>
      </w:pPr>
      <w:bookmarkStart w:id="758" w:name="_Toc256000037"/>
    </w:p>
    <w:p>
      <w:pPr>
        <w:pStyle w:val="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其他资格证明文件</w:t>
      </w:r>
      <w:bookmarkEnd w:id="758"/>
      <w:bookmarkStart w:id="759" w:name="_Toc19993"/>
      <w:bookmarkStart w:id="760" w:name="_Toc28851"/>
      <w:bookmarkStart w:id="761" w:name="_Toc256000038"/>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62" w:name="_Toc17575"/>
      <w:bookmarkStart w:id="763" w:name="_Toc2838"/>
      <w:bookmarkStart w:id="764" w:name="_Toc15253"/>
      <w:r>
        <w:rPr>
          <w:rFonts w:hint="eastAsia" w:ascii="宋体" w:hAnsi="宋体" w:eastAsia="宋体" w:cs="宋体"/>
          <w:b/>
          <w:color w:val="auto"/>
          <w:sz w:val="28"/>
          <w:szCs w:val="22"/>
          <w:highlight w:val="none"/>
          <w:lang w:val="en-US" w:eastAsia="zh-CN" w:bidi="ar-SA"/>
        </w:rPr>
        <w:t>六、</w:t>
      </w:r>
      <w:bookmarkEnd w:id="759"/>
      <w:bookmarkEnd w:id="760"/>
      <w:bookmarkEnd w:id="761"/>
      <w:r>
        <w:rPr>
          <w:rFonts w:hint="eastAsia" w:ascii="宋体" w:hAnsi="宋体" w:eastAsia="宋体" w:cs="宋体"/>
          <w:b/>
          <w:color w:val="auto"/>
          <w:sz w:val="28"/>
          <w:szCs w:val="22"/>
          <w:highlight w:val="none"/>
          <w:lang w:val="en-US" w:eastAsia="zh-CN" w:bidi="ar-SA"/>
        </w:rPr>
        <w:t>磋商保证金</w:t>
      </w:r>
      <w:bookmarkEnd w:id="762"/>
      <w:bookmarkEnd w:id="763"/>
      <w:bookmarkEnd w:id="764"/>
    </w:p>
    <w:p>
      <w:pPr>
        <w:pStyle w:val="6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供应商按照采购文件要求缴纳磋商保证</w:t>
      </w:r>
      <w:r>
        <w:rPr>
          <w:rFonts w:hint="eastAsia" w:ascii="宋体" w:hAnsi="宋体" w:eastAsia="宋体" w:cs="宋体"/>
          <w:color w:val="auto"/>
          <w:sz w:val="24"/>
          <w:szCs w:val="24"/>
          <w:highlight w:val="none"/>
        </w:rPr>
        <w:t>金，提供相应凭证。</w:t>
      </w:r>
      <w:r>
        <w:rPr>
          <w:rFonts w:hint="eastAsia" w:ascii="宋体" w:hAnsi="宋体" w:eastAsia="宋体" w:cs="宋体"/>
          <w:color w:val="auto"/>
          <w:sz w:val="24"/>
          <w:szCs w:val="24"/>
          <w:highlight w:val="none"/>
        </w:rPr>
        <w:br w:type="page"/>
      </w:r>
      <w:bookmarkStart w:id="765" w:name="_Toc256000039"/>
      <w:bookmarkStart w:id="766" w:name="_Toc29111"/>
      <w:bookmarkStart w:id="767" w:name="_Toc22682"/>
      <w:r>
        <w:rPr>
          <w:rFonts w:hint="eastAsia" w:ascii="宋体" w:hAnsi="宋体" w:eastAsia="宋体" w:cs="宋体"/>
          <w:b/>
          <w:color w:val="auto"/>
          <w:sz w:val="28"/>
          <w:szCs w:val="22"/>
          <w:highlight w:val="none"/>
          <w:lang w:val="en-US" w:eastAsia="zh-CN" w:bidi="ar-SA"/>
        </w:rPr>
        <w:t>七、不参与围标串标承诺书</w:t>
      </w:r>
      <w:bookmarkEnd w:id="765"/>
      <w:bookmarkEnd w:id="766"/>
      <w:bookmarkEnd w:id="767"/>
    </w:p>
    <w:p>
      <w:pPr>
        <w:pStyle w:val="61"/>
        <w:spacing w:line="640" w:lineRule="exact"/>
        <w:ind w:firstLine="426" w:firstLineChars="177"/>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不参与围标串标承诺书</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61"/>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标段号：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供应商法人签名：</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1"/>
        <w:spacing w:line="640" w:lineRule="exact"/>
        <w:jc w:val="left"/>
        <w:rPr>
          <w:rFonts w:hint="eastAsia" w:ascii="宋体" w:hAnsi="宋体" w:eastAsia="宋体" w:cs="宋体"/>
          <w:color w:val="auto"/>
          <w:sz w:val="24"/>
          <w:szCs w:val="24"/>
          <w:highlight w:val="none"/>
        </w:rPr>
      </w:pPr>
    </w:p>
    <w:p>
      <w:pPr>
        <w:pStyle w:val="61"/>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w:t>
      </w:r>
    </w:p>
    <w:p>
      <w:pPr>
        <w:pStyle w:val="61"/>
        <w:spacing w:line="640" w:lineRule="exact"/>
        <w:ind w:firstLine="4320" w:firstLineChars="1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62"/>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68" w:name="_Toc3812"/>
      <w:bookmarkStart w:id="769" w:name="_Toc11861"/>
      <w:bookmarkStart w:id="770" w:name="_Toc24297"/>
      <w:bookmarkStart w:id="771" w:name="_Toc8296"/>
      <w:bookmarkStart w:id="772" w:name="_Toc22648"/>
      <w:bookmarkStart w:id="773" w:name="_Toc256000040"/>
      <w:r>
        <w:rPr>
          <w:rFonts w:hint="eastAsia" w:ascii="宋体" w:hAnsi="宋体" w:eastAsia="宋体" w:cs="宋体"/>
          <w:b/>
          <w:color w:val="auto"/>
          <w:sz w:val="28"/>
          <w:szCs w:val="22"/>
          <w:highlight w:val="none"/>
          <w:lang w:val="en-US" w:eastAsia="zh-CN" w:bidi="ar-SA"/>
        </w:rPr>
        <w:t>八、中、小微企业声明函</w:t>
      </w:r>
      <w:bookmarkEnd w:id="768"/>
      <w:bookmarkEnd w:id="769"/>
      <w:bookmarkEnd w:id="770"/>
      <w:bookmarkEnd w:id="771"/>
      <w:bookmarkEnd w:id="772"/>
      <w:bookmarkEnd w:id="773"/>
    </w:p>
    <w:p>
      <w:pPr>
        <w:pStyle w:val="62"/>
        <w:jc w:val="center"/>
        <w:outlineLvl w:val="9"/>
        <w:rPr>
          <w:rFonts w:hint="eastAsia" w:ascii="宋体" w:hAnsi="宋体" w:eastAsia="宋体" w:cs="宋体"/>
          <w:color w:val="auto"/>
          <w:sz w:val="24"/>
          <w:szCs w:val="24"/>
          <w:highlight w:val="none"/>
          <w:lang w:val="en-US" w:eastAsia="zh-CN"/>
        </w:rPr>
      </w:pPr>
      <w:bookmarkStart w:id="774" w:name="_Toc31547"/>
      <w:bookmarkStart w:id="775" w:name="_Toc256000041"/>
      <w:bookmarkStart w:id="776" w:name="_Toc25642"/>
      <w:r>
        <w:rPr>
          <w:rFonts w:hint="eastAsia" w:ascii="宋体" w:hAnsi="宋体" w:eastAsia="宋体" w:cs="宋体"/>
          <w:color w:val="auto"/>
          <w:sz w:val="24"/>
          <w:szCs w:val="24"/>
          <w:highlight w:val="none"/>
          <w:lang w:val="en-US" w:eastAsia="zh-CN"/>
        </w:rPr>
        <w:t>中小企业声明函</w:t>
      </w:r>
      <w:bookmarkEnd w:id="774"/>
      <w:bookmarkEnd w:id="775"/>
      <w:bookmarkEnd w:id="776"/>
    </w:p>
    <w:p>
      <w:pPr>
        <w:pStyle w:val="62"/>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1"/>
          <w:highlight w:val="none"/>
          <w:lang w:val="en-US" w:eastAsia="zh-CN" w:bidi="ar-SA"/>
        </w:rPr>
        <w:t>（中、小、微型企业产品价格需扣除的须提供）</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lang w:val="en-US" w:eastAsia="zh-CN"/>
        </w:rPr>
        <w:t>（单位名称）</w:t>
      </w:r>
      <w:r>
        <w:rPr>
          <w:rFonts w:hint="eastAsia" w:ascii="宋体" w:hAnsi="宋体" w:eastAsia="宋体" w:cs="宋体"/>
          <w:color w:val="auto"/>
          <w:spacing w:val="-2"/>
          <w:sz w:val="24"/>
          <w:szCs w:val="24"/>
          <w:highlight w:val="none"/>
          <w:lang w:val="en-US" w:eastAsia="zh-CN"/>
        </w:rPr>
        <w:t>的</w:t>
      </w:r>
      <w:r>
        <w:rPr>
          <w:rFonts w:hint="eastAsia" w:ascii="宋体" w:hAnsi="宋体" w:eastAsia="宋体" w:cs="宋体"/>
          <w:color w:val="auto"/>
          <w:spacing w:val="-2"/>
          <w:sz w:val="24"/>
          <w:szCs w:val="24"/>
          <w:highlight w:val="none"/>
          <w:u w:val="single"/>
          <w:lang w:val="en-US" w:eastAsia="zh-CN"/>
        </w:rPr>
        <w:t>（项目名称）</w:t>
      </w:r>
      <w:r>
        <w:rPr>
          <w:rFonts w:hint="eastAsia" w:ascii="宋体" w:hAnsi="宋体" w:eastAsia="宋体" w:cs="宋体"/>
          <w:color w:val="auto"/>
          <w:spacing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 xml:space="preserve">人，营业收入为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lang w:val="en-US" w:eastAsia="zh-CN"/>
        </w:rPr>
        <w:t>人，营业收入为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本企业对上述声明内容的真实性负责。如有虚假，将依 法承担相应责任。</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p>
    <w:p>
      <w:pPr>
        <w:pStyle w:val="64"/>
        <w:spacing w:before="35" w:line="316" w:lineRule="auto"/>
        <w:ind w:right="2166" w:firstLine="4012" w:firstLineChars="17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企业名称（盖章）：</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                                 日期：</w:t>
      </w:r>
    </w:p>
    <w:p>
      <w:pPr>
        <w:pStyle w:val="65"/>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77" w:name="_Toc16271"/>
      <w:bookmarkStart w:id="778" w:name="_Toc5981"/>
      <w:bookmarkStart w:id="779" w:name="_Toc256000042"/>
      <w:bookmarkStart w:id="780" w:name="_Toc5114"/>
      <w:bookmarkStart w:id="781" w:name="_Toc13736"/>
      <w:bookmarkStart w:id="782" w:name="_Toc30328"/>
      <w:r>
        <w:rPr>
          <w:rFonts w:hint="eastAsia" w:ascii="宋体" w:hAnsi="宋体" w:eastAsia="宋体" w:cs="宋体"/>
          <w:b/>
          <w:color w:val="auto"/>
          <w:sz w:val="28"/>
          <w:szCs w:val="22"/>
          <w:highlight w:val="none"/>
          <w:lang w:val="en-US" w:eastAsia="zh-CN" w:bidi="ar-SA"/>
        </w:rPr>
        <w:t>九、磋商申请</w:t>
      </w:r>
      <w:bookmarkEnd w:id="777"/>
      <w:bookmarkEnd w:id="778"/>
      <w:bookmarkEnd w:id="779"/>
      <w:bookmarkEnd w:id="780"/>
      <w:bookmarkEnd w:id="781"/>
      <w:bookmarkEnd w:id="782"/>
    </w:p>
    <w:p>
      <w:pPr>
        <w:pStyle w:val="65"/>
        <w:jc w:val="center"/>
        <w:outlineLvl w:val="9"/>
        <w:rPr>
          <w:rFonts w:hint="eastAsia" w:ascii="宋体" w:hAnsi="宋体" w:eastAsia="宋体" w:cs="宋体"/>
          <w:b/>
          <w:color w:val="auto"/>
          <w:sz w:val="24"/>
          <w:szCs w:val="24"/>
          <w:highlight w:val="none"/>
          <w:lang w:val="zh-CN"/>
        </w:rPr>
      </w:pPr>
      <w:bookmarkStart w:id="783" w:name="_Toc256000043"/>
      <w:r>
        <w:rPr>
          <w:rFonts w:hint="eastAsia" w:ascii="宋体" w:hAnsi="宋体" w:eastAsia="宋体" w:cs="宋体"/>
          <w:b/>
          <w:color w:val="auto"/>
          <w:sz w:val="24"/>
          <w:szCs w:val="24"/>
          <w:highlight w:val="none"/>
        </w:rPr>
        <w:t>（一）磋商申请</w:t>
      </w:r>
      <w:bookmarkEnd w:id="783"/>
    </w:p>
    <w:p>
      <w:pPr>
        <w:pStyle w:val="66"/>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（项目单位）</w:t>
      </w:r>
    </w:p>
    <w:p>
      <w:pPr>
        <w:pStyle w:val="66"/>
        <w:autoSpaceDE w:val="0"/>
        <w:autoSpaceDN w:val="0"/>
        <w:adjustRightInd w:val="0"/>
        <w:spacing w:before="158" w:beforeLines="50" w:line="360" w:lineRule="auto"/>
        <w:ind w:left="239" w:leftChars="114"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根据贵方项目编号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的磋商文件，我方正式提交响应文件正本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据此函，签字人兹同意如下：</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1、总报价为（大写）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2、我们同意提供贵方可能要求的与本次磋商有关的任何证据或资料。</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3、一旦我方成交，我方承诺将根据磋商文件与贵方签订书面合同，并严格履行合同义务。</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4、我方指派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（姓名）为项目经理，保证于承诺的时间内完成本次发包范围内的任务，并交付贵方验收、使用。</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6、随本申请递交的磋商申请附录是本申请的组成部分，对我方构成约束力。</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7、与本申请有关的正式通讯地址为：</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p>
    <w:p>
      <w:pPr>
        <w:pStyle w:val="66"/>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4" w:name="_Toc2542"/>
      <w:bookmarkStart w:id="785" w:name="_Toc256000044"/>
      <w:bookmarkStart w:id="786" w:name="_Toc30383"/>
      <w:bookmarkStart w:id="787" w:name="_Toc17925"/>
      <w:bookmarkStart w:id="788" w:name="_Toc14056"/>
      <w:bookmarkStart w:id="789" w:name="_Toc14932"/>
      <w:r>
        <w:rPr>
          <w:rFonts w:hint="eastAsia" w:ascii="宋体" w:hAnsi="宋体" w:eastAsia="宋体" w:cs="宋体"/>
          <w:b/>
          <w:color w:val="auto"/>
          <w:sz w:val="28"/>
          <w:szCs w:val="22"/>
          <w:highlight w:val="none"/>
          <w:lang w:val="en-US" w:eastAsia="zh-CN" w:bidi="ar-SA"/>
        </w:rPr>
        <w:t>十、磋商申请附录</w:t>
      </w:r>
      <w:bookmarkEnd w:id="784"/>
      <w:bookmarkEnd w:id="785"/>
      <w:bookmarkEnd w:id="786"/>
      <w:bookmarkEnd w:id="787"/>
      <w:bookmarkEnd w:id="788"/>
      <w:bookmarkEnd w:id="789"/>
    </w:p>
    <w:p>
      <w:pPr>
        <w:pStyle w:val="68"/>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p>
        </w:tc>
        <w:tc>
          <w:tcPr>
            <w:tcW w:w="7371" w:type="dxa"/>
            <w:gridSpan w:val="2"/>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68"/>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供应商在磋商文件中规定的实质性要求和条件的基础上，可做出其他有利于采购人的承诺。此类承诺可在本表中予以补充填写。</w:t>
            </w:r>
          </w:p>
        </w:tc>
      </w:tr>
    </w:tbl>
    <w:p>
      <w:pPr>
        <w:pStyle w:val="68"/>
        <w:spacing w:line="360" w:lineRule="auto"/>
        <w:ind w:firstLine="480" w:firstLineChars="200"/>
        <w:rPr>
          <w:rFonts w:hint="eastAsia" w:ascii="宋体" w:hAnsi="宋体" w:eastAsia="宋体" w:cs="宋体"/>
          <w:color w:val="auto"/>
          <w:sz w:val="24"/>
          <w:szCs w:val="24"/>
          <w:highlight w:val="none"/>
        </w:rPr>
      </w:pPr>
    </w:p>
    <w:p>
      <w:pPr>
        <w:pStyle w:val="68"/>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pPr>
        <w:pStyle w:val="6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68"/>
        <w:spacing w:line="360" w:lineRule="auto"/>
        <w:ind w:firstLine="480" w:firstLineChars="200"/>
        <w:rPr>
          <w:rFonts w:hint="eastAsia" w:ascii="宋体" w:hAnsi="宋体" w:eastAsia="宋体" w:cs="宋体"/>
          <w:color w:val="auto"/>
          <w:sz w:val="24"/>
          <w:szCs w:val="24"/>
          <w:highlight w:val="none"/>
        </w:rPr>
      </w:pPr>
    </w:p>
    <w:p>
      <w:pPr>
        <w:pStyle w:val="6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90" w:name="_Toc29617"/>
      <w:bookmarkStart w:id="791" w:name="_Toc18056"/>
      <w:bookmarkStart w:id="792" w:name="_Toc30052"/>
      <w:bookmarkStart w:id="793" w:name="_Toc256000045"/>
      <w:bookmarkStart w:id="794" w:name="_Toc7028"/>
      <w:bookmarkStart w:id="795" w:name="_Toc11940"/>
      <w:r>
        <w:rPr>
          <w:rFonts w:hint="eastAsia" w:ascii="宋体" w:hAnsi="宋体" w:eastAsia="宋体" w:cs="宋体"/>
          <w:b/>
          <w:color w:val="auto"/>
          <w:sz w:val="28"/>
          <w:szCs w:val="22"/>
          <w:highlight w:val="none"/>
          <w:lang w:val="en-US" w:eastAsia="zh-CN" w:bidi="ar-SA"/>
        </w:rPr>
        <w:t>十一、已标价的工程量清单</w:t>
      </w:r>
      <w:bookmarkEnd w:id="790"/>
      <w:bookmarkEnd w:id="791"/>
      <w:bookmarkEnd w:id="792"/>
      <w:bookmarkEnd w:id="793"/>
      <w:bookmarkEnd w:id="794"/>
      <w:bookmarkEnd w:id="795"/>
    </w:p>
    <w:p>
      <w:pPr>
        <w:pStyle w:val="70"/>
        <w:spacing w:line="360" w:lineRule="auto"/>
        <w:jc w:val="center"/>
        <w:rPr>
          <w:rFonts w:hint="eastAsia" w:ascii="宋体" w:hAnsi="宋体" w:eastAsia="宋体" w:cs="宋体"/>
          <w:b/>
          <w:color w:val="auto"/>
          <w:sz w:val="24"/>
          <w:szCs w:val="24"/>
          <w:highlight w:val="none"/>
        </w:rPr>
      </w:pPr>
      <w:bookmarkStart w:id="796" w:name="_Toc256000046"/>
      <w:bookmarkStart w:id="797" w:name="_Toc14999"/>
      <w:r>
        <w:rPr>
          <w:rFonts w:hint="eastAsia" w:ascii="宋体" w:hAnsi="宋体" w:eastAsia="宋体" w:cs="宋体"/>
          <w:b/>
          <w:color w:val="auto"/>
          <w:sz w:val="24"/>
          <w:szCs w:val="24"/>
          <w:highlight w:val="none"/>
        </w:rPr>
        <w:t>报价一览表</w:t>
      </w:r>
    </w:p>
    <w:p>
      <w:pPr>
        <w:pStyle w:val="70"/>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（后附工程量清单明细表，否则其投标报价无效，做废标处理。）</w:t>
      </w:r>
    </w:p>
    <w:p>
      <w:pPr>
        <w:pStyle w:val="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标段名称：</w:t>
      </w:r>
    </w:p>
    <w:p>
      <w:pPr>
        <w:pStyle w:val="70"/>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宋体" w:hAnsi="宋体" w:eastAsia="宋体" w:cs="宋体"/>
                <w:color w:val="auto"/>
                <w:sz w:val="24"/>
                <w:szCs w:val="24"/>
                <w:highlight w:val="none"/>
              </w:rPr>
            </w:pPr>
          </w:p>
          <w:p>
            <w:pPr>
              <w:pStyle w:val="7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p>
            <w:pPr>
              <w:pStyle w:val="70"/>
              <w:spacing w:line="360" w:lineRule="auto"/>
              <w:jc w:val="center"/>
              <w:rPr>
                <w:rFonts w:hint="eastAsia" w:ascii="宋体" w:hAnsi="宋体" w:eastAsia="宋体" w:cs="宋体"/>
                <w:color w:val="auto"/>
                <w:sz w:val="24"/>
                <w:szCs w:val="24"/>
                <w:highlight w:val="none"/>
              </w:rPr>
            </w:pPr>
          </w:p>
        </w:tc>
        <w:tc>
          <w:tcPr>
            <w:tcW w:w="1501" w:type="dxa"/>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70"/>
              <w:spacing w:line="360" w:lineRule="auto"/>
              <w:ind w:firstLine="42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bl>
    <w:p>
      <w:pPr>
        <w:pStyle w:val="7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说明：各分项价格统一按此总报价幅度调整。</w:t>
      </w:r>
    </w:p>
    <w:p>
      <w:pPr>
        <w:pStyle w:val="70"/>
        <w:spacing w:line="360" w:lineRule="auto"/>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pPr>
        <w:pStyle w:val="7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r>
        <w:rPr>
          <w:rStyle w:val="72"/>
          <w:rFonts w:hint="eastAsia" w:ascii="宋体" w:hAnsi="宋体" w:eastAsia="宋体" w:cs="宋体"/>
          <w:color w:val="auto"/>
          <w:sz w:val="24"/>
          <w:szCs w:val="24"/>
          <w:highlight w:val="none"/>
        </w:rPr>
        <w:t>已标价的工程量清单</w:t>
      </w:r>
      <w:bookmarkEnd w:id="796"/>
      <w:bookmarkStart w:id="798" w:name="_Toc22154"/>
      <w:bookmarkStart w:id="799" w:name="_Toc18861"/>
      <w:bookmarkStart w:id="800" w:name="_Toc256000047"/>
    </w:p>
    <w:bookmarkEnd w:id="797"/>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69"/>
        <w:outlineLvl w:val="0"/>
        <w:rPr>
          <w:rFonts w:hint="eastAsia" w:ascii="宋体" w:hAnsi="宋体" w:eastAsia="宋体" w:cs="宋体"/>
          <w:b/>
          <w:color w:val="auto"/>
          <w:sz w:val="28"/>
          <w:szCs w:val="22"/>
          <w:highlight w:val="none"/>
          <w:lang w:val="en-US" w:eastAsia="zh-CN" w:bidi="ar-SA"/>
        </w:rPr>
      </w:pPr>
      <w:bookmarkStart w:id="801" w:name="_Toc18229"/>
      <w:bookmarkStart w:id="802" w:name="_Toc17422"/>
      <w:bookmarkStart w:id="803" w:name="_Toc21245"/>
      <w:r>
        <w:rPr>
          <w:rFonts w:hint="eastAsia" w:ascii="宋体" w:hAnsi="宋体" w:eastAsia="宋体" w:cs="宋体"/>
          <w:b/>
          <w:color w:val="auto"/>
          <w:sz w:val="28"/>
          <w:szCs w:val="22"/>
          <w:highlight w:val="none"/>
          <w:lang w:val="en-US" w:eastAsia="zh-CN" w:bidi="ar-SA"/>
        </w:rPr>
        <w:t>十二、联合体协议书格式（如有）</w:t>
      </w:r>
      <w:bookmarkEnd w:id="798"/>
      <w:bookmarkEnd w:id="799"/>
      <w:bookmarkEnd w:id="800"/>
      <w:bookmarkEnd w:id="801"/>
      <w:bookmarkEnd w:id="802"/>
      <w:bookmarkEnd w:id="803"/>
    </w:p>
    <w:p>
      <w:pPr>
        <w:pStyle w:val="74"/>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联合体协议</w:t>
      </w:r>
    </w:p>
    <w:p>
      <w:pPr>
        <w:pStyle w:val="74"/>
        <w:adjustRightInd w:val="0"/>
        <w:snapToGrid w:val="0"/>
        <w:spacing w:before="158"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经研究，我们决定自愿组成联合体共同申请参加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（项目名称、政府采购编号、采购代理编号）项目的磋商。现就联合体事宜订立如下协议：</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一、联合体基本信息：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（各方公司名称、地址、注册资金、营业执照、法定代表人姓名）。</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。按照本条上述分工，联合体成员单位各自所承担的合同工作量比例如下：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六、本协议书自签署之日起生效，合同履行完毕后自动失效。</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份，联合体成员和采购人各执一份。</w:t>
      </w:r>
    </w:p>
    <w:p>
      <w:pPr>
        <w:pStyle w:val="74"/>
        <w:adjustRightInd w:val="0"/>
        <w:snapToGrid w:val="0"/>
        <w:spacing w:line="360" w:lineRule="auto"/>
        <w:rPr>
          <w:rFonts w:hint="eastAsia" w:ascii="宋体" w:hAnsi="宋体" w:eastAsia="宋体" w:cs="宋体"/>
          <w:color w:val="auto"/>
          <w:sz w:val="24"/>
          <w:szCs w:val="24"/>
          <w:highlight w:val="none"/>
        </w:rPr>
      </w:pP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pPr>
        <w:pStyle w:val="74"/>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备注：本协议书由授权代表签字的，应附法定代表人签字的授权委托书。</w:t>
      </w:r>
      <w:bookmarkStart w:id="804" w:name="_Toc7512"/>
      <w:bookmarkStart w:id="805" w:name="_Toc806"/>
      <w:bookmarkStart w:id="806" w:name="_Toc256000048"/>
    </w:p>
    <w:p>
      <w:pPr>
        <w:pStyle w:val="74"/>
        <w:spacing w:line="360" w:lineRule="auto"/>
        <w:outlineLvl w:val="9"/>
        <w:rPr>
          <w:rFonts w:hint="eastAsia" w:ascii="宋体" w:hAnsi="宋体" w:eastAsia="宋体" w:cs="宋体"/>
          <w:color w:val="auto"/>
          <w:sz w:val="24"/>
          <w:szCs w:val="24"/>
          <w:highlight w:val="none"/>
        </w:rPr>
      </w:pPr>
    </w:p>
    <w:p>
      <w:pPr>
        <w:pStyle w:val="74"/>
        <w:spacing w:line="360" w:lineRule="auto"/>
        <w:outlineLvl w:val="9"/>
        <w:rPr>
          <w:rFonts w:hint="eastAsia" w:ascii="宋体" w:hAnsi="宋体" w:eastAsia="宋体" w:cs="宋体"/>
          <w:color w:val="auto"/>
          <w:sz w:val="24"/>
          <w:szCs w:val="24"/>
          <w:highlight w:val="none"/>
        </w:rPr>
      </w:pPr>
    </w:p>
    <w:bookmarkEnd w:id="804"/>
    <w:bookmarkEnd w:id="805"/>
    <w:bookmarkEnd w:id="806"/>
    <w:p>
      <w:pPr>
        <w:pStyle w:val="69"/>
        <w:outlineLvl w:val="0"/>
        <w:rPr>
          <w:rFonts w:hint="eastAsia" w:ascii="宋体" w:hAnsi="宋体" w:eastAsia="宋体" w:cs="宋体"/>
          <w:b/>
          <w:color w:val="auto"/>
          <w:sz w:val="28"/>
          <w:szCs w:val="22"/>
          <w:highlight w:val="none"/>
          <w:lang w:val="en-US" w:eastAsia="zh-CN" w:bidi="ar-SA"/>
        </w:rPr>
      </w:pPr>
      <w:bookmarkStart w:id="807" w:name="_Toc256000049"/>
      <w:bookmarkStart w:id="808" w:name="_Toc22436"/>
      <w:bookmarkStart w:id="809" w:name="_Toc8063"/>
      <w:bookmarkStart w:id="810" w:name="_Toc2574"/>
      <w:bookmarkStart w:id="811" w:name="_Toc14498"/>
      <w:bookmarkStart w:id="812" w:name="_Toc27630"/>
      <w:r>
        <w:rPr>
          <w:rFonts w:hint="eastAsia" w:ascii="宋体" w:hAnsi="宋体" w:eastAsia="宋体" w:cs="宋体"/>
          <w:b/>
          <w:color w:val="auto"/>
          <w:sz w:val="28"/>
          <w:szCs w:val="22"/>
          <w:highlight w:val="none"/>
          <w:lang w:val="en-US" w:eastAsia="zh-CN" w:bidi="ar-SA"/>
        </w:rPr>
        <w:t>十三、施工组织设计</w:t>
      </w:r>
      <w:bookmarkEnd w:id="807"/>
      <w:bookmarkEnd w:id="808"/>
      <w:bookmarkEnd w:id="809"/>
      <w:bookmarkEnd w:id="810"/>
      <w:bookmarkEnd w:id="811"/>
      <w:bookmarkEnd w:id="812"/>
    </w:p>
    <w:p>
      <w:pPr>
        <w:pStyle w:val="75"/>
        <w:ind w:left="0" w:leftChars="0" w:firstLine="0" w:firstLineChars="0"/>
        <w:jc w:val="center"/>
        <w:outlineLvl w:val="9"/>
        <w:rPr>
          <w:rFonts w:hint="eastAsia" w:ascii="宋体" w:hAnsi="宋体" w:eastAsia="宋体" w:cs="宋体"/>
          <w:b/>
          <w:color w:val="auto"/>
          <w:sz w:val="24"/>
          <w:szCs w:val="24"/>
          <w:highlight w:val="none"/>
        </w:rPr>
      </w:pPr>
      <w:bookmarkStart w:id="813" w:name="_Toc256000050"/>
      <w:r>
        <w:rPr>
          <w:rFonts w:hint="eastAsia" w:ascii="宋体" w:hAnsi="宋体" w:eastAsia="宋体" w:cs="宋体"/>
          <w:b/>
          <w:color w:val="auto"/>
          <w:sz w:val="24"/>
          <w:szCs w:val="24"/>
          <w:highlight w:val="none"/>
        </w:rPr>
        <w:t>（一）施工组织设计</w:t>
      </w:r>
      <w:bookmarkEnd w:id="813"/>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图表及格式要求：</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附表一  拟投入的主要施工设备表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  劳动力计划表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附表三  进度计划</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附表四  施工总平面图</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附表二：劳动力计划表</w:t>
      </w:r>
    </w:p>
    <w:p>
      <w:pPr>
        <w:pStyle w:val="76"/>
        <w:spacing w:line="360" w:lineRule="auto"/>
        <w:ind w:right="20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7"/>
        <w:spacing w:line="360" w:lineRule="auto"/>
        <w:rPr>
          <w:rFonts w:hint="eastAsia" w:ascii="宋体" w:hAnsi="宋体" w:eastAsia="宋体" w:cs="宋体"/>
          <w:color w:val="auto"/>
          <w:sz w:val="24"/>
          <w:szCs w:val="24"/>
          <w:highlight w:val="none"/>
        </w:rPr>
      </w:pPr>
    </w:p>
    <w:p>
      <w:pPr>
        <w:pStyle w:val="77"/>
        <w:spacing w:line="360" w:lineRule="auto"/>
        <w:rPr>
          <w:rFonts w:hint="eastAsia" w:ascii="宋体" w:hAnsi="宋体" w:eastAsia="宋体" w:cs="宋体"/>
          <w:color w:val="auto"/>
          <w:sz w:val="24"/>
          <w:szCs w:val="24"/>
          <w:highlight w:val="none"/>
        </w:rPr>
      </w:pPr>
    </w:p>
    <w:p>
      <w:pPr>
        <w:pStyle w:val="7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附表三：进度计划</w:t>
      </w:r>
    </w:p>
    <w:p>
      <w:pPr>
        <w:pStyle w:val="76"/>
        <w:rPr>
          <w:rFonts w:hint="eastAsia" w:ascii="宋体" w:hAnsi="宋体" w:eastAsia="宋体" w:cs="宋体"/>
          <w:b/>
          <w:bCs/>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供应商应递交施工进度网络图或施工进度表，说明按磋商文件要求的计划工期进行施工的各个关键日期。</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施工进度表可采用网络图或横道图表示。</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附表四：施工总平面图</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供应商应递交一份施工总平面图，绘出现场临时设施布置图表，并注明临时设施、加工车间、现场办公、设备及仓储、供电、供水、卫生、生活、道路、消防等设施的情况和布置。</w:t>
      </w:r>
      <w:bookmarkStart w:id="814" w:name="_Toc4856"/>
      <w:bookmarkStart w:id="815" w:name="_Toc28819"/>
      <w:bookmarkStart w:id="816" w:name="_Toc256000051"/>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69"/>
        <w:outlineLvl w:val="0"/>
        <w:rPr>
          <w:rFonts w:hint="eastAsia" w:ascii="宋体" w:hAnsi="宋体" w:eastAsia="宋体" w:cs="宋体"/>
          <w:b/>
          <w:color w:val="auto"/>
          <w:sz w:val="24"/>
          <w:szCs w:val="24"/>
          <w:highlight w:val="none"/>
        </w:rPr>
      </w:pPr>
      <w:bookmarkStart w:id="817" w:name="_Toc4464"/>
      <w:bookmarkStart w:id="818" w:name="_Toc30473"/>
      <w:bookmarkStart w:id="819" w:name="_Toc30659"/>
      <w:r>
        <w:rPr>
          <w:rFonts w:hint="eastAsia" w:ascii="宋体" w:hAnsi="宋体" w:eastAsia="宋体" w:cs="宋体"/>
          <w:b/>
          <w:color w:val="auto"/>
          <w:sz w:val="28"/>
          <w:szCs w:val="22"/>
          <w:highlight w:val="none"/>
          <w:lang w:val="en-US" w:eastAsia="zh-CN" w:bidi="ar-SA"/>
        </w:rPr>
        <w:t>十四、项目管理机构组成表</w:t>
      </w:r>
      <w:bookmarkEnd w:id="814"/>
      <w:bookmarkEnd w:id="815"/>
      <w:bookmarkEnd w:id="816"/>
      <w:bookmarkEnd w:id="817"/>
      <w:bookmarkEnd w:id="818"/>
      <w:bookmarkEnd w:id="819"/>
    </w:p>
    <w:p>
      <w:pPr>
        <w:pStyle w:val="76"/>
        <w:rPr>
          <w:rFonts w:hint="eastAsia" w:ascii="宋体" w:hAnsi="宋体" w:eastAsia="宋体" w:cs="宋体"/>
          <w:b/>
          <w:bCs/>
          <w:color w:val="auto"/>
          <w:sz w:val="24"/>
          <w:szCs w:val="24"/>
          <w:highlight w:val="none"/>
        </w:rPr>
      </w:pPr>
      <w:bookmarkStart w:id="820" w:name="_Toc256000052"/>
      <w:r>
        <w:rPr>
          <w:rFonts w:hint="eastAsia" w:ascii="宋体" w:hAnsi="宋体" w:eastAsia="宋体" w:cs="宋体"/>
          <w:b/>
          <w:bCs/>
          <w:color w:val="auto"/>
          <w:sz w:val="24"/>
          <w:szCs w:val="24"/>
          <w:highlight w:val="none"/>
        </w:rPr>
        <w:t>（一）项目管理机构组成表</w:t>
      </w:r>
      <w:bookmarkEnd w:id="82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bl>
    <w:p>
      <w:pPr>
        <w:pStyle w:val="7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21" w:name="_Toc18856"/>
      <w:bookmarkStart w:id="822" w:name="_Toc256000053"/>
      <w:bookmarkStart w:id="823" w:name="_Toc5067"/>
      <w:bookmarkStart w:id="824" w:name="_Toc12728"/>
      <w:bookmarkStart w:id="825" w:name="_Toc14452"/>
      <w:bookmarkStart w:id="826" w:name="_Toc11937"/>
      <w:r>
        <w:rPr>
          <w:rFonts w:hint="eastAsia" w:ascii="宋体" w:hAnsi="宋体" w:eastAsia="宋体" w:cs="宋体"/>
          <w:b/>
          <w:color w:val="auto"/>
          <w:sz w:val="28"/>
          <w:szCs w:val="22"/>
          <w:highlight w:val="none"/>
          <w:lang w:val="en-US" w:eastAsia="zh-CN" w:bidi="ar-SA"/>
        </w:rPr>
        <w:t>十五、项目经理简历表</w:t>
      </w:r>
      <w:bookmarkEnd w:id="821"/>
      <w:bookmarkEnd w:id="822"/>
      <w:bookmarkEnd w:id="823"/>
      <w:bookmarkEnd w:id="824"/>
      <w:bookmarkEnd w:id="825"/>
      <w:bookmarkEnd w:id="826"/>
    </w:p>
    <w:p>
      <w:pPr>
        <w:pStyle w:val="80"/>
        <w:spacing w:line="360" w:lineRule="auto"/>
        <w:jc w:val="left"/>
        <w:rPr>
          <w:rFonts w:hint="eastAsia" w:ascii="宋体" w:hAnsi="宋体" w:eastAsia="宋体" w:cs="宋体"/>
          <w:b/>
          <w:color w:val="auto"/>
          <w:sz w:val="24"/>
          <w:szCs w:val="24"/>
          <w:highlight w:val="none"/>
        </w:rPr>
      </w:pPr>
      <w:bookmarkStart w:id="827" w:name="_Toc14040"/>
      <w:bookmarkStart w:id="828" w:name="_Toc256000054"/>
      <w:r>
        <w:rPr>
          <w:rStyle w:val="81"/>
          <w:rFonts w:hint="eastAsia" w:ascii="宋体" w:hAnsi="宋体" w:eastAsia="宋体" w:cs="宋体"/>
          <w:color w:val="auto"/>
          <w:sz w:val="24"/>
          <w:szCs w:val="24"/>
          <w:highlight w:val="none"/>
        </w:rPr>
        <w:t>（二）项目经理简历表</w:t>
      </w:r>
      <w:bookmarkEnd w:id="827"/>
      <w:bookmarkEnd w:id="828"/>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bl>
    <w:p>
      <w:pPr>
        <w:pStyle w:val="8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附：建造师注册证书、安全生产考核合格证书、身份证复印件</w:t>
      </w:r>
    </w:p>
    <w:bookmarkEnd w:id="690"/>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9"/>
        <w:outlineLvl w:val="0"/>
        <w:rPr>
          <w:rFonts w:hint="eastAsia" w:ascii="宋体" w:hAnsi="宋体" w:eastAsia="宋体" w:cs="宋体"/>
          <w:b/>
          <w:color w:val="auto"/>
          <w:sz w:val="28"/>
          <w:szCs w:val="22"/>
          <w:highlight w:val="none"/>
          <w:lang w:val="en-US" w:eastAsia="zh-CN" w:bidi="ar-SA"/>
        </w:rPr>
      </w:pPr>
      <w:bookmarkStart w:id="829" w:name="_Toc10234"/>
      <w:bookmarkStart w:id="830" w:name="_Toc5410"/>
      <w:bookmarkStart w:id="831" w:name="_Toc27741"/>
      <w:r>
        <w:rPr>
          <w:rFonts w:hint="eastAsia" w:ascii="宋体" w:hAnsi="宋体" w:eastAsia="宋体" w:cs="宋体"/>
          <w:b/>
          <w:color w:val="auto"/>
          <w:sz w:val="28"/>
          <w:szCs w:val="22"/>
          <w:highlight w:val="none"/>
          <w:lang w:val="en-US" w:eastAsia="zh-CN" w:bidi="ar-SA"/>
        </w:rPr>
        <w:t>十六、其他材料</w:t>
      </w:r>
      <w:bookmarkEnd w:id="829"/>
      <w:bookmarkEnd w:id="830"/>
      <w:bookmarkEnd w:id="831"/>
    </w:p>
    <w:p>
      <w:pPr>
        <w:pStyle w:val="21"/>
        <w:jc w:val="center"/>
        <w:rPr>
          <w:rFonts w:hint="eastAsia" w:ascii="宋体" w:hAnsi="宋体" w:eastAsia="宋体" w:cs="宋体"/>
          <w:bCs/>
          <w:color w:val="auto"/>
          <w:sz w:val="24"/>
          <w:szCs w:val="24"/>
          <w:highlight w:val="none"/>
        </w:rPr>
      </w:pPr>
      <w:bookmarkStart w:id="832" w:name="_Toc6078"/>
      <w:bookmarkStart w:id="833" w:name="_Toc23830"/>
      <w:bookmarkStart w:id="834" w:name="_Toc12805"/>
      <w:bookmarkStart w:id="835" w:name="_Toc4049"/>
      <w:bookmarkStart w:id="836" w:name="_Toc16141"/>
      <w:r>
        <w:rPr>
          <w:rStyle w:val="83"/>
          <w:rFonts w:hint="eastAsia" w:ascii="宋体" w:hAnsi="宋体" w:eastAsia="宋体" w:cs="宋体"/>
          <w:color w:val="auto"/>
          <w:sz w:val="24"/>
          <w:szCs w:val="24"/>
          <w:highlight w:val="none"/>
        </w:rPr>
        <w:t>要求提供的其它材料以及供应商认为需要提交的材料（格式自拟）</w:t>
      </w:r>
      <w:bookmarkEnd w:id="832"/>
      <w:bookmarkEnd w:id="833"/>
      <w:bookmarkEnd w:id="834"/>
      <w:bookmarkEnd w:id="835"/>
      <w:bookmarkEnd w:id="836"/>
    </w:p>
    <w:sectPr>
      <w:footerReference r:id="rId17" w:type="first"/>
      <w:headerReference r:id="rId15" w:type="default"/>
      <w:footerReference r:id="rId16" w:type="default"/>
      <w:pgSz w:w="11906" w:h="16838"/>
      <w:pgMar w:top="1417" w:right="1417" w:bottom="1417" w:left="1417" w:header="907" w:footer="90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8"/>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00000009"/>
    <w:multiLevelType w:val="multilevel"/>
    <w:tmpl w:val="00000009"/>
    <w:lvl w:ilvl="0" w:tentative="0">
      <w:start w:val="1"/>
      <w:numFmt w:val="upperLetter"/>
      <w:pStyle w:val="5"/>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6317BE2"/>
    <w:multiLevelType w:val="singleLevel"/>
    <w:tmpl w:val="76317BE2"/>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jZjNWYxMDcyOTEzNzRjNzRjZmMzM2I5N2IzMzYifQ=="/>
  </w:docVars>
  <w:rsids>
    <w:rsidRoot w:val="00000000"/>
    <w:rsid w:val="0002561E"/>
    <w:rsid w:val="00C36B5B"/>
    <w:rsid w:val="015C4E83"/>
    <w:rsid w:val="01E21263"/>
    <w:rsid w:val="02B02C49"/>
    <w:rsid w:val="040E27E3"/>
    <w:rsid w:val="041E22AA"/>
    <w:rsid w:val="044C2652"/>
    <w:rsid w:val="04B35139"/>
    <w:rsid w:val="04D550AF"/>
    <w:rsid w:val="06FF4665"/>
    <w:rsid w:val="0781507A"/>
    <w:rsid w:val="0A886720"/>
    <w:rsid w:val="0AE07548"/>
    <w:rsid w:val="0BF64289"/>
    <w:rsid w:val="0C9E047D"/>
    <w:rsid w:val="0CE07D0C"/>
    <w:rsid w:val="0D942F78"/>
    <w:rsid w:val="0DDA5B6B"/>
    <w:rsid w:val="0EA74DF0"/>
    <w:rsid w:val="0EB126E9"/>
    <w:rsid w:val="0EBE2625"/>
    <w:rsid w:val="0EC544A7"/>
    <w:rsid w:val="0FBD2ADF"/>
    <w:rsid w:val="10FE598E"/>
    <w:rsid w:val="12050B4C"/>
    <w:rsid w:val="130D3FB3"/>
    <w:rsid w:val="13EB3FA7"/>
    <w:rsid w:val="146D039A"/>
    <w:rsid w:val="161A6DC6"/>
    <w:rsid w:val="170D692B"/>
    <w:rsid w:val="177E5132"/>
    <w:rsid w:val="179665D1"/>
    <w:rsid w:val="17AC41DA"/>
    <w:rsid w:val="18DF7A43"/>
    <w:rsid w:val="1C8E7BC6"/>
    <w:rsid w:val="1D58667D"/>
    <w:rsid w:val="1D821274"/>
    <w:rsid w:val="1DB45D52"/>
    <w:rsid w:val="1DE303E5"/>
    <w:rsid w:val="1E876FC3"/>
    <w:rsid w:val="1F0E3240"/>
    <w:rsid w:val="1F0F1B07"/>
    <w:rsid w:val="1F8043D8"/>
    <w:rsid w:val="1F8D5151"/>
    <w:rsid w:val="1FF95C9E"/>
    <w:rsid w:val="21183ED7"/>
    <w:rsid w:val="238B30B1"/>
    <w:rsid w:val="24EF5FF5"/>
    <w:rsid w:val="25D0124F"/>
    <w:rsid w:val="26070680"/>
    <w:rsid w:val="261F21D6"/>
    <w:rsid w:val="268A58A2"/>
    <w:rsid w:val="283F19C1"/>
    <w:rsid w:val="28FD739E"/>
    <w:rsid w:val="28FF4A5E"/>
    <w:rsid w:val="2A550015"/>
    <w:rsid w:val="2B920D55"/>
    <w:rsid w:val="311C359A"/>
    <w:rsid w:val="33AF4B9A"/>
    <w:rsid w:val="34D047C0"/>
    <w:rsid w:val="3575596F"/>
    <w:rsid w:val="362B1E67"/>
    <w:rsid w:val="36370E76"/>
    <w:rsid w:val="36413AA3"/>
    <w:rsid w:val="37E375CD"/>
    <w:rsid w:val="38861F2A"/>
    <w:rsid w:val="39893797"/>
    <w:rsid w:val="3B1708C1"/>
    <w:rsid w:val="3DA36040"/>
    <w:rsid w:val="3FA01F11"/>
    <w:rsid w:val="3FC512A1"/>
    <w:rsid w:val="3FF102E8"/>
    <w:rsid w:val="3FFA53EF"/>
    <w:rsid w:val="40464190"/>
    <w:rsid w:val="414645ED"/>
    <w:rsid w:val="419C7C0C"/>
    <w:rsid w:val="41D57EC1"/>
    <w:rsid w:val="423A155A"/>
    <w:rsid w:val="428D254A"/>
    <w:rsid w:val="4497145E"/>
    <w:rsid w:val="449C4CC6"/>
    <w:rsid w:val="44C74759"/>
    <w:rsid w:val="44D3337D"/>
    <w:rsid w:val="451900C5"/>
    <w:rsid w:val="45FB5A1D"/>
    <w:rsid w:val="473E081F"/>
    <w:rsid w:val="48904B42"/>
    <w:rsid w:val="4A122CFA"/>
    <w:rsid w:val="4B8512CD"/>
    <w:rsid w:val="4DDE00FE"/>
    <w:rsid w:val="4E583234"/>
    <w:rsid w:val="4F7B5278"/>
    <w:rsid w:val="51C337B0"/>
    <w:rsid w:val="52033501"/>
    <w:rsid w:val="53F341D7"/>
    <w:rsid w:val="54921C42"/>
    <w:rsid w:val="57736E3F"/>
    <w:rsid w:val="584119B5"/>
    <w:rsid w:val="59507B8D"/>
    <w:rsid w:val="5A0F3E83"/>
    <w:rsid w:val="5A9B41F5"/>
    <w:rsid w:val="5B10566E"/>
    <w:rsid w:val="5B1C04B7"/>
    <w:rsid w:val="5B6D3E3D"/>
    <w:rsid w:val="5B774DFE"/>
    <w:rsid w:val="5BDE576D"/>
    <w:rsid w:val="5CE62B2B"/>
    <w:rsid w:val="5D9A1F9A"/>
    <w:rsid w:val="5DA56542"/>
    <w:rsid w:val="5E023994"/>
    <w:rsid w:val="60541A35"/>
    <w:rsid w:val="64596CF4"/>
    <w:rsid w:val="650224CC"/>
    <w:rsid w:val="685F19E3"/>
    <w:rsid w:val="689618F7"/>
    <w:rsid w:val="689E075E"/>
    <w:rsid w:val="6922573D"/>
    <w:rsid w:val="692E0289"/>
    <w:rsid w:val="6DCA325E"/>
    <w:rsid w:val="6F307C36"/>
    <w:rsid w:val="6F3A0B2F"/>
    <w:rsid w:val="6F6B6A66"/>
    <w:rsid w:val="6FAF14A2"/>
    <w:rsid w:val="7104781F"/>
    <w:rsid w:val="711845A3"/>
    <w:rsid w:val="7249798C"/>
    <w:rsid w:val="744F6DB0"/>
    <w:rsid w:val="75DB69BC"/>
    <w:rsid w:val="76012298"/>
    <w:rsid w:val="76143E0D"/>
    <w:rsid w:val="763000A3"/>
    <w:rsid w:val="799F60E4"/>
    <w:rsid w:val="7CA83501"/>
    <w:rsid w:val="7D7061F8"/>
    <w:rsid w:val="7E854CD2"/>
    <w:rsid w:val="7F23101B"/>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3"/>
    <w:qFormat/>
    <w:uiPriority w:val="0"/>
    <w:pPr>
      <w:keepNext/>
      <w:tabs>
        <w:tab w:val="left" w:pos="420"/>
      </w:tabs>
      <w:jc w:val="center"/>
      <w:outlineLvl w:val="0"/>
    </w:pPr>
    <w:rPr>
      <w:b/>
      <w:bCs/>
      <w:kern w:val="0"/>
      <w:sz w:val="2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numPr>
        <w:ilvl w:val="0"/>
        <w:numId w:val="1"/>
      </w:numPr>
      <w:outlineLvl w:val="2"/>
    </w:pPr>
    <w:rPr>
      <w:b/>
      <w:bCs/>
      <w:sz w:val="28"/>
      <w:szCs w:val="24"/>
    </w:rPr>
  </w:style>
  <w:style w:type="paragraph" w:styleId="6">
    <w:name w:val="heading 4"/>
    <w:basedOn w:val="1"/>
    <w:next w:val="1"/>
    <w:qFormat/>
    <w:uiPriority w:val="0"/>
    <w:pPr>
      <w:keepNext/>
      <w:numPr>
        <w:ilvl w:val="0"/>
        <w:numId w:val="2"/>
      </w:numPr>
      <w:outlineLvl w:val="3"/>
    </w:pPr>
    <w:rPr>
      <w:b/>
      <w:color w:val="000000"/>
      <w:sz w:val="28"/>
      <w:szCs w:val="24"/>
      <w:u w:val="single"/>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0">
    <w:name w:val="toa heading"/>
    <w:basedOn w:val="1"/>
    <w:next w:val="1"/>
    <w:qFormat/>
    <w:uiPriority w:val="0"/>
    <w:pPr>
      <w:spacing w:before="120"/>
    </w:pPr>
    <w:rPr>
      <w:rFonts w:ascii="Arial" w:hAnsi="Arial"/>
      <w:sz w:val="24"/>
      <w:szCs w:val="21"/>
    </w:rPr>
  </w:style>
  <w:style w:type="paragraph" w:styleId="11">
    <w:name w:val="Body Text"/>
    <w:basedOn w:val="1"/>
    <w:next w:val="12"/>
    <w:qFormat/>
    <w:uiPriority w:val="0"/>
    <w:pPr>
      <w:spacing w:after="120" w:afterLines="0"/>
    </w:pPr>
  </w:style>
  <w:style w:type="paragraph" w:styleId="12">
    <w:name w:val="Date"/>
    <w:basedOn w:val="1"/>
    <w:next w:val="1"/>
    <w:qFormat/>
    <w:uiPriority w:val="99"/>
    <w:rPr>
      <w:rFonts w:ascii="Times New Roman" w:hAnsi="Times New Roman"/>
      <w:kern w:val="0"/>
      <w:sz w:val="20"/>
      <w:szCs w:val="20"/>
    </w:rPr>
  </w:style>
  <w:style w:type="paragraph" w:styleId="13">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4">
    <w:name w:val="toc 5"/>
    <w:basedOn w:val="1"/>
    <w:next w:val="1"/>
    <w:semiHidden/>
    <w:qFormat/>
    <w:uiPriority w:val="0"/>
    <w:pPr>
      <w:ind w:left="840"/>
      <w:jc w:val="left"/>
    </w:pPr>
    <w:rPr>
      <w:sz w:val="18"/>
      <w:szCs w:val="18"/>
    </w:rPr>
  </w:style>
  <w:style w:type="paragraph" w:styleId="15">
    <w:name w:val="toc 3"/>
    <w:basedOn w:val="1"/>
    <w:next w:val="1"/>
    <w:qFormat/>
    <w:uiPriority w:val="0"/>
    <w:pPr>
      <w:ind w:left="840" w:leftChars="400"/>
    </w:pPr>
  </w:style>
  <w:style w:type="paragraph" w:styleId="16">
    <w:name w:val="Plain Text"/>
    <w:basedOn w:val="1"/>
    <w:next w:val="1"/>
    <w:qFormat/>
    <w:uiPriority w:val="0"/>
    <w:rPr>
      <w:rFonts w:ascii="宋体" w:hAnsi="宋体"/>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56" w:beforeLines="50"/>
    </w:pPr>
    <w:rPr>
      <w:rFonts w:ascii="仿宋_GB2312" w:eastAsia="仿宋_GB2312"/>
      <w:sz w:val="24"/>
    </w:rPr>
  </w:style>
  <w:style w:type="paragraph" w:styleId="20">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1">
    <w:name w:val="footnote text"/>
    <w:basedOn w:val="1"/>
    <w:qFormat/>
    <w:uiPriority w:val="0"/>
    <w:pPr>
      <w:snapToGrid w:val="0"/>
      <w:jc w:val="left"/>
    </w:pPr>
    <w:rPr>
      <w:rFonts w:eastAsia="楷体_GB2312"/>
      <w:sz w:val="18"/>
      <w:szCs w:val="18"/>
    </w:rPr>
  </w:style>
  <w:style w:type="paragraph" w:styleId="22">
    <w:name w:val="toc 2"/>
    <w:basedOn w:val="1"/>
    <w:next w:val="1"/>
    <w:qFormat/>
    <w:uiPriority w:val="0"/>
    <w:pPr>
      <w:ind w:left="420" w:leftChars="200"/>
    </w:pPr>
  </w:style>
  <w:style w:type="paragraph" w:styleId="23">
    <w:name w:val="HTML Preformatted"/>
    <w:basedOn w:val="1"/>
    <w:qFormat/>
    <w:uiPriority w:val="99"/>
    <w:rPr>
      <w:rFonts w:ascii="Courier New" w:hAnsi="Courier New"/>
      <w:sz w:val="20"/>
    </w:rPr>
  </w:style>
  <w:style w:type="paragraph" w:styleId="24">
    <w:name w:val="Normal (Web)"/>
    <w:basedOn w:val="1"/>
    <w:qFormat/>
    <w:uiPriority w:val="0"/>
    <w:pPr>
      <w:widowControl/>
      <w:jc w:val="left"/>
    </w:pPr>
    <w:rPr>
      <w:rFonts w:ascii="宋体" w:hAnsi="宋体" w:cs="宋体"/>
      <w:kern w:val="0"/>
      <w:sz w:val="24"/>
      <w:szCs w:val="24"/>
    </w:rPr>
  </w:style>
  <w:style w:type="paragraph" w:styleId="25">
    <w:name w:val="Title"/>
    <w:basedOn w:val="1"/>
    <w:next w:val="1"/>
    <w:qFormat/>
    <w:uiPriority w:val="0"/>
    <w:pPr>
      <w:jc w:val="both"/>
    </w:pPr>
    <w:rPr>
      <w:rFonts w:ascii="宋体" w:hAnsi="宋体"/>
      <w:b/>
      <w:sz w:val="44"/>
      <w:szCs w:val="28"/>
    </w:rPr>
  </w:style>
  <w:style w:type="paragraph" w:styleId="26">
    <w:name w:val="Body Text First Indent"/>
    <w:basedOn w:val="11"/>
    <w:unhideWhenUsed/>
    <w:qFormat/>
    <w:uiPriority w:val="0"/>
    <w:pPr>
      <w:spacing w:before="0" w:beforeLines="0" w:after="120" w:afterLines="0" w:line="312" w:lineRule="atLeast"/>
      <w:ind w:firstLine="420" w:firstLineChars="100"/>
    </w:pPr>
    <w:rPr>
      <w:sz w:val="21"/>
    </w:rPr>
  </w:style>
  <w:style w:type="paragraph" w:styleId="27">
    <w:name w:val="Body Text First Indent 2"/>
    <w:basedOn w:val="13"/>
    <w:next w:val="26"/>
    <w:qFormat/>
    <w:uiPriority w:val="0"/>
    <w:pPr>
      <w:tabs>
        <w:tab w:val="left" w:pos="8280"/>
      </w:tabs>
      <w:ind w:firstLine="420" w:firstLineChars="200"/>
    </w:pPr>
    <w:rPr>
      <w:rFonts w:ascii="Times New Roman" w:hAnsi="Times New Roman"/>
      <w:szCs w:val="20"/>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Char"/>
    <w:basedOn w:val="1"/>
    <w:qFormat/>
    <w:uiPriority w:val="0"/>
    <w:pPr>
      <w:tabs>
        <w:tab w:val="left" w:pos="360"/>
      </w:tabs>
    </w:pPr>
    <w:rPr>
      <w:sz w:val="24"/>
      <w:szCs w:val="24"/>
    </w:rPr>
  </w:style>
  <w:style w:type="paragraph" w:customStyle="1" w:styleId="34">
    <w:name w:val="_Style 2"/>
    <w:basedOn w:val="1"/>
    <w:next w:val="1"/>
    <w:qFormat/>
    <w:uiPriority w:val="99"/>
    <w:pPr>
      <w:ind w:firstLine="420" w:firstLineChars="200"/>
    </w:pPr>
    <w:rPr>
      <w:szCs w:val="24"/>
    </w:rPr>
  </w:style>
  <w:style w:type="paragraph" w:customStyle="1" w:styleId="35">
    <w:name w:val="标题 5（有编号）（绿盟科技）"/>
    <w:basedOn w:val="1"/>
    <w:next w:val="36"/>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3"/>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7">
    <w:name w:val="样式 首行缩进:  2 字符"/>
    <w:basedOn w:val="1"/>
    <w:qFormat/>
    <w:uiPriority w:val="0"/>
    <w:pPr>
      <w:spacing w:line="400" w:lineRule="exact"/>
    </w:pPr>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37248</Words>
  <Characters>39180</Characters>
  <Lines>0</Lines>
  <Paragraphs>0</Paragraphs>
  <TotalTime>28</TotalTime>
  <ScaleCrop>false</ScaleCrop>
  <LinksUpToDate>false</LinksUpToDate>
  <CharactersWithSpaces>44606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谱诚咨询</cp:lastModifiedBy>
  <dcterms:modified xsi:type="dcterms:W3CDTF">2023-06-19T09:54:25Z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