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highlight w:val="none"/>
          <w:lang w:val="en-US"/>
        </w:rPr>
      </w:pPr>
      <w:r>
        <w:rPr>
          <w:color w:val="auto"/>
          <w:highlight w:val="none"/>
        </w:rPr>
        <w:drawing>
          <wp:inline distT="0" distB="0" distL="114300" distR="114300">
            <wp:extent cx="1176655" cy="916940"/>
            <wp:effectExtent l="0" t="0" r="4445" b="1651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4"/>
                    <a:srcRect t="13322" r="3647" b="17383"/>
                    <a:stretch>
                      <a:fillRect/>
                    </a:stretch>
                  </pic:blipFill>
                  <pic:spPr>
                    <a:xfrm>
                      <a:off x="0" y="0"/>
                      <a:ext cx="1176655" cy="916940"/>
                    </a:xfrm>
                    <a:prstGeom prst="rect">
                      <a:avLst/>
                    </a:prstGeom>
                    <a:noFill/>
                    <a:ln>
                      <a:noFill/>
                    </a:ln>
                  </pic:spPr>
                </pic:pic>
              </a:graphicData>
            </a:graphic>
          </wp:inline>
        </w:drawing>
      </w:r>
      <w:r>
        <w:rPr>
          <w:rFonts w:hint="eastAsia"/>
          <w:color w:val="auto"/>
          <w:highlight w:val="none"/>
          <w:lang w:val="en-US" w:eastAsia="zh-CN"/>
        </w:rPr>
        <w:t xml:space="preserve">                                      </w:t>
      </w:r>
      <w:r>
        <w:rPr>
          <w:rFonts w:hint="eastAsia" w:ascii="黑体" w:hAnsi="黑体" w:eastAsia="黑体" w:cs="黑体"/>
          <w:color w:val="auto"/>
          <w:sz w:val="28"/>
          <w:szCs w:val="28"/>
          <w:highlight w:val="none"/>
          <w:lang w:val="en-US" w:eastAsia="zh-CN"/>
        </w:rPr>
        <w:t>项目编号：XJPC-2023-034</w:t>
      </w:r>
    </w:p>
    <w:p>
      <w:pPr>
        <w:pStyle w:val="37"/>
        <w:spacing w:line="360" w:lineRule="auto"/>
        <w:rPr>
          <w:rFonts w:hint="eastAsia" w:ascii="宋体" w:hAnsi="宋体" w:cs="宋体"/>
          <w:b/>
          <w:color w:val="auto"/>
          <w:sz w:val="28"/>
          <w:szCs w:val="28"/>
          <w:highlight w:val="none"/>
        </w:rPr>
      </w:pPr>
    </w:p>
    <w:p>
      <w:pPr>
        <w:pStyle w:val="37"/>
        <w:spacing w:line="360" w:lineRule="auto"/>
        <w:rPr>
          <w:rFonts w:hint="eastAsia" w:ascii="宋体" w:hAnsi="宋体" w:cs="宋体"/>
          <w:b/>
          <w:color w:val="auto"/>
          <w:sz w:val="28"/>
          <w:szCs w:val="28"/>
          <w:highlight w:val="none"/>
        </w:rPr>
      </w:pPr>
    </w:p>
    <w:p>
      <w:pPr>
        <w:pStyle w:val="37"/>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紫金花园小区防水工程项目</w:t>
      </w:r>
    </w:p>
    <w:p>
      <w:pPr>
        <w:pStyle w:val="37"/>
        <w:spacing w:line="360" w:lineRule="auto"/>
        <w:jc w:val="center"/>
        <w:rPr>
          <w:rFonts w:hint="eastAsia" w:ascii="宋体" w:hAnsi="宋体" w:eastAsia="宋体" w:cs="宋体"/>
          <w:b/>
          <w:bCs/>
          <w:color w:val="auto"/>
          <w:sz w:val="72"/>
          <w:szCs w:val="72"/>
          <w:highlight w:val="none"/>
          <w:lang w:eastAsia="zh-CN"/>
        </w:rPr>
      </w:pPr>
    </w:p>
    <w:p>
      <w:pPr>
        <w:pStyle w:val="37"/>
        <w:spacing w:line="360" w:lineRule="auto"/>
        <w:jc w:val="center"/>
        <w:rPr>
          <w:rFonts w:hint="eastAsia" w:ascii="宋体" w:hAnsi="宋体" w:eastAsia="宋体" w:cs="宋体"/>
          <w:b/>
          <w:bCs/>
          <w:color w:val="auto"/>
          <w:sz w:val="72"/>
          <w:szCs w:val="72"/>
          <w:highlight w:val="none"/>
          <w:lang w:eastAsia="zh-CN"/>
        </w:rPr>
      </w:pPr>
    </w:p>
    <w:p>
      <w:pPr>
        <w:pStyle w:val="37"/>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37"/>
        <w:spacing w:line="360" w:lineRule="auto"/>
        <w:jc w:val="center"/>
        <w:rPr>
          <w:rFonts w:hint="eastAsia" w:ascii="宋体" w:hAnsi="宋体" w:cs="宋体"/>
          <w:b/>
          <w:bCs/>
          <w:color w:val="auto"/>
          <w:sz w:val="44"/>
          <w:szCs w:val="44"/>
          <w:highlight w:val="none"/>
        </w:rPr>
      </w:pPr>
    </w:p>
    <w:p>
      <w:pPr>
        <w:pStyle w:val="37"/>
        <w:spacing w:line="360" w:lineRule="auto"/>
        <w:jc w:val="center"/>
        <w:rPr>
          <w:rFonts w:hint="eastAsia" w:ascii="宋体" w:hAnsi="宋体" w:cs="宋体"/>
          <w:b/>
          <w:bCs/>
          <w:color w:val="auto"/>
          <w:sz w:val="28"/>
          <w:szCs w:val="28"/>
          <w:highlight w:val="none"/>
        </w:rPr>
      </w:pPr>
    </w:p>
    <w:p>
      <w:pPr>
        <w:pStyle w:val="37"/>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w:t>
      </w:r>
    </w:p>
    <w:p>
      <w:pPr>
        <w:pStyle w:val="37"/>
        <w:spacing w:line="360" w:lineRule="auto"/>
        <w:jc w:val="center"/>
        <w:rPr>
          <w:rFonts w:hint="eastAsia" w:ascii="宋体" w:hAnsi="宋体" w:cs="宋体"/>
          <w:b/>
          <w:bCs/>
          <w:color w:val="auto"/>
          <w:sz w:val="28"/>
          <w:szCs w:val="28"/>
          <w:highlight w:val="none"/>
        </w:rPr>
      </w:pPr>
    </w:p>
    <w:p>
      <w:pPr>
        <w:pStyle w:val="11"/>
        <w:spacing w:line="360" w:lineRule="auto"/>
        <w:rPr>
          <w:rFonts w:hint="eastAsia" w:ascii="宋体" w:hAnsi="宋体" w:cs="宋体"/>
          <w:b/>
          <w:color w:val="auto"/>
          <w:sz w:val="28"/>
          <w:szCs w:val="28"/>
          <w:highlight w:val="none"/>
          <w:u w:val="single"/>
        </w:rPr>
      </w:pPr>
    </w:p>
    <w:p>
      <w:pPr>
        <w:pStyle w:val="11"/>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采购人：</w:t>
      </w:r>
      <w:r>
        <w:rPr>
          <w:rFonts w:hint="eastAsia" w:ascii="宋体" w:hAnsi="宋体" w:cs="宋体"/>
          <w:b/>
          <w:color w:val="auto"/>
          <w:sz w:val="28"/>
          <w:szCs w:val="28"/>
          <w:highlight w:val="none"/>
          <w:lang w:val="en-US" w:eastAsia="zh-CN"/>
        </w:rPr>
        <w:t>新疆维吾尔自治区省级干部住宅小区管理服务中心</w:t>
      </w:r>
    </w:p>
    <w:p>
      <w:pPr>
        <w:pStyle w:val="20"/>
        <w:ind w:left="0" w:leftChars="0" w:firstLine="562" w:firstLineChars="200"/>
        <w:rPr>
          <w:rFonts w:hint="eastAsia" w:eastAsia="宋体"/>
          <w:color w:val="auto"/>
          <w:highlight w:val="non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lang w:eastAsia="zh-CN"/>
        </w:rPr>
        <w:t>新疆谱诚项目管理咨询有限公司</w:t>
      </w:r>
    </w:p>
    <w:p>
      <w:pPr>
        <w:pStyle w:val="37"/>
        <w:spacing w:line="360" w:lineRule="auto"/>
        <w:ind w:firstLine="562" w:firstLineChars="200"/>
        <w:jc w:val="both"/>
        <w:rPr>
          <w:rFonts w:hint="eastAsia" w:cs="宋体"/>
          <w:b/>
          <w:color w:val="auto"/>
          <w:spacing w:val="160"/>
          <w:sz w:val="32"/>
          <w:szCs w:val="32"/>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val="en-US" w:eastAsia="zh-CN"/>
        </w:rPr>
        <w:t>2023年6月</w:t>
      </w:r>
    </w:p>
    <w:p>
      <w:pPr>
        <w:pStyle w:val="37"/>
        <w:spacing w:line="360" w:lineRule="auto"/>
        <w:jc w:val="center"/>
        <w:rPr>
          <w:rFonts w:hint="eastAsia" w:cs="宋体"/>
          <w:b/>
          <w:color w:val="auto"/>
          <w:spacing w:val="160"/>
          <w:sz w:val="32"/>
          <w:szCs w:val="32"/>
          <w:highlight w:val="none"/>
        </w:rPr>
      </w:pPr>
      <w:r>
        <w:rPr>
          <w:rFonts w:hint="eastAsia" w:cs="宋体"/>
          <w:b/>
          <w:color w:val="auto"/>
          <w:spacing w:val="160"/>
          <w:sz w:val="32"/>
          <w:szCs w:val="32"/>
          <w:highlight w:val="none"/>
        </w:rPr>
        <w:t>目录</w:t>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二、磋商文件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四、响应文件的递交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五、磋商和评审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六、成交结果及合同授予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七、质疑与投诉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_Toc6750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八、其他规定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_Toc6750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第三章 评审方法（综合评分法）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一、综合评分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二.综合评分细则表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三.推荐成交供应商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四.确定成交供应商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第四章  政府采购合同格式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第五章 工程量清单及技术标准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第六章  图纸另附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_Toc25776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第七章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_Toc25776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bidi="ar-SA"/>
        </w:rPr>
        <w:t>一、投标文件封面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_Toc6929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二、供应商资格声明</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_Toc6929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29</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_Toc16957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三、法定代表人身份证明或附有法定代表人身份证明的授权书</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_Toc16957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_Toc25982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四、近三年无重大违法记录信息证明文件及反商业贿赂书</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_Toc25982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_Toc32154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五、其他资格证明文件</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_Toc32154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34</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_Toc2838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六、磋商保证金</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_Toc2838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34</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_Toc3812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八、中、小微企业声明函</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_Toc3812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36</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_Toc13736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九、磋商申请</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_Toc13736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37</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_Toc17925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十、磋商申请附录</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_Toc17925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38</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_Toc30052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十一、已标价的工程量清单</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_Toc30052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39</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_Toc21245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十二、联合体协议书格式（如有）</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_Toc21245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40</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_Toc27641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十三、报价书格式</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_Toc27630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41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_Toc27630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十四、施工组织设计</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_Toc27630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41</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_Toc30473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十五、项目管理机构组成表</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_Toc30473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44</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_Toc12728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十六、项目经理简历表</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_Toc12728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45</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pStyle w:val="22"/>
        <w:tabs>
          <w:tab w:val="right" w:leader="dot" w:pos="8279"/>
        </w:tabs>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HYPERLINK \l _Toc27741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十七、其他材料</w:t>
      </w: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lang w:val="en-US" w:eastAsia="zh-CN" w:bidi="ar-SA"/>
        </w:rPr>
        <w:fldChar w:fldCharType="begin"/>
      </w:r>
      <w:r>
        <w:rPr>
          <w:rFonts w:hint="eastAsia" w:ascii="宋体" w:hAnsi="宋体" w:eastAsia="宋体" w:cs="宋体"/>
          <w:color w:val="auto"/>
          <w:sz w:val="24"/>
          <w:szCs w:val="24"/>
          <w:highlight w:val="none"/>
          <w:lang w:val="en-US" w:eastAsia="zh-CN" w:bidi="ar-SA"/>
        </w:rPr>
        <w:instrText xml:space="preserve"> PAGEREF _Toc27741 \h </w:instrText>
      </w:r>
      <w:r>
        <w:rPr>
          <w:rFonts w:hint="eastAsia" w:ascii="宋体" w:hAnsi="宋体" w:eastAsia="宋体" w:cs="宋体"/>
          <w:color w:val="auto"/>
          <w:sz w:val="24"/>
          <w:szCs w:val="24"/>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45</w:t>
      </w:r>
      <w:r>
        <w:rPr>
          <w:rFonts w:hint="eastAsia" w:ascii="宋体" w:hAnsi="宋体" w:eastAsia="宋体" w:cs="宋体"/>
          <w:color w:val="auto"/>
          <w:sz w:val="24"/>
          <w:szCs w:val="24"/>
          <w:highlight w:val="none"/>
          <w:lang w:val="en-US" w:eastAsia="zh-CN" w:bidi="ar-SA"/>
        </w:rPr>
        <w:fldChar w:fldCharType="end"/>
      </w:r>
      <w:r>
        <w:rPr>
          <w:rFonts w:hint="eastAsia" w:ascii="宋体" w:hAnsi="宋体" w:eastAsia="宋体" w:cs="宋体"/>
          <w:color w:val="auto"/>
          <w:sz w:val="24"/>
          <w:szCs w:val="24"/>
          <w:highlight w:val="none"/>
          <w:lang w:val="en-US" w:eastAsia="zh-CN" w:bidi="ar-SA"/>
        </w:rPr>
        <w:fldChar w:fldCharType="end"/>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pPr>
        <w:autoSpaceDE w:val="0"/>
        <w:autoSpaceDN w:val="0"/>
        <w:adjustRightInd w:val="0"/>
        <w:snapToGrid w:val="0"/>
        <w:spacing w:line="360" w:lineRule="auto"/>
        <w:jc w:val="center"/>
        <w:rPr>
          <w:rFonts w:hint="eastAsia" w:ascii="宋体" w:hAnsi="宋体" w:eastAsia="宋体" w:cs="宋体"/>
          <w:b/>
          <w:bCs/>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6928"/>
      <w:bookmarkStart w:id="1" w:name="_Toc21314"/>
    </w:p>
    <w:p>
      <w:pPr>
        <w:spacing w:line="360" w:lineRule="auto"/>
        <w:jc w:val="center"/>
        <w:outlineLvl w:val="0"/>
        <w:rPr>
          <w:rFonts w:hint="eastAsia" w:ascii="宋体" w:hAnsi="宋体" w:eastAsia="宋体" w:cs="宋体"/>
          <w:b/>
          <w:color w:val="auto"/>
          <w:sz w:val="32"/>
          <w:szCs w:val="32"/>
          <w:highlight w:val="none"/>
        </w:rPr>
      </w:pPr>
      <w:bookmarkStart w:id="2" w:name="_Toc7533"/>
      <w:bookmarkStart w:id="3" w:name="_Toc9738"/>
      <w:bookmarkStart w:id="4" w:name="_Toc5154"/>
      <w:r>
        <w:rPr>
          <w:rFonts w:hint="eastAsia" w:ascii="宋体" w:hAnsi="宋体" w:eastAsia="宋体" w:cs="宋体"/>
          <w:b/>
          <w:color w:val="auto"/>
          <w:sz w:val="32"/>
          <w:szCs w:val="32"/>
          <w:highlight w:val="none"/>
        </w:rPr>
        <w:t>第一章 竞争性磋商公告</w:t>
      </w:r>
      <w:bookmarkEnd w:id="0"/>
      <w:bookmarkEnd w:id="1"/>
      <w:bookmarkEnd w:id="2"/>
      <w:bookmarkEnd w:id="3"/>
      <w:bookmarkEnd w:id="4"/>
    </w:p>
    <w:p>
      <w:pPr>
        <w:pStyle w:val="24"/>
        <w:keepNext w:val="0"/>
        <w:keepLines w:val="0"/>
        <w:widowControl/>
        <w:suppressLineNumbers w:val="0"/>
        <w:spacing w:before="204" w:beforeAutospacing="0" w:after="204" w:afterAutospacing="0" w:line="360" w:lineRule="atLeast"/>
        <w:ind w:left="0" w:right="0"/>
        <w:jc w:val="both"/>
        <w:rPr>
          <w:rStyle w:val="30"/>
          <w:rFonts w:ascii="黑体" w:hAnsi="宋体" w:eastAsia="黑体" w:cs="黑体"/>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一、项目基本情况</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   </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XJPC-2023-034</w:t>
      </w:r>
    </w:p>
    <w:p>
      <w:pPr>
        <w:pStyle w:val="24"/>
        <w:keepNext w:val="0"/>
        <w:keepLines w:val="0"/>
        <w:widowControl/>
        <w:suppressLineNumbers w:val="0"/>
        <w:spacing w:line="240" w:lineRule="atLeas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r>
        <w:rPr>
          <w:rFonts w:hint="eastAsia" w:ascii="仿宋" w:hAnsi="仿宋" w:eastAsia="仿宋" w:cs="仿宋"/>
          <w:color w:val="auto"/>
          <w:sz w:val="22"/>
          <w:szCs w:val="22"/>
          <w:highlight w:val="none"/>
          <w:lang w:eastAsia="zh-CN"/>
        </w:rPr>
        <w:t>紫金花园小区防水工程项目</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采购方式：竞争性磋商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eastAsia="zh-CN"/>
        </w:rPr>
        <w:t>277200.00</w:t>
      </w:r>
    </w:p>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最高限价（元）：271775.82</w:t>
      </w:r>
    </w:p>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序号</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标项名称</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简要规格描述</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预算金额（元）</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紫金花园小区防水工程项目</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工程量清单范围内的全部工作内容。</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277200.00</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271775.82</w:t>
            </w:r>
          </w:p>
        </w:tc>
      </w:tr>
    </w:tbl>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p>
    <w:p>
      <w:pPr>
        <w:pStyle w:val="24"/>
        <w:keepNext w:val="0"/>
        <w:keepLines w:val="0"/>
        <w:widowControl/>
        <w:suppressLineNumbers w:val="0"/>
        <w:spacing w:line="240" w:lineRule="atLeast"/>
        <w:rPr>
          <w:rFonts w:hint="default" w:eastAsia="仿宋"/>
          <w:color w:val="auto"/>
          <w:sz w:val="28"/>
          <w:szCs w:val="28"/>
          <w:highlight w:val="none"/>
          <w:lang w:val="en-US" w:eastAsia="zh-CN"/>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2"/>
          <w:szCs w:val="22"/>
          <w:highlight w:val="none"/>
          <w:lang w:val="en-US" w:eastAsia="zh-CN"/>
        </w:rPr>
        <w:t>合同签订后30日</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本项目（否）接受联合体投标。</w:t>
      </w:r>
      <w:r>
        <w:rPr>
          <w:rFonts w:hint="eastAsia" w:ascii="仿宋" w:hAnsi="仿宋" w:eastAsia="仿宋" w:cs="仿宋"/>
          <w:color w:val="auto"/>
          <w:sz w:val="28"/>
          <w:szCs w:val="28"/>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二、申请人的资格要求：</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1.满足《中华人民共和国政府采购法》第二十二条规定；</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2.落实政府采购政策需满足的资格要求：</w:t>
      </w:r>
      <w:r>
        <w:rPr>
          <w:rFonts w:hint="eastAsia" w:ascii="仿宋" w:hAnsi="仿宋" w:eastAsia="仿宋" w:cs="仿宋"/>
          <w:color w:val="auto"/>
          <w:sz w:val="22"/>
          <w:szCs w:val="22"/>
          <w:highlight w:val="none"/>
          <w:lang w:eastAsia="zh-CN"/>
        </w:rPr>
        <w:t>本项目专门面向中小企业。</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3.本项目的特定资格要求：</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【标项1】</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lang w:val="en-US" w:eastAsia="zh-CN"/>
        </w:rPr>
        <w:t>（1）具有建筑工程施工总承包叁级及以上资质或建筑装修装饰工程专业承包贰级（含贰级）及以上资质或防水防腐保温工程专业承包二级及以上资质；有效的安全生产许可证；</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（2）项目负责人具有在本单位注册的建筑工程二级及以上注册建造师执业资格及有效的安全生产考核合格证书。</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（3）供应商具有需在中华人民共和国境内注册，并具有独立法人资格、有提供相应服务能力的单位（须在人员、设备、资金、技术等方面具备相应的服务能力）。</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三、获取采购文件</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20</w:t>
      </w:r>
      <w:r>
        <w:rPr>
          <w:rFonts w:hint="eastAsia" w:ascii="仿宋" w:hAnsi="仿宋" w:eastAsia="仿宋" w:cs="仿宋"/>
          <w:color w:val="auto"/>
          <w:sz w:val="22"/>
          <w:szCs w:val="22"/>
          <w:highlight w:val="none"/>
          <w:u w:val="none"/>
        </w:rPr>
        <w:t>日至202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7</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日，每天上午10:00至1</w:t>
      </w:r>
      <w:r>
        <w:rPr>
          <w:rFonts w:hint="eastAsia" w:ascii="仿宋" w:hAnsi="仿宋" w:eastAsia="仿宋" w:cs="仿宋"/>
          <w:color w:val="auto"/>
          <w:sz w:val="22"/>
          <w:szCs w:val="22"/>
          <w:highlight w:val="none"/>
          <w:u w:val="none"/>
          <w:lang w:val="en-US" w:eastAsia="zh-CN"/>
        </w:rPr>
        <w:t>4</w:t>
      </w:r>
      <w:r>
        <w:rPr>
          <w:rFonts w:hint="eastAsia" w:ascii="仿宋" w:hAnsi="仿宋" w:eastAsia="仿宋" w:cs="仿宋"/>
          <w:color w:val="auto"/>
          <w:sz w:val="22"/>
          <w:szCs w:val="22"/>
          <w:highlight w:val="none"/>
          <w:u w:val="none"/>
        </w:rPr>
        <w:t>:00，下午1</w:t>
      </w:r>
      <w:r>
        <w:rPr>
          <w:rFonts w:hint="eastAsia" w:ascii="仿宋" w:hAnsi="仿宋" w:eastAsia="仿宋" w:cs="仿宋"/>
          <w:color w:val="auto"/>
          <w:sz w:val="22"/>
          <w:szCs w:val="22"/>
          <w:highlight w:val="none"/>
          <w:u w:val="none"/>
          <w:lang w:val="en-US" w:eastAsia="zh-CN"/>
        </w:rPr>
        <w:t>5</w:t>
      </w:r>
      <w:r>
        <w:rPr>
          <w:rFonts w:hint="eastAsia" w:ascii="仿宋" w:hAnsi="仿宋" w:eastAsia="仿宋" w:cs="仿宋"/>
          <w:color w:val="auto"/>
          <w:sz w:val="22"/>
          <w:szCs w:val="22"/>
          <w:highlight w:val="none"/>
          <w:u w:val="none"/>
        </w:rPr>
        <w:t>:</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0至19:30（北京时间，法定节假日除外）</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 xml:space="preserve">新疆政采云平台https://www.zcygov.cn/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方式：</w:t>
      </w:r>
      <w:r>
        <w:rPr>
          <w:rFonts w:hint="eastAsia" w:ascii="仿宋" w:hAnsi="仿宋" w:eastAsia="仿宋" w:cs="仿宋"/>
          <w:color w:val="auto"/>
          <w:sz w:val="21"/>
          <w:szCs w:val="21"/>
          <w:highlight w:val="none"/>
        </w:rPr>
        <w:t>线上获取。供应商登录政采云平台https://www.zcygov.cn/在线申请获取招标文件（进入“项目采购”应用，在获取招标文件菜单中选择项目，申请获取招标文件）</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eastAsia="仿宋"/>
          <w:color w:val="auto"/>
          <w:sz w:val="28"/>
          <w:szCs w:val="28"/>
          <w:highlight w:val="none"/>
          <w:lang w:val="en-US" w:eastAsia="zh-CN"/>
        </w:rPr>
      </w:pPr>
      <w:r>
        <w:rPr>
          <w:rFonts w:hint="eastAsia" w:ascii="仿宋" w:hAnsi="仿宋" w:eastAsia="仿宋" w:cs="仿宋"/>
          <w:color w:val="auto"/>
          <w:sz w:val="22"/>
          <w:szCs w:val="22"/>
          <w:highlight w:val="none"/>
        </w:rPr>
        <w:t>    售价（元）：</w:t>
      </w:r>
      <w:r>
        <w:rPr>
          <w:rFonts w:hint="eastAsia" w:ascii="仿宋" w:hAnsi="仿宋" w:eastAsia="仿宋" w:cs="仿宋"/>
          <w:color w:val="auto"/>
          <w:sz w:val="22"/>
          <w:szCs w:val="22"/>
          <w:highlight w:val="none"/>
          <w:lang w:val="en-US" w:eastAsia="zh-CN"/>
        </w:rPr>
        <w:t>0</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截止时间：202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日1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r>
        <w:rPr>
          <w:rFonts w:hint="eastAsia" w:ascii="仿宋" w:hAnsi="仿宋" w:eastAsia="仿宋" w:cs="仿宋"/>
          <w:color w:val="auto"/>
          <w:sz w:val="22"/>
          <w:szCs w:val="22"/>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开启时间：202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日 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 （北京时间）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六、公告期限</w:t>
      </w:r>
    </w:p>
    <w:p>
      <w:pPr>
        <w:pStyle w:val="24"/>
        <w:keepNext w:val="0"/>
        <w:keepLines w:val="0"/>
        <w:widowControl/>
        <w:suppressLineNumbers w:val="0"/>
        <w:rPr>
          <w:color w:val="auto"/>
          <w:sz w:val="28"/>
          <w:szCs w:val="28"/>
          <w:highlight w:val="none"/>
        </w:rPr>
      </w:pPr>
      <w:r>
        <w:rPr>
          <w:rFonts w:hint="eastAsia" w:ascii="仿宋" w:hAnsi="仿宋" w:eastAsia="仿宋" w:cs="仿宋"/>
          <w:color w:val="auto"/>
          <w:sz w:val="22"/>
          <w:szCs w:val="22"/>
          <w:highlight w:val="none"/>
        </w:rPr>
        <w:t>    自本公告发布之日起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个工作日。</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2.本项目实行网上投标，采用电子响应文件，若供应商参与采购，应自行承担采购一切费用。</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3.投标人应在采购前应确保成为新疆政府采购网正式注册入库供应商，并完成CA 数字证书申领。因未注册入库、未办理CA 数字证书等原因造成无法投标或投标失败等后果由供应商自行承担。</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5.投标人应当在递交响应文件截止时间前，将生成的“电子加密响应文件”上传递交至“政府采购云平台”，递交响应文件截止时间后上传递交的响应文件将被“政府采购云平台”拒收。</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6.供应商登录政采云平台，在开标时间后30 分钟内用“项目采购-开标评标”功能进行解密响应文件。若供应商在规定时间内未按时解密的，视为无效响应。解密与加密响应文件须使用同一个CA。</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4"/>
        <w:keepNext w:val="0"/>
        <w:keepLines w:val="0"/>
        <w:widowControl/>
        <w:suppressLineNumbers w:val="0"/>
        <w:spacing w:before="204" w:beforeAutospacing="0" w:after="204" w:afterAutospacing="0" w:line="384"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八、凡对本次招标提出询问，请按以下方式联系</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1.采购人信息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名称：新疆维吾尔自治区省级干部住宅小区管理服务中心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地址：新疆维吾尔自治区乌鲁木齐市天山区和平北路12号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项目联系人：谷强</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项目联系方式：0991-2381275</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2.采购代理机构信息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名称：新疆谱诚项目管理咨询有限公司</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地址：乌鲁木齐市水磨沟区龙腾路1118号中央公园二期9栋503室</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 xml:space="preserve">项目联系人：李金航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项目联系方式：0991-8828891  13669952946</w:t>
      </w:r>
    </w:p>
    <w:p>
      <w:pPr>
        <w:rPr>
          <w:color w:val="auto"/>
          <w:sz w:val="22"/>
          <w:szCs w:val="21"/>
          <w:highlight w:val="none"/>
        </w:rPr>
      </w:pPr>
    </w:p>
    <w:p>
      <w:pPr>
        <w:snapToGrid w:val="0"/>
        <w:spacing w:line="360" w:lineRule="auto"/>
        <w:ind w:firstLine="480" w:firstLineChars="200"/>
        <w:rPr>
          <w:rFonts w:hint="eastAsia" w:ascii="宋体" w:hAnsi="宋体" w:eastAsia="宋体" w:cs="宋体"/>
          <w:bCs/>
          <w:color w:val="auto"/>
          <w:sz w:val="24"/>
          <w:szCs w:val="24"/>
          <w:highlight w:val="none"/>
          <w:lang w:eastAsia="zh-CN"/>
        </w:rPr>
      </w:pPr>
    </w:p>
    <w:p>
      <w:pPr>
        <w:pStyle w:val="26"/>
        <w:ind w:left="0" w:leftChars="0" w:firstLine="0" w:firstLineChars="0"/>
        <w:jc w:val="center"/>
        <w:rPr>
          <w:rFonts w:hint="eastAsia" w:ascii="宋体" w:hAnsi="宋体" w:cs="宋体"/>
          <w:b/>
          <w:color w:val="auto"/>
          <w:sz w:val="44"/>
          <w:szCs w:val="44"/>
          <w:highlight w:val="none"/>
        </w:rPr>
      </w:pPr>
      <w:r>
        <w:rPr>
          <w:rFonts w:hint="eastAsia" w:ascii="宋体" w:hAnsi="宋体" w:cs="宋体"/>
          <w:b/>
          <w:color w:val="auto"/>
          <w:sz w:val="28"/>
          <w:szCs w:val="28"/>
          <w:highlight w:val="none"/>
        </w:rPr>
        <w:br w:type="page"/>
      </w:r>
      <w:bookmarkStart w:id="5" w:name="_Toc8062"/>
      <w:bookmarkStart w:id="6" w:name="_Toc3973"/>
      <w:bookmarkStart w:id="7" w:name="_Toc3846"/>
      <w:bookmarkStart w:id="8" w:name="_Toc18843"/>
      <w:bookmarkStart w:id="9" w:name="_Toc6138"/>
      <w:r>
        <w:rPr>
          <w:rFonts w:hint="eastAsia" w:ascii="宋体" w:hAnsi="宋体" w:cs="宋体"/>
          <w:b/>
          <w:color w:val="auto"/>
          <w:sz w:val="32"/>
          <w:szCs w:val="32"/>
          <w:highlight w:val="none"/>
        </w:rPr>
        <w:t>第二章  供应商须知</w:t>
      </w:r>
      <w:bookmarkEnd w:id="5"/>
      <w:bookmarkEnd w:id="6"/>
      <w:bookmarkEnd w:id="7"/>
      <w:bookmarkEnd w:id="8"/>
      <w:bookmarkEnd w:id="9"/>
    </w:p>
    <w:p>
      <w:pPr>
        <w:pStyle w:val="11"/>
        <w:spacing w:line="360" w:lineRule="auto"/>
        <w:jc w:val="center"/>
        <w:outlineLvl w:val="1"/>
        <w:rPr>
          <w:rFonts w:hint="eastAsia" w:ascii="宋体" w:hAnsi="宋体" w:eastAsia="宋体" w:cs="宋体"/>
          <w:b/>
          <w:color w:val="auto"/>
          <w:kern w:val="2"/>
          <w:sz w:val="28"/>
          <w:szCs w:val="28"/>
          <w:highlight w:val="none"/>
          <w:lang w:val="en-US" w:eastAsia="zh-CN" w:bidi="ar-SA"/>
        </w:rPr>
      </w:pPr>
      <w:bookmarkStart w:id="10" w:name="_Toc13602"/>
      <w:bookmarkStart w:id="11" w:name="_Toc8813"/>
      <w:r>
        <w:rPr>
          <w:rFonts w:hint="eastAsia" w:ascii="宋体" w:hAnsi="宋体" w:eastAsia="宋体" w:cs="宋体"/>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紫金花园小区防水工程项目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名称: 新疆维吾尔自治区省级干部住宅小区管理服务中心</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 新疆维吾尔自治区乌鲁木齐市天山区和平北路12号</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联系人：谷强</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联系方式:0991-2381275</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名称：新疆谱诚项目管理咨询有限公司</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地址：乌鲁木齐市水磨沟区龙腾路1118号中央公园二期9栋503室</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项目联系人：李金航  </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项目联系方式：0991-8828891  13669952946</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新疆维吾尔自治区采购办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项目预算</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最高限价</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采购预算：</w:t>
            </w:r>
            <w:r>
              <w:rPr>
                <w:rFonts w:hint="eastAsia" w:ascii="宋体" w:hAnsi="宋体" w:cs="宋体"/>
                <w:bCs/>
                <w:color w:val="auto"/>
                <w:sz w:val="24"/>
                <w:szCs w:val="24"/>
                <w:highlight w:val="none"/>
                <w:lang w:val="en-US" w:eastAsia="zh-CN"/>
              </w:rPr>
              <w:t>277200.00</w:t>
            </w:r>
            <w:r>
              <w:rPr>
                <w:rFonts w:hint="eastAsia" w:ascii="宋体" w:hAnsi="宋体" w:eastAsia="宋体" w:cs="宋体"/>
                <w:bCs/>
                <w:color w:val="auto"/>
                <w:sz w:val="24"/>
                <w:szCs w:val="24"/>
                <w:highlight w:val="none"/>
                <w:lang w:val="en-US" w:eastAsia="zh-CN"/>
              </w:rPr>
              <w:t>元</w:t>
            </w:r>
          </w:p>
          <w:p>
            <w:pPr>
              <w:spacing w:line="240" w:lineRule="auto"/>
              <w:jc w:val="left"/>
              <w:rPr>
                <w:rFonts w:hint="default" w:ascii="宋体" w:hAnsi="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最高限价</w:t>
            </w:r>
            <w:r>
              <w:rPr>
                <w:rFonts w:hint="eastAsia" w:ascii="宋体" w:hAnsi="宋体" w:eastAsia="宋体" w:cs="宋体"/>
                <w:bCs/>
                <w:color w:val="auto"/>
                <w:sz w:val="24"/>
                <w:szCs w:val="24"/>
                <w:highlight w:val="none"/>
                <w:lang w:val="zh-CN" w:eastAsia="zh-CN"/>
              </w:rPr>
              <w:t>：271775.82</w:t>
            </w:r>
            <w:r>
              <w:rPr>
                <w:rFonts w:hint="eastAsia" w:ascii="宋体" w:hAnsi="宋体" w:eastAsia="宋体" w:cs="宋体"/>
                <w:bCs/>
                <w:color w:val="auto"/>
                <w:sz w:val="24"/>
                <w:szCs w:val="24"/>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1.满足《中华人民共和国政府采购法》第二十二条规定；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2.落实政府采购政策需满足的资格要求：供应商为中小企业/小微企业；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（1）投标人具有需在中华人民共和国境内注册，并具有独立法人资格、有提供相应服务能力的单位（须在人员、设备、资金、技术等方面具备相应的服务能力）。</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（2）具有建筑工程施工总承包叁级及以上资质或建筑装修装饰工程专业承包贰级（含贰级）及以上资质或防水防腐保温工程专业承包二级及以上资质；有效的安全生产许可证；</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（3）项目负责人具有在本单位注册的建筑工程二级及以上注册建造师执业资格及有效的安全生产考核合格证书。</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default"/>
                <w:bCs/>
                <w:color w:val="auto"/>
                <w:highlight w:val="none"/>
                <w:lang w:val="en-US" w:eastAsia="zh-CN"/>
              </w:rPr>
            </w:pP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不接受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接受</w:t>
            </w:r>
          </w:p>
          <w:p>
            <w:pPr>
              <w:adjustRightInd w:val="0"/>
              <w:snapToGrid w:val="0"/>
              <w:spacing w:line="240" w:lineRule="auto"/>
              <w:jc w:val="left"/>
              <w:rPr>
                <w:rFonts w:hint="eastAsia" w:ascii="宋体" w:hAnsi="宋体" w:eastAsia="宋体" w:cs="宋体"/>
                <w:color w:val="auto"/>
                <w:highlight w:val="none"/>
                <w:lang w:val="en-US" w:eastAsia="zh-CN"/>
              </w:rPr>
            </w:pPr>
            <w:r>
              <w:rPr>
                <w:rFonts w:hint="eastAsia" w:ascii="宋体" w:hAnsi="宋体" w:cs="宋体"/>
                <w:bCs/>
                <w:color w:val="auto"/>
                <w:sz w:val="24"/>
                <w:szCs w:val="24"/>
                <w:highlight w:val="none"/>
              </w:rPr>
              <w:t>应满足要求：</w:t>
            </w: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不组织</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组织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position w:val="2"/>
                <w:sz w:val="1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bCs/>
                <w:color w:val="auto"/>
                <w:sz w:val="24"/>
                <w:szCs w:val="24"/>
                <w:highlight w:val="none"/>
              </w:rPr>
              <w:t>不允许</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eastAsia="宋体"/>
                <w:color w:val="auto"/>
                <w:highlight w:val="none"/>
                <w:lang w:eastAsia="zh-CN"/>
              </w:rPr>
            </w:pPr>
            <w:r>
              <w:rPr>
                <w:rFonts w:hint="eastAsia" w:ascii="宋体" w:hAnsi="宋体" w:cs="宋体"/>
                <w:bCs/>
                <w:color w:val="auto"/>
                <w:sz w:val="24"/>
                <w:szCs w:val="24"/>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乌鲁木齐市</w:t>
            </w:r>
            <w:r>
              <w:rPr>
                <w:rFonts w:hint="eastAsia" w:ascii="宋体" w:hAnsi="宋体" w:cs="宋体"/>
                <w:bCs/>
                <w:color w:val="auto"/>
                <w:sz w:val="24"/>
                <w:szCs w:val="24"/>
                <w:highlight w:val="none"/>
                <w:lang w:val="en-US" w:eastAsia="zh-CN"/>
              </w:rPr>
              <w:t>紫金花园小区</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合同履约期限（</w:t>
            </w:r>
            <w:r>
              <w:rPr>
                <w:rFonts w:hint="eastAsia" w:ascii="宋体" w:hAnsi="宋体" w:cs="宋体"/>
                <w:bCs/>
                <w:color w:val="auto"/>
                <w:sz w:val="24"/>
                <w:szCs w:val="24"/>
                <w:highlight w:val="none"/>
                <w:lang w:val="en-US" w:eastAsia="zh-CN"/>
              </w:rPr>
              <w:t>工期</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en-US" w:eastAsia="zh-CN"/>
              </w:rPr>
              <w:t>天</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整体</w:t>
            </w:r>
            <w:r>
              <w:rPr>
                <w:rFonts w:hint="eastAsia" w:ascii="宋体" w:hAnsi="宋体" w:cs="宋体"/>
                <w:bCs/>
                <w:color w:val="auto"/>
                <w:sz w:val="24"/>
                <w:szCs w:val="24"/>
                <w:highlight w:val="none"/>
              </w:rPr>
              <w:t>防水工程5年，</w:t>
            </w:r>
            <w:r>
              <w:rPr>
                <w:rFonts w:hint="eastAsia" w:ascii="宋体" w:hAnsi="宋体" w:cs="宋体"/>
                <w:bCs/>
                <w:color w:val="auto"/>
                <w:sz w:val="24"/>
                <w:szCs w:val="24"/>
                <w:highlight w:val="none"/>
                <w:lang w:val="en-US" w:eastAsia="zh-CN"/>
              </w:rPr>
              <w:t>局部防水2</w:t>
            </w:r>
            <w:bookmarkStart w:id="303" w:name="_GoBack"/>
            <w:bookmarkEnd w:id="303"/>
            <w:r>
              <w:rPr>
                <w:rFonts w:hint="eastAsia" w:ascii="宋体" w:hAnsi="宋体" w:cs="宋体"/>
                <w:bCs/>
                <w:color w:val="auto"/>
                <w:sz w:val="24"/>
                <w:szCs w:val="24"/>
                <w:highlight w:val="none"/>
                <w:lang w:val="en-US" w:eastAsia="zh-CN"/>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投标报价包括采购范围内所有项目包含的全部费用。</w:t>
            </w:r>
          </w:p>
        </w:tc>
      </w:tr>
      <w:tr>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按合同中约定的执行。</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采购单位依法组建磋商小组</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3人</w:t>
            </w:r>
            <w:r>
              <w:rPr>
                <w:rFonts w:hint="eastAsia" w:ascii="宋体" w:hAnsi="宋体" w:eastAsia="宋体" w:cs="宋体"/>
                <w:color w:val="auto"/>
                <w:highlight w:val="none"/>
                <w:lang w:val="en-US" w:eastAsia="zh-CN"/>
              </w:rPr>
              <w:t>以上</w:t>
            </w:r>
            <w:r>
              <w:rPr>
                <w:rFonts w:hint="eastAsia" w:ascii="宋体" w:hAnsi="宋体" w:eastAsia="宋体" w:cs="宋体"/>
                <w:color w:val="auto"/>
                <w:highlight w:val="none"/>
              </w:rPr>
              <w:t>组成。</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小组确定方式：</w:t>
            </w:r>
            <w:r>
              <w:rPr>
                <w:rFonts w:hint="eastAsia" w:ascii="宋体" w:hAnsi="宋体" w:eastAsia="宋体" w:cs="宋体"/>
                <w:bCs/>
                <w:color w:val="auto"/>
                <w:sz w:val="24"/>
                <w:szCs w:val="24"/>
                <w:highlight w:val="none"/>
                <w:lang w:val="en-US" w:eastAsia="zh-CN"/>
              </w:rPr>
              <w:t>新疆政府采购网</w:t>
            </w:r>
            <w:r>
              <w:rPr>
                <w:rFonts w:hint="eastAsia" w:ascii="宋体" w:hAnsi="宋体" w:eastAsia="宋体" w:cs="宋体"/>
                <w:color w:val="auto"/>
                <w:highlight w:val="none"/>
                <w:lang w:val="en-US" w:eastAsia="zh-CN"/>
              </w:rPr>
              <w:t>专家库中随机</w:t>
            </w:r>
            <w:r>
              <w:rPr>
                <w:rFonts w:hint="eastAsia" w:ascii="宋体" w:hAnsi="宋体" w:eastAsia="宋体" w:cs="宋体"/>
                <w:color w:val="auto"/>
                <w:highlight w:val="none"/>
              </w:rPr>
              <w:t>抽取</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rPr>
              <w:t>计算机随机抽取语音通知方式</w:t>
            </w:r>
          </w:p>
          <w:p>
            <w:pPr>
              <w:pStyle w:val="24"/>
              <w:spacing w:before="75" w:after="75" w:line="240" w:lineRule="auto"/>
              <w:ind w:left="0" w:leftChars="0" w:firstLine="0" w:firstLineChars="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其他方式：</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cs="宋体"/>
                <w:bCs/>
                <w:color w:val="auto"/>
                <w:sz w:val="24"/>
                <w:highlight w:val="none"/>
                <w:lang w:bidi="ar"/>
              </w:rPr>
            </w:pPr>
            <w:r>
              <w:rPr>
                <w:rFonts w:hint="eastAsia" w:ascii="宋体" w:hAnsi="宋体" w:cs="宋体"/>
                <w:bCs/>
                <w:color w:val="auto"/>
                <w:sz w:val="24"/>
                <w:highlight w:val="none"/>
                <w:lang w:bidi="ar"/>
              </w:rPr>
              <w:t>一、投标保证金：</w:t>
            </w:r>
            <w:r>
              <w:rPr>
                <w:rFonts w:hint="eastAsia"/>
                <w:bCs/>
                <w:color w:val="auto"/>
                <w:sz w:val="24"/>
                <w:highlight w:val="none"/>
                <w:lang w:val="en-US" w:eastAsia="zh-CN"/>
              </w:rPr>
              <w:t>3000</w:t>
            </w:r>
            <w:r>
              <w:rPr>
                <w:rFonts w:hint="eastAsia"/>
                <w:bCs/>
                <w:color w:val="auto"/>
                <w:sz w:val="24"/>
                <w:highlight w:val="none"/>
              </w:rPr>
              <w:t>元；大写：</w:t>
            </w:r>
            <w:r>
              <w:rPr>
                <w:rFonts w:hint="eastAsia"/>
                <w:bCs/>
                <w:color w:val="auto"/>
                <w:sz w:val="24"/>
                <w:highlight w:val="none"/>
                <w:lang w:val="en-US" w:eastAsia="zh-CN"/>
              </w:rPr>
              <w:t>叁仟</w:t>
            </w:r>
            <w:r>
              <w:rPr>
                <w:rFonts w:hint="eastAsia"/>
                <w:bCs/>
                <w:color w:val="auto"/>
                <w:sz w:val="24"/>
                <w:highlight w:val="none"/>
              </w:rPr>
              <w:t>元整。</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二、投标保证金应当以转账的形式由投标人汇出，并汇入指定帐户；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开户银行及账号如下：</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账户名：</w:t>
            </w:r>
            <w:r>
              <w:rPr>
                <w:rFonts w:hint="eastAsia" w:ascii="宋体" w:hAnsi="宋体" w:cs="宋体"/>
                <w:color w:val="auto"/>
                <w:spacing w:val="-1"/>
                <w:sz w:val="24"/>
                <w:highlight w:val="none"/>
                <w:lang w:val="zh-CN"/>
              </w:rPr>
              <w:t>新疆谱诚项目管理咨询有限公司</w:t>
            </w:r>
          </w:p>
          <w:p>
            <w:pPr>
              <w:adjustRightInd w:val="0"/>
              <w:snapToGrid w:val="0"/>
              <w:spacing w:line="360" w:lineRule="auto"/>
              <w:rPr>
                <w:rFonts w:hint="eastAsia" w:ascii="宋体" w:hAnsi="宋体" w:cs="宋体"/>
                <w:color w:val="auto"/>
                <w:spacing w:val="-1"/>
                <w:sz w:val="24"/>
                <w:highlight w:val="none"/>
              </w:rPr>
            </w:pPr>
            <w:r>
              <w:rPr>
                <w:rFonts w:hint="eastAsia" w:ascii="宋体" w:hAnsi="宋体" w:cs="宋体"/>
                <w:bCs/>
                <w:color w:val="auto"/>
                <w:sz w:val="24"/>
                <w:highlight w:val="none"/>
                <w:lang w:bidi="ar"/>
              </w:rPr>
              <w:t>开户行：</w:t>
            </w:r>
            <w:r>
              <w:rPr>
                <w:rFonts w:hint="eastAsia" w:ascii="宋体" w:hAnsi="宋体" w:cs="宋体"/>
                <w:color w:val="auto"/>
                <w:spacing w:val="-1"/>
                <w:sz w:val="24"/>
                <w:highlight w:val="none"/>
              </w:rPr>
              <w:t>乌鲁木齐银行营业部</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bCs/>
                <w:color w:val="auto"/>
                <w:sz w:val="24"/>
                <w:highlight w:val="none"/>
                <w:lang w:bidi="ar"/>
              </w:rPr>
              <w:t>账  号：</w:t>
            </w:r>
            <w:r>
              <w:rPr>
                <w:rFonts w:hint="eastAsia" w:ascii="宋体" w:hAnsi="宋体" w:cs="宋体"/>
                <w:color w:val="auto"/>
                <w:spacing w:val="-1"/>
                <w:sz w:val="24"/>
                <w:highlight w:val="none"/>
                <w:lang w:val="zh-CN"/>
              </w:rPr>
              <w:t>0000020080110046604455</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行号：313881000019 </w:t>
            </w:r>
          </w:p>
          <w:p>
            <w:pPr>
              <w:adjustRightInd w:val="0"/>
              <w:snapToGrid w:val="0"/>
              <w:spacing w:line="360" w:lineRule="auto"/>
              <w:rPr>
                <w:rFonts w:ascii="宋体" w:hAnsi="宋体" w:cs="宋体"/>
                <w:bCs/>
                <w:color w:val="auto"/>
                <w:sz w:val="24"/>
                <w:highlight w:val="none"/>
                <w:lang w:bidi="ar"/>
              </w:rPr>
            </w:pPr>
            <w:r>
              <w:rPr>
                <w:rFonts w:hint="eastAsia" w:ascii="宋体" w:hAnsi="宋体" w:cs="宋体"/>
                <w:bCs/>
                <w:color w:val="auto"/>
                <w:sz w:val="24"/>
                <w:highlight w:val="none"/>
                <w:lang w:bidi="ar"/>
              </w:rPr>
              <w:t>备注：项目简称或项目编号</w:t>
            </w:r>
          </w:p>
          <w:p>
            <w:pPr>
              <w:adjustRightInd w:val="0"/>
              <w:snapToGrid w:val="0"/>
              <w:spacing w:line="360" w:lineRule="auto"/>
              <w:rPr>
                <w:rFonts w:hint="eastAsia" w:ascii="宋体" w:hAnsi="宋体" w:cs="宋体"/>
                <w:bCs/>
                <w:color w:val="auto"/>
                <w:sz w:val="24"/>
                <w:highlight w:val="none"/>
                <w:u w:val="single"/>
              </w:rPr>
            </w:pPr>
            <w:r>
              <w:rPr>
                <w:rFonts w:hint="eastAsia" w:ascii="宋体" w:hAnsi="宋体" w:cs="宋体"/>
                <w:bCs/>
                <w:color w:val="auto"/>
                <w:sz w:val="24"/>
                <w:highlight w:val="none"/>
                <w:lang w:bidi="ar"/>
              </w:rPr>
              <w:t>到账截止时间：</w:t>
            </w:r>
            <w:r>
              <w:rPr>
                <w:rFonts w:hint="eastAsia" w:ascii="宋体" w:hAnsi="宋体" w:cs="宋体"/>
                <w:b/>
                <w:bCs w:val="0"/>
                <w:color w:val="auto"/>
                <w:kern w:val="1"/>
                <w:sz w:val="24"/>
                <w:szCs w:val="22"/>
                <w:highlight w:val="none"/>
                <w:lang w:val="en-US" w:eastAsia="zh-CN"/>
              </w:rPr>
              <w:t>投标截止时间前</w:t>
            </w:r>
            <w:r>
              <w:rPr>
                <w:rFonts w:hint="eastAsia" w:ascii="宋体" w:hAnsi="宋体" w:cs="宋体"/>
                <w:b/>
                <w:bCs w:val="0"/>
                <w:color w:val="auto"/>
                <w:kern w:val="1"/>
                <w:sz w:val="24"/>
                <w:szCs w:val="22"/>
                <w:highlight w:val="none"/>
              </w:rPr>
              <w:t>(北京时间)</w:t>
            </w:r>
            <w:r>
              <w:rPr>
                <w:rFonts w:hint="eastAsia" w:ascii="宋体" w:hAnsi="宋体" w:cs="宋体"/>
                <w:b w:val="0"/>
                <w:bCs/>
                <w:color w:val="auto"/>
                <w:sz w:val="24"/>
                <w:highlight w:val="none"/>
                <w:lang w:bidi="ar"/>
              </w:rPr>
              <w:t>（汇款时务必注明项目名称</w:t>
            </w:r>
            <w:r>
              <w:rPr>
                <w:rFonts w:hint="eastAsia" w:ascii="宋体" w:hAnsi="宋体" w:cs="宋体"/>
                <w:bCs/>
                <w:color w:val="auto"/>
                <w:sz w:val="24"/>
                <w:highlight w:val="none"/>
                <w:lang w:bidi="ar"/>
              </w:rPr>
              <w:t>，保证金在开标前打入指定账户。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三、投标保证金还可以采用支票、汇票、本票或保函等形式递交。递交联系人：李金航；联系电话：0991-8828891。投标人应充分考虑票据转存时间、到账时间，否决后果自负。保函应由金融机构或担保机构出具。</w:t>
            </w:r>
            <w:r>
              <w:rPr>
                <w:rFonts w:hint="eastAsia" w:ascii="宋体" w:hAnsi="宋体" w:cs="宋体"/>
                <w:b/>
                <w:color w:val="auto"/>
                <w:sz w:val="24"/>
                <w:highlight w:val="none"/>
              </w:rPr>
              <w:t>如采用保函递交，保函原件需在截止时间前递交至招标代理公司，由采购代理公司联系人签收，未递交原件按否决投标处理。</w:t>
            </w:r>
          </w:p>
          <w:p>
            <w:pPr>
              <w:pStyle w:val="24"/>
              <w:spacing w:before="75" w:after="75" w:line="240" w:lineRule="auto"/>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b/>
                <w:color w:val="auto"/>
                <w:sz w:val="24"/>
                <w:szCs w:val="24"/>
                <w:highlight w:val="none"/>
              </w:rPr>
              <w:t>四、投标文件中须附投标保证金交纳凭证扫描件或保函扫描件，否则视为未按要求提交投标保证金。</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线上获取采购文件</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√不允许</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企业公章、法人章</w:t>
            </w:r>
            <w:r>
              <w:rPr>
                <w:rFonts w:hint="eastAsia" w:ascii="宋体" w:hAnsi="宋体" w:cs="宋体"/>
                <w:bCs/>
                <w:color w:val="auto"/>
                <w:sz w:val="24"/>
                <w:szCs w:val="24"/>
                <w:highlight w:val="none"/>
                <w:lang w:val="en-US" w:eastAsia="zh-CN"/>
              </w:rPr>
              <w:t>及</w:t>
            </w:r>
            <w:r>
              <w:rPr>
                <w:rFonts w:hint="eastAsia" w:ascii="宋体" w:hAnsi="宋体" w:cs="宋体"/>
                <w:bCs/>
                <w:color w:val="auto"/>
                <w:sz w:val="24"/>
                <w:szCs w:val="24"/>
                <w:highlight w:val="none"/>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i w:val="0"/>
                <w:caps w:val="0"/>
                <w:color w:val="auto"/>
                <w:spacing w:val="0"/>
                <w:w w:val="100"/>
                <w:sz w:val="24"/>
                <w:szCs w:val="24"/>
                <w:highlight w:val="none"/>
                <w:lang w:eastAsia="zh-CN"/>
              </w:rPr>
              <w:t>投标文件</w:t>
            </w:r>
            <w:r>
              <w:rPr>
                <w:rFonts w:hint="eastAsia" w:ascii="宋体" w:hAnsi="宋体" w:eastAsia="宋体" w:cs="宋体"/>
                <w:b w:val="0"/>
                <w:i w:val="0"/>
                <w:caps w:val="0"/>
                <w:color w:val="auto"/>
                <w:spacing w:val="0"/>
                <w:w w:val="100"/>
                <w:sz w:val="24"/>
                <w:szCs w:val="24"/>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采用不见面开标：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1．本项目采用不见面开标、投标人需要递交电子投标文件，加密的电子投标文件（文件格式为.jmbs），在投标截止时间前通过政采云平台上传到指定位置。无需递交纸质文件。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解密时长：30分钟。</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 参与“不见面”开标的招标人或其委托代理机构、投标人等各交易主体，应当按照规定使用CA数字证书及电子签章。各方主体在系统中所有操作均具有法律效力，并承担法律责任。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4.投标人（供应商）由于数字证书遗失、损坏、更换、续期等情况导致投标文件无法解密，由投标人（供应商）自行承担责任。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各投标人（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开标、评标过程中，投标人（供应商）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综合评分法（本项目采用竞争性磋商方式招标）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en-US" w:eastAsia="zh-CN"/>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default" w:ascii="Arial" w:hAnsi="Arial" w:cs="Arial"/>
                <w:color w:val="auto"/>
                <w:highlight w:val="none"/>
              </w:rPr>
              <w:sym w:font="Wingdings" w:char="00FE"/>
            </w:r>
            <w:r>
              <w:rPr>
                <w:rFonts w:hint="eastAsia"/>
                <w:color w:val="auto"/>
                <w:highlight w:val="none"/>
              </w:rPr>
              <w:t>否</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交纳时间：</w:t>
            </w:r>
            <w:bookmarkStart w:id="12" w:name="EB80018a400e2944cca35737b83cee6afa"/>
            <w:bookmarkEnd w:id="12"/>
            <w:r>
              <w:rPr>
                <w:rFonts w:hint="eastAsia" w:ascii="宋体" w:hAnsi="宋体" w:eastAsia="宋体" w:cs="宋体"/>
                <w:bCs/>
                <w:color w:val="auto"/>
                <w:kern w:val="2"/>
                <w:sz w:val="24"/>
                <w:szCs w:val="24"/>
                <w:highlight w:val="none"/>
                <w:lang w:val="en-US" w:eastAsia="zh-CN" w:bidi="ar-SA"/>
              </w:rPr>
              <w:t>在《中标通知书》核发前，向采购代理机构支付采购代理服务费</w:t>
            </w:r>
          </w:p>
          <w:p>
            <w:pPr>
              <w:adjustRightInd w:val="0"/>
              <w:snapToGrid w:val="0"/>
              <w:spacing w:line="240" w:lineRule="auto"/>
              <w:jc w:val="left"/>
              <w:rPr>
                <w:rFonts w:hint="eastAsia" w:ascii="宋体" w:hAnsi="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交纳金额：</w:t>
            </w:r>
            <w:bookmarkStart w:id="13" w:name="EB08acd175b39d48b299ea518ca053ce1b"/>
            <w:bookmarkEnd w:id="13"/>
            <w:r>
              <w:rPr>
                <w:rFonts w:hint="eastAsia" w:ascii="宋体" w:hAnsi="宋体" w:cs="宋体"/>
                <w:bCs/>
                <w:color w:val="auto"/>
                <w:kern w:val="2"/>
                <w:sz w:val="24"/>
                <w:szCs w:val="24"/>
                <w:highlight w:val="none"/>
                <w:lang w:val="en-US" w:eastAsia="zh-CN" w:bidi="ar-SA"/>
              </w:rPr>
              <w:t>固定取费3000元。</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收款单位：</w:t>
            </w:r>
            <w:bookmarkStart w:id="14" w:name="EB874e4b65a4d942b5992c5c911d409bea"/>
            <w:bookmarkEnd w:id="14"/>
            <w:r>
              <w:rPr>
                <w:rFonts w:hint="eastAsia" w:ascii="宋体" w:hAnsi="宋体" w:eastAsia="宋体" w:cs="宋体"/>
                <w:bCs/>
                <w:color w:val="auto"/>
                <w:kern w:val="2"/>
                <w:sz w:val="24"/>
                <w:szCs w:val="24"/>
                <w:highlight w:val="none"/>
                <w:lang w:val="en-US" w:eastAsia="zh-CN" w:bidi="ar-SA"/>
              </w:rPr>
              <w:t xml:space="preserve">新疆谱诚项目管理咨询有限公司 </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开户银行：</w:t>
            </w:r>
            <w:bookmarkStart w:id="15" w:name="EB2f8920637a254a8486c629fbd96d5257"/>
            <w:bookmarkEnd w:id="15"/>
            <w:r>
              <w:rPr>
                <w:rFonts w:hint="eastAsia" w:ascii="宋体" w:hAnsi="宋体" w:eastAsia="宋体" w:cs="宋体"/>
                <w:bCs/>
                <w:color w:val="auto"/>
                <w:kern w:val="2"/>
                <w:sz w:val="24"/>
                <w:szCs w:val="24"/>
                <w:highlight w:val="none"/>
                <w:lang w:val="en-US" w:eastAsia="zh-CN" w:bidi="ar-SA"/>
              </w:rPr>
              <w:t>乌鲁木齐银行营业部</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账号：0000020080110046604455</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行号：313881000019 </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default" w:ascii="宋体" w:hAnsi="宋体" w:eastAsia="宋体" w:cs="宋体"/>
                <w:bCs/>
                <w:color w:val="auto"/>
                <w:sz w:val="24"/>
                <w:highlight w:val="none"/>
                <w:lang w:val="en-US" w:eastAsia="zh-CN"/>
              </w:rPr>
            </w:pPr>
            <w:r>
              <w:rPr>
                <w:rFonts w:hint="eastAsia" w:ascii="宋体" w:hAnsi="宋体" w:cs="宋体"/>
                <w:color w:val="auto"/>
                <w:sz w:val="24"/>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中小微型等企业</w:t>
            </w:r>
          </w:p>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szCs w:val="24"/>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15"/>
              <w:spacing w:line="240" w:lineRule="auto"/>
              <w:rPr>
                <w:rFonts w:hint="eastAsia" w:cs="宋体"/>
                <w:bCs/>
                <w:color w:val="auto"/>
                <w:sz w:val="24"/>
                <w:szCs w:val="24"/>
                <w:highlight w:val="none"/>
              </w:rPr>
            </w:pPr>
            <w:r>
              <w:rPr>
                <w:rFonts w:hint="eastAsia" w:cs="宋体"/>
                <w:bCs/>
                <w:color w:val="auto"/>
                <w:sz w:val="24"/>
                <w:szCs w:val="24"/>
                <w:highlight w:val="none"/>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在法定质疑期内供应商针对同一采购程序环节的质疑应当一次性提出。</w:t>
            </w:r>
          </w:p>
        </w:tc>
      </w:tr>
      <w:tr>
        <w:tblPrEx>
          <w:tblCellMar>
            <w:top w:w="0" w:type="dxa"/>
            <w:left w:w="108" w:type="dxa"/>
            <w:bottom w:w="0" w:type="dxa"/>
            <w:right w:w="108" w:type="dxa"/>
          </w:tblCellMar>
        </w:tblPrEx>
        <w:trPr>
          <w:trHeight w:val="192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rPr>
                <w:rFonts w:ascii="宋体" w:hAnsi="Arial"/>
                <w:b/>
                <w:color w:val="auto"/>
                <w:sz w:val="24"/>
                <w:szCs w:val="21"/>
                <w:highlight w:val="none"/>
              </w:rPr>
            </w:pPr>
            <w:r>
              <w:rPr>
                <w:rFonts w:hint="eastAsia" w:ascii="宋体" w:hAnsi="Arial"/>
                <w:b/>
                <w:color w:val="auto"/>
                <w:sz w:val="24"/>
                <w:szCs w:val="21"/>
                <w:highlight w:val="none"/>
              </w:rPr>
              <w:t>1、签字盖章要求：</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(1)供应商资格证明材料、法定代表人身份证明或授权书应加盖公章；</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(2)其他证明供应商资格的文件或证明材料应为加盖单位公章，样式可参照</w:t>
            </w:r>
            <w:r>
              <w:rPr>
                <w:rFonts w:ascii="宋体" w:hAnsi="Arial"/>
                <w:b/>
                <w:color w:val="auto"/>
                <w:sz w:val="24"/>
                <w:szCs w:val="21"/>
                <w:highlight w:val="none"/>
              </w:rPr>
              <w:t>“</w:t>
            </w:r>
            <w:r>
              <w:rPr>
                <w:rFonts w:hint="eastAsia" w:ascii="宋体" w:hAnsi="Arial"/>
                <w:b/>
                <w:color w:val="auto"/>
                <w:sz w:val="24"/>
                <w:szCs w:val="21"/>
                <w:highlight w:val="none"/>
              </w:rPr>
              <w:t>投标文件格式</w:t>
            </w:r>
            <w:r>
              <w:rPr>
                <w:rFonts w:ascii="宋体" w:hAnsi="Arial"/>
                <w:b/>
                <w:color w:val="auto"/>
                <w:sz w:val="24"/>
                <w:szCs w:val="21"/>
                <w:highlight w:val="none"/>
              </w:rPr>
              <w:t>”</w:t>
            </w:r>
            <w:r>
              <w:rPr>
                <w:rFonts w:hint="eastAsia" w:ascii="宋体" w:hAnsi="Arial"/>
                <w:b/>
                <w:color w:val="auto"/>
                <w:sz w:val="24"/>
                <w:szCs w:val="21"/>
                <w:highlight w:val="none"/>
              </w:rPr>
              <w:t>编制；</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(3)本文件中明确要求盖章或签字的，须盖章或签字。</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2、投标人提供的投标文件应当使用磋商文件所提供投标文件格式（表格可按照同样格式扩展）。未提供格式的，需要时由投标人用文字或者表格、图片等其它形式提供。</w:t>
            </w:r>
          </w:p>
          <w:p>
            <w:pPr>
              <w:pStyle w:val="10"/>
              <w:rPr>
                <w:rFonts w:hint="eastAsia" w:ascii="宋体" w:hAnsi="宋体" w:cs="宋体"/>
                <w:bCs/>
                <w:color w:val="auto"/>
                <w:sz w:val="24"/>
                <w:szCs w:val="24"/>
                <w:highlight w:val="none"/>
              </w:rPr>
            </w:pPr>
            <w:r>
              <w:rPr>
                <w:rFonts w:hint="eastAsia" w:ascii="宋体"/>
                <w:b/>
                <w:color w:val="auto"/>
                <w:highlight w:val="none"/>
              </w:rPr>
              <w:t>3、</w:t>
            </w:r>
            <w:r>
              <w:rPr>
                <w:rFonts w:hint="eastAsia" w:ascii="宋体" w:hAnsi="宋体" w:cs="宋体"/>
                <w:b/>
                <w:bCs/>
                <w:color w:val="auto"/>
                <w:sz w:val="24"/>
                <w:szCs w:val="24"/>
                <w:highlight w:val="none"/>
                <w:lang w:val="zh-CN" w:bidi="ar"/>
              </w:rPr>
              <w:t>在结果公示结束后</w:t>
            </w:r>
            <w:r>
              <w:rPr>
                <w:rFonts w:hint="eastAsia" w:ascii="宋体"/>
                <w:b/>
                <w:color w:val="auto"/>
                <w:highlight w:val="none"/>
              </w:rPr>
              <w:t>，成交供应商需向代理机构提供本项目一正</w:t>
            </w:r>
            <w:r>
              <w:rPr>
                <w:rFonts w:hint="eastAsia" w:ascii="宋体"/>
                <w:b/>
                <w:color w:val="auto"/>
                <w:highlight w:val="none"/>
                <w:lang w:val="en-US" w:eastAsia="zh-CN"/>
              </w:rPr>
              <w:t>一</w:t>
            </w:r>
            <w:r>
              <w:rPr>
                <w:rFonts w:hint="eastAsia" w:ascii="宋体"/>
                <w:b/>
                <w:color w:val="auto"/>
                <w:highlight w:val="none"/>
              </w:rPr>
              <w:t>副</w:t>
            </w:r>
            <w:r>
              <w:rPr>
                <w:rFonts w:hint="eastAsia" w:ascii="宋体" w:hAnsi="宋体" w:cs="宋体"/>
                <w:b/>
                <w:bCs/>
                <w:color w:val="auto"/>
                <w:sz w:val="24"/>
                <w:szCs w:val="24"/>
                <w:highlight w:val="none"/>
                <w:lang w:val="zh-CN" w:bidi="ar"/>
              </w:rPr>
              <w:t>纸质响应文件，纸质响应文件</w:t>
            </w:r>
            <w:r>
              <w:rPr>
                <w:rFonts w:hint="eastAsia" w:ascii="宋体" w:hAnsi="宋体" w:cs="宋体"/>
                <w:b/>
                <w:bCs/>
                <w:color w:val="auto"/>
                <w:sz w:val="24"/>
                <w:szCs w:val="24"/>
                <w:highlight w:val="none"/>
                <w:lang w:bidi="ar"/>
              </w:rPr>
              <w:t>须</w:t>
            </w:r>
            <w:r>
              <w:rPr>
                <w:rFonts w:hint="eastAsia" w:ascii="宋体" w:hAnsi="宋体" w:cs="宋体"/>
                <w:b/>
                <w:bCs/>
                <w:color w:val="auto"/>
                <w:sz w:val="24"/>
                <w:szCs w:val="24"/>
                <w:highlight w:val="none"/>
                <w:lang w:val="zh-CN" w:bidi="ar"/>
              </w:rPr>
              <w:t>与网上提交的电子</w:t>
            </w:r>
            <w:r>
              <w:rPr>
                <w:rFonts w:hint="eastAsia" w:ascii="宋体" w:hAnsi="宋体" w:cs="宋体"/>
                <w:b/>
                <w:bCs/>
                <w:color w:val="auto"/>
                <w:sz w:val="24"/>
                <w:szCs w:val="24"/>
                <w:highlight w:val="none"/>
                <w:lang w:bidi="ar"/>
              </w:rPr>
              <w:t>投标</w:t>
            </w:r>
            <w:r>
              <w:rPr>
                <w:rFonts w:hint="eastAsia" w:ascii="宋体" w:hAnsi="宋体" w:cs="宋体"/>
                <w:b/>
                <w:bCs/>
                <w:color w:val="auto"/>
                <w:sz w:val="24"/>
                <w:szCs w:val="24"/>
                <w:highlight w:val="none"/>
                <w:lang w:val="zh-CN" w:bidi="ar"/>
              </w:rPr>
              <w:t>文件一致。</w:t>
            </w:r>
          </w:p>
        </w:tc>
      </w:tr>
    </w:tbl>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47"/>
        <w:jc w:val="center"/>
        <w:outlineLvl w:val="1"/>
        <w:rPr>
          <w:rFonts w:hint="eastAsia" w:ascii="宋体" w:hAnsi="宋体" w:eastAsia="宋体" w:cs="宋体"/>
          <w:b/>
          <w:bCs/>
          <w:color w:val="auto"/>
          <w:szCs w:val="22"/>
          <w:highlight w:val="none"/>
        </w:rPr>
      </w:pPr>
      <w:bookmarkStart w:id="16" w:name="_Toc256000014"/>
      <w:bookmarkStart w:id="17" w:name="_Toc256000005"/>
      <w:bookmarkStart w:id="18" w:name="_Toc5724"/>
      <w:bookmarkStart w:id="19" w:name="_Toc937"/>
      <w:bookmarkStart w:id="20" w:name="_Toc25893"/>
      <w:r>
        <w:rPr>
          <w:rFonts w:hint="eastAsia" w:ascii="宋体" w:hAnsi="宋体" w:eastAsia="宋体" w:cs="宋体"/>
          <w:b/>
          <w:bCs/>
          <w:color w:val="auto"/>
          <w:szCs w:val="22"/>
          <w:highlight w:val="none"/>
        </w:rPr>
        <w:t>一、说明</w:t>
      </w:r>
      <w:bookmarkEnd w:id="16"/>
      <w:bookmarkEnd w:id="17"/>
      <w:bookmarkEnd w:id="18"/>
      <w:bookmarkEnd w:id="19"/>
      <w:bookmarkEnd w:id="20"/>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适用范围</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1.1本磋商文件仅适用于本磋商邀请中所叙述的采购项目。</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项目概况</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磋商须知前附表1</w:t>
      </w:r>
      <w:r>
        <w:rPr>
          <w:rFonts w:hint="eastAsia" w:ascii="宋体" w:hAnsi="宋体" w:eastAsia="宋体" w:cs="宋体"/>
          <w:color w:val="auto"/>
          <w:sz w:val="24"/>
          <w:szCs w:val="24"/>
          <w:highlight w:val="none"/>
        </w:rPr>
        <w:t>。</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合格的供应商</w:t>
      </w:r>
    </w:p>
    <w:p>
      <w:pPr>
        <w:pStyle w:val="49"/>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1.3.1 供应商的资格要求见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1.3.2凡为本采购项目提供整体设计、规范编制或者项目管理、监理、检测等服务的供应商，不得参加报价。</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1.3.3一个供应商只能提交一个响应文件。但如果不同供应商之间的单位负责人为同一人或者存在直接控股、管理关系的，均作无效报价处理。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1.3.4供应商存在下列情形之一的，将被认定为串通报价行为并作无效报价处理：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（1）不同供应商的响应文件错、漏之处一致或雷同，且不能合理解释的；</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（3）有关法律、法规或规章规定的其他串通报价行为。</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1.4 参与磋商的费用 </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无论磋商的结果如何，供应商应自行承担所有与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zh-CN"/>
        </w:rPr>
        <w:t>采购活动</w:t>
      </w:r>
      <w:r>
        <w:rPr>
          <w:rFonts w:hint="eastAsia" w:ascii="宋体" w:hAnsi="宋体" w:eastAsia="宋体" w:cs="宋体"/>
          <w:color w:val="auto"/>
          <w:sz w:val="24"/>
          <w:szCs w:val="24"/>
          <w:highlight w:val="none"/>
        </w:rPr>
        <w:t>有关的全部费用。</w:t>
      </w:r>
    </w:p>
    <w:p>
      <w:pPr>
        <w:pStyle w:val="47"/>
        <w:jc w:val="center"/>
        <w:outlineLvl w:val="1"/>
        <w:rPr>
          <w:rFonts w:hint="eastAsia" w:ascii="宋体" w:hAnsi="宋体" w:eastAsia="宋体" w:cs="宋体"/>
          <w:b/>
          <w:bCs/>
          <w:color w:val="auto"/>
          <w:szCs w:val="22"/>
          <w:highlight w:val="none"/>
        </w:rPr>
      </w:pPr>
      <w:bookmarkStart w:id="21" w:name="_Toc256000006"/>
      <w:bookmarkStart w:id="22" w:name="_Toc31239"/>
      <w:bookmarkStart w:id="23" w:name="_Toc20876"/>
      <w:bookmarkStart w:id="24" w:name="_Toc256000015"/>
      <w:bookmarkStart w:id="25" w:name="_Toc23764"/>
      <w:r>
        <w:rPr>
          <w:rFonts w:hint="eastAsia" w:ascii="宋体" w:hAnsi="宋体" w:eastAsia="宋体" w:cs="宋体"/>
          <w:b/>
          <w:bCs/>
          <w:color w:val="auto"/>
          <w:szCs w:val="22"/>
          <w:highlight w:val="none"/>
        </w:rPr>
        <w:t>二、磋商文件</w:t>
      </w:r>
      <w:bookmarkEnd w:id="21"/>
      <w:bookmarkEnd w:id="22"/>
      <w:bookmarkEnd w:id="23"/>
      <w:bookmarkEnd w:id="24"/>
      <w:bookmarkEnd w:id="2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  磋商文件的组成</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（1）磋商邀请</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（2）磋商须知</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（3）政府采购合同格式</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（4）工程量清单及技术标准</w:t>
      </w:r>
    </w:p>
    <w:p>
      <w:pPr>
        <w:pStyle w:val="52"/>
        <w:adjustRightInd w:val="0"/>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（5）</w:t>
      </w:r>
      <w:r>
        <w:rPr>
          <w:rFonts w:hint="eastAsia" w:hAnsi="宋体" w:cs="宋体"/>
          <w:bCs/>
          <w:color w:val="auto"/>
          <w:sz w:val="24"/>
          <w:szCs w:val="24"/>
          <w:highlight w:val="none"/>
        </w:rPr>
        <w:t>图纸</w:t>
      </w:r>
    </w:p>
    <w:p>
      <w:pPr>
        <w:pStyle w:val="49"/>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（6）响应文件格式</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（7）磋商方发出的所有修改、澄清通知。</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2.2 磋商文件的澄清</w:t>
      </w:r>
      <w:r>
        <w:rPr>
          <w:rFonts w:hint="eastAsia" w:ascii="宋体" w:hAnsi="宋体" w:cs="宋体"/>
          <w:b/>
          <w:color w:val="auto"/>
          <w:kern w:val="0"/>
          <w:sz w:val="24"/>
          <w:highlight w:val="none"/>
          <w:lang w:val="zh-CN"/>
        </w:rPr>
        <w:t>或者</w:t>
      </w:r>
      <w:r>
        <w:rPr>
          <w:rFonts w:hint="eastAsia" w:ascii="宋体" w:hAnsi="宋体" w:cs="宋体"/>
          <w:b/>
          <w:bCs/>
          <w:color w:val="auto"/>
          <w:sz w:val="24"/>
          <w:highlight w:val="none"/>
        </w:rPr>
        <w:t>修改</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lang w:val="zh-CN"/>
        </w:rPr>
        <w:t>供应商在收到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文件后，若有疑问需要澄清，应于收到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highlight w:val="none"/>
        </w:rPr>
        <w:t>磋商采购活动</w:t>
      </w:r>
      <w:r>
        <w:rPr>
          <w:rFonts w:hint="eastAsia" w:ascii="宋体" w:hAnsi="宋体" w:cs="宋体"/>
          <w:color w:val="auto"/>
          <w:sz w:val="24"/>
          <w:highlight w:val="none"/>
          <w:lang w:val="zh-CN"/>
        </w:rPr>
        <w:t>的供应商。</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7"/>
        <w:jc w:val="center"/>
        <w:outlineLvl w:val="1"/>
        <w:rPr>
          <w:rFonts w:hint="eastAsia" w:ascii="宋体" w:hAnsi="宋体" w:eastAsia="宋体" w:cs="宋体"/>
          <w:b/>
          <w:bCs/>
          <w:color w:val="auto"/>
          <w:szCs w:val="22"/>
          <w:highlight w:val="none"/>
        </w:rPr>
      </w:pPr>
      <w:bookmarkStart w:id="26" w:name="_Toc17421"/>
      <w:bookmarkStart w:id="27" w:name="_Toc256000007"/>
      <w:bookmarkStart w:id="28" w:name="_Toc29250"/>
      <w:bookmarkStart w:id="29" w:name="_Toc256000016"/>
      <w:bookmarkStart w:id="30" w:name="_Toc5778"/>
      <w:r>
        <w:rPr>
          <w:rFonts w:hint="eastAsia" w:ascii="宋体" w:hAnsi="宋体" w:eastAsia="宋体" w:cs="宋体"/>
          <w:b/>
          <w:bCs/>
          <w:color w:val="auto"/>
          <w:szCs w:val="22"/>
          <w:highlight w:val="none"/>
        </w:rPr>
        <w:t>三、响应文件</w:t>
      </w:r>
      <w:bookmarkEnd w:id="26"/>
      <w:bookmarkEnd w:id="27"/>
      <w:bookmarkEnd w:id="28"/>
      <w:bookmarkEnd w:id="29"/>
      <w:bookmarkEnd w:id="30"/>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 一般要求</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3.1.1 供应商应按本文件第七章“响应文件格式”的要求编制响应文件。</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3.1.2计量单位应使用我国法定计量单位。</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3.2 </w:t>
      </w:r>
      <w:r>
        <w:rPr>
          <w:rFonts w:hint="eastAsia" w:ascii="宋体" w:hAnsi="宋体" w:cs="宋体"/>
          <w:b/>
          <w:color w:val="auto"/>
          <w:sz w:val="24"/>
          <w:highlight w:val="none"/>
        </w:rPr>
        <w:t>响应文件</w:t>
      </w:r>
      <w:r>
        <w:rPr>
          <w:rFonts w:hint="eastAsia" w:ascii="宋体" w:hAnsi="宋体" w:cs="宋体"/>
          <w:b/>
          <w:bCs/>
          <w:color w:val="auto"/>
          <w:sz w:val="24"/>
          <w:highlight w:val="none"/>
        </w:rPr>
        <w:t>的组成</w:t>
      </w:r>
    </w:p>
    <w:p>
      <w:pPr>
        <w:pStyle w:val="49"/>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（1）磋商申请及附录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（2）已标价的工程量清单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（3）资格证明文件</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w:t>
      </w:r>
      <w:r>
        <w:rPr>
          <w:rFonts w:hint="eastAsia" w:ascii="宋体" w:hAnsi="宋体" w:cs="宋体"/>
          <w:color w:val="auto"/>
          <w:sz w:val="24"/>
          <w:highlight w:val="none"/>
          <w:lang w:val="zh-CN"/>
        </w:rPr>
        <w:t>4）施工组织设计</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（5）</w:t>
      </w:r>
      <w:r>
        <w:rPr>
          <w:rFonts w:hint="eastAsia" w:ascii="宋体" w:hAnsi="宋体" w:cs="宋体"/>
          <w:color w:val="auto"/>
          <w:sz w:val="24"/>
          <w:highlight w:val="none"/>
        </w:rPr>
        <w:t>项目管理机构</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 报价要求</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zh-CN"/>
        </w:rPr>
        <w:t>供应商应根据所提供的工程项目清单的要求编制单价、合价和总价</w:t>
      </w:r>
      <w:r>
        <w:rPr>
          <w:rFonts w:hint="eastAsia" w:ascii="宋体" w:hAnsi="宋体" w:cs="宋体"/>
          <w:color w:val="auto"/>
          <w:sz w:val="24"/>
          <w:highlight w:val="none"/>
        </w:rPr>
        <w:t>，且只允许有一个报价</w:t>
      </w:r>
      <w:r>
        <w:rPr>
          <w:rFonts w:hint="eastAsia" w:ascii="宋体" w:hAnsi="宋体" w:cs="宋体"/>
          <w:color w:val="auto"/>
          <w:sz w:val="24"/>
          <w:highlight w:val="none"/>
          <w:lang w:val="zh-CN"/>
        </w:rPr>
        <w:t>。</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3.3.4采购项目预算</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的报价不得超过</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。否则，按无效报价处理。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 证明供应商资格的文件</w:t>
      </w:r>
    </w:p>
    <w:p>
      <w:pPr>
        <w:pStyle w:val="52"/>
        <w:adjustRightInd w:val="0"/>
        <w:snapToGrid w:val="0"/>
        <w:spacing w:line="360" w:lineRule="auto"/>
        <w:ind w:firstLine="480" w:firstLineChars="200"/>
        <w:rPr>
          <w:rFonts w:hint="eastAsia" w:hAnsi="宋体" w:cs="宋体"/>
          <w:color w:val="auto"/>
          <w:kern w:val="0"/>
          <w:sz w:val="24"/>
          <w:szCs w:val="24"/>
          <w:highlight w:val="none"/>
          <w:lang w:val="zh-CN"/>
        </w:rPr>
      </w:pP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应提交满足本章第1.3</w:t>
      </w:r>
      <w:r>
        <w:rPr>
          <w:rFonts w:hint="eastAsia" w:hAnsi="宋体" w:cs="宋体"/>
          <w:color w:val="auto"/>
          <w:kern w:val="0"/>
          <w:sz w:val="24"/>
          <w:szCs w:val="24"/>
          <w:highlight w:val="none"/>
          <w:lang w:val="zh-CN"/>
        </w:rPr>
        <w:t>款</w:t>
      </w:r>
      <w:r>
        <w:rPr>
          <w:rFonts w:hint="eastAsia" w:hAnsi="宋体" w:cs="宋体"/>
          <w:color w:val="auto"/>
          <w:sz w:val="24"/>
          <w:szCs w:val="24"/>
          <w:highlight w:val="none"/>
        </w:rPr>
        <w:t>规定的资格条件要求的证明文件,该证明文件作为响应文件的一部分。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3.5磋商保证金</w:t>
      </w:r>
    </w:p>
    <w:p>
      <w:pPr>
        <w:pStyle w:val="52"/>
        <w:adjustRightInd w:val="0"/>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3.5.1供应商应按</w:t>
      </w:r>
      <w:r>
        <w:rPr>
          <w:rFonts w:hint="eastAsia" w:hAnsi="宋体" w:cs="宋体"/>
          <w:b/>
          <w:color w:val="auto"/>
          <w:sz w:val="24"/>
          <w:szCs w:val="24"/>
          <w:highlight w:val="none"/>
        </w:rPr>
        <w:t>磋商须知前附表</w:t>
      </w:r>
      <w:r>
        <w:rPr>
          <w:rFonts w:hint="eastAsia" w:hAnsi="宋体" w:cs="宋体"/>
          <w:color w:val="auto"/>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3.5.2 未按磋商文件规定提交磋商保证金的响应文件，将被视为非实质响应而被拒绝。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3.5.3 未成交供应商的磋商保证金在成交通知书发出后五个工作日内退还；成交供应商的磋商保证金在采购合同签定后五个工作日内退还。</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3.5.4发生以下情况磋商保证金将不予退还：</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（一）供应商在提交响应文件截止时间后撤回响应文件的；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（二）供应商在响应文件中提供虚假材料的；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（三）除因不可抗力或磋商文件认可的情形以外，成交供应商不与采购人签订合同的；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（四）供应商与采购人、其他供应商或者采购代理机构恶意串通的；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（五）磋商文件规定的其他情形。</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3.6 </w:t>
      </w:r>
      <w:r>
        <w:rPr>
          <w:rFonts w:hint="eastAsia" w:ascii="宋体" w:hAnsi="宋体" w:cs="宋体"/>
          <w:color w:val="auto"/>
          <w:sz w:val="24"/>
          <w:highlight w:val="none"/>
        </w:rPr>
        <w:t xml:space="preserve"> </w:t>
      </w:r>
      <w:r>
        <w:rPr>
          <w:rFonts w:hint="eastAsia" w:ascii="宋体" w:hAnsi="宋体" w:cs="宋体"/>
          <w:b/>
          <w:color w:val="auto"/>
          <w:sz w:val="24"/>
          <w:highlight w:val="none"/>
        </w:rPr>
        <w:t>响应文件有效期</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3.6.1响应文件有效期见</w:t>
      </w:r>
      <w:r>
        <w:rPr>
          <w:rFonts w:hint="eastAsia" w:ascii="宋体" w:hAnsi="宋体" w:cs="宋体"/>
          <w:b/>
          <w:color w:val="auto"/>
          <w:sz w:val="24"/>
          <w:highlight w:val="none"/>
        </w:rPr>
        <w:t>磋商须知前附表</w:t>
      </w:r>
      <w:r>
        <w:rPr>
          <w:rFonts w:hint="eastAsia" w:ascii="宋体" w:hAnsi="宋体" w:cs="宋体"/>
          <w:color w:val="auto"/>
          <w:sz w:val="24"/>
          <w:highlight w:val="none"/>
        </w:rPr>
        <w:t>，响应文件有效期不足的将被视为无效响应，并予以拒绝。</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3.7 响应文件的签署及规定</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3.7.1供应商应提供响应文件份数见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p>
    <w:p>
      <w:pPr>
        <w:pStyle w:val="49"/>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val="zh-CN"/>
        </w:rPr>
        <w:t xml:space="preserve">3.7.2 </w:t>
      </w:r>
      <w:r>
        <w:rPr>
          <w:rFonts w:hint="eastAsia" w:ascii="宋体" w:hAnsi="宋体" w:cs="宋体"/>
          <w:color w:val="auto"/>
          <w:sz w:val="24"/>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宋体" w:hAnsi="宋体" w:eastAsia="宋体" w:cs="宋体"/>
          <w:b/>
          <w:bCs/>
          <w:color w:val="auto"/>
          <w:szCs w:val="22"/>
          <w:highlight w:val="none"/>
        </w:rPr>
      </w:pPr>
      <w:bookmarkStart w:id="31" w:name="_Toc31717"/>
      <w:bookmarkStart w:id="32" w:name="_Toc256000008"/>
      <w:bookmarkStart w:id="33" w:name="_Toc256000017"/>
      <w:bookmarkStart w:id="34" w:name="_Toc1343"/>
      <w:bookmarkStart w:id="35" w:name="_Toc4490"/>
      <w:r>
        <w:rPr>
          <w:rFonts w:hint="eastAsia" w:ascii="宋体" w:hAnsi="宋体" w:eastAsia="宋体" w:cs="宋体"/>
          <w:b/>
          <w:bCs/>
          <w:color w:val="auto"/>
          <w:szCs w:val="22"/>
          <w:highlight w:val="none"/>
        </w:rPr>
        <w:t>四、响应文件的递交</w:t>
      </w:r>
      <w:bookmarkEnd w:id="31"/>
      <w:bookmarkEnd w:id="32"/>
      <w:bookmarkEnd w:id="33"/>
      <w:bookmarkEnd w:id="34"/>
      <w:bookmarkEnd w:id="35"/>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r>
        <w:rPr>
          <w:rFonts w:hint="eastAsia" w:ascii="宋体" w:hAnsi="宋体" w:eastAsia="宋体" w:cs="宋体"/>
          <w:b/>
          <w:color w:val="auto"/>
          <w:sz w:val="24"/>
          <w:highlight w:val="none"/>
        </w:rPr>
        <w:t>响应文件</w:t>
      </w:r>
      <w:r>
        <w:rPr>
          <w:rFonts w:hint="eastAsia" w:ascii="宋体" w:hAnsi="宋体" w:eastAsia="宋体" w:cs="宋体"/>
          <w:b/>
          <w:bCs/>
          <w:color w:val="auto"/>
          <w:sz w:val="24"/>
          <w:highlight w:val="none"/>
        </w:rPr>
        <w:t>的密封和标记</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4.1.1响应文件的密封：详见供应商须知前附表。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4.1.2由于不可抗拒的原因或无法控制的事件而导致丢失或损坏投标包装体内的响应文件，采购人将不负责任。</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4.1.3如果投标人未按上述要求密封及加写标记，采购代理机构对投标文件的误投和提前启封概不负责。对由此造成提前开封的投标文件，采购代理机构有权予以拒绝，并退回投标人。</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4.2响应文件的递交</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响应文件的递交截止时间为采购文件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4.2.2</w:t>
      </w:r>
      <w:r>
        <w:rPr>
          <w:rFonts w:hint="eastAsia" w:ascii="宋体" w:hAnsi="宋体" w:eastAsia="宋体" w:cs="宋体"/>
          <w:color w:val="auto"/>
          <w:sz w:val="24"/>
          <w:highlight w:val="none"/>
        </w:rPr>
        <w:t>逾期送达或者未按照采购文件要求密封的响应文件，采购人、采购代理机构应当拒收。</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4.3响应文件的</w:t>
      </w:r>
      <w:r>
        <w:rPr>
          <w:rFonts w:hint="eastAsia" w:ascii="宋体" w:hAnsi="宋体" w:eastAsia="宋体" w:cs="宋体"/>
          <w:b/>
          <w:color w:val="auto"/>
          <w:kern w:val="0"/>
          <w:sz w:val="24"/>
          <w:highlight w:val="none"/>
          <w:lang w:val="zh-CN"/>
        </w:rPr>
        <w:t>补充、修改或者撤回</w:t>
      </w:r>
    </w:p>
    <w:p>
      <w:pPr>
        <w:pStyle w:val="52"/>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4.3.2在递交响应文件截止时间后，供应商不得对响应文件</w:t>
      </w:r>
      <w:r>
        <w:rPr>
          <w:rFonts w:hint="eastAsia" w:ascii="宋体" w:hAnsi="宋体" w:eastAsia="宋体" w:cs="宋体"/>
          <w:color w:val="auto"/>
          <w:kern w:val="0"/>
          <w:sz w:val="24"/>
          <w:szCs w:val="24"/>
          <w:highlight w:val="none"/>
          <w:lang w:val="zh-CN"/>
        </w:rPr>
        <w:t>补充、修改或者撤回，但属于本须知5.4.2款规定的情形除外</w:t>
      </w:r>
      <w:r>
        <w:rPr>
          <w:rFonts w:hint="eastAsia" w:ascii="宋体" w:hAnsi="宋体" w:eastAsia="宋体" w:cs="宋体"/>
          <w:color w:val="auto"/>
          <w:sz w:val="24"/>
          <w:szCs w:val="24"/>
          <w:highlight w:val="none"/>
        </w:rPr>
        <w:t>。</w:t>
      </w:r>
    </w:p>
    <w:p>
      <w:pPr>
        <w:pStyle w:val="47"/>
        <w:jc w:val="center"/>
        <w:outlineLvl w:val="1"/>
        <w:rPr>
          <w:rFonts w:hint="eastAsia" w:ascii="宋体" w:hAnsi="宋体" w:eastAsia="宋体" w:cs="宋体"/>
          <w:b/>
          <w:bCs/>
          <w:color w:val="auto"/>
          <w:szCs w:val="22"/>
          <w:highlight w:val="none"/>
        </w:rPr>
      </w:pPr>
      <w:bookmarkStart w:id="36" w:name="_Toc18508"/>
      <w:bookmarkStart w:id="37" w:name="_Toc13285"/>
      <w:bookmarkStart w:id="38" w:name="_Toc256000018"/>
      <w:bookmarkStart w:id="39" w:name="_Toc256000009"/>
      <w:bookmarkStart w:id="40" w:name="_Toc12287"/>
      <w:r>
        <w:rPr>
          <w:rFonts w:hint="eastAsia" w:ascii="宋体" w:hAnsi="宋体" w:eastAsia="宋体" w:cs="宋体"/>
          <w:b/>
          <w:bCs/>
          <w:color w:val="auto"/>
          <w:szCs w:val="22"/>
          <w:highlight w:val="none"/>
        </w:rPr>
        <w:t>五、磋商和评审</w:t>
      </w:r>
      <w:bookmarkEnd w:id="36"/>
      <w:bookmarkEnd w:id="37"/>
      <w:bookmarkEnd w:id="38"/>
      <w:bookmarkEnd w:id="39"/>
      <w:bookmarkEnd w:id="40"/>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5.1 磋商仪式</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5.1.1采购机构在</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规定的日期、时间和地点组织磋商仪式。供应商应派代表参加，并按要求签名报到以证明其出席。</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5.1.2磋商开始时，</w:t>
      </w:r>
      <w:r>
        <w:rPr>
          <w:rFonts w:hint="eastAsia" w:ascii="宋体" w:hAnsi="宋体" w:eastAsia="宋体" w:cs="宋体"/>
          <w:color w:val="auto"/>
          <w:sz w:val="24"/>
          <w:szCs w:val="24"/>
          <w:highlight w:val="none"/>
        </w:rPr>
        <w:t>由</w:t>
      </w:r>
      <w:r>
        <w:rPr>
          <w:rFonts w:hint="eastAsia" w:ascii="宋体" w:hAnsi="宋体" w:eastAsia="宋体" w:cs="宋体"/>
          <w:bCs/>
          <w:color w:val="auto"/>
          <w:sz w:val="24"/>
          <w:szCs w:val="24"/>
          <w:highlight w:val="none"/>
        </w:rPr>
        <w:t>供应商或供应商代表</w:t>
      </w:r>
      <w:r>
        <w:rPr>
          <w:rFonts w:hint="eastAsia" w:ascii="宋体" w:hAnsi="宋体" w:eastAsia="宋体" w:cs="宋体"/>
          <w:color w:val="auto"/>
          <w:sz w:val="24"/>
          <w:szCs w:val="24"/>
          <w:highlight w:val="none"/>
        </w:rPr>
        <w:t>当场查验响应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的密封状况，</w:t>
      </w:r>
      <w:r>
        <w:rPr>
          <w:rFonts w:hint="eastAsia" w:ascii="宋体" w:hAnsi="宋体" w:eastAsia="宋体" w:cs="宋体"/>
          <w:bCs/>
          <w:color w:val="auto"/>
          <w:sz w:val="24"/>
          <w:szCs w:val="24"/>
          <w:highlight w:val="none"/>
        </w:rPr>
        <w:t>采购代理机构</w:t>
      </w:r>
      <w:r>
        <w:rPr>
          <w:rFonts w:hint="eastAsia" w:ascii="宋体" w:hAnsi="宋体" w:eastAsia="宋体" w:cs="宋体"/>
          <w:color w:val="auto"/>
          <w:sz w:val="24"/>
          <w:szCs w:val="24"/>
          <w:highlight w:val="none"/>
        </w:rPr>
        <w:t>拆封</w:t>
      </w:r>
      <w:r>
        <w:rPr>
          <w:rFonts w:hint="eastAsia" w:ascii="宋体" w:hAnsi="宋体" w:eastAsia="宋体" w:cs="宋体"/>
          <w:bCs/>
          <w:color w:val="auto"/>
          <w:sz w:val="24"/>
          <w:szCs w:val="24"/>
          <w:highlight w:val="none"/>
        </w:rPr>
        <w:t>响应文件，公布供应商名称、报价等相关信息</w:t>
      </w:r>
      <w:r>
        <w:rPr>
          <w:rFonts w:hint="eastAsia" w:ascii="宋体" w:hAnsi="宋体" w:eastAsia="宋体" w:cs="宋体"/>
          <w:color w:val="auto"/>
          <w:sz w:val="24"/>
          <w:szCs w:val="24"/>
          <w:highlight w:val="none"/>
        </w:rPr>
        <w:t>。</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5.1.3除了存在以下情形的响应文件之外，磋商开始时将不得拒绝任何报价。</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(1)未按磋商邀请要求报名和获取磋商文件，并提交相关资料的；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(2)未按磋商须知第5.1.1项规定提交响应文件，并出席磋商仪式的；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(3)未按磋商须知第4.1项要求对响应文件进行密封和加写标记的；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(4)响应文件的递交、修改或撤回不符合磋商须知第4.2、4.3项规定的。</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5.2磋商小组</w:t>
      </w:r>
    </w:p>
    <w:p>
      <w:pPr>
        <w:pStyle w:val="49"/>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磋商小组将根据采购项目的特点依法组建，磋商小组的组成见</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w:t>
      </w:r>
    </w:p>
    <w:p>
      <w:pPr>
        <w:pStyle w:val="49"/>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w:t>
      </w:r>
      <w:r>
        <w:rPr>
          <w:rFonts w:hint="eastAsia" w:ascii="宋体" w:hAnsi="宋体" w:eastAsia="宋体" w:cs="宋体"/>
          <w:b/>
          <w:color w:val="auto"/>
          <w:sz w:val="24"/>
          <w:highlight w:val="none"/>
        </w:rPr>
        <w:t>响应文件的初步评审与澄清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5.3.1响应文件的初步评审分为资格性检查、符合性检查。</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eastAsia="宋体" w:cs="宋体"/>
          <w:b/>
          <w:bCs/>
          <w:color w:val="auto"/>
          <w:spacing w:val="-2"/>
          <w:sz w:val="24"/>
          <w:highlight w:val="none"/>
        </w:rPr>
        <w:t>资格审查表</w:t>
      </w:r>
      <w:r>
        <w:rPr>
          <w:rFonts w:hint="eastAsia" w:ascii="宋体" w:hAnsi="宋体" w:eastAsia="宋体" w:cs="宋体"/>
          <w:color w:val="auto"/>
          <w:spacing w:val="-2"/>
          <w:sz w:val="24"/>
          <w:highlight w:val="none"/>
        </w:rPr>
        <w:t>。</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b/>
          <w:bCs/>
          <w:color w:val="auto"/>
          <w:spacing w:val="-2"/>
          <w:sz w:val="24"/>
          <w:highlight w:val="none"/>
          <w:lang w:val="en-US" w:eastAsia="zh-CN"/>
        </w:rPr>
        <w:t>符合性</w:t>
      </w:r>
      <w:r>
        <w:rPr>
          <w:rFonts w:hint="eastAsia" w:ascii="宋体" w:hAnsi="宋体" w:eastAsia="宋体" w:cs="宋体"/>
          <w:b/>
          <w:bCs/>
          <w:color w:val="auto"/>
          <w:spacing w:val="-2"/>
          <w:sz w:val="24"/>
          <w:highlight w:val="none"/>
        </w:rPr>
        <w:t>审查表。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5.3.1.1资格性检查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（1）磋商小组根据评审办法前附表规定的评审因素和评审标准，对供应商的响应文件进行资格评审。资格性检查不合格的供应商的响应文件作无效文件处理。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（2）磋商小组在进行资格检查时，不得改变磋商文件中已载明的资格条件、标准和办法。资格性检查不合格的供应商的响应文件作无效文件处理。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（3）供应商在递交响应文件的同时，应逐项对照上述资格性检查要求提交相应的原件和资格证明文件供磋商小组核查，否则评委将不予采信。</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（4）磋商小组在评审中必要时可按供应商提供的联系方式就有关问题进行查询核实，或要求供应商做出书面澄清，查询及澄清结果将作为审查的依据。</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（5）通过全部资格性检查条件合格的供应商才能通过资格检查，其响应文件方可进入下一个检查阶段。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5.3.1.2符合性检查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磋商小组根据评审办法前附表规定的评审因素和评审标准，对供应商的响应文件进行符合性检查。符合性检查不合格的供应商的响应文件作无效文件处理。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5.3.1.3在评审过程中，磋商小组发现供应商有下列情形之一的，作无效文件处理：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（1）属于同一集团、协会、商会等组织成员的供应商按照该组织要求协同投标；</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（2）不同供应商的响应文件由同一单位或者个人编制；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（3）不同供应商委托同一单位或者个人办理投标事宜；</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（4）不同供应商的响应文件载明的项目管理成员为同一人；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（5）不同供应商的响应文件异常一致或者投标报价呈规律性差异；</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（6）不同供应商的响应文件相互混装；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（7）使用伪造、变造的行政许可证件；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（8）提供虚假的财务状况或者业绩；</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（9）提供虚假的项目负责人或者主要技术人员简历、劳动关系证明；</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（10）提供虚假的信用状况；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（11）其他弄虚作假的行为。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5.3.2响应文件的澄清</w:t>
      </w:r>
    </w:p>
    <w:p>
      <w:pPr>
        <w:pStyle w:val="49"/>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磋商小组在对响应文件的有效性、完整性和对磋商文件的响应程度进行审查时，可以要求供应商对响应文件中含义不明</w:t>
      </w:r>
      <w:r>
        <w:rPr>
          <w:rFonts w:hint="eastAsia" w:ascii="宋体" w:hAnsi="宋体" w:eastAsia="宋体" w:cs="宋体"/>
          <w:color w:val="auto"/>
          <w:sz w:val="24"/>
          <w:highlight w:val="none"/>
        </w:rPr>
        <w:t>确</w:t>
      </w:r>
      <w:r>
        <w:rPr>
          <w:rFonts w:hint="eastAsia" w:ascii="宋体" w:hAnsi="宋体" w:eastAsia="宋体" w:cs="宋体"/>
          <w:color w:val="auto"/>
          <w:sz w:val="24"/>
          <w:highlight w:val="none"/>
          <w:lang w:val="zh-CN"/>
        </w:rPr>
        <w:t>、同类问题表述不一致或者有明显文字和计算错误的内容等作出必要的澄清、说明或者纠正。该要求</w:t>
      </w:r>
      <w:r>
        <w:rPr>
          <w:rFonts w:hint="eastAsia" w:ascii="宋体" w:hAnsi="宋体" w:eastAsia="宋体" w:cs="宋体"/>
          <w:color w:val="auto"/>
          <w:sz w:val="24"/>
          <w:highlight w:val="none"/>
        </w:rPr>
        <w:t>应当以</w:t>
      </w:r>
      <w:r>
        <w:rPr>
          <w:rFonts w:hint="eastAsia" w:ascii="宋体" w:hAnsi="宋体" w:eastAsia="宋体" w:cs="宋体"/>
          <w:color w:val="auto"/>
          <w:sz w:val="24"/>
          <w:highlight w:val="none"/>
          <w:lang w:val="zh-CN"/>
        </w:rPr>
        <w:t>书面形式作出。供应商的澄清、说明或者补正应当采用书面形式，由其</w:t>
      </w:r>
      <w:r>
        <w:rPr>
          <w:rFonts w:hint="eastAsia" w:ascii="宋体" w:hAnsi="宋体" w:eastAsia="宋体" w:cs="宋体"/>
          <w:color w:val="auto"/>
          <w:sz w:val="24"/>
          <w:highlight w:val="none"/>
        </w:rPr>
        <w:t>法定代表人或其授权代表签字</w:t>
      </w:r>
      <w:r>
        <w:rPr>
          <w:rFonts w:hint="eastAsia" w:ascii="宋体" w:hAnsi="宋体" w:eastAsia="宋体" w:cs="宋体"/>
          <w:color w:val="auto"/>
          <w:sz w:val="24"/>
          <w:highlight w:val="none"/>
          <w:lang w:val="zh-CN"/>
        </w:rPr>
        <w:t>。供应商的澄清、说明或者更正不得超出磋商文件的范围或</w:t>
      </w:r>
      <w:r>
        <w:rPr>
          <w:rFonts w:hint="eastAsia" w:ascii="宋体" w:hAnsi="宋体" w:eastAsia="宋体" w:cs="宋体"/>
          <w:color w:val="auto"/>
          <w:kern w:val="0"/>
          <w:sz w:val="24"/>
          <w:highlight w:val="none"/>
          <w:lang w:val="zh-CN"/>
        </w:rPr>
        <w:t>者改变响应文件的实质性内容。</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kern w:val="0"/>
          <w:sz w:val="24"/>
          <w:highlight w:val="none"/>
          <w:lang w:val="zh-CN"/>
        </w:rPr>
        <w:t>计算</w:t>
      </w:r>
      <w:r>
        <w:rPr>
          <w:rFonts w:hint="eastAsia" w:ascii="宋体" w:hAnsi="宋体" w:eastAsia="宋体" w:cs="宋体"/>
          <w:color w:val="auto"/>
          <w:sz w:val="24"/>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49"/>
        <w:tabs>
          <w:tab w:val="left" w:pos="0"/>
        </w:tabs>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5.4 磋商、最后报价</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5.4.1</w:t>
      </w:r>
      <w:r>
        <w:rPr>
          <w:rFonts w:hint="eastAsia" w:ascii="宋体" w:hAnsi="宋体" w:eastAsia="宋体" w:cs="宋体"/>
          <w:color w:val="auto"/>
          <w:kern w:val="0"/>
          <w:sz w:val="24"/>
          <w:highlight w:val="none"/>
          <w:lang w:val="zh-CN"/>
        </w:rPr>
        <w:t>磋商小组所有成员按以下两种情况和程序集中与单一供应商分别进行磋商。并给予所有参加</w:t>
      </w:r>
      <w:r>
        <w:rPr>
          <w:rFonts w:hint="eastAsia" w:ascii="宋体" w:hAnsi="宋体" w:eastAsia="宋体" w:cs="宋体"/>
          <w:bCs/>
          <w:color w:val="auto"/>
          <w:sz w:val="24"/>
          <w:highlight w:val="none"/>
        </w:rPr>
        <w:t>磋商</w:t>
      </w:r>
      <w:r>
        <w:rPr>
          <w:rFonts w:hint="eastAsia" w:ascii="宋体" w:hAnsi="宋体" w:eastAsia="宋体" w:cs="宋体"/>
          <w:color w:val="auto"/>
          <w:kern w:val="0"/>
          <w:sz w:val="24"/>
          <w:highlight w:val="none"/>
          <w:lang w:val="zh-CN"/>
        </w:rPr>
        <w:t>的供应商相同的磋商机会。</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（1）第一种情况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color w:val="auto"/>
          <w:kern w:val="0"/>
          <w:sz w:val="24"/>
          <w:highlight w:val="none"/>
        </w:rPr>
        <w:t>提交最后报价的供应商不得少于3家。</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（2）第二种情况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snapToGrid w:val="0"/>
          <w:color w:val="auto"/>
          <w:kern w:val="0"/>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最后报价是供应商响应文件的有效组成部分。</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5.4.2</w:t>
      </w: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5.4.3已提交响应文件的供应商，在提交最后报价之前，可以根据磋商情况退出磋商。采购机构将退还退出磋商的供应商的磋商保证金。</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5.4.4磋商轮数和最后</w:t>
      </w:r>
      <w:r>
        <w:rPr>
          <w:rFonts w:hint="eastAsia" w:ascii="宋体" w:hAnsi="宋体" w:eastAsia="宋体" w:cs="宋体"/>
          <w:color w:val="auto"/>
          <w:sz w:val="24"/>
          <w:highlight w:val="none"/>
        </w:rPr>
        <w:t>报价的要求</w:t>
      </w:r>
      <w:r>
        <w:rPr>
          <w:rFonts w:hint="eastAsia" w:ascii="宋体" w:hAnsi="宋体" w:eastAsia="宋体" w:cs="宋体"/>
          <w:color w:val="auto"/>
          <w:sz w:val="24"/>
          <w:highlight w:val="none"/>
          <w:lang w:val="zh-CN"/>
        </w:rPr>
        <w:t>见</w:t>
      </w:r>
      <w:r>
        <w:rPr>
          <w:rFonts w:hint="eastAsia" w:ascii="宋体" w:hAnsi="宋体" w:eastAsia="宋体" w:cs="宋体"/>
          <w:b/>
          <w:color w:val="auto"/>
          <w:sz w:val="24"/>
          <w:highlight w:val="none"/>
          <w:lang w:val="zh-CN"/>
        </w:rPr>
        <w:t>磋商须知前附表。</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5.5综合评审</w:t>
      </w:r>
    </w:p>
    <w:p>
      <w:pPr>
        <w:pStyle w:val="49"/>
        <w:tabs>
          <w:tab w:val="left" w:pos="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5.5.1</w:t>
      </w:r>
      <w:r>
        <w:rPr>
          <w:rFonts w:hint="eastAsia" w:ascii="宋体" w:hAnsi="宋体" w:eastAsia="宋体" w:cs="宋体"/>
          <w:bCs/>
          <w:color w:val="auto"/>
          <w:sz w:val="24"/>
          <w:highlight w:val="none"/>
        </w:rPr>
        <w:t>评审方法</w:t>
      </w: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5.5.2磋商小组依据磋商文件及供应商的响应文件</w:t>
      </w:r>
      <w:r>
        <w:rPr>
          <w:rFonts w:hint="eastAsia" w:ascii="宋体" w:hAnsi="宋体" w:eastAsia="宋体" w:cs="宋体"/>
          <w:color w:val="auto"/>
          <w:sz w:val="24"/>
          <w:highlight w:val="none"/>
        </w:rPr>
        <w:t>和</w:t>
      </w:r>
      <w:r>
        <w:rPr>
          <w:rFonts w:hint="eastAsia" w:ascii="宋体" w:hAnsi="宋体" w:eastAsia="宋体" w:cs="宋体"/>
          <w:color w:val="auto"/>
          <w:kern w:val="0"/>
          <w:sz w:val="24"/>
          <w:highlight w:val="none"/>
          <w:lang w:val="zh-CN"/>
        </w:rPr>
        <w:t>最后报价</w:t>
      </w:r>
      <w:r>
        <w:rPr>
          <w:rFonts w:hint="eastAsia" w:ascii="宋体" w:hAnsi="宋体" w:eastAsia="宋体" w:cs="宋体"/>
          <w:bCs/>
          <w:color w:val="auto"/>
          <w:sz w:val="24"/>
          <w:highlight w:val="none"/>
        </w:rPr>
        <w:t>，对响应文件的商务和技术部分进行进一步的比较和评价，详细</w:t>
      </w:r>
      <w:r>
        <w:rPr>
          <w:rFonts w:hint="eastAsia" w:ascii="宋体" w:hAnsi="宋体" w:eastAsia="宋体" w:cs="宋体"/>
          <w:color w:val="auto"/>
          <w:sz w:val="24"/>
          <w:highlight w:val="none"/>
        </w:rPr>
        <w:t>评审标准见</w:t>
      </w:r>
      <w:r>
        <w:rPr>
          <w:rFonts w:hint="eastAsia" w:ascii="宋体" w:hAnsi="宋体" w:eastAsia="宋体" w:cs="宋体"/>
          <w:b/>
          <w:bCs/>
          <w:color w:val="auto"/>
          <w:sz w:val="24"/>
          <w:highlight w:val="none"/>
        </w:rPr>
        <w:t>第三章 评审方法</w:t>
      </w:r>
      <w:r>
        <w:rPr>
          <w:rFonts w:hint="eastAsia" w:ascii="宋体" w:hAnsi="宋体" w:eastAsia="宋体" w:cs="宋体"/>
          <w:bCs/>
          <w:color w:val="auto"/>
          <w:sz w:val="24"/>
          <w:highlight w:val="none"/>
        </w:rPr>
        <w:t>。</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5.6成交原则</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对经比较和评价符合磋商文件要求的供应商，按照综合评审得分由高到低顺序推荐</w:t>
      </w:r>
      <w:r>
        <w:rPr>
          <w:rFonts w:hint="eastAsia" w:ascii="宋体" w:hAnsi="宋体" w:eastAsia="宋体" w:cs="宋体"/>
          <w:b/>
          <w:bCs/>
          <w:color w:val="auto"/>
          <w:sz w:val="24"/>
          <w:highlight w:val="none"/>
        </w:rPr>
        <w:t>磋商须知前附表</w:t>
      </w:r>
      <w:r>
        <w:rPr>
          <w:rFonts w:hint="eastAsia" w:ascii="宋体" w:hAnsi="宋体" w:eastAsia="宋体" w:cs="宋体"/>
          <w:bCs/>
          <w:color w:val="auto"/>
          <w:sz w:val="24"/>
          <w:highlight w:val="none"/>
        </w:rPr>
        <w:t>规定数量的成交候选</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并确定排名第一的</w:t>
      </w:r>
      <w:r>
        <w:rPr>
          <w:rFonts w:hint="eastAsia" w:ascii="宋体" w:hAnsi="宋体" w:eastAsia="宋体" w:cs="宋体"/>
          <w:color w:val="auto"/>
          <w:kern w:val="0"/>
          <w:sz w:val="24"/>
          <w:highlight w:val="none"/>
          <w:lang w:val="zh-CN"/>
        </w:rPr>
        <w:t>成交候选</w:t>
      </w:r>
      <w:r>
        <w:rPr>
          <w:rFonts w:hint="eastAsia" w:ascii="宋体" w:hAnsi="宋体" w:eastAsia="宋体" w:cs="宋体"/>
          <w:bCs/>
          <w:color w:val="auto"/>
          <w:sz w:val="24"/>
          <w:highlight w:val="none"/>
        </w:rPr>
        <w:t>供应商为成交供应商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lang w:val="zh-CN"/>
        </w:rPr>
        <w:t>如报价</w:t>
      </w:r>
      <w:r>
        <w:rPr>
          <w:rFonts w:hint="eastAsia" w:ascii="宋体" w:hAnsi="宋体" w:eastAsia="宋体" w:cs="宋体"/>
          <w:color w:val="auto"/>
          <w:sz w:val="24"/>
          <w:highlight w:val="none"/>
        </w:rPr>
        <w:t>相同，由磋商小组按技术指标、实力等综合因素优劣排列。</w:t>
      </w:r>
    </w:p>
    <w:p>
      <w:pPr>
        <w:pStyle w:val="52"/>
        <w:adjustRightInd w:val="0"/>
        <w:snapToGrid w:val="0"/>
        <w:spacing w:line="360" w:lineRule="auto"/>
        <w:ind w:left="723"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5.7 磋商的特殊情形</w:t>
      </w:r>
    </w:p>
    <w:p>
      <w:pPr>
        <w:pStyle w:val="52"/>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5.7.1递交响应文件的供应商不足三家的，不开标唱标，除采购任务取消外，如磋商文件没有不合理条款，发布项目延期公告，延长三个工作日，延长期满后，仍不足三家的，继续进入磋商程序。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5.7.2对磋商文件</w:t>
      </w:r>
      <w:r>
        <w:rPr>
          <w:rFonts w:hint="eastAsia" w:ascii="宋体" w:hAnsi="宋体" w:eastAsia="宋体" w:cs="宋体"/>
          <w:color w:val="auto"/>
          <w:sz w:val="24"/>
          <w:highlight w:val="none"/>
        </w:rPr>
        <w:t>作出实质性响应的供应商不足三家，但</w:t>
      </w:r>
      <w:r>
        <w:rPr>
          <w:rFonts w:hint="eastAsia" w:ascii="宋体" w:hAnsi="宋体" w:eastAsia="宋体" w:cs="宋体"/>
          <w:snapToGrid w:val="0"/>
          <w:color w:val="auto"/>
          <w:kern w:val="0"/>
          <w:sz w:val="24"/>
          <w:highlight w:val="none"/>
        </w:rPr>
        <w:t>符合《</w:t>
      </w:r>
      <w:r>
        <w:rPr>
          <w:rFonts w:hint="eastAsia" w:ascii="宋体" w:hAnsi="宋体" w:eastAsia="宋体" w:cs="宋体"/>
          <w:color w:val="auto"/>
          <w:sz w:val="24"/>
          <w:highlight w:val="none"/>
        </w:rPr>
        <w:t>政府采购竞争性磋商采购方式管理暂行办法</w:t>
      </w:r>
      <w:r>
        <w:rPr>
          <w:rFonts w:hint="eastAsia" w:ascii="宋体" w:hAnsi="宋体" w:eastAsia="宋体" w:cs="宋体"/>
          <w:snapToGrid w:val="0"/>
          <w:color w:val="auto"/>
          <w:kern w:val="0"/>
          <w:sz w:val="24"/>
          <w:highlight w:val="none"/>
        </w:rPr>
        <w:t>》第二十一条规定的属于本办法第三条第四项“市场竞争不充分的科研项目，以及需要扶持的科技成果转化项目”情形的，提交最后报价的供应商可以为2家。</w:t>
      </w:r>
    </w:p>
    <w:p>
      <w:pPr>
        <w:pStyle w:val="47"/>
        <w:jc w:val="center"/>
        <w:outlineLvl w:val="1"/>
        <w:rPr>
          <w:rFonts w:hint="eastAsia" w:ascii="宋体" w:hAnsi="宋体" w:eastAsia="宋体" w:cs="宋体"/>
          <w:b/>
          <w:bCs/>
          <w:color w:val="auto"/>
          <w:szCs w:val="22"/>
          <w:highlight w:val="none"/>
        </w:rPr>
      </w:pPr>
      <w:bookmarkStart w:id="41" w:name="_Toc31596"/>
      <w:bookmarkStart w:id="42" w:name="_Toc8378"/>
      <w:bookmarkStart w:id="43" w:name="_Toc13595"/>
      <w:bookmarkStart w:id="44" w:name="_Toc256000010"/>
      <w:bookmarkStart w:id="45" w:name="_Toc256000019"/>
      <w:r>
        <w:rPr>
          <w:rFonts w:hint="eastAsia" w:ascii="宋体" w:hAnsi="宋体" w:eastAsia="宋体" w:cs="宋体"/>
          <w:b/>
          <w:bCs/>
          <w:color w:val="auto"/>
          <w:szCs w:val="22"/>
          <w:highlight w:val="none"/>
        </w:rPr>
        <w:t>六、成交结果及合同授予</w:t>
      </w:r>
      <w:bookmarkEnd w:id="41"/>
      <w:bookmarkEnd w:id="42"/>
      <w:bookmarkEnd w:id="43"/>
      <w:bookmarkEnd w:id="44"/>
      <w:bookmarkEnd w:id="4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6.1成交结果</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磋商结束后，成交结果信息将在</w:t>
      </w:r>
      <w:r>
        <w:rPr>
          <w:rFonts w:hint="eastAsia" w:hAnsi="宋体" w:cs="宋体"/>
          <w:b/>
          <w:color w:val="auto"/>
          <w:sz w:val="24"/>
          <w:szCs w:val="24"/>
          <w:highlight w:val="none"/>
        </w:rPr>
        <w:t>磋商须知前附表</w:t>
      </w:r>
      <w:r>
        <w:rPr>
          <w:rFonts w:hint="eastAsia" w:hAnsi="宋体" w:cs="宋体"/>
          <w:color w:val="auto"/>
          <w:sz w:val="24"/>
          <w:szCs w:val="24"/>
          <w:highlight w:val="none"/>
        </w:rPr>
        <w:t>规定的媒体上公布。</w:t>
      </w:r>
      <w:r>
        <w:rPr>
          <w:rFonts w:hint="eastAsia" w:hAnsi="宋体" w:cs="宋体"/>
          <w:color w:val="auto"/>
          <w:sz w:val="24"/>
          <w:szCs w:val="24"/>
          <w:highlight w:val="none"/>
          <w:lang w:val="zh-CN"/>
        </w:rPr>
        <w:t>同时向成交供应商发出成交通知书，该通知书将是合同的组成部分。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6.2签订合同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6.2.1 成交供应商应按成交通知书规定的时间、地点与采购人签订书面合同。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6.2.2 </w:t>
      </w:r>
      <w:r>
        <w:rPr>
          <w:rFonts w:hint="eastAsia" w:ascii="宋体" w:hAnsi="宋体" w:cs="宋体"/>
          <w:color w:val="auto"/>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49"/>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47"/>
        <w:jc w:val="center"/>
        <w:outlineLvl w:val="1"/>
        <w:rPr>
          <w:rFonts w:hint="eastAsia" w:ascii="宋体" w:hAnsi="宋体" w:eastAsia="宋体" w:cs="宋体"/>
          <w:b/>
          <w:bCs/>
          <w:color w:val="auto"/>
          <w:szCs w:val="22"/>
          <w:highlight w:val="none"/>
        </w:rPr>
      </w:pPr>
      <w:bookmarkStart w:id="46" w:name="_Toc32267"/>
      <w:bookmarkStart w:id="47" w:name="_Toc256000020"/>
      <w:bookmarkStart w:id="48" w:name="_Toc1603"/>
      <w:bookmarkStart w:id="49" w:name="_Toc12809"/>
      <w:bookmarkStart w:id="50" w:name="_Toc256000011"/>
      <w:r>
        <w:rPr>
          <w:rFonts w:hint="eastAsia" w:ascii="宋体" w:hAnsi="宋体" w:eastAsia="宋体" w:cs="宋体"/>
          <w:b/>
          <w:bCs/>
          <w:color w:val="auto"/>
          <w:szCs w:val="22"/>
          <w:highlight w:val="none"/>
        </w:rPr>
        <w:t>七、质疑与投诉</w:t>
      </w:r>
      <w:bookmarkEnd w:id="46"/>
      <w:bookmarkEnd w:id="47"/>
      <w:bookmarkEnd w:id="48"/>
      <w:bookmarkEnd w:id="49"/>
      <w:bookmarkEnd w:id="50"/>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7.2供应商若认为磋商文件、磋商过程和成交结果使自己的权益受到损害，应在以下规定时间内以书面形式向采购机构提出：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（2）对磋商过程提出质疑的，应当在各磋商程序环节结束之日起七个工作日内；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（3）对成交结果提出质疑的，应当在成交结果公告期限届满之日起七个工作日内提出；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（4）磋商文件或法律法规规定的其他时间内。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供应商提出质疑的，应当有明确的请求和必要的证明材料，并提供质疑书原件。招标采购单位向质疑供应商签收回执。</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 质疑书应当由质疑供应商法定代表人或授权代表人签字并加盖公章，质疑书由授权代表人签字的应附法定代表人授权书。</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 采购机构将在签收回执之日起七个工作日内作出书面答复，并以书面形式通知与质疑处理结果有关的供应商。</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宋体" w:hAnsi="宋体" w:eastAsia="宋体" w:cs="宋体"/>
          <w:b/>
          <w:bCs/>
          <w:color w:val="auto"/>
          <w:szCs w:val="22"/>
          <w:highlight w:val="none"/>
        </w:rPr>
      </w:pPr>
      <w:bookmarkStart w:id="51" w:name="_Toc256000012"/>
      <w:bookmarkStart w:id="52" w:name="_Toc256000021"/>
      <w:bookmarkStart w:id="53" w:name="_Toc4019"/>
      <w:bookmarkStart w:id="54" w:name="_Toc6750"/>
      <w:bookmarkStart w:id="55" w:name="_Toc9458"/>
      <w:r>
        <w:rPr>
          <w:rFonts w:hint="eastAsia" w:ascii="宋体" w:hAnsi="宋体" w:eastAsia="宋体" w:cs="宋体"/>
          <w:b/>
          <w:bCs/>
          <w:color w:val="auto"/>
          <w:szCs w:val="22"/>
          <w:highlight w:val="none"/>
        </w:rPr>
        <w:t>八、其他规定</w:t>
      </w:r>
      <w:bookmarkEnd w:id="51"/>
      <w:bookmarkEnd w:id="52"/>
      <w:bookmarkEnd w:id="53"/>
      <w:bookmarkEnd w:id="54"/>
      <w:bookmarkEnd w:id="55"/>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磋商文件的其他规定见磋商须知前附</w:t>
      </w:r>
      <w:bookmarkStart w:id="56" w:name="_Toc23825"/>
      <w:bookmarkStart w:id="57" w:name="_Toc7041"/>
      <w:bookmarkStart w:id="58" w:name="_Toc256000022"/>
      <w:bookmarkStart w:id="59" w:name="_Toc529952598"/>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spacing w:line="360" w:lineRule="auto"/>
        <w:jc w:val="center"/>
        <w:outlineLvl w:val="0"/>
        <w:rPr>
          <w:rFonts w:hint="eastAsia" w:ascii="宋体" w:hAnsi="宋体" w:eastAsia="宋体" w:cs="宋体"/>
          <w:b/>
          <w:color w:val="auto"/>
          <w:sz w:val="32"/>
          <w:szCs w:val="32"/>
          <w:highlight w:val="none"/>
        </w:rPr>
      </w:pPr>
      <w:bookmarkStart w:id="60" w:name="_Toc6876"/>
      <w:bookmarkStart w:id="61" w:name="_Toc19877"/>
      <w:bookmarkStart w:id="62" w:name="_Toc7252"/>
      <w:r>
        <w:rPr>
          <w:rFonts w:hint="eastAsia" w:ascii="宋体" w:hAnsi="宋体" w:eastAsia="宋体" w:cs="宋体"/>
          <w:b/>
          <w:color w:val="auto"/>
          <w:sz w:val="32"/>
          <w:szCs w:val="32"/>
          <w:highlight w:val="none"/>
          <w:lang w:val="en-US" w:eastAsia="zh-CN"/>
        </w:rPr>
        <w:t>第三章 评审方法（综合评分法）</w:t>
      </w:r>
      <w:bookmarkEnd w:id="56"/>
      <w:bookmarkEnd w:id="57"/>
      <w:bookmarkEnd w:id="58"/>
      <w:bookmarkEnd w:id="59"/>
      <w:bookmarkEnd w:id="60"/>
      <w:bookmarkEnd w:id="61"/>
      <w:bookmarkEnd w:id="62"/>
    </w:p>
    <w:p>
      <w:pPr>
        <w:tabs>
          <w:tab w:val="left" w:pos="420"/>
          <w:tab w:val="left" w:pos="7560"/>
          <w:tab w:val="left" w:pos="7740"/>
          <w:tab w:val="left" w:pos="7920"/>
        </w:tabs>
        <w:adjustRightInd w:val="0"/>
        <w:snapToGrid w:val="0"/>
        <w:spacing w:line="360" w:lineRule="auto"/>
        <w:outlineLvl w:val="1"/>
        <w:rPr>
          <w:rFonts w:hint="eastAsia" w:ascii="宋体" w:hAnsi="宋体" w:cs="宋体"/>
          <w:b/>
          <w:color w:val="auto"/>
          <w:sz w:val="24"/>
          <w:szCs w:val="24"/>
          <w:highlight w:val="none"/>
        </w:rPr>
      </w:pPr>
      <w:bookmarkStart w:id="63" w:name="_Toc30287"/>
      <w:bookmarkStart w:id="64" w:name="_Toc15535"/>
      <w:r>
        <w:rPr>
          <w:rFonts w:hint="eastAsia" w:ascii="宋体" w:hAnsi="宋体" w:cs="宋体"/>
          <w:b/>
          <w:color w:val="auto"/>
          <w:sz w:val="24"/>
          <w:szCs w:val="24"/>
          <w:highlight w:val="none"/>
        </w:rPr>
        <w:t>一、综合评分</w:t>
      </w:r>
      <w:bookmarkEnd w:id="63"/>
      <w:bookmarkEnd w:id="64"/>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2.评审时，磋商小组各成员应当独立对每个有效响应的文件进行评价、打分，然后汇总每个供应商每项评分因素的得分。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bookmarkStart w:id="65" w:name="_Toc11231"/>
      <w:bookmarkStart w:id="66" w:name="_Toc14524"/>
      <w:r>
        <w:rPr>
          <w:rFonts w:hint="eastAsia" w:ascii="宋体" w:hAnsi="宋体" w:eastAsia="宋体" w:cs="宋体"/>
          <w:b/>
          <w:color w:val="auto"/>
          <w:sz w:val="24"/>
          <w:szCs w:val="24"/>
          <w:highlight w:val="none"/>
        </w:rPr>
        <w:t>二.综合评分细则表</w:t>
      </w:r>
      <w:bookmarkEnd w:id="65"/>
      <w:bookmarkEnd w:id="66"/>
      <w:bookmarkStart w:id="67" w:name="EB2b9517aba70e41b6b8039ac384a1ee3b"/>
      <w:bookmarkStart w:id="68" w:name="EBa7c662697928483c8bec43b86b5b112f"/>
    </w:p>
    <w:tbl>
      <w:tblPr>
        <w:tblStyle w:val="28"/>
        <w:tblpPr w:leftFromText="180" w:rightFromText="180" w:vertAnchor="text" w:horzAnchor="page" w:tblpXSpec="center" w:tblpY="286"/>
        <w:tblOverlap w:val="never"/>
        <w:tblW w:w="5653"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55"/>
        <w:gridCol w:w="832"/>
        <w:gridCol w:w="2028"/>
        <w:gridCol w:w="5575"/>
        <w:gridCol w:w="618"/>
        <w:gridCol w:w="618"/>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2674"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674"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b/>
                <w:color w:val="auto"/>
                <w:szCs w:val="21"/>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2"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p>
            <w:pPr>
              <w:pStyle w:val="86"/>
              <w:rPr>
                <w:rFonts w:hint="eastAsia" w:ascii="宋体" w:hAnsi="宋体" w:eastAsia="宋体" w:cs="宋体"/>
                <w:color w:val="auto"/>
                <w:sz w:val="21"/>
                <w:szCs w:val="21"/>
                <w:highlight w:val="none"/>
              </w:rPr>
            </w:pPr>
          </w:p>
          <w:p>
            <w:pPr>
              <w:pStyle w:val="86"/>
              <w:rPr>
                <w:rFonts w:hint="eastAsia" w:ascii="宋体" w:hAnsi="宋体" w:eastAsia="宋体" w:cs="宋体"/>
                <w:color w:val="auto"/>
                <w:sz w:val="21"/>
                <w:szCs w:val="21"/>
                <w:highlight w:val="none"/>
              </w:rPr>
            </w:pPr>
          </w:p>
        </w:tc>
        <w:tc>
          <w:tcPr>
            <w:tcW w:w="398"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资质证书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具有建筑工程施工总承包叁级及以上资质或建筑装修装饰工程专业承包贰级（含贰级）及以上资质或防水防腐保温工程专业承包二级及以上资质；有效的安全生产许可证；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项目负责人证书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项目负责人具有在本单位注册的建筑工程二级及以上注册建造师执业资格及有效的安全生产考核合格证书</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是法人的，提供提供2021年度经会计事务所出具的财务审计报告或提供近三个月内银行出具的资信证明；其他组织和自然人，没有经审计的财务报告，可以提供在递交投标文件前三个月内银行出具的资信证明。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具有履行合同所必须的设备和专业技术能力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提供</w:t>
            </w:r>
            <w:r>
              <w:rPr>
                <w:rFonts w:hint="eastAsia" w:ascii="宋体" w:hAnsi="宋体" w:cs="宋体"/>
                <w:color w:val="auto"/>
                <w:szCs w:val="21"/>
                <w:highlight w:val="none"/>
              </w:rPr>
              <w:t>具有履行合同所需的设备和专业技术能力的书面声明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有依法缴纳税收和社会保障金的良好记录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文件前六个月内任意一个月份的企业缴税凭证或证明；递交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文件前六个月内任意一月份的缴纳社会保障资金的凭证或当地社会保障局出具的缴纳明细。依法免税或不需要缴纳社会保障资金的投标人，应当提供相关文件证明其依法免税或不需要缴纳社会保障资金。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具备法律、行政法规规定的其他条件。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信用查询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（以采购代理机构于递交响应文件截止日当天在“信用中国”网站（www.creditchina.gov.cn）查询结果为准。</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限制性情形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专门面向中小企业采购</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文件内容</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文件签署</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文件上法定代表人或其授权代理人的签字、</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2"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文件未附有采购人不能接受的条件或不符合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文件的其他要求。</w:t>
            </w:r>
          </w:p>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bl>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详细评审表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446"/>
        <w:gridCol w:w="806"/>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评审项目</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根据供应商近</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年以来至投标截止日）的与本项目相同或</w:t>
            </w:r>
            <w:r>
              <w:rPr>
                <w:rFonts w:hint="eastAsia" w:ascii="宋体" w:hAnsi="宋体" w:eastAsia="宋体" w:cs="宋体"/>
                <w:bCs/>
                <w:color w:val="auto"/>
                <w:sz w:val="24"/>
                <w:szCs w:val="24"/>
                <w:highlight w:val="none"/>
                <w:lang w:eastAsia="zh-CN"/>
              </w:rPr>
              <w:t>类</w:t>
            </w:r>
            <w:r>
              <w:rPr>
                <w:rFonts w:hint="eastAsia" w:ascii="宋体" w:hAnsi="宋体" w:eastAsia="宋体" w:cs="宋体"/>
                <w:bCs/>
                <w:color w:val="auto"/>
                <w:sz w:val="24"/>
                <w:szCs w:val="24"/>
                <w:highlight w:val="none"/>
              </w:rPr>
              <w:t>似的项目业绩（标书内附成交通知书</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合同扫描件</w:t>
            </w:r>
            <w:r>
              <w:rPr>
                <w:rFonts w:hint="eastAsia" w:ascii="宋体" w:hAnsi="宋体" w:eastAsia="宋体" w:cs="宋体"/>
                <w:bCs/>
                <w:color w:val="auto"/>
                <w:sz w:val="24"/>
                <w:szCs w:val="24"/>
                <w:highlight w:val="none"/>
                <w:lang w:eastAsia="zh-CN"/>
              </w:rPr>
              <w:t>，两者必须同时具备</w:t>
            </w:r>
            <w:r>
              <w:rPr>
                <w:rFonts w:hint="eastAsia" w:ascii="宋体" w:hAnsi="宋体" w:eastAsia="宋体" w:cs="宋体"/>
                <w:bCs/>
                <w:color w:val="auto"/>
                <w:sz w:val="24"/>
                <w:szCs w:val="24"/>
                <w:highlight w:val="none"/>
              </w:rPr>
              <w:t>），有一项得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保修服务承诺及措施，保修服务响应时间及人员岗位设置合理，在缺陷责任期内保障本项目全面达到合格标准，得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施工准备计划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施工技术、现场、物资与机械、队伍准备计划应能充分保证工程需要等综合打分。计划内容完整可行、符合项目实际情况的得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施工进度计划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进度计划应在空间和时间上做合理的统筹安排且符合施工的科学规律等综合打分。计划完整、科学、符合项目实际情况的得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分；计划内容完整但空间及时间安排不合理的得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分；计划存在缺漏，不科学、不能符合项目实际情况的得</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现场文明施工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质量、进度、安全保证措施和体系</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售后服务方案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2、维修能力证明，提供承诺函的得2分，未提供不得分。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3、根据提供的针对客户当地实际情况制定售后服务承诺，提供承诺函得3分，未提供不得分。</w:t>
            </w:r>
          </w:p>
        </w:tc>
      </w:tr>
      <w:bookmarkEnd w:id="67"/>
      <w:bookmarkEnd w:id="68"/>
    </w:tbl>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9" w:name="_Toc17560"/>
      <w:bookmarkStart w:id="70" w:name="_Toc28810"/>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三.推荐成交供应商</w:t>
      </w:r>
      <w:bookmarkEnd w:id="69"/>
      <w:bookmarkEnd w:id="70"/>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2.评分计算方法解释</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（1）供应商的评审得分是指所有磋商小组成员对其评分的算术平均值。</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71" w:name="_Toc13826"/>
      <w:bookmarkStart w:id="72" w:name="_Toc15185"/>
      <w:r>
        <w:rPr>
          <w:rFonts w:hint="eastAsia" w:ascii="宋体" w:hAnsi="宋体" w:eastAsia="宋体" w:cs="宋体"/>
          <w:b/>
          <w:color w:val="auto"/>
          <w:sz w:val="24"/>
          <w:szCs w:val="24"/>
          <w:highlight w:val="none"/>
        </w:rPr>
        <w:t>四.确定成交供应商</w:t>
      </w:r>
      <w:bookmarkEnd w:id="71"/>
      <w:bookmarkEnd w:id="72"/>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1.采购代理机构应当在评审结束后2个工作日内将评审报告送采购人确认。</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3" w:name="_Toc256000023"/>
      <w:bookmarkStart w:id="74" w:name="_Toc13730"/>
      <w:bookmarkStart w:id="75" w:name="_Toc9140"/>
      <w:bookmarkStart w:id="76" w:name="_Toc529952599"/>
      <w:bookmarkStart w:id="77" w:name="_Toc7149"/>
      <w:bookmarkStart w:id="78" w:name="_Toc30232"/>
      <w:bookmarkStart w:id="79" w:name="_Toc20330"/>
    </w:p>
    <w:p>
      <w:pPr>
        <w:kinsoku w:val="0"/>
        <w:overflowPunct w:val="0"/>
        <w:spacing w:line="360" w:lineRule="auto"/>
        <w:jc w:val="left"/>
        <w:outlineLvl w:val="9"/>
        <w:rPr>
          <w:rFonts w:hint="eastAsia" w:ascii="宋体" w:hAnsi="宋体" w:eastAsia="宋体" w:cs="宋体"/>
          <w:bCs/>
          <w:color w:val="auto"/>
          <w:sz w:val="24"/>
          <w:szCs w:val="24"/>
          <w:highlight w:val="none"/>
        </w:rPr>
      </w:pPr>
    </w:p>
    <w:p>
      <w:pPr>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第四章  政府采购合同格式</w:t>
      </w:r>
      <w:bookmarkEnd w:id="73"/>
      <w:bookmarkEnd w:id="74"/>
      <w:bookmarkEnd w:id="75"/>
      <w:bookmarkEnd w:id="76"/>
      <w:bookmarkEnd w:id="77"/>
      <w:bookmarkEnd w:id="78"/>
      <w:bookmarkEnd w:id="79"/>
    </w:p>
    <w:p>
      <w:pPr>
        <w:rPr>
          <w:rFonts w:hint="eastAsia" w:ascii="宋体" w:hAnsi="宋体" w:cs="宋体"/>
          <w:b/>
          <w:bCs/>
          <w:color w:val="auto"/>
          <w:highlight w:val="none"/>
          <w:lang w:eastAsia="zh-CN"/>
        </w:rPr>
      </w:pPr>
      <w:bookmarkStart w:id="80" w:name="EB0241872a782746df84ab771927209b83"/>
      <w:bookmarkStart w:id="81" w:name="_Toc529952600"/>
      <w:bookmarkStart w:id="82" w:name="_Toc20420"/>
      <w:bookmarkStart w:id="83" w:name="_Toc256000024"/>
      <w:bookmarkStart w:id="84" w:name="_Toc28066"/>
    </w:p>
    <w:p>
      <w:pPr>
        <w:pStyle w:val="3"/>
        <w:spacing w:line="400" w:lineRule="exact"/>
        <w:jc w:val="center"/>
        <w:rPr>
          <w:rFonts w:hint="eastAsia" w:ascii="宋体" w:hAnsi="宋体"/>
          <w:color w:val="auto"/>
          <w:sz w:val="36"/>
          <w:szCs w:val="36"/>
          <w:highlight w:val="none"/>
          <w:lang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eastAsia="zh-CN"/>
        </w:rPr>
        <w:t>政府采购合同（参考文本）</w:t>
      </w:r>
    </w:p>
    <w:p>
      <w:pPr>
        <w:pStyle w:val="11"/>
        <w:snapToGrid w:val="0"/>
        <w:spacing w:after="0" w:line="360" w:lineRule="auto"/>
        <w:ind w:firstLine="424" w:firstLineChars="202"/>
        <w:rPr>
          <w:rFonts w:ascii="宋体" w:hAnsi="宋体"/>
          <w:snapToGrid w:val="0"/>
          <w:color w:val="auto"/>
          <w:highlight w:val="none"/>
        </w:rPr>
      </w:pPr>
      <w:r>
        <w:rPr>
          <w:rFonts w:ascii="宋体" w:hAnsi="宋体"/>
          <w:snapToGrid w:val="0"/>
          <w:color w:val="auto"/>
          <w:highlight w:val="none"/>
        </w:rPr>
        <w:t>合同编号：</w:t>
      </w:r>
      <w:r>
        <w:rPr>
          <w:rFonts w:ascii="宋体" w:hAnsi="宋体"/>
          <w:snapToGrid w:val="0"/>
          <w:color w:val="auto"/>
          <w:highlight w:val="none"/>
          <w:u w:val="single"/>
        </w:rPr>
        <w:t>与项目编号一致</w:t>
      </w:r>
    </w:p>
    <w:p>
      <w:pPr>
        <w:pStyle w:val="11"/>
        <w:tabs>
          <w:tab w:val="left" w:pos="4501"/>
          <w:tab w:val="left" w:pos="4861"/>
        </w:tabs>
        <w:snapToGrid w:val="0"/>
        <w:spacing w:after="0" w:line="360" w:lineRule="auto"/>
        <w:ind w:right="5382" w:firstLine="424" w:firstLineChars="202"/>
        <w:rPr>
          <w:rFonts w:hint="eastAsia" w:ascii="宋体" w:hAnsi="宋体"/>
          <w:snapToGrid w:val="0"/>
          <w:color w:val="auto"/>
          <w:highlight w:val="none"/>
          <w:u w:val="single"/>
        </w:rPr>
      </w:pPr>
      <w:r>
        <w:rPr>
          <w:rFonts w:ascii="宋体" w:hAnsi="宋体"/>
          <w:snapToGrid w:val="0"/>
          <w:color w:val="auto"/>
          <w:highlight w:val="none"/>
        </w:rPr>
        <w:t>计划号/备案号：</w:t>
      </w:r>
      <w:r>
        <w:rPr>
          <w:rFonts w:ascii="宋体" w:hAnsi="宋体"/>
          <w:snapToGrid w:val="0"/>
          <w:color w:val="auto"/>
          <w:highlight w:val="none"/>
          <w:u w:val="single"/>
        </w:rPr>
        <w:tab/>
      </w:r>
      <w:r>
        <w:rPr>
          <w:rFonts w:ascii="宋体" w:hAnsi="宋体"/>
          <w:snapToGrid w:val="0"/>
          <w:color w:val="auto"/>
          <w:highlight w:val="none"/>
          <w:u w:val="single"/>
        </w:rPr>
        <w:t xml:space="preserve"> </w:t>
      </w:r>
    </w:p>
    <w:p>
      <w:pPr>
        <w:pStyle w:val="11"/>
        <w:tabs>
          <w:tab w:val="left" w:pos="4501"/>
          <w:tab w:val="left" w:pos="4861"/>
        </w:tabs>
        <w:snapToGrid w:val="0"/>
        <w:spacing w:after="0" w:line="360" w:lineRule="auto"/>
        <w:ind w:right="5382" w:firstLine="424" w:firstLineChars="202"/>
        <w:rPr>
          <w:rFonts w:ascii="宋体" w:hAnsi="宋体"/>
          <w:snapToGrid w:val="0"/>
          <w:color w:val="auto"/>
          <w:highlight w:val="none"/>
        </w:rPr>
      </w:pPr>
      <w:r>
        <w:rPr>
          <w:rFonts w:ascii="宋体" w:hAnsi="宋体"/>
          <w:snapToGrid w:val="0"/>
          <w:color w:val="auto"/>
          <w:highlight w:val="none"/>
        </w:rPr>
        <w:t>签订地点：</w:t>
      </w:r>
      <w:r>
        <w:rPr>
          <w:rFonts w:ascii="宋体" w:hAnsi="宋体"/>
          <w:snapToGrid w:val="0"/>
          <w:color w:val="auto"/>
          <w:highlight w:val="none"/>
          <w:u w:val="single"/>
        </w:rPr>
        <w:t xml:space="preserve"> </w:t>
      </w:r>
      <w:r>
        <w:rPr>
          <w:rFonts w:ascii="宋体" w:hAnsi="宋体"/>
          <w:snapToGrid w:val="0"/>
          <w:color w:val="auto"/>
          <w:highlight w:val="none"/>
          <w:u w:val="single"/>
        </w:rPr>
        <w:tab/>
      </w:r>
    </w:p>
    <w:p>
      <w:pPr>
        <w:pStyle w:val="11"/>
        <w:tabs>
          <w:tab w:val="left" w:pos="4501"/>
        </w:tabs>
        <w:snapToGrid w:val="0"/>
        <w:spacing w:after="0" w:line="360" w:lineRule="auto"/>
        <w:ind w:firstLine="424" w:firstLineChars="202"/>
        <w:rPr>
          <w:rFonts w:ascii="宋体" w:hAnsi="宋体"/>
          <w:snapToGrid w:val="0"/>
          <w:color w:val="auto"/>
          <w:highlight w:val="none"/>
        </w:rPr>
      </w:pPr>
      <w:r>
        <w:rPr>
          <w:rFonts w:ascii="宋体" w:hAnsi="宋体"/>
          <w:snapToGrid w:val="0"/>
          <w:color w:val="auto"/>
          <w:highlight w:val="none"/>
        </w:rPr>
        <w:t>签订时间：</w:t>
      </w:r>
      <w:r>
        <w:rPr>
          <w:rFonts w:ascii="宋体" w:hAnsi="宋体"/>
          <w:snapToGrid w:val="0"/>
          <w:color w:val="auto"/>
          <w:highlight w:val="none"/>
          <w:u w:val="single"/>
        </w:rPr>
        <w:t xml:space="preserve"> </w:t>
      </w:r>
      <w:r>
        <w:rPr>
          <w:rFonts w:ascii="宋体" w:hAnsi="宋体"/>
          <w:snapToGrid w:val="0"/>
          <w:color w:val="auto"/>
          <w:highlight w:val="none"/>
          <w:u w:val="single"/>
        </w:rPr>
        <w:tab/>
      </w:r>
    </w:p>
    <w:p>
      <w:pPr>
        <w:pStyle w:val="11"/>
        <w:tabs>
          <w:tab w:val="left" w:pos="4501"/>
        </w:tabs>
        <w:snapToGrid w:val="0"/>
        <w:spacing w:after="0" w:line="360" w:lineRule="auto"/>
        <w:ind w:firstLine="424" w:firstLineChars="202"/>
        <w:rPr>
          <w:rFonts w:hint="eastAsia" w:ascii="宋体" w:hAnsi="宋体"/>
          <w:snapToGrid w:val="0"/>
          <w:color w:val="auto"/>
          <w:w w:val="105"/>
          <w:highlight w:val="none"/>
          <w:u w:val="single"/>
        </w:rPr>
      </w:pPr>
      <w:r>
        <w:rPr>
          <w:rFonts w:hint="eastAsia" w:ascii="宋体" w:hAnsi="宋体" w:cs="Noto Sans CJK JP Regular"/>
          <w:snapToGrid w:val="0"/>
          <w:color w:val="auto"/>
          <w:highlight w:val="none"/>
        </w:rPr>
        <w:t>采购人名称</w:t>
      </w:r>
      <w:r>
        <w:rPr>
          <w:rFonts w:ascii="宋体" w:hAnsi="宋体"/>
          <w:snapToGrid w:val="0"/>
          <w:color w:val="auto"/>
          <w:highlight w:val="none"/>
        </w:rPr>
        <w:t>(</w:t>
      </w:r>
      <w:r>
        <w:rPr>
          <w:rFonts w:hint="eastAsia" w:ascii="宋体" w:hAnsi="宋体" w:cs="Noto Sans CJK JP Regular"/>
          <w:snapToGrid w:val="0"/>
          <w:color w:val="auto"/>
          <w:highlight w:val="none"/>
        </w:rPr>
        <w:t>甲方</w:t>
      </w:r>
      <w:r>
        <w:rPr>
          <w:rFonts w:ascii="宋体" w:hAnsi="宋体"/>
          <w:snapToGrid w:val="0"/>
          <w:color w:val="auto"/>
          <w:highlight w:val="none"/>
        </w:rPr>
        <w:t>)</w:t>
      </w:r>
      <w:r>
        <w:rPr>
          <w:rFonts w:hint="eastAsia" w:ascii="宋体" w:hAnsi="宋体" w:cs="Noto Sans CJK JP Regular"/>
          <w:snapToGrid w:val="0"/>
          <w:color w:val="auto"/>
          <w:highlight w:val="none"/>
        </w:rPr>
        <w:t>：</w:t>
      </w:r>
      <w:r>
        <w:rPr>
          <w:rFonts w:ascii="宋体" w:hAnsi="宋体"/>
          <w:snapToGrid w:val="0"/>
          <w:color w:val="auto"/>
          <w:w w:val="105"/>
          <w:highlight w:val="none"/>
          <w:u w:val="single"/>
        </w:rPr>
        <w:t xml:space="preserve"> </w:t>
      </w:r>
      <w:r>
        <w:rPr>
          <w:rFonts w:ascii="宋体" w:hAnsi="宋体"/>
          <w:snapToGrid w:val="0"/>
          <w:color w:val="auto"/>
          <w:w w:val="105"/>
          <w:highlight w:val="none"/>
          <w:u w:val="single"/>
        </w:rPr>
        <w:tab/>
      </w:r>
    </w:p>
    <w:p>
      <w:pPr>
        <w:pStyle w:val="11"/>
        <w:tabs>
          <w:tab w:val="left" w:pos="4501"/>
        </w:tabs>
        <w:snapToGrid w:val="0"/>
        <w:spacing w:after="0" w:line="360" w:lineRule="auto"/>
        <w:ind w:firstLine="424" w:firstLineChars="202"/>
        <w:rPr>
          <w:rFonts w:hint="eastAsia" w:ascii="宋体" w:hAnsi="宋体"/>
          <w:snapToGrid w:val="0"/>
          <w:color w:val="auto"/>
          <w:w w:val="105"/>
          <w:highlight w:val="none"/>
          <w:u w:val="single"/>
        </w:rPr>
      </w:pPr>
      <w:r>
        <w:rPr>
          <w:rFonts w:hint="eastAsia" w:ascii="宋体" w:hAnsi="宋体"/>
          <w:snapToGrid w:val="0"/>
          <w:color w:val="auto"/>
          <w:highlight w:val="none"/>
        </w:rPr>
        <w:t>供应商</w:t>
      </w:r>
      <w:r>
        <w:rPr>
          <w:rFonts w:hint="eastAsia" w:ascii="宋体" w:hAnsi="宋体" w:cs="Noto Sans CJK JP Regular"/>
          <w:snapToGrid w:val="0"/>
          <w:color w:val="auto"/>
          <w:highlight w:val="none"/>
        </w:rPr>
        <w:t>名称</w:t>
      </w:r>
      <w:r>
        <w:rPr>
          <w:rFonts w:ascii="宋体" w:hAnsi="宋体"/>
          <w:snapToGrid w:val="0"/>
          <w:color w:val="auto"/>
          <w:highlight w:val="none"/>
        </w:rPr>
        <w:t>(</w:t>
      </w:r>
      <w:r>
        <w:rPr>
          <w:rFonts w:hint="eastAsia" w:ascii="宋体" w:hAnsi="宋体"/>
          <w:snapToGrid w:val="0"/>
          <w:color w:val="auto"/>
          <w:highlight w:val="none"/>
        </w:rPr>
        <w:t>乙方</w:t>
      </w:r>
      <w:r>
        <w:rPr>
          <w:rFonts w:ascii="宋体" w:hAnsi="宋体"/>
          <w:snapToGrid w:val="0"/>
          <w:color w:val="auto"/>
          <w:highlight w:val="none"/>
        </w:rPr>
        <w:t>)</w:t>
      </w:r>
      <w:r>
        <w:rPr>
          <w:rFonts w:hint="eastAsia" w:ascii="宋体" w:hAnsi="宋体" w:cs="Noto Sans CJK JP Regular"/>
          <w:snapToGrid w:val="0"/>
          <w:color w:val="auto"/>
          <w:highlight w:val="none"/>
        </w:rPr>
        <w:t>：</w:t>
      </w:r>
      <w:r>
        <w:rPr>
          <w:rFonts w:ascii="宋体" w:hAnsi="宋体"/>
          <w:snapToGrid w:val="0"/>
          <w:color w:val="auto"/>
          <w:w w:val="105"/>
          <w:highlight w:val="none"/>
          <w:u w:val="single"/>
        </w:rPr>
        <w:t xml:space="preserve"> </w:t>
      </w:r>
      <w:r>
        <w:rPr>
          <w:rFonts w:ascii="宋体" w:hAnsi="宋体"/>
          <w:snapToGrid w:val="0"/>
          <w:color w:val="auto"/>
          <w:w w:val="105"/>
          <w:highlight w:val="none"/>
          <w:u w:val="single"/>
        </w:rPr>
        <w:tab/>
      </w:r>
    </w:p>
    <w:p>
      <w:pPr>
        <w:pStyle w:val="11"/>
        <w:tabs>
          <w:tab w:val="left" w:pos="4501"/>
        </w:tabs>
        <w:snapToGrid w:val="0"/>
        <w:spacing w:after="0" w:line="360" w:lineRule="auto"/>
        <w:ind w:firstLine="424" w:firstLineChars="202"/>
        <w:rPr>
          <w:rFonts w:ascii="宋体" w:hAnsi="宋体"/>
          <w:snapToGrid w:val="0"/>
          <w:color w:val="auto"/>
          <w:highlight w:val="none"/>
        </w:rPr>
      </w:pPr>
    </w:p>
    <w:p>
      <w:pPr>
        <w:pStyle w:val="87"/>
        <w:snapToGrid w:val="0"/>
        <w:spacing w:line="324" w:lineRule="auto"/>
        <w:ind w:firstLine="480"/>
        <w:rPr>
          <w:rFonts w:hint="eastAsia" w:ascii="宋体" w:hAnsi="宋体"/>
          <w:color w:val="auto"/>
          <w:highlight w:val="none"/>
        </w:rPr>
      </w:pPr>
      <w:r>
        <w:rPr>
          <w:rFonts w:hint="eastAsia" w:ascii="宋体" w:hAnsi="宋体"/>
          <w:color w:val="auto"/>
          <w:highlight w:val="none"/>
        </w:rPr>
        <w:t>根据《中华人民共和国政府采购法》、《中华人民共和国</w:t>
      </w:r>
      <w:r>
        <w:rPr>
          <w:rFonts w:hint="eastAsia" w:ascii="宋体" w:hAnsi="宋体"/>
          <w:color w:val="auto"/>
          <w:highlight w:val="none"/>
          <w:lang w:val="en-US" w:eastAsia="zh-CN"/>
        </w:rPr>
        <w:t>民法典</w:t>
      </w:r>
      <w:r>
        <w:rPr>
          <w:rFonts w:hint="eastAsia" w:ascii="宋体" w:hAnsi="宋体"/>
          <w:color w:val="auto"/>
          <w:highlight w:val="none"/>
        </w:rPr>
        <w:t>》及《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pPr>
        <w:numPr>
          <w:ilvl w:val="0"/>
          <w:numId w:val="6"/>
        </w:numPr>
        <w:snapToGrid w:val="0"/>
        <w:spacing w:line="324" w:lineRule="auto"/>
        <w:ind w:firstLineChars="0"/>
        <w:rPr>
          <w:rFonts w:hint="eastAsia" w:ascii="宋体" w:hAnsi="宋体"/>
          <w:b/>
          <w:color w:val="auto"/>
          <w:sz w:val="24"/>
          <w:highlight w:val="none"/>
        </w:rPr>
      </w:pPr>
      <w:bookmarkStart w:id="85" w:name="_Toc217446115"/>
      <w:r>
        <w:rPr>
          <w:rFonts w:hint="eastAsia" w:ascii="宋体" w:hAnsi="宋体"/>
          <w:b/>
          <w:color w:val="auto"/>
          <w:sz w:val="24"/>
          <w:highlight w:val="none"/>
        </w:rPr>
        <w:t>工程概况</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工程名称：</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工程地点：</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工程内容：</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资金来源：</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numPr>
          <w:ilvl w:val="0"/>
          <w:numId w:val="6"/>
        </w:numPr>
        <w:snapToGrid w:val="0"/>
        <w:spacing w:line="324" w:lineRule="auto"/>
        <w:ind w:firstLineChars="0"/>
        <w:rPr>
          <w:rFonts w:ascii="宋体" w:hAnsi="宋体"/>
          <w:b/>
          <w:color w:val="auto"/>
          <w:sz w:val="24"/>
          <w:highlight w:val="none"/>
        </w:rPr>
      </w:pPr>
      <w:r>
        <w:rPr>
          <w:rFonts w:hint="eastAsia" w:ascii="宋体" w:hAnsi="宋体"/>
          <w:b/>
          <w:color w:val="auto"/>
          <w:sz w:val="24"/>
          <w:highlight w:val="none"/>
        </w:rPr>
        <w:t>工程标的范围</w:t>
      </w:r>
    </w:p>
    <w:p>
      <w:pPr>
        <w:snapToGrid w:val="0"/>
        <w:spacing w:line="324" w:lineRule="auto"/>
        <w:ind w:firstLine="480"/>
        <w:rPr>
          <w:rFonts w:ascii="宋体" w:hAnsi="宋体"/>
          <w:color w:val="auto"/>
          <w:sz w:val="24"/>
          <w:highlight w:val="none"/>
        </w:rPr>
      </w:pPr>
      <w:r>
        <w:rPr>
          <w:rFonts w:hint="eastAsia" w:ascii="宋体" w:hAnsi="宋体"/>
          <w:color w:val="auto"/>
          <w:sz w:val="24"/>
          <w:highlight w:val="none"/>
        </w:rPr>
        <w:t>标的范围：</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numPr>
          <w:ilvl w:val="0"/>
          <w:numId w:val="6"/>
        </w:numPr>
        <w:snapToGrid w:val="0"/>
        <w:spacing w:line="324" w:lineRule="auto"/>
        <w:ind w:firstLineChars="0"/>
        <w:rPr>
          <w:rFonts w:hint="eastAsia" w:ascii="宋体" w:hAnsi="宋体"/>
          <w:b/>
          <w:color w:val="auto"/>
          <w:sz w:val="24"/>
          <w:highlight w:val="none"/>
        </w:rPr>
      </w:pPr>
      <w:bookmarkStart w:id="86" w:name="_Toc211854449"/>
      <w:bookmarkStart w:id="87" w:name="_Toc238984975"/>
      <w:bookmarkStart w:id="88" w:name="_Toc247334841"/>
      <w:bookmarkStart w:id="89" w:name="_Toc239233914"/>
      <w:bookmarkStart w:id="90" w:name="_Toc282696226"/>
      <w:bookmarkStart w:id="91" w:name="_Toc225670751"/>
      <w:bookmarkStart w:id="92" w:name="_Toc185395249"/>
      <w:bookmarkStart w:id="93" w:name="_Toc237145406"/>
      <w:bookmarkStart w:id="94" w:name="_Toc283019214"/>
      <w:bookmarkStart w:id="95" w:name="_Toc241833903"/>
      <w:bookmarkStart w:id="96" w:name="_Toc286993786"/>
      <w:bookmarkStart w:id="97" w:name="_Toc251768862"/>
      <w:bookmarkStart w:id="98" w:name="_Toc225654644"/>
      <w:bookmarkStart w:id="99" w:name="_Toc225244852"/>
      <w:bookmarkStart w:id="100" w:name="_Toc232492928"/>
      <w:bookmarkStart w:id="101" w:name="_Toc211911348"/>
      <w:bookmarkStart w:id="102" w:name="_Toc212019594"/>
      <w:bookmarkStart w:id="103" w:name="_Toc239568418"/>
      <w:r>
        <w:rPr>
          <w:rFonts w:hint="eastAsia" w:ascii="宋体" w:hAnsi="宋体"/>
          <w:b/>
          <w:color w:val="auto"/>
          <w:sz w:val="24"/>
          <w:highlight w:val="none"/>
        </w:rPr>
        <w:t>合同履行期限、地点、方式</w:t>
      </w:r>
    </w:p>
    <w:p>
      <w:pPr>
        <w:snapToGrid w:val="0"/>
        <w:spacing w:line="324" w:lineRule="auto"/>
        <w:ind w:left="567" w:firstLine="0" w:firstLineChars="0"/>
        <w:rPr>
          <w:rFonts w:hint="eastAsia" w:ascii="宋体" w:hAnsi="宋体"/>
          <w:color w:val="auto"/>
          <w:sz w:val="24"/>
          <w:highlight w:val="none"/>
        </w:rPr>
      </w:pPr>
      <w:r>
        <w:rPr>
          <w:rFonts w:hint="eastAsia" w:ascii="宋体" w:hAnsi="宋体"/>
          <w:color w:val="auto"/>
          <w:sz w:val="24"/>
          <w:highlight w:val="none"/>
        </w:rPr>
        <w:t>开工日期：</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snapToGrid w:val="0"/>
        <w:spacing w:line="324" w:lineRule="auto"/>
        <w:ind w:left="567" w:firstLine="0" w:firstLineChars="0"/>
        <w:rPr>
          <w:rFonts w:hint="eastAsia" w:ascii="宋体" w:hAnsi="宋体"/>
          <w:color w:val="auto"/>
          <w:sz w:val="24"/>
          <w:highlight w:val="none"/>
        </w:rPr>
      </w:pPr>
      <w:r>
        <w:rPr>
          <w:rFonts w:hint="eastAsia" w:ascii="宋体" w:hAnsi="宋体"/>
          <w:color w:val="auto"/>
          <w:sz w:val="24"/>
          <w:highlight w:val="none"/>
        </w:rPr>
        <w:t>竣工日期：</w:t>
      </w:r>
      <w:r>
        <w:rPr>
          <w:rFonts w:ascii="宋体" w:hAnsi="宋体"/>
          <w:snapToGrid w:val="0"/>
          <w:color w:val="auto"/>
          <w:highlight w:val="none"/>
          <w:u w:val="single"/>
        </w:rPr>
        <w:tab/>
      </w:r>
      <w:r>
        <w:rPr>
          <w:rFonts w:hint="eastAsia" w:ascii="宋体" w:hAnsi="宋体"/>
          <w:snapToGrid w:val="0"/>
          <w:color w:val="auto"/>
          <w:highlight w:val="none"/>
          <w:u w:val="single"/>
        </w:rPr>
        <w:t xml:space="preserve">                            </w:t>
      </w:r>
    </w:p>
    <w:p>
      <w:pPr>
        <w:snapToGrid w:val="0"/>
        <w:spacing w:line="324" w:lineRule="auto"/>
        <w:ind w:left="567" w:firstLine="0" w:firstLineChars="0"/>
        <w:rPr>
          <w:rFonts w:hint="eastAsia" w:ascii="宋体" w:hAnsi="宋体"/>
          <w:color w:val="auto"/>
          <w:sz w:val="24"/>
          <w:highlight w:val="none"/>
        </w:rPr>
      </w:pPr>
      <w:r>
        <w:rPr>
          <w:rFonts w:hint="eastAsia" w:ascii="宋体" w:hAnsi="宋体"/>
          <w:color w:val="auto"/>
          <w:sz w:val="24"/>
          <w:highlight w:val="none"/>
        </w:rPr>
        <w:t>合同工期总日历天数：</w:t>
      </w:r>
      <w:r>
        <w:rPr>
          <w:rFonts w:hint="eastAsia" w:ascii="宋体" w:hAnsi="宋体"/>
          <w:snapToGrid w:val="0"/>
          <w:color w:val="auto"/>
          <w:highlight w:val="none"/>
          <w:u w:val="single"/>
        </w:rPr>
        <w:t xml:space="preserve">                     </w:t>
      </w:r>
    </w:p>
    <w:p>
      <w:pPr>
        <w:numPr>
          <w:ilvl w:val="0"/>
          <w:numId w:val="6"/>
        </w:numPr>
        <w:snapToGrid w:val="0"/>
        <w:spacing w:line="324" w:lineRule="auto"/>
        <w:ind w:firstLineChars="0"/>
        <w:rPr>
          <w:rFonts w:hint="eastAsia" w:ascii="宋体" w:hAnsi="宋体"/>
          <w:b/>
          <w:color w:val="auto"/>
          <w:sz w:val="24"/>
          <w:highlight w:val="none"/>
        </w:rPr>
      </w:pPr>
      <w:r>
        <w:rPr>
          <w:rFonts w:hint="eastAsia" w:ascii="宋体" w:hAnsi="宋体"/>
          <w:b/>
          <w:color w:val="auto"/>
          <w:sz w:val="24"/>
          <w:highlight w:val="none"/>
        </w:rPr>
        <w:t>质量标准</w:t>
      </w:r>
    </w:p>
    <w:p>
      <w:pPr>
        <w:snapToGrid w:val="0"/>
        <w:spacing w:line="324" w:lineRule="auto"/>
        <w:ind w:left="567" w:firstLine="0" w:firstLineChars="0"/>
        <w:rPr>
          <w:rFonts w:hint="eastAsia" w:ascii="宋体" w:hAnsi="宋体"/>
          <w:color w:val="auto"/>
          <w:sz w:val="24"/>
          <w:highlight w:val="none"/>
        </w:rPr>
      </w:pPr>
      <w:r>
        <w:rPr>
          <w:rFonts w:hint="eastAsia" w:ascii="宋体" w:hAnsi="宋体"/>
          <w:color w:val="auto"/>
          <w:sz w:val="24"/>
          <w:highlight w:val="none"/>
        </w:rPr>
        <w:t>工程质量标准：</w:t>
      </w:r>
      <w:r>
        <w:rPr>
          <w:rFonts w:hint="eastAsia" w:ascii="宋体" w:hAnsi="宋体"/>
          <w:snapToGrid w:val="0"/>
          <w:color w:val="auto"/>
          <w:highlight w:val="none"/>
          <w:u w:val="single"/>
        </w:rPr>
        <w:t xml:space="preserve">                     </w:t>
      </w:r>
    </w:p>
    <w:p>
      <w:pPr>
        <w:numPr>
          <w:ilvl w:val="0"/>
          <w:numId w:val="6"/>
        </w:numPr>
        <w:snapToGrid w:val="0"/>
        <w:spacing w:line="324" w:lineRule="auto"/>
        <w:ind w:firstLineChars="0"/>
        <w:rPr>
          <w:rFonts w:hint="eastAsia" w:ascii="宋体" w:hAnsi="宋体"/>
          <w:b/>
          <w:color w:val="auto"/>
          <w:sz w:val="24"/>
          <w:highlight w:val="none"/>
        </w:rPr>
      </w:pPr>
      <w:r>
        <w:rPr>
          <w:rFonts w:hint="eastAsia" w:ascii="宋体" w:hAnsi="宋体"/>
          <w:b/>
          <w:color w:val="auto"/>
          <w:sz w:val="24"/>
          <w:highlight w:val="none"/>
        </w:rPr>
        <w:t>验收要求</w:t>
      </w:r>
    </w:p>
    <w:p>
      <w:pPr>
        <w:tabs>
          <w:tab w:val="left" w:pos="1440"/>
        </w:tabs>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s="仿宋"/>
          <w:color w:val="auto"/>
          <w:sz w:val="24"/>
          <w:highlight w:val="none"/>
        </w:rPr>
        <w:t xml:space="preserve"> 严格按照《财政部关于进一步加强政府采购需求和履约验收管理的指 导意见》(财库〔2016〕205 号)的要求进行验收</w:t>
      </w:r>
      <w:r>
        <w:rPr>
          <w:rFonts w:hint="eastAsia" w:ascii="宋体" w:hAnsi="宋体"/>
          <w:color w:val="auto"/>
          <w:sz w:val="24"/>
          <w:highlight w:val="none"/>
        </w:rPr>
        <w:t>。须符合国家有关规定、磋商文件的质量要求和技术指标、供应商的响应文件及承诺以及合同条款。</w:t>
      </w:r>
    </w:p>
    <w:p>
      <w:pPr>
        <w:tabs>
          <w:tab w:val="left" w:pos="1440"/>
        </w:tabs>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2.甲乙双方如对质量要求和技术指标的约定标准有相互抵触或异议的事项，由甲方在响应文件中按质量要求和技术指标比较优胜的原则确定该项的约定标准进行验收。</w:t>
      </w:r>
    </w:p>
    <w:p>
      <w:pPr>
        <w:tabs>
          <w:tab w:val="left" w:pos="1440"/>
        </w:tabs>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3.如质量验收合格，双方签署质量验收报告。</w:t>
      </w:r>
    </w:p>
    <w:p>
      <w:pPr>
        <w:numPr>
          <w:ilvl w:val="0"/>
          <w:numId w:val="6"/>
        </w:numPr>
        <w:snapToGrid w:val="0"/>
        <w:spacing w:line="324" w:lineRule="auto"/>
        <w:ind w:firstLineChars="0"/>
        <w:rPr>
          <w:rFonts w:hint="eastAsia" w:ascii="宋体" w:hAnsi="宋体"/>
          <w:b/>
          <w:color w:val="auto"/>
          <w:sz w:val="24"/>
          <w:highlight w:val="none"/>
        </w:rPr>
      </w:pPr>
      <w:r>
        <w:rPr>
          <w:rFonts w:hint="eastAsia" w:ascii="宋体" w:hAnsi="宋体"/>
          <w:b/>
          <w:color w:val="auto"/>
          <w:sz w:val="24"/>
          <w:highlight w:val="none"/>
        </w:rPr>
        <w:t>合同价款</w:t>
      </w:r>
    </w:p>
    <w:p>
      <w:pPr>
        <w:tabs>
          <w:tab w:val="left" w:pos="1440"/>
        </w:tabs>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金额（大写）：</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pPr>
        <w:tabs>
          <w:tab w:val="left" w:pos="1440"/>
        </w:tabs>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支付方法：</w:t>
      </w:r>
      <w:r>
        <w:rPr>
          <w:rFonts w:hint="eastAsia" w:ascii="宋体" w:hAnsi="宋体"/>
          <w:snapToGrid w:val="0"/>
          <w:color w:val="auto"/>
          <w:highlight w:val="none"/>
          <w:u w:val="single"/>
        </w:rPr>
        <w:t xml:space="preserve">                     </w:t>
      </w:r>
    </w:p>
    <w:p>
      <w:pPr>
        <w:numPr>
          <w:ilvl w:val="0"/>
          <w:numId w:val="6"/>
        </w:numPr>
        <w:snapToGrid w:val="0"/>
        <w:spacing w:line="324" w:lineRule="auto"/>
        <w:ind w:firstLineChars="0"/>
        <w:rPr>
          <w:rFonts w:ascii="宋体" w:hAnsi="宋体"/>
          <w:b/>
          <w:color w:val="auto"/>
          <w:sz w:val="24"/>
          <w:highlight w:val="none"/>
        </w:rPr>
      </w:pPr>
      <w:r>
        <w:rPr>
          <w:rFonts w:hint="eastAsia" w:ascii="宋体" w:hAnsi="宋体"/>
          <w:b/>
          <w:color w:val="auto"/>
          <w:sz w:val="24"/>
          <w:highlight w:val="none"/>
        </w:rPr>
        <w:t>违约责任</w:t>
      </w:r>
    </w:p>
    <w:p>
      <w:pPr>
        <w:numPr>
          <w:ilvl w:val="0"/>
          <w:numId w:val="7"/>
        </w:numPr>
        <w:tabs>
          <w:tab w:val="left" w:pos="1440"/>
        </w:tabs>
        <w:adjustRightInd w:val="0"/>
        <w:snapToGrid w:val="0"/>
        <w:spacing w:line="324" w:lineRule="auto"/>
        <w:ind w:left="0" w:firstLine="420" w:firstLineChars="0"/>
        <w:jc w:val="left"/>
        <w:textAlignment w:val="baseline"/>
        <w:rPr>
          <w:rFonts w:hint="eastAsia" w:ascii="宋体" w:hAnsi="宋体"/>
          <w:bCs/>
          <w:color w:val="auto"/>
          <w:sz w:val="24"/>
          <w:highlight w:val="none"/>
        </w:rPr>
      </w:pPr>
      <w:r>
        <w:rPr>
          <w:rFonts w:hint="eastAsia" w:ascii="宋体" w:hAnsi="宋体"/>
          <w:bCs/>
          <w:color w:val="auto"/>
          <w:sz w:val="24"/>
          <w:highlight w:val="none"/>
        </w:rPr>
        <w:t>甲乙双方必须遵守本合同并执行合同中的各项规定，保证本合同的正常履行。</w:t>
      </w:r>
    </w:p>
    <w:p>
      <w:pPr>
        <w:numPr>
          <w:ilvl w:val="0"/>
          <w:numId w:val="7"/>
        </w:numPr>
        <w:tabs>
          <w:tab w:val="left" w:pos="1440"/>
        </w:tabs>
        <w:adjustRightInd w:val="0"/>
        <w:snapToGrid w:val="0"/>
        <w:spacing w:line="324" w:lineRule="auto"/>
        <w:ind w:left="0" w:firstLine="420" w:firstLineChars="0"/>
        <w:jc w:val="left"/>
        <w:textAlignment w:val="baseline"/>
        <w:rPr>
          <w:rFonts w:hint="eastAsia" w:ascii="宋体" w:hAnsi="宋体"/>
          <w:bCs/>
          <w:color w:val="auto"/>
          <w:sz w:val="24"/>
          <w:highlight w:val="none"/>
        </w:rPr>
      </w:pPr>
      <w:r>
        <w:rPr>
          <w:rFonts w:hint="eastAsia" w:ascii="宋体" w:hAnsi="宋体"/>
          <w:bCs/>
          <w:color w:val="auto"/>
          <w:sz w:val="24"/>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ascii="宋体" w:hAnsi="宋体"/>
          <w:bCs/>
          <w:color w:val="auto"/>
          <w:sz w:val="24"/>
          <w:highlight w:val="none"/>
        </w:rPr>
        <w:t>。</w:t>
      </w:r>
    </w:p>
    <w:p>
      <w:pPr>
        <w:numPr>
          <w:ilvl w:val="0"/>
          <w:numId w:val="6"/>
        </w:numPr>
        <w:snapToGrid w:val="0"/>
        <w:spacing w:line="324" w:lineRule="auto"/>
        <w:ind w:firstLineChars="0"/>
        <w:rPr>
          <w:rFonts w:hint="eastAsia" w:ascii="宋体" w:hAnsi="宋体"/>
          <w:b/>
          <w:color w:val="auto"/>
          <w:sz w:val="24"/>
          <w:highlight w:val="none"/>
        </w:rPr>
      </w:pPr>
      <w:r>
        <w:rPr>
          <w:rFonts w:hint="eastAsia" w:ascii="宋体" w:hAnsi="宋体"/>
          <w:b/>
          <w:color w:val="auto"/>
          <w:sz w:val="24"/>
          <w:highlight w:val="none"/>
        </w:rPr>
        <w:t>不可抗力事件处理</w:t>
      </w:r>
    </w:p>
    <w:p>
      <w:pPr>
        <w:numPr>
          <w:ilvl w:val="0"/>
          <w:numId w:val="3"/>
        </w:numPr>
        <w:tabs>
          <w:tab w:val="left" w:pos="0"/>
        </w:tabs>
        <w:snapToGrid w:val="0"/>
        <w:spacing w:line="324" w:lineRule="auto"/>
        <w:ind w:left="0" w:firstLine="567" w:firstLineChars="0"/>
        <w:rPr>
          <w:rFonts w:hint="eastAsia" w:ascii="宋体" w:hAnsi="宋体"/>
          <w:color w:val="auto"/>
          <w:sz w:val="24"/>
          <w:highlight w:val="none"/>
        </w:rPr>
      </w:pPr>
      <w:r>
        <w:rPr>
          <w:rFonts w:hint="eastAsia" w:ascii="宋体" w:hAnsi="宋体"/>
          <w:color w:val="auto"/>
          <w:sz w:val="24"/>
          <w:highlight w:val="none"/>
        </w:rPr>
        <w:t>在合同有效期内，任何一方因不可抗力事件导致不能履行合同，则合同履行期可延长，其延长期与不可抗力影响期相同。</w:t>
      </w:r>
    </w:p>
    <w:p>
      <w:pPr>
        <w:numPr>
          <w:ilvl w:val="0"/>
          <w:numId w:val="3"/>
        </w:numPr>
        <w:tabs>
          <w:tab w:val="left" w:pos="0"/>
        </w:tabs>
        <w:snapToGrid w:val="0"/>
        <w:spacing w:line="324" w:lineRule="auto"/>
        <w:ind w:left="0" w:firstLine="567" w:firstLineChars="0"/>
        <w:rPr>
          <w:rFonts w:hint="eastAsia" w:ascii="宋体" w:hAnsi="宋体"/>
          <w:color w:val="auto"/>
          <w:sz w:val="24"/>
          <w:highlight w:val="none"/>
        </w:rPr>
      </w:pPr>
      <w:r>
        <w:rPr>
          <w:rFonts w:hint="eastAsia" w:ascii="宋体" w:hAnsi="宋体"/>
          <w:color w:val="auto"/>
          <w:sz w:val="24"/>
          <w:highlight w:val="none"/>
        </w:rPr>
        <w:t>不可抗力事件发生后，应立即通知对方，并寄送有关权威机构出具的证明。</w:t>
      </w:r>
    </w:p>
    <w:p>
      <w:pPr>
        <w:numPr>
          <w:ilvl w:val="0"/>
          <w:numId w:val="3"/>
        </w:numPr>
        <w:tabs>
          <w:tab w:val="left" w:pos="0"/>
        </w:tabs>
        <w:snapToGrid w:val="0"/>
        <w:spacing w:line="324" w:lineRule="auto"/>
        <w:ind w:left="0" w:firstLine="567" w:firstLineChars="0"/>
        <w:rPr>
          <w:rFonts w:ascii="宋体" w:hAnsi="宋体"/>
          <w:color w:val="auto"/>
          <w:sz w:val="24"/>
          <w:highlight w:val="none"/>
        </w:rPr>
      </w:pPr>
      <w:r>
        <w:rPr>
          <w:rFonts w:hint="eastAsia" w:ascii="宋体" w:hAnsi="宋体"/>
          <w:color w:val="auto"/>
          <w:sz w:val="24"/>
          <w:highlight w:val="none"/>
        </w:rPr>
        <w:t>不可抗力事件延续120天以上，双方应通过友好协商，确定是否继续履行合同。</w:t>
      </w: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Pr>
        <w:numPr>
          <w:ilvl w:val="0"/>
          <w:numId w:val="6"/>
        </w:numPr>
        <w:snapToGrid w:val="0"/>
        <w:spacing w:line="324" w:lineRule="auto"/>
        <w:ind w:firstLineChars="0"/>
        <w:rPr>
          <w:rFonts w:ascii="宋体" w:hAnsi="宋体"/>
          <w:b/>
          <w:color w:val="auto"/>
          <w:sz w:val="24"/>
          <w:highlight w:val="none"/>
        </w:rPr>
      </w:pPr>
      <w:bookmarkStart w:id="104" w:name="_Toc185395254"/>
      <w:bookmarkStart w:id="105" w:name="_Toc232492933"/>
      <w:bookmarkStart w:id="106" w:name="_Toc241833908"/>
      <w:bookmarkStart w:id="107" w:name="_Toc251768867"/>
      <w:bookmarkStart w:id="108" w:name="_Toc211854454"/>
      <w:bookmarkStart w:id="109" w:name="_Toc239233919"/>
      <w:bookmarkStart w:id="110" w:name="_Toc286993792"/>
      <w:bookmarkStart w:id="111" w:name="_Toc211911353"/>
      <w:bookmarkStart w:id="112" w:name="_Toc238984980"/>
      <w:bookmarkStart w:id="113" w:name="_Toc225244857"/>
      <w:bookmarkStart w:id="114" w:name="_Toc237145411"/>
      <w:bookmarkStart w:id="115" w:name="_Toc239568423"/>
      <w:bookmarkStart w:id="116" w:name="_Toc225654649"/>
      <w:bookmarkStart w:id="117" w:name="_Toc247334846"/>
      <w:bookmarkStart w:id="118" w:name="_Toc225670756"/>
      <w:bookmarkStart w:id="119" w:name="_Toc212019599"/>
      <w:r>
        <w:rPr>
          <w:rFonts w:hint="eastAsia" w:ascii="宋体" w:hAnsi="宋体"/>
          <w:b/>
          <w:color w:val="auto"/>
          <w:sz w:val="24"/>
          <w:highlight w:val="none"/>
        </w:rPr>
        <w:t>解</w:t>
      </w:r>
      <w:r>
        <w:rPr>
          <w:rFonts w:ascii="宋体" w:hAnsi="宋体"/>
          <w:b/>
          <w:color w:val="auto"/>
          <w:sz w:val="24"/>
          <w:highlight w:val="none"/>
        </w:rPr>
        <w:t>决合同纠纷的方式</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numPr>
          <w:ilvl w:val="0"/>
          <w:numId w:val="8"/>
        </w:numPr>
        <w:tabs>
          <w:tab w:val="left" w:pos="0"/>
        </w:tabs>
        <w:snapToGrid w:val="0"/>
        <w:spacing w:line="324" w:lineRule="auto"/>
        <w:ind w:left="0" w:firstLine="560" w:firstLineChars="0"/>
        <w:rPr>
          <w:rFonts w:hint="eastAsia" w:ascii="宋体" w:hAnsi="宋体"/>
          <w:color w:val="auto"/>
          <w:sz w:val="24"/>
          <w:highlight w:val="none"/>
        </w:rPr>
      </w:pPr>
      <w:r>
        <w:rPr>
          <w:rFonts w:hint="eastAsia" w:ascii="宋体" w:hAnsi="宋体"/>
          <w:color w:val="auto"/>
          <w:sz w:val="24"/>
          <w:highlight w:val="none"/>
        </w:rPr>
        <w:t>因工程质量问题发生争议，由甲方或其指定的第三方机构进行质量鉴定。工程符合标准的，鉴定费由甲方承担；工程不符合质量标准的，鉴定费由乙方承担。</w:t>
      </w:r>
    </w:p>
    <w:p>
      <w:pPr>
        <w:numPr>
          <w:ilvl w:val="0"/>
          <w:numId w:val="8"/>
        </w:numPr>
        <w:tabs>
          <w:tab w:val="left" w:pos="0"/>
        </w:tabs>
        <w:snapToGrid w:val="0"/>
        <w:spacing w:line="324" w:lineRule="auto"/>
        <w:ind w:left="0" w:firstLine="560" w:firstLineChars="0"/>
        <w:rPr>
          <w:rFonts w:hint="eastAsia" w:ascii="宋体" w:hAnsi="宋体"/>
          <w:color w:val="auto"/>
          <w:sz w:val="24"/>
          <w:highlight w:val="none"/>
        </w:rPr>
      </w:pPr>
      <w:r>
        <w:rPr>
          <w:rFonts w:hint="eastAsia" w:ascii="宋体" w:hAnsi="宋体"/>
          <w:color w:val="auto"/>
          <w:sz w:val="24"/>
          <w:highlight w:val="none"/>
        </w:rPr>
        <w:t>合同履行期间，若双方发生争议，可协商或由有关部门调解解决，协商或调解不成的，按照下列</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pPr>
        <w:tabs>
          <w:tab w:val="left" w:pos="0"/>
        </w:tabs>
        <w:snapToGrid w:val="0"/>
        <w:spacing w:line="324" w:lineRule="auto"/>
        <w:ind w:firstLine="559" w:firstLineChars="233"/>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r>
        <w:rPr>
          <w:rFonts w:ascii="宋体" w:hAnsi="宋体"/>
          <w:color w:val="auto"/>
          <w:sz w:val="24"/>
          <w:highlight w:val="none"/>
        </w:rPr>
        <w:t>仲裁裁决应为最终决定，并对双方具有约束力</w:t>
      </w:r>
      <w:r>
        <w:rPr>
          <w:rFonts w:hint="eastAsia" w:ascii="宋体" w:hAnsi="宋体"/>
          <w:color w:val="auto"/>
          <w:sz w:val="24"/>
          <w:highlight w:val="none"/>
        </w:rPr>
        <w:t>。</w:t>
      </w:r>
      <w:r>
        <w:rPr>
          <w:rFonts w:ascii="宋体" w:hAnsi="宋体"/>
          <w:color w:val="auto"/>
          <w:sz w:val="24"/>
          <w:highlight w:val="none"/>
        </w:rPr>
        <w:t>除另有裁决外，仲裁费应由败诉方负担</w:t>
      </w:r>
      <w:r>
        <w:rPr>
          <w:rFonts w:hint="eastAsia" w:ascii="宋体" w:hAnsi="宋体"/>
          <w:color w:val="auto"/>
          <w:sz w:val="24"/>
          <w:highlight w:val="none"/>
        </w:rPr>
        <w:t>。</w:t>
      </w:r>
      <w:r>
        <w:rPr>
          <w:rFonts w:ascii="宋体" w:hAnsi="宋体"/>
          <w:color w:val="auto"/>
          <w:sz w:val="24"/>
          <w:highlight w:val="none"/>
        </w:rPr>
        <w:t>在仲裁期间，除正在进行仲裁部分外，合同其他部分继续执行</w:t>
      </w:r>
      <w:r>
        <w:rPr>
          <w:rFonts w:hint="eastAsia" w:ascii="宋体" w:hAnsi="宋体"/>
          <w:color w:val="auto"/>
          <w:sz w:val="24"/>
          <w:highlight w:val="none"/>
        </w:rPr>
        <w:t>）；</w:t>
      </w:r>
    </w:p>
    <w:p>
      <w:pPr>
        <w:tabs>
          <w:tab w:val="left" w:pos="0"/>
        </w:tabs>
        <w:snapToGrid w:val="0"/>
        <w:spacing w:line="324" w:lineRule="auto"/>
        <w:ind w:left="560" w:firstLine="0" w:firstLineChars="0"/>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所在地人民法院起诉。 </w:t>
      </w:r>
    </w:p>
    <w:p>
      <w:pPr>
        <w:numPr>
          <w:ilvl w:val="0"/>
          <w:numId w:val="6"/>
        </w:numPr>
        <w:snapToGrid w:val="0"/>
        <w:spacing w:line="324" w:lineRule="auto"/>
        <w:ind w:firstLineChars="0"/>
        <w:rPr>
          <w:rFonts w:ascii="宋体" w:hAnsi="宋体"/>
          <w:b/>
          <w:color w:val="auto"/>
          <w:sz w:val="24"/>
          <w:highlight w:val="none"/>
        </w:rPr>
      </w:pPr>
      <w:bookmarkStart w:id="120" w:name="_Toc232492934"/>
      <w:bookmarkStart w:id="121" w:name="_Toc237145412"/>
      <w:bookmarkStart w:id="122" w:name="_Toc185395255"/>
      <w:bookmarkStart w:id="123" w:name="_Toc225244858"/>
      <w:bookmarkStart w:id="124" w:name="_Toc282696231"/>
      <w:bookmarkStart w:id="125" w:name="_Toc225654650"/>
      <w:bookmarkStart w:id="126" w:name="_Toc283019219"/>
      <w:bookmarkStart w:id="127" w:name="_Toc239568424"/>
      <w:bookmarkStart w:id="128" w:name="_Toc211911354"/>
      <w:bookmarkStart w:id="129" w:name="_Toc211854455"/>
      <w:bookmarkStart w:id="130" w:name="_Toc238984981"/>
      <w:bookmarkStart w:id="131" w:name="_Toc239233920"/>
      <w:bookmarkStart w:id="132" w:name="_Toc251768868"/>
      <w:bookmarkStart w:id="133" w:name="_Toc212019600"/>
      <w:bookmarkStart w:id="134" w:name="_Toc241833909"/>
      <w:bookmarkStart w:id="135" w:name="_Toc225670757"/>
      <w:bookmarkStart w:id="136" w:name="_Toc286993793"/>
      <w:bookmarkStart w:id="137" w:name="_Toc247334847"/>
      <w:r>
        <w:rPr>
          <w:rFonts w:ascii="宋体" w:hAnsi="宋体"/>
          <w:b/>
          <w:color w:val="auto"/>
          <w:sz w:val="24"/>
          <w:highlight w:val="none"/>
        </w:rPr>
        <w:t>合同</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宋体" w:hAnsi="宋体"/>
          <w:b/>
          <w:color w:val="auto"/>
          <w:sz w:val="24"/>
          <w:highlight w:val="none"/>
        </w:rPr>
        <w:t>生效</w:t>
      </w:r>
    </w:p>
    <w:p>
      <w:pPr>
        <w:pStyle w:val="34"/>
        <w:numPr>
          <w:ilvl w:val="0"/>
          <w:numId w:val="9"/>
        </w:numPr>
        <w:snapToGrid w:val="0"/>
        <w:spacing w:line="324" w:lineRule="auto"/>
        <w:ind w:left="0" w:firstLine="630" w:firstLineChars="0"/>
        <w:rPr>
          <w:rFonts w:hint="eastAsia" w:ascii="宋体" w:hAnsi="宋体"/>
          <w:color w:val="auto"/>
          <w:sz w:val="24"/>
          <w:szCs w:val="24"/>
          <w:highlight w:val="none"/>
        </w:rPr>
      </w:pPr>
      <w:r>
        <w:rPr>
          <w:rFonts w:hint="eastAsia" w:ascii="宋体" w:hAnsi="宋体"/>
          <w:color w:val="auto"/>
          <w:sz w:val="24"/>
          <w:szCs w:val="24"/>
          <w:highlight w:val="none"/>
        </w:rPr>
        <w:t>合同经双方法定代表人/单位负责人或授权委托代理人签字并加盖单位公章后生效。</w:t>
      </w:r>
    </w:p>
    <w:p>
      <w:pPr>
        <w:pStyle w:val="34"/>
        <w:numPr>
          <w:ilvl w:val="0"/>
          <w:numId w:val="9"/>
        </w:numPr>
        <w:snapToGrid w:val="0"/>
        <w:spacing w:line="324" w:lineRule="auto"/>
        <w:ind w:left="0" w:firstLine="630" w:firstLineChars="0"/>
        <w:rPr>
          <w:rFonts w:ascii="宋体" w:hAnsi="宋体"/>
          <w:color w:val="auto"/>
          <w:sz w:val="24"/>
          <w:szCs w:val="24"/>
          <w:highlight w:val="none"/>
        </w:rPr>
      </w:pPr>
      <w:r>
        <w:rPr>
          <w:rFonts w:hint="eastAsia" w:ascii="宋体" w:hAnsi="宋体"/>
          <w:color w:val="auto"/>
          <w:sz w:val="24"/>
          <w:szCs w:val="24"/>
          <w:highlight w:val="none"/>
        </w:rPr>
        <w:t>合同执行中涉及采购资金和采购内容修改或补充的，须经政府采购监管部门审批，并签书面补充协议报政府采购监督管理部门备案，方可作为主合同不可分割的一部分。</w:t>
      </w:r>
    </w:p>
    <w:p>
      <w:pPr>
        <w:numPr>
          <w:ilvl w:val="0"/>
          <w:numId w:val="6"/>
        </w:numPr>
        <w:snapToGrid w:val="0"/>
        <w:spacing w:line="324" w:lineRule="auto"/>
        <w:ind w:firstLineChars="0"/>
        <w:rPr>
          <w:rFonts w:hint="eastAsia" w:ascii="宋体" w:hAnsi="宋体"/>
          <w:b/>
          <w:color w:val="auto"/>
          <w:sz w:val="24"/>
          <w:highlight w:val="none"/>
        </w:rPr>
      </w:pPr>
      <w:r>
        <w:rPr>
          <w:rFonts w:hint="eastAsia" w:ascii="宋体" w:hAnsi="宋体"/>
          <w:b/>
          <w:color w:val="auto"/>
          <w:sz w:val="24"/>
          <w:highlight w:val="none"/>
        </w:rPr>
        <w:t>附件</w:t>
      </w:r>
    </w:p>
    <w:p>
      <w:pPr>
        <w:pStyle w:val="34"/>
        <w:numPr>
          <w:ilvl w:val="0"/>
          <w:numId w:val="10"/>
        </w:numPr>
        <w:snapToGrid w:val="0"/>
        <w:spacing w:line="324"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项目磋商文件</w:t>
      </w:r>
    </w:p>
    <w:p>
      <w:pPr>
        <w:pStyle w:val="34"/>
        <w:numPr>
          <w:ilvl w:val="0"/>
          <w:numId w:val="10"/>
        </w:numPr>
        <w:snapToGrid w:val="0"/>
        <w:spacing w:line="324"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项目修改澄清文件</w:t>
      </w:r>
    </w:p>
    <w:p>
      <w:pPr>
        <w:pStyle w:val="34"/>
        <w:numPr>
          <w:ilvl w:val="0"/>
          <w:numId w:val="10"/>
        </w:numPr>
        <w:snapToGrid w:val="0"/>
        <w:spacing w:line="324"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项目响应文件</w:t>
      </w:r>
    </w:p>
    <w:p>
      <w:pPr>
        <w:pStyle w:val="34"/>
        <w:numPr>
          <w:ilvl w:val="0"/>
          <w:numId w:val="10"/>
        </w:numPr>
        <w:snapToGrid w:val="0"/>
        <w:spacing w:line="324"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成交通知书</w:t>
      </w:r>
    </w:p>
    <w:p>
      <w:pPr>
        <w:pStyle w:val="34"/>
        <w:numPr>
          <w:ilvl w:val="0"/>
          <w:numId w:val="10"/>
        </w:numPr>
        <w:snapToGrid w:val="0"/>
        <w:spacing w:line="324"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其他</w:t>
      </w:r>
    </w:p>
    <w:bookmarkEnd w:id="85"/>
    <w:p>
      <w:pPr>
        <w:numPr>
          <w:ilvl w:val="0"/>
          <w:numId w:val="6"/>
        </w:numPr>
        <w:snapToGrid w:val="0"/>
        <w:spacing w:line="324" w:lineRule="auto"/>
        <w:ind w:firstLineChars="0"/>
        <w:rPr>
          <w:rFonts w:hint="eastAsia" w:ascii="宋体" w:hAnsi="宋体"/>
          <w:b/>
          <w:color w:val="auto"/>
          <w:sz w:val="24"/>
          <w:highlight w:val="none"/>
        </w:rPr>
      </w:pPr>
      <w:r>
        <w:rPr>
          <w:rFonts w:hint="eastAsia" w:ascii="宋体" w:hAnsi="宋体"/>
          <w:b/>
          <w:color w:val="auto"/>
          <w:sz w:val="24"/>
          <w:highlight w:val="none"/>
        </w:rPr>
        <w:t>其他</w:t>
      </w:r>
    </w:p>
    <w:p>
      <w:pPr>
        <w:pStyle w:val="87"/>
        <w:snapToGrid w:val="0"/>
        <w:spacing w:line="324" w:lineRule="auto"/>
        <w:ind w:firstLine="480"/>
        <w:rPr>
          <w:rFonts w:hint="eastAsia" w:ascii="宋体" w:hAnsi="宋体"/>
          <w:color w:val="auto"/>
          <w:highlight w:val="none"/>
        </w:rPr>
      </w:pPr>
      <w:r>
        <w:rPr>
          <w:rFonts w:hint="eastAsia" w:ascii="宋体" w:hAnsi="宋体"/>
          <w:color w:val="auto"/>
          <w:highlight w:val="none"/>
        </w:rPr>
        <w:t>1、如有未尽事宜，由双方依法订立补充合同。</w:t>
      </w:r>
    </w:p>
    <w:p>
      <w:pPr>
        <w:pStyle w:val="87"/>
        <w:snapToGrid w:val="0"/>
        <w:spacing w:line="324" w:lineRule="auto"/>
        <w:ind w:firstLine="480"/>
        <w:rPr>
          <w:rFonts w:hint="eastAsia" w:ascii="宋体" w:hAnsi="宋体"/>
          <w:color w:val="auto"/>
          <w:highlight w:val="none"/>
        </w:rPr>
      </w:pPr>
      <w:r>
        <w:rPr>
          <w:rFonts w:hint="eastAsia" w:ascii="宋体" w:hAnsi="宋体"/>
          <w:color w:val="auto"/>
          <w:highlight w:val="none"/>
        </w:rPr>
        <w:t>2、本合同一式</w:t>
      </w:r>
      <w:r>
        <w:rPr>
          <w:rFonts w:hint="eastAsia" w:ascii="宋体" w:hAnsi="宋体"/>
          <w:color w:val="auto"/>
          <w:highlight w:val="none"/>
          <w:lang w:val="en-US" w:eastAsia="zh-CN"/>
        </w:rPr>
        <w:t>肆</w:t>
      </w:r>
      <w:r>
        <w:rPr>
          <w:rFonts w:hint="eastAsia" w:ascii="宋体" w:hAnsi="宋体"/>
          <w:color w:val="auto"/>
          <w:highlight w:val="none"/>
        </w:rPr>
        <w:t>份，自双方签章之日起生效。甲乙方</w:t>
      </w:r>
      <w:r>
        <w:rPr>
          <w:rFonts w:hint="eastAsia" w:ascii="宋体" w:hAnsi="宋体"/>
          <w:color w:val="auto"/>
          <w:highlight w:val="none"/>
          <w:lang w:val="en-US" w:eastAsia="zh-CN"/>
        </w:rPr>
        <w:t>各两份</w:t>
      </w:r>
      <w:r>
        <w:rPr>
          <w:rFonts w:hint="eastAsia" w:ascii="宋体" w:hAnsi="宋体"/>
          <w:color w:val="auto"/>
          <w:highlight w:val="none"/>
        </w:rPr>
        <w:t>。</w:t>
      </w:r>
    </w:p>
    <w:p>
      <w:pPr>
        <w:snapToGrid w:val="0"/>
        <w:spacing w:line="324" w:lineRule="auto"/>
        <w:ind w:firstLine="480"/>
        <w:rPr>
          <w:rFonts w:hint="eastAsia" w:ascii="宋体" w:hAnsi="宋体"/>
          <w:color w:val="auto"/>
          <w:sz w:val="24"/>
          <w:highlight w:val="none"/>
        </w:rPr>
      </w:pP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 xml:space="preserve">甲方：   （盖章）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乙方：   （盖章）</w:t>
      </w:r>
    </w:p>
    <w:p>
      <w:pPr>
        <w:snapToGrid w:val="0"/>
        <w:spacing w:line="324" w:lineRule="auto"/>
        <w:ind w:left="5039" w:leftChars="228" w:hanging="4560" w:hangingChars="1900"/>
        <w:rPr>
          <w:rFonts w:hint="eastAsia" w:ascii="宋体" w:hAnsi="宋体"/>
          <w:color w:val="auto"/>
          <w:sz w:val="24"/>
          <w:highlight w:val="none"/>
        </w:rPr>
      </w:pPr>
      <w:r>
        <w:rPr>
          <w:rFonts w:hint="eastAsia" w:ascii="宋体" w:hAnsi="宋体"/>
          <w:color w:val="auto"/>
          <w:sz w:val="24"/>
          <w:highlight w:val="none"/>
        </w:rPr>
        <w:t xml:space="preserve">法定代表人/单位负责人（授权代表）： </w:t>
      </w:r>
      <w:r>
        <w:rPr>
          <w:rFonts w:ascii="宋体" w:hAnsi="宋体"/>
          <w:color w:val="auto"/>
          <w:sz w:val="24"/>
          <w:highlight w:val="none"/>
        </w:rPr>
        <w:t xml:space="preserve"> </w:t>
      </w:r>
      <w:r>
        <w:rPr>
          <w:rFonts w:hint="eastAsia" w:ascii="宋体" w:hAnsi="宋体"/>
          <w:color w:val="auto"/>
          <w:sz w:val="24"/>
          <w:highlight w:val="none"/>
        </w:rPr>
        <w:t>法定代表人/单位负责人（授权代表）：</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 xml:space="preserve">地    址：                         </w:t>
      </w:r>
      <w:r>
        <w:rPr>
          <w:rFonts w:ascii="宋体" w:hAnsi="宋体"/>
          <w:color w:val="auto"/>
          <w:sz w:val="24"/>
          <w:highlight w:val="none"/>
        </w:rPr>
        <w:t xml:space="preserve">  </w:t>
      </w:r>
      <w:r>
        <w:rPr>
          <w:rFonts w:hint="eastAsia" w:ascii="宋体" w:hAnsi="宋体"/>
          <w:color w:val="auto"/>
          <w:sz w:val="24"/>
          <w:highlight w:val="none"/>
        </w:rPr>
        <w:t>地    址：</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 xml:space="preserve">开户银行：                        </w:t>
      </w:r>
      <w:r>
        <w:rPr>
          <w:rFonts w:ascii="宋体" w:hAnsi="宋体"/>
          <w:color w:val="auto"/>
          <w:sz w:val="24"/>
          <w:highlight w:val="none"/>
        </w:rPr>
        <w:t xml:space="preserve">  </w:t>
      </w:r>
      <w:r>
        <w:rPr>
          <w:rFonts w:hint="eastAsia" w:ascii="宋体" w:hAnsi="宋体"/>
          <w:color w:val="auto"/>
          <w:sz w:val="24"/>
          <w:highlight w:val="none"/>
        </w:rPr>
        <w:t xml:space="preserve"> 开户银行：</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 xml:space="preserve">账号：                            </w:t>
      </w:r>
      <w:r>
        <w:rPr>
          <w:rFonts w:ascii="宋体" w:hAnsi="宋体"/>
          <w:color w:val="auto"/>
          <w:sz w:val="24"/>
          <w:highlight w:val="none"/>
        </w:rPr>
        <w:t xml:space="preserve">  </w:t>
      </w:r>
      <w:r>
        <w:rPr>
          <w:rFonts w:hint="eastAsia" w:ascii="宋体" w:hAnsi="宋体"/>
          <w:color w:val="auto"/>
          <w:sz w:val="24"/>
          <w:highlight w:val="none"/>
        </w:rPr>
        <w:t xml:space="preserve"> 账号：</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 xml:space="preserve">电    话：                        </w:t>
      </w:r>
      <w:r>
        <w:rPr>
          <w:rFonts w:ascii="宋体" w:hAnsi="宋体"/>
          <w:color w:val="auto"/>
          <w:sz w:val="24"/>
          <w:highlight w:val="none"/>
        </w:rPr>
        <w:t xml:space="preserve">  </w:t>
      </w:r>
      <w:r>
        <w:rPr>
          <w:rFonts w:hint="eastAsia" w:ascii="宋体" w:hAnsi="宋体"/>
          <w:color w:val="auto"/>
          <w:sz w:val="24"/>
          <w:highlight w:val="none"/>
        </w:rPr>
        <w:t xml:space="preserve"> 电    话：</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 xml:space="preserve">传    真：                        </w:t>
      </w:r>
      <w:r>
        <w:rPr>
          <w:rFonts w:ascii="宋体" w:hAnsi="宋体"/>
          <w:color w:val="auto"/>
          <w:sz w:val="24"/>
          <w:highlight w:val="none"/>
        </w:rPr>
        <w:t xml:space="preserve">  </w:t>
      </w:r>
      <w:r>
        <w:rPr>
          <w:rFonts w:hint="eastAsia" w:ascii="宋体" w:hAnsi="宋体"/>
          <w:color w:val="auto"/>
          <w:sz w:val="24"/>
          <w:highlight w:val="none"/>
        </w:rPr>
        <w:t xml:space="preserve"> 传    真：</w:t>
      </w:r>
    </w:p>
    <w:p>
      <w:pPr>
        <w:snapToGrid w:val="0"/>
        <w:spacing w:line="324" w:lineRule="auto"/>
        <w:ind w:firstLine="480"/>
        <w:rPr>
          <w:rFonts w:hint="eastAsia" w:ascii="宋体" w:hAnsi="宋体"/>
          <w:color w:val="auto"/>
          <w:sz w:val="24"/>
          <w:highlight w:val="none"/>
        </w:rPr>
      </w:pPr>
      <w:r>
        <w:rPr>
          <w:rFonts w:hint="eastAsia" w:ascii="宋体" w:hAnsi="宋体"/>
          <w:color w:val="auto"/>
          <w:sz w:val="24"/>
          <w:highlight w:val="none"/>
        </w:rPr>
        <w:t>签约日期：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日 </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ascii="宋体" w:hAnsi="宋体"/>
          <w:color w:val="auto"/>
          <w:sz w:val="24"/>
          <w:highlight w:val="none"/>
        </w:rPr>
        <w:t xml:space="preserve">  </w:t>
      </w:r>
      <w:r>
        <w:rPr>
          <w:rFonts w:hint="eastAsia" w:ascii="宋体" w:hAnsi="宋体"/>
          <w:color w:val="auto"/>
          <w:sz w:val="24"/>
          <w:highlight w:val="none"/>
        </w:rPr>
        <w:t>签约日期：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pStyle w:val="46"/>
        <w:tabs>
          <w:tab w:val="left" w:pos="360"/>
          <w:tab w:val="left" w:pos="480"/>
          <w:tab w:val="left" w:pos="1413"/>
        </w:tabs>
        <w:spacing w:line="360" w:lineRule="auto"/>
        <w:rPr>
          <w:rFonts w:hint="eastAsia" w:ascii="宋体" w:hAnsi="宋体"/>
          <w:color w:val="auto"/>
          <w:sz w:val="24"/>
          <w:highlight w:val="none"/>
        </w:rPr>
      </w:pPr>
    </w:p>
    <w:p>
      <w:pPr>
        <w:rPr>
          <w:rFonts w:hint="eastAsia"/>
          <w:color w:val="auto"/>
          <w:highlight w:val="none"/>
          <w:lang w:eastAsia="zh-CN"/>
        </w:rPr>
      </w:pPr>
    </w:p>
    <w:p>
      <w:pPr>
        <w:rPr>
          <w:rFonts w:hint="eastAsia"/>
          <w:color w:val="auto"/>
          <w:highlight w:val="none"/>
          <w:lang w:eastAsia="zh-CN"/>
        </w:rPr>
      </w:pPr>
    </w:p>
    <w:bookmarkEnd w:id="80"/>
    <w:p>
      <w:pPr>
        <w:rPr>
          <w:rFonts w:ascii="宋体" w:hAnsi="宋体" w:cs="宋体"/>
          <w:color w:val="auto"/>
          <w:sz w:val="24"/>
          <w:szCs w:val="24"/>
          <w:highlight w:val="none"/>
        </w:rPr>
      </w:pPr>
    </w:p>
    <w:p>
      <w:pPr>
        <w:jc w:val="center"/>
        <w:outlineLvl w:val="9"/>
        <w:rPr>
          <w:rFonts w:hint="eastAsia" w:ascii="宋体" w:hAnsi="宋体" w:cs="宋体"/>
          <w:color w:val="auto"/>
          <w:sz w:val="32"/>
          <w:szCs w:val="32"/>
          <w:highlight w:val="none"/>
        </w:rPr>
      </w:pPr>
    </w:p>
    <w:p>
      <w:pPr>
        <w:pStyle w:val="5"/>
        <w:numPr>
          <w:ilvl w:val="0"/>
          <w:numId w:val="0"/>
        </w:numPr>
        <w:ind w:leftChars="0"/>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numPr>
          <w:ilvl w:val="0"/>
          <w:numId w:val="0"/>
        </w:numPr>
        <w:ind w:leftChars="0"/>
        <w:rPr>
          <w:rFonts w:hint="eastAsia"/>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numPr>
          <w:ilvl w:val="0"/>
          <w:numId w:val="11"/>
        </w:num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采购需求</w:t>
      </w:r>
    </w:p>
    <w:p>
      <w:pPr>
        <w:autoSpaceDE w:val="0"/>
        <w:autoSpaceDN w:val="0"/>
        <w:adjustRightInd w:val="0"/>
        <w:spacing w:line="440" w:lineRule="exact"/>
        <w:ind w:left="-630" w:firstLine="6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工程概况：</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1、建设单位：</w:t>
      </w:r>
      <w:r>
        <w:rPr>
          <w:rFonts w:hint="eastAsia" w:ascii="宋体" w:hAnsi="宋体" w:eastAsia="宋体" w:cs="宋体"/>
          <w:color w:val="auto"/>
          <w:sz w:val="24"/>
          <w:highlight w:val="none"/>
          <w:lang w:val="en-US" w:eastAsia="zh-CN"/>
        </w:rPr>
        <w:t>新疆维吾尔自治区省级干部住宅小区管理服务中心</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2、工程名称：</w:t>
      </w:r>
      <w:r>
        <w:rPr>
          <w:rFonts w:hint="eastAsia" w:ascii="宋体" w:hAnsi="宋体" w:cs="宋体"/>
          <w:color w:val="auto"/>
          <w:sz w:val="24"/>
          <w:highlight w:val="none"/>
          <w:lang w:eastAsia="zh-CN"/>
        </w:rPr>
        <w:t>紫金花园小区防水工程项目</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建设地址：</w:t>
      </w:r>
      <w:r>
        <w:rPr>
          <w:rFonts w:hint="eastAsia" w:ascii="宋体" w:hAnsi="宋体" w:eastAsia="宋体" w:cs="宋体"/>
          <w:color w:val="auto"/>
          <w:sz w:val="24"/>
          <w:highlight w:val="none"/>
          <w:lang w:val="en-US" w:eastAsia="zh-CN"/>
        </w:rPr>
        <w:t>乌鲁木齐市</w:t>
      </w:r>
      <w:r>
        <w:rPr>
          <w:rFonts w:hint="eastAsia" w:ascii="宋体" w:hAnsi="宋体" w:cs="宋体"/>
          <w:color w:val="auto"/>
          <w:sz w:val="24"/>
          <w:highlight w:val="none"/>
          <w:lang w:eastAsia="zh-CN"/>
        </w:rPr>
        <w:t>紫金花园小区</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4、建设规模及工程内容：工程量清单范围内的全部工作内容。</w:t>
      </w:r>
    </w:p>
    <w:p>
      <w:pPr>
        <w:pStyle w:val="2"/>
        <w:rPr>
          <w:rFonts w:hint="eastAsia"/>
          <w:color w:val="auto"/>
          <w:highlight w:val="none"/>
          <w:lang w:val="en-US" w:eastAsia="zh-CN"/>
        </w:rPr>
      </w:pPr>
    </w:p>
    <w:p>
      <w:pPr>
        <w:autoSpaceDE w:val="0"/>
        <w:autoSpaceDN w:val="0"/>
        <w:adjustRightInd w:val="0"/>
        <w:spacing w:line="440" w:lineRule="exact"/>
        <w:ind w:left="-630" w:firstLine="6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二、项目工程量清单</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详见附件。</w:t>
      </w:r>
    </w:p>
    <w:p>
      <w:pPr>
        <w:autoSpaceDE w:val="0"/>
        <w:autoSpaceDN w:val="0"/>
        <w:adjustRightInd w:val="0"/>
        <w:spacing w:line="440" w:lineRule="exact"/>
        <w:ind w:left="-630" w:firstLine="600"/>
        <w:rPr>
          <w:rFonts w:hint="default" w:ascii="Times New Roman" w:hAnsi="Times New Roman" w:eastAsia="宋体" w:cs="Times New Roman"/>
          <w:b/>
          <w:bCs/>
          <w:color w:val="auto"/>
          <w:sz w:val="28"/>
          <w:szCs w:val="32"/>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商务要求</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1、合同履约期限：</w:t>
      </w:r>
      <w:r>
        <w:rPr>
          <w:rFonts w:hint="eastAsia" w:ascii="宋体" w:hAnsi="宋体"/>
          <w:bCs/>
          <w:color w:val="auto"/>
          <w:sz w:val="24"/>
          <w:highlight w:val="none"/>
          <w:lang w:val="en-US" w:eastAsia="zh-CN"/>
        </w:rPr>
        <w:t>合同签订后后30</w:t>
      </w:r>
      <w:r>
        <w:rPr>
          <w:rFonts w:hint="eastAsia" w:ascii="宋体" w:hAnsi="宋体"/>
          <w:bCs/>
          <w:color w:val="auto"/>
          <w:sz w:val="24"/>
          <w:highlight w:val="none"/>
        </w:rPr>
        <w:t>日内完成所有工作内容</w:t>
      </w:r>
      <w:r>
        <w:rPr>
          <w:rFonts w:hint="eastAsia" w:ascii="宋体" w:hAnsi="宋体"/>
          <w:bCs/>
          <w:color w:val="auto"/>
          <w:sz w:val="24"/>
          <w:highlight w:val="none"/>
          <w:lang w:val="en-US" w:eastAsia="zh-CN"/>
        </w:rPr>
        <w:t>并验收合格</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2、履约地点：采购人指定地点。</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3、付款方式：</w:t>
      </w:r>
      <w:r>
        <w:rPr>
          <w:rFonts w:hint="eastAsia" w:ascii="宋体" w:hAnsi="宋体" w:cs="Times New Roman"/>
          <w:bCs/>
          <w:color w:val="auto"/>
          <w:sz w:val="24"/>
          <w:highlight w:val="none"/>
          <w:lang w:val="en-US" w:eastAsia="zh-CN"/>
        </w:rPr>
        <w:t>按合同约定</w:t>
      </w:r>
      <w:r>
        <w:rPr>
          <w:rFonts w:hint="eastAsia" w:ascii="宋体" w:hAnsi="宋体" w:eastAsia="宋体" w:cs="Times New Roman"/>
          <w:bCs/>
          <w:color w:val="auto"/>
          <w:sz w:val="24"/>
          <w:highlight w:val="none"/>
          <w:lang w:eastAsia="zh-CN"/>
        </w:rPr>
        <w:t>。</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4、验收标准：按国家有关规定、采购文件的要求、供应商</w:t>
      </w:r>
      <w:r>
        <w:rPr>
          <w:rFonts w:hint="eastAsia" w:ascii="宋体" w:hAnsi="宋体" w:eastAsia="宋体" w:cs="Times New Roman"/>
          <w:color w:val="auto"/>
          <w:sz w:val="24"/>
          <w:highlight w:val="none"/>
          <w:lang w:val="en-US" w:eastAsia="zh-CN"/>
        </w:rPr>
        <w:t>响应文件</w:t>
      </w:r>
      <w:r>
        <w:rPr>
          <w:rFonts w:hint="default" w:ascii="宋体" w:hAnsi="宋体" w:eastAsia="宋体" w:cs="Times New Roman"/>
          <w:color w:val="auto"/>
          <w:sz w:val="24"/>
          <w:highlight w:val="none"/>
          <w:lang w:val="en-US" w:eastAsia="zh-CN"/>
        </w:rPr>
        <w:t>及承诺进行验收。</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5、履约责任：成交单位须在结果公示后</w:t>
      </w:r>
      <w:r>
        <w:rPr>
          <w:rFonts w:hint="eastAsia" w:ascii="宋体" w:hAnsi="宋体" w:eastAsia="宋体" w:cs="Times New Roman"/>
          <w:color w:val="auto"/>
          <w:sz w:val="24"/>
          <w:highlight w:val="none"/>
          <w:lang w:val="en-US" w:eastAsia="zh-CN"/>
        </w:rPr>
        <w:t>30</w:t>
      </w:r>
      <w:r>
        <w:rPr>
          <w:rFonts w:hint="default" w:ascii="宋体" w:hAnsi="宋体" w:eastAsia="宋体" w:cs="Times New Roman"/>
          <w:color w:val="auto"/>
          <w:sz w:val="24"/>
          <w:highlight w:val="none"/>
          <w:lang w:val="en-US" w:eastAsia="zh-CN"/>
        </w:rPr>
        <w:t>天内与采购人签订合同，并按采购文件要求和</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文件响应内容履行相应职责，否则招标采购单位不予退还其交纳的</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保证金，给采购人造成的经济损失的，采购人将依法追究其法律责任。</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6、工程质量保修期为</w:t>
      </w:r>
      <w:r>
        <w:rPr>
          <w:rFonts w:hint="eastAsia" w:ascii="宋体" w:hAnsi="宋体" w:cs="Times New Roman"/>
          <w:color w:val="auto"/>
          <w:sz w:val="24"/>
          <w:highlight w:val="none"/>
          <w:lang w:val="en-US" w:eastAsia="zh-CN"/>
        </w:rPr>
        <w:t>5</w:t>
      </w:r>
      <w:r>
        <w:rPr>
          <w:rFonts w:hint="default" w:ascii="宋体" w:hAnsi="宋体" w:eastAsia="宋体" w:cs="Times New Roman"/>
          <w:color w:val="auto"/>
          <w:sz w:val="24"/>
          <w:highlight w:val="none"/>
          <w:lang w:val="en-US" w:eastAsia="zh-CN"/>
        </w:rPr>
        <w:t>年。</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pStyle w:val="26"/>
        <w:rPr>
          <w:rFonts w:hint="eastAsia"/>
          <w:color w:val="auto"/>
          <w:highlight w:val="none"/>
          <w:lang w:val="en-US" w:eastAsia="zh-CN"/>
        </w:rPr>
      </w:pPr>
    </w:p>
    <w:p>
      <w:pPr>
        <w:numPr>
          <w:ilvl w:val="0"/>
          <w:numId w:val="0"/>
        </w:numPr>
        <w:kinsoku w:val="0"/>
        <w:overflowPunct w:val="0"/>
        <w:spacing w:line="360" w:lineRule="auto"/>
        <w:ind w:firstLine="3534" w:firstLineChars="1100"/>
        <w:jc w:val="both"/>
        <w:outlineLvl w:val="0"/>
        <w:rPr>
          <w:rFonts w:hint="eastAsia" w:ascii="宋体" w:hAnsi="宋体" w:eastAsia="宋体" w:cs="宋体"/>
          <w:b/>
          <w:color w:val="auto"/>
          <w:sz w:val="32"/>
          <w:szCs w:val="32"/>
          <w:highlight w:val="none"/>
          <w:lang w:val="en-US" w:eastAsia="zh-CN"/>
        </w:rPr>
      </w:pPr>
      <w:bookmarkStart w:id="138" w:name="_Toc47"/>
      <w:bookmarkStart w:id="139" w:name="_Toc23309"/>
      <w:bookmarkStart w:id="140" w:name="_Toc16084"/>
      <w:r>
        <w:rPr>
          <w:rFonts w:hint="eastAsia" w:ascii="宋体" w:hAnsi="宋体" w:eastAsia="宋体" w:cs="宋体"/>
          <w:b/>
          <w:color w:val="auto"/>
          <w:sz w:val="32"/>
          <w:szCs w:val="32"/>
          <w:highlight w:val="none"/>
          <w:lang w:val="en-US" w:eastAsia="zh-CN"/>
        </w:rPr>
        <w:t>工程量清单</w:t>
      </w:r>
      <w:bookmarkEnd w:id="81"/>
      <w:bookmarkEnd w:id="82"/>
      <w:bookmarkEnd w:id="83"/>
      <w:bookmarkEnd w:id="84"/>
      <w:bookmarkEnd w:id="138"/>
      <w:bookmarkEnd w:id="139"/>
      <w:bookmarkEnd w:id="140"/>
      <w:bookmarkStart w:id="141" w:name="_Toc17616"/>
      <w:bookmarkStart w:id="142" w:name="_Toc256000028"/>
      <w:bookmarkStart w:id="143" w:name="_Toc529952601"/>
      <w:bookmarkStart w:id="144" w:name="_Toc8076"/>
      <w:bookmarkStart w:id="145" w:name="_Toc9479"/>
      <w:bookmarkStart w:id="146" w:name="_Toc23930"/>
      <w:bookmarkStart w:id="147" w:name="_Toc22819"/>
      <w:r>
        <w:rPr>
          <w:rFonts w:hint="eastAsia" w:ascii="宋体" w:hAnsi="宋体" w:eastAsia="宋体" w:cs="宋体"/>
          <w:b/>
          <w:color w:val="auto"/>
          <w:sz w:val="32"/>
          <w:szCs w:val="32"/>
          <w:highlight w:val="none"/>
          <w:lang w:val="en-US" w:eastAsia="zh-CN"/>
        </w:rPr>
        <w:t>（详见附件）</w:t>
      </w:r>
    </w:p>
    <w:p>
      <w:pPr>
        <w:pStyle w:val="27"/>
        <w:numPr>
          <w:ilvl w:val="0"/>
          <w:numId w:val="0"/>
        </w:numPr>
        <w:ind w:leftChars="350"/>
        <w:rPr>
          <w:rFonts w:hint="eastAsia"/>
          <w:color w:val="auto"/>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en-US" w:eastAsia="zh-CN"/>
        </w:rPr>
        <w:t>章  图纸</w:t>
      </w:r>
      <w:bookmarkEnd w:id="141"/>
      <w:bookmarkEnd w:id="142"/>
      <w:bookmarkEnd w:id="143"/>
      <w:bookmarkEnd w:id="144"/>
      <w:r>
        <w:rPr>
          <w:rFonts w:hint="eastAsia" w:ascii="宋体" w:hAnsi="宋体" w:eastAsia="宋体" w:cs="宋体"/>
          <w:b/>
          <w:color w:val="auto"/>
          <w:sz w:val="32"/>
          <w:szCs w:val="32"/>
          <w:highlight w:val="none"/>
          <w:lang w:val="en-US" w:eastAsia="zh-CN"/>
        </w:rPr>
        <w:t>另附</w:t>
      </w:r>
      <w:bookmarkEnd w:id="145"/>
      <w:bookmarkEnd w:id="146"/>
      <w:bookmarkEnd w:id="147"/>
    </w:p>
    <w:p>
      <w:pPr>
        <w:rPr>
          <w:rFonts w:hint="eastAsia" w:ascii="宋体" w:hAnsi="宋体" w:cs="宋体"/>
          <w:b/>
          <w:bCs/>
          <w:color w:val="auto"/>
          <w:sz w:val="22"/>
          <w:szCs w:val="21"/>
          <w:highlight w:val="none"/>
          <w:lang w:val="en-US" w:eastAsia="zh-CN"/>
        </w:rPr>
      </w:pPr>
      <w:bookmarkStart w:id="148" w:name="EB494e10445b284177a9350c3e96722e55"/>
    </w:p>
    <w:p>
      <w:pPr>
        <w:rPr>
          <w:rFonts w:hint="eastAsia" w:ascii="宋体" w:hAnsi="宋体" w:cs="宋体"/>
          <w:b/>
          <w:bCs/>
          <w:color w:val="auto"/>
          <w:sz w:val="22"/>
          <w:szCs w:val="21"/>
          <w:highlight w:val="none"/>
          <w:lang w:val="en-US" w:eastAsia="zh-CN"/>
        </w:rPr>
      </w:pPr>
    </w:p>
    <w:p>
      <w:pPr>
        <w:jc w:val="center"/>
        <w:rPr>
          <w:rFonts w:hint="eastAsia" w:ascii="宋体" w:hAnsi="宋体" w:cs="宋体"/>
          <w:b/>
          <w:bCs/>
          <w:color w:val="auto"/>
          <w:sz w:val="22"/>
          <w:szCs w:val="21"/>
          <w:highlight w:val="none"/>
          <w:lang w:val="en-US" w:eastAsia="zh-CN"/>
        </w:rPr>
      </w:pPr>
      <w:r>
        <w:rPr>
          <w:rFonts w:hint="eastAsia" w:ascii="宋体" w:hAnsi="宋体" w:cs="宋体"/>
          <w:b/>
          <w:bCs/>
          <w:color w:val="auto"/>
          <w:sz w:val="22"/>
          <w:szCs w:val="21"/>
          <w:highlight w:val="none"/>
          <w:lang w:val="en-US" w:eastAsia="zh-CN"/>
        </w:rPr>
        <w:t>本项目无图纸</w:t>
      </w:r>
    </w:p>
    <w:p>
      <w:pPr>
        <w:pStyle w:val="27"/>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bookmarkEnd w:id="148"/>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149" w:name="_Toc19130"/>
      <w:bookmarkStart w:id="150" w:name="_Toc25776"/>
      <w:bookmarkStart w:id="151" w:name="_Toc9752"/>
      <w:bookmarkStart w:id="152" w:name="_Toc5936"/>
      <w:bookmarkStart w:id="153" w:name="_Toc256000029"/>
      <w:bookmarkStart w:id="154" w:name="_Toc30879"/>
      <w:bookmarkStart w:id="155" w:name="_Toc529952602"/>
      <w:r>
        <w:rPr>
          <w:rFonts w:hint="eastAsia" w:ascii="宋体" w:hAnsi="宋体" w:eastAsia="宋体" w:cs="宋体"/>
          <w:b/>
          <w:color w:val="auto"/>
          <w:sz w:val="32"/>
          <w:szCs w:val="32"/>
          <w:highlight w:val="none"/>
          <w:lang w:val="en-US" w:eastAsia="zh-CN"/>
        </w:rPr>
        <w:t>第</w:t>
      </w:r>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en-US" w:eastAsia="zh-CN"/>
        </w:rPr>
        <w:t>章 响应文件格式</w:t>
      </w:r>
      <w:bookmarkEnd w:id="149"/>
      <w:bookmarkEnd w:id="150"/>
      <w:bookmarkEnd w:id="151"/>
      <w:bookmarkEnd w:id="152"/>
      <w:bookmarkEnd w:id="153"/>
      <w:bookmarkEnd w:id="154"/>
      <w:bookmarkEnd w:id="155"/>
    </w:p>
    <w:p>
      <w:pPr>
        <w:rPr>
          <w:rFonts w:hint="eastAsia" w:ascii="宋体" w:hAnsi="宋体" w:cs="宋体"/>
          <w:color w:val="auto"/>
          <w:highlight w:val="none"/>
        </w:rPr>
      </w:pPr>
      <w:bookmarkStart w:id="156" w:name="EB77e84d16e8514e3d843450083f22a83d"/>
    </w:p>
    <w:p>
      <w:pPr>
        <w:pStyle w:val="54"/>
        <w:spacing w:after="100" w:afterAutospacing="1"/>
        <w:jc w:val="center"/>
        <w:outlineLvl w:val="9"/>
        <w:rPr>
          <w:rFonts w:hint="eastAsia" w:ascii="宋体" w:hAnsi="宋体" w:eastAsia="宋体" w:cs="宋体"/>
          <w:color w:val="auto"/>
          <w:highlight w:val="none"/>
        </w:rPr>
      </w:pPr>
      <w:bookmarkStart w:id="157" w:name="_Toc27473"/>
      <w:bookmarkStart w:id="158" w:name="_Toc28793"/>
      <w:bookmarkStart w:id="159" w:name="_Toc29643"/>
      <w:r>
        <w:rPr>
          <w:rFonts w:hint="eastAsia" w:ascii="宋体" w:hAnsi="宋体" w:eastAsia="宋体" w:cs="宋体"/>
          <w:color w:val="auto"/>
          <w:sz w:val="40"/>
          <w:highlight w:val="none"/>
        </w:rPr>
        <w:t>目    录</w:t>
      </w:r>
      <w:bookmarkEnd w:id="157"/>
      <w:bookmarkEnd w:id="158"/>
      <w:bookmarkEnd w:id="159"/>
    </w:p>
    <w:p>
      <w:pPr>
        <w:pStyle w:val="54"/>
        <w:spacing w:after="100" w:afterAutospacing="1"/>
        <w:outlineLvl w:val="9"/>
        <w:rPr>
          <w:rFonts w:hint="eastAsia" w:ascii="宋体" w:hAnsi="宋体" w:eastAsia="宋体" w:cs="宋体"/>
          <w:color w:val="auto"/>
          <w:sz w:val="24"/>
          <w:szCs w:val="21"/>
          <w:highlight w:val="none"/>
        </w:rPr>
      </w:pPr>
      <w:bookmarkStart w:id="160" w:name="_Toc28827"/>
      <w:bookmarkStart w:id="161" w:name="_Toc21481"/>
      <w:r>
        <w:rPr>
          <w:rFonts w:hint="eastAsia" w:ascii="宋体" w:hAnsi="宋体" w:eastAsia="宋体" w:cs="宋体"/>
          <w:color w:val="auto"/>
          <w:sz w:val="24"/>
          <w:szCs w:val="21"/>
          <w:highlight w:val="none"/>
        </w:rPr>
        <w:t>一、投标文件封面</w:t>
      </w:r>
      <w:bookmarkEnd w:id="160"/>
      <w:bookmarkEnd w:id="161"/>
    </w:p>
    <w:p>
      <w:pPr>
        <w:pStyle w:val="54"/>
        <w:spacing w:after="100" w:afterAutospacing="1"/>
        <w:outlineLvl w:val="9"/>
        <w:rPr>
          <w:rFonts w:hint="eastAsia" w:ascii="宋体" w:hAnsi="宋体" w:eastAsia="宋体" w:cs="宋体"/>
          <w:color w:val="auto"/>
          <w:sz w:val="24"/>
          <w:szCs w:val="21"/>
          <w:highlight w:val="none"/>
        </w:rPr>
      </w:pPr>
      <w:bookmarkStart w:id="162" w:name="_Toc22739"/>
      <w:bookmarkStart w:id="163" w:name="_Toc26828"/>
      <w:r>
        <w:rPr>
          <w:rFonts w:hint="eastAsia" w:ascii="宋体" w:hAnsi="宋体" w:eastAsia="宋体" w:cs="宋体"/>
          <w:color w:val="auto"/>
          <w:sz w:val="24"/>
          <w:szCs w:val="21"/>
          <w:highlight w:val="none"/>
        </w:rPr>
        <w:t>二、供应商资格声明</w:t>
      </w:r>
      <w:bookmarkEnd w:id="162"/>
      <w:bookmarkEnd w:id="163"/>
    </w:p>
    <w:p>
      <w:pPr>
        <w:pStyle w:val="54"/>
        <w:spacing w:after="100" w:afterAutospacing="1"/>
        <w:outlineLvl w:val="9"/>
        <w:rPr>
          <w:rFonts w:hint="eastAsia" w:ascii="宋体" w:hAnsi="宋体" w:eastAsia="宋体" w:cs="宋体"/>
          <w:color w:val="auto"/>
          <w:sz w:val="24"/>
          <w:szCs w:val="21"/>
          <w:highlight w:val="none"/>
        </w:rPr>
      </w:pPr>
      <w:bookmarkStart w:id="164" w:name="_Toc19474"/>
      <w:bookmarkStart w:id="165" w:name="_Toc28701"/>
      <w:r>
        <w:rPr>
          <w:rFonts w:hint="eastAsia" w:ascii="宋体" w:hAnsi="宋体" w:eastAsia="宋体" w:cs="宋体"/>
          <w:color w:val="auto"/>
          <w:sz w:val="24"/>
          <w:szCs w:val="21"/>
          <w:highlight w:val="none"/>
        </w:rPr>
        <w:t>三、法定代表人身份证明或附有法定代表人身份证明的授权书</w:t>
      </w:r>
      <w:bookmarkEnd w:id="164"/>
      <w:bookmarkEnd w:id="165"/>
    </w:p>
    <w:p>
      <w:pPr>
        <w:pStyle w:val="54"/>
        <w:spacing w:after="100" w:afterAutospacing="1"/>
        <w:outlineLvl w:val="9"/>
        <w:rPr>
          <w:rFonts w:hint="eastAsia" w:ascii="宋体" w:hAnsi="宋体" w:eastAsia="宋体" w:cs="宋体"/>
          <w:color w:val="auto"/>
          <w:sz w:val="24"/>
          <w:szCs w:val="21"/>
          <w:highlight w:val="none"/>
        </w:rPr>
      </w:pPr>
      <w:bookmarkStart w:id="166" w:name="_Toc21152"/>
      <w:bookmarkStart w:id="167" w:name="_Toc13980"/>
      <w:r>
        <w:rPr>
          <w:rFonts w:hint="eastAsia" w:ascii="宋体" w:hAnsi="宋体" w:eastAsia="宋体" w:cs="宋体"/>
          <w:color w:val="auto"/>
          <w:sz w:val="24"/>
          <w:szCs w:val="21"/>
          <w:highlight w:val="none"/>
        </w:rPr>
        <w:t>四、近三年无重大违法记录信息证明文件</w:t>
      </w:r>
      <w:bookmarkEnd w:id="166"/>
      <w:bookmarkEnd w:id="167"/>
    </w:p>
    <w:p>
      <w:pPr>
        <w:pStyle w:val="54"/>
        <w:spacing w:after="100" w:afterAutospacing="1"/>
        <w:outlineLvl w:val="9"/>
        <w:rPr>
          <w:rFonts w:hint="eastAsia" w:ascii="宋体" w:hAnsi="宋体" w:eastAsia="宋体" w:cs="宋体"/>
          <w:color w:val="auto"/>
          <w:sz w:val="24"/>
          <w:szCs w:val="21"/>
          <w:highlight w:val="none"/>
        </w:rPr>
      </w:pPr>
      <w:bookmarkStart w:id="168" w:name="_Toc2427"/>
      <w:bookmarkStart w:id="169" w:name="_Toc11075"/>
      <w:r>
        <w:rPr>
          <w:rFonts w:hint="eastAsia" w:ascii="宋体" w:hAnsi="宋体" w:eastAsia="宋体" w:cs="宋体"/>
          <w:color w:val="auto"/>
          <w:sz w:val="24"/>
          <w:szCs w:val="21"/>
          <w:highlight w:val="none"/>
        </w:rPr>
        <w:t>五、其他资格证明文件</w:t>
      </w:r>
      <w:bookmarkEnd w:id="168"/>
      <w:bookmarkEnd w:id="169"/>
    </w:p>
    <w:p>
      <w:pPr>
        <w:pStyle w:val="54"/>
        <w:spacing w:after="100" w:afterAutospacing="1"/>
        <w:outlineLvl w:val="9"/>
        <w:rPr>
          <w:rFonts w:hint="eastAsia" w:ascii="宋体" w:hAnsi="宋体" w:eastAsia="宋体" w:cs="宋体"/>
          <w:color w:val="auto"/>
          <w:sz w:val="24"/>
          <w:szCs w:val="21"/>
          <w:highlight w:val="none"/>
        </w:rPr>
      </w:pPr>
      <w:bookmarkStart w:id="170" w:name="_Toc9249"/>
      <w:bookmarkStart w:id="171" w:name="_Toc31609"/>
      <w:r>
        <w:rPr>
          <w:rFonts w:hint="eastAsia" w:ascii="宋体" w:hAnsi="宋体" w:eastAsia="宋体" w:cs="宋体"/>
          <w:color w:val="auto"/>
          <w:sz w:val="24"/>
          <w:szCs w:val="21"/>
          <w:highlight w:val="none"/>
        </w:rPr>
        <w:t>六、</w:t>
      </w:r>
      <w:bookmarkEnd w:id="170"/>
      <w:bookmarkEnd w:id="171"/>
      <w:r>
        <w:rPr>
          <w:rFonts w:hint="eastAsia" w:ascii="宋体" w:hAnsi="宋体" w:eastAsia="宋体" w:cs="宋体"/>
          <w:color w:val="auto"/>
          <w:sz w:val="24"/>
          <w:szCs w:val="21"/>
          <w:highlight w:val="none"/>
        </w:rPr>
        <w:t>投标保证金</w:t>
      </w:r>
    </w:p>
    <w:p>
      <w:pPr>
        <w:pStyle w:val="54"/>
        <w:spacing w:after="100" w:afterAutospacing="1"/>
        <w:outlineLvl w:val="9"/>
        <w:rPr>
          <w:rFonts w:hint="eastAsia" w:ascii="宋体" w:hAnsi="宋体" w:eastAsia="宋体" w:cs="宋体"/>
          <w:color w:val="auto"/>
          <w:sz w:val="24"/>
          <w:szCs w:val="21"/>
          <w:highlight w:val="none"/>
        </w:rPr>
      </w:pPr>
      <w:bookmarkStart w:id="172" w:name="_Toc3224"/>
      <w:bookmarkStart w:id="173" w:name="_Toc6695"/>
      <w:r>
        <w:rPr>
          <w:rFonts w:hint="eastAsia" w:ascii="宋体" w:hAnsi="宋体" w:eastAsia="宋体" w:cs="宋体"/>
          <w:color w:val="auto"/>
          <w:sz w:val="24"/>
          <w:szCs w:val="21"/>
          <w:highlight w:val="none"/>
        </w:rPr>
        <w:t>七、不参与围标串标承诺书</w:t>
      </w:r>
      <w:bookmarkEnd w:id="172"/>
      <w:bookmarkEnd w:id="173"/>
    </w:p>
    <w:p>
      <w:pPr>
        <w:pStyle w:val="54"/>
        <w:spacing w:after="100" w:afterAutospacing="1"/>
        <w:outlineLvl w:val="9"/>
        <w:rPr>
          <w:rFonts w:hint="eastAsia" w:ascii="宋体" w:hAnsi="宋体" w:eastAsia="宋体" w:cs="宋体"/>
          <w:color w:val="auto"/>
          <w:sz w:val="24"/>
          <w:szCs w:val="21"/>
          <w:highlight w:val="none"/>
        </w:rPr>
      </w:pPr>
      <w:bookmarkStart w:id="174" w:name="_Toc7013"/>
      <w:bookmarkStart w:id="175" w:name="_Toc28448"/>
      <w:r>
        <w:rPr>
          <w:rFonts w:hint="eastAsia" w:ascii="宋体" w:hAnsi="宋体" w:eastAsia="宋体" w:cs="宋体"/>
          <w:color w:val="auto"/>
          <w:sz w:val="24"/>
          <w:szCs w:val="21"/>
          <w:highlight w:val="none"/>
        </w:rPr>
        <w:t>八、中、小微企业声明函（中、小、微型企业产品价格需扣除的须提供）</w:t>
      </w:r>
      <w:bookmarkEnd w:id="174"/>
      <w:bookmarkEnd w:id="175"/>
    </w:p>
    <w:p>
      <w:pPr>
        <w:pStyle w:val="54"/>
        <w:spacing w:after="100" w:afterAutospacing="1"/>
        <w:outlineLvl w:val="9"/>
        <w:rPr>
          <w:rFonts w:hint="eastAsia" w:ascii="宋体" w:hAnsi="宋体" w:eastAsia="宋体" w:cs="宋体"/>
          <w:color w:val="auto"/>
          <w:sz w:val="24"/>
          <w:szCs w:val="21"/>
          <w:highlight w:val="none"/>
        </w:rPr>
      </w:pPr>
      <w:bookmarkStart w:id="176" w:name="_Toc25675"/>
      <w:bookmarkStart w:id="177" w:name="_Toc7720"/>
      <w:r>
        <w:rPr>
          <w:rFonts w:hint="eastAsia" w:ascii="宋体" w:hAnsi="宋体" w:eastAsia="宋体" w:cs="宋体"/>
          <w:color w:val="auto"/>
          <w:sz w:val="24"/>
          <w:szCs w:val="21"/>
          <w:highlight w:val="none"/>
        </w:rPr>
        <w:t>九、磋商申请</w:t>
      </w:r>
      <w:bookmarkEnd w:id="176"/>
      <w:bookmarkEnd w:id="177"/>
    </w:p>
    <w:p>
      <w:pPr>
        <w:pStyle w:val="54"/>
        <w:spacing w:after="100" w:afterAutospacing="1"/>
        <w:outlineLvl w:val="9"/>
        <w:rPr>
          <w:rFonts w:hint="eastAsia" w:ascii="宋体" w:hAnsi="宋体" w:eastAsia="宋体" w:cs="宋体"/>
          <w:color w:val="auto"/>
          <w:sz w:val="24"/>
          <w:szCs w:val="21"/>
          <w:highlight w:val="none"/>
        </w:rPr>
      </w:pPr>
      <w:bookmarkStart w:id="178" w:name="_Toc21302"/>
      <w:bookmarkStart w:id="179" w:name="_Toc12572"/>
      <w:r>
        <w:rPr>
          <w:rFonts w:hint="eastAsia" w:ascii="宋体" w:hAnsi="宋体" w:eastAsia="宋体" w:cs="宋体"/>
          <w:color w:val="auto"/>
          <w:sz w:val="24"/>
          <w:szCs w:val="21"/>
          <w:highlight w:val="none"/>
        </w:rPr>
        <w:t>十、磋商申请附录</w:t>
      </w:r>
      <w:bookmarkEnd w:id="178"/>
      <w:bookmarkEnd w:id="179"/>
    </w:p>
    <w:p>
      <w:pPr>
        <w:pStyle w:val="54"/>
        <w:spacing w:after="100" w:afterAutospacing="1"/>
        <w:outlineLvl w:val="9"/>
        <w:rPr>
          <w:rFonts w:hint="eastAsia" w:ascii="宋体" w:hAnsi="宋体" w:eastAsia="宋体" w:cs="宋体"/>
          <w:color w:val="auto"/>
          <w:sz w:val="24"/>
          <w:szCs w:val="21"/>
          <w:highlight w:val="none"/>
        </w:rPr>
      </w:pPr>
      <w:bookmarkStart w:id="180" w:name="_Toc27937"/>
      <w:bookmarkStart w:id="181" w:name="_Toc23163"/>
      <w:r>
        <w:rPr>
          <w:rFonts w:hint="eastAsia" w:ascii="宋体" w:hAnsi="宋体" w:eastAsia="宋体" w:cs="宋体"/>
          <w:color w:val="auto"/>
          <w:sz w:val="24"/>
          <w:szCs w:val="21"/>
          <w:highlight w:val="none"/>
        </w:rPr>
        <w:t>十一、已标价的工程量清单</w:t>
      </w:r>
      <w:bookmarkEnd w:id="180"/>
      <w:bookmarkEnd w:id="181"/>
    </w:p>
    <w:p>
      <w:pPr>
        <w:pStyle w:val="54"/>
        <w:spacing w:after="100" w:afterAutospacing="1"/>
        <w:outlineLvl w:val="9"/>
        <w:rPr>
          <w:rFonts w:hint="eastAsia" w:ascii="宋体" w:hAnsi="宋体" w:eastAsia="宋体" w:cs="宋体"/>
          <w:color w:val="auto"/>
          <w:sz w:val="24"/>
          <w:szCs w:val="21"/>
          <w:highlight w:val="none"/>
        </w:rPr>
      </w:pPr>
      <w:bookmarkStart w:id="182" w:name="_Toc13706"/>
      <w:bookmarkStart w:id="183" w:name="_Toc23514"/>
      <w:r>
        <w:rPr>
          <w:rFonts w:hint="eastAsia" w:ascii="宋体" w:hAnsi="宋体" w:eastAsia="宋体" w:cs="宋体"/>
          <w:color w:val="auto"/>
          <w:sz w:val="24"/>
          <w:szCs w:val="21"/>
          <w:highlight w:val="none"/>
        </w:rPr>
        <w:t>十二、联合体协议书格式（如有）</w:t>
      </w:r>
      <w:bookmarkEnd w:id="182"/>
      <w:bookmarkEnd w:id="183"/>
    </w:p>
    <w:p>
      <w:pPr>
        <w:pStyle w:val="54"/>
        <w:spacing w:after="100" w:afterAutospacing="1"/>
        <w:outlineLvl w:val="9"/>
        <w:rPr>
          <w:rFonts w:hint="eastAsia" w:ascii="宋体" w:hAnsi="宋体" w:eastAsia="宋体" w:cs="宋体"/>
          <w:color w:val="auto"/>
          <w:sz w:val="24"/>
          <w:szCs w:val="21"/>
          <w:highlight w:val="none"/>
        </w:rPr>
      </w:pPr>
      <w:bookmarkStart w:id="184" w:name="_Toc26864"/>
      <w:bookmarkStart w:id="185" w:name="_Toc25336"/>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三</w:t>
      </w:r>
      <w:r>
        <w:rPr>
          <w:rFonts w:hint="eastAsia" w:ascii="宋体" w:hAnsi="宋体" w:eastAsia="宋体" w:cs="宋体"/>
          <w:color w:val="auto"/>
          <w:sz w:val="24"/>
          <w:szCs w:val="21"/>
          <w:highlight w:val="none"/>
        </w:rPr>
        <w:t>、施工组织设计</w:t>
      </w:r>
      <w:bookmarkEnd w:id="184"/>
      <w:bookmarkEnd w:id="185"/>
    </w:p>
    <w:p>
      <w:pPr>
        <w:pStyle w:val="54"/>
        <w:spacing w:after="100" w:afterAutospacing="1"/>
        <w:outlineLvl w:val="9"/>
        <w:rPr>
          <w:rFonts w:hint="eastAsia" w:ascii="宋体" w:hAnsi="宋体" w:eastAsia="宋体" w:cs="宋体"/>
          <w:color w:val="auto"/>
          <w:sz w:val="24"/>
          <w:szCs w:val="21"/>
          <w:highlight w:val="none"/>
        </w:rPr>
      </w:pPr>
      <w:bookmarkStart w:id="186" w:name="_Toc8875"/>
      <w:bookmarkStart w:id="187" w:name="_Toc2056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四</w:t>
      </w:r>
      <w:r>
        <w:rPr>
          <w:rFonts w:hint="eastAsia" w:ascii="宋体" w:hAnsi="宋体" w:eastAsia="宋体" w:cs="宋体"/>
          <w:color w:val="auto"/>
          <w:sz w:val="24"/>
          <w:szCs w:val="21"/>
          <w:highlight w:val="none"/>
        </w:rPr>
        <w:t>、项目管理机构组成表</w:t>
      </w:r>
      <w:bookmarkEnd w:id="186"/>
      <w:bookmarkEnd w:id="187"/>
    </w:p>
    <w:p>
      <w:pPr>
        <w:pStyle w:val="54"/>
        <w:spacing w:after="100" w:afterAutospacing="1"/>
        <w:outlineLvl w:val="9"/>
        <w:rPr>
          <w:rFonts w:hint="eastAsia" w:ascii="宋体" w:hAnsi="宋体" w:eastAsia="宋体" w:cs="宋体"/>
          <w:color w:val="auto"/>
          <w:sz w:val="24"/>
          <w:szCs w:val="21"/>
          <w:highlight w:val="none"/>
        </w:rPr>
      </w:pPr>
      <w:bookmarkStart w:id="188" w:name="_Toc25913"/>
      <w:bookmarkStart w:id="189" w:name="_Toc528"/>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rPr>
        <w:t>、项目经理简历表</w:t>
      </w:r>
      <w:bookmarkEnd w:id="188"/>
      <w:bookmarkEnd w:id="189"/>
    </w:p>
    <w:p>
      <w:pPr>
        <w:pStyle w:val="55"/>
        <w:outlineLvl w:val="9"/>
        <w:rPr>
          <w:rFonts w:hint="eastAsia" w:ascii="宋体" w:hAnsi="宋体" w:eastAsia="宋体" w:cs="宋体"/>
          <w:color w:val="auto"/>
          <w:sz w:val="24"/>
          <w:szCs w:val="21"/>
          <w:highlight w:val="none"/>
        </w:rPr>
      </w:pPr>
      <w:bookmarkStart w:id="190" w:name="_Toc22593"/>
      <w:bookmarkStart w:id="191" w:name="_Toc32524"/>
      <w:bookmarkStart w:id="192" w:name="_Toc2446"/>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六</w:t>
      </w:r>
      <w:r>
        <w:rPr>
          <w:rFonts w:hint="eastAsia" w:ascii="宋体" w:hAnsi="宋体" w:eastAsia="宋体" w:cs="宋体"/>
          <w:color w:val="auto"/>
          <w:sz w:val="24"/>
          <w:szCs w:val="21"/>
          <w:highlight w:val="none"/>
        </w:rPr>
        <w:t>、其他材料</w:t>
      </w:r>
      <w:bookmarkEnd w:id="190"/>
      <w:bookmarkEnd w:id="191"/>
      <w:bookmarkEnd w:id="192"/>
      <w:bookmarkStart w:id="193" w:name="_Toc6608"/>
      <w:bookmarkStart w:id="194" w:name="_Toc24498"/>
      <w:bookmarkStart w:id="195" w:name="_Toc256000030"/>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1"/>
        <w:rPr>
          <w:rFonts w:hint="eastAsia" w:ascii="宋体" w:hAnsi="宋体" w:eastAsia="宋体" w:cs="宋体"/>
          <w:color w:val="auto"/>
          <w:highlight w:val="none"/>
        </w:rPr>
      </w:pPr>
      <w:bookmarkStart w:id="196" w:name="_Toc7451"/>
      <w:bookmarkStart w:id="197" w:name="_Toc32047"/>
      <w:r>
        <w:rPr>
          <w:rFonts w:hint="eastAsia" w:ascii="宋体" w:hAnsi="宋体" w:eastAsia="宋体" w:cs="宋体"/>
          <w:b/>
          <w:color w:val="auto"/>
          <w:sz w:val="28"/>
          <w:szCs w:val="22"/>
          <w:highlight w:val="none"/>
          <w:lang w:val="en-US" w:eastAsia="zh-CN" w:bidi="ar-SA"/>
        </w:rPr>
        <w:t>一、响应文件封面</w:t>
      </w:r>
      <w:bookmarkEnd w:id="193"/>
      <w:bookmarkEnd w:id="194"/>
      <w:bookmarkEnd w:id="195"/>
      <w:bookmarkEnd w:id="196"/>
      <w:bookmarkEnd w:id="197"/>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（项目名称）</w:t>
      </w:r>
    </w:p>
    <w:p>
      <w:pPr>
        <w:pStyle w:val="50"/>
        <w:spacing w:line="360" w:lineRule="auto"/>
        <w:jc w:val="center"/>
        <w:rPr>
          <w:rFonts w:hint="eastAsia" w:ascii="宋体" w:hAnsi="宋体" w:cs="宋体"/>
          <w:color w:val="auto"/>
          <w:sz w:val="28"/>
          <w:szCs w:val="28"/>
          <w:highlight w:val="none"/>
        </w:rPr>
      </w:pPr>
    </w:p>
    <w:p>
      <w:pPr>
        <w:pStyle w:val="50"/>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（包号）</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响应</w:t>
      </w:r>
      <w:r>
        <w:rPr>
          <w:rFonts w:hint="eastAsia" w:ascii="宋体" w:hAnsi="宋体" w:cs="宋体"/>
          <w:b/>
          <w:color w:val="auto"/>
          <w:sz w:val="52"/>
          <w:szCs w:val="52"/>
          <w:highlight w:val="none"/>
        </w:rPr>
        <w:t>文件</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ind w:left="0" w:leftChars="0" w:firstLine="840" w:firstLineChars="3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标</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盖</w:t>
      </w:r>
      <w:r>
        <w:rPr>
          <w:rFonts w:hint="eastAsia" w:ascii="宋体" w:hAnsi="宋体" w:cs="宋体"/>
          <w:color w:val="auto"/>
          <w:sz w:val="28"/>
          <w:szCs w:val="28"/>
          <w:highlight w:val="none"/>
        </w:rPr>
        <w:t>章）</w:t>
      </w:r>
    </w:p>
    <w:p>
      <w:pPr>
        <w:pStyle w:val="50"/>
        <w:spacing w:line="360" w:lineRule="auto"/>
        <w:ind w:left="0" w:leftChars="0" w:firstLine="840" w:firstLineChars="3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签字或盖章</w:t>
      </w:r>
      <w:r>
        <w:rPr>
          <w:rFonts w:hint="eastAsia" w:ascii="宋体" w:hAnsi="宋体" w:cs="宋体"/>
          <w:color w:val="auto"/>
          <w:sz w:val="28"/>
          <w:szCs w:val="28"/>
          <w:highlight w:val="none"/>
        </w:rPr>
        <w:t>）</w:t>
      </w:r>
    </w:p>
    <w:p>
      <w:pPr>
        <w:pStyle w:val="50"/>
        <w:spacing w:line="360" w:lineRule="auto"/>
        <w:ind w:left="0" w:leftChars="0" w:firstLine="840" w:firstLine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Start w:id="198" w:name="_Toc10938"/>
      <w:bookmarkStart w:id="199" w:name="_Toc3934"/>
      <w:bookmarkStart w:id="200" w:name="_Toc256000031"/>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5"/>
        <w:outlineLvl w:val="1"/>
        <w:rPr>
          <w:rFonts w:hint="eastAsia" w:ascii="宋体" w:hAnsi="宋体" w:eastAsia="宋体" w:cs="宋体"/>
          <w:b/>
          <w:color w:val="auto"/>
          <w:sz w:val="28"/>
          <w:szCs w:val="22"/>
          <w:highlight w:val="none"/>
          <w:lang w:val="en-US" w:eastAsia="zh-CN" w:bidi="ar-SA"/>
        </w:rPr>
      </w:pPr>
      <w:bookmarkStart w:id="201" w:name="_Toc5128"/>
      <w:bookmarkStart w:id="202" w:name="_Toc6929"/>
      <w:bookmarkStart w:id="203" w:name="_Toc28332"/>
      <w:r>
        <w:rPr>
          <w:rFonts w:hint="eastAsia" w:ascii="宋体" w:hAnsi="宋体" w:eastAsia="宋体" w:cs="宋体"/>
          <w:b/>
          <w:color w:val="auto"/>
          <w:sz w:val="28"/>
          <w:szCs w:val="22"/>
          <w:highlight w:val="none"/>
          <w:lang w:val="en-US" w:eastAsia="zh-CN" w:bidi="ar-SA"/>
        </w:rPr>
        <w:t>二、供应商资格声明</w:t>
      </w:r>
      <w:bookmarkEnd w:id="198"/>
      <w:bookmarkEnd w:id="199"/>
      <w:bookmarkEnd w:id="200"/>
      <w:bookmarkEnd w:id="201"/>
      <w:bookmarkEnd w:id="202"/>
      <w:bookmarkEnd w:id="203"/>
    </w:p>
    <w:p>
      <w:pPr>
        <w:pStyle w:val="56"/>
        <w:jc w:val="center"/>
        <w:outlineLvl w:val="9"/>
        <w:rPr>
          <w:rFonts w:hint="eastAsia" w:ascii="宋体" w:hAnsi="宋体" w:eastAsia="宋体" w:cs="宋体"/>
          <w:b/>
          <w:color w:val="auto"/>
          <w:sz w:val="24"/>
          <w:szCs w:val="24"/>
          <w:highlight w:val="none"/>
        </w:rPr>
      </w:pPr>
      <w:bookmarkStart w:id="204" w:name="_Toc256000032"/>
    </w:p>
    <w:p>
      <w:pPr>
        <w:pStyle w:val="56"/>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供应商资格声明</w:t>
      </w:r>
      <w:bookmarkEnd w:id="204"/>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1．供应商概况：                                   </w:t>
      </w:r>
    </w:p>
    <w:p>
      <w:pPr>
        <w:pStyle w:val="15"/>
        <w:ind w:firstLine="480" w:firstLineChars="200"/>
        <w:rPr>
          <w:rFonts w:hint="eastAsia" w:ascii="仿宋" w:hAnsi="仿宋" w:eastAsia="仿宋" w:cs="仿宋"/>
          <w:color w:val="auto"/>
          <w:highlight w:val="none"/>
        </w:rPr>
      </w:pPr>
      <w:r>
        <w:rPr>
          <w:rFonts w:hint="eastAsia" w:ascii="宋体" w:hAnsi="宋体" w:eastAsia="宋体" w:cs="宋体"/>
          <w:color w:val="auto"/>
          <w:sz w:val="24"/>
          <w:szCs w:val="24"/>
          <w:highlight w:val="none"/>
        </w:rPr>
        <w:t xml:space="preserve">   </w:t>
      </w:r>
    </w:p>
    <w:p>
      <w:pPr>
        <w:pStyle w:val="15"/>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供应商基本情况表</w:t>
      </w:r>
    </w:p>
    <w:p>
      <w:pPr>
        <w:pStyle w:val="15"/>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供应商：(公章)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供应商名称</w:t>
            </w: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w:t>
            </w: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统一社会信用代码</w:t>
            </w: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邮政编码</w:t>
            </w: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授权代表</w:t>
            </w: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w:t>
            </w: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电子邮箱</w:t>
            </w: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上年营业收入</w:t>
            </w: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员工总人数</w:t>
            </w: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基本账户开户行及账号</w:t>
            </w:r>
          </w:p>
        </w:tc>
        <w:tc>
          <w:tcPr>
            <w:tcW w:w="6239" w:type="dxa"/>
            <w:gridSpan w:val="3"/>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税务登记机关</w:t>
            </w:r>
          </w:p>
        </w:tc>
        <w:tc>
          <w:tcPr>
            <w:tcW w:w="6239" w:type="dxa"/>
            <w:gridSpan w:val="3"/>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资质名称</w:t>
            </w:r>
          </w:p>
        </w:tc>
        <w:tc>
          <w:tcPr>
            <w:tcW w:w="255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等级</w:t>
            </w:r>
          </w:p>
        </w:tc>
        <w:tc>
          <w:tcPr>
            <w:tcW w:w="2154"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发证机关</w:t>
            </w:r>
          </w:p>
        </w:tc>
        <w:tc>
          <w:tcPr>
            <w:tcW w:w="1528"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p>
        </w:tc>
        <w:tc>
          <w:tcPr>
            <w:tcW w:w="2557" w:type="dxa"/>
            <w:noWrap w:val="0"/>
            <w:vAlign w:val="center"/>
          </w:tcPr>
          <w:p>
            <w:pPr>
              <w:pStyle w:val="15"/>
              <w:jc w:val="center"/>
              <w:rPr>
                <w:rFonts w:hint="eastAsia" w:ascii="仿宋" w:hAnsi="仿宋" w:eastAsia="仿宋" w:cs="仿宋"/>
                <w:color w:val="auto"/>
                <w:highlight w:val="none"/>
                <w:lang w:val="en-US" w:eastAsia="zh-CN"/>
              </w:rPr>
            </w:pPr>
          </w:p>
        </w:tc>
        <w:tc>
          <w:tcPr>
            <w:tcW w:w="2154" w:type="dxa"/>
            <w:noWrap w:val="0"/>
            <w:vAlign w:val="center"/>
          </w:tcPr>
          <w:p>
            <w:pPr>
              <w:pStyle w:val="15"/>
              <w:jc w:val="center"/>
              <w:rPr>
                <w:rFonts w:hint="eastAsia" w:ascii="仿宋" w:hAnsi="仿宋" w:eastAsia="仿宋" w:cs="仿宋"/>
                <w:color w:val="auto"/>
                <w:highlight w:val="none"/>
                <w:lang w:val="en-US" w:eastAsia="zh-CN"/>
              </w:rPr>
            </w:pPr>
          </w:p>
        </w:tc>
        <w:tc>
          <w:tcPr>
            <w:tcW w:w="1528" w:type="dxa"/>
            <w:noWrap w:val="0"/>
            <w:vAlign w:val="center"/>
          </w:tcPr>
          <w:p>
            <w:pPr>
              <w:pStyle w:val="15"/>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5"/>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6239" w:type="dxa"/>
            <w:gridSpan w:val="3"/>
            <w:noWrap w:val="0"/>
            <w:vAlign w:val="center"/>
          </w:tcPr>
          <w:p>
            <w:pPr>
              <w:pStyle w:val="15"/>
              <w:jc w:val="center"/>
              <w:rPr>
                <w:rFonts w:hint="eastAsia" w:ascii="仿宋" w:hAnsi="仿宋" w:eastAsia="仿宋" w:cs="仿宋"/>
                <w:color w:val="auto"/>
                <w:highlight w:val="none"/>
                <w:lang w:val="en-US" w:eastAsia="zh-CN"/>
              </w:rPr>
            </w:pPr>
          </w:p>
        </w:tc>
      </w:tr>
    </w:tbl>
    <w:p>
      <w:pPr>
        <w:pStyle w:val="57"/>
        <w:spacing w:line="360" w:lineRule="auto"/>
        <w:ind w:firstLine="1440" w:firstLineChars="60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2．我方在此声明，我方具备并满足下列各项条款的规定。本声明如有虚假或不实之处，我方将失去合格供应商资格且我方的磋商保证金将不予退还。</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（3）具有履行合同所必需的设备和专业技术能力；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（4）有依法缴纳税收的良好记录；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附法人营业执照、资质证书、安全生产许可证复印件。</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56"/>
        <w:outlineLvl w:val="0"/>
        <w:rPr>
          <w:rFonts w:hint="eastAsia" w:ascii="宋体" w:hAnsi="宋体" w:eastAsia="宋体" w:cs="宋体"/>
          <w:b/>
          <w:color w:val="auto"/>
          <w:sz w:val="24"/>
          <w:szCs w:val="21"/>
          <w:highlight w:val="none"/>
          <w:lang w:val="en-US" w:eastAsia="zh-CN" w:bidi="ar-SA"/>
        </w:rPr>
      </w:pPr>
      <w:r>
        <w:rPr>
          <w:rFonts w:hint="eastAsia" w:ascii="宋体" w:hAnsi="宋体" w:eastAsia="宋体" w:cs="宋体"/>
          <w:color w:val="auto"/>
          <w:sz w:val="24"/>
          <w:szCs w:val="24"/>
          <w:highlight w:val="none"/>
        </w:rPr>
        <w:br w:type="page"/>
      </w:r>
      <w:bookmarkStart w:id="205" w:name="_Toc18057"/>
      <w:bookmarkStart w:id="206" w:name="_Toc12095"/>
      <w:bookmarkStart w:id="207" w:name="_Toc8658"/>
      <w:bookmarkStart w:id="208" w:name="_Toc16962"/>
      <w:bookmarkStart w:id="209" w:name="_Toc16957"/>
      <w:bookmarkStart w:id="210" w:name="_Toc256000033"/>
      <w:r>
        <w:rPr>
          <w:rFonts w:hint="eastAsia" w:ascii="宋体" w:hAnsi="宋体" w:eastAsia="宋体" w:cs="宋体"/>
          <w:b/>
          <w:color w:val="auto"/>
          <w:sz w:val="28"/>
          <w:szCs w:val="22"/>
          <w:highlight w:val="none"/>
          <w:lang w:val="en-US" w:eastAsia="zh-CN" w:bidi="ar-SA"/>
        </w:rPr>
        <w:t>三、法定代表人身份证明或附有法定代表人身份证明的授权书</w:t>
      </w:r>
      <w:bookmarkEnd w:id="205"/>
      <w:bookmarkEnd w:id="206"/>
      <w:bookmarkEnd w:id="207"/>
      <w:bookmarkEnd w:id="208"/>
      <w:bookmarkEnd w:id="209"/>
      <w:bookmarkEnd w:id="210"/>
    </w:p>
    <w:p>
      <w:pPr>
        <w:pStyle w:val="58"/>
        <w:spacing w:line="360" w:lineRule="auto"/>
        <w:jc w:val="center"/>
        <w:rPr>
          <w:rFonts w:hint="eastAsia" w:ascii="宋体" w:hAnsi="宋体" w:eastAsia="宋体" w:cs="宋体"/>
          <w:b/>
          <w:bCs/>
          <w:color w:val="auto"/>
          <w:sz w:val="24"/>
          <w:szCs w:val="24"/>
          <w:highlight w:val="none"/>
          <w:lang w:val="en-US" w:eastAsia="zh-CN"/>
        </w:rPr>
      </w:pPr>
      <w:bookmarkStart w:id="211" w:name="_Toc256000034"/>
      <w:r>
        <w:rPr>
          <w:rFonts w:hint="eastAsia" w:ascii="宋体" w:hAnsi="宋体" w:eastAsia="宋体" w:cs="宋体"/>
          <w:b/>
          <w:bCs/>
          <w:color w:val="auto"/>
          <w:sz w:val="24"/>
          <w:szCs w:val="24"/>
          <w:highlight w:val="none"/>
          <w:lang w:val="en-US" w:eastAsia="zh-CN"/>
        </w:rPr>
        <w:t>（二）法定代表人身份证明或附有法定代表人身份证明的授权书</w:t>
      </w:r>
      <w:bookmarkEnd w:id="211"/>
    </w:p>
    <w:p>
      <w:pPr>
        <w:pStyle w:val="58"/>
        <w:spacing w:line="360" w:lineRule="auto"/>
        <w:ind w:firstLine="420"/>
        <w:jc w:val="center"/>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法定代表人身份证明</w:t>
      </w:r>
    </w:p>
    <w:p>
      <w:pPr>
        <w:pStyle w:val="58"/>
        <w:spacing w:line="360" w:lineRule="auto"/>
        <w:ind w:firstLine="48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（供应商）的法定代表人。</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zh-CN"/>
        </w:rPr>
        <w:t>授权委托书</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(供应商名称)的法定代表人，现授权委托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(姓名)为我公司本次磋商采购活动的授权代表，参加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pStyle w:val="59"/>
        <w:adjustRightInd w:val="0"/>
        <w:snapToGrid w:val="0"/>
        <w:spacing w:line="360" w:lineRule="auto"/>
        <w:ind w:left="412"/>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授权代表（姓名）：               性别：                    年龄：</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               部门：                    职务：</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附：授权代表身份证复印件正反面</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 (</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(签章)：</w:t>
      </w:r>
    </w:p>
    <w:p>
      <w:pPr>
        <w:pStyle w:val="59"/>
        <w:adjustRightInd w:val="0"/>
        <w:snapToGrid w:val="0"/>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0"/>
        <w:outlineLvl w:val="9"/>
        <w:rPr>
          <w:rFonts w:hint="eastAsia" w:ascii="宋体" w:hAnsi="宋体" w:eastAsia="宋体" w:cs="宋体"/>
          <w:b/>
          <w:color w:val="auto"/>
          <w:sz w:val="24"/>
          <w:szCs w:val="24"/>
          <w:highlight w:val="none"/>
        </w:rPr>
      </w:pPr>
      <w:bookmarkStart w:id="212" w:name="_Toc256000035"/>
      <w:bookmarkStart w:id="213" w:name="_Toc6993"/>
      <w:bookmarkStart w:id="214" w:name="_Toc28905"/>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215" w:name="_Toc11330"/>
      <w:bookmarkStart w:id="216" w:name="_Toc17707"/>
      <w:bookmarkStart w:id="217" w:name="_Toc25982"/>
      <w:r>
        <w:rPr>
          <w:rFonts w:hint="eastAsia" w:ascii="宋体" w:hAnsi="宋体" w:eastAsia="宋体" w:cs="宋体"/>
          <w:b/>
          <w:color w:val="auto"/>
          <w:sz w:val="28"/>
          <w:szCs w:val="22"/>
          <w:highlight w:val="none"/>
          <w:lang w:val="en-US" w:eastAsia="zh-CN" w:bidi="ar-SA"/>
        </w:rPr>
        <w:t>四、近三年无重大违法记录信息证明文件</w:t>
      </w:r>
      <w:bookmarkEnd w:id="212"/>
      <w:bookmarkEnd w:id="213"/>
      <w:bookmarkEnd w:id="214"/>
      <w:r>
        <w:rPr>
          <w:rFonts w:hint="eastAsia" w:ascii="宋体" w:hAnsi="宋体" w:eastAsia="宋体" w:cs="宋体"/>
          <w:b/>
          <w:color w:val="auto"/>
          <w:sz w:val="28"/>
          <w:szCs w:val="22"/>
          <w:highlight w:val="none"/>
          <w:lang w:val="en-US" w:eastAsia="zh-CN" w:bidi="ar-SA"/>
        </w:rPr>
        <w:t>及反商业贿赂书</w:t>
      </w:r>
      <w:bookmarkEnd w:id="215"/>
      <w:bookmarkEnd w:id="216"/>
      <w:bookmarkEnd w:id="217"/>
    </w:p>
    <w:p>
      <w:pPr>
        <w:pStyle w:val="60"/>
        <w:outlineLvl w:val="9"/>
        <w:rPr>
          <w:rFonts w:hint="eastAsia" w:ascii="宋体" w:hAnsi="宋体" w:eastAsia="宋体" w:cs="宋体"/>
          <w:b/>
          <w:color w:val="auto"/>
          <w:sz w:val="24"/>
          <w:szCs w:val="24"/>
          <w:highlight w:val="none"/>
        </w:rPr>
      </w:pPr>
    </w:p>
    <w:p>
      <w:pPr>
        <w:pStyle w:val="15"/>
        <w:spacing w:line="360" w:lineRule="auto"/>
        <w:ind w:firstLine="480" w:firstLineChars="200"/>
        <w:jc w:val="center"/>
        <w:rPr>
          <w:rFonts w:hint="eastAsia" w:ascii="宋体" w:hAnsi="宋体" w:eastAsia="宋体" w:cs="宋体"/>
          <w:color w:val="auto"/>
          <w:sz w:val="24"/>
          <w:szCs w:val="24"/>
          <w:highlight w:val="none"/>
        </w:rPr>
      </w:pPr>
      <w:bookmarkStart w:id="218" w:name="_Toc256000036"/>
      <w:bookmarkStart w:id="219" w:name="_Toc21668"/>
      <w:bookmarkStart w:id="220" w:name="_Toc31760"/>
      <w:r>
        <w:rPr>
          <w:rFonts w:hint="eastAsia" w:ascii="宋体" w:hAnsi="宋体" w:eastAsia="宋体" w:cs="宋体"/>
          <w:color w:val="auto"/>
          <w:sz w:val="24"/>
          <w:szCs w:val="24"/>
          <w:highlight w:val="none"/>
        </w:rPr>
        <w:t>参加政府采购活动前三年内在经营活动中</w:t>
      </w:r>
    </w:p>
    <w:p>
      <w:pPr>
        <w:pStyle w:val="15"/>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没有重大违法记录的书面声明</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5"/>
        <w:spacing w:line="360" w:lineRule="auto"/>
        <w:ind w:firstLine="480" w:firstLineChars="200"/>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rPr>
        <w:br w:type="page"/>
      </w:r>
    </w:p>
    <w:p>
      <w:pPr>
        <w:pStyle w:val="8"/>
        <w:numPr>
          <w:ilvl w:val="0"/>
          <w:numId w:val="0"/>
        </w:numPr>
        <w:tabs>
          <w:tab w:val="clear" w:pos="1152"/>
        </w:tabs>
        <w:spacing w:before="0" w:after="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无不良信用记录承诺函</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供应商自行查询适用</w:t>
      </w:r>
      <w:r>
        <w:rPr>
          <w:rFonts w:ascii="仿宋" w:hAnsi="仿宋" w:eastAsia="仿宋" w:cs="宋体"/>
          <w:color w:val="auto"/>
          <w:sz w:val="28"/>
          <w:szCs w:val="28"/>
          <w:highlight w:val="none"/>
        </w:rPr>
        <w:t>)</w:t>
      </w:r>
    </w:p>
    <w:p>
      <w:pPr>
        <w:pStyle w:val="15"/>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采购人或采购代理机构</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pStyle w:val="15"/>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本单位郑重承诺，我单位无以下不良信用记录情形：</w:t>
      </w:r>
    </w:p>
    <w:p>
      <w:pPr>
        <w:pStyle w:val="15"/>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被人民法院列入失信被执行人；</w:t>
      </w:r>
    </w:p>
    <w:p>
      <w:pPr>
        <w:pStyle w:val="15"/>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被税务部门列入重大税收违法案件当事人名单；</w:t>
      </w:r>
    </w:p>
    <w:p>
      <w:pPr>
        <w:pStyle w:val="15"/>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被政府采购监管部门列入政府采购严重违法失信行为记录名单；</w:t>
      </w:r>
    </w:p>
    <w:p>
      <w:pPr>
        <w:pStyle w:val="15"/>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不符合《政府采购法》第二十二条规定的条件。</w:t>
      </w:r>
    </w:p>
    <w:p>
      <w:pPr>
        <w:pStyle w:val="15"/>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5"/>
        <w:spacing w:line="360" w:lineRule="auto"/>
        <w:ind w:firstLine="480" w:firstLineChars="200"/>
        <w:rPr>
          <w:rFonts w:ascii="仿宋" w:hAnsi="仿宋" w:eastAsia="仿宋" w:cs="宋体"/>
          <w:color w:val="auto"/>
          <w:sz w:val="24"/>
          <w:szCs w:val="24"/>
          <w:highlight w:val="none"/>
        </w:rPr>
      </w:pPr>
    </w:p>
    <w:p>
      <w:pPr>
        <w:pStyle w:val="15"/>
        <w:spacing w:line="360" w:lineRule="auto"/>
        <w:ind w:firstLine="480" w:firstLineChars="200"/>
        <w:rPr>
          <w:rFonts w:ascii="仿宋" w:hAnsi="仿宋" w:eastAsia="仿宋" w:cs="宋体"/>
          <w:color w:val="auto"/>
          <w:sz w:val="24"/>
          <w:szCs w:val="24"/>
          <w:highlight w:val="none"/>
        </w:rPr>
      </w:pPr>
    </w:p>
    <w:p>
      <w:pPr>
        <w:pStyle w:val="15"/>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供应商</w:t>
      </w:r>
      <w:r>
        <w:rPr>
          <w:rFonts w:hint="eastAsia" w:ascii="仿宋" w:hAnsi="仿宋" w:eastAsia="仿宋" w:cs="宋体"/>
          <w:color w:val="auto"/>
          <w:sz w:val="24"/>
          <w:szCs w:val="24"/>
          <w:highlight w:val="none"/>
        </w:rPr>
        <w:t>名称</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盖公章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5"/>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法定代表人或其授权代表</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签字或盖章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5"/>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年</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月</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日</w:t>
      </w:r>
    </w:p>
    <w:p>
      <w:pPr>
        <w:pStyle w:val="15"/>
        <w:spacing w:line="360" w:lineRule="auto"/>
        <w:ind w:firstLine="480" w:firstLineChars="200"/>
        <w:rPr>
          <w:rFonts w:ascii="仿宋" w:hAnsi="仿宋" w:eastAsia="仿宋" w:cs="宋体"/>
          <w:color w:val="auto"/>
          <w:sz w:val="24"/>
          <w:szCs w:val="24"/>
          <w:highlight w:val="none"/>
        </w:rPr>
      </w:pPr>
    </w:p>
    <w:p>
      <w:pPr>
        <w:pStyle w:val="15"/>
        <w:spacing w:line="360" w:lineRule="auto"/>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符合磋商文件要求的供应商特定资格条件的证明材料</w:t>
      </w:r>
      <w:r>
        <w:rPr>
          <w:rFonts w:ascii="仿宋" w:hAnsi="仿宋" w:eastAsia="仿宋" w:cs="宋体"/>
          <w:b/>
          <w:bCs/>
          <w:color w:val="auto"/>
          <w:sz w:val="24"/>
          <w:szCs w:val="24"/>
          <w:highlight w:val="none"/>
        </w:rPr>
        <w:t>(</w:t>
      </w:r>
      <w:r>
        <w:rPr>
          <w:rFonts w:hint="eastAsia" w:ascii="仿宋" w:hAnsi="仿宋" w:eastAsia="仿宋" w:cs="宋体"/>
          <w:b/>
          <w:bCs/>
          <w:color w:val="auto"/>
          <w:sz w:val="24"/>
          <w:szCs w:val="24"/>
          <w:highlight w:val="none"/>
          <w:lang w:val="en-US" w:eastAsia="zh-CN"/>
        </w:rPr>
        <w:t>信用查询资料可自行查询，具体以</w:t>
      </w:r>
      <w:r>
        <w:rPr>
          <w:rFonts w:hint="eastAsia" w:ascii="仿宋" w:hAnsi="仿宋" w:eastAsia="仿宋" w:cs="宋体"/>
          <w:b/>
          <w:bCs/>
          <w:color w:val="auto"/>
          <w:sz w:val="24"/>
          <w:szCs w:val="24"/>
          <w:highlight w:val="none"/>
        </w:rPr>
        <w:t>采购代理机构</w:t>
      </w:r>
      <w:r>
        <w:rPr>
          <w:rFonts w:hint="eastAsia" w:ascii="仿宋" w:hAnsi="仿宋" w:eastAsia="仿宋" w:cs="宋体"/>
          <w:b/>
          <w:bCs/>
          <w:color w:val="auto"/>
          <w:sz w:val="24"/>
          <w:szCs w:val="24"/>
          <w:highlight w:val="none"/>
          <w:lang w:val="en-US" w:eastAsia="zh-CN"/>
        </w:rPr>
        <w:t>现场查询为准</w:t>
      </w:r>
      <w:r>
        <w:rPr>
          <w:rFonts w:ascii="仿宋" w:hAnsi="仿宋" w:eastAsia="仿宋" w:cs="宋体"/>
          <w:b/>
          <w:bCs/>
          <w:color w:val="auto"/>
          <w:sz w:val="24"/>
          <w:szCs w:val="24"/>
          <w:highlight w:val="none"/>
        </w:rPr>
        <w:t>)</w:t>
      </w:r>
    </w:p>
    <w:p>
      <w:pPr>
        <w:pStyle w:val="56"/>
        <w:outlineLvl w:val="9"/>
        <w:rPr>
          <w:rFonts w:hint="eastAsia" w:ascii="宋体" w:hAnsi="宋体" w:eastAsia="宋体" w:cs="宋体"/>
          <w:b/>
          <w:color w:val="auto"/>
          <w:sz w:val="24"/>
          <w:szCs w:val="21"/>
          <w:highlight w:val="none"/>
          <w:lang w:val="en-US" w:eastAsia="zh-CN" w:bidi="ar-SA"/>
        </w:rPr>
      </w:pPr>
      <w:r>
        <w:rPr>
          <w:rFonts w:ascii="仿宋" w:hAnsi="仿宋" w:eastAsia="仿宋" w:cs="宋体"/>
          <w:color w:val="auto"/>
          <w:sz w:val="24"/>
          <w:szCs w:val="24"/>
          <w:highlight w:val="none"/>
        </w:rPr>
        <w:br w:type="page"/>
      </w:r>
    </w:p>
    <w:p>
      <w:pPr>
        <w:pStyle w:val="56"/>
        <w:outlineLvl w:val="0"/>
        <w:rPr>
          <w:rFonts w:hint="eastAsia" w:ascii="宋体" w:hAnsi="宋体" w:eastAsia="宋体" w:cs="宋体"/>
          <w:b/>
          <w:color w:val="auto"/>
          <w:sz w:val="28"/>
          <w:szCs w:val="22"/>
          <w:highlight w:val="none"/>
          <w:lang w:val="en-US" w:eastAsia="zh-CN" w:bidi="ar-SA"/>
        </w:rPr>
      </w:pPr>
      <w:bookmarkStart w:id="221" w:name="_Toc16243"/>
      <w:bookmarkStart w:id="222" w:name="_Toc14962"/>
      <w:bookmarkStart w:id="223" w:name="_Toc32154"/>
      <w:r>
        <w:rPr>
          <w:rFonts w:hint="eastAsia" w:ascii="宋体" w:hAnsi="宋体" w:eastAsia="宋体" w:cs="宋体"/>
          <w:b/>
          <w:color w:val="auto"/>
          <w:sz w:val="28"/>
          <w:szCs w:val="22"/>
          <w:highlight w:val="none"/>
          <w:lang w:val="en-US" w:eastAsia="zh-CN" w:bidi="ar-SA"/>
        </w:rPr>
        <w:t>五、其他资格证明文件</w:t>
      </w:r>
      <w:bookmarkEnd w:id="218"/>
      <w:bookmarkEnd w:id="219"/>
      <w:bookmarkEnd w:id="220"/>
      <w:bookmarkEnd w:id="221"/>
      <w:bookmarkEnd w:id="222"/>
      <w:bookmarkEnd w:id="223"/>
    </w:p>
    <w:p>
      <w:pPr>
        <w:pStyle w:val="60"/>
        <w:outlineLvl w:val="9"/>
        <w:rPr>
          <w:rFonts w:hint="eastAsia" w:ascii="宋体" w:hAnsi="宋体" w:eastAsia="宋体" w:cs="宋体"/>
          <w:b/>
          <w:color w:val="auto"/>
          <w:sz w:val="24"/>
          <w:szCs w:val="24"/>
          <w:highlight w:val="none"/>
        </w:rPr>
      </w:pPr>
      <w:bookmarkStart w:id="224" w:name="_Toc256000037"/>
    </w:p>
    <w:p>
      <w:pPr>
        <w:pStyle w:val="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其他资格证明文件</w:t>
      </w:r>
      <w:bookmarkEnd w:id="224"/>
      <w:bookmarkStart w:id="225" w:name="_Toc28851"/>
      <w:bookmarkStart w:id="226" w:name="_Toc19993"/>
      <w:bookmarkStart w:id="227" w:name="_Toc256000038"/>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228" w:name="_Toc17575"/>
      <w:bookmarkStart w:id="229" w:name="_Toc15253"/>
      <w:bookmarkStart w:id="230" w:name="_Toc2838"/>
      <w:r>
        <w:rPr>
          <w:rFonts w:hint="eastAsia" w:ascii="宋体" w:hAnsi="宋体" w:eastAsia="宋体" w:cs="宋体"/>
          <w:b/>
          <w:color w:val="auto"/>
          <w:sz w:val="28"/>
          <w:szCs w:val="22"/>
          <w:highlight w:val="none"/>
          <w:lang w:val="en-US" w:eastAsia="zh-CN" w:bidi="ar-SA"/>
        </w:rPr>
        <w:t>六、</w:t>
      </w:r>
      <w:bookmarkEnd w:id="225"/>
      <w:bookmarkEnd w:id="226"/>
      <w:bookmarkEnd w:id="227"/>
      <w:r>
        <w:rPr>
          <w:rFonts w:hint="eastAsia" w:ascii="宋体" w:hAnsi="宋体" w:eastAsia="宋体" w:cs="宋体"/>
          <w:b/>
          <w:color w:val="auto"/>
          <w:sz w:val="28"/>
          <w:szCs w:val="22"/>
          <w:highlight w:val="none"/>
          <w:lang w:val="en-US" w:eastAsia="zh-CN" w:bidi="ar-SA"/>
        </w:rPr>
        <w:t>磋商保证金</w:t>
      </w:r>
      <w:bookmarkEnd w:id="228"/>
      <w:bookmarkEnd w:id="229"/>
      <w:bookmarkEnd w:id="230"/>
    </w:p>
    <w:p>
      <w:pPr>
        <w:pStyle w:val="6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供应商按照采购文件要求缴纳磋商保证</w:t>
      </w:r>
      <w:r>
        <w:rPr>
          <w:rFonts w:hint="eastAsia" w:ascii="宋体" w:hAnsi="宋体" w:eastAsia="宋体" w:cs="宋体"/>
          <w:color w:val="auto"/>
          <w:sz w:val="24"/>
          <w:szCs w:val="24"/>
          <w:highlight w:val="none"/>
        </w:rPr>
        <w:t>金，提供相应凭证。</w:t>
      </w:r>
      <w:r>
        <w:rPr>
          <w:rFonts w:hint="eastAsia" w:ascii="宋体" w:hAnsi="宋体" w:eastAsia="宋体" w:cs="宋体"/>
          <w:color w:val="auto"/>
          <w:sz w:val="24"/>
          <w:szCs w:val="24"/>
          <w:highlight w:val="none"/>
        </w:rPr>
        <w:br w:type="page"/>
      </w:r>
      <w:bookmarkStart w:id="231" w:name="_Toc256000039"/>
      <w:bookmarkStart w:id="232" w:name="_Toc22682"/>
      <w:bookmarkStart w:id="233" w:name="_Toc29111"/>
      <w:r>
        <w:rPr>
          <w:rFonts w:hint="eastAsia" w:ascii="宋体" w:hAnsi="宋体" w:eastAsia="宋体" w:cs="宋体"/>
          <w:b/>
          <w:color w:val="auto"/>
          <w:sz w:val="28"/>
          <w:szCs w:val="22"/>
          <w:highlight w:val="none"/>
          <w:lang w:val="en-US" w:eastAsia="zh-CN" w:bidi="ar-SA"/>
        </w:rPr>
        <w:t>七、不参与围标串标承诺书</w:t>
      </w:r>
      <w:bookmarkEnd w:id="231"/>
      <w:bookmarkEnd w:id="232"/>
      <w:bookmarkEnd w:id="233"/>
    </w:p>
    <w:p>
      <w:pPr>
        <w:pStyle w:val="61"/>
        <w:spacing w:line="640" w:lineRule="exact"/>
        <w:ind w:firstLine="426" w:firstLineChars="177"/>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不参与围标串标承诺书</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61"/>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标段号：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供应商法人签名：</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1"/>
        <w:spacing w:line="640" w:lineRule="exact"/>
        <w:jc w:val="left"/>
        <w:rPr>
          <w:rFonts w:hint="eastAsia" w:ascii="宋体" w:hAnsi="宋体" w:eastAsia="宋体" w:cs="宋体"/>
          <w:color w:val="auto"/>
          <w:sz w:val="24"/>
          <w:szCs w:val="24"/>
          <w:highlight w:val="none"/>
        </w:rPr>
      </w:pPr>
    </w:p>
    <w:p>
      <w:pPr>
        <w:pStyle w:val="61"/>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w:t>
      </w:r>
    </w:p>
    <w:p>
      <w:pPr>
        <w:pStyle w:val="61"/>
        <w:spacing w:line="640" w:lineRule="exact"/>
        <w:ind w:firstLine="4320" w:firstLineChars="1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62"/>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34" w:name="_Toc8296"/>
      <w:bookmarkStart w:id="235" w:name="_Toc3812"/>
      <w:bookmarkStart w:id="236" w:name="_Toc22648"/>
      <w:bookmarkStart w:id="237" w:name="_Toc24297"/>
      <w:bookmarkStart w:id="238" w:name="_Toc11861"/>
      <w:bookmarkStart w:id="239" w:name="_Toc256000040"/>
      <w:r>
        <w:rPr>
          <w:rFonts w:hint="eastAsia" w:ascii="宋体" w:hAnsi="宋体" w:eastAsia="宋体" w:cs="宋体"/>
          <w:b/>
          <w:color w:val="auto"/>
          <w:sz w:val="28"/>
          <w:szCs w:val="22"/>
          <w:highlight w:val="none"/>
          <w:lang w:val="en-US" w:eastAsia="zh-CN" w:bidi="ar-SA"/>
        </w:rPr>
        <w:t>八、中、小微企业声明函</w:t>
      </w:r>
      <w:bookmarkEnd w:id="234"/>
      <w:bookmarkEnd w:id="235"/>
      <w:bookmarkEnd w:id="236"/>
      <w:bookmarkEnd w:id="237"/>
      <w:bookmarkEnd w:id="238"/>
      <w:bookmarkEnd w:id="239"/>
    </w:p>
    <w:p>
      <w:pPr>
        <w:pStyle w:val="62"/>
        <w:jc w:val="center"/>
        <w:outlineLvl w:val="9"/>
        <w:rPr>
          <w:rFonts w:hint="eastAsia" w:ascii="宋体" w:hAnsi="宋体" w:eastAsia="宋体" w:cs="宋体"/>
          <w:color w:val="auto"/>
          <w:sz w:val="24"/>
          <w:szCs w:val="24"/>
          <w:highlight w:val="none"/>
          <w:lang w:val="en-US" w:eastAsia="zh-CN"/>
        </w:rPr>
      </w:pPr>
      <w:bookmarkStart w:id="240" w:name="_Toc31547"/>
      <w:bookmarkStart w:id="241" w:name="_Toc256000041"/>
      <w:bookmarkStart w:id="242" w:name="_Toc25642"/>
      <w:r>
        <w:rPr>
          <w:rFonts w:hint="eastAsia" w:ascii="宋体" w:hAnsi="宋体" w:eastAsia="宋体" w:cs="宋体"/>
          <w:color w:val="auto"/>
          <w:sz w:val="24"/>
          <w:szCs w:val="24"/>
          <w:highlight w:val="none"/>
          <w:lang w:val="en-US" w:eastAsia="zh-CN"/>
        </w:rPr>
        <w:t>中小企业声明函</w:t>
      </w:r>
      <w:bookmarkEnd w:id="240"/>
      <w:bookmarkEnd w:id="241"/>
      <w:bookmarkEnd w:id="242"/>
    </w:p>
    <w:p>
      <w:pPr>
        <w:pStyle w:val="62"/>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1"/>
          <w:highlight w:val="none"/>
          <w:lang w:val="en-US" w:eastAsia="zh-CN" w:bidi="ar-SA"/>
        </w:rPr>
        <w:t>（中、小、微型企业产品价格需扣除的须提供）</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lang w:val="en-US" w:eastAsia="zh-CN"/>
        </w:rPr>
        <w:t>（单位名称）</w:t>
      </w:r>
      <w:r>
        <w:rPr>
          <w:rFonts w:hint="eastAsia" w:ascii="宋体" w:hAnsi="宋体" w:eastAsia="宋体" w:cs="宋体"/>
          <w:color w:val="auto"/>
          <w:spacing w:val="-2"/>
          <w:sz w:val="24"/>
          <w:szCs w:val="24"/>
          <w:highlight w:val="none"/>
          <w:lang w:val="en-US" w:eastAsia="zh-CN"/>
        </w:rPr>
        <w:t>的</w:t>
      </w:r>
      <w:r>
        <w:rPr>
          <w:rFonts w:hint="eastAsia" w:ascii="宋体" w:hAnsi="宋体" w:eastAsia="宋体" w:cs="宋体"/>
          <w:color w:val="auto"/>
          <w:spacing w:val="-2"/>
          <w:sz w:val="24"/>
          <w:szCs w:val="24"/>
          <w:highlight w:val="none"/>
          <w:u w:val="single"/>
          <w:lang w:val="en-US" w:eastAsia="zh-CN"/>
        </w:rPr>
        <w:t>（项目名称）</w:t>
      </w:r>
      <w:r>
        <w:rPr>
          <w:rFonts w:hint="eastAsia" w:ascii="宋体" w:hAnsi="宋体" w:eastAsia="宋体" w:cs="宋体"/>
          <w:color w:val="auto"/>
          <w:spacing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 xml:space="preserve">人，营业收入为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lang w:val="en-US" w:eastAsia="zh-CN"/>
        </w:rPr>
        <w:t>人，营业收入为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本企业对上述声明内容的真实性负责。如有虚假，将依 法承担相应责任。</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p>
    <w:p>
      <w:pPr>
        <w:pStyle w:val="64"/>
        <w:spacing w:before="35" w:line="316" w:lineRule="auto"/>
        <w:ind w:right="2166" w:firstLine="4012" w:firstLineChars="17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企业名称（盖章）：</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                                 日期：</w:t>
      </w:r>
    </w:p>
    <w:p>
      <w:pPr>
        <w:pStyle w:val="65"/>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43" w:name="_Toc256000042"/>
      <w:bookmarkStart w:id="244" w:name="_Toc30328"/>
      <w:bookmarkStart w:id="245" w:name="_Toc13736"/>
      <w:bookmarkStart w:id="246" w:name="_Toc5981"/>
      <w:bookmarkStart w:id="247" w:name="_Toc5114"/>
      <w:bookmarkStart w:id="248" w:name="_Toc16271"/>
      <w:r>
        <w:rPr>
          <w:rFonts w:hint="eastAsia" w:ascii="宋体" w:hAnsi="宋体" w:eastAsia="宋体" w:cs="宋体"/>
          <w:b/>
          <w:color w:val="auto"/>
          <w:sz w:val="28"/>
          <w:szCs w:val="22"/>
          <w:highlight w:val="none"/>
          <w:lang w:val="en-US" w:eastAsia="zh-CN" w:bidi="ar-SA"/>
        </w:rPr>
        <w:t>九、磋商申请</w:t>
      </w:r>
      <w:bookmarkEnd w:id="243"/>
      <w:bookmarkEnd w:id="244"/>
      <w:bookmarkEnd w:id="245"/>
      <w:bookmarkEnd w:id="246"/>
      <w:bookmarkEnd w:id="247"/>
      <w:bookmarkEnd w:id="248"/>
    </w:p>
    <w:p>
      <w:pPr>
        <w:pStyle w:val="65"/>
        <w:jc w:val="center"/>
        <w:outlineLvl w:val="9"/>
        <w:rPr>
          <w:rFonts w:hint="eastAsia" w:ascii="宋体" w:hAnsi="宋体" w:eastAsia="宋体" w:cs="宋体"/>
          <w:b/>
          <w:color w:val="auto"/>
          <w:sz w:val="24"/>
          <w:szCs w:val="24"/>
          <w:highlight w:val="none"/>
          <w:lang w:val="zh-CN"/>
        </w:rPr>
      </w:pPr>
      <w:bookmarkStart w:id="249" w:name="_Toc256000043"/>
      <w:r>
        <w:rPr>
          <w:rFonts w:hint="eastAsia" w:ascii="宋体" w:hAnsi="宋体" w:eastAsia="宋体" w:cs="宋体"/>
          <w:b/>
          <w:color w:val="auto"/>
          <w:sz w:val="24"/>
          <w:szCs w:val="24"/>
          <w:highlight w:val="none"/>
        </w:rPr>
        <w:t>（一）磋商申请</w:t>
      </w:r>
      <w:bookmarkEnd w:id="249"/>
    </w:p>
    <w:p>
      <w:pPr>
        <w:pStyle w:val="66"/>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（项目单位）</w:t>
      </w:r>
    </w:p>
    <w:p>
      <w:pPr>
        <w:pStyle w:val="66"/>
        <w:autoSpaceDE w:val="0"/>
        <w:autoSpaceDN w:val="0"/>
        <w:adjustRightInd w:val="0"/>
        <w:spacing w:before="158" w:beforeLines="50" w:line="360" w:lineRule="auto"/>
        <w:ind w:left="239" w:leftChars="114"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根据贵方项目编号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的磋商文件，我方正式提交响应文件正本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据此函，签字人兹同意如下：</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1、总报价为（大写）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2、我们同意提供贵方可能要求的与本次磋商有关的任何证据或资料。</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3、一旦我方成交，我方承诺将根据磋商文件与贵方签订书面合同，并严格履行合同义务。</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4、我方指派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（姓名）为项目经理，保证于承诺的时间内完成本次发包范围内的任务，并交付贵方验收、使用。</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6、随本申请递交的磋商申请附录是本申请的组成部分，对我方构成约束力。</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7、与本申请有关的正式通讯地址为：</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p>
    <w:p>
      <w:pPr>
        <w:pStyle w:val="66"/>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50" w:name="_Toc17925"/>
      <w:bookmarkStart w:id="251" w:name="_Toc2542"/>
      <w:bookmarkStart w:id="252" w:name="_Toc14056"/>
      <w:bookmarkStart w:id="253" w:name="_Toc14932"/>
      <w:bookmarkStart w:id="254" w:name="_Toc256000044"/>
      <w:bookmarkStart w:id="255" w:name="_Toc30383"/>
      <w:r>
        <w:rPr>
          <w:rFonts w:hint="eastAsia" w:ascii="宋体" w:hAnsi="宋体" w:eastAsia="宋体" w:cs="宋体"/>
          <w:b/>
          <w:color w:val="auto"/>
          <w:sz w:val="28"/>
          <w:szCs w:val="22"/>
          <w:highlight w:val="none"/>
          <w:lang w:val="en-US" w:eastAsia="zh-CN" w:bidi="ar-SA"/>
        </w:rPr>
        <w:t>十、磋商申请附录</w:t>
      </w:r>
      <w:bookmarkEnd w:id="250"/>
      <w:bookmarkEnd w:id="251"/>
      <w:bookmarkEnd w:id="252"/>
      <w:bookmarkEnd w:id="253"/>
      <w:bookmarkEnd w:id="254"/>
      <w:bookmarkEnd w:id="255"/>
    </w:p>
    <w:p>
      <w:pPr>
        <w:pStyle w:val="68"/>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p>
        </w:tc>
        <w:tc>
          <w:tcPr>
            <w:tcW w:w="7371" w:type="dxa"/>
            <w:gridSpan w:val="2"/>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68"/>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供应商在磋商文件中规定的实质性要求和条件的基础上，可做出其他有利于采购人的承诺。此类承诺可在本表中予以补充填写。</w:t>
            </w:r>
          </w:p>
        </w:tc>
      </w:tr>
    </w:tbl>
    <w:p>
      <w:pPr>
        <w:pStyle w:val="68"/>
        <w:spacing w:line="360" w:lineRule="auto"/>
        <w:ind w:firstLine="480" w:firstLineChars="200"/>
        <w:rPr>
          <w:rFonts w:hint="eastAsia" w:ascii="宋体" w:hAnsi="宋体" w:eastAsia="宋体" w:cs="宋体"/>
          <w:color w:val="auto"/>
          <w:sz w:val="24"/>
          <w:szCs w:val="24"/>
          <w:highlight w:val="none"/>
        </w:rPr>
      </w:pPr>
    </w:p>
    <w:p>
      <w:pPr>
        <w:pStyle w:val="68"/>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pPr>
        <w:pStyle w:val="6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68"/>
        <w:spacing w:line="360" w:lineRule="auto"/>
        <w:ind w:firstLine="480" w:firstLineChars="200"/>
        <w:rPr>
          <w:rFonts w:hint="eastAsia" w:ascii="宋体" w:hAnsi="宋体" w:eastAsia="宋体" w:cs="宋体"/>
          <w:color w:val="auto"/>
          <w:sz w:val="24"/>
          <w:szCs w:val="24"/>
          <w:highlight w:val="none"/>
        </w:rPr>
      </w:pPr>
    </w:p>
    <w:p>
      <w:pPr>
        <w:pStyle w:val="6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56" w:name="_Toc18056"/>
      <w:bookmarkStart w:id="257" w:name="_Toc29617"/>
      <w:bookmarkStart w:id="258" w:name="_Toc256000045"/>
      <w:bookmarkStart w:id="259" w:name="_Toc11940"/>
      <w:bookmarkStart w:id="260" w:name="_Toc30052"/>
      <w:bookmarkStart w:id="261" w:name="_Toc7028"/>
      <w:r>
        <w:rPr>
          <w:rFonts w:hint="eastAsia" w:ascii="宋体" w:hAnsi="宋体" w:eastAsia="宋体" w:cs="宋体"/>
          <w:b/>
          <w:color w:val="auto"/>
          <w:sz w:val="28"/>
          <w:szCs w:val="22"/>
          <w:highlight w:val="none"/>
          <w:lang w:val="en-US" w:eastAsia="zh-CN" w:bidi="ar-SA"/>
        </w:rPr>
        <w:t>十一、已标价的工程量清单</w:t>
      </w:r>
      <w:bookmarkEnd w:id="256"/>
      <w:bookmarkEnd w:id="257"/>
      <w:bookmarkEnd w:id="258"/>
      <w:bookmarkEnd w:id="259"/>
      <w:bookmarkEnd w:id="260"/>
      <w:bookmarkEnd w:id="261"/>
    </w:p>
    <w:p>
      <w:pPr>
        <w:pStyle w:val="70"/>
        <w:spacing w:line="360" w:lineRule="auto"/>
        <w:jc w:val="center"/>
        <w:rPr>
          <w:rFonts w:hint="eastAsia" w:ascii="宋体" w:hAnsi="宋体" w:eastAsia="宋体" w:cs="宋体"/>
          <w:b/>
          <w:color w:val="auto"/>
          <w:sz w:val="24"/>
          <w:szCs w:val="24"/>
          <w:highlight w:val="none"/>
        </w:rPr>
      </w:pPr>
      <w:bookmarkStart w:id="262" w:name="_Toc256000046"/>
      <w:bookmarkStart w:id="263" w:name="_Toc14999"/>
      <w:r>
        <w:rPr>
          <w:rFonts w:hint="eastAsia" w:ascii="宋体" w:hAnsi="宋体" w:eastAsia="宋体" w:cs="宋体"/>
          <w:b/>
          <w:color w:val="auto"/>
          <w:sz w:val="24"/>
          <w:szCs w:val="24"/>
          <w:highlight w:val="none"/>
        </w:rPr>
        <w:t>报价一览表</w:t>
      </w:r>
    </w:p>
    <w:p>
      <w:pPr>
        <w:pStyle w:val="70"/>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（后附工程量清单明细表，否则其投标报价无效，做废标处理。）</w:t>
      </w:r>
    </w:p>
    <w:p>
      <w:pPr>
        <w:pStyle w:val="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标段名称：</w:t>
      </w:r>
    </w:p>
    <w:p>
      <w:pPr>
        <w:pStyle w:val="70"/>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宋体" w:hAnsi="宋体" w:eastAsia="宋体" w:cs="宋体"/>
                <w:color w:val="auto"/>
                <w:sz w:val="24"/>
                <w:szCs w:val="24"/>
                <w:highlight w:val="none"/>
              </w:rPr>
            </w:pPr>
          </w:p>
          <w:p>
            <w:pPr>
              <w:pStyle w:val="7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p>
            <w:pPr>
              <w:pStyle w:val="70"/>
              <w:spacing w:line="360" w:lineRule="auto"/>
              <w:jc w:val="center"/>
              <w:rPr>
                <w:rFonts w:hint="eastAsia" w:ascii="宋体" w:hAnsi="宋体" w:eastAsia="宋体" w:cs="宋体"/>
                <w:color w:val="auto"/>
                <w:sz w:val="24"/>
                <w:szCs w:val="24"/>
                <w:highlight w:val="none"/>
              </w:rPr>
            </w:pPr>
          </w:p>
        </w:tc>
        <w:tc>
          <w:tcPr>
            <w:tcW w:w="1501" w:type="dxa"/>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70"/>
              <w:spacing w:line="360" w:lineRule="auto"/>
              <w:ind w:firstLine="42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bl>
    <w:p>
      <w:pPr>
        <w:pStyle w:val="7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说明：各分项价格统一按此总报价幅度调整。</w:t>
      </w:r>
    </w:p>
    <w:p>
      <w:pPr>
        <w:pStyle w:val="70"/>
        <w:spacing w:line="360" w:lineRule="auto"/>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pPr>
        <w:pStyle w:val="7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r>
        <w:rPr>
          <w:rStyle w:val="72"/>
          <w:rFonts w:hint="eastAsia" w:ascii="宋体" w:hAnsi="宋体" w:eastAsia="宋体" w:cs="宋体"/>
          <w:color w:val="auto"/>
          <w:sz w:val="24"/>
          <w:szCs w:val="24"/>
          <w:highlight w:val="none"/>
        </w:rPr>
        <w:t>已标价的工程量清单</w:t>
      </w:r>
      <w:bookmarkEnd w:id="262"/>
      <w:bookmarkStart w:id="264" w:name="_Toc22154"/>
      <w:bookmarkStart w:id="265" w:name="_Toc18861"/>
      <w:bookmarkStart w:id="266" w:name="_Toc256000047"/>
    </w:p>
    <w:bookmarkEnd w:id="263"/>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69"/>
        <w:outlineLvl w:val="0"/>
        <w:rPr>
          <w:rFonts w:hint="eastAsia" w:ascii="宋体" w:hAnsi="宋体" w:eastAsia="宋体" w:cs="宋体"/>
          <w:b/>
          <w:color w:val="auto"/>
          <w:sz w:val="28"/>
          <w:szCs w:val="22"/>
          <w:highlight w:val="none"/>
          <w:lang w:val="en-US" w:eastAsia="zh-CN" w:bidi="ar-SA"/>
        </w:rPr>
      </w:pPr>
      <w:bookmarkStart w:id="267" w:name="_Toc18229"/>
      <w:bookmarkStart w:id="268" w:name="_Toc17422"/>
      <w:bookmarkStart w:id="269" w:name="_Toc21245"/>
      <w:r>
        <w:rPr>
          <w:rFonts w:hint="eastAsia" w:ascii="宋体" w:hAnsi="宋体" w:eastAsia="宋体" w:cs="宋体"/>
          <w:b/>
          <w:color w:val="auto"/>
          <w:sz w:val="28"/>
          <w:szCs w:val="22"/>
          <w:highlight w:val="none"/>
          <w:lang w:val="en-US" w:eastAsia="zh-CN" w:bidi="ar-SA"/>
        </w:rPr>
        <w:t>十二、联合体协议书格式（如有）</w:t>
      </w:r>
      <w:bookmarkEnd w:id="264"/>
      <w:bookmarkEnd w:id="265"/>
      <w:bookmarkEnd w:id="266"/>
      <w:bookmarkEnd w:id="267"/>
      <w:bookmarkEnd w:id="268"/>
      <w:bookmarkEnd w:id="269"/>
    </w:p>
    <w:p>
      <w:pPr>
        <w:pStyle w:val="74"/>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联合体协议</w:t>
      </w:r>
    </w:p>
    <w:p>
      <w:pPr>
        <w:pStyle w:val="74"/>
        <w:adjustRightInd w:val="0"/>
        <w:snapToGrid w:val="0"/>
        <w:spacing w:before="158"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经研究，我们决定自愿组成联合体共同申请参加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（项目名称、政府采购编号、采购代理编号）项目的磋商。现就联合体事宜订立如下协议：</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一、联合体基本信息：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（各方公司名称、地址、注册资金、营业执照、法定代表人姓名）。</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。按照本条上述分工，联合体成员单位各自所承担的合同工作量比例如下：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六、本协议书自签署之日起生效，合同履行完毕后自动失效。</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份，联合体成员和采购人各执一份。</w:t>
      </w:r>
    </w:p>
    <w:p>
      <w:pPr>
        <w:pStyle w:val="74"/>
        <w:adjustRightInd w:val="0"/>
        <w:snapToGrid w:val="0"/>
        <w:spacing w:line="360" w:lineRule="auto"/>
        <w:rPr>
          <w:rFonts w:hint="eastAsia" w:ascii="宋体" w:hAnsi="宋体" w:eastAsia="宋体" w:cs="宋体"/>
          <w:color w:val="auto"/>
          <w:sz w:val="24"/>
          <w:szCs w:val="24"/>
          <w:highlight w:val="none"/>
        </w:rPr>
      </w:pP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pPr>
        <w:pStyle w:val="74"/>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备注：本协议书由授权代表签字的，应附法定代表人签字的授权委托书。</w:t>
      </w:r>
      <w:bookmarkStart w:id="270" w:name="_Toc806"/>
      <w:bookmarkStart w:id="271" w:name="_Toc7512"/>
      <w:bookmarkStart w:id="272" w:name="_Toc256000048"/>
    </w:p>
    <w:p>
      <w:pPr>
        <w:pStyle w:val="74"/>
        <w:spacing w:line="360" w:lineRule="auto"/>
        <w:outlineLvl w:val="9"/>
        <w:rPr>
          <w:rFonts w:hint="eastAsia" w:ascii="宋体" w:hAnsi="宋体" w:eastAsia="宋体" w:cs="宋体"/>
          <w:color w:val="auto"/>
          <w:sz w:val="24"/>
          <w:szCs w:val="24"/>
          <w:highlight w:val="none"/>
        </w:rPr>
      </w:pPr>
    </w:p>
    <w:p>
      <w:pPr>
        <w:pStyle w:val="74"/>
        <w:spacing w:line="360" w:lineRule="auto"/>
        <w:outlineLvl w:val="9"/>
        <w:rPr>
          <w:rFonts w:hint="eastAsia" w:ascii="宋体" w:hAnsi="宋体" w:eastAsia="宋体" w:cs="宋体"/>
          <w:color w:val="auto"/>
          <w:sz w:val="24"/>
          <w:szCs w:val="24"/>
          <w:highlight w:val="none"/>
        </w:rPr>
      </w:pPr>
    </w:p>
    <w:bookmarkEnd w:id="270"/>
    <w:bookmarkEnd w:id="271"/>
    <w:bookmarkEnd w:id="272"/>
    <w:p>
      <w:pPr>
        <w:pStyle w:val="69"/>
        <w:outlineLvl w:val="0"/>
        <w:rPr>
          <w:rFonts w:hint="eastAsia" w:ascii="宋体" w:hAnsi="宋体" w:eastAsia="宋体" w:cs="宋体"/>
          <w:b/>
          <w:color w:val="auto"/>
          <w:sz w:val="28"/>
          <w:szCs w:val="22"/>
          <w:highlight w:val="none"/>
          <w:lang w:val="en-US" w:eastAsia="zh-CN" w:bidi="ar-SA"/>
        </w:rPr>
      </w:pPr>
      <w:bookmarkStart w:id="273" w:name="_Toc2574"/>
      <w:bookmarkStart w:id="274" w:name="_Toc8063"/>
      <w:bookmarkStart w:id="275" w:name="_Toc22436"/>
      <w:bookmarkStart w:id="276" w:name="_Toc14498"/>
      <w:bookmarkStart w:id="277" w:name="_Toc27630"/>
      <w:bookmarkStart w:id="278" w:name="_Toc256000049"/>
      <w:r>
        <w:rPr>
          <w:rFonts w:hint="eastAsia" w:ascii="宋体" w:hAnsi="宋体" w:eastAsia="宋体" w:cs="宋体"/>
          <w:b/>
          <w:color w:val="auto"/>
          <w:sz w:val="28"/>
          <w:szCs w:val="22"/>
          <w:highlight w:val="none"/>
          <w:lang w:val="en-US" w:eastAsia="zh-CN" w:bidi="ar-SA"/>
        </w:rPr>
        <w:t>十三、施工组织设计</w:t>
      </w:r>
      <w:bookmarkEnd w:id="273"/>
      <w:bookmarkEnd w:id="274"/>
      <w:bookmarkEnd w:id="275"/>
      <w:bookmarkEnd w:id="276"/>
      <w:bookmarkEnd w:id="277"/>
      <w:bookmarkEnd w:id="278"/>
    </w:p>
    <w:p>
      <w:pPr>
        <w:pStyle w:val="75"/>
        <w:ind w:left="0" w:leftChars="0" w:firstLine="0" w:firstLineChars="0"/>
        <w:jc w:val="center"/>
        <w:outlineLvl w:val="9"/>
        <w:rPr>
          <w:rFonts w:hint="eastAsia" w:ascii="宋体" w:hAnsi="宋体" w:eastAsia="宋体" w:cs="宋体"/>
          <w:b/>
          <w:color w:val="auto"/>
          <w:sz w:val="24"/>
          <w:szCs w:val="24"/>
          <w:highlight w:val="none"/>
        </w:rPr>
      </w:pPr>
      <w:bookmarkStart w:id="279" w:name="_Toc256000050"/>
      <w:r>
        <w:rPr>
          <w:rFonts w:hint="eastAsia" w:ascii="宋体" w:hAnsi="宋体" w:eastAsia="宋体" w:cs="宋体"/>
          <w:b/>
          <w:color w:val="auto"/>
          <w:sz w:val="24"/>
          <w:szCs w:val="24"/>
          <w:highlight w:val="none"/>
        </w:rPr>
        <w:t>（一）施工组织设计</w:t>
      </w:r>
      <w:bookmarkEnd w:id="279"/>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图表及格式要求：</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附表一  拟投入的主要施工设备表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  劳动力计划表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附表三  进度计划</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附表四  施工总平面图</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附表二：劳动力计划表</w:t>
      </w:r>
    </w:p>
    <w:p>
      <w:pPr>
        <w:pStyle w:val="76"/>
        <w:spacing w:line="360" w:lineRule="auto"/>
        <w:ind w:right="20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7"/>
        <w:spacing w:line="360" w:lineRule="auto"/>
        <w:rPr>
          <w:rFonts w:hint="eastAsia" w:ascii="宋体" w:hAnsi="宋体" w:eastAsia="宋体" w:cs="宋体"/>
          <w:color w:val="auto"/>
          <w:sz w:val="24"/>
          <w:szCs w:val="24"/>
          <w:highlight w:val="none"/>
        </w:rPr>
      </w:pPr>
    </w:p>
    <w:p>
      <w:pPr>
        <w:pStyle w:val="77"/>
        <w:spacing w:line="360" w:lineRule="auto"/>
        <w:rPr>
          <w:rFonts w:hint="eastAsia" w:ascii="宋体" w:hAnsi="宋体" w:eastAsia="宋体" w:cs="宋体"/>
          <w:color w:val="auto"/>
          <w:sz w:val="24"/>
          <w:szCs w:val="24"/>
          <w:highlight w:val="none"/>
        </w:rPr>
      </w:pPr>
    </w:p>
    <w:p>
      <w:pPr>
        <w:pStyle w:val="7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附表三：进度计划</w:t>
      </w:r>
    </w:p>
    <w:p>
      <w:pPr>
        <w:pStyle w:val="76"/>
        <w:rPr>
          <w:rFonts w:hint="eastAsia" w:ascii="宋体" w:hAnsi="宋体" w:eastAsia="宋体" w:cs="宋体"/>
          <w:b/>
          <w:bCs/>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供应商应递交施工进度网络图或施工进度表，说明按磋商文件要求的计划工期进行施工的各个关键日期。</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施工进度表可采用网络图或横道图表示。</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附表四：施工总平面图</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供应商应递交一份施工总平面图，绘出现场临时设施布置图表，并注明临时设施、加工车间、现场办公、设备及仓储、供电、供水、卫生、生活、道路、消防等设施的情况和布置。</w:t>
      </w:r>
      <w:bookmarkStart w:id="280" w:name="_Toc256000051"/>
      <w:bookmarkStart w:id="281" w:name="_Toc4856"/>
      <w:bookmarkStart w:id="282" w:name="_Toc28819"/>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69"/>
        <w:outlineLvl w:val="0"/>
        <w:rPr>
          <w:rFonts w:hint="eastAsia" w:ascii="宋体" w:hAnsi="宋体" w:eastAsia="宋体" w:cs="宋体"/>
          <w:b/>
          <w:color w:val="auto"/>
          <w:sz w:val="24"/>
          <w:szCs w:val="24"/>
          <w:highlight w:val="none"/>
        </w:rPr>
      </w:pPr>
      <w:bookmarkStart w:id="283" w:name="_Toc30659"/>
      <w:bookmarkStart w:id="284" w:name="_Toc4464"/>
      <w:bookmarkStart w:id="285" w:name="_Toc30473"/>
      <w:r>
        <w:rPr>
          <w:rFonts w:hint="eastAsia" w:ascii="宋体" w:hAnsi="宋体" w:eastAsia="宋体" w:cs="宋体"/>
          <w:b/>
          <w:color w:val="auto"/>
          <w:sz w:val="28"/>
          <w:szCs w:val="22"/>
          <w:highlight w:val="none"/>
          <w:lang w:val="en-US" w:eastAsia="zh-CN" w:bidi="ar-SA"/>
        </w:rPr>
        <w:t>十四、项目管理机构组成表</w:t>
      </w:r>
      <w:bookmarkEnd w:id="280"/>
      <w:bookmarkEnd w:id="281"/>
      <w:bookmarkEnd w:id="282"/>
      <w:bookmarkEnd w:id="283"/>
      <w:bookmarkEnd w:id="284"/>
      <w:bookmarkEnd w:id="285"/>
    </w:p>
    <w:p>
      <w:pPr>
        <w:pStyle w:val="76"/>
        <w:rPr>
          <w:rFonts w:hint="eastAsia" w:ascii="宋体" w:hAnsi="宋体" w:eastAsia="宋体" w:cs="宋体"/>
          <w:b/>
          <w:bCs/>
          <w:color w:val="auto"/>
          <w:sz w:val="24"/>
          <w:szCs w:val="24"/>
          <w:highlight w:val="none"/>
        </w:rPr>
      </w:pPr>
      <w:bookmarkStart w:id="286" w:name="_Toc256000052"/>
      <w:r>
        <w:rPr>
          <w:rFonts w:hint="eastAsia" w:ascii="宋体" w:hAnsi="宋体" w:eastAsia="宋体" w:cs="宋体"/>
          <w:b/>
          <w:bCs/>
          <w:color w:val="auto"/>
          <w:sz w:val="24"/>
          <w:szCs w:val="24"/>
          <w:highlight w:val="none"/>
        </w:rPr>
        <w:t>（一）项目管理机构组成表</w:t>
      </w:r>
      <w:bookmarkEnd w:id="286"/>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bl>
    <w:p>
      <w:pPr>
        <w:pStyle w:val="7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87" w:name="_Toc256000053"/>
      <w:bookmarkStart w:id="288" w:name="_Toc5067"/>
      <w:bookmarkStart w:id="289" w:name="_Toc12728"/>
      <w:bookmarkStart w:id="290" w:name="_Toc14452"/>
      <w:bookmarkStart w:id="291" w:name="_Toc11937"/>
      <w:bookmarkStart w:id="292" w:name="_Toc18856"/>
      <w:r>
        <w:rPr>
          <w:rFonts w:hint="eastAsia" w:ascii="宋体" w:hAnsi="宋体" w:eastAsia="宋体" w:cs="宋体"/>
          <w:b/>
          <w:color w:val="auto"/>
          <w:sz w:val="28"/>
          <w:szCs w:val="22"/>
          <w:highlight w:val="none"/>
          <w:lang w:val="en-US" w:eastAsia="zh-CN" w:bidi="ar-SA"/>
        </w:rPr>
        <w:t>十五、项目经理简历表</w:t>
      </w:r>
      <w:bookmarkEnd w:id="287"/>
      <w:bookmarkEnd w:id="288"/>
      <w:bookmarkEnd w:id="289"/>
      <w:bookmarkEnd w:id="290"/>
      <w:bookmarkEnd w:id="291"/>
      <w:bookmarkEnd w:id="292"/>
    </w:p>
    <w:p>
      <w:pPr>
        <w:pStyle w:val="80"/>
        <w:spacing w:line="360" w:lineRule="auto"/>
        <w:jc w:val="left"/>
        <w:rPr>
          <w:rFonts w:hint="eastAsia" w:ascii="宋体" w:hAnsi="宋体" w:eastAsia="宋体" w:cs="宋体"/>
          <w:b/>
          <w:color w:val="auto"/>
          <w:sz w:val="24"/>
          <w:szCs w:val="24"/>
          <w:highlight w:val="none"/>
        </w:rPr>
      </w:pPr>
      <w:bookmarkStart w:id="293" w:name="_Toc14040"/>
      <w:bookmarkStart w:id="294" w:name="_Toc256000054"/>
      <w:r>
        <w:rPr>
          <w:rStyle w:val="81"/>
          <w:rFonts w:hint="eastAsia" w:ascii="宋体" w:hAnsi="宋体" w:eastAsia="宋体" w:cs="宋体"/>
          <w:color w:val="auto"/>
          <w:sz w:val="24"/>
          <w:szCs w:val="24"/>
          <w:highlight w:val="none"/>
        </w:rPr>
        <w:t>（二）项目经理简历表</w:t>
      </w:r>
      <w:bookmarkEnd w:id="293"/>
      <w:bookmarkEnd w:id="294"/>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bl>
    <w:p>
      <w:pPr>
        <w:pStyle w:val="8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附：建造师注册证书、安全生产考核合格证书、身份证复印件</w:t>
      </w:r>
    </w:p>
    <w:bookmarkEnd w:id="156"/>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9"/>
        <w:outlineLvl w:val="0"/>
        <w:rPr>
          <w:rFonts w:hint="eastAsia" w:ascii="宋体" w:hAnsi="宋体" w:eastAsia="宋体" w:cs="宋体"/>
          <w:b/>
          <w:color w:val="auto"/>
          <w:sz w:val="28"/>
          <w:szCs w:val="22"/>
          <w:highlight w:val="none"/>
          <w:lang w:val="en-US" w:eastAsia="zh-CN" w:bidi="ar-SA"/>
        </w:rPr>
      </w:pPr>
      <w:bookmarkStart w:id="295" w:name="_Toc5410"/>
      <w:bookmarkStart w:id="296" w:name="_Toc27741"/>
      <w:bookmarkStart w:id="297" w:name="_Toc10234"/>
      <w:r>
        <w:rPr>
          <w:rFonts w:hint="eastAsia" w:ascii="宋体" w:hAnsi="宋体" w:eastAsia="宋体" w:cs="宋体"/>
          <w:b/>
          <w:color w:val="auto"/>
          <w:sz w:val="28"/>
          <w:szCs w:val="22"/>
          <w:highlight w:val="none"/>
          <w:lang w:val="en-US" w:eastAsia="zh-CN" w:bidi="ar-SA"/>
        </w:rPr>
        <w:t>十六、其他材料</w:t>
      </w:r>
      <w:bookmarkEnd w:id="295"/>
      <w:bookmarkEnd w:id="296"/>
      <w:bookmarkEnd w:id="297"/>
    </w:p>
    <w:p>
      <w:pPr>
        <w:pStyle w:val="21"/>
        <w:jc w:val="center"/>
        <w:rPr>
          <w:rFonts w:hint="eastAsia" w:ascii="宋体" w:hAnsi="宋体" w:eastAsia="宋体" w:cs="宋体"/>
          <w:bCs/>
          <w:color w:val="auto"/>
          <w:sz w:val="24"/>
          <w:szCs w:val="24"/>
          <w:highlight w:val="none"/>
        </w:rPr>
      </w:pPr>
      <w:bookmarkStart w:id="298" w:name="_Toc6078"/>
      <w:bookmarkStart w:id="299" w:name="_Toc4049"/>
      <w:bookmarkStart w:id="300" w:name="_Toc12805"/>
      <w:bookmarkStart w:id="301" w:name="_Toc23830"/>
      <w:bookmarkStart w:id="302" w:name="_Toc16141"/>
      <w:r>
        <w:rPr>
          <w:rStyle w:val="83"/>
          <w:rFonts w:hint="eastAsia" w:ascii="宋体" w:hAnsi="宋体" w:eastAsia="宋体" w:cs="宋体"/>
          <w:color w:val="auto"/>
          <w:sz w:val="24"/>
          <w:szCs w:val="24"/>
          <w:highlight w:val="none"/>
        </w:rPr>
        <w:t>要求提供的其它材料以及供应商认为需要提交的材料（格式自拟）</w:t>
      </w:r>
      <w:bookmarkEnd w:id="298"/>
      <w:bookmarkEnd w:id="299"/>
      <w:bookmarkEnd w:id="300"/>
      <w:bookmarkEnd w:id="301"/>
      <w:bookmarkEnd w:id="302"/>
    </w:p>
    <w:sectPr>
      <w:footerReference r:id="rId12" w:type="first"/>
      <w:headerReference r:id="rId10" w:type="default"/>
      <w:footerReference r:id="rId11" w:type="default"/>
      <w:pgSz w:w="11906" w:h="16838"/>
      <w:pgMar w:top="1417" w:right="1417" w:bottom="1417" w:left="1417" w:header="907" w:footer="907" w:gutter="0"/>
      <w:pgNumType w:fmt="decimal"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Noto Sans CJK JP Regular">
    <w:altName w:val="Arial"/>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0"/>
    <w:multiLevelType w:val="multilevel"/>
    <w:tmpl w:val="00000000"/>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2"/>
    <w:multiLevelType w:val="multilevel"/>
    <w:tmpl w:val="00000002"/>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8"/>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5">
    <w:nsid w:val="00000009"/>
    <w:multiLevelType w:val="multilevel"/>
    <w:tmpl w:val="00000009"/>
    <w:lvl w:ilvl="0" w:tentative="0">
      <w:start w:val="1"/>
      <w:numFmt w:val="upperLetter"/>
      <w:pStyle w:val="5"/>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8">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6317BE2"/>
    <w:multiLevelType w:val="singleLevel"/>
    <w:tmpl w:val="76317BE2"/>
    <w:lvl w:ilvl="0" w:tentative="0">
      <w:start w:val="1"/>
      <w:numFmt w:val="decimal"/>
      <w:suff w:val="nothing"/>
      <w:lvlText w:val="%1、"/>
      <w:lvlJc w:val="left"/>
    </w:lvl>
  </w:abstractNum>
  <w:num w:numId="1">
    <w:abstractNumId w:val="5"/>
  </w:num>
  <w:num w:numId="2">
    <w:abstractNumId w:val="6"/>
  </w:num>
  <w:num w:numId="3">
    <w:abstractNumId w:val="4"/>
  </w:num>
  <w:num w:numId="4">
    <w:abstractNumId w:val="9"/>
  </w:num>
  <w:num w:numId="5">
    <w:abstractNumId w:val="10"/>
  </w:num>
  <w:num w:numId="6">
    <w:abstractNumId w:val="7"/>
  </w:num>
  <w:num w:numId="7">
    <w:abstractNumId w:val="2"/>
  </w:num>
  <w:num w:numId="8">
    <w:abstractNumId w:val="3"/>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jZjNWYxMDcyOTEzNzRjNzRjZmMzM2I5N2IzMzYifQ=="/>
  </w:docVars>
  <w:rsids>
    <w:rsidRoot w:val="00000000"/>
    <w:rsid w:val="0002561E"/>
    <w:rsid w:val="022655F4"/>
    <w:rsid w:val="03990DF5"/>
    <w:rsid w:val="040E27E3"/>
    <w:rsid w:val="041746CA"/>
    <w:rsid w:val="041E22AA"/>
    <w:rsid w:val="044C2652"/>
    <w:rsid w:val="06FF4665"/>
    <w:rsid w:val="08E73603"/>
    <w:rsid w:val="0A886720"/>
    <w:rsid w:val="0AE07548"/>
    <w:rsid w:val="0B9F3D21"/>
    <w:rsid w:val="0CE07D0C"/>
    <w:rsid w:val="0D337B2F"/>
    <w:rsid w:val="0EB126E9"/>
    <w:rsid w:val="0EBE2625"/>
    <w:rsid w:val="0ED62150"/>
    <w:rsid w:val="12050B4C"/>
    <w:rsid w:val="12383FA4"/>
    <w:rsid w:val="124D4697"/>
    <w:rsid w:val="12825D68"/>
    <w:rsid w:val="13AE4A45"/>
    <w:rsid w:val="13EB3FA7"/>
    <w:rsid w:val="158E754C"/>
    <w:rsid w:val="15BD1974"/>
    <w:rsid w:val="17505BF0"/>
    <w:rsid w:val="177E5132"/>
    <w:rsid w:val="179665D1"/>
    <w:rsid w:val="18DF7A43"/>
    <w:rsid w:val="194A4A3D"/>
    <w:rsid w:val="1ACF642C"/>
    <w:rsid w:val="1BF105C9"/>
    <w:rsid w:val="1D3764AF"/>
    <w:rsid w:val="1D821274"/>
    <w:rsid w:val="1DB45D52"/>
    <w:rsid w:val="1DFC5AA4"/>
    <w:rsid w:val="1E876FC3"/>
    <w:rsid w:val="1F8043D8"/>
    <w:rsid w:val="21D249F9"/>
    <w:rsid w:val="24EF5FF5"/>
    <w:rsid w:val="261F21D6"/>
    <w:rsid w:val="26500BEF"/>
    <w:rsid w:val="26FC0350"/>
    <w:rsid w:val="270A14E8"/>
    <w:rsid w:val="273D0B66"/>
    <w:rsid w:val="2765535C"/>
    <w:rsid w:val="283F19C1"/>
    <w:rsid w:val="28956780"/>
    <w:rsid w:val="28FF4A5E"/>
    <w:rsid w:val="2A550015"/>
    <w:rsid w:val="2B920D55"/>
    <w:rsid w:val="311C359A"/>
    <w:rsid w:val="33641229"/>
    <w:rsid w:val="336B48DD"/>
    <w:rsid w:val="34E3087A"/>
    <w:rsid w:val="34E51DD8"/>
    <w:rsid w:val="36370E76"/>
    <w:rsid w:val="36413AA3"/>
    <w:rsid w:val="37E375CD"/>
    <w:rsid w:val="38105982"/>
    <w:rsid w:val="39022D40"/>
    <w:rsid w:val="390F1EAF"/>
    <w:rsid w:val="39893797"/>
    <w:rsid w:val="3DB00CBF"/>
    <w:rsid w:val="3E3659AE"/>
    <w:rsid w:val="3FA01F11"/>
    <w:rsid w:val="40464190"/>
    <w:rsid w:val="423A155A"/>
    <w:rsid w:val="428D254A"/>
    <w:rsid w:val="42F3383F"/>
    <w:rsid w:val="43827BD5"/>
    <w:rsid w:val="449C4CC6"/>
    <w:rsid w:val="44D3337D"/>
    <w:rsid w:val="48164D90"/>
    <w:rsid w:val="48E337ED"/>
    <w:rsid w:val="4A122CFA"/>
    <w:rsid w:val="4C8E3201"/>
    <w:rsid w:val="4E583234"/>
    <w:rsid w:val="52835B99"/>
    <w:rsid w:val="55432F3C"/>
    <w:rsid w:val="57736E3F"/>
    <w:rsid w:val="5811265E"/>
    <w:rsid w:val="584119B5"/>
    <w:rsid w:val="59507B8D"/>
    <w:rsid w:val="5A0F3E83"/>
    <w:rsid w:val="5A9B41F5"/>
    <w:rsid w:val="5B10566E"/>
    <w:rsid w:val="5B774DFE"/>
    <w:rsid w:val="61270B15"/>
    <w:rsid w:val="61993110"/>
    <w:rsid w:val="61C27C04"/>
    <w:rsid w:val="64596CF4"/>
    <w:rsid w:val="66982746"/>
    <w:rsid w:val="67EA0B8B"/>
    <w:rsid w:val="689618F7"/>
    <w:rsid w:val="689E075E"/>
    <w:rsid w:val="6DD8026E"/>
    <w:rsid w:val="6F307C36"/>
    <w:rsid w:val="70A11939"/>
    <w:rsid w:val="7104781F"/>
    <w:rsid w:val="711845A3"/>
    <w:rsid w:val="71FB739F"/>
    <w:rsid w:val="7249798C"/>
    <w:rsid w:val="737741AE"/>
    <w:rsid w:val="76012298"/>
    <w:rsid w:val="76143E0D"/>
    <w:rsid w:val="76EC33D4"/>
    <w:rsid w:val="77231788"/>
    <w:rsid w:val="77425E1D"/>
    <w:rsid w:val="77944DFE"/>
    <w:rsid w:val="7D376633"/>
    <w:rsid w:val="7D7061F8"/>
    <w:rsid w:val="7E7671B3"/>
    <w:rsid w:val="7F2965F9"/>
    <w:rsid w:val="7FFA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3"/>
    <w:qFormat/>
    <w:uiPriority w:val="0"/>
    <w:pPr>
      <w:keepNext/>
      <w:tabs>
        <w:tab w:val="left" w:pos="420"/>
      </w:tabs>
      <w:jc w:val="center"/>
      <w:outlineLvl w:val="0"/>
    </w:pPr>
    <w:rPr>
      <w:b/>
      <w:bCs/>
      <w:kern w:val="0"/>
      <w:sz w:val="2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numPr>
        <w:ilvl w:val="0"/>
        <w:numId w:val="1"/>
      </w:numPr>
      <w:outlineLvl w:val="2"/>
    </w:pPr>
    <w:rPr>
      <w:b/>
      <w:bCs/>
      <w:sz w:val="28"/>
      <w:szCs w:val="24"/>
    </w:rPr>
  </w:style>
  <w:style w:type="paragraph" w:styleId="6">
    <w:name w:val="heading 4"/>
    <w:basedOn w:val="1"/>
    <w:next w:val="1"/>
    <w:qFormat/>
    <w:uiPriority w:val="0"/>
    <w:pPr>
      <w:keepNext/>
      <w:numPr>
        <w:ilvl w:val="0"/>
        <w:numId w:val="2"/>
      </w:numPr>
      <w:outlineLvl w:val="3"/>
    </w:pPr>
    <w:rPr>
      <w:b/>
      <w:color w:val="000000"/>
      <w:sz w:val="28"/>
      <w:szCs w:val="24"/>
      <w:u w:val="single"/>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0">
    <w:name w:val="toa heading"/>
    <w:basedOn w:val="1"/>
    <w:next w:val="1"/>
    <w:qFormat/>
    <w:uiPriority w:val="0"/>
    <w:pPr>
      <w:spacing w:before="120"/>
    </w:pPr>
    <w:rPr>
      <w:rFonts w:ascii="Arial" w:hAnsi="Arial"/>
      <w:sz w:val="24"/>
      <w:szCs w:val="21"/>
    </w:rPr>
  </w:style>
  <w:style w:type="paragraph" w:styleId="11">
    <w:name w:val="Body Text"/>
    <w:basedOn w:val="1"/>
    <w:next w:val="1"/>
    <w:qFormat/>
    <w:uiPriority w:val="0"/>
    <w:pPr>
      <w:spacing w:after="120" w:afterLines="0"/>
    </w:pPr>
  </w:style>
  <w:style w:type="paragraph" w:styleId="12">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3">
    <w:name w:val="toc 5"/>
    <w:basedOn w:val="1"/>
    <w:next w:val="1"/>
    <w:semiHidden/>
    <w:qFormat/>
    <w:uiPriority w:val="0"/>
    <w:pPr>
      <w:ind w:left="840"/>
      <w:jc w:val="left"/>
    </w:pPr>
    <w:rPr>
      <w:sz w:val="18"/>
      <w:szCs w:val="18"/>
    </w:r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宋体"/>
    </w:rPr>
  </w:style>
  <w:style w:type="paragraph" w:styleId="16">
    <w:name w:val="Date"/>
    <w:basedOn w:val="1"/>
    <w:next w:val="1"/>
    <w:qFormat/>
    <w:uiPriority w:val="99"/>
    <w:rPr>
      <w:rFonts w:ascii="Times New Roman" w:hAnsi="Times New Roman"/>
      <w:kern w:val="0"/>
      <w:sz w:val="20"/>
      <w:szCs w:val="20"/>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56" w:beforeLines="50"/>
    </w:pPr>
    <w:rPr>
      <w:rFonts w:ascii="仿宋_GB2312" w:eastAsia="仿宋_GB2312"/>
      <w:sz w:val="24"/>
    </w:rPr>
  </w:style>
  <w:style w:type="paragraph" w:styleId="20">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1">
    <w:name w:val="footnote text"/>
    <w:basedOn w:val="1"/>
    <w:qFormat/>
    <w:uiPriority w:val="0"/>
    <w:pPr>
      <w:snapToGrid w:val="0"/>
      <w:jc w:val="left"/>
    </w:pPr>
    <w:rPr>
      <w:rFonts w:eastAsia="楷体_GB2312"/>
      <w:sz w:val="18"/>
      <w:szCs w:val="18"/>
    </w:rPr>
  </w:style>
  <w:style w:type="paragraph" w:styleId="22">
    <w:name w:val="toc 2"/>
    <w:basedOn w:val="1"/>
    <w:next w:val="1"/>
    <w:qFormat/>
    <w:uiPriority w:val="0"/>
    <w:pPr>
      <w:ind w:left="420" w:leftChars="200"/>
    </w:pPr>
  </w:style>
  <w:style w:type="paragraph" w:styleId="23">
    <w:name w:val="HTML Preformatted"/>
    <w:basedOn w:val="1"/>
    <w:qFormat/>
    <w:uiPriority w:val="99"/>
    <w:rPr>
      <w:rFonts w:ascii="Courier New" w:hAnsi="Courier New"/>
      <w:sz w:val="20"/>
    </w:rPr>
  </w:style>
  <w:style w:type="paragraph" w:styleId="24">
    <w:name w:val="Normal (Web)"/>
    <w:basedOn w:val="1"/>
    <w:qFormat/>
    <w:uiPriority w:val="0"/>
    <w:pPr>
      <w:widowControl/>
      <w:jc w:val="left"/>
    </w:pPr>
    <w:rPr>
      <w:rFonts w:ascii="宋体" w:hAnsi="宋体" w:cs="宋体"/>
      <w:kern w:val="0"/>
      <w:sz w:val="24"/>
      <w:szCs w:val="24"/>
    </w:rPr>
  </w:style>
  <w:style w:type="paragraph" w:styleId="25">
    <w:name w:val="Title"/>
    <w:basedOn w:val="1"/>
    <w:next w:val="1"/>
    <w:qFormat/>
    <w:uiPriority w:val="0"/>
    <w:pPr>
      <w:jc w:val="both"/>
    </w:pPr>
    <w:rPr>
      <w:rFonts w:ascii="宋体" w:hAnsi="宋体"/>
      <w:b/>
      <w:sz w:val="44"/>
      <w:szCs w:val="28"/>
    </w:rPr>
  </w:style>
  <w:style w:type="paragraph" w:styleId="26">
    <w:name w:val="Body Text First Indent"/>
    <w:basedOn w:val="11"/>
    <w:unhideWhenUsed/>
    <w:qFormat/>
    <w:uiPriority w:val="0"/>
    <w:pPr>
      <w:spacing w:before="0" w:beforeLines="0" w:after="120" w:afterLines="0" w:line="312" w:lineRule="atLeast"/>
      <w:ind w:firstLine="420" w:firstLineChars="100"/>
    </w:pPr>
    <w:rPr>
      <w:sz w:val="21"/>
    </w:rPr>
  </w:style>
  <w:style w:type="paragraph" w:styleId="27">
    <w:name w:val="Body Text First Indent 2"/>
    <w:basedOn w:val="12"/>
    <w:next w:val="26"/>
    <w:qFormat/>
    <w:uiPriority w:val="0"/>
    <w:pPr>
      <w:tabs>
        <w:tab w:val="left" w:pos="8280"/>
      </w:tabs>
      <w:ind w:firstLine="420" w:firstLineChars="200"/>
    </w:pPr>
    <w:rPr>
      <w:rFonts w:ascii="Times New Roman" w:hAnsi="Times New Roman"/>
      <w:szCs w:val="20"/>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Char"/>
    <w:basedOn w:val="1"/>
    <w:qFormat/>
    <w:uiPriority w:val="0"/>
    <w:pPr>
      <w:tabs>
        <w:tab w:val="left" w:pos="360"/>
      </w:tabs>
    </w:pPr>
    <w:rPr>
      <w:sz w:val="24"/>
      <w:szCs w:val="24"/>
    </w:rPr>
  </w:style>
  <w:style w:type="paragraph" w:customStyle="1" w:styleId="34">
    <w:name w:val="_Style 2"/>
    <w:basedOn w:val="1"/>
    <w:next w:val="1"/>
    <w:qFormat/>
    <w:uiPriority w:val="99"/>
    <w:pPr>
      <w:ind w:firstLine="420" w:firstLineChars="200"/>
    </w:pPr>
    <w:rPr>
      <w:szCs w:val="24"/>
    </w:rPr>
  </w:style>
  <w:style w:type="paragraph" w:customStyle="1" w:styleId="35">
    <w:name w:val="标题 5（有编号）（绿盟科技）"/>
    <w:basedOn w:val="1"/>
    <w:next w:val="36"/>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3"/>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87">
    <w:name w:val="样式 首行缩进:  2 字符"/>
    <w:basedOn w:val="1"/>
    <w:qFormat/>
    <w:uiPriority w:val="0"/>
    <w:pPr>
      <w:spacing w:line="400" w:lineRule="exact"/>
    </w:pPr>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20834</Words>
  <Characters>21932</Characters>
  <Lines>0</Lines>
  <Paragraphs>0</Paragraphs>
  <TotalTime>0</TotalTime>
  <ScaleCrop>false</ScaleCrop>
  <LinksUpToDate>false</LinksUpToDate>
  <CharactersWithSpaces>24284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谱诚咨询</cp:lastModifiedBy>
  <dcterms:modified xsi:type="dcterms:W3CDTF">2023-06-19T09:33:10Z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