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color w:val="auto"/>
          <w:highlight w:val="none"/>
          <w:lang w:val="en-US"/>
        </w:rPr>
      </w:pPr>
      <w:r>
        <w:rPr>
          <w:color w:val="auto"/>
          <w:highlight w:val="none"/>
        </w:rPr>
        <w:drawing>
          <wp:inline distT="0" distB="0" distL="114300" distR="114300">
            <wp:extent cx="1176655" cy="916940"/>
            <wp:effectExtent l="0" t="0" r="4445" b="16510"/>
            <wp:docPr id="2"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
                    <pic:cNvPicPr>
                      <a:picLocks noChangeAspect="1"/>
                    </pic:cNvPicPr>
                  </pic:nvPicPr>
                  <pic:blipFill>
                    <a:blip r:embed="rId19"/>
                    <a:srcRect t="13322" r="3647" b="17383"/>
                    <a:stretch>
                      <a:fillRect/>
                    </a:stretch>
                  </pic:blipFill>
                  <pic:spPr>
                    <a:xfrm>
                      <a:off x="0" y="0"/>
                      <a:ext cx="1176655" cy="916940"/>
                    </a:xfrm>
                    <a:prstGeom prst="rect">
                      <a:avLst/>
                    </a:prstGeom>
                    <a:noFill/>
                    <a:ln>
                      <a:noFill/>
                    </a:ln>
                  </pic:spPr>
                </pic:pic>
              </a:graphicData>
            </a:graphic>
          </wp:inline>
        </w:drawing>
      </w:r>
      <w:r>
        <w:rPr>
          <w:rFonts w:hint="eastAsia"/>
          <w:color w:val="auto"/>
          <w:highlight w:val="none"/>
          <w:lang w:val="en-US" w:eastAsia="zh-CN"/>
        </w:rPr>
        <w:t xml:space="preserve">                                      </w:t>
      </w:r>
      <w:r>
        <w:rPr>
          <w:rFonts w:hint="eastAsia" w:ascii="黑体" w:hAnsi="黑体" w:eastAsia="黑体" w:cs="黑体"/>
          <w:color w:val="auto"/>
          <w:sz w:val="28"/>
          <w:szCs w:val="28"/>
          <w:highlight w:val="none"/>
          <w:lang w:val="en-US" w:eastAsia="zh-CN"/>
        </w:rPr>
        <w:t>项目编号：XJPC-2023-036</w:t>
      </w:r>
    </w:p>
    <w:p>
      <w:pPr>
        <w:pStyle w:val="37"/>
        <w:spacing w:line="360" w:lineRule="auto"/>
        <w:rPr>
          <w:rFonts w:hint="eastAsia" w:ascii="宋体" w:hAnsi="宋体" w:cs="宋体"/>
          <w:b/>
          <w:color w:val="auto"/>
          <w:sz w:val="28"/>
          <w:szCs w:val="28"/>
          <w:highlight w:val="none"/>
        </w:rPr>
      </w:pPr>
    </w:p>
    <w:p>
      <w:pPr>
        <w:pStyle w:val="37"/>
        <w:spacing w:line="360" w:lineRule="auto"/>
        <w:rPr>
          <w:rFonts w:hint="eastAsia" w:ascii="宋体" w:hAnsi="宋体" w:cs="宋体"/>
          <w:b/>
          <w:color w:val="auto"/>
          <w:sz w:val="28"/>
          <w:szCs w:val="28"/>
          <w:highlight w:val="none"/>
        </w:rPr>
      </w:pPr>
    </w:p>
    <w:p>
      <w:pPr>
        <w:pStyle w:val="37"/>
        <w:spacing w:line="360" w:lineRule="auto"/>
        <w:jc w:val="center"/>
        <w:rPr>
          <w:rFonts w:hint="eastAsia" w:ascii="宋体" w:hAnsi="宋体" w:cs="宋体"/>
          <w:b/>
          <w:bCs/>
          <w:color w:val="auto"/>
          <w:sz w:val="72"/>
          <w:szCs w:val="72"/>
          <w:highlight w:val="none"/>
          <w:lang w:eastAsia="zh-CN"/>
        </w:rPr>
      </w:pPr>
      <w:r>
        <w:rPr>
          <w:rFonts w:hint="eastAsia" w:ascii="宋体" w:hAnsi="宋体" w:cs="宋体"/>
          <w:b/>
          <w:bCs/>
          <w:color w:val="auto"/>
          <w:sz w:val="72"/>
          <w:szCs w:val="72"/>
          <w:highlight w:val="none"/>
          <w:lang w:eastAsia="zh-CN"/>
        </w:rPr>
        <w:t>团结路小区管网工程</w:t>
      </w:r>
    </w:p>
    <w:p>
      <w:pPr>
        <w:pStyle w:val="37"/>
        <w:spacing w:line="360" w:lineRule="auto"/>
        <w:jc w:val="center"/>
        <w:rPr>
          <w:rFonts w:hint="eastAsia" w:ascii="宋体" w:hAnsi="宋体" w:cs="宋体"/>
          <w:b/>
          <w:bCs/>
          <w:color w:val="auto"/>
          <w:sz w:val="72"/>
          <w:szCs w:val="72"/>
          <w:highlight w:val="none"/>
          <w:lang w:eastAsia="zh-CN"/>
        </w:rPr>
      </w:pPr>
      <w:r>
        <w:rPr>
          <w:rFonts w:hint="eastAsia" w:ascii="宋体" w:hAnsi="宋体" w:cs="宋体"/>
          <w:b/>
          <w:bCs/>
          <w:color w:val="auto"/>
          <w:sz w:val="72"/>
          <w:szCs w:val="72"/>
          <w:highlight w:val="none"/>
          <w:lang w:eastAsia="zh-CN"/>
        </w:rPr>
        <w:t>铺设项目</w:t>
      </w:r>
    </w:p>
    <w:p>
      <w:pPr>
        <w:pStyle w:val="37"/>
        <w:spacing w:line="360" w:lineRule="auto"/>
        <w:jc w:val="center"/>
        <w:rPr>
          <w:rFonts w:hint="eastAsia" w:ascii="宋体" w:hAnsi="宋体" w:cs="宋体"/>
          <w:b/>
          <w:bCs/>
          <w:color w:val="auto"/>
          <w:sz w:val="72"/>
          <w:szCs w:val="72"/>
          <w:highlight w:val="none"/>
          <w:lang w:eastAsia="zh-CN"/>
        </w:rPr>
      </w:pPr>
    </w:p>
    <w:p>
      <w:pPr>
        <w:pStyle w:val="37"/>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竞争性磋商文件</w:t>
      </w:r>
    </w:p>
    <w:p>
      <w:pPr>
        <w:pStyle w:val="37"/>
        <w:spacing w:line="360" w:lineRule="auto"/>
        <w:jc w:val="center"/>
        <w:rPr>
          <w:rFonts w:hint="eastAsia" w:ascii="宋体" w:hAnsi="宋体" w:cs="宋体"/>
          <w:b/>
          <w:bCs/>
          <w:color w:val="auto"/>
          <w:sz w:val="44"/>
          <w:szCs w:val="44"/>
          <w:highlight w:val="none"/>
        </w:rPr>
      </w:pPr>
    </w:p>
    <w:p>
      <w:pPr>
        <w:pStyle w:val="37"/>
        <w:spacing w:line="360" w:lineRule="auto"/>
        <w:jc w:val="center"/>
        <w:rPr>
          <w:rFonts w:hint="eastAsia" w:ascii="宋体" w:hAnsi="宋体" w:cs="宋体"/>
          <w:b/>
          <w:bCs/>
          <w:color w:val="auto"/>
          <w:sz w:val="28"/>
          <w:szCs w:val="28"/>
          <w:highlight w:val="none"/>
        </w:rPr>
      </w:pPr>
    </w:p>
    <w:p>
      <w:pPr>
        <w:pStyle w:val="37"/>
        <w:spacing w:line="360" w:lineRule="auto"/>
        <w:jc w:val="center"/>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eastAsia="zh-CN"/>
        </w:rPr>
        <w:t> </w:t>
      </w:r>
    </w:p>
    <w:p>
      <w:pPr>
        <w:pStyle w:val="37"/>
        <w:spacing w:line="360" w:lineRule="auto"/>
        <w:jc w:val="center"/>
        <w:rPr>
          <w:rFonts w:hint="eastAsia" w:ascii="宋体" w:hAnsi="宋体" w:cs="宋体"/>
          <w:b/>
          <w:bCs/>
          <w:color w:val="auto"/>
          <w:sz w:val="28"/>
          <w:szCs w:val="28"/>
          <w:highlight w:val="none"/>
        </w:rPr>
      </w:pPr>
    </w:p>
    <w:p>
      <w:pPr>
        <w:pStyle w:val="11"/>
        <w:spacing w:line="360" w:lineRule="auto"/>
        <w:rPr>
          <w:rFonts w:hint="eastAsia" w:ascii="宋体" w:hAnsi="宋体" w:cs="宋体"/>
          <w:b/>
          <w:color w:val="auto"/>
          <w:sz w:val="28"/>
          <w:szCs w:val="28"/>
          <w:highlight w:val="none"/>
          <w:u w:val="single"/>
        </w:rPr>
      </w:pPr>
    </w:p>
    <w:p>
      <w:pPr>
        <w:pStyle w:val="11"/>
        <w:spacing w:line="360" w:lineRule="auto"/>
        <w:ind w:firstLine="562"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rPr>
        <w:t>采购人：</w:t>
      </w:r>
      <w:r>
        <w:rPr>
          <w:rFonts w:hint="eastAsia" w:ascii="宋体" w:hAnsi="宋体" w:cs="宋体"/>
          <w:b/>
          <w:color w:val="auto"/>
          <w:sz w:val="28"/>
          <w:szCs w:val="28"/>
          <w:highlight w:val="none"/>
          <w:lang w:val="en-US" w:eastAsia="zh-CN"/>
        </w:rPr>
        <w:t>新疆维吾尔自治区省级干部住宅小区管理服务中心</w:t>
      </w:r>
    </w:p>
    <w:p>
      <w:pPr>
        <w:pStyle w:val="20"/>
        <w:ind w:left="0" w:leftChars="0" w:firstLine="562" w:firstLineChars="200"/>
        <w:rPr>
          <w:rFonts w:hint="eastAsia" w:eastAsia="宋体"/>
          <w:color w:val="auto"/>
          <w:highlight w:val="none"/>
          <w:lang w:eastAsia="zh-CN"/>
        </w:rPr>
      </w:pPr>
      <w:r>
        <w:rPr>
          <w:rFonts w:hint="eastAsia" w:ascii="宋体" w:hAnsi="宋体" w:cs="宋体"/>
          <w:b/>
          <w:color w:val="auto"/>
          <w:sz w:val="28"/>
          <w:szCs w:val="28"/>
          <w:highlight w:val="none"/>
        </w:rPr>
        <w:t>采购代理机构：</w:t>
      </w:r>
      <w:r>
        <w:rPr>
          <w:rFonts w:hint="eastAsia" w:ascii="宋体" w:hAnsi="宋体" w:cs="宋体"/>
          <w:b/>
          <w:color w:val="auto"/>
          <w:sz w:val="28"/>
          <w:szCs w:val="28"/>
          <w:highlight w:val="none"/>
          <w:lang w:eastAsia="zh-CN"/>
        </w:rPr>
        <w:t>新疆谱诚项目管理咨询有限公司</w:t>
      </w:r>
    </w:p>
    <w:p>
      <w:pPr>
        <w:pStyle w:val="37"/>
        <w:spacing w:line="360" w:lineRule="auto"/>
        <w:ind w:firstLine="562" w:firstLineChars="200"/>
        <w:jc w:val="both"/>
        <w:rPr>
          <w:rFonts w:hint="eastAsia" w:cs="宋体"/>
          <w:b/>
          <w:color w:val="auto"/>
          <w:spacing w:val="160"/>
          <w:sz w:val="32"/>
          <w:szCs w:val="32"/>
          <w:highlight w:val="none"/>
        </w:rPr>
        <w:sectPr>
          <w:footerReference r:id="rId3" w:type="first"/>
          <w:pgSz w:w="11906" w:h="16838"/>
          <w:pgMar w:top="1418" w:right="1134" w:bottom="1418" w:left="1418" w:header="851" w:footer="851" w:gutter="0"/>
          <w:pgNumType w:fmt="numberInDash"/>
          <w:cols w:space="720" w:num="1"/>
          <w:docGrid w:type="lines" w:linePitch="312" w:charSpace="0"/>
        </w:sectPr>
      </w:pPr>
      <w:r>
        <w:rPr>
          <w:rFonts w:hint="eastAsia" w:ascii="宋体" w:hAnsi="宋体" w:cs="宋体"/>
          <w:b/>
          <w:color w:val="auto"/>
          <w:sz w:val="28"/>
          <w:szCs w:val="28"/>
          <w:highlight w:val="none"/>
        </w:rPr>
        <w:t>日期：</w:t>
      </w:r>
      <w:r>
        <w:rPr>
          <w:rFonts w:hint="eastAsia" w:ascii="宋体" w:hAnsi="宋体" w:cs="宋体"/>
          <w:b/>
          <w:color w:val="auto"/>
          <w:sz w:val="28"/>
          <w:szCs w:val="28"/>
          <w:highlight w:val="none"/>
          <w:lang w:val="en-US" w:eastAsia="zh-CN"/>
        </w:rPr>
        <w:t>2023年6月</w:t>
      </w:r>
    </w:p>
    <w:p>
      <w:pPr>
        <w:pStyle w:val="37"/>
        <w:spacing w:line="360" w:lineRule="auto"/>
        <w:jc w:val="center"/>
        <w:rPr>
          <w:rFonts w:hint="eastAsia" w:cs="宋体"/>
          <w:b/>
          <w:color w:val="auto"/>
          <w:spacing w:val="160"/>
          <w:sz w:val="32"/>
          <w:szCs w:val="32"/>
          <w:highlight w:val="none"/>
        </w:rPr>
      </w:pPr>
      <w:r>
        <w:rPr>
          <w:rFonts w:hint="eastAsia" w:cs="宋体"/>
          <w:b/>
          <w:color w:val="auto"/>
          <w:spacing w:val="160"/>
          <w:sz w:val="32"/>
          <w:szCs w:val="32"/>
          <w:highlight w:val="none"/>
        </w:rPr>
        <w:t>目录</w:t>
      </w:r>
    </w:p>
    <w:p>
      <w:pPr>
        <w:pStyle w:val="19"/>
        <w:tabs>
          <w:tab w:val="right" w:leader="dot" w:pos="8279"/>
        </w:tabs>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_Toc15467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32"/>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_Toc15467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24"/>
          <w:highlight w:val="none"/>
        </w:rPr>
        <w:fldChar w:fldCharType="end"/>
      </w:r>
    </w:p>
    <w:p>
      <w:pPr>
        <w:pStyle w:val="22"/>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_Toc17867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kern w:val="2"/>
          <w:szCs w:val="28"/>
          <w:highlight w:val="none"/>
          <w:lang w:val="en-US" w:eastAsia="zh-CN" w:bidi="ar-SA"/>
        </w:rPr>
        <w:t>磋商须知前附表</w:t>
      </w:r>
      <w:r>
        <w:rPr>
          <w:color w:val="auto"/>
          <w:highlight w:val="none"/>
        </w:rPr>
        <w:tab/>
      </w:r>
      <w:r>
        <w:rPr>
          <w:color w:val="auto"/>
          <w:highlight w:val="none"/>
        </w:rPr>
        <w:fldChar w:fldCharType="begin"/>
      </w:r>
      <w:r>
        <w:rPr>
          <w:color w:val="auto"/>
          <w:highlight w:val="none"/>
        </w:rPr>
        <w:instrText xml:space="preserve"> PAGEREF _Toc17867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eastAsia="宋体" w:cs="宋体"/>
          <w:color w:val="auto"/>
          <w:szCs w:val="24"/>
          <w:highlight w:val="none"/>
        </w:rPr>
        <w:fldChar w:fldCharType="end"/>
      </w:r>
    </w:p>
    <w:p>
      <w:pPr>
        <w:pStyle w:val="22"/>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_Toc10330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2"/>
          <w:highlight w:val="none"/>
        </w:rPr>
        <w:t>一、说明</w:t>
      </w:r>
      <w:r>
        <w:rPr>
          <w:color w:val="auto"/>
          <w:highlight w:val="none"/>
        </w:rPr>
        <w:tab/>
      </w:r>
      <w:r>
        <w:rPr>
          <w:color w:val="auto"/>
          <w:highlight w:val="none"/>
        </w:rPr>
        <w:fldChar w:fldCharType="begin"/>
      </w:r>
      <w:r>
        <w:rPr>
          <w:color w:val="auto"/>
          <w:highlight w:val="none"/>
        </w:rPr>
        <w:instrText xml:space="preserve"> PAGEREF _Toc10330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24"/>
          <w:highlight w:val="none"/>
        </w:rPr>
        <w:fldChar w:fldCharType="end"/>
      </w:r>
    </w:p>
    <w:p>
      <w:pPr>
        <w:pStyle w:val="22"/>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_Toc29746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2"/>
          <w:highlight w:val="none"/>
        </w:rPr>
        <w:t>二、磋商文件</w:t>
      </w:r>
      <w:r>
        <w:rPr>
          <w:color w:val="auto"/>
          <w:highlight w:val="none"/>
        </w:rPr>
        <w:tab/>
      </w:r>
      <w:r>
        <w:rPr>
          <w:color w:val="auto"/>
          <w:highlight w:val="none"/>
        </w:rPr>
        <w:fldChar w:fldCharType="begin"/>
      </w:r>
      <w:r>
        <w:rPr>
          <w:color w:val="auto"/>
          <w:highlight w:val="none"/>
        </w:rPr>
        <w:instrText xml:space="preserve"> PAGEREF _Toc29746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24"/>
          <w:highlight w:val="none"/>
        </w:rPr>
        <w:fldChar w:fldCharType="end"/>
      </w:r>
    </w:p>
    <w:p>
      <w:pPr>
        <w:pStyle w:val="22"/>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_Toc29327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2"/>
          <w:highlight w:val="none"/>
        </w:rPr>
        <w:t>三、响应文件</w:t>
      </w:r>
      <w:r>
        <w:rPr>
          <w:color w:val="auto"/>
          <w:highlight w:val="none"/>
        </w:rPr>
        <w:tab/>
      </w:r>
      <w:r>
        <w:rPr>
          <w:color w:val="auto"/>
          <w:highlight w:val="none"/>
        </w:rPr>
        <w:fldChar w:fldCharType="begin"/>
      </w:r>
      <w:r>
        <w:rPr>
          <w:color w:val="auto"/>
          <w:highlight w:val="none"/>
        </w:rPr>
        <w:instrText xml:space="preserve"> PAGEREF _Toc29327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24"/>
          <w:highlight w:val="none"/>
        </w:rPr>
        <w:fldChar w:fldCharType="end"/>
      </w:r>
    </w:p>
    <w:p>
      <w:pPr>
        <w:pStyle w:val="22"/>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_Toc23680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2"/>
          <w:highlight w:val="none"/>
        </w:rPr>
        <w:t>四、响应文件的递交</w:t>
      </w:r>
      <w:r>
        <w:rPr>
          <w:color w:val="auto"/>
          <w:highlight w:val="none"/>
        </w:rPr>
        <w:tab/>
      </w:r>
      <w:r>
        <w:rPr>
          <w:color w:val="auto"/>
          <w:highlight w:val="none"/>
        </w:rPr>
        <w:fldChar w:fldCharType="begin"/>
      </w:r>
      <w:r>
        <w:rPr>
          <w:color w:val="auto"/>
          <w:highlight w:val="none"/>
        </w:rPr>
        <w:instrText xml:space="preserve"> PAGEREF _Toc23680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szCs w:val="24"/>
          <w:highlight w:val="none"/>
        </w:rPr>
        <w:fldChar w:fldCharType="end"/>
      </w:r>
    </w:p>
    <w:p>
      <w:pPr>
        <w:pStyle w:val="22"/>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_Toc3975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2"/>
          <w:highlight w:val="none"/>
        </w:rPr>
        <w:t>五、磋商和评审</w:t>
      </w:r>
      <w:r>
        <w:rPr>
          <w:color w:val="auto"/>
          <w:highlight w:val="none"/>
        </w:rPr>
        <w:tab/>
      </w:r>
      <w:r>
        <w:rPr>
          <w:color w:val="auto"/>
          <w:highlight w:val="none"/>
        </w:rPr>
        <w:fldChar w:fldCharType="begin"/>
      </w:r>
      <w:r>
        <w:rPr>
          <w:color w:val="auto"/>
          <w:highlight w:val="none"/>
        </w:rPr>
        <w:instrText xml:space="preserve"> PAGEREF _Toc3975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4"/>
          <w:highlight w:val="none"/>
        </w:rPr>
        <w:fldChar w:fldCharType="end"/>
      </w:r>
    </w:p>
    <w:p>
      <w:pPr>
        <w:pStyle w:val="22"/>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_Toc1042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2"/>
          <w:highlight w:val="none"/>
        </w:rPr>
        <w:t>六、成交结果及合同授予</w:t>
      </w:r>
      <w:r>
        <w:rPr>
          <w:color w:val="auto"/>
          <w:highlight w:val="none"/>
        </w:rPr>
        <w:tab/>
      </w:r>
      <w:r>
        <w:rPr>
          <w:color w:val="auto"/>
          <w:highlight w:val="none"/>
        </w:rPr>
        <w:fldChar w:fldCharType="begin"/>
      </w:r>
      <w:r>
        <w:rPr>
          <w:color w:val="auto"/>
          <w:highlight w:val="none"/>
        </w:rPr>
        <w:instrText xml:space="preserve"> PAGEREF _Toc1042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4"/>
          <w:highlight w:val="none"/>
        </w:rPr>
        <w:fldChar w:fldCharType="end"/>
      </w:r>
    </w:p>
    <w:p>
      <w:pPr>
        <w:pStyle w:val="22"/>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_Toc7422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2"/>
          <w:highlight w:val="none"/>
        </w:rPr>
        <w:t>七、质疑与投诉</w:t>
      </w:r>
      <w:r>
        <w:rPr>
          <w:color w:val="auto"/>
          <w:highlight w:val="none"/>
        </w:rPr>
        <w:tab/>
      </w:r>
      <w:r>
        <w:rPr>
          <w:color w:val="auto"/>
          <w:highlight w:val="none"/>
        </w:rPr>
        <w:fldChar w:fldCharType="begin"/>
      </w:r>
      <w:r>
        <w:rPr>
          <w:color w:val="auto"/>
          <w:highlight w:val="none"/>
        </w:rPr>
        <w:instrText xml:space="preserve"> PAGEREF _Toc7422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zCs w:val="24"/>
          <w:highlight w:val="none"/>
        </w:rPr>
        <w:fldChar w:fldCharType="end"/>
      </w:r>
    </w:p>
    <w:p>
      <w:pPr>
        <w:pStyle w:val="22"/>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_Toc20549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2"/>
          <w:highlight w:val="none"/>
        </w:rPr>
        <w:t>八、其他规定</w:t>
      </w:r>
      <w:r>
        <w:rPr>
          <w:color w:val="auto"/>
          <w:highlight w:val="none"/>
        </w:rPr>
        <w:tab/>
      </w:r>
      <w:r>
        <w:rPr>
          <w:color w:val="auto"/>
          <w:highlight w:val="none"/>
        </w:rPr>
        <w:fldChar w:fldCharType="begin"/>
      </w:r>
      <w:r>
        <w:rPr>
          <w:color w:val="auto"/>
          <w:highlight w:val="none"/>
        </w:rPr>
        <w:instrText xml:space="preserve"> PAGEREF _Toc20549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_Toc22337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32"/>
          <w:highlight w:val="none"/>
          <w:lang w:val="en-US" w:eastAsia="zh-CN"/>
        </w:rPr>
        <w:t>第三章 评审方法（综合评分法）</w:t>
      </w:r>
      <w:r>
        <w:rPr>
          <w:color w:val="auto"/>
          <w:highlight w:val="none"/>
        </w:rPr>
        <w:tab/>
      </w:r>
      <w:r>
        <w:rPr>
          <w:color w:val="auto"/>
          <w:highlight w:val="none"/>
        </w:rPr>
        <w:fldChar w:fldCharType="begin"/>
      </w:r>
      <w:r>
        <w:rPr>
          <w:color w:val="auto"/>
          <w:highlight w:val="none"/>
        </w:rPr>
        <w:instrText xml:space="preserve"> PAGEREF _Toc22337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zCs w:val="24"/>
          <w:highlight w:val="none"/>
        </w:rPr>
        <w:fldChar w:fldCharType="end"/>
      </w:r>
    </w:p>
    <w:p>
      <w:pPr>
        <w:pStyle w:val="22"/>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_Toc20229 </w:instrText>
      </w:r>
      <w:r>
        <w:rPr>
          <w:rFonts w:hint="eastAsia" w:ascii="宋体" w:hAnsi="宋体" w:eastAsia="宋体" w:cs="宋体"/>
          <w:color w:val="auto"/>
          <w:szCs w:val="24"/>
          <w:highlight w:val="none"/>
        </w:rPr>
        <w:fldChar w:fldCharType="separate"/>
      </w:r>
      <w:r>
        <w:rPr>
          <w:rFonts w:hint="eastAsia" w:ascii="宋体" w:hAnsi="宋体" w:cs="宋体"/>
          <w:color w:val="auto"/>
          <w:szCs w:val="24"/>
          <w:highlight w:val="none"/>
        </w:rPr>
        <w:t>一、综合评分</w:t>
      </w:r>
      <w:r>
        <w:rPr>
          <w:color w:val="auto"/>
          <w:highlight w:val="none"/>
        </w:rPr>
        <w:tab/>
      </w:r>
      <w:r>
        <w:rPr>
          <w:color w:val="auto"/>
          <w:highlight w:val="none"/>
        </w:rPr>
        <w:fldChar w:fldCharType="begin"/>
      </w:r>
      <w:r>
        <w:rPr>
          <w:color w:val="auto"/>
          <w:highlight w:val="none"/>
        </w:rPr>
        <w:instrText xml:space="preserve"> PAGEREF _Toc20229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zCs w:val="24"/>
          <w:highlight w:val="none"/>
        </w:rPr>
        <w:fldChar w:fldCharType="end"/>
      </w:r>
    </w:p>
    <w:p>
      <w:pPr>
        <w:pStyle w:val="22"/>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_Toc13309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三.推荐成交供应商</w:t>
      </w:r>
      <w:r>
        <w:rPr>
          <w:color w:val="auto"/>
          <w:highlight w:val="none"/>
        </w:rPr>
        <w:tab/>
      </w:r>
      <w:r>
        <w:rPr>
          <w:color w:val="auto"/>
          <w:highlight w:val="none"/>
        </w:rPr>
        <w:fldChar w:fldCharType="begin"/>
      </w:r>
      <w:r>
        <w:rPr>
          <w:color w:val="auto"/>
          <w:highlight w:val="none"/>
        </w:rPr>
        <w:instrText xml:space="preserve"> PAGEREF _Toc13309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szCs w:val="24"/>
          <w:highlight w:val="none"/>
        </w:rPr>
        <w:fldChar w:fldCharType="end"/>
      </w:r>
    </w:p>
    <w:p>
      <w:pPr>
        <w:pStyle w:val="22"/>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_Toc2302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四.确定成交供应商</w:t>
      </w:r>
      <w:r>
        <w:rPr>
          <w:color w:val="auto"/>
          <w:highlight w:val="none"/>
        </w:rPr>
        <w:tab/>
      </w:r>
      <w:r>
        <w:rPr>
          <w:color w:val="auto"/>
          <w:highlight w:val="none"/>
        </w:rPr>
        <w:fldChar w:fldCharType="begin"/>
      </w:r>
      <w:r>
        <w:rPr>
          <w:color w:val="auto"/>
          <w:highlight w:val="none"/>
        </w:rPr>
        <w:instrText xml:space="preserve"> PAGEREF _Toc2302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_Toc1074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32"/>
          <w:highlight w:val="none"/>
          <w:lang w:val="en-US" w:eastAsia="zh-CN"/>
        </w:rPr>
        <w:t>第四章  政府采购合同格式</w:t>
      </w:r>
      <w:r>
        <w:rPr>
          <w:color w:val="auto"/>
          <w:highlight w:val="none"/>
        </w:rPr>
        <w:tab/>
      </w:r>
      <w:r>
        <w:rPr>
          <w:color w:val="auto"/>
          <w:highlight w:val="none"/>
        </w:rPr>
        <w:fldChar w:fldCharType="begin"/>
      </w:r>
      <w:r>
        <w:rPr>
          <w:color w:val="auto"/>
          <w:highlight w:val="none"/>
        </w:rPr>
        <w:instrText xml:space="preserve"> PAGEREF _Toc1074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szCs w:val="24"/>
          <w:highlight w:val="none"/>
        </w:rPr>
        <w:fldChar w:fldCharType="end"/>
      </w:r>
    </w:p>
    <w:p>
      <w:pPr>
        <w:pStyle w:val="22"/>
        <w:tabs>
          <w:tab w:val="right" w:leader="dot" w:pos="8279"/>
        </w:tabs>
        <w:rPr>
          <w:color w:val="auto"/>
          <w:highlight w:val="none"/>
        </w:rPr>
      </w:pPr>
      <w:r>
        <w:rPr>
          <w:rFonts w:hint="eastAsia"/>
          <w:color w:val="auto"/>
          <w:highlight w:val="none"/>
        </w:rPr>
        <w:fldChar w:fldCharType="begin"/>
      </w:r>
      <w:r>
        <w:rPr>
          <w:rFonts w:hint="eastAsia"/>
          <w:color w:val="auto"/>
          <w:highlight w:val="none"/>
        </w:rPr>
        <w:instrText xml:space="preserve"> HYPERLINK \l _Toc27467 </w:instrText>
      </w:r>
      <w:r>
        <w:rPr>
          <w:rFonts w:hint="eastAsia"/>
          <w:color w:val="auto"/>
          <w:highlight w:val="none"/>
        </w:rPr>
        <w:fldChar w:fldCharType="separate"/>
      </w:r>
      <w:r>
        <w:rPr>
          <w:rFonts w:hint="eastAsia"/>
          <w:color w:val="auto"/>
          <w:highlight w:val="none"/>
          <w:lang w:val="en-US" w:eastAsia="zh-CN"/>
        </w:rPr>
        <w:t>第五章 工程量清单（详见附件）</w:t>
      </w:r>
      <w:r>
        <w:rPr>
          <w:color w:val="auto"/>
          <w:highlight w:val="none"/>
        </w:rPr>
        <w:tab/>
      </w:r>
      <w:r>
        <w:rPr>
          <w:color w:val="auto"/>
          <w:highlight w:val="none"/>
        </w:rPr>
        <w:fldChar w:fldCharType="begin"/>
      </w:r>
      <w:r>
        <w:rPr>
          <w:color w:val="auto"/>
          <w:highlight w:val="none"/>
        </w:rPr>
        <w:instrText xml:space="preserve"> PAGEREF _Toc27467 \h </w:instrText>
      </w:r>
      <w:r>
        <w:rPr>
          <w:color w:val="auto"/>
          <w:highlight w:val="none"/>
        </w:rPr>
        <w:fldChar w:fldCharType="separate"/>
      </w:r>
      <w:r>
        <w:rPr>
          <w:color w:val="auto"/>
          <w:highlight w:val="none"/>
        </w:rPr>
        <w:t>63</w:t>
      </w:r>
      <w:r>
        <w:rPr>
          <w:color w:val="auto"/>
          <w:highlight w:val="none"/>
        </w:rPr>
        <w:fldChar w:fldCharType="end"/>
      </w:r>
      <w:r>
        <w:rPr>
          <w:rFonts w:hint="eastAsia"/>
          <w:color w:val="auto"/>
          <w:highlight w:val="none"/>
        </w:rPr>
        <w:fldChar w:fldCharType="end"/>
      </w:r>
    </w:p>
    <w:p>
      <w:pPr>
        <w:pStyle w:val="22"/>
        <w:tabs>
          <w:tab w:val="right" w:leader="dot" w:pos="8279"/>
        </w:tabs>
        <w:rPr>
          <w:color w:val="auto"/>
          <w:highlight w:val="none"/>
        </w:rPr>
      </w:pPr>
      <w:r>
        <w:rPr>
          <w:rFonts w:hint="eastAsia"/>
          <w:color w:val="auto"/>
          <w:highlight w:val="none"/>
        </w:rPr>
        <w:fldChar w:fldCharType="begin"/>
      </w:r>
      <w:r>
        <w:rPr>
          <w:rFonts w:hint="eastAsia"/>
          <w:color w:val="auto"/>
          <w:highlight w:val="none"/>
        </w:rPr>
        <w:instrText xml:space="preserve"> HYPERLINK \l _Toc1533 </w:instrText>
      </w:r>
      <w:r>
        <w:rPr>
          <w:rFonts w:hint="eastAsia"/>
          <w:color w:val="auto"/>
          <w:highlight w:val="none"/>
        </w:rPr>
        <w:fldChar w:fldCharType="separate"/>
      </w:r>
      <w:r>
        <w:rPr>
          <w:rFonts w:hint="eastAsia"/>
          <w:color w:val="auto"/>
          <w:highlight w:val="none"/>
          <w:lang w:val="en-US" w:eastAsia="zh-CN"/>
        </w:rPr>
        <w:t>第六章  图纸另附</w:t>
      </w:r>
      <w:r>
        <w:rPr>
          <w:color w:val="auto"/>
          <w:highlight w:val="none"/>
        </w:rPr>
        <w:tab/>
      </w:r>
      <w:r>
        <w:rPr>
          <w:color w:val="auto"/>
          <w:highlight w:val="none"/>
        </w:rPr>
        <w:fldChar w:fldCharType="begin"/>
      </w:r>
      <w:r>
        <w:rPr>
          <w:color w:val="auto"/>
          <w:highlight w:val="none"/>
        </w:rPr>
        <w:instrText xml:space="preserve"> PAGEREF _Toc1533 \h </w:instrText>
      </w:r>
      <w:r>
        <w:rPr>
          <w:color w:val="auto"/>
          <w:highlight w:val="none"/>
        </w:rPr>
        <w:fldChar w:fldCharType="separate"/>
      </w:r>
      <w:r>
        <w:rPr>
          <w:color w:val="auto"/>
          <w:highlight w:val="none"/>
        </w:rPr>
        <w:t>64</w:t>
      </w:r>
      <w:r>
        <w:rPr>
          <w:color w:val="auto"/>
          <w:highlight w:val="none"/>
        </w:rPr>
        <w:fldChar w:fldCharType="end"/>
      </w:r>
      <w:r>
        <w:rPr>
          <w:rFonts w:hint="eastAsia"/>
          <w:color w:val="auto"/>
          <w:highlight w:val="none"/>
        </w:rPr>
        <w:fldChar w:fldCharType="end"/>
      </w:r>
    </w:p>
    <w:p>
      <w:pPr>
        <w:pStyle w:val="22"/>
        <w:tabs>
          <w:tab w:val="right" w:leader="dot" w:pos="8279"/>
        </w:tabs>
        <w:rPr>
          <w:color w:val="auto"/>
          <w:highlight w:val="none"/>
        </w:rPr>
      </w:pPr>
      <w:r>
        <w:rPr>
          <w:rFonts w:hint="eastAsia"/>
          <w:color w:val="auto"/>
          <w:highlight w:val="none"/>
        </w:rPr>
        <w:fldChar w:fldCharType="begin"/>
      </w:r>
      <w:r>
        <w:rPr>
          <w:rFonts w:hint="eastAsia"/>
          <w:color w:val="auto"/>
          <w:highlight w:val="none"/>
        </w:rPr>
        <w:instrText xml:space="preserve"> HYPERLINK \l _Toc10897 </w:instrText>
      </w:r>
      <w:r>
        <w:rPr>
          <w:rFonts w:hint="eastAsia"/>
          <w:color w:val="auto"/>
          <w:highlight w:val="none"/>
        </w:rPr>
        <w:fldChar w:fldCharType="separate"/>
      </w:r>
      <w:r>
        <w:rPr>
          <w:rFonts w:hint="eastAsia"/>
          <w:color w:val="auto"/>
          <w:highlight w:val="none"/>
          <w:lang w:val="en-US" w:eastAsia="zh-CN"/>
        </w:rPr>
        <w:t>第七章 响应文件格式</w:t>
      </w:r>
      <w:r>
        <w:rPr>
          <w:color w:val="auto"/>
          <w:highlight w:val="none"/>
        </w:rPr>
        <w:tab/>
      </w:r>
      <w:r>
        <w:rPr>
          <w:color w:val="auto"/>
          <w:highlight w:val="none"/>
        </w:rPr>
        <w:fldChar w:fldCharType="begin"/>
      </w:r>
      <w:r>
        <w:rPr>
          <w:color w:val="auto"/>
          <w:highlight w:val="none"/>
        </w:rPr>
        <w:instrText xml:space="preserve"> PAGEREF _Toc10897 \h </w:instrText>
      </w:r>
      <w:r>
        <w:rPr>
          <w:color w:val="auto"/>
          <w:highlight w:val="none"/>
        </w:rPr>
        <w:fldChar w:fldCharType="separate"/>
      </w:r>
      <w:r>
        <w:rPr>
          <w:color w:val="auto"/>
          <w:highlight w:val="none"/>
        </w:rPr>
        <w:t>65</w:t>
      </w:r>
      <w:r>
        <w:rPr>
          <w:color w:val="auto"/>
          <w:highlight w:val="none"/>
        </w:rPr>
        <w:fldChar w:fldCharType="end"/>
      </w:r>
      <w:r>
        <w:rPr>
          <w:rFonts w:hint="eastAsia"/>
          <w:color w:val="auto"/>
          <w:highlight w:val="none"/>
        </w:rPr>
        <w:fldChar w:fldCharType="end"/>
      </w:r>
    </w:p>
    <w:p>
      <w:pPr>
        <w:pStyle w:val="22"/>
        <w:tabs>
          <w:tab w:val="right" w:leader="dot" w:pos="8279"/>
        </w:tabs>
        <w:rPr>
          <w:color w:val="auto"/>
          <w:highlight w:val="none"/>
        </w:rPr>
      </w:pPr>
      <w:r>
        <w:rPr>
          <w:rFonts w:hint="eastAsia"/>
          <w:color w:val="auto"/>
          <w:highlight w:val="none"/>
        </w:rPr>
        <w:fldChar w:fldCharType="begin"/>
      </w:r>
      <w:r>
        <w:rPr>
          <w:rFonts w:hint="eastAsia"/>
          <w:color w:val="auto"/>
          <w:highlight w:val="none"/>
        </w:rPr>
        <w:instrText xml:space="preserve"> HYPERLINK \l _Toc29832 </w:instrText>
      </w:r>
      <w:r>
        <w:rPr>
          <w:rFonts w:hint="eastAsia"/>
          <w:color w:val="auto"/>
          <w:highlight w:val="none"/>
        </w:rPr>
        <w:fldChar w:fldCharType="separate"/>
      </w:r>
      <w:r>
        <w:rPr>
          <w:rFonts w:hint="eastAsia"/>
          <w:color w:val="auto"/>
          <w:highlight w:val="none"/>
          <w:lang w:val="en-US" w:eastAsia="zh-CN"/>
        </w:rPr>
        <w:t>一、响应文件封面</w:t>
      </w:r>
      <w:r>
        <w:rPr>
          <w:color w:val="auto"/>
          <w:highlight w:val="none"/>
        </w:rPr>
        <w:tab/>
      </w:r>
      <w:r>
        <w:rPr>
          <w:color w:val="auto"/>
          <w:highlight w:val="none"/>
        </w:rPr>
        <w:fldChar w:fldCharType="begin"/>
      </w:r>
      <w:r>
        <w:rPr>
          <w:color w:val="auto"/>
          <w:highlight w:val="none"/>
        </w:rPr>
        <w:instrText xml:space="preserve"> PAGEREF _Toc29832 \h </w:instrText>
      </w:r>
      <w:r>
        <w:rPr>
          <w:color w:val="auto"/>
          <w:highlight w:val="none"/>
        </w:rPr>
        <w:fldChar w:fldCharType="separate"/>
      </w:r>
      <w:r>
        <w:rPr>
          <w:color w:val="auto"/>
          <w:highlight w:val="none"/>
        </w:rPr>
        <w:t>65</w:t>
      </w:r>
      <w:r>
        <w:rPr>
          <w:color w:val="auto"/>
          <w:highlight w:val="none"/>
        </w:rPr>
        <w:fldChar w:fldCharType="end"/>
      </w:r>
      <w:r>
        <w:rPr>
          <w:rFonts w:hint="eastAsia"/>
          <w:color w:val="auto"/>
          <w:highlight w:val="none"/>
        </w:rPr>
        <w:fldChar w:fldCharType="end"/>
      </w:r>
    </w:p>
    <w:p>
      <w:pPr>
        <w:pStyle w:val="22"/>
        <w:tabs>
          <w:tab w:val="right" w:leader="dot" w:pos="8279"/>
        </w:tabs>
        <w:rPr>
          <w:color w:val="auto"/>
          <w:highlight w:val="none"/>
        </w:rPr>
      </w:pPr>
      <w:r>
        <w:rPr>
          <w:rFonts w:hint="eastAsia"/>
          <w:color w:val="auto"/>
          <w:highlight w:val="none"/>
        </w:rPr>
        <w:fldChar w:fldCharType="begin"/>
      </w:r>
      <w:r>
        <w:rPr>
          <w:rFonts w:hint="eastAsia"/>
          <w:color w:val="auto"/>
          <w:highlight w:val="none"/>
        </w:rPr>
        <w:instrText xml:space="preserve"> HYPERLINK \l _Toc28282 </w:instrText>
      </w:r>
      <w:r>
        <w:rPr>
          <w:rFonts w:hint="eastAsia"/>
          <w:color w:val="auto"/>
          <w:highlight w:val="none"/>
        </w:rPr>
        <w:fldChar w:fldCharType="separate"/>
      </w:r>
      <w:r>
        <w:rPr>
          <w:rFonts w:hint="eastAsia"/>
          <w:color w:val="auto"/>
          <w:highlight w:val="none"/>
          <w:lang w:val="en-US" w:eastAsia="zh-CN"/>
        </w:rPr>
        <w:t>二、供应商资格声明</w:t>
      </w:r>
      <w:r>
        <w:rPr>
          <w:color w:val="auto"/>
          <w:highlight w:val="none"/>
        </w:rPr>
        <w:tab/>
      </w:r>
      <w:r>
        <w:rPr>
          <w:color w:val="auto"/>
          <w:highlight w:val="none"/>
        </w:rPr>
        <w:fldChar w:fldCharType="begin"/>
      </w:r>
      <w:r>
        <w:rPr>
          <w:color w:val="auto"/>
          <w:highlight w:val="none"/>
        </w:rPr>
        <w:instrText xml:space="preserve"> PAGEREF _Toc28282 \h </w:instrText>
      </w:r>
      <w:r>
        <w:rPr>
          <w:color w:val="auto"/>
          <w:highlight w:val="none"/>
        </w:rPr>
        <w:fldChar w:fldCharType="separate"/>
      </w:r>
      <w:r>
        <w:rPr>
          <w:color w:val="auto"/>
          <w:highlight w:val="none"/>
        </w:rPr>
        <w:t>66</w:t>
      </w:r>
      <w:r>
        <w:rPr>
          <w:color w:val="auto"/>
          <w:highlight w:val="none"/>
        </w:rPr>
        <w:fldChar w:fldCharType="end"/>
      </w:r>
      <w:r>
        <w:rPr>
          <w:rFonts w:hint="eastAsia"/>
          <w:color w:val="auto"/>
          <w:highlight w:val="none"/>
        </w:rPr>
        <w:fldChar w:fldCharType="end"/>
      </w:r>
    </w:p>
    <w:p>
      <w:pPr>
        <w:pStyle w:val="19"/>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_Toc15440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2"/>
          <w:highlight w:val="none"/>
          <w:lang w:val="en-US" w:eastAsia="zh-CN" w:bidi="ar-SA"/>
        </w:rPr>
        <w:t>三、法定代表人身份证明或附有法定代表人身份证明的授权书</w:t>
      </w:r>
      <w:r>
        <w:rPr>
          <w:color w:val="auto"/>
          <w:highlight w:val="none"/>
        </w:rPr>
        <w:tab/>
      </w:r>
      <w:r>
        <w:rPr>
          <w:color w:val="auto"/>
          <w:highlight w:val="none"/>
        </w:rPr>
        <w:fldChar w:fldCharType="begin"/>
      </w:r>
      <w:r>
        <w:rPr>
          <w:color w:val="auto"/>
          <w:highlight w:val="none"/>
        </w:rPr>
        <w:instrText xml:space="preserve"> PAGEREF _Toc15440 \h </w:instrText>
      </w:r>
      <w:r>
        <w:rPr>
          <w:color w:val="auto"/>
          <w:highlight w:val="none"/>
        </w:rPr>
        <w:fldChar w:fldCharType="separate"/>
      </w:r>
      <w:r>
        <w:rPr>
          <w:color w:val="auto"/>
          <w:highlight w:val="none"/>
        </w:rPr>
        <w:t>68</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_Toc5695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2"/>
          <w:highlight w:val="none"/>
          <w:lang w:val="en-US" w:eastAsia="zh-CN" w:bidi="ar-SA"/>
        </w:rPr>
        <w:t>四、近三年无重大违法记录信息证明文件及反商业贿赂书</w:t>
      </w:r>
      <w:r>
        <w:rPr>
          <w:color w:val="auto"/>
          <w:highlight w:val="none"/>
        </w:rPr>
        <w:tab/>
      </w:r>
      <w:r>
        <w:rPr>
          <w:color w:val="auto"/>
          <w:highlight w:val="none"/>
        </w:rPr>
        <w:fldChar w:fldCharType="begin"/>
      </w:r>
      <w:r>
        <w:rPr>
          <w:color w:val="auto"/>
          <w:highlight w:val="none"/>
        </w:rPr>
        <w:instrText xml:space="preserve"> PAGEREF _Toc5695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_Toc6867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2"/>
          <w:highlight w:val="none"/>
          <w:lang w:val="en-US" w:eastAsia="zh-CN" w:bidi="ar-SA"/>
        </w:rPr>
        <w:t>五、其他资格证明文件</w:t>
      </w:r>
      <w:r>
        <w:rPr>
          <w:color w:val="auto"/>
          <w:highlight w:val="none"/>
        </w:rPr>
        <w:tab/>
      </w:r>
      <w:r>
        <w:rPr>
          <w:color w:val="auto"/>
          <w:highlight w:val="none"/>
        </w:rPr>
        <w:fldChar w:fldCharType="begin"/>
      </w:r>
      <w:r>
        <w:rPr>
          <w:color w:val="auto"/>
          <w:highlight w:val="none"/>
        </w:rPr>
        <w:instrText xml:space="preserve"> PAGEREF _Toc6867 \h </w:instrText>
      </w:r>
      <w:r>
        <w:rPr>
          <w:color w:val="auto"/>
          <w:highlight w:val="none"/>
        </w:rPr>
        <w:fldChar w:fldCharType="separate"/>
      </w:r>
      <w:r>
        <w:rPr>
          <w:color w:val="auto"/>
          <w:highlight w:val="none"/>
        </w:rPr>
        <w:t>72</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_Toc32738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2"/>
          <w:highlight w:val="none"/>
          <w:lang w:val="en-US" w:eastAsia="zh-CN" w:bidi="ar-SA"/>
        </w:rPr>
        <w:t>六、磋商保证金</w:t>
      </w:r>
      <w:r>
        <w:rPr>
          <w:color w:val="auto"/>
          <w:highlight w:val="none"/>
        </w:rPr>
        <w:tab/>
      </w:r>
      <w:r>
        <w:rPr>
          <w:color w:val="auto"/>
          <w:highlight w:val="none"/>
        </w:rPr>
        <w:fldChar w:fldCharType="begin"/>
      </w:r>
      <w:r>
        <w:rPr>
          <w:color w:val="auto"/>
          <w:highlight w:val="none"/>
        </w:rPr>
        <w:instrText xml:space="preserve"> PAGEREF _Toc32738 \h </w:instrText>
      </w:r>
      <w:r>
        <w:rPr>
          <w:color w:val="auto"/>
          <w:highlight w:val="none"/>
        </w:rPr>
        <w:fldChar w:fldCharType="separate"/>
      </w:r>
      <w:r>
        <w:rPr>
          <w:color w:val="auto"/>
          <w:highlight w:val="none"/>
        </w:rPr>
        <w:t>72</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_Toc14979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2"/>
          <w:highlight w:val="none"/>
          <w:lang w:val="en-US" w:eastAsia="zh-CN" w:bidi="ar-SA"/>
        </w:rPr>
        <w:t>八、中、小微企业声明函</w:t>
      </w:r>
      <w:r>
        <w:rPr>
          <w:color w:val="auto"/>
          <w:highlight w:val="none"/>
        </w:rPr>
        <w:tab/>
      </w:r>
      <w:r>
        <w:rPr>
          <w:color w:val="auto"/>
          <w:highlight w:val="none"/>
        </w:rPr>
        <w:fldChar w:fldCharType="begin"/>
      </w:r>
      <w:r>
        <w:rPr>
          <w:color w:val="auto"/>
          <w:highlight w:val="none"/>
        </w:rPr>
        <w:instrText xml:space="preserve"> PAGEREF _Toc14979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_Toc18082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2"/>
          <w:highlight w:val="none"/>
          <w:lang w:val="en-US" w:eastAsia="zh-CN" w:bidi="ar-SA"/>
        </w:rPr>
        <w:t>九、磋商申请</w:t>
      </w:r>
      <w:r>
        <w:rPr>
          <w:color w:val="auto"/>
          <w:highlight w:val="none"/>
        </w:rPr>
        <w:tab/>
      </w:r>
      <w:r>
        <w:rPr>
          <w:color w:val="auto"/>
          <w:highlight w:val="none"/>
        </w:rPr>
        <w:fldChar w:fldCharType="begin"/>
      </w:r>
      <w:r>
        <w:rPr>
          <w:color w:val="auto"/>
          <w:highlight w:val="none"/>
        </w:rPr>
        <w:instrText xml:space="preserve"> PAGEREF _Toc18082 \h </w:instrText>
      </w:r>
      <w:r>
        <w:rPr>
          <w:color w:val="auto"/>
          <w:highlight w:val="none"/>
        </w:rPr>
        <w:fldChar w:fldCharType="separate"/>
      </w:r>
      <w:r>
        <w:rPr>
          <w:color w:val="auto"/>
          <w:highlight w:val="none"/>
        </w:rPr>
        <w:t>75</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_Toc16882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2"/>
          <w:highlight w:val="none"/>
          <w:lang w:val="en-US" w:eastAsia="zh-CN" w:bidi="ar-SA"/>
        </w:rPr>
        <w:t>十、磋商申请附录</w:t>
      </w:r>
      <w:r>
        <w:rPr>
          <w:color w:val="auto"/>
          <w:highlight w:val="none"/>
        </w:rPr>
        <w:tab/>
      </w:r>
      <w:r>
        <w:rPr>
          <w:color w:val="auto"/>
          <w:highlight w:val="none"/>
        </w:rPr>
        <w:fldChar w:fldCharType="begin"/>
      </w:r>
      <w:r>
        <w:rPr>
          <w:color w:val="auto"/>
          <w:highlight w:val="none"/>
        </w:rPr>
        <w:instrText xml:space="preserve"> PAGEREF _Toc16882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_Toc13803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2"/>
          <w:highlight w:val="none"/>
          <w:lang w:val="en-US" w:eastAsia="zh-CN" w:bidi="ar-SA"/>
        </w:rPr>
        <w:t>十一、已标价的工程量清单</w:t>
      </w:r>
      <w:r>
        <w:rPr>
          <w:color w:val="auto"/>
          <w:highlight w:val="none"/>
        </w:rPr>
        <w:tab/>
      </w:r>
      <w:r>
        <w:rPr>
          <w:color w:val="auto"/>
          <w:highlight w:val="none"/>
        </w:rPr>
        <w:fldChar w:fldCharType="begin"/>
      </w:r>
      <w:r>
        <w:rPr>
          <w:color w:val="auto"/>
          <w:highlight w:val="none"/>
        </w:rPr>
        <w:instrText xml:space="preserve"> PAGEREF _Toc13803 \h </w:instrText>
      </w:r>
      <w:r>
        <w:rPr>
          <w:color w:val="auto"/>
          <w:highlight w:val="none"/>
        </w:rPr>
        <w:fldChar w:fldCharType="separate"/>
      </w:r>
      <w:r>
        <w:rPr>
          <w:color w:val="auto"/>
          <w:highlight w:val="none"/>
        </w:rPr>
        <w:t>77</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_Toc7424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2"/>
          <w:highlight w:val="none"/>
          <w:lang w:val="en-US" w:eastAsia="zh-CN" w:bidi="ar-SA"/>
        </w:rPr>
        <w:t>十二、联合体协议书格式（如有）</w:t>
      </w:r>
      <w:r>
        <w:rPr>
          <w:color w:val="auto"/>
          <w:highlight w:val="none"/>
        </w:rPr>
        <w:tab/>
      </w:r>
      <w:r>
        <w:rPr>
          <w:color w:val="auto"/>
          <w:highlight w:val="none"/>
        </w:rPr>
        <w:fldChar w:fldCharType="begin"/>
      </w:r>
      <w:r>
        <w:rPr>
          <w:color w:val="auto"/>
          <w:highlight w:val="none"/>
        </w:rPr>
        <w:instrText xml:space="preserve"> PAGEREF _Toc7424 \h </w:instrText>
      </w:r>
      <w:r>
        <w:rPr>
          <w:color w:val="auto"/>
          <w:highlight w:val="none"/>
        </w:rPr>
        <w:fldChar w:fldCharType="separate"/>
      </w:r>
      <w:r>
        <w:rPr>
          <w:color w:val="auto"/>
          <w:highlight w:val="none"/>
        </w:rPr>
        <w:t>78</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_Toc677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2"/>
          <w:highlight w:val="none"/>
          <w:lang w:val="en-US" w:eastAsia="zh-CN" w:bidi="ar-SA"/>
        </w:rPr>
        <w:t>十三、施工组织设计</w:t>
      </w:r>
      <w:r>
        <w:rPr>
          <w:color w:val="auto"/>
          <w:highlight w:val="none"/>
        </w:rPr>
        <w:tab/>
      </w:r>
      <w:r>
        <w:rPr>
          <w:color w:val="auto"/>
          <w:highlight w:val="none"/>
        </w:rPr>
        <w:fldChar w:fldCharType="begin"/>
      </w:r>
      <w:r>
        <w:rPr>
          <w:color w:val="auto"/>
          <w:highlight w:val="none"/>
        </w:rPr>
        <w:instrText xml:space="preserve"> PAGEREF _Toc677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_Toc20650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2"/>
          <w:highlight w:val="none"/>
          <w:lang w:val="en-US" w:eastAsia="zh-CN" w:bidi="ar-SA"/>
        </w:rPr>
        <w:t>十四、项目管理机构组成表</w:t>
      </w:r>
      <w:r>
        <w:rPr>
          <w:color w:val="auto"/>
          <w:highlight w:val="none"/>
        </w:rPr>
        <w:tab/>
      </w:r>
      <w:r>
        <w:rPr>
          <w:color w:val="auto"/>
          <w:highlight w:val="none"/>
        </w:rPr>
        <w:fldChar w:fldCharType="begin"/>
      </w:r>
      <w:r>
        <w:rPr>
          <w:color w:val="auto"/>
          <w:highlight w:val="none"/>
        </w:rPr>
        <w:instrText xml:space="preserve"> PAGEREF _Toc20650 \h </w:instrText>
      </w:r>
      <w:r>
        <w:rPr>
          <w:color w:val="auto"/>
          <w:highlight w:val="none"/>
        </w:rPr>
        <w:fldChar w:fldCharType="separate"/>
      </w:r>
      <w:r>
        <w:rPr>
          <w:color w:val="auto"/>
          <w:highlight w:val="none"/>
        </w:rPr>
        <w:t>82</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_Toc14825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2"/>
          <w:highlight w:val="none"/>
          <w:lang w:val="en-US" w:eastAsia="zh-CN" w:bidi="ar-SA"/>
        </w:rPr>
        <w:t>十五、项目经理简历表</w:t>
      </w:r>
      <w:r>
        <w:rPr>
          <w:color w:val="auto"/>
          <w:highlight w:val="none"/>
        </w:rPr>
        <w:tab/>
      </w:r>
      <w:r>
        <w:rPr>
          <w:color w:val="auto"/>
          <w:highlight w:val="none"/>
        </w:rPr>
        <w:fldChar w:fldCharType="begin"/>
      </w:r>
      <w:r>
        <w:rPr>
          <w:color w:val="auto"/>
          <w:highlight w:val="none"/>
        </w:rPr>
        <w:instrText xml:space="preserve"> PAGEREF _Toc14825 \h </w:instrText>
      </w:r>
      <w:r>
        <w:rPr>
          <w:color w:val="auto"/>
          <w:highlight w:val="none"/>
        </w:rPr>
        <w:fldChar w:fldCharType="separate"/>
      </w:r>
      <w:r>
        <w:rPr>
          <w:color w:val="auto"/>
          <w:highlight w:val="none"/>
        </w:rPr>
        <w:t>83</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_Toc22373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2"/>
          <w:highlight w:val="none"/>
          <w:lang w:val="en-US" w:eastAsia="zh-CN" w:bidi="ar-SA"/>
        </w:rPr>
        <w:t>十六、其他材料</w:t>
      </w:r>
      <w:r>
        <w:rPr>
          <w:color w:val="auto"/>
          <w:highlight w:val="none"/>
        </w:rPr>
        <w:tab/>
      </w:r>
      <w:r>
        <w:rPr>
          <w:color w:val="auto"/>
          <w:highlight w:val="none"/>
        </w:rPr>
        <w:fldChar w:fldCharType="begin"/>
      </w:r>
      <w:r>
        <w:rPr>
          <w:color w:val="auto"/>
          <w:highlight w:val="none"/>
        </w:rPr>
        <w:instrText xml:space="preserve"> PAGEREF _Toc22373 \h </w:instrText>
      </w:r>
      <w:r>
        <w:rPr>
          <w:color w:val="auto"/>
          <w:highlight w:val="none"/>
        </w:rPr>
        <w:fldChar w:fldCharType="separate"/>
      </w:r>
      <w:r>
        <w:rPr>
          <w:color w:val="auto"/>
          <w:highlight w:val="none"/>
        </w:rPr>
        <w:t>83</w:t>
      </w:r>
      <w:r>
        <w:rPr>
          <w:color w:val="auto"/>
          <w:highlight w:val="none"/>
        </w:rPr>
        <w:fldChar w:fldCharType="end"/>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pPr>
        <w:autoSpaceDE w:val="0"/>
        <w:autoSpaceDN w:val="0"/>
        <w:adjustRightInd w:val="0"/>
        <w:snapToGrid w:val="0"/>
        <w:spacing w:line="360" w:lineRule="auto"/>
        <w:jc w:val="center"/>
        <w:rPr>
          <w:rFonts w:hint="eastAsia" w:ascii="宋体" w:hAnsi="宋体" w:eastAsia="宋体" w:cs="宋体"/>
          <w:b/>
          <w:bCs/>
          <w:color w:val="auto"/>
          <w:sz w:val="24"/>
          <w:szCs w:val="24"/>
          <w:highlight w:val="none"/>
        </w:rPr>
        <w:sectPr>
          <w:headerReference r:id="rId6" w:type="first"/>
          <w:footerReference r:id="rId9" w:type="first"/>
          <w:headerReference r:id="rId4" w:type="default"/>
          <w:footerReference r:id="rId7" w:type="default"/>
          <w:headerReference r:id="rId5" w:type="even"/>
          <w:footerReference r:id="rId8" w:type="even"/>
          <w:pgSz w:w="11907" w:h="16840"/>
          <w:pgMar w:top="1474" w:right="1814" w:bottom="1474" w:left="1814" w:header="851" w:footer="851" w:gutter="0"/>
          <w:pgNumType w:fmt="decimal" w:start="1"/>
          <w:cols w:space="720" w:num="1"/>
          <w:docGrid w:linePitch="462" w:charSpace="0"/>
        </w:sectPr>
      </w:pPr>
      <w:bookmarkStart w:id="0" w:name="_Toc21314"/>
      <w:bookmarkStart w:id="1" w:name="_Toc26928"/>
    </w:p>
    <w:p>
      <w:pPr>
        <w:spacing w:line="360" w:lineRule="auto"/>
        <w:jc w:val="center"/>
        <w:outlineLvl w:val="0"/>
        <w:rPr>
          <w:rFonts w:hint="eastAsia" w:ascii="宋体" w:hAnsi="宋体" w:eastAsia="宋体" w:cs="宋体"/>
          <w:b/>
          <w:color w:val="auto"/>
          <w:sz w:val="32"/>
          <w:szCs w:val="32"/>
          <w:highlight w:val="none"/>
        </w:rPr>
      </w:pPr>
      <w:bookmarkStart w:id="2" w:name="_Toc15467"/>
      <w:bookmarkStart w:id="3" w:name="_Toc9738"/>
      <w:bookmarkStart w:id="4" w:name="_Toc7533"/>
      <w:r>
        <w:rPr>
          <w:rFonts w:hint="eastAsia" w:ascii="宋体" w:hAnsi="宋体" w:eastAsia="宋体" w:cs="宋体"/>
          <w:b/>
          <w:color w:val="auto"/>
          <w:sz w:val="32"/>
          <w:szCs w:val="32"/>
          <w:highlight w:val="none"/>
        </w:rPr>
        <w:t>第一章 竞争性磋商公告</w:t>
      </w:r>
      <w:bookmarkEnd w:id="0"/>
      <w:bookmarkEnd w:id="1"/>
      <w:bookmarkEnd w:id="2"/>
      <w:bookmarkEnd w:id="3"/>
      <w:bookmarkEnd w:id="4"/>
    </w:p>
    <w:p>
      <w:pPr>
        <w:pStyle w:val="24"/>
        <w:keepNext w:val="0"/>
        <w:keepLines w:val="0"/>
        <w:widowControl/>
        <w:suppressLineNumbers w:val="0"/>
        <w:spacing w:before="204" w:beforeAutospacing="0" w:after="204" w:afterAutospacing="0" w:line="360" w:lineRule="atLeast"/>
        <w:ind w:left="0" w:right="0"/>
        <w:jc w:val="both"/>
        <w:rPr>
          <w:rStyle w:val="30"/>
          <w:rFonts w:ascii="黑体" w:hAnsi="宋体" w:eastAsia="黑体" w:cs="黑体"/>
          <w:color w:val="auto"/>
          <w:sz w:val="22"/>
          <w:szCs w:val="22"/>
          <w:highlight w:val="none"/>
        </w:rPr>
      </w:pP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8"/>
          <w:szCs w:val="28"/>
          <w:highlight w:val="none"/>
        </w:rPr>
      </w:pPr>
      <w:r>
        <w:rPr>
          <w:rStyle w:val="30"/>
          <w:rFonts w:ascii="黑体" w:hAnsi="宋体" w:eastAsia="黑体" w:cs="黑体"/>
          <w:color w:val="auto"/>
          <w:sz w:val="22"/>
          <w:szCs w:val="22"/>
          <w:highlight w:val="none"/>
        </w:rPr>
        <w:t>一、项目基本情况</w:t>
      </w:r>
    </w:p>
    <w:p>
      <w:pPr>
        <w:pStyle w:val="24"/>
        <w:keepNext w:val="0"/>
        <w:keepLines w:val="0"/>
        <w:widowControl/>
        <w:suppressLineNumbers w:val="0"/>
        <w:spacing w:line="240" w:lineRule="atLeast"/>
        <w:rPr>
          <w:rFonts w:hint="default" w:ascii="仿宋" w:hAnsi="仿宋" w:eastAsia="仿宋" w:cs="仿宋"/>
          <w:color w:val="auto"/>
          <w:sz w:val="22"/>
          <w:szCs w:val="22"/>
          <w:highlight w:val="none"/>
          <w:lang w:val="en-US" w:eastAsia="zh-CN"/>
        </w:rPr>
      </w:pPr>
      <w:r>
        <w:rPr>
          <w:rFonts w:ascii="仿宋" w:hAnsi="仿宋" w:eastAsia="仿宋" w:cs="仿宋"/>
          <w:color w:val="auto"/>
          <w:sz w:val="22"/>
          <w:szCs w:val="22"/>
          <w:highlight w:val="none"/>
        </w:rPr>
        <w:t>   </w:t>
      </w: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项目编号：</w:t>
      </w:r>
      <w:r>
        <w:rPr>
          <w:rFonts w:hint="eastAsia" w:ascii="仿宋" w:hAnsi="仿宋" w:eastAsia="仿宋" w:cs="仿宋"/>
          <w:color w:val="auto"/>
          <w:sz w:val="22"/>
          <w:szCs w:val="22"/>
          <w:highlight w:val="none"/>
          <w:lang w:val="en-US" w:eastAsia="zh-CN"/>
        </w:rPr>
        <w:t>XJPC-2023-036</w:t>
      </w:r>
    </w:p>
    <w:p>
      <w:pPr>
        <w:pStyle w:val="24"/>
        <w:keepNext w:val="0"/>
        <w:keepLines w:val="0"/>
        <w:widowControl/>
        <w:suppressLineNumbers w:val="0"/>
        <w:spacing w:line="240" w:lineRule="atLeas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项目名称：</w:t>
      </w:r>
      <w:r>
        <w:rPr>
          <w:rFonts w:hint="eastAsia" w:ascii="仿宋" w:hAnsi="仿宋" w:eastAsia="仿宋" w:cs="仿宋"/>
          <w:color w:val="auto"/>
          <w:sz w:val="22"/>
          <w:szCs w:val="22"/>
          <w:highlight w:val="none"/>
          <w:lang w:eastAsia="zh-CN"/>
        </w:rPr>
        <w:t>团结路小区管网工程铺设项目</w:t>
      </w:r>
      <w:r>
        <w:rPr>
          <w:rFonts w:hint="eastAsia" w:ascii="仿宋" w:hAnsi="仿宋" w:eastAsia="仿宋" w:cs="仿宋"/>
          <w:color w:val="auto"/>
          <w:sz w:val="22"/>
          <w:szCs w:val="22"/>
          <w:highlight w:val="none"/>
        </w:rPr>
        <w:t xml:space="preserve">    </w:t>
      </w:r>
    </w:p>
    <w:p>
      <w:pPr>
        <w:pStyle w:val="24"/>
        <w:keepNext w:val="0"/>
        <w:keepLines w:val="0"/>
        <w:widowControl/>
        <w:suppressLineNumbers w:val="0"/>
        <w:spacing w:line="240" w:lineRule="atLeas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采购方式：竞争性磋商 </w:t>
      </w:r>
    </w:p>
    <w:p>
      <w:pPr>
        <w:pStyle w:val="24"/>
        <w:keepNext w:val="0"/>
        <w:keepLines w:val="0"/>
        <w:widowControl/>
        <w:suppressLineNumbers w:val="0"/>
        <w:spacing w:line="240" w:lineRule="atLeast"/>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    预算金额（元）：5834</w:t>
      </w:r>
      <w:r>
        <w:rPr>
          <w:rFonts w:hint="eastAsia" w:ascii="仿宋" w:hAnsi="仿宋" w:eastAsia="仿宋" w:cs="仿宋"/>
          <w:color w:val="auto"/>
          <w:sz w:val="22"/>
          <w:szCs w:val="22"/>
          <w:highlight w:val="none"/>
          <w:lang w:val="en-US" w:eastAsia="zh-CN"/>
        </w:rPr>
        <w:t>00.00</w:t>
      </w:r>
    </w:p>
    <w:p>
      <w:pPr>
        <w:pStyle w:val="24"/>
        <w:keepNext w:val="0"/>
        <w:keepLines w:val="0"/>
        <w:widowControl/>
        <w:suppressLineNumbers w:val="0"/>
        <w:spacing w:line="240" w:lineRule="atLeast"/>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    最高限价（元）：</w:t>
      </w:r>
      <w:r>
        <w:rPr>
          <w:rFonts w:hint="eastAsia" w:ascii="仿宋" w:hAnsi="仿宋" w:eastAsia="仿宋" w:cs="仿宋"/>
          <w:color w:val="auto"/>
          <w:sz w:val="22"/>
          <w:szCs w:val="22"/>
          <w:highlight w:val="none"/>
          <w:lang w:val="en-US" w:eastAsia="zh-CN"/>
        </w:rPr>
        <w:t>572181.07</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采购需求：</w:t>
      </w:r>
    </w:p>
    <w:tbl>
      <w:tblPr>
        <w:tblStyle w:val="28"/>
        <w:tblW w:w="10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880"/>
        <w:gridCol w:w="2920"/>
        <w:gridCol w:w="1768"/>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72"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序号</w:t>
            </w:r>
          </w:p>
        </w:tc>
        <w:tc>
          <w:tcPr>
            <w:tcW w:w="2880"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标项名称</w:t>
            </w:r>
          </w:p>
        </w:tc>
        <w:tc>
          <w:tcPr>
            <w:tcW w:w="2920"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简要规格描述</w:t>
            </w:r>
          </w:p>
        </w:tc>
        <w:tc>
          <w:tcPr>
            <w:tcW w:w="1768"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预算金额（元）</w:t>
            </w:r>
          </w:p>
        </w:tc>
        <w:tc>
          <w:tcPr>
            <w:tcW w:w="1828"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672" w:type="dxa"/>
            <w:noWrap w:val="0"/>
            <w:vAlign w:val="center"/>
          </w:tcPr>
          <w:p>
            <w:pPr>
              <w:pStyle w:val="3"/>
              <w:keepNext w:val="0"/>
              <w:keepLines w:val="0"/>
              <w:pageBreakBefore w:val="0"/>
              <w:widowControl/>
              <w:numPr>
                <w:ilvl w:val="0"/>
                <w:numId w:val="0"/>
              </w:numPr>
              <w:kinsoku/>
              <w:wordWrap/>
              <w:overflowPunct/>
              <w:topLinePunct w:val="0"/>
              <w:autoSpaceDE/>
              <w:autoSpaceDN/>
              <w:bidi w:val="0"/>
              <w:adjustRightInd/>
              <w:snapToGrid/>
              <w:spacing w:line="579" w:lineRule="exact"/>
              <w:jc w:val="center"/>
              <w:textAlignment w:val="auto"/>
              <w:rPr>
                <w:rFonts w:hint="eastAsia" w:ascii="仿宋" w:hAnsi="仿宋" w:eastAsia="仿宋" w:cs="仿宋"/>
                <w:b w:val="0"/>
                <w:bCs w:val="0"/>
                <w:color w:val="auto"/>
                <w:sz w:val="22"/>
                <w:szCs w:val="22"/>
                <w:highlight w:val="none"/>
                <w:lang w:val="en-US" w:eastAsia="zh-CN"/>
              </w:rPr>
            </w:pPr>
            <w:bookmarkStart w:id="5" w:name="_Toc4044"/>
            <w:r>
              <w:rPr>
                <w:rFonts w:hint="eastAsia" w:ascii="仿宋" w:hAnsi="仿宋" w:eastAsia="仿宋" w:cs="仿宋"/>
                <w:b w:val="0"/>
                <w:bCs w:val="0"/>
                <w:color w:val="auto"/>
                <w:sz w:val="22"/>
                <w:szCs w:val="22"/>
                <w:highlight w:val="none"/>
                <w:lang w:val="en-US" w:eastAsia="zh-CN"/>
              </w:rPr>
              <w:t>1</w:t>
            </w:r>
            <w:bookmarkEnd w:id="5"/>
          </w:p>
        </w:tc>
        <w:tc>
          <w:tcPr>
            <w:tcW w:w="2880"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团结路小区管网工程铺设项目</w:t>
            </w:r>
          </w:p>
        </w:tc>
        <w:tc>
          <w:tcPr>
            <w:tcW w:w="2920"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工程量清单范围内的全部工作内容。</w:t>
            </w:r>
          </w:p>
        </w:tc>
        <w:tc>
          <w:tcPr>
            <w:tcW w:w="1768"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583400.00</w:t>
            </w:r>
          </w:p>
        </w:tc>
        <w:tc>
          <w:tcPr>
            <w:tcW w:w="1828"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572181.07</w:t>
            </w:r>
          </w:p>
        </w:tc>
      </w:tr>
    </w:tbl>
    <w:p>
      <w:pPr>
        <w:pStyle w:val="24"/>
        <w:keepNext w:val="0"/>
        <w:keepLines w:val="0"/>
        <w:widowControl/>
        <w:suppressLineNumbers w:val="0"/>
        <w:spacing w:line="240" w:lineRule="atLeast"/>
        <w:ind w:firstLine="342"/>
        <w:rPr>
          <w:rFonts w:hint="eastAsia" w:ascii="仿宋" w:hAnsi="仿宋" w:eastAsia="仿宋" w:cs="仿宋"/>
          <w:color w:val="auto"/>
          <w:sz w:val="22"/>
          <w:szCs w:val="22"/>
          <w:highlight w:val="none"/>
        </w:rPr>
      </w:pPr>
    </w:p>
    <w:p>
      <w:pPr>
        <w:pStyle w:val="24"/>
        <w:keepNext w:val="0"/>
        <w:keepLines w:val="0"/>
        <w:widowControl/>
        <w:suppressLineNumbers w:val="0"/>
        <w:spacing w:line="240" w:lineRule="atLeast"/>
        <w:rPr>
          <w:rFonts w:hint="default" w:eastAsia="仿宋"/>
          <w:color w:val="auto"/>
          <w:sz w:val="28"/>
          <w:szCs w:val="28"/>
          <w:highlight w:val="none"/>
          <w:lang w:val="en-US" w:eastAsia="zh-CN"/>
        </w:rPr>
      </w:pPr>
      <w:r>
        <w:rPr>
          <w:rFonts w:hint="eastAsia" w:ascii="仿宋" w:hAnsi="仿宋" w:eastAsia="仿宋" w:cs="仿宋"/>
          <w:color w:val="auto"/>
          <w:sz w:val="22"/>
          <w:szCs w:val="22"/>
          <w:highlight w:val="none"/>
        </w:rPr>
        <w:t>    合同履约期限：标项 1，</w:t>
      </w:r>
      <w:r>
        <w:rPr>
          <w:rFonts w:hint="eastAsia" w:ascii="仿宋" w:hAnsi="仿宋" w:eastAsia="仿宋" w:cs="仿宋"/>
          <w:color w:val="auto"/>
          <w:sz w:val="22"/>
          <w:szCs w:val="22"/>
          <w:highlight w:val="none"/>
          <w:lang w:val="en-US" w:eastAsia="zh-CN"/>
        </w:rPr>
        <w:t>合同签订后30日</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本项目（否）接受联合体投标。</w:t>
      </w:r>
      <w:r>
        <w:rPr>
          <w:rFonts w:hint="eastAsia" w:ascii="仿宋" w:hAnsi="仿宋" w:eastAsia="仿宋" w:cs="仿宋"/>
          <w:color w:val="auto"/>
          <w:sz w:val="28"/>
          <w:szCs w:val="28"/>
          <w:highlight w:val="none"/>
        </w:rPr>
        <w:t>  </w:t>
      </w: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2"/>
          <w:szCs w:val="22"/>
          <w:highlight w:val="none"/>
        </w:rPr>
      </w:pPr>
      <w:r>
        <w:rPr>
          <w:rStyle w:val="30"/>
          <w:rFonts w:ascii="黑体" w:hAnsi="宋体" w:eastAsia="黑体" w:cs="黑体"/>
          <w:color w:val="auto"/>
          <w:sz w:val="22"/>
          <w:szCs w:val="22"/>
          <w:highlight w:val="none"/>
        </w:rPr>
        <w:t>二、申请人的资格要求：</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1.满足《中华人民共和国政府采购法》第二十二条规定；</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2.落实政府采购政策需满足的资格要求：</w:t>
      </w:r>
      <w:r>
        <w:rPr>
          <w:rFonts w:hint="eastAsia" w:ascii="仿宋" w:hAnsi="仿宋" w:eastAsia="仿宋" w:cs="仿宋"/>
          <w:color w:val="auto"/>
          <w:sz w:val="22"/>
          <w:szCs w:val="22"/>
          <w:highlight w:val="none"/>
          <w:lang w:eastAsia="zh-CN"/>
        </w:rPr>
        <w:t>本项目专门面向中小企业。</w:t>
      </w:r>
      <w:r>
        <w:rPr>
          <w:rFonts w:hint="eastAsia" w:ascii="仿宋" w:hAnsi="仿宋" w:eastAsia="仿宋" w:cs="仿宋"/>
          <w:color w:val="auto"/>
          <w:sz w:val="22"/>
          <w:szCs w:val="22"/>
          <w:highlight w:val="none"/>
        </w:rPr>
        <w:t> </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3.本项目的特定资格要求：</w:t>
      </w:r>
      <w:r>
        <w:rPr>
          <w:rFonts w:hint="eastAsia" w:ascii="仿宋" w:hAnsi="仿宋" w:eastAsia="仿宋" w:cs="仿宋"/>
          <w:color w:val="auto"/>
          <w:sz w:val="22"/>
          <w:szCs w:val="22"/>
          <w:highlight w:val="none"/>
        </w:rPr>
        <w:br w:type="textWrapping"/>
      </w:r>
      <w:r>
        <w:rPr>
          <w:rFonts w:hint="eastAsia" w:ascii="仿宋" w:hAnsi="仿宋" w:eastAsia="仿宋" w:cs="仿宋"/>
          <w:color w:val="auto"/>
          <w:sz w:val="22"/>
          <w:szCs w:val="22"/>
          <w:highlight w:val="none"/>
        </w:rPr>
        <w:t>【标项1】</w:t>
      </w:r>
      <w:r>
        <w:rPr>
          <w:rFonts w:hint="eastAsia" w:ascii="仿宋" w:hAnsi="仿宋" w:eastAsia="仿宋" w:cs="仿宋"/>
          <w:color w:val="auto"/>
          <w:sz w:val="22"/>
          <w:szCs w:val="22"/>
          <w:highlight w:val="none"/>
        </w:rPr>
        <w:br w:type="textWrapping"/>
      </w: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供应商</w:t>
      </w:r>
      <w:r>
        <w:rPr>
          <w:rFonts w:hint="eastAsia" w:ascii="仿宋" w:hAnsi="仿宋" w:eastAsia="仿宋" w:cs="仿宋"/>
          <w:color w:val="auto"/>
          <w:sz w:val="22"/>
          <w:szCs w:val="22"/>
          <w:highlight w:val="none"/>
        </w:rPr>
        <w:t>具有</w:t>
      </w:r>
      <w:r>
        <w:rPr>
          <w:rFonts w:hint="eastAsia" w:ascii="仿宋" w:hAnsi="仿宋" w:eastAsia="仿宋" w:cs="仿宋"/>
          <w:color w:val="auto"/>
          <w:sz w:val="22"/>
          <w:szCs w:val="22"/>
          <w:highlight w:val="none"/>
          <w:lang w:val="en-US" w:eastAsia="zh-CN"/>
        </w:rPr>
        <w:t>建筑工程施工总承包叁级（含）以上资质或具备市政公用工程施工总承包叁级（含）以上资质，且具备有效的安全生产许可证</w:t>
      </w:r>
      <w:r>
        <w:rPr>
          <w:rFonts w:hint="eastAsia" w:ascii="仿宋" w:hAnsi="仿宋" w:eastAsia="仿宋" w:cs="仿宋"/>
          <w:color w:val="auto"/>
          <w:sz w:val="22"/>
          <w:szCs w:val="22"/>
          <w:highlight w:val="none"/>
        </w:rPr>
        <w:t>；</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（2）项目负责人具有</w:t>
      </w:r>
      <w:r>
        <w:rPr>
          <w:rFonts w:hint="eastAsia" w:ascii="仿宋" w:hAnsi="仿宋" w:eastAsia="仿宋" w:cs="仿宋"/>
          <w:color w:val="auto"/>
          <w:sz w:val="22"/>
          <w:szCs w:val="22"/>
          <w:highlight w:val="none"/>
          <w:lang w:val="en-US" w:eastAsia="zh-CN"/>
        </w:rPr>
        <w:t>建筑工程专业或市政公用工程专业，贰级（含）以上注册建造师证书且在本单位注册，具备有效的安全生产考核合格证书</w:t>
      </w:r>
      <w:r>
        <w:rPr>
          <w:rFonts w:hint="eastAsia" w:ascii="仿宋" w:hAnsi="仿宋" w:eastAsia="仿宋" w:cs="仿宋"/>
          <w:color w:val="auto"/>
          <w:sz w:val="22"/>
          <w:szCs w:val="22"/>
          <w:highlight w:val="none"/>
        </w:rPr>
        <w:t>；</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（3）供应商具有需在中华人民共和国境内注册，并具有独立法人资格、有提供相应服务能力的单位（须在人员、设备、资金、技术等方面具备相应的服务能力）。</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rPr>
      </w:pP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2"/>
          <w:szCs w:val="22"/>
          <w:highlight w:val="none"/>
        </w:rPr>
      </w:pPr>
      <w:r>
        <w:rPr>
          <w:rStyle w:val="30"/>
          <w:rFonts w:ascii="黑体" w:hAnsi="宋体" w:eastAsia="黑体" w:cs="黑体"/>
          <w:color w:val="auto"/>
          <w:sz w:val="22"/>
          <w:szCs w:val="22"/>
          <w:highlight w:val="none"/>
        </w:rPr>
        <w:t>三、获取采购文件</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w:t>
      </w:r>
      <w:r>
        <w:rPr>
          <w:rFonts w:hint="eastAsia" w:ascii="仿宋" w:hAnsi="仿宋" w:eastAsia="仿宋" w:cs="仿宋"/>
          <w:color w:val="auto"/>
          <w:sz w:val="22"/>
          <w:szCs w:val="22"/>
          <w:highlight w:val="none"/>
          <w:u w:val="none"/>
        </w:rPr>
        <w:t>时间：202</w:t>
      </w:r>
      <w:r>
        <w:rPr>
          <w:rFonts w:hint="eastAsia" w:ascii="仿宋" w:hAnsi="仿宋" w:eastAsia="仿宋" w:cs="仿宋"/>
          <w:color w:val="auto"/>
          <w:sz w:val="22"/>
          <w:szCs w:val="22"/>
          <w:highlight w:val="none"/>
          <w:u w:val="none"/>
          <w:lang w:val="en-US" w:eastAsia="zh-CN"/>
        </w:rPr>
        <w:t>3</w:t>
      </w:r>
      <w:r>
        <w:rPr>
          <w:rFonts w:hint="eastAsia" w:ascii="仿宋" w:hAnsi="仿宋" w:eastAsia="仿宋" w:cs="仿宋"/>
          <w:color w:val="auto"/>
          <w:sz w:val="22"/>
          <w:szCs w:val="22"/>
          <w:highlight w:val="none"/>
          <w:u w:val="none"/>
        </w:rPr>
        <w:t>年</w:t>
      </w:r>
      <w:r>
        <w:rPr>
          <w:rFonts w:hint="eastAsia" w:ascii="仿宋" w:hAnsi="仿宋" w:eastAsia="仿宋" w:cs="仿宋"/>
          <w:color w:val="auto"/>
          <w:sz w:val="22"/>
          <w:szCs w:val="22"/>
          <w:highlight w:val="none"/>
          <w:u w:val="none"/>
          <w:lang w:val="en-US" w:eastAsia="zh-CN"/>
        </w:rPr>
        <w:t>6</w:t>
      </w:r>
      <w:r>
        <w:rPr>
          <w:rFonts w:hint="eastAsia" w:ascii="仿宋" w:hAnsi="仿宋" w:eastAsia="仿宋" w:cs="仿宋"/>
          <w:color w:val="auto"/>
          <w:sz w:val="22"/>
          <w:szCs w:val="22"/>
          <w:highlight w:val="none"/>
          <w:u w:val="none"/>
        </w:rPr>
        <w:t>月</w:t>
      </w:r>
      <w:r>
        <w:rPr>
          <w:rFonts w:hint="eastAsia" w:ascii="仿宋" w:hAnsi="仿宋" w:eastAsia="仿宋" w:cs="仿宋"/>
          <w:color w:val="auto"/>
          <w:sz w:val="22"/>
          <w:szCs w:val="22"/>
          <w:highlight w:val="none"/>
          <w:u w:val="none"/>
          <w:lang w:val="en-US" w:eastAsia="zh-CN"/>
        </w:rPr>
        <w:t>20</w:t>
      </w:r>
      <w:r>
        <w:rPr>
          <w:rFonts w:hint="eastAsia" w:ascii="仿宋" w:hAnsi="仿宋" w:eastAsia="仿宋" w:cs="仿宋"/>
          <w:color w:val="auto"/>
          <w:sz w:val="22"/>
          <w:szCs w:val="22"/>
          <w:highlight w:val="none"/>
          <w:u w:val="none"/>
        </w:rPr>
        <w:t>日至202</w:t>
      </w:r>
      <w:r>
        <w:rPr>
          <w:rFonts w:hint="eastAsia" w:ascii="仿宋" w:hAnsi="仿宋" w:eastAsia="仿宋" w:cs="仿宋"/>
          <w:color w:val="auto"/>
          <w:sz w:val="22"/>
          <w:szCs w:val="22"/>
          <w:highlight w:val="none"/>
          <w:u w:val="none"/>
          <w:lang w:val="en-US" w:eastAsia="zh-CN"/>
        </w:rPr>
        <w:t>3</w:t>
      </w:r>
      <w:r>
        <w:rPr>
          <w:rFonts w:hint="eastAsia" w:ascii="仿宋" w:hAnsi="仿宋" w:eastAsia="仿宋" w:cs="仿宋"/>
          <w:color w:val="auto"/>
          <w:sz w:val="22"/>
          <w:szCs w:val="22"/>
          <w:highlight w:val="none"/>
          <w:u w:val="none"/>
        </w:rPr>
        <w:t>年</w:t>
      </w:r>
      <w:r>
        <w:rPr>
          <w:rFonts w:hint="eastAsia" w:ascii="仿宋" w:hAnsi="仿宋" w:eastAsia="仿宋" w:cs="仿宋"/>
          <w:color w:val="auto"/>
          <w:sz w:val="22"/>
          <w:szCs w:val="22"/>
          <w:highlight w:val="none"/>
          <w:u w:val="none"/>
          <w:lang w:val="en-US" w:eastAsia="zh-CN"/>
        </w:rPr>
        <w:t>7</w:t>
      </w:r>
      <w:r>
        <w:rPr>
          <w:rFonts w:hint="eastAsia" w:ascii="仿宋" w:hAnsi="仿宋" w:eastAsia="仿宋" w:cs="仿宋"/>
          <w:color w:val="auto"/>
          <w:sz w:val="22"/>
          <w:szCs w:val="22"/>
          <w:highlight w:val="none"/>
          <w:u w:val="none"/>
        </w:rPr>
        <w:t>月</w:t>
      </w:r>
      <w:r>
        <w:rPr>
          <w:rFonts w:hint="eastAsia" w:ascii="仿宋" w:hAnsi="仿宋" w:eastAsia="仿宋" w:cs="仿宋"/>
          <w:color w:val="auto"/>
          <w:sz w:val="22"/>
          <w:szCs w:val="22"/>
          <w:highlight w:val="none"/>
          <w:u w:val="none"/>
          <w:lang w:val="en-US" w:eastAsia="zh-CN"/>
        </w:rPr>
        <w:t>3</w:t>
      </w:r>
      <w:bookmarkStart w:id="839" w:name="_GoBack"/>
      <w:bookmarkEnd w:id="839"/>
      <w:r>
        <w:rPr>
          <w:rFonts w:hint="eastAsia" w:ascii="仿宋" w:hAnsi="仿宋" w:eastAsia="仿宋" w:cs="仿宋"/>
          <w:color w:val="auto"/>
          <w:sz w:val="22"/>
          <w:szCs w:val="22"/>
          <w:highlight w:val="none"/>
          <w:u w:val="none"/>
        </w:rPr>
        <w:t>日，每天上午10:00至1</w:t>
      </w:r>
      <w:r>
        <w:rPr>
          <w:rFonts w:hint="eastAsia" w:ascii="仿宋" w:hAnsi="仿宋" w:eastAsia="仿宋" w:cs="仿宋"/>
          <w:color w:val="auto"/>
          <w:sz w:val="22"/>
          <w:szCs w:val="22"/>
          <w:highlight w:val="none"/>
          <w:u w:val="none"/>
          <w:lang w:val="en-US" w:eastAsia="zh-CN"/>
        </w:rPr>
        <w:t>4</w:t>
      </w:r>
      <w:r>
        <w:rPr>
          <w:rFonts w:hint="eastAsia" w:ascii="仿宋" w:hAnsi="仿宋" w:eastAsia="仿宋" w:cs="仿宋"/>
          <w:color w:val="auto"/>
          <w:sz w:val="22"/>
          <w:szCs w:val="22"/>
          <w:highlight w:val="none"/>
          <w:u w:val="none"/>
        </w:rPr>
        <w:t>:00，下午1</w:t>
      </w:r>
      <w:r>
        <w:rPr>
          <w:rFonts w:hint="eastAsia" w:ascii="仿宋" w:hAnsi="仿宋" w:eastAsia="仿宋" w:cs="仿宋"/>
          <w:color w:val="auto"/>
          <w:sz w:val="22"/>
          <w:szCs w:val="22"/>
          <w:highlight w:val="none"/>
          <w:u w:val="none"/>
          <w:lang w:val="en-US" w:eastAsia="zh-CN"/>
        </w:rPr>
        <w:t>5</w:t>
      </w:r>
      <w:r>
        <w:rPr>
          <w:rFonts w:hint="eastAsia" w:ascii="仿宋" w:hAnsi="仿宋" w:eastAsia="仿宋" w:cs="仿宋"/>
          <w:color w:val="auto"/>
          <w:sz w:val="22"/>
          <w:szCs w:val="22"/>
          <w:highlight w:val="none"/>
          <w:u w:val="none"/>
        </w:rPr>
        <w:t>:</w:t>
      </w:r>
      <w:r>
        <w:rPr>
          <w:rFonts w:hint="eastAsia" w:ascii="仿宋" w:hAnsi="仿宋" w:eastAsia="仿宋" w:cs="仿宋"/>
          <w:color w:val="auto"/>
          <w:sz w:val="22"/>
          <w:szCs w:val="22"/>
          <w:highlight w:val="none"/>
          <w:u w:val="none"/>
          <w:lang w:val="en-US" w:eastAsia="zh-CN"/>
        </w:rPr>
        <w:t>3</w:t>
      </w:r>
      <w:r>
        <w:rPr>
          <w:rFonts w:hint="eastAsia" w:ascii="仿宋" w:hAnsi="仿宋" w:eastAsia="仿宋" w:cs="仿宋"/>
          <w:color w:val="auto"/>
          <w:sz w:val="22"/>
          <w:szCs w:val="22"/>
          <w:highlight w:val="none"/>
          <w:u w:val="none"/>
        </w:rPr>
        <w:t>0至19:30（北京时间，法定节假日除外）</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地点：</w:t>
      </w:r>
      <w:r>
        <w:rPr>
          <w:rFonts w:hint="eastAsia" w:ascii="仿宋" w:hAnsi="仿宋" w:eastAsia="仿宋" w:cs="仿宋"/>
          <w:color w:val="auto"/>
          <w:sz w:val="21"/>
          <w:szCs w:val="21"/>
          <w:highlight w:val="none"/>
        </w:rPr>
        <w:t xml:space="preserve">新疆政采云平台https://www.zcygov.cn/ </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方式：</w:t>
      </w:r>
      <w:r>
        <w:rPr>
          <w:rFonts w:hint="eastAsia" w:ascii="仿宋" w:hAnsi="仿宋" w:eastAsia="仿宋" w:cs="仿宋"/>
          <w:color w:val="auto"/>
          <w:sz w:val="21"/>
          <w:szCs w:val="21"/>
          <w:highlight w:val="none"/>
        </w:rPr>
        <w:t>线上获取。供应商登录政采云平台https://www.zcygov.cn/在线申请获取招标文件（进入“项目采购”应用，在获取招标文件菜单中选择项目，申请获取招标文件）</w:t>
      </w:r>
      <w:r>
        <w:rPr>
          <w:rFonts w:hint="eastAsia" w:ascii="仿宋" w:hAnsi="仿宋" w:eastAsia="仿宋" w:cs="仿宋"/>
          <w:color w:val="auto"/>
          <w:sz w:val="22"/>
          <w:szCs w:val="22"/>
          <w:highlight w:val="none"/>
        </w:rPr>
        <w:t>  </w:t>
      </w:r>
    </w:p>
    <w:p>
      <w:pPr>
        <w:pStyle w:val="24"/>
        <w:keepNext w:val="0"/>
        <w:keepLines w:val="0"/>
        <w:widowControl/>
        <w:suppressLineNumbers w:val="0"/>
        <w:spacing w:line="240" w:lineRule="atLeast"/>
        <w:rPr>
          <w:rFonts w:hint="eastAsia" w:eastAsia="仿宋"/>
          <w:color w:val="auto"/>
          <w:sz w:val="28"/>
          <w:szCs w:val="28"/>
          <w:highlight w:val="none"/>
          <w:lang w:val="en-US" w:eastAsia="zh-CN"/>
        </w:rPr>
      </w:pPr>
      <w:r>
        <w:rPr>
          <w:rFonts w:hint="eastAsia" w:ascii="仿宋" w:hAnsi="仿宋" w:eastAsia="仿宋" w:cs="仿宋"/>
          <w:color w:val="auto"/>
          <w:sz w:val="22"/>
          <w:szCs w:val="22"/>
          <w:highlight w:val="none"/>
        </w:rPr>
        <w:t>    售价（元）：</w:t>
      </w:r>
      <w:r>
        <w:rPr>
          <w:rFonts w:hint="eastAsia" w:ascii="仿宋" w:hAnsi="仿宋" w:eastAsia="仿宋" w:cs="仿宋"/>
          <w:color w:val="auto"/>
          <w:sz w:val="22"/>
          <w:szCs w:val="22"/>
          <w:highlight w:val="none"/>
          <w:lang w:val="en-US" w:eastAsia="zh-CN"/>
        </w:rPr>
        <w:t>0</w:t>
      </w: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2"/>
          <w:szCs w:val="22"/>
          <w:highlight w:val="none"/>
        </w:rPr>
      </w:pPr>
      <w:r>
        <w:rPr>
          <w:rStyle w:val="30"/>
          <w:rFonts w:ascii="黑体" w:hAnsi="宋体" w:eastAsia="黑体" w:cs="黑体"/>
          <w:color w:val="auto"/>
          <w:sz w:val="22"/>
          <w:szCs w:val="22"/>
          <w:highlight w:val="none"/>
        </w:rPr>
        <w:t>四、响应文件提交</w:t>
      </w:r>
      <w:r>
        <w:rPr>
          <w:rFonts w:ascii="黑体" w:hAnsi="宋体" w:eastAsia="黑体" w:cs="黑体"/>
          <w:color w:val="auto"/>
          <w:sz w:val="22"/>
          <w:szCs w:val="22"/>
          <w:highlight w:val="none"/>
        </w:rPr>
        <w:t> </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截止时间：202</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日1</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:00（北京时间）</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地点：</w:t>
      </w:r>
      <w:r>
        <w:rPr>
          <w:rFonts w:hint="eastAsia" w:ascii="仿宋" w:hAnsi="仿宋" w:eastAsia="仿宋" w:cs="仿宋"/>
          <w:color w:val="auto"/>
          <w:sz w:val="21"/>
          <w:szCs w:val="21"/>
          <w:highlight w:val="none"/>
        </w:rPr>
        <w:t>新疆政采云平台https://www.zcygov.cn/ </w:t>
      </w:r>
      <w:r>
        <w:rPr>
          <w:rFonts w:hint="eastAsia" w:ascii="仿宋" w:hAnsi="仿宋" w:eastAsia="仿宋" w:cs="仿宋"/>
          <w:color w:val="auto"/>
          <w:sz w:val="22"/>
          <w:szCs w:val="22"/>
          <w:highlight w:val="none"/>
        </w:rPr>
        <w:t> </w:t>
      </w: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2"/>
          <w:szCs w:val="22"/>
          <w:highlight w:val="none"/>
        </w:rPr>
      </w:pPr>
      <w:r>
        <w:rPr>
          <w:rStyle w:val="30"/>
          <w:rFonts w:ascii="黑体" w:hAnsi="宋体" w:eastAsia="黑体" w:cs="黑体"/>
          <w:color w:val="auto"/>
          <w:sz w:val="22"/>
          <w:szCs w:val="22"/>
          <w:highlight w:val="none"/>
        </w:rPr>
        <w:t>五、响应文件开启</w:t>
      </w:r>
      <w:r>
        <w:rPr>
          <w:rFonts w:ascii="黑体" w:hAnsi="宋体" w:eastAsia="黑体" w:cs="黑体"/>
          <w:color w:val="auto"/>
          <w:sz w:val="22"/>
          <w:szCs w:val="22"/>
          <w:highlight w:val="none"/>
        </w:rPr>
        <w:t> </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开启时间：202</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日 1</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:00 （北京时间）</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地点：</w:t>
      </w:r>
      <w:r>
        <w:rPr>
          <w:rFonts w:hint="eastAsia" w:ascii="仿宋" w:hAnsi="仿宋" w:eastAsia="仿宋" w:cs="仿宋"/>
          <w:color w:val="auto"/>
          <w:sz w:val="21"/>
          <w:szCs w:val="21"/>
          <w:highlight w:val="none"/>
        </w:rPr>
        <w:t>新疆政采云平台https://www.zcygov.cn/ </w:t>
      </w: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8"/>
          <w:szCs w:val="28"/>
          <w:highlight w:val="none"/>
        </w:rPr>
      </w:pPr>
      <w:r>
        <w:rPr>
          <w:rStyle w:val="30"/>
          <w:rFonts w:ascii="黑体" w:hAnsi="宋体" w:eastAsia="黑体" w:cs="黑体"/>
          <w:color w:val="auto"/>
          <w:sz w:val="22"/>
          <w:szCs w:val="22"/>
          <w:highlight w:val="none"/>
        </w:rPr>
        <w:t>六、公告期限</w:t>
      </w:r>
    </w:p>
    <w:p>
      <w:pPr>
        <w:pStyle w:val="24"/>
        <w:keepNext w:val="0"/>
        <w:keepLines w:val="0"/>
        <w:widowControl/>
        <w:suppressLineNumbers w:val="0"/>
        <w:rPr>
          <w:color w:val="auto"/>
          <w:sz w:val="28"/>
          <w:szCs w:val="28"/>
          <w:highlight w:val="none"/>
        </w:rPr>
      </w:pPr>
      <w:r>
        <w:rPr>
          <w:rFonts w:hint="eastAsia" w:ascii="仿宋" w:hAnsi="仿宋" w:eastAsia="仿宋" w:cs="仿宋"/>
          <w:color w:val="auto"/>
          <w:sz w:val="22"/>
          <w:szCs w:val="22"/>
          <w:highlight w:val="none"/>
        </w:rPr>
        <w:t>    自本公告发布之日起</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个工作日。</w:t>
      </w: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2"/>
          <w:szCs w:val="22"/>
          <w:highlight w:val="none"/>
        </w:rPr>
      </w:pPr>
      <w:r>
        <w:rPr>
          <w:rStyle w:val="30"/>
          <w:rFonts w:ascii="黑体" w:hAnsi="宋体" w:eastAsia="黑体" w:cs="黑体"/>
          <w:color w:val="auto"/>
          <w:sz w:val="22"/>
          <w:szCs w:val="22"/>
          <w:highlight w:val="none"/>
        </w:rPr>
        <w:t>七、其他补充事宜</w:t>
      </w:r>
      <w:r>
        <w:rPr>
          <w:rFonts w:ascii="黑体" w:hAnsi="宋体" w:eastAsia="黑体" w:cs="黑体"/>
          <w:color w:val="auto"/>
          <w:sz w:val="22"/>
          <w:szCs w:val="22"/>
          <w:highlight w:val="none"/>
        </w:rPr>
        <w:t> </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1.本项目为电子招投标项目，投标人需要使用CA 加密设备，凡参加本项目投标人可通过新疆数字证书认证中心官网（https://www.xjca.com.cn/）或下载“新疆政务通”APP 自行进行线上申领。如有操作性问题可与政采云在线客服进行咨询。</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2.本项目实行网上投标，采用电子响应文件，若供应商参与采购，应自行承担采购一切费用。</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3.投标人应在采购前应确保成为新疆政府采购网正式注册入库供应商，并完成CA 数字证书申领。因未注册入库、未办理CA 数字证书等原因造成无法投标或投标失败等后果由供应商自行承担。</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4.投标人应使用最新版本的CA 驱动和政采云投标客户端，客户端下载、安装完成后，可通过账号密码或CA 登录客户端进行响应文件制作。在使用政采云投标客户端时，建议使用谷歌浏览器，电脑配置满足win7+64 位以上操作系统（不能用mac或者linux 系统）。客户端请至新疆政府采购网（www.ccgp-xinjiang.gov.cn）下载专区查看，如有问题可拨打政采云客户服务热线进行咨询。</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5.投标人应当在递交响应文件截止时间前，将生成的“电子加密响应文件”上传递交至“政府采购云平台”，递交响应文件截止时间后上传递交的响应文件将被“政府采购云平台”拒收。</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6.供应商登录政采云平台，在开标时间后30 分钟内用“项目采购-开标评标”功能进行解密响应文件。若供应商在规定时间内未按时解密的，视为无效响应。解密与加密响应文件须使用同一个CA。</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7.投标人在政府采购云平台实行不见面开标操作指南：请潜在供应商自行登录观看政府采购云平台供应商电子标培训视频教程。如因供应商自身原因导致在规定时间内无法正常解密的（如：浏览器故障、未安装相关驱动、网络故障、加密CA与解密CA不一致等），视为供应商自动弃标。</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8.开标当天，投标人应在开标前登录并在评标结束后才能退出政府采购云平台投标客户端，因投标文件在线解密、报价文件开标记录在线确认、评审专家在线提问等都需要投标人在政府采购云平台投标客户端操作响应，如投标人提前退出政府采购云平台投标客户端，后果自负。</w:t>
      </w:r>
    </w:p>
    <w:p>
      <w:pPr>
        <w:pStyle w:val="24"/>
        <w:keepNext w:val="0"/>
        <w:keepLines w:val="0"/>
        <w:widowControl/>
        <w:suppressLineNumbers w:val="0"/>
        <w:spacing w:before="204" w:beforeAutospacing="0" w:after="204" w:afterAutospacing="0" w:line="384" w:lineRule="atLeast"/>
        <w:ind w:left="0" w:right="0"/>
        <w:jc w:val="both"/>
        <w:rPr>
          <w:rFonts w:ascii="黑体" w:hAnsi="宋体" w:eastAsia="黑体" w:cs="黑体"/>
          <w:color w:val="auto"/>
          <w:sz w:val="28"/>
          <w:szCs w:val="28"/>
          <w:highlight w:val="none"/>
        </w:rPr>
      </w:pPr>
      <w:r>
        <w:rPr>
          <w:rStyle w:val="30"/>
          <w:rFonts w:ascii="黑体" w:hAnsi="宋体" w:eastAsia="黑体" w:cs="黑体"/>
          <w:color w:val="auto"/>
          <w:sz w:val="22"/>
          <w:szCs w:val="22"/>
          <w:highlight w:val="none"/>
        </w:rPr>
        <w:t>八、凡对本次招标提出询问，请按以下方式联系</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1.采购人信息</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名称：新疆维吾尔自治区省级干部住宅小区管理服务中心 </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地址：新疆维吾尔自治区乌鲁木齐市天山区和平北路12号 </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项目联系人：谷强</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项目联系方式：0991-2381275</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2.采购代理机构信息</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名称：新疆谱诚项目管理咨询有限公司</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地址：乌鲁木齐市水磨沟区龙腾路1118号中央公园二期9栋503室</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 xml:space="preserve">项目联系人：李金航  </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项目联系方式：0991-8828891  13669952946</w:t>
      </w:r>
    </w:p>
    <w:p>
      <w:pPr>
        <w:rPr>
          <w:color w:val="auto"/>
          <w:sz w:val="22"/>
          <w:szCs w:val="21"/>
          <w:highlight w:val="none"/>
        </w:rPr>
      </w:pPr>
    </w:p>
    <w:p>
      <w:pPr>
        <w:snapToGrid w:val="0"/>
        <w:spacing w:line="360" w:lineRule="auto"/>
        <w:ind w:firstLine="480" w:firstLineChars="200"/>
        <w:rPr>
          <w:rFonts w:hint="eastAsia" w:ascii="宋体" w:hAnsi="宋体" w:eastAsia="宋体" w:cs="宋体"/>
          <w:bCs/>
          <w:color w:val="auto"/>
          <w:sz w:val="24"/>
          <w:szCs w:val="24"/>
          <w:highlight w:val="none"/>
          <w:lang w:eastAsia="zh-CN"/>
        </w:rPr>
      </w:pPr>
    </w:p>
    <w:p>
      <w:pPr>
        <w:pStyle w:val="26"/>
        <w:ind w:left="0" w:leftChars="0" w:firstLine="0" w:firstLineChars="0"/>
        <w:jc w:val="center"/>
        <w:rPr>
          <w:rFonts w:hint="eastAsia" w:ascii="宋体" w:hAnsi="宋体" w:cs="宋体"/>
          <w:b/>
          <w:color w:val="auto"/>
          <w:sz w:val="44"/>
          <w:szCs w:val="44"/>
          <w:highlight w:val="none"/>
        </w:rPr>
      </w:pPr>
      <w:r>
        <w:rPr>
          <w:rFonts w:hint="eastAsia" w:ascii="宋体" w:hAnsi="宋体" w:cs="宋体"/>
          <w:b/>
          <w:color w:val="auto"/>
          <w:sz w:val="28"/>
          <w:szCs w:val="28"/>
          <w:highlight w:val="none"/>
        </w:rPr>
        <w:br w:type="page"/>
      </w:r>
      <w:bookmarkStart w:id="6" w:name="_Toc8062"/>
      <w:bookmarkStart w:id="7" w:name="_Toc3846"/>
      <w:bookmarkStart w:id="8" w:name="_Toc6138"/>
      <w:bookmarkStart w:id="9" w:name="_Toc3973"/>
      <w:r>
        <w:rPr>
          <w:rFonts w:hint="eastAsia" w:ascii="宋体" w:hAnsi="宋体" w:cs="宋体"/>
          <w:b/>
          <w:color w:val="auto"/>
          <w:sz w:val="32"/>
          <w:szCs w:val="32"/>
          <w:highlight w:val="none"/>
        </w:rPr>
        <w:t>第二章  供应商须知</w:t>
      </w:r>
      <w:bookmarkEnd w:id="6"/>
      <w:bookmarkEnd w:id="7"/>
      <w:bookmarkEnd w:id="8"/>
      <w:bookmarkEnd w:id="9"/>
    </w:p>
    <w:p>
      <w:pPr>
        <w:pStyle w:val="11"/>
        <w:spacing w:line="360" w:lineRule="auto"/>
        <w:jc w:val="center"/>
        <w:outlineLvl w:val="1"/>
        <w:rPr>
          <w:rFonts w:hint="eastAsia" w:ascii="宋体" w:hAnsi="宋体" w:eastAsia="宋体" w:cs="宋体"/>
          <w:b/>
          <w:color w:val="auto"/>
          <w:kern w:val="2"/>
          <w:sz w:val="28"/>
          <w:szCs w:val="28"/>
          <w:highlight w:val="none"/>
          <w:lang w:val="en-US" w:eastAsia="zh-CN" w:bidi="ar-SA"/>
        </w:rPr>
      </w:pPr>
      <w:bookmarkStart w:id="10" w:name="_Toc8813"/>
      <w:bookmarkStart w:id="11" w:name="_Toc17867"/>
      <w:r>
        <w:rPr>
          <w:rFonts w:hint="eastAsia" w:ascii="宋体" w:hAnsi="宋体" w:eastAsia="宋体" w:cs="宋体"/>
          <w:b/>
          <w:color w:val="auto"/>
          <w:kern w:val="2"/>
          <w:sz w:val="28"/>
          <w:szCs w:val="28"/>
          <w:highlight w:val="none"/>
          <w:lang w:val="en-US" w:eastAsia="zh-CN" w:bidi="ar-SA"/>
        </w:rPr>
        <w:t>磋商须知前附表</w:t>
      </w:r>
      <w:bookmarkEnd w:id="10"/>
      <w:bookmarkEnd w:id="11"/>
    </w:p>
    <w:tbl>
      <w:tblPr>
        <w:tblStyle w:val="28"/>
        <w:tblW w:w="9472" w:type="dxa"/>
        <w:jc w:val="center"/>
        <w:tblLayout w:type="fixed"/>
        <w:tblCellMar>
          <w:top w:w="0" w:type="dxa"/>
          <w:left w:w="108" w:type="dxa"/>
          <w:bottom w:w="0" w:type="dxa"/>
          <w:right w:w="108" w:type="dxa"/>
        </w:tblCellMar>
      </w:tblPr>
      <w:tblGrid>
        <w:gridCol w:w="708"/>
        <w:gridCol w:w="2004"/>
        <w:gridCol w:w="6760"/>
      </w:tblGrid>
      <w:tr>
        <w:tblPrEx>
          <w:tblCellMar>
            <w:top w:w="0" w:type="dxa"/>
            <w:left w:w="108" w:type="dxa"/>
            <w:bottom w:w="0" w:type="dxa"/>
            <w:right w:w="108" w:type="dxa"/>
          </w:tblCellMar>
        </w:tblPrEx>
        <w:trPr>
          <w:trHeight w:val="50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条款号</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条  款  名  称</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编  列  内  容</w:t>
            </w:r>
          </w:p>
        </w:tc>
      </w:tr>
      <w:tr>
        <w:tblPrEx>
          <w:tblCellMar>
            <w:top w:w="0" w:type="dxa"/>
            <w:left w:w="108" w:type="dxa"/>
            <w:bottom w:w="0" w:type="dxa"/>
            <w:right w:w="108" w:type="dxa"/>
          </w:tblCellMar>
        </w:tblPrEx>
        <w:trPr>
          <w:trHeight w:val="50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color w:val="auto"/>
                <w:sz w:val="24"/>
                <w:szCs w:val="24"/>
                <w:highlight w:val="none"/>
              </w:rPr>
              <w:t>项目名称</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团结路小区管网工程铺设项目</w:t>
            </w:r>
          </w:p>
        </w:tc>
      </w:tr>
      <w:tr>
        <w:tblPrEx>
          <w:tblCellMar>
            <w:top w:w="0" w:type="dxa"/>
            <w:left w:w="108" w:type="dxa"/>
            <w:bottom w:w="0" w:type="dxa"/>
            <w:right w:w="108" w:type="dxa"/>
          </w:tblCellMar>
        </w:tblPrEx>
        <w:trPr>
          <w:trHeight w:val="1284"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color w:val="auto"/>
                <w:sz w:val="24"/>
                <w:szCs w:val="24"/>
                <w:highlight w:val="none"/>
              </w:rPr>
              <w:t>采购人</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名称: 新疆维吾尔自治区省级干部住宅小区管理服务中心</w:t>
            </w:r>
          </w:p>
          <w:p>
            <w:pPr>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地址: 新疆维吾尔自治区乌鲁木齐市天山区和平北路12号</w:t>
            </w:r>
          </w:p>
          <w:p>
            <w:pPr>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联系人：谷强</w:t>
            </w:r>
          </w:p>
          <w:p>
            <w:pPr>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联系方式:0991-2381275</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3</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采购代理机构</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名称：新疆谱诚项目管理咨询有限公司</w:t>
            </w:r>
          </w:p>
          <w:p>
            <w:pPr>
              <w:spacing w:line="24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地址：乌鲁木齐市水磨沟区龙腾路1118号中央公园二期9栋503室</w:t>
            </w:r>
          </w:p>
          <w:p>
            <w:pPr>
              <w:spacing w:line="24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项目联系人：李金航  </w:t>
            </w:r>
          </w:p>
          <w:p>
            <w:pPr>
              <w:spacing w:line="24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项目联系方式：0991-8828891  13669952946</w:t>
            </w:r>
          </w:p>
        </w:tc>
      </w:tr>
      <w:tr>
        <w:tblPrEx>
          <w:tblCellMar>
            <w:top w:w="0" w:type="dxa"/>
            <w:left w:w="108" w:type="dxa"/>
            <w:bottom w:w="0" w:type="dxa"/>
            <w:right w:w="108" w:type="dxa"/>
          </w:tblCellMar>
        </w:tblPrEx>
        <w:trPr>
          <w:trHeight w:val="472"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监管部门</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新疆维吾尔自治区采购办</w:t>
            </w:r>
          </w:p>
        </w:tc>
      </w:tr>
      <w:tr>
        <w:tblPrEx>
          <w:tblCellMar>
            <w:top w:w="0" w:type="dxa"/>
            <w:left w:w="108" w:type="dxa"/>
            <w:bottom w:w="0" w:type="dxa"/>
            <w:right w:w="108" w:type="dxa"/>
          </w:tblCellMar>
        </w:tblPrEx>
        <w:trPr>
          <w:trHeight w:val="65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5</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项目预算</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最高限价</w:t>
            </w:r>
            <w:r>
              <w:rPr>
                <w:rFonts w:hint="eastAsia" w:ascii="宋体" w:hAnsi="宋体" w:cs="宋体"/>
                <w:bCs/>
                <w:color w:val="auto"/>
                <w:sz w:val="24"/>
                <w:szCs w:val="24"/>
                <w:highlight w:val="none"/>
                <w:lang w:eastAsia="zh-CN"/>
              </w:rPr>
              <w:t>）</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采购预算：5834</w:t>
            </w:r>
            <w:r>
              <w:rPr>
                <w:rFonts w:hint="eastAsia" w:ascii="宋体" w:hAnsi="宋体" w:cs="宋体"/>
                <w:bCs/>
                <w:color w:val="auto"/>
                <w:sz w:val="24"/>
                <w:szCs w:val="24"/>
                <w:highlight w:val="none"/>
                <w:lang w:val="en-US" w:eastAsia="zh-CN"/>
              </w:rPr>
              <w:t>00.00</w:t>
            </w:r>
            <w:r>
              <w:rPr>
                <w:rFonts w:hint="eastAsia" w:ascii="宋体" w:hAnsi="宋体" w:eastAsia="宋体" w:cs="宋体"/>
                <w:bCs/>
                <w:color w:val="auto"/>
                <w:sz w:val="24"/>
                <w:szCs w:val="24"/>
                <w:highlight w:val="none"/>
                <w:lang w:val="en-US" w:eastAsia="zh-CN"/>
              </w:rPr>
              <w:t>元</w:t>
            </w:r>
          </w:p>
          <w:p>
            <w:pPr>
              <w:spacing w:line="240" w:lineRule="auto"/>
              <w:jc w:val="left"/>
              <w:rPr>
                <w:rFonts w:hint="default" w:ascii="宋体" w:hAnsi="宋体" w:cs="宋体"/>
                <w:bCs/>
                <w:color w:val="auto"/>
                <w:sz w:val="24"/>
                <w:szCs w:val="24"/>
                <w:highlight w:val="none"/>
                <w:lang w:val="en-US"/>
              </w:rPr>
            </w:pPr>
            <w:r>
              <w:rPr>
                <w:rFonts w:hint="eastAsia" w:ascii="宋体" w:hAnsi="宋体" w:eastAsia="宋体" w:cs="宋体"/>
                <w:bCs/>
                <w:color w:val="auto"/>
                <w:sz w:val="24"/>
                <w:szCs w:val="24"/>
                <w:highlight w:val="none"/>
                <w:lang w:val="en-US" w:eastAsia="zh-CN"/>
              </w:rPr>
              <w:t>最高限价</w:t>
            </w:r>
            <w:r>
              <w:rPr>
                <w:rFonts w:hint="eastAsia" w:ascii="宋体" w:hAnsi="宋体" w:eastAsia="宋体" w:cs="宋体"/>
                <w:bCs/>
                <w:color w:val="auto"/>
                <w:sz w:val="24"/>
                <w:szCs w:val="24"/>
                <w:highlight w:val="none"/>
                <w:lang w:val="zh-CN" w:eastAsia="zh-CN"/>
              </w:rPr>
              <w:t>：572181.07</w:t>
            </w:r>
            <w:r>
              <w:rPr>
                <w:rFonts w:hint="eastAsia" w:ascii="宋体" w:hAnsi="宋体" w:eastAsia="宋体" w:cs="宋体"/>
                <w:bCs/>
                <w:color w:val="auto"/>
                <w:sz w:val="24"/>
                <w:szCs w:val="24"/>
                <w:highlight w:val="none"/>
                <w:lang w:val="en-US" w:eastAsia="zh-CN"/>
              </w:rPr>
              <w:t>元</w:t>
            </w:r>
          </w:p>
        </w:tc>
      </w:tr>
      <w:tr>
        <w:tblPrEx>
          <w:tblCellMar>
            <w:top w:w="0" w:type="dxa"/>
            <w:left w:w="108" w:type="dxa"/>
            <w:bottom w:w="0" w:type="dxa"/>
            <w:right w:w="108" w:type="dxa"/>
          </w:tblCellMar>
        </w:tblPrEx>
        <w:trPr>
          <w:trHeight w:val="46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6</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资金来源</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财政资金。</w:t>
            </w:r>
          </w:p>
        </w:tc>
      </w:tr>
      <w:tr>
        <w:tblPrEx>
          <w:tblCellMar>
            <w:top w:w="0" w:type="dxa"/>
            <w:left w:w="108" w:type="dxa"/>
            <w:bottom w:w="0" w:type="dxa"/>
            <w:right w:w="108" w:type="dxa"/>
          </w:tblCellMar>
        </w:tblPrEx>
        <w:trPr>
          <w:trHeight w:val="62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7</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供应商资格条件</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1.满足《中华人民共和国政府采购法》第二十二条规定；</w:t>
            </w:r>
          </w:p>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2.落实政府采购政策需满足的资格要求：供应商为中小企业；</w:t>
            </w:r>
          </w:p>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3.本项目的特定资格要求：</w:t>
            </w:r>
          </w:p>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（1）投标人具有需在中华人民共和国境内注册，并具有独立法人资格、有提供相应服务能力的单位（须在人员、设备、资金、技术等方面具备相应的服务能力）。</w:t>
            </w:r>
          </w:p>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（2）应具备须具备建筑工程施工总承包叁级（含）以上资质或具备市政公用工程施工总承包叁级（含）以上资质，且具备有效的安全生产许可证。</w:t>
            </w:r>
          </w:p>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（3）项目负责人资格要求：须具备建筑工程专业或市政公用工程专业，贰级（含）以上注册建造师证书且在本单位注册，具备有效的安全生产考核合格证书。</w:t>
            </w:r>
          </w:p>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pStyle w:val="24"/>
              <w:keepNext w:val="0"/>
              <w:keepLines w:val="0"/>
              <w:widowControl/>
              <w:suppressLineNumbers w:val="0"/>
              <w:spacing w:line="240" w:lineRule="atLeast"/>
              <w:rPr>
                <w:rFonts w:hint="default"/>
                <w:bCs/>
                <w:color w:val="auto"/>
                <w:highlight w:val="none"/>
                <w:lang w:val="en-US" w:eastAsia="zh-CN"/>
              </w:rPr>
            </w:pPr>
            <w:r>
              <w:rPr>
                <w:rFonts w:hint="eastAsia" w:ascii="宋体" w:hAnsi="宋体" w:cs="宋体"/>
                <w:color w:val="auto"/>
                <w:sz w:val="24"/>
                <w:szCs w:val="24"/>
                <w:highlight w:val="none"/>
                <w:lang w:val="en-US" w:eastAsia="zh-CN"/>
              </w:rPr>
              <w:t>（</w:t>
            </w:r>
            <w:r>
              <w:rPr>
                <w:rFonts w:hint="eastAsia" w:cs="宋体"/>
                <w:color w:val="auto"/>
                <w:sz w:val="24"/>
                <w:szCs w:val="24"/>
                <w:highlight w:val="none"/>
                <w:lang w:val="en-US" w:eastAsia="zh-CN"/>
              </w:rPr>
              <w:t>5</w:t>
            </w:r>
            <w:r>
              <w:rPr>
                <w:rFonts w:hint="eastAsia" w:ascii="宋体" w:hAnsi="宋体" w:cs="宋体"/>
                <w:color w:val="auto"/>
                <w:sz w:val="24"/>
                <w:szCs w:val="24"/>
                <w:highlight w:val="none"/>
                <w:lang w:val="en-US" w:eastAsia="zh-CN"/>
              </w:rPr>
              <w:t>）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8</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联合体投标</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sym w:font="Wingdings" w:char="00FE"/>
            </w:r>
            <w:r>
              <w:rPr>
                <w:rFonts w:hint="eastAsia" w:ascii="宋体" w:hAnsi="宋体" w:cs="宋体"/>
                <w:bCs/>
                <w:color w:val="auto"/>
                <w:sz w:val="24"/>
                <w:szCs w:val="24"/>
                <w:highlight w:val="none"/>
              </w:rPr>
              <w:t xml:space="preserve">不接受 </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sym w:font="Wingdings" w:char="00A8"/>
            </w:r>
            <w:r>
              <w:rPr>
                <w:rFonts w:hint="eastAsia" w:ascii="宋体" w:hAnsi="宋体" w:cs="宋体"/>
                <w:bCs/>
                <w:color w:val="auto"/>
                <w:sz w:val="24"/>
                <w:szCs w:val="24"/>
                <w:highlight w:val="none"/>
              </w:rPr>
              <w:t>接受</w:t>
            </w:r>
          </w:p>
          <w:p>
            <w:pPr>
              <w:adjustRightInd w:val="0"/>
              <w:snapToGrid w:val="0"/>
              <w:spacing w:line="240" w:lineRule="auto"/>
              <w:jc w:val="left"/>
              <w:rPr>
                <w:rFonts w:hint="eastAsia" w:ascii="宋体" w:hAnsi="宋体" w:eastAsia="宋体" w:cs="宋体"/>
                <w:color w:val="auto"/>
                <w:highlight w:val="none"/>
                <w:lang w:val="en-US" w:eastAsia="zh-CN"/>
              </w:rPr>
            </w:pPr>
            <w:r>
              <w:rPr>
                <w:rFonts w:hint="eastAsia" w:ascii="宋体" w:hAnsi="宋体" w:cs="宋体"/>
                <w:bCs/>
                <w:color w:val="auto"/>
                <w:sz w:val="24"/>
                <w:szCs w:val="24"/>
                <w:highlight w:val="none"/>
              </w:rPr>
              <w:t>应满足要求：</w:t>
            </w:r>
            <w:r>
              <w:rPr>
                <w:rFonts w:hint="eastAsia" w:ascii="宋体" w:hAnsi="宋体" w:cs="宋体"/>
                <w:bCs/>
                <w:color w:val="auto"/>
                <w:sz w:val="24"/>
                <w:szCs w:val="24"/>
                <w:highlight w:val="none"/>
                <w:lang w:val="en-US" w:eastAsia="zh-CN"/>
              </w:rPr>
              <w:t>/</w:t>
            </w:r>
          </w:p>
        </w:tc>
      </w:tr>
      <w:tr>
        <w:tblPrEx>
          <w:tblCellMar>
            <w:top w:w="0" w:type="dxa"/>
            <w:left w:w="108" w:type="dxa"/>
            <w:bottom w:w="0" w:type="dxa"/>
            <w:right w:w="108" w:type="dxa"/>
          </w:tblCellMar>
        </w:tblPrEx>
        <w:trPr>
          <w:trHeight w:val="65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9</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现场踏勘</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sym w:font="Wingdings" w:char="00FE"/>
            </w:r>
            <w:r>
              <w:rPr>
                <w:rFonts w:hint="eastAsia" w:ascii="宋体" w:hAnsi="宋体" w:cs="宋体"/>
                <w:bCs/>
                <w:color w:val="auto"/>
                <w:sz w:val="24"/>
                <w:szCs w:val="24"/>
                <w:highlight w:val="none"/>
              </w:rPr>
              <w:t>不组织</w:t>
            </w:r>
          </w:p>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sym w:font="Wingdings" w:char="00A8"/>
            </w:r>
            <w:r>
              <w:rPr>
                <w:rFonts w:hint="eastAsia" w:ascii="宋体" w:hAnsi="宋体" w:cs="宋体"/>
                <w:bCs/>
                <w:color w:val="auto"/>
                <w:sz w:val="24"/>
                <w:szCs w:val="24"/>
                <w:highlight w:val="none"/>
              </w:rPr>
              <w:t>组织</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10</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是否允许递交备选投标方案</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eq \o\ac(□,</w:instrText>
            </w:r>
            <w:r>
              <w:rPr>
                <w:rFonts w:hint="eastAsia" w:ascii="宋体" w:hAnsi="宋体" w:cs="宋体"/>
                <w:b/>
                <w:color w:val="auto"/>
                <w:position w:val="2"/>
                <w:sz w:val="16"/>
                <w:szCs w:val="24"/>
                <w:highlight w:val="none"/>
              </w:rPr>
              <w:instrText xml:space="preserve">√</w:instrText>
            </w:r>
            <w:r>
              <w:rPr>
                <w:rFonts w:hint="eastAsia" w:ascii="宋体" w:hAnsi="宋体" w:cs="宋体"/>
                <w:b/>
                <w:color w:val="auto"/>
                <w:sz w:val="24"/>
                <w:szCs w:val="24"/>
                <w:highlight w:val="none"/>
              </w:rPr>
              <w:instrText xml:space="preserve">)</w:instrText>
            </w:r>
            <w:r>
              <w:rPr>
                <w:rFonts w:hint="eastAsia" w:ascii="宋体" w:hAnsi="宋体" w:cs="宋体"/>
                <w:b/>
                <w:color w:val="auto"/>
                <w:sz w:val="24"/>
                <w:szCs w:val="24"/>
                <w:highlight w:val="none"/>
              </w:rPr>
              <w:fldChar w:fldCharType="end"/>
            </w:r>
            <w:r>
              <w:rPr>
                <w:rFonts w:hint="eastAsia" w:ascii="宋体" w:hAnsi="宋体" w:cs="宋体"/>
                <w:bCs/>
                <w:color w:val="auto"/>
                <w:sz w:val="24"/>
                <w:szCs w:val="24"/>
                <w:highlight w:val="none"/>
              </w:rPr>
              <w:t>不允许</w:t>
            </w:r>
          </w:p>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Cs/>
                <w:color w:val="auto"/>
                <w:sz w:val="24"/>
                <w:szCs w:val="24"/>
                <w:highlight w:val="none"/>
              </w:rPr>
              <w:t>允许</w:t>
            </w:r>
          </w:p>
        </w:tc>
      </w:tr>
      <w:tr>
        <w:tblPrEx>
          <w:tblCellMar>
            <w:top w:w="0" w:type="dxa"/>
            <w:left w:w="108" w:type="dxa"/>
            <w:bottom w:w="0" w:type="dxa"/>
            <w:right w:w="108" w:type="dxa"/>
          </w:tblCellMar>
        </w:tblPrEx>
        <w:trPr>
          <w:trHeight w:val="43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11</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响应文件有效期</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提交响应文件的截止之日起90天</w:t>
            </w:r>
          </w:p>
        </w:tc>
      </w:tr>
      <w:tr>
        <w:tblPrEx>
          <w:tblCellMar>
            <w:top w:w="0" w:type="dxa"/>
            <w:left w:w="108" w:type="dxa"/>
            <w:bottom w:w="0" w:type="dxa"/>
            <w:right w:w="108" w:type="dxa"/>
          </w:tblCellMar>
        </w:tblPrEx>
        <w:trPr>
          <w:trHeight w:val="35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12</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评标标准及方法</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eastAsia="宋体"/>
                <w:color w:val="auto"/>
                <w:highlight w:val="none"/>
                <w:lang w:eastAsia="zh-CN"/>
              </w:rPr>
            </w:pPr>
            <w:r>
              <w:rPr>
                <w:rFonts w:hint="eastAsia" w:ascii="宋体" w:hAnsi="宋体" w:cs="宋体"/>
                <w:bCs/>
                <w:color w:val="auto"/>
                <w:sz w:val="24"/>
                <w:szCs w:val="24"/>
                <w:highlight w:val="none"/>
              </w:rPr>
              <w:t>综合评分法</w:t>
            </w:r>
          </w:p>
        </w:tc>
      </w:tr>
      <w:tr>
        <w:tblPrEx>
          <w:tblCellMar>
            <w:top w:w="0" w:type="dxa"/>
            <w:left w:w="108" w:type="dxa"/>
            <w:bottom w:w="0" w:type="dxa"/>
            <w:right w:w="108" w:type="dxa"/>
          </w:tblCellMar>
        </w:tblPrEx>
        <w:trPr>
          <w:trHeight w:val="397"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13</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质量要求</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符合现行国家有关工程施工验收规范和标准的合格要求</w:t>
            </w:r>
          </w:p>
        </w:tc>
      </w:tr>
      <w:tr>
        <w:tblPrEx>
          <w:tblCellMar>
            <w:top w:w="0" w:type="dxa"/>
            <w:left w:w="108" w:type="dxa"/>
            <w:bottom w:w="0" w:type="dxa"/>
            <w:right w:w="108" w:type="dxa"/>
          </w:tblCellMar>
        </w:tblPrEx>
        <w:trPr>
          <w:trHeight w:val="36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付款方式</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具体内容在合同中约定</w:t>
            </w:r>
            <w:r>
              <w:rPr>
                <w:rFonts w:hint="eastAsia" w:ascii="宋体" w:hAnsi="宋体" w:eastAsia="宋体" w:cs="宋体"/>
                <w:bCs/>
                <w:color w:val="auto"/>
                <w:sz w:val="24"/>
                <w:szCs w:val="24"/>
                <w:highlight w:val="none"/>
              </w:rPr>
              <w:t>。</w:t>
            </w:r>
          </w:p>
        </w:tc>
      </w:tr>
      <w:tr>
        <w:tblPrEx>
          <w:tblCellMar>
            <w:top w:w="0" w:type="dxa"/>
            <w:left w:w="108" w:type="dxa"/>
            <w:bottom w:w="0" w:type="dxa"/>
            <w:right w:w="108" w:type="dxa"/>
          </w:tblCellMar>
        </w:tblPrEx>
        <w:trPr>
          <w:trHeight w:val="35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15</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项目地点</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乌鲁木齐市</w:t>
            </w:r>
            <w:r>
              <w:rPr>
                <w:rFonts w:hint="eastAsia" w:ascii="宋体" w:hAnsi="宋体" w:cs="宋体"/>
                <w:bCs/>
                <w:color w:val="auto"/>
                <w:sz w:val="24"/>
                <w:szCs w:val="24"/>
                <w:highlight w:val="none"/>
                <w:lang w:val="en-US" w:eastAsia="zh-CN"/>
              </w:rPr>
              <w:t>团结路小区</w:t>
            </w:r>
          </w:p>
        </w:tc>
      </w:tr>
      <w:tr>
        <w:tblPrEx>
          <w:tblCellMar>
            <w:top w:w="0" w:type="dxa"/>
            <w:left w:w="108" w:type="dxa"/>
            <w:bottom w:w="0" w:type="dxa"/>
            <w:right w:w="108" w:type="dxa"/>
          </w:tblCellMar>
        </w:tblPrEx>
        <w:trPr>
          <w:trHeight w:val="419"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16</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合同履约期限（</w:t>
            </w:r>
            <w:r>
              <w:rPr>
                <w:rFonts w:hint="eastAsia" w:ascii="宋体" w:hAnsi="宋体" w:cs="宋体"/>
                <w:bCs/>
                <w:color w:val="auto"/>
                <w:sz w:val="24"/>
                <w:szCs w:val="24"/>
                <w:highlight w:val="none"/>
                <w:lang w:val="en-US" w:eastAsia="zh-CN"/>
              </w:rPr>
              <w:t>工期</w:t>
            </w:r>
            <w:r>
              <w:rPr>
                <w:rFonts w:hint="eastAsia" w:ascii="宋体" w:hAnsi="宋体" w:cs="宋体"/>
                <w:bCs/>
                <w:color w:val="auto"/>
                <w:sz w:val="24"/>
                <w:szCs w:val="24"/>
                <w:highlight w:val="none"/>
                <w:lang w:eastAsia="zh-CN"/>
              </w:rPr>
              <w:t>）</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30</w:t>
            </w:r>
            <w:r>
              <w:rPr>
                <w:rFonts w:hint="eastAsia" w:ascii="宋体" w:hAnsi="宋体" w:eastAsia="宋体" w:cs="宋体"/>
                <w:bCs/>
                <w:color w:val="auto"/>
                <w:sz w:val="24"/>
                <w:szCs w:val="24"/>
                <w:highlight w:val="none"/>
                <w:lang w:val="en-US" w:eastAsia="zh-CN"/>
              </w:rPr>
              <w:t>天</w:t>
            </w:r>
          </w:p>
        </w:tc>
      </w:tr>
      <w:tr>
        <w:tblPrEx>
          <w:tblCellMar>
            <w:top w:w="0" w:type="dxa"/>
            <w:left w:w="108" w:type="dxa"/>
            <w:bottom w:w="0" w:type="dxa"/>
            <w:right w:w="108" w:type="dxa"/>
          </w:tblCellMar>
        </w:tblPrEx>
        <w:trPr>
          <w:trHeight w:val="15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17</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质量保修期</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二</w:t>
            </w:r>
            <w:r>
              <w:rPr>
                <w:rFonts w:hint="eastAsia" w:ascii="宋体" w:hAnsi="宋体" w:cs="宋体"/>
                <w:bCs/>
                <w:color w:val="auto"/>
                <w:sz w:val="24"/>
                <w:szCs w:val="24"/>
                <w:highlight w:val="none"/>
              </w:rPr>
              <w:t>年</w:t>
            </w:r>
          </w:p>
        </w:tc>
      </w:tr>
      <w:tr>
        <w:tblPrEx>
          <w:tblCellMar>
            <w:top w:w="0" w:type="dxa"/>
            <w:left w:w="108" w:type="dxa"/>
            <w:bottom w:w="0" w:type="dxa"/>
            <w:right w:w="108" w:type="dxa"/>
          </w:tblCellMar>
        </w:tblPrEx>
        <w:trPr>
          <w:trHeight w:val="39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18</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投标报价</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投标报价包括采购范围内所有项目包含的全部费用。</w:t>
            </w:r>
          </w:p>
        </w:tc>
      </w:tr>
      <w:tr>
        <w:tblPrEx>
          <w:tblCellMar>
            <w:top w:w="0" w:type="dxa"/>
            <w:left w:w="108" w:type="dxa"/>
            <w:bottom w:w="0" w:type="dxa"/>
            <w:right w:w="108" w:type="dxa"/>
          </w:tblCellMar>
        </w:tblPrEx>
        <w:trPr>
          <w:trHeight w:val="59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tabs>
                <w:tab w:val="left" w:pos="215"/>
              </w:tabs>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19</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履约保证金</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tabs>
                <w:tab w:val="left" w:pos="215"/>
              </w:tabs>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20</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质量保证金</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w:t>
            </w:r>
          </w:p>
        </w:tc>
      </w:tr>
      <w:tr>
        <w:tblPrEx>
          <w:tblCellMar>
            <w:top w:w="0" w:type="dxa"/>
            <w:left w:w="108" w:type="dxa"/>
            <w:bottom w:w="0" w:type="dxa"/>
            <w:right w:w="108" w:type="dxa"/>
          </w:tblCellMar>
        </w:tblPrEx>
        <w:trPr>
          <w:trHeight w:val="319"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21</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磋商小组的组建及评审专家的确定方式</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pStyle w:val="24"/>
              <w:spacing w:before="75" w:after="75"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采购单位依法组建磋商小组</w:t>
            </w:r>
            <w:r>
              <w:rPr>
                <w:rFonts w:hint="eastAsia" w:ascii="宋体" w:hAnsi="宋体" w:eastAsia="宋体" w:cs="宋体"/>
                <w:color w:val="auto"/>
                <w:highlight w:val="none"/>
                <w:lang w:val="en-US" w:eastAsia="zh-CN"/>
              </w:rPr>
              <w:t>至少</w:t>
            </w:r>
            <w:r>
              <w:rPr>
                <w:rFonts w:hint="eastAsia" w:ascii="宋体" w:hAnsi="宋体" w:eastAsia="宋体" w:cs="宋体"/>
                <w:color w:val="auto"/>
                <w:highlight w:val="none"/>
              </w:rPr>
              <w:t>3人</w:t>
            </w:r>
            <w:r>
              <w:rPr>
                <w:rFonts w:hint="eastAsia" w:ascii="宋体" w:hAnsi="宋体" w:eastAsia="宋体" w:cs="宋体"/>
                <w:color w:val="auto"/>
                <w:highlight w:val="none"/>
                <w:lang w:val="en-US" w:eastAsia="zh-CN"/>
              </w:rPr>
              <w:t>以上</w:t>
            </w:r>
            <w:r>
              <w:rPr>
                <w:rFonts w:hint="eastAsia" w:ascii="宋体" w:hAnsi="宋体" w:eastAsia="宋体" w:cs="宋体"/>
                <w:color w:val="auto"/>
                <w:highlight w:val="none"/>
              </w:rPr>
              <w:t>组成。</w:t>
            </w:r>
          </w:p>
          <w:p>
            <w:pPr>
              <w:pStyle w:val="24"/>
              <w:spacing w:before="75" w:after="75"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小组确定方式：</w:t>
            </w:r>
            <w:r>
              <w:rPr>
                <w:rFonts w:hint="eastAsia" w:ascii="宋体" w:hAnsi="宋体" w:eastAsia="宋体" w:cs="宋体"/>
                <w:bCs/>
                <w:color w:val="auto"/>
                <w:sz w:val="24"/>
                <w:szCs w:val="24"/>
                <w:highlight w:val="none"/>
                <w:lang w:val="en-US" w:eastAsia="zh-CN"/>
              </w:rPr>
              <w:t>新疆政府采购网</w:t>
            </w:r>
            <w:r>
              <w:rPr>
                <w:rFonts w:hint="eastAsia" w:ascii="宋体" w:hAnsi="宋体" w:eastAsia="宋体" w:cs="宋体"/>
                <w:color w:val="auto"/>
                <w:highlight w:val="none"/>
                <w:lang w:val="en-US" w:eastAsia="zh-CN"/>
              </w:rPr>
              <w:t>专家库中随机</w:t>
            </w:r>
            <w:r>
              <w:rPr>
                <w:rFonts w:hint="eastAsia" w:ascii="宋体" w:hAnsi="宋体" w:eastAsia="宋体" w:cs="宋体"/>
                <w:color w:val="auto"/>
                <w:highlight w:val="none"/>
              </w:rPr>
              <w:t>抽取</w:t>
            </w:r>
          </w:p>
          <w:p>
            <w:pPr>
              <w:pStyle w:val="24"/>
              <w:spacing w:before="75" w:after="75"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eastAsia="zh-CN"/>
              </w:rPr>
              <w:sym w:font="Wingdings 2" w:char="0052"/>
            </w:r>
            <w:r>
              <w:rPr>
                <w:rFonts w:hint="eastAsia" w:ascii="宋体" w:hAnsi="宋体" w:eastAsia="宋体" w:cs="宋体"/>
                <w:color w:val="auto"/>
                <w:highlight w:val="none"/>
              </w:rPr>
              <w:t>计算机随机抽取语音通知方式</w:t>
            </w:r>
          </w:p>
          <w:p>
            <w:pPr>
              <w:pStyle w:val="24"/>
              <w:spacing w:before="75" w:after="75" w:line="240" w:lineRule="auto"/>
              <w:ind w:left="0" w:leftChars="0" w:firstLine="0" w:firstLineChars="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highlight w:val="none"/>
              </w:rPr>
              <w:sym w:font="Wingdings 2" w:char="00A3"/>
            </w:r>
            <w:r>
              <w:rPr>
                <w:rFonts w:hint="eastAsia" w:ascii="宋体" w:hAnsi="宋体" w:eastAsia="宋体" w:cs="宋体"/>
                <w:color w:val="auto"/>
                <w:highlight w:val="none"/>
              </w:rPr>
              <w:t>其他方式：</w:t>
            </w:r>
          </w:p>
        </w:tc>
      </w:tr>
      <w:tr>
        <w:tblPrEx>
          <w:tblCellMar>
            <w:top w:w="0" w:type="dxa"/>
            <w:left w:w="108" w:type="dxa"/>
            <w:bottom w:w="0" w:type="dxa"/>
            <w:right w:w="108" w:type="dxa"/>
          </w:tblCellMar>
        </w:tblPrEx>
        <w:trPr>
          <w:trHeight w:val="144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22</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pStyle w:val="38"/>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rPr>
              <w:t>投标保证金</w:t>
            </w:r>
          </w:p>
        </w:tc>
        <w:tc>
          <w:tcPr>
            <w:tcW w:w="67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cs="宋体"/>
                <w:bCs/>
                <w:color w:val="auto"/>
                <w:sz w:val="24"/>
                <w:highlight w:val="none"/>
                <w:lang w:bidi="ar"/>
              </w:rPr>
            </w:pPr>
            <w:r>
              <w:rPr>
                <w:rFonts w:hint="eastAsia" w:ascii="宋体" w:hAnsi="宋体" w:cs="宋体"/>
                <w:bCs/>
                <w:color w:val="auto"/>
                <w:sz w:val="24"/>
                <w:highlight w:val="none"/>
                <w:lang w:bidi="ar"/>
              </w:rPr>
              <w:t>一、投标保证金：</w:t>
            </w:r>
            <w:r>
              <w:rPr>
                <w:rFonts w:hint="eastAsia" w:ascii="宋体" w:hAnsi="宋体" w:cs="宋体"/>
                <w:bCs/>
                <w:color w:val="auto"/>
                <w:sz w:val="24"/>
                <w:highlight w:val="none"/>
                <w:lang w:val="en-US" w:eastAsia="zh-CN" w:bidi="ar"/>
              </w:rPr>
              <w:t>8</w:t>
            </w:r>
            <w:r>
              <w:rPr>
                <w:rFonts w:hint="eastAsia"/>
                <w:bCs/>
                <w:color w:val="auto"/>
                <w:sz w:val="24"/>
                <w:highlight w:val="none"/>
              </w:rPr>
              <w:t>000元；大写：</w:t>
            </w:r>
            <w:r>
              <w:rPr>
                <w:rFonts w:hint="eastAsia"/>
                <w:bCs/>
                <w:color w:val="auto"/>
                <w:sz w:val="24"/>
                <w:highlight w:val="none"/>
                <w:lang w:val="en-US" w:eastAsia="zh-CN"/>
              </w:rPr>
              <w:t>捌仟</w:t>
            </w:r>
            <w:r>
              <w:rPr>
                <w:rFonts w:hint="eastAsia"/>
                <w:bCs/>
                <w:color w:val="auto"/>
                <w:sz w:val="24"/>
                <w:highlight w:val="none"/>
              </w:rPr>
              <w:t>元整。</w:t>
            </w:r>
          </w:p>
          <w:p>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lang w:bidi="ar"/>
              </w:rPr>
              <w:t>二、投标保证金应当以转账的形式由投标人汇出，并汇入指定帐户；</w:t>
            </w:r>
          </w:p>
          <w:p>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lang w:bidi="ar"/>
              </w:rPr>
              <w:t>开户银行及账号如下：</w:t>
            </w:r>
          </w:p>
          <w:p>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lang w:bidi="ar"/>
              </w:rPr>
              <w:t>账户名：</w:t>
            </w:r>
            <w:r>
              <w:rPr>
                <w:rFonts w:hint="eastAsia" w:ascii="宋体" w:hAnsi="宋体" w:cs="宋体"/>
                <w:color w:val="auto"/>
                <w:spacing w:val="-1"/>
                <w:sz w:val="24"/>
                <w:highlight w:val="none"/>
                <w:lang w:val="zh-CN"/>
              </w:rPr>
              <w:t>新疆谱诚项目管理咨询有限公司</w:t>
            </w:r>
          </w:p>
          <w:p>
            <w:pPr>
              <w:adjustRightInd w:val="0"/>
              <w:snapToGrid w:val="0"/>
              <w:spacing w:line="360" w:lineRule="auto"/>
              <w:rPr>
                <w:rFonts w:hint="eastAsia" w:ascii="宋体" w:hAnsi="宋体" w:cs="宋体"/>
                <w:color w:val="auto"/>
                <w:spacing w:val="-1"/>
                <w:sz w:val="24"/>
                <w:highlight w:val="none"/>
              </w:rPr>
            </w:pPr>
            <w:r>
              <w:rPr>
                <w:rFonts w:hint="eastAsia" w:ascii="宋体" w:hAnsi="宋体" w:cs="宋体"/>
                <w:bCs/>
                <w:color w:val="auto"/>
                <w:sz w:val="24"/>
                <w:highlight w:val="none"/>
                <w:lang w:bidi="ar"/>
              </w:rPr>
              <w:t>开户行：</w:t>
            </w:r>
            <w:r>
              <w:rPr>
                <w:rFonts w:hint="eastAsia" w:ascii="宋体" w:hAnsi="宋体" w:cs="宋体"/>
                <w:color w:val="auto"/>
                <w:spacing w:val="-1"/>
                <w:sz w:val="24"/>
                <w:highlight w:val="none"/>
              </w:rPr>
              <w:t>乌鲁木齐银行营业部</w:t>
            </w:r>
          </w:p>
          <w:p>
            <w:pPr>
              <w:adjustRightInd w:val="0"/>
              <w:snapToGrid w:val="0"/>
              <w:spacing w:line="360" w:lineRule="auto"/>
              <w:rPr>
                <w:rFonts w:hint="eastAsia" w:ascii="宋体" w:hAnsi="宋体" w:cs="宋体"/>
                <w:color w:val="auto"/>
                <w:spacing w:val="-1"/>
                <w:sz w:val="24"/>
                <w:highlight w:val="none"/>
                <w:lang w:val="zh-CN"/>
              </w:rPr>
            </w:pPr>
            <w:r>
              <w:rPr>
                <w:rFonts w:hint="eastAsia" w:ascii="宋体" w:hAnsi="宋体" w:cs="宋体"/>
                <w:bCs/>
                <w:color w:val="auto"/>
                <w:sz w:val="24"/>
                <w:highlight w:val="none"/>
                <w:lang w:bidi="ar"/>
              </w:rPr>
              <w:t>账  号：</w:t>
            </w:r>
            <w:r>
              <w:rPr>
                <w:rFonts w:hint="eastAsia" w:ascii="宋体" w:hAnsi="宋体" w:cs="宋体"/>
                <w:color w:val="auto"/>
                <w:spacing w:val="-1"/>
                <w:sz w:val="24"/>
                <w:highlight w:val="none"/>
                <w:lang w:val="zh-CN"/>
              </w:rPr>
              <w:t>0000020080110046604455</w:t>
            </w:r>
          </w:p>
          <w:p>
            <w:pPr>
              <w:adjustRightInd w:val="0"/>
              <w:snapToGrid w:val="0"/>
              <w:spacing w:line="360" w:lineRule="auto"/>
              <w:rPr>
                <w:rFonts w:hint="eastAsia" w:ascii="宋体" w:hAnsi="宋体" w:cs="宋体"/>
                <w:color w:val="auto"/>
                <w:spacing w:val="-1"/>
                <w:sz w:val="24"/>
                <w:highlight w:val="none"/>
                <w:lang w:val="zh-CN"/>
              </w:rPr>
            </w:pPr>
            <w:r>
              <w:rPr>
                <w:rFonts w:hint="eastAsia" w:ascii="宋体" w:hAnsi="宋体" w:cs="宋体"/>
                <w:color w:val="auto"/>
                <w:spacing w:val="-1"/>
                <w:sz w:val="24"/>
                <w:highlight w:val="none"/>
                <w:lang w:val="zh-CN"/>
              </w:rPr>
              <w:t>行号：313881000019 </w:t>
            </w:r>
          </w:p>
          <w:p>
            <w:pPr>
              <w:adjustRightInd w:val="0"/>
              <w:snapToGrid w:val="0"/>
              <w:spacing w:line="360" w:lineRule="auto"/>
              <w:rPr>
                <w:rFonts w:ascii="宋体" w:hAnsi="宋体" w:cs="宋体"/>
                <w:bCs/>
                <w:color w:val="auto"/>
                <w:sz w:val="24"/>
                <w:highlight w:val="none"/>
                <w:lang w:bidi="ar"/>
              </w:rPr>
            </w:pPr>
            <w:r>
              <w:rPr>
                <w:rFonts w:hint="eastAsia" w:ascii="宋体" w:hAnsi="宋体" w:cs="宋体"/>
                <w:bCs/>
                <w:color w:val="auto"/>
                <w:sz w:val="24"/>
                <w:highlight w:val="none"/>
                <w:lang w:bidi="ar"/>
              </w:rPr>
              <w:t>备注：项目简称或项目编号</w:t>
            </w:r>
          </w:p>
          <w:p>
            <w:pPr>
              <w:adjustRightInd w:val="0"/>
              <w:snapToGrid w:val="0"/>
              <w:spacing w:line="360" w:lineRule="auto"/>
              <w:rPr>
                <w:rFonts w:hint="eastAsia" w:ascii="宋体" w:hAnsi="宋体" w:cs="宋体"/>
                <w:bCs/>
                <w:color w:val="auto"/>
                <w:sz w:val="24"/>
                <w:highlight w:val="none"/>
                <w:u w:val="single"/>
              </w:rPr>
            </w:pPr>
            <w:r>
              <w:rPr>
                <w:rFonts w:hint="eastAsia" w:ascii="宋体" w:hAnsi="宋体" w:cs="宋体"/>
                <w:bCs/>
                <w:color w:val="auto"/>
                <w:sz w:val="24"/>
                <w:highlight w:val="none"/>
                <w:lang w:bidi="ar"/>
              </w:rPr>
              <w:t>到账截止时间：</w:t>
            </w:r>
            <w:r>
              <w:rPr>
                <w:rFonts w:hint="eastAsia" w:ascii="宋体" w:hAnsi="宋体" w:cs="宋体"/>
                <w:b/>
                <w:bCs w:val="0"/>
                <w:color w:val="auto"/>
                <w:kern w:val="1"/>
                <w:sz w:val="24"/>
                <w:szCs w:val="22"/>
                <w:highlight w:val="none"/>
                <w:lang w:val="en-US" w:eastAsia="zh-CN"/>
              </w:rPr>
              <w:t>投标截止时间前</w:t>
            </w:r>
            <w:r>
              <w:rPr>
                <w:rFonts w:hint="eastAsia" w:ascii="宋体" w:hAnsi="宋体" w:cs="宋体"/>
                <w:b/>
                <w:bCs w:val="0"/>
                <w:color w:val="auto"/>
                <w:kern w:val="1"/>
                <w:sz w:val="24"/>
                <w:szCs w:val="22"/>
                <w:highlight w:val="none"/>
              </w:rPr>
              <w:t>(北京时间)</w:t>
            </w:r>
            <w:r>
              <w:rPr>
                <w:rFonts w:hint="eastAsia" w:ascii="宋体" w:hAnsi="宋体" w:cs="宋体"/>
                <w:b w:val="0"/>
                <w:bCs/>
                <w:color w:val="auto"/>
                <w:sz w:val="24"/>
                <w:highlight w:val="none"/>
                <w:lang w:bidi="ar"/>
              </w:rPr>
              <w:t>（汇款时务必注明项目名称</w:t>
            </w:r>
            <w:r>
              <w:rPr>
                <w:rFonts w:hint="eastAsia" w:ascii="宋体" w:hAnsi="宋体" w:cs="宋体"/>
                <w:bCs/>
                <w:color w:val="auto"/>
                <w:sz w:val="24"/>
                <w:highlight w:val="none"/>
                <w:lang w:bidi="ar"/>
              </w:rPr>
              <w:t>，保证金在开标前打入指定账户。</w:t>
            </w:r>
          </w:p>
          <w:p>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lang w:bidi="ar"/>
              </w:rPr>
              <w:t>三、投标保证金还可以采用支票、汇票、本票或保函等形式递交。递交联系人：李金航；联系电话：0991-8828891。投标人应充分考虑票据转存时间、到账时间，否决后果自负。保函应由金融机构或担保机构出具。</w:t>
            </w:r>
            <w:r>
              <w:rPr>
                <w:rFonts w:hint="eastAsia" w:ascii="宋体" w:hAnsi="宋体" w:cs="宋体"/>
                <w:b/>
                <w:color w:val="auto"/>
                <w:sz w:val="24"/>
                <w:highlight w:val="none"/>
              </w:rPr>
              <w:t>如采用保函递交，保函原件需在截止时间前递交至招标代理公司，由采购代理公司联系人签收，未递交原件按否决投标处理。</w:t>
            </w:r>
          </w:p>
          <w:p>
            <w:pPr>
              <w:pStyle w:val="24"/>
              <w:spacing w:before="75" w:after="75" w:line="240" w:lineRule="auto"/>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b/>
                <w:color w:val="auto"/>
                <w:sz w:val="24"/>
                <w:szCs w:val="24"/>
                <w:highlight w:val="none"/>
              </w:rPr>
              <w:t>四、投标文件中须附投标保证金交纳凭证扫描件或保函扫描件，否则视为未按要求提交投标保证金。</w:t>
            </w:r>
          </w:p>
        </w:tc>
      </w:tr>
      <w:tr>
        <w:tblPrEx>
          <w:tblCellMar>
            <w:top w:w="0" w:type="dxa"/>
            <w:left w:w="108" w:type="dxa"/>
            <w:bottom w:w="0" w:type="dxa"/>
            <w:right w:w="108" w:type="dxa"/>
          </w:tblCellMar>
        </w:tblPrEx>
        <w:trPr>
          <w:trHeight w:val="102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23</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竞争性磋商文件领取</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线上获取采购文件</w:t>
            </w:r>
          </w:p>
        </w:tc>
      </w:tr>
      <w:tr>
        <w:tblPrEx>
          <w:tblCellMar>
            <w:top w:w="0" w:type="dxa"/>
            <w:left w:w="108" w:type="dxa"/>
            <w:bottom w:w="0" w:type="dxa"/>
            <w:right w:w="108" w:type="dxa"/>
          </w:tblCellMar>
        </w:tblPrEx>
        <w:trPr>
          <w:trHeight w:val="664"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是否允许递交备选投标方案</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√不允许</w:t>
            </w:r>
          </w:p>
          <w:p>
            <w:pPr>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□允许</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25</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签字和（或）盖章要求</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企业公章、法人章</w:t>
            </w:r>
            <w:r>
              <w:rPr>
                <w:rFonts w:hint="eastAsia" w:ascii="宋体" w:hAnsi="宋体" w:cs="宋体"/>
                <w:bCs/>
                <w:color w:val="auto"/>
                <w:sz w:val="24"/>
                <w:szCs w:val="24"/>
                <w:highlight w:val="none"/>
                <w:lang w:val="en-US" w:eastAsia="zh-CN"/>
              </w:rPr>
              <w:t>及</w:t>
            </w:r>
            <w:r>
              <w:rPr>
                <w:rFonts w:hint="eastAsia" w:ascii="宋体" w:hAnsi="宋体" w:cs="宋体"/>
                <w:bCs/>
                <w:color w:val="auto"/>
                <w:sz w:val="24"/>
                <w:szCs w:val="24"/>
                <w:highlight w:val="none"/>
              </w:rPr>
              <w:t>企业法定代表人或其委托代理人签字</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26</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 w:val="0"/>
                <w:bCs/>
                <w:i w:val="0"/>
                <w:caps w:val="0"/>
                <w:color w:val="auto"/>
                <w:spacing w:val="0"/>
                <w:w w:val="100"/>
                <w:sz w:val="24"/>
                <w:szCs w:val="24"/>
                <w:highlight w:val="none"/>
                <w:lang w:eastAsia="zh-CN"/>
              </w:rPr>
              <w:t>投标文件</w:t>
            </w:r>
            <w:r>
              <w:rPr>
                <w:rFonts w:hint="eastAsia" w:ascii="宋体" w:hAnsi="宋体" w:eastAsia="宋体" w:cs="宋体"/>
                <w:b w:val="0"/>
                <w:i w:val="0"/>
                <w:caps w:val="0"/>
                <w:color w:val="auto"/>
                <w:spacing w:val="0"/>
                <w:w w:val="100"/>
                <w:sz w:val="24"/>
                <w:szCs w:val="24"/>
                <w:highlight w:val="none"/>
              </w:rPr>
              <w:t>份数</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采用不见面开标：</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1．本项目采用不见面开标、投标人需要递交电子投标文件，加密的电子投标文件（文件格式为.jmbs），在投标截止时间前通过政采云平台上传到指定位置。无需递交纸质文件。</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2.本项目采用远程不见面交易的模式。开标当日，投标人无需到达开标现场，仅需在任意地点通过政采云平台完成投标截止时间前签到、开标过程中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解密时长：30分钟。</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3. 参与“不见面”开标的招标人或其委托代理机构、投标人等各交易主体，应当按照规定使用CA数字证书及电子签章。各方主体在系统中所有操作均具有法律效力，并承担法律责任。</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4.投标人（供应商）由于数字证书遗失、损坏、更换、续期等情况导致投标文件无法解密，由投标人（供应商）自行承担责任。</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5.各投标人（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pPr>
              <w:adjustRightInd w:val="0"/>
              <w:snapToGrid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6.开标、评标过程中，投标人（供应商）参与远程音视频交互（以下简称“交互”）的法人代表或授权委托人应始终为同一人，中途不得更换，并保持签到的通讯畅通。投标人端口操作人员均被视为投标人法人代表或授权委托人，投标人自行承担随意更换人员所导致的一切后果。</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27</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评标标准及方法</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综合评分法（本项目采用竞争性磋商方式招标）</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28</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是否退还投标文件</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color w:val="auto"/>
                <w:highlight w:val="none"/>
              </w:rPr>
            </w:pPr>
            <w:r>
              <w:rPr>
                <w:rFonts w:hint="default" w:ascii="Arial" w:hAnsi="Arial" w:cs="Arial"/>
                <w:color w:val="auto"/>
                <w:highlight w:val="none"/>
              </w:rPr>
              <w:sym w:font="Wingdings" w:char="00FE"/>
            </w:r>
            <w:r>
              <w:rPr>
                <w:rFonts w:hint="eastAsia"/>
                <w:color w:val="auto"/>
                <w:highlight w:val="none"/>
              </w:rPr>
              <w:t>否</w:t>
            </w:r>
          </w:p>
          <w:p>
            <w:pPr>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□是</w:t>
            </w:r>
          </w:p>
        </w:tc>
      </w:tr>
      <w:tr>
        <w:tblPrEx>
          <w:tblCellMar>
            <w:top w:w="0" w:type="dxa"/>
            <w:left w:w="108" w:type="dxa"/>
            <w:bottom w:w="0" w:type="dxa"/>
            <w:right w:w="108" w:type="dxa"/>
          </w:tblCellMar>
        </w:tblPrEx>
        <w:trPr>
          <w:trHeight w:val="694"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29</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知识产权</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投标人须保证，采购人在中华人民共和国境内使用投标设施设备、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pPr>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color w:val="auto"/>
                <w:sz w:val="24"/>
                <w:szCs w:val="24"/>
                <w:highlight w:val="none"/>
              </w:rPr>
              <w:t>2投标人如欲在项目实施过程中采用自有知识成果，须在投标文件中声明，并提供相关知识产权证明文件。使用该知识成果后，投标人须提供开发接口和开发手册等技术文档。</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代理服务费</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交纳时间：</w:t>
            </w:r>
            <w:bookmarkStart w:id="12" w:name="EB80018a400e2944cca35737b83cee6afa"/>
            <w:bookmarkEnd w:id="12"/>
            <w:r>
              <w:rPr>
                <w:rFonts w:hint="eastAsia" w:ascii="宋体" w:hAnsi="宋体" w:eastAsia="宋体" w:cs="宋体"/>
                <w:bCs/>
                <w:color w:val="auto"/>
                <w:kern w:val="2"/>
                <w:sz w:val="24"/>
                <w:szCs w:val="24"/>
                <w:highlight w:val="none"/>
                <w:lang w:val="en-US" w:eastAsia="zh-CN" w:bidi="ar-SA"/>
              </w:rPr>
              <w:t>在《中标通知书》核发前，向采购代理机构支付采购代理服务费</w:t>
            </w:r>
          </w:p>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交纳金额：</w:t>
            </w:r>
            <w:bookmarkStart w:id="13" w:name="EB08acd175b39d48b299ea518ca053ce1b"/>
            <w:bookmarkEnd w:id="13"/>
            <w:r>
              <w:rPr>
                <w:rFonts w:hint="eastAsia" w:ascii="宋体" w:hAnsi="宋体" w:eastAsia="宋体" w:cs="宋体"/>
                <w:bCs/>
                <w:color w:val="auto"/>
                <w:kern w:val="2"/>
                <w:sz w:val="24"/>
                <w:szCs w:val="24"/>
                <w:highlight w:val="none"/>
                <w:lang w:val="en-US" w:eastAsia="zh-CN" w:bidi="ar-SA"/>
              </w:rPr>
              <w:t>以项目中标金额为基准，参照国家计委计价格[2002]1980 号、发改办价格[2003]857 号、[2011]534 号文标准收取，由中标人支付。</w:t>
            </w:r>
          </w:p>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收款单位：</w:t>
            </w:r>
            <w:bookmarkStart w:id="14" w:name="EB874e4b65a4d942b5992c5c911d409bea"/>
            <w:bookmarkEnd w:id="14"/>
            <w:r>
              <w:rPr>
                <w:rFonts w:hint="eastAsia" w:ascii="宋体" w:hAnsi="宋体" w:eastAsia="宋体" w:cs="宋体"/>
                <w:bCs/>
                <w:color w:val="auto"/>
                <w:kern w:val="2"/>
                <w:sz w:val="24"/>
                <w:szCs w:val="24"/>
                <w:highlight w:val="none"/>
                <w:lang w:val="en-US" w:eastAsia="zh-CN" w:bidi="ar-SA"/>
              </w:rPr>
              <w:t xml:space="preserve">新疆谱诚项目管理咨询有限公司 </w:t>
            </w:r>
          </w:p>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开户银行：</w:t>
            </w:r>
            <w:bookmarkStart w:id="15" w:name="EB2f8920637a254a8486c629fbd96d5257"/>
            <w:bookmarkEnd w:id="15"/>
            <w:r>
              <w:rPr>
                <w:rFonts w:hint="eastAsia" w:ascii="宋体" w:hAnsi="宋体" w:eastAsia="宋体" w:cs="宋体"/>
                <w:bCs/>
                <w:color w:val="auto"/>
                <w:kern w:val="2"/>
                <w:sz w:val="24"/>
                <w:szCs w:val="24"/>
                <w:highlight w:val="none"/>
                <w:lang w:val="en-US" w:eastAsia="zh-CN" w:bidi="ar-SA"/>
              </w:rPr>
              <w:t>乌鲁木齐银行营业部</w:t>
            </w:r>
          </w:p>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账号：0000020080110046604455</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行号：313881000019 </w:t>
            </w:r>
          </w:p>
        </w:tc>
      </w:tr>
      <w:tr>
        <w:tblPrEx>
          <w:tblCellMar>
            <w:top w:w="0" w:type="dxa"/>
            <w:left w:w="108" w:type="dxa"/>
            <w:bottom w:w="0" w:type="dxa"/>
            <w:right w:w="108" w:type="dxa"/>
          </w:tblCellMar>
        </w:tblPrEx>
        <w:trPr>
          <w:trHeight w:val="161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pStyle w:val="39"/>
              <w:adjustRightInd w:val="0"/>
              <w:snapToGrid w:val="0"/>
              <w:spacing w:before="120" w:beforeLines="50" w:line="240" w:lineRule="auto"/>
              <w:jc w:val="center"/>
              <w:rPr>
                <w:rFonts w:hint="eastAsia" w:ascii="宋体" w:hAnsi="宋体" w:eastAsia="宋体" w:cs="宋体"/>
                <w:bCs/>
                <w:color w:val="auto"/>
                <w:sz w:val="24"/>
                <w:highlight w:val="none"/>
                <w:lang w:val="en-US"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1</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中小微型等企业</w:t>
            </w:r>
          </w:p>
          <w:p>
            <w:pPr>
              <w:adjustRightInd w:val="0"/>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有关政策</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1）按照《财政部工业和信息化部关于印发&lt;政府采购促进中小企业发展暂行办法&gt;的通知》（财库〔2020〕46号）的规定，落实促进中小企业发展政策；（2）按照《财政部、司法部关于政府采购支持监狱企业发展有关问题的通知》（财库〔2014〕68号）的规定，落实支持监狱企业发展政策；（3）按照《三部门联合发布关于促进残疾人就业政府采购政策的通知》（财库〔2017〕141号）的规定，落实支持残疾人福利性单位发展政策。（4）《关于调整优化节能产品、环境标志产品政府采购执行机制的通知》（财库[2019]9号）的规定。</w:t>
            </w:r>
          </w:p>
        </w:tc>
      </w:tr>
      <w:tr>
        <w:tblPrEx>
          <w:tblCellMar>
            <w:top w:w="0" w:type="dxa"/>
            <w:left w:w="108" w:type="dxa"/>
            <w:bottom w:w="0" w:type="dxa"/>
            <w:right w:w="108" w:type="dxa"/>
          </w:tblCellMar>
        </w:tblPrEx>
        <w:trPr>
          <w:trHeight w:val="67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pStyle w:val="39"/>
              <w:adjustRightInd w:val="0"/>
              <w:snapToGrid w:val="0"/>
              <w:spacing w:before="120" w:beforeLines="50" w:line="24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32</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解释权</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p>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cs="宋体"/>
                <w:b/>
                <w:color w:val="auto"/>
                <w:sz w:val="24"/>
                <w:szCs w:val="24"/>
                <w:highlight w:val="none"/>
              </w:rPr>
              <w:t>如对招标文件有疑惑，请联系代理机构。</w:t>
            </w:r>
          </w:p>
        </w:tc>
      </w:tr>
      <w:tr>
        <w:tblPrEx>
          <w:tblCellMar>
            <w:top w:w="0" w:type="dxa"/>
            <w:left w:w="108" w:type="dxa"/>
            <w:bottom w:w="0" w:type="dxa"/>
            <w:right w:w="108" w:type="dxa"/>
          </w:tblCellMar>
        </w:tblPrEx>
        <w:trPr>
          <w:trHeight w:val="112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en-US" w:eastAsia="zh-CN"/>
              </w:rPr>
              <w:t>3</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其他</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pStyle w:val="16"/>
              <w:spacing w:line="240" w:lineRule="auto"/>
              <w:rPr>
                <w:rFonts w:hint="eastAsia" w:cs="宋体"/>
                <w:bCs/>
                <w:color w:val="auto"/>
                <w:sz w:val="24"/>
                <w:szCs w:val="24"/>
                <w:highlight w:val="none"/>
              </w:rPr>
            </w:pPr>
            <w:r>
              <w:rPr>
                <w:rFonts w:hint="eastAsia" w:cs="宋体"/>
                <w:bCs/>
                <w:color w:val="auto"/>
                <w:sz w:val="24"/>
                <w:szCs w:val="24"/>
                <w:highlight w:val="none"/>
              </w:rPr>
              <w:t>供应商认为采购过程和中标结果使自己的权益受到损害的，可以在知道或者应知其权益受到损害之日起七个工作日内，按照政府采购质疑和投诉办法（中华人民共和国财政部令94号）以书面形式向采购人和采购代理机构提出质疑（邮寄件、传真件不予受理），逾期不再接收。</w:t>
            </w:r>
          </w:p>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在法定质疑期内供应商针对同一采购程序环节的质疑应当一次性提出。</w:t>
            </w:r>
          </w:p>
        </w:tc>
      </w:tr>
      <w:tr>
        <w:tblPrEx>
          <w:tblCellMar>
            <w:top w:w="0" w:type="dxa"/>
            <w:left w:w="108" w:type="dxa"/>
            <w:bottom w:w="0" w:type="dxa"/>
            <w:right w:w="108" w:type="dxa"/>
          </w:tblCellMar>
        </w:tblPrEx>
        <w:trPr>
          <w:trHeight w:val="192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en-US" w:eastAsia="zh-CN"/>
              </w:rPr>
              <w:t>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20" w:beforeLines="50"/>
              <w:jc w:val="center"/>
              <w:rPr>
                <w:rFonts w:hint="eastAsia" w:ascii="宋体" w:hAnsi="宋体" w:cs="宋体"/>
                <w:bCs/>
                <w:color w:val="auto"/>
                <w:sz w:val="24"/>
                <w:szCs w:val="24"/>
                <w:highlight w:val="none"/>
              </w:rPr>
            </w:pPr>
            <w:r>
              <w:rPr>
                <w:rFonts w:hint="eastAsia" w:ascii="宋体" w:hAnsi="宋体" w:cs="宋体"/>
                <w:b/>
                <w:bCs/>
                <w:color w:val="auto"/>
                <w:sz w:val="24"/>
                <w:szCs w:val="24"/>
                <w:highlight w:val="none"/>
              </w:rPr>
              <w:t>其他要求</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rPr>
                <w:rFonts w:ascii="宋体" w:hAnsi="Arial"/>
                <w:b/>
                <w:color w:val="auto"/>
                <w:sz w:val="24"/>
                <w:szCs w:val="21"/>
                <w:highlight w:val="none"/>
              </w:rPr>
            </w:pPr>
            <w:r>
              <w:rPr>
                <w:rFonts w:hint="eastAsia" w:ascii="宋体" w:hAnsi="Arial"/>
                <w:b/>
                <w:color w:val="auto"/>
                <w:sz w:val="24"/>
                <w:szCs w:val="21"/>
                <w:highlight w:val="none"/>
              </w:rPr>
              <w:t>1、签字盖章要求：</w:t>
            </w:r>
          </w:p>
          <w:p>
            <w:pPr>
              <w:snapToGrid w:val="0"/>
              <w:spacing w:before="120"/>
              <w:rPr>
                <w:rFonts w:hint="eastAsia" w:ascii="宋体" w:hAnsi="Arial"/>
                <w:b/>
                <w:color w:val="auto"/>
                <w:sz w:val="24"/>
                <w:szCs w:val="21"/>
                <w:highlight w:val="none"/>
              </w:rPr>
            </w:pPr>
            <w:r>
              <w:rPr>
                <w:rFonts w:hint="eastAsia" w:ascii="宋体" w:hAnsi="Arial"/>
                <w:b/>
                <w:color w:val="auto"/>
                <w:sz w:val="24"/>
                <w:szCs w:val="21"/>
                <w:highlight w:val="none"/>
              </w:rPr>
              <w:t>(1)供应商资格证明材料、法定代表人身份证明或授权书应加盖公章；</w:t>
            </w:r>
          </w:p>
          <w:p>
            <w:pPr>
              <w:snapToGrid w:val="0"/>
              <w:spacing w:before="120"/>
              <w:rPr>
                <w:rFonts w:hint="eastAsia" w:ascii="宋体" w:hAnsi="Arial"/>
                <w:b/>
                <w:color w:val="auto"/>
                <w:sz w:val="24"/>
                <w:szCs w:val="21"/>
                <w:highlight w:val="none"/>
              </w:rPr>
            </w:pPr>
            <w:r>
              <w:rPr>
                <w:rFonts w:hint="eastAsia" w:ascii="宋体" w:hAnsi="Arial"/>
                <w:b/>
                <w:color w:val="auto"/>
                <w:sz w:val="24"/>
                <w:szCs w:val="21"/>
                <w:highlight w:val="none"/>
              </w:rPr>
              <w:t>(2)其他证明供应商资格的文件或证明材料应为加盖单位公章，样式可参照</w:t>
            </w:r>
            <w:r>
              <w:rPr>
                <w:rFonts w:ascii="宋体" w:hAnsi="Arial"/>
                <w:b/>
                <w:color w:val="auto"/>
                <w:sz w:val="24"/>
                <w:szCs w:val="21"/>
                <w:highlight w:val="none"/>
              </w:rPr>
              <w:t>“</w:t>
            </w:r>
            <w:r>
              <w:rPr>
                <w:rFonts w:hint="eastAsia" w:ascii="宋体" w:hAnsi="Arial"/>
                <w:b/>
                <w:color w:val="auto"/>
                <w:sz w:val="24"/>
                <w:szCs w:val="21"/>
                <w:highlight w:val="none"/>
              </w:rPr>
              <w:t>投标文件格式</w:t>
            </w:r>
            <w:r>
              <w:rPr>
                <w:rFonts w:ascii="宋体" w:hAnsi="Arial"/>
                <w:b/>
                <w:color w:val="auto"/>
                <w:sz w:val="24"/>
                <w:szCs w:val="21"/>
                <w:highlight w:val="none"/>
              </w:rPr>
              <w:t>”</w:t>
            </w:r>
            <w:r>
              <w:rPr>
                <w:rFonts w:hint="eastAsia" w:ascii="宋体" w:hAnsi="Arial"/>
                <w:b/>
                <w:color w:val="auto"/>
                <w:sz w:val="24"/>
                <w:szCs w:val="21"/>
                <w:highlight w:val="none"/>
              </w:rPr>
              <w:t>编制；</w:t>
            </w:r>
          </w:p>
          <w:p>
            <w:pPr>
              <w:snapToGrid w:val="0"/>
              <w:spacing w:before="120"/>
              <w:rPr>
                <w:rFonts w:hint="eastAsia" w:ascii="宋体" w:hAnsi="Arial"/>
                <w:b/>
                <w:color w:val="auto"/>
                <w:sz w:val="24"/>
                <w:szCs w:val="21"/>
                <w:highlight w:val="none"/>
              </w:rPr>
            </w:pPr>
            <w:r>
              <w:rPr>
                <w:rFonts w:hint="eastAsia" w:ascii="宋体" w:hAnsi="Arial"/>
                <w:b/>
                <w:color w:val="auto"/>
                <w:sz w:val="24"/>
                <w:szCs w:val="21"/>
                <w:highlight w:val="none"/>
              </w:rPr>
              <w:t>(3)本文件中明确要求盖章或签字的，须盖章或签字。</w:t>
            </w:r>
          </w:p>
          <w:p>
            <w:pPr>
              <w:snapToGrid w:val="0"/>
              <w:spacing w:before="120"/>
              <w:rPr>
                <w:rFonts w:hint="eastAsia" w:ascii="宋体" w:hAnsi="Arial"/>
                <w:b/>
                <w:color w:val="auto"/>
                <w:sz w:val="24"/>
                <w:szCs w:val="21"/>
                <w:highlight w:val="none"/>
              </w:rPr>
            </w:pPr>
            <w:r>
              <w:rPr>
                <w:rFonts w:hint="eastAsia" w:ascii="宋体" w:hAnsi="Arial"/>
                <w:b/>
                <w:color w:val="auto"/>
                <w:sz w:val="24"/>
                <w:szCs w:val="21"/>
                <w:highlight w:val="none"/>
              </w:rPr>
              <w:t>2、投标人提供的投标文件应当使用磋商文件所提供投标文件格式（表格可按照同样格式扩展）。未提供格式的，需要时由投标人用文字或者表格、图片等其它形式提供。</w:t>
            </w:r>
          </w:p>
          <w:p>
            <w:pPr>
              <w:pStyle w:val="10"/>
              <w:rPr>
                <w:rFonts w:hint="eastAsia" w:ascii="宋体" w:hAnsi="宋体" w:cs="宋体"/>
                <w:bCs/>
                <w:color w:val="auto"/>
                <w:sz w:val="24"/>
                <w:szCs w:val="24"/>
                <w:highlight w:val="none"/>
              </w:rPr>
            </w:pPr>
            <w:r>
              <w:rPr>
                <w:rFonts w:hint="eastAsia" w:ascii="宋体"/>
                <w:b/>
                <w:color w:val="auto"/>
                <w:highlight w:val="none"/>
              </w:rPr>
              <w:t>3、</w:t>
            </w:r>
            <w:r>
              <w:rPr>
                <w:rFonts w:hint="eastAsia" w:ascii="宋体" w:hAnsi="宋体" w:cs="宋体"/>
                <w:b/>
                <w:bCs/>
                <w:color w:val="auto"/>
                <w:sz w:val="24"/>
                <w:szCs w:val="24"/>
                <w:highlight w:val="none"/>
                <w:lang w:val="zh-CN" w:bidi="ar"/>
              </w:rPr>
              <w:t>在结果公示结束后</w:t>
            </w:r>
            <w:r>
              <w:rPr>
                <w:rFonts w:hint="eastAsia" w:ascii="宋体"/>
                <w:b/>
                <w:color w:val="auto"/>
                <w:highlight w:val="none"/>
              </w:rPr>
              <w:t>，成交供应商需向代理机构提供本项目一正</w:t>
            </w:r>
            <w:r>
              <w:rPr>
                <w:rFonts w:hint="eastAsia" w:ascii="宋体"/>
                <w:b/>
                <w:color w:val="auto"/>
                <w:highlight w:val="none"/>
                <w:lang w:val="en-US" w:eastAsia="zh-CN"/>
              </w:rPr>
              <w:t>一</w:t>
            </w:r>
            <w:r>
              <w:rPr>
                <w:rFonts w:hint="eastAsia" w:ascii="宋体"/>
                <w:b/>
                <w:color w:val="auto"/>
                <w:highlight w:val="none"/>
              </w:rPr>
              <w:t>副</w:t>
            </w:r>
            <w:r>
              <w:rPr>
                <w:rFonts w:hint="eastAsia" w:ascii="宋体" w:hAnsi="宋体" w:cs="宋体"/>
                <w:b/>
                <w:bCs/>
                <w:color w:val="auto"/>
                <w:sz w:val="24"/>
                <w:szCs w:val="24"/>
                <w:highlight w:val="none"/>
                <w:lang w:val="zh-CN" w:bidi="ar"/>
              </w:rPr>
              <w:t>纸质响应文件，纸质响应文件</w:t>
            </w:r>
            <w:r>
              <w:rPr>
                <w:rFonts w:hint="eastAsia" w:ascii="宋体" w:hAnsi="宋体" w:cs="宋体"/>
                <w:b/>
                <w:bCs/>
                <w:color w:val="auto"/>
                <w:sz w:val="24"/>
                <w:szCs w:val="24"/>
                <w:highlight w:val="none"/>
                <w:lang w:bidi="ar"/>
              </w:rPr>
              <w:t>须</w:t>
            </w:r>
            <w:r>
              <w:rPr>
                <w:rFonts w:hint="eastAsia" w:ascii="宋体" w:hAnsi="宋体" w:cs="宋体"/>
                <w:b/>
                <w:bCs/>
                <w:color w:val="auto"/>
                <w:sz w:val="24"/>
                <w:szCs w:val="24"/>
                <w:highlight w:val="none"/>
                <w:lang w:val="zh-CN" w:bidi="ar"/>
              </w:rPr>
              <w:t>与网上提交的电子</w:t>
            </w:r>
            <w:r>
              <w:rPr>
                <w:rFonts w:hint="eastAsia" w:ascii="宋体" w:hAnsi="宋体" w:cs="宋体"/>
                <w:b/>
                <w:bCs/>
                <w:color w:val="auto"/>
                <w:sz w:val="24"/>
                <w:szCs w:val="24"/>
                <w:highlight w:val="none"/>
                <w:lang w:bidi="ar"/>
              </w:rPr>
              <w:t>投标</w:t>
            </w:r>
            <w:r>
              <w:rPr>
                <w:rFonts w:hint="eastAsia" w:ascii="宋体" w:hAnsi="宋体" w:cs="宋体"/>
                <w:b/>
                <w:bCs/>
                <w:color w:val="auto"/>
                <w:sz w:val="24"/>
                <w:szCs w:val="24"/>
                <w:highlight w:val="none"/>
                <w:lang w:val="zh-CN" w:bidi="ar"/>
              </w:rPr>
              <w:t>文件一致。</w:t>
            </w:r>
          </w:p>
        </w:tc>
      </w:tr>
    </w:tbl>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47"/>
        <w:jc w:val="center"/>
        <w:outlineLvl w:val="1"/>
        <w:rPr>
          <w:rFonts w:hint="eastAsia" w:ascii="宋体" w:hAnsi="宋体" w:eastAsia="宋体" w:cs="宋体"/>
          <w:b/>
          <w:bCs/>
          <w:color w:val="auto"/>
          <w:szCs w:val="22"/>
          <w:highlight w:val="none"/>
        </w:rPr>
      </w:pPr>
      <w:bookmarkStart w:id="16" w:name="_Toc256000005"/>
      <w:bookmarkStart w:id="17" w:name="_Toc10330"/>
      <w:bookmarkStart w:id="18" w:name="_Toc256000014"/>
      <w:bookmarkStart w:id="19" w:name="_Toc937"/>
      <w:bookmarkStart w:id="20" w:name="_Toc5724"/>
      <w:r>
        <w:rPr>
          <w:rFonts w:hint="eastAsia" w:ascii="宋体" w:hAnsi="宋体" w:eastAsia="宋体" w:cs="宋体"/>
          <w:b/>
          <w:bCs/>
          <w:color w:val="auto"/>
          <w:szCs w:val="22"/>
          <w:highlight w:val="none"/>
        </w:rPr>
        <w:t>一、说明</w:t>
      </w:r>
      <w:bookmarkEnd w:id="16"/>
      <w:bookmarkEnd w:id="17"/>
      <w:bookmarkEnd w:id="18"/>
      <w:bookmarkEnd w:id="19"/>
      <w:bookmarkEnd w:id="20"/>
    </w:p>
    <w:p>
      <w:pPr>
        <w:pStyle w:val="49"/>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适用范围</w:t>
      </w:r>
    </w:p>
    <w:p>
      <w:pPr>
        <w:pStyle w:val="49"/>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1.1本磋商文件仅适用于本磋商邀请中所叙述的采购项目。</w:t>
      </w:r>
    </w:p>
    <w:p>
      <w:pPr>
        <w:pStyle w:val="49"/>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项目概况</w:t>
      </w:r>
    </w:p>
    <w:p>
      <w:pPr>
        <w:pStyle w:val="49"/>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w:t>
      </w:r>
      <w:r>
        <w:rPr>
          <w:rFonts w:hint="eastAsia" w:ascii="宋体" w:hAnsi="宋体" w:eastAsia="宋体" w:cs="宋体"/>
          <w:b/>
          <w:color w:val="auto"/>
          <w:sz w:val="24"/>
          <w:szCs w:val="24"/>
          <w:highlight w:val="none"/>
        </w:rPr>
        <w:t>磋商须知前附表1</w:t>
      </w:r>
      <w:r>
        <w:rPr>
          <w:rFonts w:hint="eastAsia" w:ascii="宋体" w:hAnsi="宋体" w:eastAsia="宋体" w:cs="宋体"/>
          <w:color w:val="auto"/>
          <w:sz w:val="24"/>
          <w:szCs w:val="24"/>
          <w:highlight w:val="none"/>
        </w:rPr>
        <w:t>。</w:t>
      </w:r>
    </w:p>
    <w:p>
      <w:pPr>
        <w:pStyle w:val="49"/>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  合格的供应商</w:t>
      </w:r>
    </w:p>
    <w:p>
      <w:pPr>
        <w:pStyle w:val="49"/>
        <w:adjustRightInd w:val="0"/>
        <w:snapToGrid w:val="0"/>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1.3.1 供应商的资格要求见</w:t>
      </w:r>
      <w:r>
        <w:rPr>
          <w:rFonts w:hint="eastAsia" w:ascii="宋体" w:hAnsi="宋体" w:eastAsia="宋体" w:cs="宋体"/>
          <w:b/>
          <w:color w:val="auto"/>
          <w:sz w:val="24"/>
          <w:szCs w:val="24"/>
          <w:highlight w:val="none"/>
        </w:rPr>
        <w:t>磋商须知前附表</w:t>
      </w:r>
      <w:r>
        <w:rPr>
          <w:rFonts w:hint="eastAsia" w:ascii="宋体" w:hAnsi="宋体" w:eastAsia="宋体" w:cs="宋体"/>
          <w:color w:val="auto"/>
          <w:sz w:val="24"/>
          <w:szCs w:val="24"/>
          <w:highlight w:val="none"/>
        </w:rPr>
        <w:t>；</w:t>
      </w:r>
    </w:p>
    <w:p>
      <w:pPr>
        <w:pStyle w:val="49"/>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1.3.2凡为本采购项目提供整体设计、规范编制或者项目管理、监理、检测等服务的供应商，不得参加报价。</w:t>
      </w:r>
    </w:p>
    <w:p>
      <w:pPr>
        <w:pStyle w:val="49"/>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1.3.3一个供应商只能提交一个响应文件。但如果不同供应商之间的单位负责人为同一人或者存在直接控股、管理关系的，均作无效报价处理。</w:t>
      </w:r>
    </w:p>
    <w:p>
      <w:pPr>
        <w:pStyle w:val="49"/>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1.3.4供应商存在下列情形之一的，将被认定为串通报价行为并作无效报价处理：</w:t>
      </w:r>
    </w:p>
    <w:p>
      <w:pPr>
        <w:pStyle w:val="49"/>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（1）不同供应商的响应文件错、漏之处一致或雷同，且不能合理解释的；</w:t>
      </w:r>
    </w:p>
    <w:p>
      <w:pPr>
        <w:pStyle w:val="49"/>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（2）由同一人或分别由几个有利害关系的人携带两个以上（含两个）供应商的企业资料参与资格审查、领取磋商资料，或代表两个以上（含两个）供应商参加磋商答疑会、交纳或退还磋商保证金、开标的；</w:t>
      </w:r>
    </w:p>
    <w:p>
      <w:pPr>
        <w:pStyle w:val="49"/>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（3）有关法律、法规或规章规定的其他串通报价行为。</w:t>
      </w:r>
    </w:p>
    <w:p>
      <w:pPr>
        <w:pStyle w:val="49"/>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1.4 参与磋商的费用 </w:t>
      </w:r>
    </w:p>
    <w:p>
      <w:pPr>
        <w:pStyle w:val="49"/>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无论磋商的结果如何，供应商应自行承担所有与</w:t>
      </w:r>
      <w:r>
        <w:rPr>
          <w:rFonts w:hint="eastAsia" w:ascii="宋体" w:hAnsi="宋体" w:eastAsia="宋体" w:cs="宋体"/>
          <w:color w:val="auto"/>
          <w:kern w:val="0"/>
          <w:sz w:val="24"/>
          <w:szCs w:val="24"/>
          <w:highlight w:val="none"/>
        </w:rPr>
        <w:t>磋商</w:t>
      </w:r>
      <w:r>
        <w:rPr>
          <w:rFonts w:hint="eastAsia" w:ascii="宋体" w:hAnsi="宋体" w:eastAsia="宋体" w:cs="宋体"/>
          <w:color w:val="auto"/>
          <w:kern w:val="0"/>
          <w:sz w:val="24"/>
          <w:szCs w:val="24"/>
          <w:highlight w:val="none"/>
          <w:lang w:val="zh-CN"/>
        </w:rPr>
        <w:t>采购活动</w:t>
      </w:r>
      <w:r>
        <w:rPr>
          <w:rFonts w:hint="eastAsia" w:ascii="宋体" w:hAnsi="宋体" w:eastAsia="宋体" w:cs="宋体"/>
          <w:color w:val="auto"/>
          <w:sz w:val="24"/>
          <w:szCs w:val="24"/>
          <w:highlight w:val="none"/>
        </w:rPr>
        <w:t>有关的全部费用。</w:t>
      </w:r>
    </w:p>
    <w:p>
      <w:pPr>
        <w:pStyle w:val="47"/>
        <w:jc w:val="center"/>
        <w:outlineLvl w:val="1"/>
        <w:rPr>
          <w:rFonts w:hint="eastAsia" w:ascii="宋体" w:hAnsi="宋体" w:eastAsia="宋体" w:cs="宋体"/>
          <w:b/>
          <w:bCs/>
          <w:color w:val="auto"/>
          <w:szCs w:val="22"/>
          <w:highlight w:val="none"/>
        </w:rPr>
      </w:pPr>
      <w:bookmarkStart w:id="21" w:name="_Toc23764"/>
      <w:bookmarkStart w:id="22" w:name="_Toc256000015"/>
      <w:bookmarkStart w:id="23" w:name="_Toc20876"/>
      <w:bookmarkStart w:id="24" w:name="_Toc29746"/>
      <w:bookmarkStart w:id="25" w:name="_Toc256000006"/>
      <w:r>
        <w:rPr>
          <w:rFonts w:hint="eastAsia" w:ascii="宋体" w:hAnsi="宋体" w:eastAsia="宋体" w:cs="宋体"/>
          <w:b/>
          <w:bCs/>
          <w:color w:val="auto"/>
          <w:szCs w:val="22"/>
          <w:highlight w:val="none"/>
        </w:rPr>
        <w:t>二、磋商文件</w:t>
      </w:r>
      <w:bookmarkEnd w:id="21"/>
      <w:bookmarkEnd w:id="22"/>
      <w:bookmarkEnd w:id="23"/>
      <w:bookmarkEnd w:id="24"/>
      <w:bookmarkEnd w:id="25"/>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2.1  磋商文件的组成</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（1）磋商邀请</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（2）磋商须知</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（3）政府采购合同格式</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（4）工程量清单及技术标准</w:t>
      </w:r>
    </w:p>
    <w:p>
      <w:pPr>
        <w:pStyle w:val="52"/>
        <w:adjustRightInd w:val="0"/>
        <w:snapToGrid w:val="0"/>
        <w:spacing w:line="360" w:lineRule="auto"/>
        <w:ind w:firstLine="480" w:firstLineChars="200"/>
        <w:rPr>
          <w:rFonts w:hint="eastAsia" w:hAnsi="宋体" w:cs="宋体"/>
          <w:bCs/>
          <w:color w:val="auto"/>
          <w:sz w:val="24"/>
          <w:szCs w:val="24"/>
          <w:highlight w:val="none"/>
        </w:rPr>
      </w:pPr>
      <w:r>
        <w:rPr>
          <w:rFonts w:hint="eastAsia" w:hAnsi="宋体" w:cs="宋体"/>
          <w:color w:val="auto"/>
          <w:sz w:val="24"/>
          <w:szCs w:val="24"/>
          <w:highlight w:val="none"/>
        </w:rPr>
        <w:t>（5）</w:t>
      </w:r>
      <w:r>
        <w:rPr>
          <w:rFonts w:hint="eastAsia" w:hAnsi="宋体" w:cs="宋体"/>
          <w:bCs/>
          <w:color w:val="auto"/>
          <w:sz w:val="24"/>
          <w:szCs w:val="24"/>
          <w:highlight w:val="none"/>
        </w:rPr>
        <w:t>图纸</w:t>
      </w:r>
    </w:p>
    <w:p>
      <w:pPr>
        <w:pStyle w:val="49"/>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（6）响应文件格式</w:t>
      </w:r>
    </w:p>
    <w:p>
      <w:pPr>
        <w:pStyle w:val="49"/>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（7）磋商方发出的所有修改、澄清通知。</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2.2 磋商文件的澄清</w:t>
      </w:r>
      <w:r>
        <w:rPr>
          <w:rFonts w:hint="eastAsia" w:ascii="宋体" w:hAnsi="宋体" w:cs="宋体"/>
          <w:b/>
          <w:color w:val="auto"/>
          <w:kern w:val="0"/>
          <w:sz w:val="24"/>
          <w:highlight w:val="none"/>
          <w:lang w:val="zh-CN"/>
        </w:rPr>
        <w:t>或者</w:t>
      </w:r>
      <w:r>
        <w:rPr>
          <w:rFonts w:hint="eastAsia" w:ascii="宋体" w:hAnsi="宋体" w:cs="宋体"/>
          <w:b/>
          <w:bCs/>
          <w:color w:val="auto"/>
          <w:sz w:val="24"/>
          <w:highlight w:val="none"/>
        </w:rPr>
        <w:t>修改</w:t>
      </w:r>
    </w:p>
    <w:p>
      <w:pPr>
        <w:pStyle w:val="49"/>
        <w:adjustRightInd w:val="0"/>
        <w:snapToGrid w:val="0"/>
        <w:spacing w:line="360" w:lineRule="auto"/>
        <w:ind w:right="-105" w:rightChars="-50" w:firstLine="480" w:firstLineChars="200"/>
        <w:rPr>
          <w:rFonts w:hint="eastAsia" w:ascii="宋体" w:hAnsi="宋体" w:cs="宋体"/>
          <w:color w:val="auto"/>
          <w:sz w:val="24"/>
          <w:highlight w:val="none"/>
        </w:rPr>
      </w:pPr>
      <w:r>
        <w:rPr>
          <w:rFonts w:hint="eastAsia" w:ascii="宋体" w:hAnsi="宋体" w:cs="宋体"/>
          <w:color w:val="auto"/>
          <w:sz w:val="24"/>
          <w:highlight w:val="none"/>
        </w:rPr>
        <w:t>2.2.1</w:t>
      </w:r>
      <w:r>
        <w:rPr>
          <w:rFonts w:hint="eastAsia" w:ascii="宋体" w:hAnsi="宋体" w:cs="宋体"/>
          <w:color w:val="auto"/>
          <w:sz w:val="24"/>
          <w:highlight w:val="none"/>
          <w:lang w:val="zh-CN"/>
        </w:rPr>
        <w:t>供应商在收到</w:t>
      </w:r>
      <w:r>
        <w:rPr>
          <w:rFonts w:hint="eastAsia" w:ascii="宋体" w:hAnsi="宋体" w:cs="宋体"/>
          <w:color w:val="auto"/>
          <w:sz w:val="24"/>
          <w:highlight w:val="none"/>
        </w:rPr>
        <w:t>磋商</w:t>
      </w:r>
      <w:r>
        <w:rPr>
          <w:rFonts w:hint="eastAsia" w:ascii="宋体" w:hAnsi="宋体" w:cs="宋体"/>
          <w:color w:val="auto"/>
          <w:sz w:val="24"/>
          <w:highlight w:val="none"/>
          <w:lang w:val="zh-CN"/>
        </w:rPr>
        <w:t>文件后，若有疑问需要澄清，应于收到</w:t>
      </w:r>
      <w:r>
        <w:rPr>
          <w:rFonts w:hint="eastAsia" w:ascii="宋体" w:hAnsi="宋体" w:cs="宋体"/>
          <w:color w:val="auto"/>
          <w:sz w:val="24"/>
          <w:highlight w:val="none"/>
        </w:rPr>
        <w:t>磋商</w:t>
      </w:r>
      <w:r>
        <w:rPr>
          <w:rFonts w:hint="eastAsia" w:ascii="宋体" w:hAnsi="宋体" w:cs="宋体"/>
          <w:color w:val="auto"/>
          <w:sz w:val="24"/>
          <w:highlight w:val="none"/>
          <w:lang w:val="zh-CN"/>
        </w:rPr>
        <w:t>文件后二日内以书面形式（包括书面文字、传真、电子邮件等）向采购人或采购代理机构（以下统称采购机构）提出，采购机构将以书面形式予以解答，解答内容将送达所有参与</w:t>
      </w:r>
      <w:r>
        <w:rPr>
          <w:rFonts w:hint="eastAsia" w:ascii="宋体" w:hAnsi="宋体" w:cs="宋体"/>
          <w:color w:val="auto"/>
          <w:sz w:val="24"/>
          <w:highlight w:val="none"/>
        </w:rPr>
        <w:t>磋商采购活动</w:t>
      </w:r>
      <w:r>
        <w:rPr>
          <w:rFonts w:hint="eastAsia" w:ascii="宋体" w:hAnsi="宋体" w:cs="宋体"/>
          <w:color w:val="auto"/>
          <w:sz w:val="24"/>
          <w:highlight w:val="none"/>
          <w:lang w:val="zh-CN"/>
        </w:rPr>
        <w:t>的供应商。</w:t>
      </w:r>
    </w:p>
    <w:p>
      <w:pPr>
        <w:pStyle w:val="49"/>
        <w:adjustRightInd w:val="0"/>
        <w:snapToGrid w:val="0"/>
        <w:spacing w:line="360" w:lineRule="auto"/>
        <w:ind w:right="-105" w:rightChars="-50" w:firstLine="480" w:firstLineChars="200"/>
        <w:rPr>
          <w:rFonts w:hint="eastAsia" w:ascii="宋体" w:hAnsi="宋体" w:cs="宋体"/>
          <w:color w:val="auto"/>
          <w:sz w:val="24"/>
          <w:highlight w:val="none"/>
        </w:rPr>
      </w:pPr>
      <w:r>
        <w:rPr>
          <w:rFonts w:hint="eastAsia" w:ascii="宋体" w:hAnsi="宋体" w:cs="宋体"/>
          <w:color w:val="auto"/>
          <w:sz w:val="24"/>
          <w:highlight w:val="none"/>
        </w:rPr>
        <w:t>2.2.2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w:t>
      </w:r>
    </w:p>
    <w:p>
      <w:pPr>
        <w:pStyle w:val="47"/>
        <w:jc w:val="center"/>
        <w:outlineLvl w:val="1"/>
        <w:rPr>
          <w:rFonts w:hint="eastAsia" w:ascii="宋体" w:hAnsi="宋体" w:eastAsia="宋体" w:cs="宋体"/>
          <w:b/>
          <w:bCs/>
          <w:color w:val="auto"/>
          <w:szCs w:val="22"/>
          <w:highlight w:val="none"/>
        </w:rPr>
      </w:pPr>
      <w:bookmarkStart w:id="26" w:name="_Toc17421"/>
      <w:bookmarkStart w:id="27" w:name="_Toc256000007"/>
      <w:bookmarkStart w:id="28" w:name="_Toc29250"/>
      <w:bookmarkStart w:id="29" w:name="_Toc29327"/>
      <w:bookmarkStart w:id="30" w:name="_Toc256000016"/>
      <w:r>
        <w:rPr>
          <w:rFonts w:hint="eastAsia" w:ascii="宋体" w:hAnsi="宋体" w:eastAsia="宋体" w:cs="宋体"/>
          <w:b/>
          <w:bCs/>
          <w:color w:val="auto"/>
          <w:szCs w:val="22"/>
          <w:highlight w:val="none"/>
        </w:rPr>
        <w:t>三、响应文件</w:t>
      </w:r>
      <w:bookmarkEnd w:id="26"/>
      <w:bookmarkEnd w:id="27"/>
      <w:bookmarkEnd w:id="28"/>
      <w:bookmarkEnd w:id="29"/>
      <w:bookmarkEnd w:id="30"/>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3.1 一般要求</w:t>
      </w:r>
    </w:p>
    <w:p>
      <w:pPr>
        <w:pStyle w:val="49"/>
        <w:adjustRightInd w:val="0"/>
        <w:snapToGrid w:val="0"/>
        <w:spacing w:line="360" w:lineRule="auto"/>
        <w:ind w:right="-105" w:rightChars="-50" w:firstLine="480" w:firstLineChars="200"/>
        <w:rPr>
          <w:rFonts w:hint="eastAsia" w:ascii="宋体" w:hAnsi="宋体" w:cs="宋体"/>
          <w:color w:val="auto"/>
          <w:sz w:val="24"/>
          <w:highlight w:val="none"/>
        </w:rPr>
      </w:pPr>
      <w:r>
        <w:rPr>
          <w:rFonts w:hint="eastAsia" w:ascii="宋体" w:hAnsi="宋体" w:cs="宋体"/>
          <w:color w:val="auto"/>
          <w:sz w:val="24"/>
          <w:highlight w:val="none"/>
        </w:rPr>
        <w:t>3.1.1 供应商应按本文件第七章“响应文件格式”的要求编制响应文件。</w:t>
      </w:r>
    </w:p>
    <w:p>
      <w:pPr>
        <w:pStyle w:val="49"/>
        <w:adjustRightInd w:val="0"/>
        <w:snapToGrid w:val="0"/>
        <w:spacing w:line="360" w:lineRule="auto"/>
        <w:ind w:right="-105" w:rightChars="-50" w:firstLine="480" w:firstLineChars="200"/>
        <w:rPr>
          <w:rFonts w:hint="eastAsia" w:ascii="宋体" w:hAnsi="宋体" w:cs="宋体"/>
          <w:color w:val="auto"/>
          <w:sz w:val="24"/>
          <w:highlight w:val="none"/>
        </w:rPr>
      </w:pPr>
      <w:r>
        <w:rPr>
          <w:rFonts w:hint="eastAsia" w:ascii="宋体" w:hAnsi="宋体" w:cs="宋体"/>
          <w:color w:val="auto"/>
          <w:sz w:val="24"/>
          <w:highlight w:val="none"/>
        </w:rPr>
        <w:t>3.1.2计量单位应使用我国法定计量单位。</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xml:space="preserve">3.2 </w:t>
      </w:r>
      <w:r>
        <w:rPr>
          <w:rFonts w:hint="eastAsia" w:ascii="宋体" w:hAnsi="宋体" w:cs="宋体"/>
          <w:b/>
          <w:color w:val="auto"/>
          <w:sz w:val="24"/>
          <w:highlight w:val="none"/>
        </w:rPr>
        <w:t>响应文件</w:t>
      </w:r>
      <w:r>
        <w:rPr>
          <w:rFonts w:hint="eastAsia" w:ascii="宋体" w:hAnsi="宋体" w:cs="宋体"/>
          <w:b/>
          <w:bCs/>
          <w:color w:val="auto"/>
          <w:sz w:val="24"/>
          <w:highlight w:val="none"/>
        </w:rPr>
        <w:t>的组成</w:t>
      </w:r>
    </w:p>
    <w:p>
      <w:pPr>
        <w:pStyle w:val="49"/>
        <w:autoSpaceDE w:val="0"/>
        <w:autoSpaceDN w:val="0"/>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（1）磋商申请及附录</w:t>
      </w:r>
    </w:p>
    <w:p>
      <w:pPr>
        <w:pStyle w:val="49"/>
        <w:autoSpaceDE w:val="0"/>
        <w:autoSpaceDN w:val="0"/>
        <w:adjustRightInd w:val="0"/>
        <w:spacing w:line="360" w:lineRule="auto"/>
        <w:ind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（2）已标价的工程量清单</w:t>
      </w:r>
    </w:p>
    <w:p>
      <w:pPr>
        <w:pStyle w:val="49"/>
        <w:autoSpaceDE w:val="0"/>
        <w:autoSpaceDN w:val="0"/>
        <w:adjustRightIn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（3）资格证明文件</w:t>
      </w:r>
    </w:p>
    <w:p>
      <w:pPr>
        <w:pStyle w:val="49"/>
        <w:autoSpaceDE w:val="0"/>
        <w:autoSpaceDN w:val="0"/>
        <w:adjustRightInd w:val="0"/>
        <w:spacing w:line="360" w:lineRule="auto"/>
        <w:ind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rPr>
        <w:t>（</w:t>
      </w:r>
      <w:r>
        <w:rPr>
          <w:rFonts w:hint="eastAsia" w:ascii="宋体" w:hAnsi="宋体" w:cs="宋体"/>
          <w:color w:val="auto"/>
          <w:sz w:val="24"/>
          <w:highlight w:val="none"/>
          <w:lang w:val="zh-CN"/>
        </w:rPr>
        <w:t>4）施工组织设计</w:t>
      </w:r>
    </w:p>
    <w:p>
      <w:pPr>
        <w:pStyle w:val="49"/>
        <w:autoSpaceDE w:val="0"/>
        <w:autoSpaceDN w:val="0"/>
        <w:adjustRightInd w:val="0"/>
        <w:spacing w:line="360" w:lineRule="auto"/>
        <w:ind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（5）</w:t>
      </w:r>
      <w:r>
        <w:rPr>
          <w:rFonts w:hint="eastAsia" w:ascii="宋体" w:hAnsi="宋体" w:cs="宋体"/>
          <w:color w:val="auto"/>
          <w:sz w:val="24"/>
          <w:highlight w:val="none"/>
        </w:rPr>
        <w:t>项目管理机构</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3.3 报价要求</w:t>
      </w:r>
    </w:p>
    <w:p>
      <w:pPr>
        <w:pStyle w:val="49"/>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3.3.1</w:t>
      </w:r>
      <w:r>
        <w:rPr>
          <w:rFonts w:hint="eastAsia" w:ascii="宋体" w:hAnsi="宋体" w:cs="宋体"/>
          <w:color w:val="auto"/>
          <w:sz w:val="24"/>
          <w:highlight w:val="none"/>
          <w:lang w:val="zh-CN"/>
        </w:rPr>
        <w:t>供应商应根据所提供的工程项目清单的要求编制单价、合价和总价</w:t>
      </w:r>
      <w:r>
        <w:rPr>
          <w:rFonts w:hint="eastAsia" w:ascii="宋体" w:hAnsi="宋体" w:cs="宋体"/>
          <w:color w:val="auto"/>
          <w:sz w:val="24"/>
          <w:highlight w:val="none"/>
        </w:rPr>
        <w:t>，且只允许有一个报价</w:t>
      </w:r>
      <w:r>
        <w:rPr>
          <w:rFonts w:hint="eastAsia" w:ascii="宋体" w:hAnsi="宋体" w:cs="宋体"/>
          <w:color w:val="auto"/>
          <w:sz w:val="24"/>
          <w:highlight w:val="none"/>
          <w:lang w:val="zh-CN"/>
        </w:rPr>
        <w:t>。</w:t>
      </w:r>
    </w:p>
    <w:p>
      <w:pPr>
        <w:pStyle w:val="49"/>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3.3.2</w:t>
      </w:r>
      <w:r>
        <w:rPr>
          <w:rFonts w:hint="eastAsia" w:ascii="宋体" w:hAnsi="宋体" w:cs="宋体"/>
          <w:color w:val="auto"/>
          <w:sz w:val="24"/>
          <w:highlight w:val="none"/>
          <w:lang w:val="zh-CN"/>
        </w:rPr>
        <w:t>报价应是本磋商文件所确定的全部工作内容的价格体现。其应包括施工设备、劳务、管理、材料、安装、维护、检验、利润、税金及政策性文件规定的各项应有费用，以及施工中的水、电费、合同履行中人工及材料涨价因素和其它风险产生的各项费用。</w:t>
      </w:r>
    </w:p>
    <w:p>
      <w:pPr>
        <w:pStyle w:val="49"/>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3.3.3响应文件中标明的价格在合同执行过程中是固定不变的，不得以任何理由予以变更。以可变动价格提交的报价将被认为是非实质响应采购要求而被拒绝。</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3.3.4采购项目预算</w:t>
      </w:r>
      <w:r>
        <w:rPr>
          <w:rFonts w:hint="eastAsia" w:hAnsi="宋体" w:cs="宋体"/>
          <w:color w:val="auto"/>
          <w:sz w:val="24"/>
          <w:szCs w:val="24"/>
          <w:highlight w:val="none"/>
          <w:lang w:val="en-US" w:eastAsia="zh-CN"/>
        </w:rPr>
        <w:t>/最高限价</w:t>
      </w:r>
      <w:r>
        <w:rPr>
          <w:rFonts w:hint="eastAsia" w:hAnsi="宋体" w:cs="宋体"/>
          <w:color w:val="auto"/>
          <w:sz w:val="24"/>
          <w:szCs w:val="24"/>
          <w:highlight w:val="none"/>
        </w:rPr>
        <w:t>见</w:t>
      </w:r>
      <w:r>
        <w:rPr>
          <w:rFonts w:hint="eastAsia" w:hAnsi="宋体" w:cs="宋体"/>
          <w:b/>
          <w:color w:val="auto"/>
          <w:sz w:val="24"/>
          <w:szCs w:val="24"/>
          <w:highlight w:val="none"/>
        </w:rPr>
        <w:t>磋商须知前附表</w:t>
      </w:r>
      <w:r>
        <w:rPr>
          <w:rFonts w:hint="eastAsia" w:hAnsi="宋体" w:cs="宋体"/>
          <w:color w:val="auto"/>
          <w:sz w:val="24"/>
          <w:szCs w:val="24"/>
          <w:highlight w:val="none"/>
        </w:rPr>
        <w:t>，</w:t>
      </w:r>
      <w:r>
        <w:rPr>
          <w:rFonts w:hint="eastAsia" w:hAnsi="宋体" w:cs="宋体"/>
          <w:color w:val="auto"/>
          <w:kern w:val="0"/>
          <w:sz w:val="24"/>
          <w:szCs w:val="24"/>
          <w:highlight w:val="none"/>
          <w:lang w:val="zh-CN"/>
        </w:rPr>
        <w:t>供应商</w:t>
      </w:r>
      <w:r>
        <w:rPr>
          <w:rFonts w:hint="eastAsia" w:hAnsi="宋体" w:cs="宋体"/>
          <w:color w:val="auto"/>
          <w:sz w:val="24"/>
          <w:szCs w:val="24"/>
          <w:highlight w:val="none"/>
        </w:rPr>
        <w:t>的报价不得超过</w:t>
      </w:r>
      <w:r>
        <w:rPr>
          <w:rFonts w:hint="eastAsia" w:hAnsi="宋体" w:cs="宋体"/>
          <w:color w:val="auto"/>
          <w:sz w:val="24"/>
          <w:szCs w:val="24"/>
          <w:highlight w:val="none"/>
          <w:lang w:val="en-US" w:eastAsia="zh-CN"/>
        </w:rPr>
        <w:t>最高限价</w:t>
      </w:r>
      <w:r>
        <w:rPr>
          <w:rFonts w:hint="eastAsia" w:hAnsi="宋体" w:cs="宋体"/>
          <w:color w:val="auto"/>
          <w:sz w:val="24"/>
          <w:szCs w:val="24"/>
          <w:highlight w:val="none"/>
        </w:rPr>
        <w:t>。否则，按无效报价处理。</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3.4 证明供应商资格的文件</w:t>
      </w:r>
    </w:p>
    <w:p>
      <w:pPr>
        <w:pStyle w:val="52"/>
        <w:adjustRightInd w:val="0"/>
        <w:snapToGrid w:val="0"/>
        <w:spacing w:line="360" w:lineRule="auto"/>
        <w:ind w:firstLine="480" w:firstLineChars="200"/>
        <w:rPr>
          <w:rFonts w:hint="eastAsia" w:hAnsi="宋体" w:cs="宋体"/>
          <w:color w:val="auto"/>
          <w:kern w:val="0"/>
          <w:sz w:val="24"/>
          <w:szCs w:val="24"/>
          <w:highlight w:val="none"/>
          <w:lang w:val="zh-CN"/>
        </w:rPr>
      </w:pPr>
      <w:r>
        <w:rPr>
          <w:rFonts w:hint="eastAsia" w:hAnsi="宋体" w:cs="宋体"/>
          <w:color w:val="auto"/>
          <w:kern w:val="0"/>
          <w:sz w:val="24"/>
          <w:szCs w:val="24"/>
          <w:highlight w:val="none"/>
          <w:lang w:val="zh-CN"/>
        </w:rPr>
        <w:t>供应商</w:t>
      </w:r>
      <w:r>
        <w:rPr>
          <w:rFonts w:hint="eastAsia" w:hAnsi="宋体" w:cs="宋体"/>
          <w:color w:val="auto"/>
          <w:sz w:val="24"/>
          <w:szCs w:val="24"/>
          <w:highlight w:val="none"/>
        </w:rPr>
        <w:t>应提交满足本章第1.3</w:t>
      </w:r>
      <w:r>
        <w:rPr>
          <w:rFonts w:hint="eastAsia" w:hAnsi="宋体" w:cs="宋体"/>
          <w:color w:val="auto"/>
          <w:kern w:val="0"/>
          <w:sz w:val="24"/>
          <w:szCs w:val="24"/>
          <w:highlight w:val="none"/>
          <w:lang w:val="zh-CN"/>
        </w:rPr>
        <w:t>款</w:t>
      </w:r>
      <w:r>
        <w:rPr>
          <w:rFonts w:hint="eastAsia" w:hAnsi="宋体" w:cs="宋体"/>
          <w:color w:val="auto"/>
          <w:sz w:val="24"/>
          <w:szCs w:val="24"/>
          <w:highlight w:val="none"/>
        </w:rPr>
        <w:t>规定的资格条件要求的证明文件,该证明文件作为响应文件的一部分。</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3.5磋商保证金</w:t>
      </w:r>
    </w:p>
    <w:p>
      <w:pPr>
        <w:pStyle w:val="52"/>
        <w:adjustRightInd w:val="0"/>
        <w:snapToGrid w:val="0"/>
        <w:spacing w:line="360" w:lineRule="auto"/>
        <w:ind w:firstLine="480" w:firstLineChars="200"/>
        <w:rPr>
          <w:rFonts w:hint="eastAsia" w:hAnsi="宋体" w:cs="宋体"/>
          <w:b/>
          <w:color w:val="auto"/>
          <w:sz w:val="24"/>
          <w:szCs w:val="24"/>
          <w:highlight w:val="none"/>
        </w:rPr>
      </w:pPr>
      <w:r>
        <w:rPr>
          <w:rFonts w:hint="eastAsia" w:hAnsi="宋体" w:cs="宋体"/>
          <w:color w:val="auto"/>
          <w:sz w:val="24"/>
          <w:szCs w:val="24"/>
          <w:highlight w:val="none"/>
        </w:rPr>
        <w:t>3.5.1供应商应按</w:t>
      </w:r>
      <w:r>
        <w:rPr>
          <w:rFonts w:hint="eastAsia" w:hAnsi="宋体" w:cs="宋体"/>
          <w:b/>
          <w:color w:val="auto"/>
          <w:sz w:val="24"/>
          <w:szCs w:val="24"/>
          <w:highlight w:val="none"/>
        </w:rPr>
        <w:t>磋商须知前附表</w:t>
      </w:r>
      <w:r>
        <w:rPr>
          <w:rFonts w:hint="eastAsia" w:hAnsi="宋体" w:cs="宋体"/>
          <w:color w:val="auto"/>
          <w:sz w:val="24"/>
          <w:szCs w:val="24"/>
          <w:highlight w:val="none"/>
        </w:rPr>
        <w:t>的规定提交磋商保证金，并作为响应文件的一部分。供应商为联合体的，可以由联合体中的一方或者共同交纳磋商保证金，以一方名义交纳磋商保证金的，对联合体各方均具有约束力。</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3.5.2 未按磋商文件规定提交磋商保证金的响应文件，将被视为非实质响应而被拒绝。</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3.5.3 未成交供应商的磋商保证金在成交通知书发出后五个工作日内退还；成交供应商的磋商保证金在采购合同签定后五个工作日内退还。</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3.5.4发生以下情况磋商保证金将不予退还：</w:t>
      </w:r>
    </w:p>
    <w:p>
      <w:pPr>
        <w:pStyle w:val="52"/>
        <w:adjustRightInd w:val="0"/>
        <w:snapToGrid w:val="0"/>
        <w:spacing w:line="360" w:lineRule="auto"/>
        <w:ind w:firstLine="480" w:firstLineChars="20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（一）供应商在提交响应文件截止时间后撤回响应文件的；</w:t>
      </w:r>
    </w:p>
    <w:p>
      <w:pPr>
        <w:pStyle w:val="52"/>
        <w:adjustRightInd w:val="0"/>
        <w:snapToGrid w:val="0"/>
        <w:spacing w:line="360" w:lineRule="auto"/>
        <w:ind w:firstLine="480" w:firstLineChars="20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（二）供应商在响应文件中提供虚假材料的；</w:t>
      </w:r>
    </w:p>
    <w:p>
      <w:pPr>
        <w:pStyle w:val="52"/>
        <w:adjustRightInd w:val="0"/>
        <w:snapToGrid w:val="0"/>
        <w:spacing w:line="360" w:lineRule="auto"/>
        <w:ind w:firstLine="480" w:firstLineChars="20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（三）除因不可抗力或磋商文件认可的情形以外，成交供应商不与采购人签订合同的；</w:t>
      </w:r>
    </w:p>
    <w:p>
      <w:pPr>
        <w:pStyle w:val="52"/>
        <w:adjustRightInd w:val="0"/>
        <w:snapToGrid w:val="0"/>
        <w:spacing w:line="360" w:lineRule="auto"/>
        <w:ind w:firstLine="480" w:firstLineChars="20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（四）供应商与采购人、其他供应商或者采购代理机构恶意串通的；</w:t>
      </w:r>
    </w:p>
    <w:p>
      <w:pPr>
        <w:pStyle w:val="52"/>
        <w:adjustRightInd w:val="0"/>
        <w:snapToGrid w:val="0"/>
        <w:spacing w:line="360" w:lineRule="auto"/>
        <w:ind w:firstLine="480" w:firstLineChars="20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（五）磋商文件规定的其他情形。</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3.5.5如开标时投标人对本单位投标保证金缴纳情况有疑义，投标人应在开标结束前向招标人提交书面申请核实保证金缴纳情况。由银行或保险公司核实后出具书面材料予以答复。</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3.5.6开标结束后，转账、电汇、网银形式缴纳的保证金由招标代理或招标人统一办理中标人和未中标人的保证金退还事宜。如本项目招标中遇质疑，投诉，复议等特殊情况，保证金退还时间按相关规定执行。银行保函、保险保函等形式缴纳的投标保证金按协议执行，无需办理退款手续。</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xml:space="preserve">3.6 </w:t>
      </w:r>
      <w:r>
        <w:rPr>
          <w:rFonts w:hint="eastAsia" w:ascii="宋体" w:hAnsi="宋体" w:cs="宋体"/>
          <w:color w:val="auto"/>
          <w:sz w:val="24"/>
          <w:highlight w:val="none"/>
        </w:rPr>
        <w:t xml:space="preserve"> </w:t>
      </w:r>
      <w:r>
        <w:rPr>
          <w:rFonts w:hint="eastAsia" w:ascii="宋体" w:hAnsi="宋体" w:cs="宋体"/>
          <w:b/>
          <w:color w:val="auto"/>
          <w:sz w:val="24"/>
          <w:highlight w:val="none"/>
        </w:rPr>
        <w:t>响应文件有效期</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3.6.1响应文件有效期见</w:t>
      </w:r>
      <w:r>
        <w:rPr>
          <w:rFonts w:hint="eastAsia" w:ascii="宋体" w:hAnsi="宋体" w:cs="宋体"/>
          <w:b/>
          <w:color w:val="auto"/>
          <w:sz w:val="24"/>
          <w:highlight w:val="none"/>
        </w:rPr>
        <w:t>磋商须知前附表</w:t>
      </w:r>
      <w:r>
        <w:rPr>
          <w:rFonts w:hint="eastAsia" w:ascii="宋体" w:hAnsi="宋体" w:cs="宋体"/>
          <w:color w:val="auto"/>
          <w:sz w:val="24"/>
          <w:highlight w:val="none"/>
        </w:rPr>
        <w:t>，响应文件有效期不足的将被视为无效响应，并予以拒绝。</w:t>
      </w:r>
    </w:p>
    <w:p>
      <w:pPr>
        <w:pStyle w:val="49"/>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3.6.2特殊情况下，采购代理机构可于响应文件有效期满之前要求供应商同意延长有效期，要求与答复均应为书面形式。供应商可以拒绝上述要求而其磋商保证金不被没收。对于同意该要求的供应商，既不要求也不允许其修改响应文件，但将要求其相应延长磋商保证金的有效期。有关退还和没收磋商保证金的规定在响应文件有效期的延长期内继续有效。</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3.7 响应文件的签署及规定</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3.7.1供应商应提供响应文件份数见</w:t>
      </w:r>
      <w:r>
        <w:rPr>
          <w:rFonts w:hint="eastAsia" w:hAnsi="宋体" w:cs="宋体"/>
          <w:b/>
          <w:color w:val="auto"/>
          <w:sz w:val="24"/>
          <w:szCs w:val="24"/>
          <w:highlight w:val="none"/>
        </w:rPr>
        <w:t>磋商须知前附表</w:t>
      </w:r>
      <w:r>
        <w:rPr>
          <w:rFonts w:hint="eastAsia" w:hAnsi="宋体" w:cs="宋体"/>
          <w:color w:val="auto"/>
          <w:sz w:val="24"/>
          <w:szCs w:val="24"/>
          <w:highlight w:val="none"/>
        </w:rPr>
        <w:t>。</w:t>
      </w:r>
    </w:p>
    <w:p>
      <w:pPr>
        <w:pStyle w:val="49"/>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lang w:val="zh-CN"/>
        </w:rPr>
        <w:t xml:space="preserve">3.7.2 </w:t>
      </w:r>
      <w:r>
        <w:rPr>
          <w:rFonts w:hint="eastAsia" w:ascii="宋体" w:hAnsi="宋体" w:cs="宋体"/>
          <w:color w:val="auto"/>
          <w:sz w:val="24"/>
          <w:highlight w:val="none"/>
        </w:rPr>
        <w:t>投标人在投标文件及相关文件的签订、履行、通知等事项的文件中的单位盖章、印章、公章等处均指与当事人全称相一致的签章或标准公章，不得使用其他形式（如带有“专用章”等字样的印章）。不符合本条规定的按无效投标处理。</w:t>
      </w:r>
    </w:p>
    <w:p>
      <w:pPr>
        <w:pStyle w:val="47"/>
        <w:jc w:val="center"/>
        <w:outlineLvl w:val="1"/>
        <w:rPr>
          <w:rFonts w:hint="eastAsia" w:ascii="宋体" w:hAnsi="宋体" w:eastAsia="宋体" w:cs="宋体"/>
          <w:b/>
          <w:bCs/>
          <w:color w:val="auto"/>
          <w:szCs w:val="22"/>
          <w:highlight w:val="none"/>
        </w:rPr>
      </w:pPr>
      <w:bookmarkStart w:id="31" w:name="_Toc31717"/>
      <w:bookmarkStart w:id="32" w:name="_Toc256000017"/>
      <w:bookmarkStart w:id="33" w:name="_Toc23680"/>
      <w:bookmarkStart w:id="34" w:name="_Toc1343"/>
      <w:bookmarkStart w:id="35" w:name="_Toc256000008"/>
      <w:r>
        <w:rPr>
          <w:rFonts w:hint="eastAsia" w:ascii="宋体" w:hAnsi="宋体" w:eastAsia="宋体" w:cs="宋体"/>
          <w:b/>
          <w:bCs/>
          <w:color w:val="auto"/>
          <w:szCs w:val="22"/>
          <w:highlight w:val="none"/>
        </w:rPr>
        <w:t>四、响应文件的递交</w:t>
      </w:r>
      <w:bookmarkEnd w:id="31"/>
      <w:bookmarkEnd w:id="32"/>
      <w:bookmarkEnd w:id="33"/>
      <w:bookmarkEnd w:id="34"/>
      <w:bookmarkEnd w:id="35"/>
    </w:p>
    <w:p>
      <w:pPr>
        <w:pStyle w:val="49"/>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4.1 </w:t>
      </w:r>
      <w:r>
        <w:rPr>
          <w:rFonts w:hint="eastAsia" w:ascii="宋体" w:hAnsi="宋体" w:eastAsia="宋体" w:cs="宋体"/>
          <w:b/>
          <w:color w:val="auto"/>
          <w:sz w:val="24"/>
          <w:highlight w:val="none"/>
        </w:rPr>
        <w:t>响应文件</w:t>
      </w:r>
      <w:r>
        <w:rPr>
          <w:rFonts w:hint="eastAsia" w:ascii="宋体" w:hAnsi="宋体" w:eastAsia="宋体" w:cs="宋体"/>
          <w:b/>
          <w:bCs/>
          <w:color w:val="auto"/>
          <w:sz w:val="24"/>
          <w:highlight w:val="none"/>
        </w:rPr>
        <w:t>的密封和标记</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4.1.1响应文件的密封：详见供应商须知前附表。</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4.1.2由于不可抗拒的原因或无法控制的事件而导致丢失或损坏投标包装体内的响应文件，采购人将不负责任。</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4.1.3如果投标人未按上述要求密封及加写标记，采购代理机构对投标文件的误投和提前启封概不负责。对由此造成提前开封的投标文件，采购代理机构有权予以拒绝，并退回投标人。</w:t>
      </w:r>
    </w:p>
    <w:p>
      <w:pPr>
        <w:pStyle w:val="49"/>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4.2响应文件的递交</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4.2.1响应文件的递交截止时间为采购文件所规定的时间。响应文件以密封形式递交至指定的投标地点，采购人或者采购代理机构收到响应文件后，应当如实记载响应文件的送达时间和密封情况，签收保存，并向供应商出具签收回执。任何单位和个人不得在开标前开启响应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4.2.2</w:t>
      </w:r>
      <w:r>
        <w:rPr>
          <w:rFonts w:hint="eastAsia" w:ascii="宋体" w:hAnsi="宋体" w:eastAsia="宋体" w:cs="宋体"/>
          <w:color w:val="auto"/>
          <w:sz w:val="24"/>
          <w:highlight w:val="none"/>
        </w:rPr>
        <w:t>逾期送达或者未按照采购文件要求密封的响应文件，采购人、采购代理机构应当拒收。</w:t>
      </w:r>
    </w:p>
    <w:p>
      <w:pPr>
        <w:pStyle w:val="49"/>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4.3响应文件的</w:t>
      </w:r>
      <w:r>
        <w:rPr>
          <w:rFonts w:hint="eastAsia" w:ascii="宋体" w:hAnsi="宋体" w:eastAsia="宋体" w:cs="宋体"/>
          <w:b/>
          <w:color w:val="auto"/>
          <w:kern w:val="0"/>
          <w:sz w:val="24"/>
          <w:highlight w:val="none"/>
          <w:lang w:val="zh-CN"/>
        </w:rPr>
        <w:t>补充、修改或者撤回</w:t>
      </w:r>
    </w:p>
    <w:p>
      <w:pPr>
        <w:pStyle w:val="52"/>
        <w:adjustRightInd w:val="0"/>
        <w:snapToGrid w:val="0"/>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4.3.1投标人在递交投标文件后，可以修改或撤回其投标，但这种修改和撤回，必须在规定的投标截止时间前。在投标截止时间后，投标人不得要求修改或撤回其投标文件。</w:t>
      </w:r>
    </w:p>
    <w:p>
      <w:pPr>
        <w:pStyle w:val="52"/>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4.3.2在递交响应文件截止时间后，供应商不得对响应文件</w:t>
      </w:r>
      <w:r>
        <w:rPr>
          <w:rFonts w:hint="eastAsia" w:ascii="宋体" w:hAnsi="宋体" w:eastAsia="宋体" w:cs="宋体"/>
          <w:color w:val="auto"/>
          <w:kern w:val="0"/>
          <w:sz w:val="24"/>
          <w:szCs w:val="24"/>
          <w:highlight w:val="none"/>
          <w:lang w:val="zh-CN"/>
        </w:rPr>
        <w:t>补充、修改或者撤回，但属于本须知5.4.2款规定的情形除外</w:t>
      </w:r>
      <w:r>
        <w:rPr>
          <w:rFonts w:hint="eastAsia" w:ascii="宋体" w:hAnsi="宋体" w:eastAsia="宋体" w:cs="宋体"/>
          <w:color w:val="auto"/>
          <w:sz w:val="24"/>
          <w:szCs w:val="24"/>
          <w:highlight w:val="none"/>
        </w:rPr>
        <w:t>。</w:t>
      </w:r>
    </w:p>
    <w:p>
      <w:pPr>
        <w:pStyle w:val="47"/>
        <w:jc w:val="center"/>
        <w:outlineLvl w:val="1"/>
        <w:rPr>
          <w:rFonts w:hint="eastAsia" w:ascii="宋体" w:hAnsi="宋体" w:eastAsia="宋体" w:cs="宋体"/>
          <w:b/>
          <w:bCs/>
          <w:color w:val="auto"/>
          <w:szCs w:val="22"/>
          <w:highlight w:val="none"/>
        </w:rPr>
      </w:pPr>
      <w:bookmarkStart w:id="36" w:name="_Toc12287"/>
      <w:bookmarkStart w:id="37" w:name="_Toc256000009"/>
      <w:bookmarkStart w:id="38" w:name="_Toc13285"/>
      <w:bookmarkStart w:id="39" w:name="_Toc256000018"/>
      <w:bookmarkStart w:id="40" w:name="_Toc3975"/>
      <w:r>
        <w:rPr>
          <w:rFonts w:hint="eastAsia" w:ascii="宋体" w:hAnsi="宋体" w:eastAsia="宋体" w:cs="宋体"/>
          <w:b/>
          <w:bCs/>
          <w:color w:val="auto"/>
          <w:szCs w:val="22"/>
          <w:highlight w:val="none"/>
        </w:rPr>
        <w:t>五、磋商和评审</w:t>
      </w:r>
      <w:bookmarkEnd w:id="36"/>
      <w:bookmarkEnd w:id="37"/>
      <w:bookmarkEnd w:id="38"/>
      <w:bookmarkEnd w:id="39"/>
      <w:bookmarkEnd w:id="40"/>
    </w:p>
    <w:p>
      <w:pPr>
        <w:pStyle w:val="49"/>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5.1 磋商仪式</w:t>
      </w:r>
    </w:p>
    <w:p>
      <w:pPr>
        <w:pStyle w:val="49"/>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5.1.1采购机构在</w:t>
      </w:r>
      <w:r>
        <w:rPr>
          <w:rFonts w:hint="eastAsia" w:ascii="宋体" w:hAnsi="宋体" w:eastAsia="宋体" w:cs="宋体"/>
          <w:b/>
          <w:color w:val="auto"/>
          <w:sz w:val="24"/>
          <w:highlight w:val="none"/>
        </w:rPr>
        <w:t>磋商须知前附表</w:t>
      </w:r>
      <w:r>
        <w:rPr>
          <w:rFonts w:hint="eastAsia" w:ascii="宋体" w:hAnsi="宋体" w:eastAsia="宋体" w:cs="宋体"/>
          <w:color w:val="auto"/>
          <w:sz w:val="24"/>
          <w:highlight w:val="none"/>
        </w:rPr>
        <w:t>规定的日期、时间和地点组织磋商仪式。供应商应派代表参加，并按要求签名报到以证明其出席。</w:t>
      </w:r>
    </w:p>
    <w:p>
      <w:pPr>
        <w:pStyle w:val="52"/>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5.1.2磋商开始时，</w:t>
      </w:r>
      <w:r>
        <w:rPr>
          <w:rFonts w:hint="eastAsia" w:ascii="宋体" w:hAnsi="宋体" w:eastAsia="宋体" w:cs="宋体"/>
          <w:color w:val="auto"/>
          <w:sz w:val="24"/>
          <w:szCs w:val="24"/>
          <w:highlight w:val="none"/>
        </w:rPr>
        <w:t>由</w:t>
      </w:r>
      <w:r>
        <w:rPr>
          <w:rFonts w:hint="eastAsia" w:ascii="宋体" w:hAnsi="宋体" w:eastAsia="宋体" w:cs="宋体"/>
          <w:bCs/>
          <w:color w:val="auto"/>
          <w:sz w:val="24"/>
          <w:szCs w:val="24"/>
          <w:highlight w:val="none"/>
        </w:rPr>
        <w:t>供应商或供应商代表</w:t>
      </w:r>
      <w:r>
        <w:rPr>
          <w:rFonts w:hint="eastAsia" w:ascii="宋体" w:hAnsi="宋体" w:eastAsia="宋体" w:cs="宋体"/>
          <w:color w:val="auto"/>
          <w:sz w:val="24"/>
          <w:szCs w:val="24"/>
          <w:highlight w:val="none"/>
        </w:rPr>
        <w:t>当场查验响应</w:t>
      </w:r>
      <w:r>
        <w:rPr>
          <w:rFonts w:hint="eastAsia" w:ascii="宋体" w:hAnsi="宋体" w:eastAsia="宋体" w:cs="宋体"/>
          <w:bCs/>
          <w:color w:val="auto"/>
          <w:sz w:val="24"/>
          <w:szCs w:val="24"/>
          <w:highlight w:val="none"/>
        </w:rPr>
        <w:t>文件</w:t>
      </w:r>
      <w:r>
        <w:rPr>
          <w:rFonts w:hint="eastAsia" w:ascii="宋体" w:hAnsi="宋体" w:eastAsia="宋体" w:cs="宋体"/>
          <w:color w:val="auto"/>
          <w:sz w:val="24"/>
          <w:szCs w:val="24"/>
          <w:highlight w:val="none"/>
        </w:rPr>
        <w:t>的密封状况，</w:t>
      </w:r>
      <w:r>
        <w:rPr>
          <w:rFonts w:hint="eastAsia" w:ascii="宋体" w:hAnsi="宋体" w:eastAsia="宋体" w:cs="宋体"/>
          <w:bCs/>
          <w:color w:val="auto"/>
          <w:sz w:val="24"/>
          <w:szCs w:val="24"/>
          <w:highlight w:val="none"/>
        </w:rPr>
        <w:t>采购代理机构</w:t>
      </w:r>
      <w:r>
        <w:rPr>
          <w:rFonts w:hint="eastAsia" w:ascii="宋体" w:hAnsi="宋体" w:eastAsia="宋体" w:cs="宋体"/>
          <w:color w:val="auto"/>
          <w:sz w:val="24"/>
          <w:szCs w:val="24"/>
          <w:highlight w:val="none"/>
        </w:rPr>
        <w:t>拆封</w:t>
      </w:r>
      <w:r>
        <w:rPr>
          <w:rFonts w:hint="eastAsia" w:ascii="宋体" w:hAnsi="宋体" w:eastAsia="宋体" w:cs="宋体"/>
          <w:bCs/>
          <w:color w:val="auto"/>
          <w:sz w:val="24"/>
          <w:szCs w:val="24"/>
          <w:highlight w:val="none"/>
        </w:rPr>
        <w:t>响应文件，公布供应商名称、报价等相关信息</w:t>
      </w:r>
      <w:r>
        <w:rPr>
          <w:rFonts w:hint="eastAsia" w:ascii="宋体" w:hAnsi="宋体" w:eastAsia="宋体" w:cs="宋体"/>
          <w:color w:val="auto"/>
          <w:sz w:val="24"/>
          <w:szCs w:val="24"/>
          <w:highlight w:val="none"/>
        </w:rPr>
        <w:t>。</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5.1.3除了存在以下情形的响应文件之外，磋商开始时将不得拒绝任何报价。</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(1)未按磋商邀请要求报名和获取磋商文件，并提交相关资料的；</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(2)未按磋商须知第5.1.1项规定提交响应文件，并出席磋商仪式的；</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(3)未按磋商须知第4.1项要求对响应文件进行密封和加写标记的；</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(4)响应文件的递交、修改或撤回不符合磋商须知第4.2、4.3项规定的。</w:t>
      </w:r>
    </w:p>
    <w:p>
      <w:pPr>
        <w:pStyle w:val="49"/>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5.2磋商小组</w:t>
      </w:r>
    </w:p>
    <w:p>
      <w:pPr>
        <w:pStyle w:val="49"/>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rPr>
        <w:t>磋商小组将根据采购项目的特点依法组建，磋商小组的组成见</w:t>
      </w:r>
      <w:r>
        <w:rPr>
          <w:rFonts w:hint="eastAsia" w:ascii="宋体" w:hAnsi="宋体" w:eastAsia="宋体" w:cs="宋体"/>
          <w:b/>
          <w:color w:val="auto"/>
          <w:sz w:val="24"/>
          <w:highlight w:val="none"/>
        </w:rPr>
        <w:t>磋商须知前附表</w:t>
      </w:r>
      <w:r>
        <w:rPr>
          <w:rFonts w:hint="eastAsia" w:ascii="宋体" w:hAnsi="宋体" w:eastAsia="宋体" w:cs="宋体"/>
          <w:color w:val="auto"/>
          <w:sz w:val="24"/>
          <w:highlight w:val="none"/>
        </w:rPr>
        <w:t>。</w:t>
      </w:r>
    </w:p>
    <w:p>
      <w:pPr>
        <w:pStyle w:val="49"/>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5.3</w:t>
      </w:r>
      <w:r>
        <w:rPr>
          <w:rFonts w:hint="eastAsia" w:ascii="宋体" w:hAnsi="宋体" w:eastAsia="宋体" w:cs="宋体"/>
          <w:b/>
          <w:color w:val="auto"/>
          <w:sz w:val="24"/>
          <w:highlight w:val="none"/>
        </w:rPr>
        <w:t>响应文件的初步评审与澄清</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5.3.1响应文件的初步评审分为资格性检查、符合性检查。</w:t>
      </w:r>
    </w:p>
    <w:p>
      <w:pPr>
        <w:pStyle w:val="49"/>
        <w:spacing w:line="360" w:lineRule="auto"/>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（1）资格性检查指依据法律、法规和磋商文件的规定，对响应文件资格证明、磋商保证金等进行审查，以确定供应商是否具备报价资格。详细评审标准见</w:t>
      </w:r>
      <w:r>
        <w:rPr>
          <w:rFonts w:hint="eastAsia" w:ascii="宋体" w:hAnsi="宋体" w:eastAsia="宋体" w:cs="宋体"/>
          <w:b/>
          <w:bCs/>
          <w:color w:val="auto"/>
          <w:spacing w:val="-2"/>
          <w:sz w:val="24"/>
          <w:highlight w:val="none"/>
        </w:rPr>
        <w:t>资格审查表</w:t>
      </w:r>
      <w:r>
        <w:rPr>
          <w:rFonts w:hint="eastAsia" w:ascii="宋体" w:hAnsi="宋体" w:eastAsia="宋体" w:cs="宋体"/>
          <w:color w:val="auto"/>
          <w:spacing w:val="-2"/>
          <w:sz w:val="24"/>
          <w:highlight w:val="none"/>
        </w:rPr>
        <w:t>。</w:t>
      </w:r>
    </w:p>
    <w:p>
      <w:pPr>
        <w:pStyle w:val="49"/>
        <w:spacing w:line="360" w:lineRule="auto"/>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（2）符合性检查依据磋商文件的规定，从响应文件的有效性、完整性和对磋商文件的响应程度进行审查，以确定是否对磋商文件的实质性要求作出响应。详细评审标准见</w:t>
      </w:r>
      <w:r>
        <w:rPr>
          <w:rFonts w:hint="eastAsia" w:ascii="宋体" w:hAnsi="宋体" w:eastAsia="宋体" w:cs="宋体"/>
          <w:b/>
          <w:bCs/>
          <w:color w:val="auto"/>
          <w:spacing w:val="-2"/>
          <w:sz w:val="24"/>
          <w:highlight w:val="none"/>
          <w:lang w:val="en-US" w:eastAsia="zh-CN"/>
        </w:rPr>
        <w:t>符合性</w:t>
      </w:r>
      <w:r>
        <w:rPr>
          <w:rFonts w:hint="eastAsia" w:ascii="宋体" w:hAnsi="宋体" w:eastAsia="宋体" w:cs="宋体"/>
          <w:b/>
          <w:bCs/>
          <w:color w:val="auto"/>
          <w:spacing w:val="-2"/>
          <w:sz w:val="24"/>
          <w:highlight w:val="none"/>
        </w:rPr>
        <w:t>审查表。</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5.3.1.1资格性检查</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（1）磋商小组根据评审办法前附表规定的评审因素和评审标准，对供应商的响应文件进行资格评审。资格性检查不合格的供应商的响应文件作无效文件处理。</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（2）磋商小组在进行资格检查时，不得改变磋商文件中已载明的资格条件、标准和办法。资格性检查不合格的供应商的响应文件作无效文件处理。</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（3）供应商在递交响应文件的同时，应逐项对照上述资格性检查要求提交相应的原件和资格证明文件供磋商小组核查，否则评委将不予采信。</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（4）磋商小组在评审中必要时可按供应商提供的联系方式就有关问题进行查询核实，或要求供应商做出书面澄清，查询及澄清结果将作为审查的依据。</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（5）通过全部资格性检查条件合格的供应商才能通过资格检查，其响应文件方可进入下一个检查阶段。</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5.3.1.2符合性检查</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磋商小组根据评审办法前附表规定的评审因素和评审标准，对供应商的响应文件进行符合性检查。符合性检查不合格的供应商的响应文件作无效文件处理。</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5.3.1.3在评审过程中，磋商小组发现供应商有下列情形之一的，作无效文件处理：</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（1）属于同一集团、协会、商会等组织成员的供应商按照该组织要求协同投标；</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（2）不同供应商的响应文件由同一单位或者个人编制；</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（3）不同供应商委托同一单位或者个人办理投标事宜；</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（4）不同供应商的响应文件载明的项目管理成员为同一人；</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（5）不同供应商的响应文件异常一致或者投标报价呈规律性差异；</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（6）不同供应商的响应文件相互混装；</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（7）使用伪造、变造的行政许可证件；</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（8）提供虚假的财务状况或者业绩；</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（9）提供虚假的项目负责人或者主要技术人员简历、劳动关系证明；</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（10）提供虚假的信用状况；</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（11）其他弄虚作假的行为。</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5.3.2响应文件的澄清</w:t>
      </w:r>
    </w:p>
    <w:p>
      <w:pPr>
        <w:pStyle w:val="49"/>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磋商小组在对响应文件的有效性、完整性和对磋商文件的响应程度进行审查时，可以要求供应商对响应文件中含义不明</w:t>
      </w:r>
      <w:r>
        <w:rPr>
          <w:rFonts w:hint="eastAsia" w:ascii="宋体" w:hAnsi="宋体" w:eastAsia="宋体" w:cs="宋体"/>
          <w:color w:val="auto"/>
          <w:sz w:val="24"/>
          <w:highlight w:val="none"/>
        </w:rPr>
        <w:t>确</w:t>
      </w:r>
      <w:r>
        <w:rPr>
          <w:rFonts w:hint="eastAsia" w:ascii="宋体" w:hAnsi="宋体" w:eastAsia="宋体" w:cs="宋体"/>
          <w:color w:val="auto"/>
          <w:sz w:val="24"/>
          <w:highlight w:val="none"/>
          <w:lang w:val="zh-CN"/>
        </w:rPr>
        <w:t>、同类问题表述不一致或者有明显文字和计算错误的内容等作出必要的澄清、说明或者纠正。该要求</w:t>
      </w:r>
      <w:r>
        <w:rPr>
          <w:rFonts w:hint="eastAsia" w:ascii="宋体" w:hAnsi="宋体" w:eastAsia="宋体" w:cs="宋体"/>
          <w:color w:val="auto"/>
          <w:sz w:val="24"/>
          <w:highlight w:val="none"/>
        </w:rPr>
        <w:t>应当以</w:t>
      </w:r>
      <w:r>
        <w:rPr>
          <w:rFonts w:hint="eastAsia" w:ascii="宋体" w:hAnsi="宋体" w:eastAsia="宋体" w:cs="宋体"/>
          <w:color w:val="auto"/>
          <w:sz w:val="24"/>
          <w:highlight w:val="none"/>
          <w:lang w:val="zh-CN"/>
        </w:rPr>
        <w:t>书面形式作出。供应商的澄清、说明或者补正应当采用书面形式，由其</w:t>
      </w:r>
      <w:r>
        <w:rPr>
          <w:rFonts w:hint="eastAsia" w:ascii="宋体" w:hAnsi="宋体" w:eastAsia="宋体" w:cs="宋体"/>
          <w:color w:val="auto"/>
          <w:sz w:val="24"/>
          <w:highlight w:val="none"/>
        </w:rPr>
        <w:t>法定代表人或其授权代表签字</w:t>
      </w:r>
      <w:r>
        <w:rPr>
          <w:rFonts w:hint="eastAsia" w:ascii="宋体" w:hAnsi="宋体" w:eastAsia="宋体" w:cs="宋体"/>
          <w:color w:val="auto"/>
          <w:sz w:val="24"/>
          <w:highlight w:val="none"/>
          <w:lang w:val="zh-CN"/>
        </w:rPr>
        <w:t>。供应商的澄清、说明或者更正不得超出磋商文件的范围或</w:t>
      </w:r>
      <w:r>
        <w:rPr>
          <w:rFonts w:hint="eastAsia" w:ascii="宋体" w:hAnsi="宋体" w:eastAsia="宋体" w:cs="宋体"/>
          <w:color w:val="auto"/>
          <w:kern w:val="0"/>
          <w:sz w:val="24"/>
          <w:highlight w:val="none"/>
          <w:lang w:val="zh-CN"/>
        </w:rPr>
        <w:t>者改变响应文件的实质性内容。</w:t>
      </w:r>
    </w:p>
    <w:p>
      <w:pPr>
        <w:pStyle w:val="49"/>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color w:val="auto"/>
          <w:kern w:val="0"/>
          <w:sz w:val="24"/>
          <w:highlight w:val="none"/>
          <w:lang w:val="zh-CN"/>
        </w:rPr>
        <w:t>计算</w:t>
      </w:r>
      <w:r>
        <w:rPr>
          <w:rFonts w:hint="eastAsia" w:ascii="宋体" w:hAnsi="宋体" w:eastAsia="宋体" w:cs="宋体"/>
          <w:color w:val="auto"/>
          <w:sz w:val="24"/>
          <w:highlight w:val="none"/>
        </w:rPr>
        <w:t>错误修正的原则：单价与总价有出入,以单价为准；大、小写有出入，以大写为准；响应文件正本与副本有出入，以正本为准。按上述原则修正的响应文件，对供应商起约束作用，供应商不接受修正的，其响应文件将被拒绝。</w:t>
      </w:r>
    </w:p>
    <w:p>
      <w:pPr>
        <w:pStyle w:val="49"/>
        <w:tabs>
          <w:tab w:val="left" w:pos="0"/>
        </w:tabs>
        <w:adjustRightInd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5.4 磋商、最后报价</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5.4.1</w:t>
      </w:r>
      <w:r>
        <w:rPr>
          <w:rFonts w:hint="eastAsia" w:ascii="宋体" w:hAnsi="宋体" w:eastAsia="宋体" w:cs="宋体"/>
          <w:color w:val="auto"/>
          <w:kern w:val="0"/>
          <w:sz w:val="24"/>
          <w:highlight w:val="none"/>
          <w:lang w:val="zh-CN"/>
        </w:rPr>
        <w:t>磋商小组所有成员按以下两种情况和程序集中与单一供应商分别进行磋商。并给予所有参加</w:t>
      </w:r>
      <w:r>
        <w:rPr>
          <w:rFonts w:hint="eastAsia" w:ascii="宋体" w:hAnsi="宋体" w:eastAsia="宋体" w:cs="宋体"/>
          <w:bCs/>
          <w:color w:val="auto"/>
          <w:sz w:val="24"/>
          <w:highlight w:val="none"/>
        </w:rPr>
        <w:t>磋商</w:t>
      </w:r>
      <w:r>
        <w:rPr>
          <w:rFonts w:hint="eastAsia" w:ascii="宋体" w:hAnsi="宋体" w:eastAsia="宋体" w:cs="宋体"/>
          <w:color w:val="auto"/>
          <w:kern w:val="0"/>
          <w:sz w:val="24"/>
          <w:highlight w:val="none"/>
          <w:lang w:val="zh-CN"/>
        </w:rPr>
        <w:t>的供应商相同的磋商机会。</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（1）第一种情况</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磋商文件能够详细列明采购标的的技术、服务要求的，磋商结束后，磋商小组将要求所有实质性响应的供应商在规定时间内提交最后报价。最后报价是供应商响应文件的有效组成部分。</w:t>
      </w:r>
      <w:r>
        <w:rPr>
          <w:rFonts w:hint="eastAsia" w:ascii="宋体" w:hAnsi="宋体" w:eastAsia="宋体" w:cs="宋体"/>
          <w:snapToGrid w:val="0"/>
          <w:color w:val="auto"/>
          <w:kern w:val="0"/>
          <w:sz w:val="24"/>
          <w:highlight w:val="none"/>
        </w:rPr>
        <w:t>提交最后报价的供应商不得少于3家。</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（2）第二种情况</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snapToGrid w:val="0"/>
          <w:color w:val="auto"/>
          <w:kern w:val="0"/>
          <w:sz w:val="24"/>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eastAsia="宋体" w:cs="宋体"/>
          <w:color w:val="auto"/>
          <w:sz w:val="24"/>
          <w:highlight w:val="none"/>
        </w:rPr>
        <w:t>最后报价是供应商响应文件的有效组成部分。</w:t>
      </w:r>
    </w:p>
    <w:p>
      <w:pPr>
        <w:pStyle w:val="49"/>
        <w:tabs>
          <w:tab w:val="left" w:pos="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5.4.2</w:t>
      </w:r>
      <w:r>
        <w:rPr>
          <w:rFonts w:hint="eastAsia" w:ascii="宋体" w:hAnsi="宋体" w:eastAsia="宋体" w:cs="宋体"/>
          <w:color w:val="auto"/>
          <w:sz w:val="24"/>
          <w:highlight w:val="none"/>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pPr>
        <w:pStyle w:val="49"/>
        <w:tabs>
          <w:tab w:val="left" w:pos="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5.4.3已提交响应文件的供应商，在提交最后报价之前，可以根据磋商情况退出磋商。采购机构将退还退出磋商的供应商的磋商保证金。</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5.4.4磋商轮数和最后</w:t>
      </w:r>
      <w:r>
        <w:rPr>
          <w:rFonts w:hint="eastAsia" w:ascii="宋体" w:hAnsi="宋体" w:eastAsia="宋体" w:cs="宋体"/>
          <w:color w:val="auto"/>
          <w:sz w:val="24"/>
          <w:highlight w:val="none"/>
        </w:rPr>
        <w:t>报价的要求</w:t>
      </w:r>
      <w:r>
        <w:rPr>
          <w:rFonts w:hint="eastAsia" w:ascii="宋体" w:hAnsi="宋体" w:eastAsia="宋体" w:cs="宋体"/>
          <w:color w:val="auto"/>
          <w:sz w:val="24"/>
          <w:highlight w:val="none"/>
          <w:lang w:val="zh-CN"/>
        </w:rPr>
        <w:t>见</w:t>
      </w:r>
      <w:r>
        <w:rPr>
          <w:rFonts w:hint="eastAsia" w:ascii="宋体" w:hAnsi="宋体" w:eastAsia="宋体" w:cs="宋体"/>
          <w:b/>
          <w:color w:val="auto"/>
          <w:sz w:val="24"/>
          <w:highlight w:val="none"/>
          <w:lang w:val="zh-CN"/>
        </w:rPr>
        <w:t>磋商须知前附表。</w:t>
      </w:r>
    </w:p>
    <w:p>
      <w:pPr>
        <w:pStyle w:val="49"/>
        <w:tabs>
          <w:tab w:val="left" w:pos="0"/>
        </w:tabs>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5.5综合评审</w:t>
      </w:r>
    </w:p>
    <w:p>
      <w:pPr>
        <w:pStyle w:val="49"/>
        <w:tabs>
          <w:tab w:val="left" w:pos="0"/>
        </w:tabs>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5.5.1</w:t>
      </w:r>
      <w:r>
        <w:rPr>
          <w:rFonts w:hint="eastAsia" w:ascii="宋体" w:hAnsi="宋体" w:eastAsia="宋体" w:cs="宋体"/>
          <w:bCs/>
          <w:color w:val="auto"/>
          <w:sz w:val="24"/>
          <w:highlight w:val="none"/>
        </w:rPr>
        <w:t>评审方法</w:t>
      </w:r>
      <w:r>
        <w:rPr>
          <w:rFonts w:hint="eastAsia" w:ascii="宋体" w:hAnsi="宋体" w:eastAsia="宋体" w:cs="宋体"/>
          <w:color w:val="auto"/>
          <w:sz w:val="24"/>
          <w:highlight w:val="none"/>
        </w:rPr>
        <w:t>：综合评分法，是指响应文件满足磋商文件全部实质性要求且按评审因素的量化指标评审得分最高的供应商为成交候选供应商的评审方法。</w:t>
      </w:r>
    </w:p>
    <w:p>
      <w:pPr>
        <w:pStyle w:val="49"/>
        <w:tabs>
          <w:tab w:val="left" w:pos="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5.5.2磋商小组依据磋商文件及供应商的响应文件</w:t>
      </w:r>
      <w:r>
        <w:rPr>
          <w:rFonts w:hint="eastAsia" w:ascii="宋体" w:hAnsi="宋体" w:eastAsia="宋体" w:cs="宋体"/>
          <w:color w:val="auto"/>
          <w:sz w:val="24"/>
          <w:highlight w:val="none"/>
        </w:rPr>
        <w:t>和</w:t>
      </w:r>
      <w:r>
        <w:rPr>
          <w:rFonts w:hint="eastAsia" w:ascii="宋体" w:hAnsi="宋体" w:eastAsia="宋体" w:cs="宋体"/>
          <w:color w:val="auto"/>
          <w:kern w:val="0"/>
          <w:sz w:val="24"/>
          <w:highlight w:val="none"/>
          <w:lang w:val="zh-CN"/>
        </w:rPr>
        <w:t>最后报价</w:t>
      </w:r>
      <w:r>
        <w:rPr>
          <w:rFonts w:hint="eastAsia" w:ascii="宋体" w:hAnsi="宋体" w:eastAsia="宋体" w:cs="宋体"/>
          <w:bCs/>
          <w:color w:val="auto"/>
          <w:sz w:val="24"/>
          <w:highlight w:val="none"/>
        </w:rPr>
        <w:t>，对响应文件的商务和技术部分进行进一步的比较和评价，详细</w:t>
      </w:r>
      <w:r>
        <w:rPr>
          <w:rFonts w:hint="eastAsia" w:ascii="宋体" w:hAnsi="宋体" w:eastAsia="宋体" w:cs="宋体"/>
          <w:color w:val="auto"/>
          <w:sz w:val="24"/>
          <w:highlight w:val="none"/>
        </w:rPr>
        <w:t>评审标准见</w:t>
      </w:r>
      <w:r>
        <w:rPr>
          <w:rFonts w:hint="eastAsia" w:ascii="宋体" w:hAnsi="宋体" w:eastAsia="宋体" w:cs="宋体"/>
          <w:b/>
          <w:bCs/>
          <w:color w:val="auto"/>
          <w:sz w:val="24"/>
          <w:highlight w:val="none"/>
        </w:rPr>
        <w:t>第三章 评审方法</w:t>
      </w:r>
      <w:r>
        <w:rPr>
          <w:rFonts w:hint="eastAsia" w:ascii="宋体" w:hAnsi="宋体" w:eastAsia="宋体" w:cs="宋体"/>
          <w:bCs/>
          <w:color w:val="auto"/>
          <w:sz w:val="24"/>
          <w:highlight w:val="none"/>
        </w:rPr>
        <w:t>。</w:t>
      </w:r>
    </w:p>
    <w:p>
      <w:pPr>
        <w:pStyle w:val="49"/>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5.5.3若供应商的报价明显低于其他报价，使得其报价可能低于其个别成本的，有可能影响商品质量或不能诚信履约的，供应商应按磋商小组的要求作出书面说明并提供相关证明材料，不能合理说明或不能提供相关证明材料的，可作无效报价处理。</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5.5.4对漏（缺）报项的处理：磋商文件中要求列入报价的费用（含配置、功能）漏报的，以及“已标价的工程量清单”中供应商没有填入单价（价格）或漏（缺）报的项目视同已含在总报价中，不予调整。对多报项及赠送项的价格评审时不予核减，全部进入评标价评议。</w:t>
      </w:r>
    </w:p>
    <w:p>
      <w:pPr>
        <w:pStyle w:val="49"/>
        <w:tabs>
          <w:tab w:val="left" w:pos="0"/>
        </w:tabs>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5.6成交原则</w:t>
      </w:r>
    </w:p>
    <w:p>
      <w:pPr>
        <w:pStyle w:val="49"/>
        <w:tabs>
          <w:tab w:val="left" w:pos="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对经比较和评价符合磋商文件要求的供应商，按照综合评审得分由高到低顺序推荐</w:t>
      </w:r>
      <w:r>
        <w:rPr>
          <w:rFonts w:hint="eastAsia" w:ascii="宋体" w:hAnsi="宋体" w:eastAsia="宋体" w:cs="宋体"/>
          <w:b/>
          <w:bCs/>
          <w:color w:val="auto"/>
          <w:sz w:val="24"/>
          <w:highlight w:val="none"/>
        </w:rPr>
        <w:t>磋商须知前附表</w:t>
      </w:r>
      <w:r>
        <w:rPr>
          <w:rFonts w:hint="eastAsia" w:ascii="宋体" w:hAnsi="宋体" w:eastAsia="宋体" w:cs="宋体"/>
          <w:bCs/>
          <w:color w:val="auto"/>
          <w:sz w:val="24"/>
          <w:highlight w:val="none"/>
        </w:rPr>
        <w:t>规定数量的成交候选</w:t>
      </w: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rPr>
        <w:t>并确定排名第一的</w:t>
      </w:r>
      <w:r>
        <w:rPr>
          <w:rFonts w:hint="eastAsia" w:ascii="宋体" w:hAnsi="宋体" w:eastAsia="宋体" w:cs="宋体"/>
          <w:color w:val="auto"/>
          <w:kern w:val="0"/>
          <w:sz w:val="24"/>
          <w:highlight w:val="none"/>
          <w:lang w:val="zh-CN"/>
        </w:rPr>
        <w:t>成交候选</w:t>
      </w:r>
      <w:r>
        <w:rPr>
          <w:rFonts w:hint="eastAsia" w:ascii="宋体" w:hAnsi="宋体" w:eastAsia="宋体" w:cs="宋体"/>
          <w:bCs/>
          <w:color w:val="auto"/>
          <w:sz w:val="24"/>
          <w:highlight w:val="none"/>
        </w:rPr>
        <w:t>供应商为成交供应商</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lang w:val="zh-CN"/>
        </w:rPr>
        <w:t>如报价</w:t>
      </w:r>
      <w:r>
        <w:rPr>
          <w:rFonts w:hint="eastAsia" w:ascii="宋体" w:hAnsi="宋体" w:eastAsia="宋体" w:cs="宋体"/>
          <w:color w:val="auto"/>
          <w:sz w:val="24"/>
          <w:highlight w:val="none"/>
        </w:rPr>
        <w:t>相同，由磋商小组按技术指标、实力等综合因素优劣排列。</w:t>
      </w:r>
    </w:p>
    <w:p>
      <w:pPr>
        <w:pStyle w:val="52"/>
        <w:adjustRightInd w:val="0"/>
        <w:snapToGrid w:val="0"/>
        <w:spacing w:line="360" w:lineRule="auto"/>
        <w:ind w:left="723" w:hanging="723" w:hangingChars="3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5.7 磋商的特殊情形</w:t>
      </w:r>
    </w:p>
    <w:p>
      <w:pPr>
        <w:pStyle w:val="52"/>
        <w:adjustRightInd w:val="0"/>
        <w:snapToGrid w:val="0"/>
        <w:spacing w:line="360" w:lineRule="auto"/>
        <w:ind w:firstLine="352"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5.7.1递交响应文件的供应商不足三家的，不开标唱标，除采购任务取消外，如磋商文件没有不合理条款，发布项目延期公告，延长三个工作日，延长期满后，仍不足三家的，继续进入磋商程序。</w:t>
      </w:r>
    </w:p>
    <w:p>
      <w:pPr>
        <w:pStyle w:val="49"/>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kern w:val="0"/>
          <w:sz w:val="24"/>
          <w:highlight w:val="none"/>
          <w:lang w:val="zh-CN"/>
        </w:rPr>
        <w:t>5.7.2对磋商文件</w:t>
      </w:r>
      <w:r>
        <w:rPr>
          <w:rFonts w:hint="eastAsia" w:ascii="宋体" w:hAnsi="宋体" w:eastAsia="宋体" w:cs="宋体"/>
          <w:color w:val="auto"/>
          <w:sz w:val="24"/>
          <w:highlight w:val="none"/>
        </w:rPr>
        <w:t>作出实质性响应的供应商不足三家，但</w:t>
      </w:r>
      <w:r>
        <w:rPr>
          <w:rFonts w:hint="eastAsia" w:ascii="宋体" w:hAnsi="宋体" w:eastAsia="宋体" w:cs="宋体"/>
          <w:snapToGrid w:val="0"/>
          <w:color w:val="auto"/>
          <w:kern w:val="0"/>
          <w:sz w:val="24"/>
          <w:highlight w:val="none"/>
        </w:rPr>
        <w:t>符合《</w:t>
      </w:r>
      <w:r>
        <w:rPr>
          <w:rFonts w:hint="eastAsia" w:ascii="宋体" w:hAnsi="宋体" w:eastAsia="宋体" w:cs="宋体"/>
          <w:color w:val="auto"/>
          <w:sz w:val="24"/>
          <w:highlight w:val="none"/>
        </w:rPr>
        <w:t>政府采购竞争性磋商采购方式管理暂行办法</w:t>
      </w:r>
      <w:r>
        <w:rPr>
          <w:rFonts w:hint="eastAsia" w:ascii="宋体" w:hAnsi="宋体" w:eastAsia="宋体" w:cs="宋体"/>
          <w:snapToGrid w:val="0"/>
          <w:color w:val="auto"/>
          <w:kern w:val="0"/>
          <w:sz w:val="24"/>
          <w:highlight w:val="none"/>
        </w:rPr>
        <w:t>》第二十一条规定的属于本办法第三条第四项“市场竞争不充分的科研项目，以及需要扶持的科技成果转化项目”情形的，提交最后报价的供应商可以为2家。</w:t>
      </w:r>
    </w:p>
    <w:p>
      <w:pPr>
        <w:pStyle w:val="47"/>
        <w:jc w:val="center"/>
        <w:outlineLvl w:val="1"/>
        <w:rPr>
          <w:rFonts w:hint="eastAsia" w:ascii="宋体" w:hAnsi="宋体" w:eastAsia="宋体" w:cs="宋体"/>
          <w:b/>
          <w:bCs/>
          <w:color w:val="auto"/>
          <w:szCs w:val="22"/>
          <w:highlight w:val="none"/>
        </w:rPr>
      </w:pPr>
      <w:bookmarkStart w:id="41" w:name="_Toc31596"/>
      <w:bookmarkStart w:id="42" w:name="_Toc256000019"/>
      <w:bookmarkStart w:id="43" w:name="_Toc1042"/>
      <w:bookmarkStart w:id="44" w:name="_Toc256000010"/>
      <w:bookmarkStart w:id="45" w:name="_Toc13595"/>
      <w:r>
        <w:rPr>
          <w:rFonts w:hint="eastAsia" w:ascii="宋体" w:hAnsi="宋体" w:eastAsia="宋体" w:cs="宋体"/>
          <w:b/>
          <w:bCs/>
          <w:color w:val="auto"/>
          <w:szCs w:val="22"/>
          <w:highlight w:val="none"/>
        </w:rPr>
        <w:t>六、成交结果及合同授予</w:t>
      </w:r>
      <w:bookmarkEnd w:id="41"/>
      <w:bookmarkEnd w:id="42"/>
      <w:bookmarkEnd w:id="43"/>
      <w:bookmarkEnd w:id="44"/>
      <w:bookmarkEnd w:id="45"/>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6.1成交结果</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磋商结束后，成交结果信息将在</w:t>
      </w:r>
      <w:r>
        <w:rPr>
          <w:rFonts w:hint="eastAsia" w:hAnsi="宋体" w:cs="宋体"/>
          <w:b/>
          <w:color w:val="auto"/>
          <w:sz w:val="24"/>
          <w:szCs w:val="24"/>
          <w:highlight w:val="none"/>
        </w:rPr>
        <w:t>磋商须知前附表</w:t>
      </w:r>
      <w:r>
        <w:rPr>
          <w:rFonts w:hint="eastAsia" w:hAnsi="宋体" w:cs="宋体"/>
          <w:color w:val="auto"/>
          <w:sz w:val="24"/>
          <w:szCs w:val="24"/>
          <w:highlight w:val="none"/>
        </w:rPr>
        <w:t>规定的媒体上公布。</w:t>
      </w:r>
      <w:r>
        <w:rPr>
          <w:rFonts w:hint="eastAsia" w:hAnsi="宋体" w:cs="宋体"/>
          <w:color w:val="auto"/>
          <w:sz w:val="24"/>
          <w:szCs w:val="24"/>
          <w:highlight w:val="none"/>
          <w:lang w:val="zh-CN"/>
        </w:rPr>
        <w:t>同时向成交供应商发出成交通知书，该通知书将是合同的组成部分。</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6.2签订合同</w:t>
      </w:r>
    </w:p>
    <w:p>
      <w:pPr>
        <w:pStyle w:val="49"/>
        <w:autoSpaceDE w:val="0"/>
        <w:autoSpaceDN w:val="0"/>
        <w:adjustRightIn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6.2.1 成交供应商应按成交通知书规定的时间、地点与采购人签订书面合同。</w:t>
      </w:r>
    </w:p>
    <w:p>
      <w:pPr>
        <w:pStyle w:val="49"/>
        <w:autoSpaceDE w:val="0"/>
        <w:autoSpaceDN w:val="0"/>
        <w:adjustRightIn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6.2.2 </w:t>
      </w:r>
      <w:r>
        <w:rPr>
          <w:rFonts w:hint="eastAsia" w:ascii="宋体" w:hAnsi="宋体" w:cs="宋体"/>
          <w:color w:val="auto"/>
          <w:sz w:val="24"/>
          <w:highlight w:val="none"/>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pPr>
        <w:pStyle w:val="49"/>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6.2.3政府采购合同履行中，采购人需追加与合同标的相同的工程的，在不改变合同其他条款的前提下，可以与成交供应商协商签订补充合同，但所有补充合同的采购金额不得超过原合同采购金额的百分之十。</w:t>
      </w:r>
    </w:p>
    <w:p>
      <w:pPr>
        <w:pStyle w:val="47"/>
        <w:jc w:val="center"/>
        <w:outlineLvl w:val="1"/>
        <w:rPr>
          <w:rFonts w:hint="eastAsia" w:ascii="宋体" w:hAnsi="宋体" w:eastAsia="宋体" w:cs="宋体"/>
          <w:b/>
          <w:bCs/>
          <w:color w:val="auto"/>
          <w:szCs w:val="22"/>
          <w:highlight w:val="none"/>
        </w:rPr>
      </w:pPr>
      <w:bookmarkStart w:id="46" w:name="_Toc12809"/>
      <w:bookmarkStart w:id="47" w:name="_Toc32267"/>
      <w:bookmarkStart w:id="48" w:name="_Toc256000020"/>
      <w:bookmarkStart w:id="49" w:name="_Toc7422"/>
      <w:bookmarkStart w:id="50" w:name="_Toc256000011"/>
      <w:r>
        <w:rPr>
          <w:rFonts w:hint="eastAsia" w:ascii="宋体" w:hAnsi="宋体" w:eastAsia="宋体" w:cs="宋体"/>
          <w:b/>
          <w:bCs/>
          <w:color w:val="auto"/>
          <w:szCs w:val="22"/>
          <w:highlight w:val="none"/>
        </w:rPr>
        <w:t>七、质疑与投诉</w:t>
      </w:r>
      <w:bookmarkEnd w:id="46"/>
      <w:bookmarkEnd w:id="47"/>
      <w:bookmarkEnd w:id="48"/>
      <w:bookmarkEnd w:id="49"/>
      <w:bookmarkEnd w:id="50"/>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7.1 供应商认为采购文件、采购过程、中标或者成交结果使自己的权益受到损害的，可以在知道或者应知其权益受到损害之日起7个工作日内，以书面形式向采购人、采购代理机构提出质疑。</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7.2供应商若认为磋商文件、磋商过程和成交结果使自己的权益受到损害，应在以下规定时间内以书面形式向采购机构提出：</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（1）对可以质疑的磋商文件提出质疑的，应当自收到磋商文件之日或者磋商文件公告期限届满之日起七个工作日内；</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（2）对磋商过程提出质疑的，应当在各磋商程序环节结束之日起七个工作日内；</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（3）对成交结果提出质疑的，应当在成交结果公告期限届满之日起七个工作日内提出；</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（4）磋商文件或法律法规规定的其他时间内。</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7.3 供应商提出质疑的，应当有明确的请求和必要的证明材料，并提供质疑书原件。招标采购单位向质疑供应商签收回执。</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7.4 质疑书应当由质疑供应商法定代表人或授权代表人签字并加盖公章，质疑书由授权代表人签字的应附法定代表人授权书。</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7.5 采购机构将在签收回执之日起七个工作日内作出书面答复，并以书面形式通知与质疑处理结果有关的供应商。</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7.6 供应商对采购机构的答复不满意，或采购机构未在规定的期限作出答复的，可在答复期满后十五个工作日内，按政府采购相关法律法规规章的规定及程序，向相关行政监督部门提出投诉，投诉的事项不得超出已质疑事项的范围。</w:t>
      </w:r>
    </w:p>
    <w:p>
      <w:pPr>
        <w:pStyle w:val="47"/>
        <w:jc w:val="center"/>
        <w:outlineLvl w:val="1"/>
        <w:rPr>
          <w:rFonts w:hint="eastAsia" w:ascii="宋体" w:hAnsi="宋体" w:eastAsia="宋体" w:cs="宋体"/>
          <w:b/>
          <w:bCs/>
          <w:color w:val="auto"/>
          <w:szCs w:val="22"/>
          <w:highlight w:val="none"/>
        </w:rPr>
      </w:pPr>
      <w:bookmarkStart w:id="51" w:name="_Toc20549"/>
      <w:bookmarkStart w:id="52" w:name="_Toc256000012"/>
      <w:bookmarkStart w:id="53" w:name="_Toc256000021"/>
      <w:bookmarkStart w:id="54" w:name="_Toc9458"/>
      <w:bookmarkStart w:id="55" w:name="_Toc4019"/>
      <w:r>
        <w:rPr>
          <w:rFonts w:hint="eastAsia" w:ascii="宋体" w:hAnsi="宋体" w:eastAsia="宋体" w:cs="宋体"/>
          <w:b/>
          <w:bCs/>
          <w:color w:val="auto"/>
          <w:szCs w:val="22"/>
          <w:highlight w:val="none"/>
        </w:rPr>
        <w:t>八、其他规定</w:t>
      </w:r>
      <w:bookmarkEnd w:id="51"/>
      <w:bookmarkEnd w:id="52"/>
      <w:bookmarkEnd w:id="53"/>
      <w:bookmarkEnd w:id="54"/>
      <w:bookmarkEnd w:id="55"/>
    </w:p>
    <w:p>
      <w:pPr>
        <w:pStyle w:val="49"/>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磋商文件的其他规定见磋商须知前附</w:t>
      </w:r>
      <w:bookmarkStart w:id="56" w:name="_Toc7041"/>
      <w:bookmarkStart w:id="57" w:name="_Toc529952598"/>
      <w:bookmarkStart w:id="58" w:name="_Toc256000022"/>
      <w:bookmarkStart w:id="59" w:name="_Toc23825"/>
    </w:p>
    <w:p>
      <w:pPr>
        <w:pStyle w:val="49"/>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p>
    <w:p>
      <w:pPr>
        <w:pStyle w:val="49"/>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p>
    <w:p>
      <w:pPr>
        <w:pStyle w:val="49"/>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p>
    <w:p>
      <w:pPr>
        <w:pStyle w:val="49"/>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p>
    <w:p>
      <w:pPr>
        <w:pStyle w:val="49"/>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p>
    <w:p>
      <w:pPr>
        <w:spacing w:line="360" w:lineRule="auto"/>
        <w:jc w:val="center"/>
        <w:outlineLvl w:val="0"/>
        <w:rPr>
          <w:rFonts w:hint="eastAsia" w:ascii="宋体" w:hAnsi="宋体" w:eastAsia="宋体" w:cs="宋体"/>
          <w:b/>
          <w:color w:val="auto"/>
          <w:sz w:val="32"/>
          <w:szCs w:val="32"/>
          <w:highlight w:val="none"/>
        </w:rPr>
      </w:pPr>
      <w:bookmarkStart w:id="60" w:name="_Toc22337"/>
      <w:bookmarkStart w:id="61" w:name="_Toc19877"/>
      <w:bookmarkStart w:id="62" w:name="_Toc6876"/>
      <w:r>
        <w:rPr>
          <w:rFonts w:hint="eastAsia" w:ascii="宋体" w:hAnsi="宋体" w:eastAsia="宋体" w:cs="宋体"/>
          <w:b/>
          <w:color w:val="auto"/>
          <w:sz w:val="32"/>
          <w:szCs w:val="32"/>
          <w:highlight w:val="none"/>
          <w:lang w:val="en-US" w:eastAsia="zh-CN"/>
        </w:rPr>
        <w:t>第三章 评审方法（综合评分法）</w:t>
      </w:r>
      <w:bookmarkEnd w:id="56"/>
      <w:bookmarkEnd w:id="57"/>
      <w:bookmarkEnd w:id="58"/>
      <w:bookmarkEnd w:id="59"/>
      <w:bookmarkEnd w:id="60"/>
      <w:bookmarkEnd w:id="61"/>
      <w:bookmarkEnd w:id="62"/>
    </w:p>
    <w:p>
      <w:pPr>
        <w:tabs>
          <w:tab w:val="left" w:pos="420"/>
          <w:tab w:val="left" w:pos="7560"/>
          <w:tab w:val="left" w:pos="7740"/>
          <w:tab w:val="left" w:pos="7920"/>
        </w:tabs>
        <w:adjustRightInd w:val="0"/>
        <w:snapToGrid w:val="0"/>
        <w:spacing w:line="360" w:lineRule="auto"/>
        <w:outlineLvl w:val="1"/>
        <w:rPr>
          <w:rFonts w:hint="eastAsia" w:ascii="宋体" w:hAnsi="宋体" w:cs="宋体"/>
          <w:b/>
          <w:color w:val="auto"/>
          <w:sz w:val="24"/>
          <w:szCs w:val="24"/>
          <w:highlight w:val="none"/>
        </w:rPr>
      </w:pPr>
      <w:bookmarkStart w:id="63" w:name="_Toc20229"/>
      <w:bookmarkStart w:id="64" w:name="_Toc15535"/>
      <w:r>
        <w:rPr>
          <w:rFonts w:hint="eastAsia" w:ascii="宋体" w:hAnsi="宋体" w:cs="宋体"/>
          <w:b/>
          <w:color w:val="auto"/>
          <w:sz w:val="24"/>
          <w:szCs w:val="24"/>
          <w:highlight w:val="none"/>
        </w:rPr>
        <w:t>一、综合评分</w:t>
      </w:r>
      <w:bookmarkEnd w:id="63"/>
      <w:bookmarkEnd w:id="64"/>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1.经磋商确定最终采购需求和提交最后报价的供应商后，由磋商小组采用综合评分法对提交最后报价的供应商的响应文件和最后报价进行综合评分。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综合评分法，是指响应文件满足磋商文件全部实质性要求且按评审因素的量化指标评审得分最高的供应商为成交候选供应商的评审方法。</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2.评审时，磋商小组各成员应当独立对每个有效响应的文件进行评价、打分，然后汇总每个供应商每项评分因素的得分。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pStyle w:val="24"/>
        <w:keepNext w:val="0"/>
        <w:keepLines w:val="0"/>
        <w:widowControl/>
        <w:suppressLineNumbers w:val="0"/>
        <w:spacing w:line="240" w:lineRule="atLeast"/>
        <w:rPr>
          <w:rFonts w:hint="eastAsia" w:ascii="宋体" w:hAnsi="宋体" w:eastAsia="宋体" w:cs="宋体"/>
          <w:b/>
          <w:color w:val="auto"/>
          <w:sz w:val="24"/>
          <w:szCs w:val="24"/>
          <w:highlight w:val="none"/>
        </w:rPr>
      </w:pPr>
      <w:bookmarkStart w:id="65" w:name="_Toc11231"/>
    </w:p>
    <w:p>
      <w:pPr>
        <w:pStyle w:val="24"/>
        <w:keepNext w:val="0"/>
        <w:keepLines w:val="0"/>
        <w:widowControl/>
        <w:suppressLineNumbers w:val="0"/>
        <w:spacing w:line="240" w:lineRule="atLeast"/>
        <w:rPr>
          <w:rFonts w:hint="eastAsia" w:ascii="宋体" w:hAnsi="宋体" w:eastAsia="宋体" w:cs="宋体"/>
          <w:b/>
          <w:color w:val="auto"/>
          <w:sz w:val="24"/>
          <w:szCs w:val="24"/>
          <w:highlight w:val="none"/>
        </w:rPr>
      </w:pPr>
    </w:p>
    <w:p>
      <w:pPr>
        <w:pStyle w:val="24"/>
        <w:keepNext w:val="0"/>
        <w:keepLines w:val="0"/>
        <w:widowControl/>
        <w:suppressLineNumbers w:val="0"/>
        <w:spacing w:line="240" w:lineRule="atLeast"/>
        <w:rPr>
          <w:rFonts w:hint="eastAsia" w:ascii="宋体" w:hAnsi="宋体" w:eastAsia="宋体" w:cs="宋体"/>
          <w:b/>
          <w:color w:val="auto"/>
          <w:sz w:val="24"/>
          <w:szCs w:val="24"/>
          <w:highlight w:val="none"/>
        </w:rPr>
      </w:pPr>
    </w:p>
    <w:p>
      <w:pPr>
        <w:pStyle w:val="24"/>
        <w:keepNext w:val="0"/>
        <w:keepLines w:val="0"/>
        <w:widowControl/>
        <w:suppressLineNumbers w:val="0"/>
        <w:spacing w:line="240" w:lineRule="atLeast"/>
        <w:rPr>
          <w:rFonts w:hint="eastAsia" w:ascii="宋体" w:hAnsi="宋体" w:eastAsia="宋体" w:cs="宋体"/>
          <w:b/>
          <w:color w:val="auto"/>
          <w:sz w:val="24"/>
          <w:szCs w:val="24"/>
          <w:highlight w:val="none"/>
        </w:rPr>
      </w:pPr>
    </w:p>
    <w:p>
      <w:pPr>
        <w:pStyle w:val="24"/>
        <w:keepNext w:val="0"/>
        <w:keepLines w:val="0"/>
        <w:widowControl/>
        <w:suppressLineNumbers w:val="0"/>
        <w:spacing w:line="240" w:lineRule="atLeast"/>
        <w:rPr>
          <w:rFonts w:hint="eastAsia" w:ascii="宋体" w:hAnsi="宋体" w:eastAsia="宋体" w:cs="宋体"/>
          <w:b/>
          <w:color w:val="auto"/>
          <w:sz w:val="24"/>
          <w:szCs w:val="24"/>
          <w:highlight w:val="none"/>
        </w:rPr>
      </w:pPr>
    </w:p>
    <w:p>
      <w:pPr>
        <w:pStyle w:val="24"/>
        <w:keepNext w:val="0"/>
        <w:keepLines w:val="0"/>
        <w:widowControl/>
        <w:suppressLineNumbers w:val="0"/>
        <w:spacing w:line="240" w:lineRule="atLeast"/>
        <w:rPr>
          <w:rFonts w:hint="eastAsia" w:ascii="宋体" w:hAnsi="宋体" w:eastAsia="宋体" w:cs="宋体"/>
          <w:b/>
          <w:color w:val="auto"/>
          <w:sz w:val="24"/>
          <w:szCs w:val="24"/>
          <w:highlight w:val="none"/>
        </w:rPr>
      </w:pPr>
    </w:p>
    <w:p>
      <w:pPr>
        <w:pStyle w:val="24"/>
        <w:keepNext w:val="0"/>
        <w:keepLines w:val="0"/>
        <w:widowControl/>
        <w:suppressLineNumbers w:val="0"/>
        <w:spacing w:line="240" w:lineRule="atLeas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二.综合评分细则表</w:t>
      </w:r>
      <w:bookmarkEnd w:id="65"/>
      <w:bookmarkStart w:id="66" w:name="EB2b9517aba70e41b6b8039ac384a1ee3b"/>
      <w:bookmarkStart w:id="67" w:name="EBa7c662697928483c8bec43b86b5b112f"/>
    </w:p>
    <w:tbl>
      <w:tblPr>
        <w:tblStyle w:val="28"/>
        <w:tblpPr w:leftFromText="180" w:rightFromText="180" w:vertAnchor="text" w:horzAnchor="page" w:tblpXSpec="center" w:tblpY="286"/>
        <w:tblOverlap w:val="never"/>
        <w:tblW w:w="5654" w:type="pct"/>
        <w:tblInd w:w="0" w:type="dxa"/>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Layout w:type="fixed"/>
        <w:tblCellMar>
          <w:top w:w="75" w:type="dxa"/>
          <w:left w:w="75" w:type="dxa"/>
          <w:bottom w:w="75" w:type="dxa"/>
          <w:right w:w="75" w:type="dxa"/>
        </w:tblCellMar>
      </w:tblPr>
      <w:tblGrid>
        <w:gridCol w:w="734"/>
        <w:gridCol w:w="809"/>
        <w:gridCol w:w="1973"/>
        <w:gridCol w:w="5425"/>
        <w:gridCol w:w="601"/>
        <w:gridCol w:w="601"/>
      </w:tblGrid>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760" w:type="pct"/>
            <w:gridSpan w:val="2"/>
            <w:vMerge w:val="restart"/>
            <w:tcBorders>
              <w:top w:val="single" w:color="auto" w:sz="4" w:space="0"/>
              <w:left w:val="single" w:color="auto" w:sz="4" w:space="0"/>
              <w:bottom w:val="inset" w:color="auto" w:sz="6" w:space="0"/>
              <w:right w:val="inset" w:color="auto" w:sz="6" w:space="0"/>
            </w:tcBorders>
            <w:noWrap w:val="0"/>
            <w:vAlign w:val="center"/>
          </w:tcPr>
          <w:p>
            <w:pPr>
              <w:pStyle w:val="86"/>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评分因素</w:t>
            </w:r>
          </w:p>
        </w:tc>
        <w:tc>
          <w:tcPr>
            <w:tcW w:w="972" w:type="pct"/>
            <w:vMerge w:val="restart"/>
            <w:tcBorders>
              <w:top w:val="single" w:color="auto" w:sz="4" w:space="0"/>
              <w:left w:val="inset" w:color="auto" w:sz="6" w:space="0"/>
              <w:bottom w:val="inset" w:color="auto" w:sz="6" w:space="0"/>
              <w:right w:val="inset" w:color="auto" w:sz="6" w:space="0"/>
            </w:tcBorders>
            <w:noWrap w:val="0"/>
            <w:vAlign w:val="center"/>
          </w:tcPr>
          <w:p>
            <w:pPr>
              <w:pStyle w:val="86"/>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评分点</w:t>
            </w:r>
          </w:p>
        </w:tc>
        <w:tc>
          <w:tcPr>
            <w:tcW w:w="2674" w:type="pct"/>
            <w:vMerge w:val="restart"/>
            <w:tcBorders>
              <w:top w:val="single" w:color="auto" w:sz="4" w:space="0"/>
              <w:left w:val="inset" w:color="auto" w:sz="6" w:space="0"/>
              <w:bottom w:val="inset" w:color="auto" w:sz="6" w:space="0"/>
              <w:right w:val="inset" w:color="auto" w:sz="6" w:space="0"/>
            </w:tcBorders>
            <w:noWrap w:val="0"/>
            <w:vAlign w:val="center"/>
          </w:tcPr>
          <w:p>
            <w:pPr>
              <w:pStyle w:val="86"/>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评分标准</w:t>
            </w:r>
          </w:p>
        </w:tc>
        <w:tc>
          <w:tcPr>
            <w:tcW w:w="592" w:type="pct"/>
            <w:gridSpan w:val="2"/>
            <w:tcBorders>
              <w:top w:val="single" w:color="auto" w:sz="4" w:space="0"/>
              <w:left w:val="inset" w:color="auto" w:sz="6" w:space="0"/>
              <w:bottom w:val="single" w:color="auto" w:sz="4" w:space="0"/>
              <w:right w:val="single" w:color="auto" w:sz="4" w:space="0"/>
            </w:tcBorders>
            <w:noWrap w:val="0"/>
            <w:vAlign w:val="center"/>
          </w:tcPr>
          <w:p>
            <w:pPr>
              <w:pStyle w:val="86"/>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评审意见</w:t>
            </w: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760" w:type="pct"/>
            <w:gridSpan w:val="2"/>
            <w:vMerge w:val="continue"/>
            <w:tcBorders>
              <w:top w:val="single" w:color="auto" w:sz="4" w:space="0"/>
              <w:left w:val="single" w:color="auto" w:sz="4" w:space="0"/>
              <w:bottom w:val="inset" w:color="auto" w:sz="6" w:space="0"/>
              <w:right w:val="inset" w:color="auto" w:sz="6" w:space="0"/>
            </w:tcBorders>
            <w:noWrap w:val="0"/>
            <w:vAlign w:val="center"/>
          </w:tcPr>
          <w:p>
            <w:pPr>
              <w:rPr>
                <w:rFonts w:hint="eastAsia" w:ascii="宋体" w:hAnsi="宋体" w:cs="宋体"/>
                <w:color w:val="auto"/>
                <w:szCs w:val="21"/>
                <w:highlight w:val="none"/>
              </w:rPr>
            </w:pPr>
          </w:p>
        </w:tc>
        <w:tc>
          <w:tcPr>
            <w:tcW w:w="972" w:type="pct"/>
            <w:vMerge w:val="continue"/>
            <w:tcBorders>
              <w:top w:val="single" w:color="auto" w:sz="4" w:space="0"/>
              <w:left w:val="inset" w:color="auto" w:sz="6" w:space="0"/>
              <w:bottom w:val="inset" w:color="auto" w:sz="6" w:space="0"/>
              <w:right w:val="inset" w:color="auto" w:sz="6" w:space="0"/>
            </w:tcBorders>
            <w:noWrap w:val="0"/>
            <w:vAlign w:val="center"/>
          </w:tcPr>
          <w:p>
            <w:pPr>
              <w:rPr>
                <w:rFonts w:hint="eastAsia" w:ascii="宋体" w:hAnsi="宋体" w:cs="宋体"/>
                <w:color w:val="auto"/>
                <w:szCs w:val="21"/>
                <w:highlight w:val="none"/>
              </w:rPr>
            </w:pPr>
          </w:p>
        </w:tc>
        <w:tc>
          <w:tcPr>
            <w:tcW w:w="2674" w:type="pct"/>
            <w:vMerge w:val="continue"/>
            <w:tcBorders>
              <w:top w:val="single" w:color="auto" w:sz="4" w:space="0"/>
              <w:left w:val="inset" w:color="auto" w:sz="6" w:space="0"/>
              <w:bottom w:val="inset" w:color="auto" w:sz="6" w:space="0"/>
              <w:right w:val="inset" w:color="auto" w:sz="6" w:space="0"/>
            </w:tcBorders>
            <w:noWrap w:val="0"/>
            <w:vAlign w:val="center"/>
          </w:tcPr>
          <w:p>
            <w:pPr>
              <w:rPr>
                <w:rFonts w:hint="eastAsia" w:ascii="宋体" w:hAnsi="宋体" w:cs="宋体"/>
                <w:color w:val="auto"/>
                <w:szCs w:val="21"/>
                <w:highlight w:val="none"/>
              </w:rPr>
            </w:pPr>
          </w:p>
        </w:tc>
        <w:tc>
          <w:tcPr>
            <w:tcW w:w="296" w:type="pct"/>
            <w:tcBorders>
              <w:top w:val="single" w:color="auto" w:sz="4" w:space="0"/>
              <w:left w:val="inset" w:color="auto" w:sz="6" w:space="0"/>
              <w:bottom w:val="inset" w:color="auto" w:sz="6" w:space="0"/>
              <w:right w:val="inset" w:color="auto" w:sz="6" w:space="0"/>
            </w:tcBorders>
            <w:noWrap w:val="0"/>
            <w:vAlign w:val="center"/>
          </w:tcPr>
          <w:p>
            <w:pPr>
              <w:widowControl/>
              <w:rPr>
                <w:rFonts w:hint="eastAsia" w:ascii="宋体" w:hAnsi="宋体" w:cs="宋体"/>
                <w:color w:val="auto"/>
                <w:szCs w:val="21"/>
                <w:highlight w:val="none"/>
              </w:rPr>
            </w:pPr>
            <w:r>
              <w:rPr>
                <w:rFonts w:hint="eastAsia" w:ascii="宋体" w:hAnsi="宋体" w:cs="宋体"/>
                <w:b/>
                <w:color w:val="auto"/>
                <w:szCs w:val="21"/>
                <w:highlight w:val="none"/>
                <w:lang w:bidi="ar"/>
              </w:rPr>
              <w:t>是</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否</w:t>
            </w: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rPr>
          <w:trHeight w:val="745" w:hRule="atLeast"/>
        </w:trPr>
        <w:tc>
          <w:tcPr>
            <w:tcW w:w="361" w:type="pct"/>
            <w:vMerge w:val="restart"/>
            <w:tcBorders>
              <w:top w:val="outset" w:color="auto" w:sz="6" w:space="0"/>
              <w:left w:val="outset" w:color="auto" w:sz="6" w:space="0"/>
              <w:bottom w:val="outset" w:color="auto" w:sz="6" w:space="0"/>
              <w:right w:val="outset" w:color="auto" w:sz="6" w:space="0"/>
            </w:tcBorders>
            <w:noWrap w:val="0"/>
            <w:vAlign w:val="center"/>
          </w:tcPr>
          <w:p>
            <w:pPr>
              <w:pStyle w:val="8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初步评审</w:t>
            </w:r>
          </w:p>
          <w:p>
            <w:pPr>
              <w:pStyle w:val="86"/>
              <w:rPr>
                <w:rFonts w:hint="eastAsia" w:ascii="宋体" w:hAnsi="宋体" w:eastAsia="宋体" w:cs="宋体"/>
                <w:color w:val="auto"/>
                <w:sz w:val="21"/>
                <w:szCs w:val="21"/>
                <w:highlight w:val="none"/>
              </w:rPr>
            </w:pPr>
          </w:p>
          <w:p>
            <w:pPr>
              <w:pStyle w:val="86"/>
              <w:rPr>
                <w:rFonts w:hint="eastAsia" w:ascii="宋体" w:hAnsi="宋体" w:eastAsia="宋体" w:cs="宋体"/>
                <w:color w:val="auto"/>
                <w:sz w:val="21"/>
                <w:szCs w:val="21"/>
                <w:highlight w:val="none"/>
              </w:rPr>
            </w:pPr>
          </w:p>
        </w:tc>
        <w:tc>
          <w:tcPr>
            <w:tcW w:w="398" w:type="pct"/>
            <w:vMerge w:val="restart"/>
            <w:tcBorders>
              <w:top w:val="outset" w:color="auto" w:sz="6" w:space="0"/>
              <w:left w:val="outset" w:color="auto" w:sz="6" w:space="0"/>
              <w:right w:val="outset" w:color="auto" w:sz="6" w:space="0"/>
            </w:tcBorders>
            <w:noWrap w:val="0"/>
            <w:vAlign w:val="center"/>
          </w:tcPr>
          <w:p>
            <w:pPr>
              <w:pStyle w:val="8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资格检查</w:t>
            </w: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具有独立承担民事责任的能力</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法人或者其他组织的营业执照副本复印件或自然人的身份证明复印件</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资质证书</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应具备须具备建筑工程施工总承包叁级（含）以上资质或具备市政公用工程施工总承包叁级（含）以上资质，且具备有效的安全生产许可证。</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宋体" w:hAnsi="宋体" w:cs="宋体"/>
                <w:color w:val="auto"/>
                <w:kern w:val="0"/>
                <w:szCs w:val="21"/>
                <w:highlight w:val="none"/>
                <w:lang w:val="en-US"/>
              </w:rPr>
            </w:pPr>
            <w:r>
              <w:rPr>
                <w:rFonts w:hint="eastAsia" w:ascii="宋体" w:hAnsi="宋体" w:cs="宋体"/>
                <w:color w:val="auto"/>
                <w:kern w:val="0"/>
                <w:szCs w:val="21"/>
                <w:highlight w:val="none"/>
                <w:lang w:val="en-US" w:eastAsia="zh-CN"/>
              </w:rPr>
              <w:t>项目负责人证书</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须具备建筑工程专业或市政公用工程专业，贰级（含）以上注册建造师证书且在本单位注册，具备有效的安全生产考核合格证书。</w:t>
            </w:r>
          </w:p>
          <w:p>
            <w:pPr>
              <w:widowControl/>
              <w:jc w:val="left"/>
              <w:rPr>
                <w:rFonts w:hint="eastAsia" w:ascii="宋体" w:hAnsi="宋体" w:cs="宋体"/>
                <w:color w:val="auto"/>
                <w:kern w:val="0"/>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rPr>
              <w:t>具有良好的商业信誉和健全的财务会计制度</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是法人的，提供提供2021年度经会计事务所出具的财务审计报告或提供近三个月内银行出具的资信证明；其他组织和自然人，没有经审计的财务报告，可以提供在递交</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文件前三个月内银行出具的资信证明。</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rPr>
              <w:t>具有履行合同所必须的设备和专业技术能力</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提供</w:t>
            </w:r>
            <w:r>
              <w:rPr>
                <w:rFonts w:hint="eastAsia" w:ascii="宋体" w:hAnsi="宋体" w:cs="宋体"/>
                <w:color w:val="auto"/>
                <w:szCs w:val="21"/>
                <w:highlight w:val="none"/>
              </w:rPr>
              <w:t>具有履行合同所需的设备和专业技术能力的书面声明</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rPr>
              <w:t>有依法缴纳税收和社会保障金的良好记录</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宋体" w:hAnsi="宋体" w:cs="宋体"/>
                <w:color w:val="auto"/>
                <w:szCs w:val="21"/>
                <w:highlight w:val="none"/>
              </w:rPr>
            </w:pPr>
            <w:r>
              <w:rPr>
                <w:rFonts w:hint="eastAsia" w:ascii="宋体" w:hAnsi="宋体" w:cs="宋体"/>
                <w:color w:val="auto"/>
                <w:kern w:val="0"/>
                <w:szCs w:val="21"/>
                <w:highlight w:val="none"/>
              </w:rPr>
              <w:t>递交</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文件前六个月内任意一个月份的企业缴税凭证或证明；递交</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文件前六个月内任意一月份的缴纳社会保障资金的凭证或当地社会保障局出具的缴纳明细。依法免税或不需要缴纳社会保障资金的投标人，应当提供相关文件证明其依法免税或不需要缴纳社会保障资金。</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参加政府采购活动前3年内在经营活动中没有重大违法记录的书面声明</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具备法律、行政法规规定的其他条件。</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rPr>
              <w:t>信用查询</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color w:val="auto"/>
                <w:szCs w:val="21"/>
                <w:highlight w:val="none"/>
              </w:rPr>
            </w:pPr>
            <w:r>
              <w:rPr>
                <w:rFonts w:hint="eastAsia" w:ascii="宋体" w:hAnsi="宋体" w:cs="宋体"/>
                <w:color w:val="auto"/>
                <w:kern w:val="0"/>
                <w:szCs w:val="21"/>
                <w:highlight w:val="none"/>
              </w:rPr>
              <w:t>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（以采购代理机构于递交响应文件截止日当天在“信用中国”网站（www.creditchina.gov.cn）查询结果为准。</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限制性情形</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宋体" w:hAnsi="宋体" w:cs="宋体"/>
                <w:color w:val="auto"/>
                <w:kern w:val="0"/>
                <w:szCs w:val="21"/>
                <w:highlight w:val="none"/>
              </w:rPr>
            </w:pPr>
            <w:r>
              <w:rPr>
                <w:rFonts w:hint="eastAsia" w:ascii="宋体" w:hAnsi="宋体" w:cs="宋体"/>
                <w:color w:val="auto"/>
                <w:kern w:val="0"/>
                <w:szCs w:val="21"/>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专门面向中小企业采购</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宋体" w:hAnsi="宋体" w:cs="宋体"/>
                <w:color w:val="auto"/>
                <w:kern w:val="0"/>
                <w:szCs w:val="21"/>
                <w:highlight w:val="none"/>
              </w:rPr>
            </w:pPr>
            <w:r>
              <w:rPr>
                <w:rFonts w:hint="eastAsia" w:ascii="宋体" w:hAnsi="宋体" w:cs="宋体"/>
                <w:color w:val="auto"/>
                <w:kern w:val="0"/>
                <w:szCs w:val="21"/>
                <w:highlight w:val="none"/>
              </w:rPr>
              <w:t>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restart"/>
            <w:tcBorders>
              <w:top w:val="outset" w:color="auto" w:sz="6" w:space="0"/>
              <w:left w:val="outset" w:color="auto" w:sz="6" w:space="0"/>
              <w:bottom w:val="outset" w:color="auto" w:sz="6" w:space="0"/>
              <w:right w:val="outset" w:color="auto" w:sz="6" w:space="0"/>
            </w:tcBorders>
            <w:noWrap w:val="0"/>
            <w:vAlign w:val="center"/>
          </w:tcPr>
          <w:p>
            <w:pPr>
              <w:pStyle w:val="8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符合性检查</w:t>
            </w:r>
          </w:p>
        </w:tc>
        <w:tc>
          <w:tcPr>
            <w:tcW w:w="1973"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名称</w:t>
            </w:r>
          </w:p>
        </w:tc>
        <w:tc>
          <w:tcPr>
            <w:tcW w:w="5427"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是否与营业执照或事业单位法人证书一致</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1973"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文件内容</w:t>
            </w:r>
          </w:p>
        </w:tc>
        <w:tc>
          <w:tcPr>
            <w:tcW w:w="5427"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文件按照</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文件规定的内容填写</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1973"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法人授权</w:t>
            </w:r>
          </w:p>
        </w:tc>
        <w:tc>
          <w:tcPr>
            <w:tcW w:w="5427"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文件提供法定代表人授权委托书或提供法定代表人身份证明</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1973"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5427"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按规定提交投标保证金</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1973"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文件签署</w:t>
            </w:r>
          </w:p>
        </w:tc>
        <w:tc>
          <w:tcPr>
            <w:tcW w:w="5427"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文件上法定代表人或其授权代理人的签字、</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的盖章齐全（可使用纸质材料签章后扫描上传，在平台要求加盖电子章处加盖电子章）</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1973"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5427"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投标有效期满足</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1973"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tc>
        <w:tc>
          <w:tcPr>
            <w:tcW w:w="5427"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报价未超过</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文件中规定的预算金额或者最高限价</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1973"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5427"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SA"/>
              </w:rPr>
              <w:t>响应文件载明的采购范围符合采购文件要求，无重大偏离。</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1973" w:type="dxa"/>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5427" w:type="dxa"/>
            <w:tcBorders>
              <w:top w:val="outset" w:color="auto" w:sz="6" w:space="0"/>
              <w:left w:val="outset" w:color="auto" w:sz="6" w:space="0"/>
              <w:bottom w:val="outset" w:color="auto" w:sz="6" w:space="0"/>
              <w:right w:val="outset" w:color="auto" w:sz="6" w:space="0"/>
            </w:tcBorders>
            <w:noWrap w:val="0"/>
            <w:vAlign w:val="center"/>
          </w:tcPr>
          <w:p>
            <w:pPr>
              <w:pStyle w:val="84"/>
              <w:widowControl/>
              <w:numPr>
                <w:ilvl w:val="0"/>
                <w:numId w:val="5"/>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文件未附有采购人不能接受的条件或不符合</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文件的其他要求。</w:t>
            </w:r>
          </w:p>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2、不属于法律、法规、规章规定无效投标的其他情形。</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bl>
    <w:p>
      <w:pPr>
        <w:pStyle w:val="20"/>
        <w:spacing w:line="240" w:lineRule="auto"/>
        <w:ind w:left="0" w:leftChars="0" w:firstLine="0" w:firstLineChars="0"/>
        <w:jc w:val="center"/>
        <w:rPr>
          <w:rFonts w:hint="eastAsia" w:ascii="宋体" w:hAnsi="宋体" w:eastAsia="宋体" w:cs="宋体"/>
          <w:b/>
          <w:bCs w:val="0"/>
          <w:color w:val="auto"/>
          <w:sz w:val="24"/>
          <w:szCs w:val="24"/>
          <w:highlight w:val="none"/>
          <w:lang w:val="en-US" w:eastAsia="zh-CN"/>
        </w:rPr>
      </w:pPr>
    </w:p>
    <w:p>
      <w:pPr>
        <w:pStyle w:val="20"/>
        <w:spacing w:line="240" w:lineRule="auto"/>
        <w:ind w:left="0" w:leftChars="0" w:firstLine="0" w:firstLineChars="0"/>
        <w:jc w:val="center"/>
        <w:rPr>
          <w:rFonts w:hint="eastAsia" w:ascii="宋体" w:hAnsi="宋体" w:eastAsia="宋体" w:cs="宋体"/>
          <w:b/>
          <w:bCs w:val="0"/>
          <w:color w:val="auto"/>
          <w:sz w:val="24"/>
          <w:szCs w:val="24"/>
          <w:highlight w:val="none"/>
          <w:lang w:val="en-US" w:eastAsia="zh-CN"/>
        </w:rPr>
      </w:pPr>
    </w:p>
    <w:p>
      <w:pPr>
        <w:pStyle w:val="20"/>
        <w:spacing w:line="240" w:lineRule="auto"/>
        <w:ind w:left="0" w:leftChars="0" w:firstLine="0" w:firstLineChars="0"/>
        <w:jc w:val="center"/>
        <w:rPr>
          <w:rFonts w:hint="eastAsia" w:ascii="宋体" w:hAnsi="宋体" w:eastAsia="宋体" w:cs="宋体"/>
          <w:b/>
          <w:bCs w:val="0"/>
          <w:color w:val="auto"/>
          <w:sz w:val="24"/>
          <w:szCs w:val="24"/>
          <w:highlight w:val="none"/>
          <w:lang w:val="en-US" w:eastAsia="zh-CN"/>
        </w:rPr>
      </w:pPr>
    </w:p>
    <w:p>
      <w:pPr>
        <w:pStyle w:val="20"/>
        <w:spacing w:line="240" w:lineRule="auto"/>
        <w:ind w:left="0" w:leftChars="0" w:firstLine="0" w:firstLineChars="0"/>
        <w:jc w:val="center"/>
        <w:rPr>
          <w:rFonts w:hint="eastAsia" w:ascii="宋体" w:hAnsi="宋体" w:eastAsia="宋体" w:cs="宋体"/>
          <w:b/>
          <w:bCs w:val="0"/>
          <w:color w:val="auto"/>
          <w:sz w:val="24"/>
          <w:szCs w:val="24"/>
          <w:highlight w:val="none"/>
          <w:lang w:val="en-US" w:eastAsia="zh-CN"/>
        </w:rPr>
      </w:pPr>
    </w:p>
    <w:p>
      <w:pPr>
        <w:pStyle w:val="20"/>
        <w:spacing w:line="240" w:lineRule="auto"/>
        <w:ind w:left="0" w:leftChars="0" w:firstLine="0" w:firstLineChars="0"/>
        <w:jc w:val="center"/>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详细评审表</w:t>
      </w:r>
    </w:p>
    <w:tbl>
      <w:tblPr>
        <w:tblStyle w:val="2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407"/>
        <w:gridCol w:w="784"/>
        <w:gridCol w:w="5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78"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w:t>
            </w:r>
          </w:p>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w:t>
            </w: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评审项目</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分值</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 标 要 点 及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tcBorders>
              <w:top w:val="single" w:color="auto" w:sz="4" w:space="0"/>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报价部分</w:t>
            </w:r>
          </w:p>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（30分）</w:t>
            </w: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投标报价</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30分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rPr>
              <w:t>评标基准价=有效投标报价的最低值，有效投标报价等于基准值的得满分，投标报价得分=（评标基准价/投标报价）×价格权重×100。有效投标报价为通过初步审查的供应商报价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78" w:type="pct"/>
            <w:vMerge w:val="restart"/>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商务部分</w:t>
            </w:r>
          </w:p>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项目业绩</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0</w:t>
            </w:r>
            <w:r>
              <w:rPr>
                <w:rFonts w:hint="eastAsia" w:ascii="宋体" w:hAnsi="宋体" w:eastAsia="宋体" w:cs="宋体"/>
                <w:bCs/>
                <w:color w:val="auto"/>
                <w:sz w:val="24"/>
                <w:szCs w:val="24"/>
                <w:highlight w:val="none"/>
              </w:rPr>
              <w:t>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both"/>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根据供应商近</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年（20</w:t>
            </w:r>
            <w:r>
              <w:rPr>
                <w:rFonts w:hint="eastAsia" w:ascii="宋体" w:hAnsi="宋体" w:eastAsia="宋体" w:cs="宋体"/>
                <w:bCs/>
                <w:color w:val="auto"/>
                <w:sz w:val="24"/>
                <w:szCs w:val="24"/>
                <w:highlight w:val="none"/>
                <w:lang w:val="en-US" w:eastAsia="zh-CN"/>
              </w:rPr>
              <w:t>20</w:t>
            </w:r>
            <w:r>
              <w:rPr>
                <w:rFonts w:hint="eastAsia" w:ascii="宋体" w:hAnsi="宋体" w:eastAsia="宋体" w:cs="宋体"/>
                <w:bCs/>
                <w:color w:val="auto"/>
                <w:sz w:val="24"/>
                <w:szCs w:val="24"/>
                <w:highlight w:val="none"/>
              </w:rPr>
              <w:t>年以来至投标截止日）的与本项目相同或</w:t>
            </w:r>
            <w:r>
              <w:rPr>
                <w:rFonts w:hint="eastAsia" w:ascii="宋体" w:hAnsi="宋体" w:eastAsia="宋体" w:cs="宋体"/>
                <w:bCs/>
                <w:color w:val="auto"/>
                <w:sz w:val="24"/>
                <w:szCs w:val="24"/>
                <w:highlight w:val="none"/>
                <w:lang w:eastAsia="zh-CN"/>
              </w:rPr>
              <w:t>类</w:t>
            </w:r>
            <w:r>
              <w:rPr>
                <w:rFonts w:hint="eastAsia" w:ascii="宋体" w:hAnsi="宋体" w:eastAsia="宋体" w:cs="宋体"/>
                <w:bCs/>
                <w:color w:val="auto"/>
                <w:sz w:val="24"/>
                <w:szCs w:val="24"/>
                <w:highlight w:val="none"/>
              </w:rPr>
              <w:t>似的项目业绩（标书内附成交通知书</w:t>
            </w:r>
            <w:r>
              <w:rPr>
                <w:rFonts w:hint="eastAsia" w:ascii="宋体" w:hAnsi="宋体" w:eastAsia="宋体" w:cs="宋体"/>
                <w:bCs/>
                <w:color w:val="auto"/>
                <w:sz w:val="24"/>
                <w:szCs w:val="24"/>
                <w:highlight w:val="none"/>
                <w:lang w:val="en-US" w:eastAsia="zh-CN"/>
              </w:rPr>
              <w:t>及</w:t>
            </w:r>
            <w:r>
              <w:rPr>
                <w:rFonts w:hint="eastAsia" w:ascii="宋体" w:hAnsi="宋体" w:eastAsia="宋体" w:cs="宋体"/>
                <w:bCs/>
                <w:color w:val="auto"/>
                <w:sz w:val="24"/>
                <w:szCs w:val="24"/>
                <w:highlight w:val="none"/>
              </w:rPr>
              <w:t>合同扫描件</w:t>
            </w:r>
            <w:r>
              <w:rPr>
                <w:rFonts w:hint="eastAsia" w:ascii="宋体" w:hAnsi="宋体" w:eastAsia="宋体" w:cs="宋体"/>
                <w:bCs/>
                <w:color w:val="auto"/>
                <w:sz w:val="24"/>
                <w:szCs w:val="24"/>
                <w:highlight w:val="none"/>
                <w:lang w:eastAsia="zh-CN"/>
              </w:rPr>
              <w:t>，两者必须同时具备</w:t>
            </w:r>
            <w:r>
              <w:rPr>
                <w:rFonts w:hint="eastAsia" w:ascii="宋体" w:hAnsi="宋体" w:eastAsia="宋体" w:cs="宋体"/>
                <w:bCs/>
                <w:color w:val="auto"/>
                <w:sz w:val="24"/>
                <w:szCs w:val="24"/>
                <w:highlight w:val="none"/>
              </w:rPr>
              <w:t>），有一项得</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分，最高</w:t>
            </w:r>
            <w:r>
              <w:rPr>
                <w:rFonts w:hint="eastAsia" w:ascii="宋体" w:hAnsi="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保修服务承诺及措施</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保修服务承诺及措施，保修服务响应时间及人员岗位设置合理，在缺陷责任期内保障本项目全面达到合格标准，得</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分，缺失或描述不完善每项扣1分。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vMerge w:val="restart"/>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技术部分（</w:t>
            </w:r>
            <w:r>
              <w:rPr>
                <w:rFonts w:hint="eastAsia" w:ascii="宋体" w:hAnsi="宋体" w:eastAsia="宋体" w:cs="宋体"/>
                <w:bCs/>
                <w:color w:val="auto"/>
                <w:sz w:val="24"/>
                <w:szCs w:val="24"/>
                <w:highlight w:val="none"/>
                <w:lang w:val="en-US" w:eastAsia="zh-CN"/>
              </w:rPr>
              <w:t>54</w:t>
            </w:r>
            <w:r>
              <w:rPr>
                <w:rFonts w:hint="eastAsia" w:ascii="宋体" w:hAnsi="宋体" w:eastAsia="宋体" w:cs="宋体"/>
                <w:bCs/>
                <w:color w:val="auto"/>
                <w:sz w:val="24"/>
                <w:szCs w:val="24"/>
                <w:highlight w:val="none"/>
              </w:rPr>
              <w:t>分）</w:t>
            </w: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工程概况及特点</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工程概况及特点叙述正确，符合项目实际情况的得6分；工程概况及特点叙述存在缺漏、不准确的得2分；工程概括及特点不能符合项目实际情况的不得分。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施工方案</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施工方案应能符合工程实际情况，提高生产率、缩短工期、提高质量、降低消耗、减轻劳动强度提高进度提案；施工方法先进、采用新工艺、新技术；执行国家强制性条文；制定了质量通病的防治措施等综合打分。方案完整、可行、准确，完全符合项目实际情况的得1</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分；每存在一处缺漏或不详实、不准确的扣2分，扣完为止。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施工准备计划</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施工技术、现场、物资与机械、队伍准备计划应能充分保证工程需要等综合打分。计划内容完整可行、符合项目实际情况的得</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分；每存在一处缺漏或不详实的扣2分，扣完为止。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施工进度计划</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进度计划应在空间和时间上做合理的统筹安排且符合施工的科学规律等综合打分。计划完整、科学、符合项目实际情况的得</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分；计划内容完整但空间及时间安排不合理的得</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分；计划存在缺漏，不科学、不能符合项目实际情况的得0分。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现场文明施工</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措施应符合工程实际情况，切实可行，提供措施及承诺的得1分，未提供不得分。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劳动力需用量计划</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劳动力需用量计划应是根据工程进度计划的安排计算出的，并与工程进度计划相一致。提供劳动力需用量计划得6分，每存在一处缺漏或不详实的扣2分，扣完为止。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质量、进度、安全保证措施和体系</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工程质量、进度、安全保证措施完整、合理、应符合科学的施工规律、国家规定的强制性标准并有针对性，同时要符合项目实际情况，切实可行得8分；每有一项缺失或不详实准确的扣2分，扣完为止。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售后服务方案</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1、视企业承诺的售后服务方案，方案完整，符合项目实际情况的得5分；方案有缺漏、不完整的不得分。</w:t>
            </w:r>
          </w:p>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2、维修能力证明，提供承诺函的得2分，未提供不得分。</w:t>
            </w:r>
          </w:p>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3、根据提供的针对客户当地实际情况制定售后服务承诺，提供承诺函得3分，未提供不得分。</w:t>
            </w:r>
          </w:p>
        </w:tc>
      </w:tr>
      <w:bookmarkEnd w:id="66"/>
      <w:bookmarkEnd w:id="67"/>
    </w:tbl>
    <w:p>
      <w:pPr>
        <w:tabs>
          <w:tab w:val="left" w:pos="420"/>
          <w:tab w:val="left" w:pos="7560"/>
          <w:tab w:val="left" w:pos="7740"/>
          <w:tab w:val="left" w:pos="7920"/>
        </w:tabs>
        <w:adjustRightInd w:val="0"/>
        <w:snapToGrid w:val="0"/>
        <w:spacing w:line="360" w:lineRule="auto"/>
        <w:outlineLvl w:val="1"/>
        <w:rPr>
          <w:rFonts w:hint="eastAsia" w:ascii="宋体" w:hAnsi="宋体" w:eastAsia="宋体" w:cs="宋体"/>
          <w:b/>
          <w:color w:val="auto"/>
          <w:sz w:val="24"/>
          <w:szCs w:val="24"/>
          <w:highlight w:val="none"/>
        </w:rPr>
      </w:pPr>
      <w:bookmarkStart w:id="68" w:name="_Toc17560"/>
    </w:p>
    <w:p>
      <w:pPr>
        <w:tabs>
          <w:tab w:val="left" w:pos="420"/>
          <w:tab w:val="left" w:pos="7560"/>
          <w:tab w:val="left" w:pos="7740"/>
          <w:tab w:val="left" w:pos="7920"/>
        </w:tabs>
        <w:adjustRightInd w:val="0"/>
        <w:snapToGrid w:val="0"/>
        <w:spacing w:line="360" w:lineRule="auto"/>
        <w:outlineLvl w:val="1"/>
        <w:rPr>
          <w:rFonts w:hint="eastAsia" w:ascii="宋体" w:hAnsi="宋体" w:eastAsia="宋体" w:cs="宋体"/>
          <w:b/>
          <w:color w:val="auto"/>
          <w:sz w:val="24"/>
          <w:szCs w:val="24"/>
          <w:highlight w:val="none"/>
        </w:rPr>
      </w:pPr>
      <w:bookmarkStart w:id="69" w:name="_Toc13309"/>
      <w:r>
        <w:rPr>
          <w:rFonts w:hint="eastAsia" w:ascii="宋体" w:hAnsi="宋体" w:eastAsia="宋体" w:cs="宋体"/>
          <w:b/>
          <w:color w:val="auto"/>
          <w:sz w:val="24"/>
          <w:szCs w:val="24"/>
          <w:highlight w:val="none"/>
        </w:rPr>
        <w:t>三.推荐成交供应商</w:t>
      </w:r>
      <w:bookmarkEnd w:id="68"/>
      <w:bookmarkEnd w:id="69"/>
    </w:p>
    <w:p>
      <w:pPr>
        <w:kinsoku w:val="0"/>
        <w:overflowPunct w:val="0"/>
        <w:spacing w:line="36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pPr>
        <w:kinsoku w:val="0"/>
        <w:overflowPunct w:val="0"/>
        <w:spacing w:line="36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2.评分计算方法解释</w:t>
      </w:r>
    </w:p>
    <w:p>
      <w:pPr>
        <w:kinsoku w:val="0"/>
        <w:overflowPunct w:val="0"/>
        <w:spacing w:line="36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（1）供应商的评审得分是指所有磋商小组成员对其评分的算术平均值。</w:t>
      </w:r>
    </w:p>
    <w:p>
      <w:pPr>
        <w:kinsoku w:val="0"/>
        <w:overflowPunct w:val="0"/>
        <w:spacing w:line="36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（2）计算过程中，算术平均值保留2位小数（百分比亦取2位小数），第三位小数四舍五入。</w:t>
      </w:r>
    </w:p>
    <w:p>
      <w:pPr>
        <w:tabs>
          <w:tab w:val="left" w:pos="420"/>
          <w:tab w:val="left" w:pos="7560"/>
          <w:tab w:val="left" w:pos="7740"/>
          <w:tab w:val="left" w:pos="7920"/>
        </w:tabs>
        <w:adjustRightInd w:val="0"/>
        <w:snapToGrid w:val="0"/>
        <w:spacing w:line="360" w:lineRule="auto"/>
        <w:outlineLvl w:val="1"/>
        <w:rPr>
          <w:rFonts w:hint="eastAsia" w:ascii="宋体" w:hAnsi="宋体" w:eastAsia="宋体" w:cs="宋体"/>
          <w:b/>
          <w:color w:val="auto"/>
          <w:sz w:val="24"/>
          <w:szCs w:val="24"/>
          <w:highlight w:val="none"/>
        </w:rPr>
      </w:pPr>
      <w:bookmarkStart w:id="70" w:name="_Toc13826"/>
      <w:bookmarkStart w:id="71" w:name="_Toc2302"/>
      <w:r>
        <w:rPr>
          <w:rFonts w:hint="eastAsia" w:ascii="宋体" w:hAnsi="宋体" w:eastAsia="宋体" w:cs="宋体"/>
          <w:b/>
          <w:color w:val="auto"/>
          <w:sz w:val="24"/>
          <w:szCs w:val="24"/>
          <w:highlight w:val="none"/>
        </w:rPr>
        <w:t>四.确定成交供应商</w:t>
      </w:r>
      <w:bookmarkEnd w:id="70"/>
      <w:bookmarkEnd w:id="71"/>
    </w:p>
    <w:p>
      <w:pPr>
        <w:kinsoku w:val="0"/>
        <w:overflowPunct w:val="0"/>
        <w:spacing w:line="36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1.采购代理机构应当在评审结束后2个工作日内将评审报告送采购人确认。</w:t>
      </w:r>
    </w:p>
    <w:p>
      <w:pPr>
        <w:kinsoku w:val="0"/>
        <w:overflowPunct w:val="0"/>
        <w:spacing w:line="36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bookmarkStart w:id="72" w:name="_Toc7149"/>
      <w:bookmarkStart w:id="73" w:name="_Toc256000023"/>
      <w:bookmarkStart w:id="74" w:name="_Toc9140"/>
      <w:bookmarkStart w:id="75" w:name="_Toc529952599"/>
      <w:bookmarkStart w:id="76" w:name="_Toc13730"/>
      <w:bookmarkStart w:id="77" w:name="_Toc20330"/>
    </w:p>
    <w:p>
      <w:pPr>
        <w:kinsoku w:val="0"/>
        <w:overflowPunct w:val="0"/>
        <w:spacing w:line="360" w:lineRule="auto"/>
        <w:jc w:val="left"/>
        <w:outlineLvl w:val="9"/>
        <w:rPr>
          <w:rFonts w:hint="eastAsia" w:ascii="宋体" w:hAnsi="宋体" w:eastAsia="宋体" w:cs="宋体"/>
          <w:bCs/>
          <w:color w:val="auto"/>
          <w:sz w:val="24"/>
          <w:szCs w:val="24"/>
          <w:highlight w:val="none"/>
        </w:rPr>
      </w:pPr>
    </w:p>
    <w:p>
      <w:pPr>
        <w:kinsoku w:val="0"/>
        <w:overflowPunct w:val="0"/>
        <w:spacing w:line="360" w:lineRule="auto"/>
        <w:jc w:val="left"/>
        <w:outlineLvl w:val="9"/>
        <w:rPr>
          <w:rFonts w:hint="eastAsia" w:ascii="宋体" w:hAnsi="宋体" w:eastAsia="宋体" w:cs="宋体"/>
          <w:bCs/>
          <w:color w:val="auto"/>
          <w:sz w:val="24"/>
          <w:szCs w:val="24"/>
          <w:highlight w:val="none"/>
        </w:rPr>
      </w:pPr>
    </w:p>
    <w:p>
      <w:pPr>
        <w:kinsoku w:val="0"/>
        <w:overflowPunct w:val="0"/>
        <w:spacing w:line="360" w:lineRule="auto"/>
        <w:jc w:val="left"/>
        <w:outlineLvl w:val="9"/>
        <w:rPr>
          <w:rFonts w:hint="eastAsia" w:ascii="宋体" w:hAnsi="宋体" w:eastAsia="宋体" w:cs="宋体"/>
          <w:bCs/>
          <w:color w:val="auto"/>
          <w:sz w:val="24"/>
          <w:szCs w:val="24"/>
          <w:highlight w:val="none"/>
        </w:rPr>
      </w:pPr>
    </w:p>
    <w:p>
      <w:pPr>
        <w:spacing w:line="360" w:lineRule="auto"/>
        <w:jc w:val="center"/>
        <w:outlineLvl w:val="0"/>
        <w:rPr>
          <w:rFonts w:hint="eastAsia" w:ascii="宋体" w:hAnsi="宋体" w:eastAsia="宋体" w:cs="宋体"/>
          <w:b/>
          <w:color w:val="auto"/>
          <w:sz w:val="32"/>
          <w:szCs w:val="32"/>
          <w:highlight w:val="none"/>
          <w:lang w:val="en-US" w:eastAsia="zh-CN"/>
        </w:rPr>
      </w:pPr>
    </w:p>
    <w:p>
      <w:pPr>
        <w:spacing w:line="360" w:lineRule="auto"/>
        <w:jc w:val="center"/>
        <w:outlineLvl w:val="0"/>
        <w:rPr>
          <w:rFonts w:hint="eastAsia" w:ascii="宋体" w:hAnsi="宋体" w:eastAsia="宋体" w:cs="宋体"/>
          <w:b/>
          <w:color w:val="auto"/>
          <w:sz w:val="32"/>
          <w:szCs w:val="32"/>
          <w:highlight w:val="none"/>
          <w:lang w:val="en-US" w:eastAsia="zh-CN"/>
        </w:rPr>
      </w:pPr>
      <w:bookmarkStart w:id="78" w:name="_Toc1074"/>
    </w:p>
    <w:p>
      <w:pPr>
        <w:spacing w:line="360" w:lineRule="auto"/>
        <w:jc w:val="center"/>
        <w:outlineLvl w:val="0"/>
        <w:rPr>
          <w:rFonts w:hint="eastAsia" w:ascii="宋体" w:hAnsi="宋体" w:eastAsia="宋体" w:cs="宋体"/>
          <w:b/>
          <w:color w:val="auto"/>
          <w:sz w:val="32"/>
          <w:szCs w:val="32"/>
          <w:highlight w:val="none"/>
          <w:lang w:val="en-US" w:eastAsia="zh-CN"/>
        </w:rPr>
      </w:pPr>
    </w:p>
    <w:p>
      <w:pPr>
        <w:spacing w:line="360" w:lineRule="auto"/>
        <w:jc w:val="center"/>
        <w:outlineLvl w:val="0"/>
        <w:rPr>
          <w:rFonts w:hint="eastAsia" w:ascii="宋体" w:hAnsi="宋体" w:eastAsia="宋体" w:cs="宋体"/>
          <w:b/>
          <w:color w:val="auto"/>
          <w:sz w:val="32"/>
          <w:szCs w:val="32"/>
          <w:highlight w:val="none"/>
          <w:lang w:val="en-US" w:eastAsia="zh-CN"/>
        </w:rPr>
      </w:pPr>
    </w:p>
    <w:p>
      <w:pPr>
        <w:spacing w:line="360" w:lineRule="auto"/>
        <w:jc w:val="center"/>
        <w:outlineLvl w:val="0"/>
        <w:rPr>
          <w:rFonts w:hint="eastAsia" w:ascii="宋体" w:hAnsi="宋体" w:eastAsia="宋体" w:cs="宋体"/>
          <w:b/>
          <w:color w:val="auto"/>
          <w:sz w:val="32"/>
          <w:szCs w:val="32"/>
          <w:highlight w:val="none"/>
          <w:lang w:val="en-US" w:eastAsia="zh-CN"/>
        </w:rPr>
      </w:pPr>
    </w:p>
    <w:p>
      <w:pPr>
        <w:spacing w:line="360" w:lineRule="auto"/>
        <w:jc w:val="center"/>
        <w:outlineLvl w:val="0"/>
        <w:rPr>
          <w:rFonts w:hint="eastAsia" w:ascii="宋体" w:hAnsi="宋体" w:eastAsia="宋体" w:cs="宋体"/>
          <w:b/>
          <w:color w:val="auto"/>
          <w:sz w:val="32"/>
          <w:szCs w:val="32"/>
          <w:highlight w:val="none"/>
          <w:lang w:val="en-US" w:eastAsia="zh-CN"/>
        </w:rPr>
      </w:pPr>
    </w:p>
    <w:p>
      <w:pPr>
        <w:pStyle w:val="2"/>
        <w:rPr>
          <w:rFonts w:hint="eastAsia" w:ascii="宋体" w:hAnsi="宋体" w:eastAsia="宋体" w:cs="宋体"/>
          <w:b/>
          <w:color w:val="auto"/>
          <w:sz w:val="32"/>
          <w:szCs w:val="32"/>
          <w:highlight w:val="none"/>
          <w:lang w:val="en-US" w:eastAsia="zh-CN"/>
        </w:rPr>
      </w:pPr>
    </w:p>
    <w:p>
      <w:pPr>
        <w:rPr>
          <w:rFonts w:hint="eastAsia" w:ascii="宋体" w:hAnsi="宋体" w:eastAsia="宋体" w:cs="宋体"/>
          <w:b/>
          <w:color w:val="auto"/>
          <w:sz w:val="32"/>
          <w:szCs w:val="32"/>
          <w:highlight w:val="none"/>
          <w:lang w:val="en-US" w:eastAsia="zh-CN"/>
        </w:rPr>
      </w:pPr>
    </w:p>
    <w:p>
      <w:pPr>
        <w:pStyle w:val="2"/>
        <w:rPr>
          <w:rFonts w:hint="eastAsia" w:ascii="宋体" w:hAnsi="宋体" w:eastAsia="宋体" w:cs="宋体"/>
          <w:b/>
          <w:color w:val="auto"/>
          <w:sz w:val="32"/>
          <w:szCs w:val="32"/>
          <w:highlight w:val="none"/>
          <w:lang w:val="en-US" w:eastAsia="zh-CN"/>
        </w:rPr>
      </w:pPr>
    </w:p>
    <w:p>
      <w:pPr>
        <w:rPr>
          <w:rFonts w:hint="eastAsia" w:ascii="宋体" w:hAnsi="宋体" w:eastAsia="宋体" w:cs="宋体"/>
          <w:b/>
          <w:color w:val="auto"/>
          <w:sz w:val="32"/>
          <w:szCs w:val="32"/>
          <w:highlight w:val="none"/>
          <w:lang w:val="en-US" w:eastAsia="zh-CN"/>
        </w:rPr>
      </w:pPr>
    </w:p>
    <w:p>
      <w:pPr>
        <w:pStyle w:val="2"/>
        <w:rPr>
          <w:rFonts w:hint="eastAsia" w:ascii="宋体" w:hAnsi="宋体" w:eastAsia="宋体" w:cs="宋体"/>
          <w:b/>
          <w:color w:val="auto"/>
          <w:sz w:val="32"/>
          <w:szCs w:val="32"/>
          <w:highlight w:val="none"/>
          <w:lang w:val="en-US" w:eastAsia="zh-CN"/>
        </w:rPr>
      </w:pPr>
    </w:p>
    <w:p>
      <w:pPr>
        <w:rPr>
          <w:rFonts w:hint="eastAsia" w:ascii="宋体" w:hAnsi="宋体" w:eastAsia="宋体" w:cs="宋体"/>
          <w:b/>
          <w:color w:val="auto"/>
          <w:sz w:val="32"/>
          <w:szCs w:val="32"/>
          <w:highlight w:val="none"/>
          <w:lang w:val="en-US" w:eastAsia="zh-CN"/>
        </w:rPr>
      </w:pPr>
    </w:p>
    <w:p>
      <w:pPr>
        <w:pStyle w:val="2"/>
        <w:rPr>
          <w:rFonts w:hint="eastAsia" w:ascii="宋体" w:hAnsi="宋体" w:eastAsia="宋体" w:cs="宋体"/>
          <w:b/>
          <w:color w:val="auto"/>
          <w:sz w:val="32"/>
          <w:szCs w:val="32"/>
          <w:highlight w:val="none"/>
          <w:lang w:val="en-US" w:eastAsia="zh-CN"/>
        </w:rPr>
      </w:pPr>
    </w:p>
    <w:p>
      <w:pPr>
        <w:rPr>
          <w:rFonts w:hint="eastAsia" w:ascii="宋体" w:hAnsi="宋体" w:eastAsia="宋体" w:cs="宋体"/>
          <w:b/>
          <w:color w:val="auto"/>
          <w:sz w:val="32"/>
          <w:szCs w:val="32"/>
          <w:highlight w:val="none"/>
          <w:lang w:val="en-US" w:eastAsia="zh-CN"/>
        </w:rPr>
      </w:pPr>
    </w:p>
    <w:p>
      <w:pPr>
        <w:pStyle w:val="2"/>
        <w:rPr>
          <w:rFonts w:hint="eastAsia" w:ascii="宋体" w:hAnsi="宋体" w:eastAsia="宋体" w:cs="宋体"/>
          <w:b/>
          <w:color w:val="auto"/>
          <w:sz w:val="32"/>
          <w:szCs w:val="32"/>
          <w:highlight w:val="none"/>
          <w:lang w:val="en-US" w:eastAsia="zh-CN"/>
        </w:rPr>
      </w:pPr>
    </w:p>
    <w:p>
      <w:pPr>
        <w:rPr>
          <w:rFonts w:hint="eastAsia" w:ascii="宋体" w:hAnsi="宋体" w:eastAsia="宋体" w:cs="宋体"/>
          <w:b/>
          <w:color w:val="auto"/>
          <w:sz w:val="32"/>
          <w:szCs w:val="32"/>
          <w:highlight w:val="none"/>
          <w:lang w:val="en-US" w:eastAsia="zh-CN"/>
        </w:rPr>
      </w:pPr>
    </w:p>
    <w:p>
      <w:pPr>
        <w:pStyle w:val="2"/>
        <w:rPr>
          <w:rFonts w:hint="eastAsia" w:ascii="宋体" w:hAnsi="宋体" w:eastAsia="宋体" w:cs="宋体"/>
          <w:b/>
          <w:color w:val="auto"/>
          <w:sz w:val="32"/>
          <w:szCs w:val="32"/>
          <w:highlight w:val="none"/>
          <w:lang w:val="en-US" w:eastAsia="zh-CN"/>
        </w:rPr>
      </w:pPr>
    </w:p>
    <w:p>
      <w:pPr>
        <w:rPr>
          <w:rFonts w:hint="eastAsia"/>
          <w:color w:val="auto"/>
          <w:highlight w:val="none"/>
          <w:lang w:val="en-US" w:eastAsia="zh-CN"/>
        </w:rPr>
      </w:pPr>
    </w:p>
    <w:p>
      <w:pPr>
        <w:spacing w:line="360" w:lineRule="auto"/>
        <w:jc w:val="center"/>
        <w:outlineLvl w:val="0"/>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第四章  政府采购合同格式</w:t>
      </w:r>
      <w:bookmarkEnd w:id="72"/>
      <w:bookmarkEnd w:id="73"/>
      <w:bookmarkEnd w:id="74"/>
      <w:bookmarkEnd w:id="75"/>
      <w:bookmarkEnd w:id="76"/>
      <w:bookmarkEnd w:id="77"/>
      <w:bookmarkEnd w:id="78"/>
    </w:p>
    <w:p>
      <w:pPr>
        <w:rPr>
          <w:rFonts w:hint="eastAsia" w:ascii="宋体" w:hAnsi="宋体" w:cs="宋体"/>
          <w:b/>
          <w:bCs/>
          <w:color w:val="auto"/>
          <w:highlight w:val="none"/>
          <w:lang w:eastAsia="zh-CN"/>
        </w:rPr>
      </w:pPr>
      <w:bookmarkStart w:id="79" w:name="EB0241872a782746df84ab771927209b83"/>
      <w:bookmarkStart w:id="80" w:name="_Toc28066"/>
      <w:bookmarkStart w:id="81" w:name="_Toc256000024"/>
      <w:bookmarkStart w:id="82" w:name="_Toc529952600"/>
      <w:bookmarkStart w:id="83" w:name="_Toc20420"/>
    </w:p>
    <w:p>
      <w:pPr>
        <w:rPr>
          <w:rFonts w:hint="eastAsia" w:ascii="宋体" w:hAnsi="宋体" w:cs="宋体"/>
          <w:b/>
          <w:bCs/>
          <w:color w:val="auto"/>
          <w:highlight w:val="none"/>
          <w:lang w:eastAsia="zh-CN"/>
        </w:rPr>
      </w:pP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仅供参考</w:t>
      </w:r>
      <w:r>
        <w:rPr>
          <w:rFonts w:hint="eastAsia" w:ascii="宋体" w:hAnsi="宋体" w:cs="宋体"/>
          <w:b/>
          <w:bCs/>
          <w:color w:val="auto"/>
          <w:highlight w:val="none"/>
          <w:lang w:eastAsia="zh-CN"/>
        </w:rPr>
        <w:t>）</w:t>
      </w: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pStyle w:val="2"/>
        <w:rPr>
          <w:rFonts w:hint="eastAsia" w:ascii="仿宋" w:hAnsi="仿宋" w:eastAsia="仿宋" w:cs="仿宋"/>
          <w:bCs/>
          <w:color w:val="auto"/>
          <w:sz w:val="32"/>
          <w:szCs w:val="32"/>
          <w:highlight w:val="none"/>
        </w:rPr>
      </w:pPr>
    </w:p>
    <w:p>
      <w:pPr>
        <w:rPr>
          <w:rFonts w:hint="eastAsia"/>
          <w:color w:val="auto"/>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（GF—2017—0201）</w:t>
      </w: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建设工程施工合同</w:t>
      </w:r>
    </w:p>
    <w:p>
      <w:pPr>
        <w:jc w:val="center"/>
        <w:rPr>
          <w:rFonts w:hint="eastAsia" w:ascii="仿宋" w:hAnsi="仿宋" w:eastAsia="仿宋" w:cs="仿宋"/>
          <w:b/>
          <w:color w:val="auto"/>
          <w:sz w:val="32"/>
          <w:szCs w:val="32"/>
          <w:highlight w:val="none"/>
        </w:rPr>
      </w:pPr>
    </w:p>
    <w:p>
      <w:pPr>
        <w:rPr>
          <w:rFonts w:hint="eastAsia" w:ascii="仿宋" w:hAnsi="仿宋" w:eastAsia="仿宋" w:cs="仿宋"/>
          <w:b/>
          <w:color w:val="auto"/>
          <w:sz w:val="28"/>
          <w:szCs w:val="28"/>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p>
    <w:p>
      <w:pPr>
        <w:ind w:right="2719" w:rightChars="1295" w:firstLine="4189" w:firstLineChars="1304"/>
        <w:jc w:val="distribute"/>
        <w:rPr>
          <w:rFonts w:hint="eastAsia" w:ascii="仿宋" w:hAnsi="仿宋" w:eastAsia="仿宋" w:cs="仿宋"/>
          <w:b/>
          <w:color w:val="auto"/>
          <w:sz w:val="32"/>
          <w:szCs w:val="28"/>
          <w:highlight w:val="none"/>
        </w:rPr>
      </w:pPr>
    </w:p>
    <w:p>
      <w:pPr>
        <w:ind w:right="2719" w:rightChars="1295" w:firstLine="4189" w:firstLineChars="1304"/>
        <w:jc w:val="distribute"/>
        <w:rPr>
          <w:rFonts w:hint="eastAsia" w:ascii="仿宋" w:hAnsi="仿宋" w:eastAsia="仿宋" w:cs="仿宋"/>
          <w:b/>
          <w:color w:val="auto"/>
          <w:sz w:val="32"/>
          <w:szCs w:val="28"/>
          <w:highlight w:val="none"/>
        </w:rPr>
      </w:pPr>
    </w:p>
    <w:p>
      <w:pPr>
        <w:ind w:right="2719" w:rightChars="1295" w:firstLine="4189" w:firstLineChars="1304"/>
        <w:jc w:val="distribute"/>
        <w:rPr>
          <w:rFonts w:hint="eastAsia" w:ascii="仿宋" w:hAnsi="仿宋" w:eastAsia="仿宋" w:cs="仿宋"/>
          <w:b/>
          <w:color w:val="auto"/>
          <w:sz w:val="32"/>
          <w:szCs w:val="28"/>
          <w:highlight w:val="none"/>
        </w:rPr>
      </w:pPr>
    </w:p>
    <w:p>
      <w:pPr>
        <w:ind w:right="2719" w:rightChars="1295" w:firstLine="4189" w:firstLineChars="1304"/>
        <w:jc w:val="distribute"/>
        <w:rPr>
          <w:rFonts w:hint="eastAsia" w:ascii="仿宋" w:hAnsi="仿宋" w:eastAsia="仿宋" w:cs="仿宋"/>
          <w:b/>
          <w:color w:val="auto"/>
          <w:sz w:val="32"/>
          <w:szCs w:val="28"/>
          <w:highlight w:val="none"/>
        </w:rPr>
      </w:pPr>
    </w:p>
    <w:p>
      <w:pPr>
        <w:ind w:right="2719" w:rightChars="1295" w:firstLine="4189" w:firstLineChars="1304"/>
        <w:jc w:val="distribute"/>
        <w:rPr>
          <w:rFonts w:hint="eastAsia" w:ascii="仿宋" w:hAnsi="仿宋" w:eastAsia="仿宋" w:cs="仿宋"/>
          <w:b/>
          <w:color w:val="auto"/>
          <w:sz w:val="32"/>
          <w:szCs w:val="28"/>
          <w:highlight w:val="none"/>
        </w:rPr>
      </w:pPr>
    </w:p>
    <w:p>
      <w:pPr>
        <w:ind w:right="2719" w:rightChars="1295" w:firstLine="4189" w:firstLineChars="1304"/>
        <w:jc w:val="distribute"/>
        <w:rPr>
          <w:rFonts w:hint="eastAsia" w:ascii="仿宋" w:hAnsi="仿宋" w:eastAsia="仿宋" w:cs="仿宋"/>
          <w:b/>
          <w:color w:val="auto"/>
          <w:sz w:val="32"/>
          <w:szCs w:val="28"/>
          <w:highlight w:val="none"/>
        </w:rPr>
      </w:pPr>
    </w:p>
    <w:p>
      <w:pPr>
        <w:ind w:right="2719" w:rightChars="1295" w:firstLine="2738" w:firstLineChars="1304"/>
        <w:jc w:val="distribute"/>
        <w:rPr>
          <w:rFonts w:hint="eastAsia" w:ascii="仿宋" w:hAnsi="仿宋" w:eastAsia="仿宋" w:cs="仿宋"/>
          <w:b/>
          <w:color w:val="auto"/>
          <w:sz w:val="32"/>
          <w:szCs w:val="28"/>
          <w:highlight w:val="none"/>
        </w:rPr>
      </w:pPr>
      <w:r>
        <w:rPr>
          <w:rFonts w:hint="eastAsia" w:ascii="仿宋" w:hAnsi="仿宋" w:eastAsia="仿宋" w:cs="仿宋"/>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Ln1a2MEAgAADAQAAA4AAAAAAAAAAQAgAAAAJwEA&#10;AGRycy9lMm9Eb2MueG1sUEsFBgAAAAAGAAYAWQEAAJ0FAAAAAA==&#10;">
                <v:fill on="f" focussize="0,0"/>
                <v:stroke color="#FFFFFF" joinstyle="miter"/>
                <v:imagedata o:title=""/>
                <o:lock v:ext="edit" aspectratio="f"/>
                <v:textbox>
                  <w:txbxContent>
                    <w:p>
                      <w:pPr>
                        <w:rPr>
                          <w:rFonts w:hint="eastAsia"/>
                          <w:b/>
                          <w:bCs/>
                          <w:sz w:val="32"/>
                        </w:rPr>
                      </w:pPr>
                      <w:r>
                        <w:rPr>
                          <w:rFonts w:hint="eastAsia"/>
                          <w:b/>
                          <w:bCs/>
                          <w:sz w:val="32"/>
                        </w:rPr>
                        <w:t>制定</w:t>
                      </w:r>
                    </w:p>
                  </w:txbxContent>
                </v:textbox>
              </v:shape>
            </w:pict>
          </mc:Fallback>
        </mc:AlternateContent>
      </w:r>
      <w:r>
        <w:rPr>
          <w:rFonts w:hint="eastAsia" w:ascii="仿宋" w:hAnsi="仿宋" w:eastAsia="仿宋" w:cs="仿宋"/>
          <w:b/>
          <w:color w:val="auto"/>
          <w:sz w:val="32"/>
          <w:szCs w:val="28"/>
          <w:highlight w:val="none"/>
        </w:rPr>
        <w:t>住房城乡建设部</w:t>
      </w:r>
    </w:p>
    <w:p>
      <w:pPr>
        <w:ind w:right="2719" w:rightChars="1295" w:firstLine="2750" w:firstLineChars="856"/>
        <w:jc w:val="distribute"/>
        <w:rPr>
          <w:rFonts w:hint="eastAsia" w:ascii="仿宋" w:hAnsi="仿宋" w:eastAsia="仿宋" w:cs="仿宋"/>
          <w:b/>
          <w:color w:val="auto"/>
          <w:sz w:val="32"/>
          <w:szCs w:val="28"/>
          <w:highlight w:val="none"/>
        </w:rPr>
      </w:pPr>
      <w:r>
        <w:rPr>
          <w:rFonts w:hint="eastAsia" w:ascii="仿宋" w:hAnsi="仿宋" w:eastAsia="仿宋" w:cs="仿宋"/>
          <w:b/>
          <w:color w:val="auto"/>
          <w:sz w:val="32"/>
          <w:szCs w:val="28"/>
          <w:highlight w:val="none"/>
        </w:rPr>
        <w:t>国家工商行政管理总局</w:t>
      </w:r>
    </w:p>
    <w:p>
      <w:pPr>
        <w:pStyle w:val="5"/>
        <w:rPr>
          <w:rFonts w:hint="eastAsia" w:ascii="仿宋" w:hAnsi="仿宋" w:eastAsia="仿宋" w:cs="仿宋"/>
          <w:color w:val="auto"/>
          <w:sz w:val="28"/>
          <w:szCs w:val="28"/>
          <w:highlight w:val="none"/>
        </w:rPr>
        <w:sectPr>
          <w:footerReference r:id="rId12" w:type="first"/>
          <w:headerReference r:id="rId10" w:type="default"/>
          <w:footerReference r:id="rId11" w:type="default"/>
          <w:pgSz w:w="11906" w:h="16838"/>
          <w:pgMar w:top="1418" w:right="1555" w:bottom="1418" w:left="1531" w:header="851" w:footer="992" w:gutter="0"/>
          <w:pgNumType w:fmt="decimal" w:start="1"/>
          <w:cols w:space="720" w:num="1"/>
          <w:titlePg/>
          <w:docGrid w:type="lines" w:linePitch="312" w:charSpace="0"/>
        </w:sectPr>
      </w:pPr>
      <w:bookmarkStart w:id="84" w:name="_Toc296503025"/>
      <w:bookmarkStart w:id="85" w:name="_Toc296890982"/>
      <w:bookmarkStart w:id="86" w:name="_Toc351203480"/>
    </w:p>
    <w:p>
      <w:pPr>
        <w:pStyle w:val="5"/>
        <w:jc w:val="center"/>
        <w:rPr>
          <w:rFonts w:hint="eastAsia" w:ascii="仿宋" w:hAnsi="仿宋" w:eastAsia="仿宋" w:cs="仿宋"/>
          <w:b w:val="0"/>
          <w:color w:val="auto"/>
          <w:szCs w:val="32"/>
          <w:highlight w:val="none"/>
        </w:rPr>
      </w:pPr>
      <w:bookmarkStart w:id="87" w:name="_Toc24336"/>
      <w:r>
        <w:rPr>
          <w:rFonts w:hint="eastAsia" w:ascii="仿宋" w:hAnsi="仿宋" w:eastAsia="仿宋" w:cs="仿宋"/>
          <w:color w:val="auto"/>
          <w:szCs w:val="32"/>
          <w:highlight w:val="none"/>
        </w:rPr>
        <w:t>第一部分 合同协议书</w:t>
      </w:r>
      <w:bookmarkEnd w:id="84"/>
      <w:bookmarkEnd w:id="85"/>
      <w:bookmarkEnd w:id="86"/>
      <w:bookmarkEnd w:id="87"/>
    </w:p>
    <w:p>
      <w:pPr>
        <w:spacing w:line="360" w:lineRule="auto"/>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rPr>
        <w:t>发包人（全称）：</w:t>
      </w:r>
      <w:r>
        <w:rPr>
          <w:rFonts w:hint="eastAsia" w:ascii="仿宋" w:hAnsi="仿宋" w:eastAsia="仿宋" w:cs="仿宋"/>
          <w:b/>
          <w:color w:val="auto"/>
          <w:sz w:val="24"/>
          <w:szCs w:val="24"/>
          <w:highlight w:val="none"/>
          <w:u w:val="single"/>
        </w:rPr>
        <w:t xml:space="preserve">                                        </w:t>
      </w:r>
    </w:p>
    <w:p>
      <w:pPr>
        <w:spacing w:line="360" w:lineRule="auto"/>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rPr>
        <w:t>承包人（全称）：</w:t>
      </w:r>
      <w:r>
        <w:rPr>
          <w:rFonts w:hint="eastAsia" w:ascii="仿宋" w:hAnsi="仿宋" w:eastAsia="仿宋" w:cs="仿宋"/>
          <w:b/>
          <w:color w:val="auto"/>
          <w:sz w:val="24"/>
          <w:szCs w:val="24"/>
          <w:highlight w:val="none"/>
          <w:u w:val="single"/>
        </w:rPr>
        <w:t xml:space="preserve">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根据《中华人民共和国合同法》、《中华人民共和国建筑法》及有关法律规定，遵循平等、自愿、公平和诚实信用的原则，双方就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工程施工及有关事项协商一致，共同达成如下协议：</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r>
        <w:rPr>
          <w:rFonts w:hint="eastAsia" w:ascii="仿宋" w:hAnsi="仿宋" w:eastAsia="仿宋" w:cs="仿宋"/>
          <w:b w:val="0"/>
          <w:color w:val="auto"/>
          <w:sz w:val="24"/>
          <w:szCs w:val="24"/>
          <w:highlight w:val="none"/>
        </w:rPr>
        <w:t xml:space="preserve"> </w:t>
      </w:r>
      <w:bookmarkStart w:id="88" w:name="_Toc351203481"/>
      <w:r>
        <w:rPr>
          <w:rFonts w:hint="eastAsia" w:ascii="仿宋" w:hAnsi="仿宋" w:eastAsia="仿宋" w:cs="仿宋"/>
          <w:b w:val="0"/>
          <w:color w:val="auto"/>
          <w:sz w:val="24"/>
          <w:szCs w:val="24"/>
          <w:highlight w:val="none"/>
        </w:rPr>
        <w:t>一、工程概况</w:t>
      </w:r>
      <w:bookmarkEnd w:id="88"/>
    </w:p>
    <w:p>
      <w:pPr>
        <w:spacing w:line="360" w:lineRule="auto"/>
        <w:ind w:firstLine="470" w:firstLineChars="196"/>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1.工程名称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70" w:firstLineChars="19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2.工程地点：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70" w:firstLineChars="19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3.工程立项批准文号：</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rPr>
        <w:t>。</w:t>
      </w:r>
    </w:p>
    <w:p>
      <w:pPr>
        <w:spacing w:line="360" w:lineRule="auto"/>
        <w:ind w:firstLine="470" w:firstLineChars="19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4.资金来源：</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rPr>
        <w:t>。</w:t>
      </w:r>
    </w:p>
    <w:p>
      <w:pPr>
        <w:spacing w:line="360" w:lineRule="auto"/>
        <w:ind w:firstLine="470" w:firstLineChars="19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5.工程内容：</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rPr>
        <w:t>。</w:t>
      </w:r>
    </w:p>
    <w:p>
      <w:pPr>
        <w:spacing w:line="360" w:lineRule="auto"/>
        <w:ind w:firstLine="470" w:firstLineChars="19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6.工程承包范围：</w:t>
      </w:r>
    </w:p>
    <w:p>
      <w:pPr>
        <w:spacing w:line="360" w:lineRule="auto"/>
        <w:ind w:firstLine="463" w:firstLineChars="19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pStyle w:val="6"/>
        <w:spacing w:before="120" w:after="120" w:line="360" w:lineRule="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 xml:space="preserve">   </w:t>
      </w:r>
      <w:bookmarkStart w:id="89" w:name="_Toc351203482"/>
      <w:r>
        <w:rPr>
          <w:rFonts w:hint="eastAsia" w:ascii="仿宋" w:hAnsi="仿宋" w:eastAsia="仿宋" w:cs="仿宋"/>
          <w:b w:val="0"/>
          <w:color w:val="auto"/>
          <w:sz w:val="24"/>
          <w:szCs w:val="24"/>
          <w:highlight w:val="none"/>
        </w:rPr>
        <w:t>二、合同工期</w:t>
      </w:r>
      <w:bookmarkEnd w:id="89"/>
    </w:p>
    <w:p>
      <w:pPr>
        <w:spacing w:line="360" w:lineRule="auto"/>
        <w:ind w:firstLine="4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计划开工日期：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spacing w:line="360" w:lineRule="auto"/>
        <w:ind w:firstLine="4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计划竣工日期：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spacing w:line="360" w:lineRule="auto"/>
        <w:ind w:firstLine="4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工期总日历天数：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天。工期总日历天数与根据前述计划开竣工日期计算的工期天数不一致的，以工期总日历天数为准。</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bookmarkStart w:id="90" w:name="_Toc351203483"/>
      <w:r>
        <w:rPr>
          <w:rFonts w:hint="eastAsia" w:ascii="仿宋" w:hAnsi="仿宋" w:eastAsia="仿宋" w:cs="仿宋"/>
          <w:b w:val="0"/>
          <w:color w:val="auto"/>
          <w:sz w:val="24"/>
          <w:szCs w:val="24"/>
          <w:highlight w:val="none"/>
        </w:rPr>
        <w:t>三、质量标准</w:t>
      </w:r>
      <w:bookmarkEnd w:id="90"/>
    </w:p>
    <w:p>
      <w:pPr>
        <w:spacing w:line="360" w:lineRule="auto"/>
        <w:ind w:firstLine="4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工程质量符合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标准。</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r>
        <w:rPr>
          <w:rFonts w:hint="eastAsia" w:ascii="仿宋" w:hAnsi="仿宋" w:eastAsia="仿宋" w:cs="仿宋"/>
          <w:b w:val="0"/>
          <w:color w:val="auto"/>
          <w:sz w:val="24"/>
          <w:szCs w:val="24"/>
          <w:highlight w:val="none"/>
        </w:rPr>
        <w:t xml:space="preserve"> </w:t>
      </w:r>
      <w:bookmarkStart w:id="91" w:name="_Toc351203484"/>
      <w:r>
        <w:rPr>
          <w:rFonts w:hint="eastAsia" w:ascii="仿宋" w:hAnsi="仿宋" w:eastAsia="仿宋" w:cs="仿宋"/>
          <w:b w:val="0"/>
          <w:color w:val="auto"/>
          <w:sz w:val="24"/>
          <w:szCs w:val="24"/>
          <w:highlight w:val="none"/>
        </w:rPr>
        <w:t>四、签约合同价与合同价格形式</w:t>
      </w:r>
      <w:bookmarkEnd w:id="91"/>
      <w:r>
        <w:rPr>
          <w:rFonts w:hint="eastAsia" w:ascii="仿宋" w:hAnsi="仿宋" w:eastAsia="仿宋" w:cs="仿宋"/>
          <w:b w:val="0"/>
          <w:color w:val="auto"/>
          <w:sz w:val="24"/>
          <w:szCs w:val="24"/>
          <w:highlight w:val="none"/>
        </w:rPr>
        <w:tab/>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1.签约合同价为：</w:t>
      </w:r>
    </w:p>
    <w:p>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（1）安全文明施工费：</w:t>
      </w:r>
    </w:p>
    <w:p>
      <w:pPr>
        <w:spacing w:line="360" w:lineRule="auto"/>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（2）材料和工程设备暂估价金额：</w:t>
      </w:r>
    </w:p>
    <w:p>
      <w:pPr>
        <w:spacing w:line="360" w:lineRule="auto"/>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（3）专业工程暂估价金额：</w:t>
      </w:r>
    </w:p>
    <w:p>
      <w:pPr>
        <w:spacing w:line="360" w:lineRule="auto"/>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（4）暂列金额：</w:t>
      </w:r>
    </w:p>
    <w:p>
      <w:pPr>
        <w:spacing w:line="360" w:lineRule="auto"/>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2.合同价格形式：</w:t>
      </w:r>
      <w:r>
        <w:rPr>
          <w:rFonts w:hint="eastAsia" w:ascii="仿宋" w:hAnsi="仿宋" w:eastAsia="仿宋" w:cs="仿宋"/>
          <w:color w:val="auto"/>
          <w:sz w:val="24"/>
          <w:szCs w:val="24"/>
          <w:highlight w:val="none"/>
          <w:u w:val="single"/>
        </w:rPr>
        <w:t xml:space="preserve">   单价合同   </w:t>
      </w:r>
      <w:r>
        <w:rPr>
          <w:rFonts w:hint="eastAsia" w:ascii="仿宋" w:hAnsi="仿宋" w:eastAsia="仿宋" w:cs="仿宋"/>
          <w:color w:val="auto"/>
          <w:sz w:val="24"/>
          <w:szCs w:val="24"/>
          <w:highlight w:val="none"/>
        </w:rPr>
        <w:t>。</w:t>
      </w:r>
    </w:p>
    <w:p>
      <w:pPr>
        <w:pStyle w:val="6"/>
        <w:spacing w:before="120" w:after="120" w:line="360" w:lineRule="auto"/>
        <w:rPr>
          <w:rFonts w:hint="eastAsia" w:ascii="仿宋" w:hAnsi="仿宋" w:eastAsia="仿宋" w:cs="仿宋"/>
          <w:b w:val="0"/>
          <w:color w:val="auto"/>
          <w:sz w:val="24"/>
          <w:szCs w:val="24"/>
          <w:highlight w:val="none"/>
        </w:rPr>
      </w:pPr>
      <w:r>
        <w:rPr>
          <w:rFonts w:hint="eastAsia" w:ascii="仿宋" w:hAnsi="仿宋" w:eastAsia="仿宋" w:cs="仿宋"/>
          <w:bCs w:val="0"/>
          <w:color w:val="auto"/>
          <w:sz w:val="24"/>
          <w:szCs w:val="24"/>
          <w:highlight w:val="none"/>
        </w:rPr>
        <w:t xml:space="preserve">   </w:t>
      </w:r>
      <w:r>
        <w:rPr>
          <w:rFonts w:hint="eastAsia" w:ascii="仿宋" w:hAnsi="仿宋" w:eastAsia="仿宋" w:cs="仿宋"/>
          <w:b w:val="0"/>
          <w:color w:val="auto"/>
          <w:sz w:val="24"/>
          <w:szCs w:val="24"/>
          <w:highlight w:val="none"/>
        </w:rPr>
        <w:t xml:space="preserve"> </w:t>
      </w:r>
      <w:bookmarkStart w:id="92" w:name="_Toc351203485"/>
      <w:r>
        <w:rPr>
          <w:rFonts w:hint="eastAsia" w:ascii="仿宋" w:hAnsi="仿宋" w:eastAsia="仿宋" w:cs="仿宋"/>
          <w:b w:val="0"/>
          <w:color w:val="auto"/>
          <w:sz w:val="24"/>
          <w:szCs w:val="24"/>
          <w:highlight w:val="none"/>
        </w:rPr>
        <w:t>五、</w:t>
      </w:r>
      <w:bookmarkEnd w:id="92"/>
      <w:r>
        <w:rPr>
          <w:rFonts w:hint="eastAsia" w:ascii="仿宋" w:hAnsi="仿宋" w:eastAsia="仿宋" w:cs="仿宋"/>
          <w:b w:val="0"/>
          <w:color w:val="auto"/>
          <w:sz w:val="24"/>
          <w:szCs w:val="24"/>
          <w:highlight w:val="none"/>
        </w:rPr>
        <w:t>项目经理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承包人项目经理：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r>
        <w:rPr>
          <w:rFonts w:hint="eastAsia" w:ascii="仿宋" w:hAnsi="仿宋" w:eastAsia="仿宋" w:cs="仿宋"/>
          <w:b w:val="0"/>
          <w:color w:val="auto"/>
          <w:sz w:val="24"/>
          <w:szCs w:val="24"/>
          <w:highlight w:val="none"/>
        </w:rPr>
        <w:t xml:space="preserve"> </w:t>
      </w:r>
      <w:bookmarkStart w:id="93" w:name="_Toc351203486"/>
      <w:r>
        <w:rPr>
          <w:rFonts w:hint="eastAsia" w:ascii="仿宋" w:hAnsi="仿宋" w:eastAsia="仿宋" w:cs="仿宋"/>
          <w:b w:val="0"/>
          <w:color w:val="auto"/>
          <w:sz w:val="24"/>
          <w:szCs w:val="24"/>
          <w:highlight w:val="none"/>
        </w:rPr>
        <w:t>六、合同文件构成</w:t>
      </w:r>
      <w:bookmarkEnd w:id="93"/>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本协议书与下列文件一起构成合同文件：</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（1）成交通知书；</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（2）磋商函及其附录（如果有）； </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（3）专用合同条款及其附件；</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（4）通用合同条款；</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（5）技术标准和要求；</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（6）图纸；</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（7）已标价工程量清单或预算书；</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（8）其他合同文件。</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pPr>
        <w:pStyle w:val="6"/>
        <w:spacing w:before="120" w:after="120"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color w:val="auto"/>
          <w:sz w:val="24"/>
          <w:szCs w:val="24"/>
          <w:highlight w:val="none"/>
        </w:rPr>
        <w:t xml:space="preserve"> </w:t>
      </w:r>
      <w:bookmarkStart w:id="94" w:name="_Toc351203487"/>
      <w:r>
        <w:rPr>
          <w:rFonts w:hint="eastAsia" w:ascii="仿宋" w:hAnsi="仿宋" w:eastAsia="仿宋" w:cs="仿宋"/>
          <w:b w:val="0"/>
          <w:color w:val="auto"/>
          <w:sz w:val="24"/>
          <w:szCs w:val="24"/>
          <w:highlight w:val="none"/>
        </w:rPr>
        <w:t>七、承诺</w:t>
      </w:r>
      <w:bookmarkEnd w:id="94"/>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1.发包人承诺按照法律规定履行项目审批手续、筹集工程建设资金并按照合同约定的期限和方式支付合同价款。</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3.发包人和承包人通过</w:t>
      </w:r>
      <w:r>
        <w:rPr>
          <w:rFonts w:hint="eastAsia" w:ascii="仿宋" w:hAnsi="仿宋" w:eastAsia="仿宋" w:cs="仿宋"/>
          <w:bCs/>
          <w:color w:val="auto"/>
          <w:sz w:val="24"/>
          <w:szCs w:val="24"/>
          <w:highlight w:val="none"/>
          <w:lang w:val="en-US" w:eastAsia="zh-CN"/>
        </w:rPr>
        <w:t>政府采购</w:t>
      </w:r>
      <w:r>
        <w:rPr>
          <w:rFonts w:hint="eastAsia" w:ascii="仿宋" w:hAnsi="仿宋" w:eastAsia="仿宋" w:cs="仿宋"/>
          <w:bCs/>
          <w:color w:val="auto"/>
          <w:sz w:val="24"/>
          <w:szCs w:val="24"/>
          <w:highlight w:val="none"/>
        </w:rPr>
        <w:t>形式签订合同的，双方理解并承诺不再就同一工程另行签订与合同实质性内容相背离的协议。</w:t>
      </w:r>
    </w:p>
    <w:p>
      <w:pPr>
        <w:spacing w:line="360" w:lineRule="auto"/>
        <w:rPr>
          <w:rFonts w:hint="eastAsia" w:ascii="仿宋" w:hAnsi="仿宋" w:eastAsia="仿宋" w:cs="仿宋"/>
          <w:bCs/>
          <w:color w:val="auto"/>
          <w:sz w:val="24"/>
          <w:szCs w:val="24"/>
          <w:highlight w:val="none"/>
        </w:rPr>
      </w:pPr>
      <w:bookmarkStart w:id="95" w:name="_Toc351203488"/>
      <w:r>
        <w:rPr>
          <w:rFonts w:hint="eastAsia" w:ascii="仿宋" w:hAnsi="仿宋" w:eastAsia="仿宋" w:cs="仿宋"/>
          <w:b/>
          <w:color w:val="auto"/>
          <w:sz w:val="24"/>
          <w:szCs w:val="24"/>
          <w:highlight w:val="none"/>
        </w:rPr>
        <w:t xml:space="preserve">    八、词语含义</w:t>
      </w:r>
      <w:bookmarkEnd w:id="95"/>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本协议书中词语含义与第二部分通用合同条款中赋予的含义相同。</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r>
        <w:rPr>
          <w:rFonts w:hint="eastAsia" w:ascii="仿宋" w:hAnsi="仿宋" w:eastAsia="仿宋" w:cs="仿宋"/>
          <w:b w:val="0"/>
          <w:color w:val="auto"/>
          <w:sz w:val="24"/>
          <w:szCs w:val="24"/>
          <w:highlight w:val="none"/>
        </w:rPr>
        <w:t xml:space="preserve">  </w:t>
      </w:r>
      <w:bookmarkStart w:id="96" w:name="_Toc351203489"/>
      <w:r>
        <w:rPr>
          <w:rFonts w:hint="eastAsia" w:ascii="仿宋" w:hAnsi="仿宋" w:eastAsia="仿宋" w:cs="仿宋"/>
          <w:b w:val="0"/>
          <w:color w:val="auto"/>
          <w:sz w:val="24"/>
          <w:szCs w:val="24"/>
          <w:highlight w:val="none"/>
        </w:rPr>
        <w:t>九、签订时间</w:t>
      </w:r>
      <w:bookmarkEnd w:id="96"/>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本合同于</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rPr>
        <w:t>日签订。</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bookmarkStart w:id="97" w:name="_Toc351203490"/>
      <w:r>
        <w:rPr>
          <w:rFonts w:hint="eastAsia" w:ascii="仿宋" w:hAnsi="仿宋" w:eastAsia="仿宋" w:cs="仿宋"/>
          <w:b w:val="0"/>
          <w:color w:val="auto"/>
          <w:sz w:val="24"/>
          <w:szCs w:val="24"/>
          <w:highlight w:val="none"/>
        </w:rPr>
        <w:t>十、签订地点</w:t>
      </w:r>
      <w:bookmarkEnd w:id="97"/>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签订。</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bookmarkStart w:id="98" w:name="_Toc351203491"/>
      <w:r>
        <w:rPr>
          <w:rFonts w:hint="eastAsia" w:ascii="仿宋" w:hAnsi="仿宋" w:eastAsia="仿宋" w:cs="仿宋"/>
          <w:b w:val="0"/>
          <w:color w:val="auto"/>
          <w:sz w:val="24"/>
          <w:szCs w:val="24"/>
          <w:highlight w:val="none"/>
        </w:rPr>
        <w:t>十一、补充协议</w:t>
      </w:r>
      <w:bookmarkEnd w:id="98"/>
    </w:p>
    <w:p>
      <w:pPr>
        <w:spacing w:line="360" w:lineRule="auto"/>
        <w:ind w:firstLine="480" w:firstLineChars="200"/>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合同未尽事宜，合同当事人另行签订补充协议，补充协议是合同的组成部分。</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bookmarkStart w:id="99" w:name="_Toc351203492"/>
      <w:r>
        <w:rPr>
          <w:rFonts w:hint="eastAsia" w:ascii="仿宋" w:hAnsi="仿宋" w:eastAsia="仿宋" w:cs="仿宋"/>
          <w:b w:val="0"/>
          <w:color w:val="auto"/>
          <w:sz w:val="24"/>
          <w:szCs w:val="24"/>
          <w:highlight w:val="none"/>
        </w:rPr>
        <w:t>十二、合同生效</w:t>
      </w:r>
      <w:bookmarkEnd w:id="99"/>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本合同自</w:t>
      </w:r>
      <w:r>
        <w:rPr>
          <w:rFonts w:hint="eastAsia" w:ascii="仿宋" w:hAnsi="仿宋" w:eastAsia="仿宋" w:cs="仿宋"/>
          <w:bCs/>
          <w:color w:val="auto"/>
          <w:sz w:val="24"/>
          <w:szCs w:val="24"/>
          <w:highlight w:val="none"/>
          <w:u w:val="single"/>
        </w:rPr>
        <w:t>双方</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"http://china.findlaw.cn/data/gsflgw_462.html" </w:instrText>
      </w:r>
      <w:r>
        <w:rPr>
          <w:rFonts w:hint="eastAsia" w:ascii="仿宋" w:hAnsi="仿宋" w:eastAsia="仿宋" w:cs="仿宋"/>
          <w:color w:val="auto"/>
          <w:sz w:val="24"/>
          <w:szCs w:val="24"/>
          <w:highlight w:val="none"/>
        </w:rPr>
        <w:fldChar w:fldCharType="separate"/>
      </w:r>
      <w:r>
        <w:rPr>
          <w:rStyle w:val="31"/>
          <w:rFonts w:hint="eastAsia" w:ascii="仿宋" w:hAnsi="仿宋" w:eastAsia="仿宋" w:cs="仿宋"/>
          <w:bCs/>
          <w:color w:val="auto"/>
          <w:sz w:val="24"/>
          <w:szCs w:val="24"/>
          <w:highlight w:val="none"/>
        </w:rPr>
        <w:t>法定代表人</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u w:val="single"/>
        </w:rPr>
        <w:t>或其授权代理人签字（盖章）并加盖本单位公章后</w:t>
      </w:r>
      <w:r>
        <w:rPr>
          <w:rFonts w:hint="eastAsia" w:ascii="仿宋" w:hAnsi="仿宋" w:eastAsia="仿宋" w:cs="仿宋"/>
          <w:bCs/>
          <w:color w:val="auto"/>
          <w:sz w:val="24"/>
          <w:szCs w:val="24"/>
          <w:highlight w:val="none"/>
        </w:rPr>
        <w:t>生效。</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bookmarkStart w:id="100" w:name="_Toc351203493"/>
      <w:r>
        <w:rPr>
          <w:rFonts w:hint="eastAsia" w:ascii="仿宋" w:hAnsi="仿宋" w:eastAsia="仿宋" w:cs="仿宋"/>
          <w:b w:val="0"/>
          <w:color w:val="auto"/>
          <w:sz w:val="24"/>
          <w:szCs w:val="24"/>
          <w:highlight w:val="none"/>
        </w:rPr>
        <w:t>十三、合同份数</w:t>
      </w:r>
      <w:bookmarkEnd w:id="100"/>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本合同一式</w:t>
      </w:r>
      <w:r>
        <w:rPr>
          <w:rFonts w:hint="eastAsia" w:ascii="仿宋" w:hAnsi="仿宋" w:eastAsia="仿宋" w:cs="仿宋"/>
          <w:bCs/>
          <w:color w:val="auto"/>
          <w:sz w:val="24"/>
          <w:szCs w:val="24"/>
          <w:highlight w:val="none"/>
          <w:u w:val="single"/>
        </w:rPr>
        <w:t xml:space="preserve"> 陆 </w:t>
      </w:r>
      <w:r>
        <w:rPr>
          <w:rFonts w:hint="eastAsia" w:ascii="仿宋" w:hAnsi="仿宋" w:eastAsia="仿宋" w:cs="仿宋"/>
          <w:bCs/>
          <w:color w:val="auto"/>
          <w:sz w:val="24"/>
          <w:szCs w:val="24"/>
          <w:highlight w:val="none"/>
        </w:rPr>
        <w:t>份，均具有同等法律效力，发包人执</w:t>
      </w:r>
      <w:r>
        <w:rPr>
          <w:rFonts w:hint="eastAsia" w:ascii="仿宋" w:hAnsi="仿宋" w:eastAsia="仿宋" w:cs="仿宋"/>
          <w:bCs/>
          <w:color w:val="auto"/>
          <w:sz w:val="24"/>
          <w:szCs w:val="24"/>
          <w:highlight w:val="none"/>
          <w:u w:val="single"/>
        </w:rPr>
        <w:t xml:space="preserve"> 叁 </w:t>
      </w:r>
      <w:r>
        <w:rPr>
          <w:rFonts w:hint="eastAsia" w:ascii="仿宋" w:hAnsi="仿宋" w:eastAsia="仿宋" w:cs="仿宋"/>
          <w:bCs/>
          <w:color w:val="auto"/>
          <w:sz w:val="24"/>
          <w:szCs w:val="24"/>
          <w:highlight w:val="none"/>
        </w:rPr>
        <w:t>份，承包人执</w:t>
      </w:r>
      <w:r>
        <w:rPr>
          <w:rFonts w:hint="eastAsia" w:ascii="仿宋" w:hAnsi="仿宋" w:eastAsia="仿宋" w:cs="仿宋"/>
          <w:bCs/>
          <w:color w:val="auto"/>
          <w:sz w:val="24"/>
          <w:szCs w:val="24"/>
          <w:highlight w:val="none"/>
          <w:u w:val="single"/>
        </w:rPr>
        <w:t xml:space="preserve"> 叁 </w:t>
      </w:r>
      <w:r>
        <w:rPr>
          <w:rFonts w:hint="eastAsia" w:ascii="仿宋" w:hAnsi="仿宋" w:eastAsia="仿宋" w:cs="仿宋"/>
          <w:bCs/>
          <w:color w:val="auto"/>
          <w:sz w:val="24"/>
          <w:szCs w:val="24"/>
          <w:highlight w:val="none"/>
        </w:rPr>
        <w:t>份。</w:t>
      </w:r>
    </w:p>
    <w:p>
      <w:pPr>
        <w:spacing w:line="360" w:lineRule="auto"/>
        <w:rPr>
          <w:rFonts w:hint="eastAsia" w:ascii="仿宋" w:hAnsi="仿宋" w:eastAsia="仿宋" w:cs="仿宋"/>
          <w:bCs/>
          <w:color w:val="auto"/>
          <w:sz w:val="24"/>
          <w:szCs w:val="24"/>
          <w:highlight w:val="none"/>
        </w:rPr>
      </w:pPr>
    </w:p>
    <w:p>
      <w:pPr>
        <w:spacing w:line="360" w:lineRule="auto"/>
        <w:rPr>
          <w:rFonts w:hint="eastAsia" w:ascii="仿宋" w:hAnsi="仿宋" w:eastAsia="仿宋" w:cs="仿宋"/>
          <w:color w:val="auto"/>
          <w:sz w:val="30"/>
          <w:szCs w:val="30"/>
          <w:highlight w:val="none"/>
        </w:rPr>
      </w:pP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  (公章)             承包人：  (公章)</w:t>
      </w:r>
    </w:p>
    <w:p>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  法定代表人或其委托代理人：</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                    （签字）</w:t>
      </w:r>
    </w:p>
    <w:p>
      <w:pPr>
        <w:spacing w:line="360" w:lineRule="auto"/>
        <w:rPr>
          <w:rFonts w:hint="eastAsia" w:ascii="仿宋" w:hAnsi="仿宋" w:eastAsia="仿宋" w:cs="仿宋"/>
          <w:color w:val="auto"/>
          <w:sz w:val="24"/>
          <w:szCs w:val="24"/>
          <w:highlight w:val="none"/>
          <w:u w:val="single"/>
        </w:rPr>
      </w:pPr>
    </w:p>
    <w:p>
      <w:pPr>
        <w:tabs>
          <w:tab w:val="left" w:pos="4410"/>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组织机构代码：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组织机构代码：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z w:val="24"/>
          <w:szCs w:val="24"/>
          <w:highlight w:val="none"/>
        </w:rPr>
        <w:t xml:space="preserve">    地  址：</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邮政编码：</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法定代表人：</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委托代理人：</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  话：</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  真：</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电子信箱：</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pacing w:val="-30"/>
          <w:sz w:val="24"/>
          <w:szCs w:val="24"/>
          <w:highlight w:val="none"/>
          <w:u w:val="single"/>
        </w:rPr>
        <w:t xml:space="preserve"> </w:t>
      </w:r>
      <w:r>
        <w:rPr>
          <w:rFonts w:hint="eastAsia" w:ascii="仿宋" w:hAnsi="仿宋" w:eastAsia="仿宋" w:cs="仿宋"/>
          <w:color w:val="auto"/>
          <w:sz w:val="24"/>
          <w:szCs w:val="24"/>
          <w:highlight w:val="none"/>
        </w:rPr>
        <w:t xml:space="preserve">     开户银行：</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z w:val="24"/>
          <w:szCs w:val="24"/>
          <w:highlight w:val="none"/>
        </w:rPr>
        <w:t xml:space="preserve">     账  号：</w:t>
      </w:r>
      <w:r>
        <w:rPr>
          <w:rFonts w:hint="eastAsia" w:ascii="仿宋" w:hAnsi="仿宋" w:eastAsia="仿宋" w:cs="仿宋"/>
          <w:color w:val="auto"/>
          <w:sz w:val="24"/>
          <w:szCs w:val="24"/>
          <w:highlight w:val="none"/>
          <w:u w:val="single"/>
        </w:rPr>
        <w:t xml:space="preserve">                    </w:t>
      </w:r>
    </w:p>
    <w:p>
      <w:pPr>
        <w:pStyle w:val="5"/>
        <w:jc w:val="center"/>
        <w:rPr>
          <w:rFonts w:hint="eastAsia" w:ascii="仿宋" w:hAnsi="仿宋" w:eastAsia="仿宋" w:cs="仿宋"/>
          <w:color w:val="auto"/>
          <w:szCs w:val="32"/>
          <w:highlight w:val="none"/>
        </w:rPr>
      </w:pPr>
      <w:r>
        <w:rPr>
          <w:rFonts w:hint="eastAsia" w:ascii="仿宋" w:hAnsi="仿宋" w:eastAsia="仿宋" w:cs="仿宋"/>
          <w:color w:val="auto"/>
          <w:highlight w:val="none"/>
        </w:rPr>
        <w:br w:type="page"/>
      </w:r>
      <w:bookmarkStart w:id="101" w:name="_Toc351203494"/>
      <w:bookmarkStart w:id="102" w:name="_Toc29615"/>
      <w:r>
        <w:rPr>
          <w:rFonts w:hint="eastAsia" w:ascii="仿宋" w:hAnsi="仿宋" w:eastAsia="仿宋" w:cs="仿宋"/>
          <w:color w:val="auto"/>
          <w:szCs w:val="32"/>
          <w:highlight w:val="none"/>
        </w:rPr>
        <w:t>第二部分 通用合同条款</w:t>
      </w:r>
      <w:bookmarkEnd w:id="101"/>
      <w:bookmarkEnd w:id="102"/>
      <w:bookmarkStart w:id="103" w:name="_Toc337558727"/>
    </w:p>
    <w:p>
      <w:pPr>
        <w:pStyle w:val="6"/>
        <w:spacing w:before="120" w:after="120" w:line="360" w:lineRule="auto"/>
        <w:rPr>
          <w:rFonts w:hint="eastAsia" w:ascii="仿宋" w:hAnsi="仿宋" w:eastAsia="仿宋" w:cs="仿宋"/>
          <w:b w:val="0"/>
          <w:color w:val="auto"/>
          <w:sz w:val="32"/>
          <w:szCs w:val="32"/>
          <w:highlight w:val="none"/>
        </w:rPr>
      </w:pPr>
      <w:bookmarkStart w:id="104" w:name="_Toc351203495"/>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与承包人声明此部分的内容与住房和城乡建设部、国家工商行政总局制定的建设工程施工合同（示范文本）（GF—2017—0201）通用条款部分的内容完全一致。在本合同中，出于节俭的考虑，本条款部分的内容予以省略。如果就合同的相关事宜涉及到通用条款部分的内容，双方同意完全按照建设工程施工合同（示范文本）（GF—2017—0201）通用条款部分的内容执行。</w:t>
      </w:r>
    </w:p>
    <w:bookmarkEnd w:id="103"/>
    <w:bookmarkEnd w:id="104"/>
    <w:p>
      <w:pPr>
        <w:pStyle w:val="5"/>
        <w:jc w:val="center"/>
        <w:rPr>
          <w:rFonts w:hint="eastAsia" w:ascii="仿宋" w:hAnsi="仿宋" w:eastAsia="仿宋" w:cs="仿宋"/>
          <w:color w:val="auto"/>
          <w:sz w:val="44"/>
          <w:szCs w:val="44"/>
          <w:highlight w:val="none"/>
        </w:rPr>
      </w:pPr>
      <w:bookmarkStart w:id="105" w:name="_Toc25752"/>
      <w:bookmarkEnd w:id="105"/>
    </w:p>
    <w:p>
      <w:pPr>
        <w:rPr>
          <w:rFonts w:hint="eastAsia" w:ascii="仿宋" w:hAnsi="仿宋" w:eastAsia="仿宋" w:cs="仿宋"/>
          <w:color w:val="auto"/>
          <w:sz w:val="44"/>
          <w:szCs w:val="44"/>
          <w:highlight w:val="none"/>
        </w:rPr>
      </w:pPr>
    </w:p>
    <w:p>
      <w:pPr>
        <w:rPr>
          <w:rFonts w:hint="eastAsia" w:ascii="仿宋" w:hAnsi="仿宋" w:eastAsia="仿宋" w:cs="仿宋"/>
          <w:color w:val="auto"/>
          <w:sz w:val="44"/>
          <w:szCs w:val="44"/>
          <w:highlight w:val="none"/>
        </w:rPr>
      </w:pPr>
    </w:p>
    <w:p>
      <w:pPr>
        <w:rPr>
          <w:rFonts w:hint="eastAsia" w:ascii="仿宋" w:hAnsi="仿宋" w:eastAsia="仿宋" w:cs="仿宋"/>
          <w:color w:val="auto"/>
          <w:sz w:val="44"/>
          <w:szCs w:val="44"/>
          <w:highlight w:val="none"/>
        </w:rPr>
      </w:pPr>
    </w:p>
    <w:p>
      <w:pPr>
        <w:rPr>
          <w:rFonts w:hint="eastAsia" w:ascii="仿宋" w:hAnsi="仿宋" w:eastAsia="仿宋" w:cs="仿宋"/>
          <w:color w:val="auto"/>
          <w:sz w:val="44"/>
          <w:szCs w:val="44"/>
          <w:highlight w:val="none"/>
        </w:rPr>
      </w:pPr>
    </w:p>
    <w:p>
      <w:pPr>
        <w:rPr>
          <w:rFonts w:hint="eastAsia" w:ascii="仿宋" w:hAnsi="仿宋" w:eastAsia="仿宋" w:cs="仿宋"/>
          <w:color w:val="auto"/>
          <w:sz w:val="44"/>
          <w:szCs w:val="44"/>
          <w:highlight w:val="none"/>
        </w:rPr>
      </w:pPr>
    </w:p>
    <w:p>
      <w:pPr>
        <w:rPr>
          <w:rFonts w:hint="eastAsia" w:ascii="仿宋" w:hAnsi="仿宋" w:eastAsia="仿宋" w:cs="仿宋"/>
          <w:color w:val="auto"/>
          <w:sz w:val="44"/>
          <w:szCs w:val="44"/>
          <w:highlight w:val="none"/>
        </w:rPr>
      </w:pPr>
    </w:p>
    <w:p>
      <w:pPr>
        <w:rPr>
          <w:rFonts w:hint="eastAsia" w:ascii="仿宋" w:hAnsi="仿宋" w:eastAsia="仿宋" w:cs="仿宋"/>
          <w:color w:val="auto"/>
          <w:sz w:val="44"/>
          <w:szCs w:val="44"/>
          <w:highlight w:val="none"/>
        </w:rPr>
      </w:pPr>
    </w:p>
    <w:p>
      <w:pPr>
        <w:pStyle w:val="5"/>
        <w:jc w:val="center"/>
        <w:rPr>
          <w:rFonts w:hint="eastAsia" w:ascii="仿宋" w:hAnsi="仿宋" w:eastAsia="仿宋" w:cs="仿宋"/>
          <w:color w:val="auto"/>
          <w:szCs w:val="32"/>
          <w:highlight w:val="none"/>
        </w:rPr>
      </w:pPr>
      <w:r>
        <w:rPr>
          <w:rFonts w:hint="eastAsia" w:ascii="仿宋" w:hAnsi="仿宋" w:eastAsia="仿宋" w:cs="仿宋"/>
          <w:color w:val="auto"/>
          <w:szCs w:val="32"/>
          <w:highlight w:val="none"/>
        </w:rPr>
        <w:br w:type="page"/>
      </w:r>
      <w:bookmarkStart w:id="106" w:name="_Toc8894"/>
      <w:r>
        <w:rPr>
          <w:rFonts w:hint="eastAsia" w:ascii="仿宋" w:hAnsi="仿宋" w:eastAsia="仿宋" w:cs="仿宋"/>
          <w:color w:val="auto"/>
          <w:szCs w:val="32"/>
          <w:highlight w:val="none"/>
        </w:rPr>
        <w:t>第三部分 专用合同条款</w:t>
      </w:r>
      <w:bookmarkEnd w:id="106"/>
    </w:p>
    <w:p>
      <w:pPr>
        <w:pStyle w:val="6"/>
        <w:spacing w:before="120" w:after="120" w:line="360" w:lineRule="auto"/>
        <w:rPr>
          <w:rFonts w:hint="eastAsia" w:ascii="仿宋" w:hAnsi="仿宋" w:eastAsia="仿宋" w:cs="仿宋"/>
          <w:b w:val="0"/>
          <w:color w:val="auto"/>
          <w:sz w:val="24"/>
          <w:szCs w:val="24"/>
          <w:highlight w:val="none"/>
        </w:rPr>
      </w:pPr>
      <w:bookmarkStart w:id="107" w:name="_Toc351203633"/>
      <w:r>
        <w:rPr>
          <w:rFonts w:hint="eastAsia" w:ascii="仿宋" w:hAnsi="仿宋" w:eastAsia="仿宋" w:cs="仿宋"/>
          <w:b w:val="0"/>
          <w:color w:val="auto"/>
          <w:sz w:val="24"/>
          <w:szCs w:val="24"/>
          <w:highlight w:val="none"/>
        </w:rPr>
        <w:t>1</w:t>
      </w:r>
      <w:bookmarkStart w:id="108" w:name="_Toc296944495"/>
      <w:bookmarkStart w:id="109" w:name="_Toc292559361"/>
      <w:bookmarkStart w:id="110" w:name="_Toc296346657"/>
      <w:bookmarkStart w:id="111" w:name="_Toc296347155"/>
      <w:bookmarkStart w:id="112" w:name="_Toc296890984"/>
      <w:bookmarkStart w:id="113" w:name="_Toc292559866"/>
      <w:bookmarkStart w:id="114" w:name="_Toc296891196"/>
      <w:bookmarkStart w:id="115" w:name="_Toc297048342"/>
      <w:bookmarkStart w:id="116" w:name="_Toc296503156"/>
      <w:bookmarkStart w:id="117" w:name="_Toc297120456"/>
      <w:r>
        <w:rPr>
          <w:rFonts w:hint="eastAsia" w:ascii="仿宋" w:hAnsi="仿宋" w:eastAsia="仿宋" w:cs="仿宋"/>
          <w:b w:val="0"/>
          <w:color w:val="auto"/>
          <w:sz w:val="24"/>
          <w:szCs w:val="24"/>
          <w:highlight w:val="none"/>
        </w:rPr>
        <w:t>. 一般约定</w:t>
      </w:r>
      <w:bookmarkEnd w:id="107"/>
    </w:p>
    <w:bookmarkEnd w:id="108"/>
    <w:bookmarkEnd w:id="109"/>
    <w:bookmarkEnd w:id="110"/>
    <w:bookmarkEnd w:id="111"/>
    <w:bookmarkEnd w:id="112"/>
    <w:bookmarkEnd w:id="113"/>
    <w:bookmarkEnd w:id="114"/>
    <w:bookmarkEnd w:id="115"/>
    <w:bookmarkEnd w:id="116"/>
    <w:bookmarkEnd w:id="117"/>
    <w:p>
      <w:pPr>
        <w:spacing w:after="120" w:line="360" w:lineRule="auto"/>
        <w:ind w:firstLine="480" w:firstLineChars="200"/>
        <w:outlineLvl w:val="0"/>
        <w:rPr>
          <w:rFonts w:hint="eastAsia" w:ascii="仿宋" w:hAnsi="仿宋" w:eastAsia="仿宋" w:cs="仿宋"/>
          <w:color w:val="auto"/>
          <w:sz w:val="24"/>
          <w:szCs w:val="24"/>
          <w:highlight w:val="none"/>
        </w:rPr>
      </w:pPr>
      <w:bookmarkStart w:id="118" w:name="_Toc7711"/>
      <w:r>
        <w:rPr>
          <w:rFonts w:hint="eastAsia" w:ascii="仿宋" w:hAnsi="仿宋" w:eastAsia="仿宋" w:cs="仿宋"/>
          <w:color w:val="auto"/>
          <w:sz w:val="24"/>
          <w:szCs w:val="24"/>
          <w:highlight w:val="none"/>
        </w:rPr>
        <w:t>1.1 词语定义</w:t>
      </w:r>
      <w:bookmarkEnd w:id="118"/>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1.1.1合同</w:t>
      </w:r>
    </w:p>
    <w:p>
      <w:pPr>
        <w:spacing w:line="360" w:lineRule="auto"/>
        <w:ind w:left="1436" w:leftChars="284" w:hanging="840" w:hangingChars="35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1.1.1.1其他合同文件包括：</w:t>
      </w:r>
      <w:r>
        <w:rPr>
          <w:rFonts w:hint="eastAsia" w:ascii="仿宋" w:hAnsi="仿宋" w:eastAsia="仿宋" w:cs="仿宋"/>
          <w:color w:val="auto"/>
          <w:kern w:val="0"/>
          <w:sz w:val="24"/>
          <w:szCs w:val="24"/>
          <w:highlight w:val="none"/>
          <w:u w:val="single"/>
        </w:rPr>
        <w:t>施工组织设计、</w:t>
      </w:r>
      <w:r>
        <w:rPr>
          <w:rFonts w:hint="eastAsia" w:ascii="仿宋" w:hAnsi="仿宋" w:eastAsia="仿宋" w:cs="仿宋"/>
          <w:color w:val="auto"/>
          <w:kern w:val="0"/>
          <w:sz w:val="24"/>
          <w:szCs w:val="24"/>
          <w:highlight w:val="none"/>
          <w:u w:val="single"/>
          <w:lang w:val="en-US" w:eastAsia="zh-CN"/>
        </w:rPr>
        <w:t>采购</w:t>
      </w:r>
      <w:r>
        <w:rPr>
          <w:rFonts w:hint="eastAsia" w:ascii="仿宋" w:hAnsi="仿宋" w:eastAsia="仿宋" w:cs="仿宋"/>
          <w:color w:val="auto"/>
          <w:kern w:val="0"/>
          <w:sz w:val="24"/>
          <w:szCs w:val="24"/>
          <w:highlight w:val="none"/>
          <w:u w:val="single"/>
        </w:rPr>
        <w:t>文件（含澄清文件、暂列金、暂估价）、洽谈记录、图纸会审记录、发包人相关制度、廉政协议等文件</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合同当事人及其他相关方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1.1.2.1监理人：</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资质类别和等级：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1.1.2.2 设计人：</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资质类别和等级：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工程和设备</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1.1.3.1 作为施工现场组成部分的其他场所包括：</w:t>
      </w:r>
      <w:r>
        <w:rPr>
          <w:rFonts w:hint="eastAsia" w:ascii="仿宋" w:hAnsi="仿宋" w:eastAsia="仿宋" w:cs="仿宋"/>
          <w:color w:val="auto"/>
          <w:sz w:val="24"/>
          <w:szCs w:val="24"/>
          <w:highlight w:val="none"/>
          <w:u w:val="single"/>
        </w:rPr>
        <w:t>施工所必需的临时设施占用的土地</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1.1.3.2 永久占地包括：</w:t>
      </w:r>
      <w:r>
        <w:rPr>
          <w:rFonts w:hint="eastAsia" w:ascii="仿宋" w:hAnsi="仿宋" w:eastAsia="仿宋" w:cs="仿宋"/>
          <w:color w:val="auto"/>
          <w:sz w:val="24"/>
          <w:szCs w:val="24"/>
          <w:highlight w:val="none"/>
          <w:u w:val="single"/>
        </w:rPr>
        <w:t xml:space="preserve">       无     </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1.1.3.3 临时占地包括：</w:t>
      </w:r>
      <w:r>
        <w:rPr>
          <w:rFonts w:hint="eastAsia" w:ascii="仿宋" w:hAnsi="仿宋" w:eastAsia="仿宋" w:cs="仿宋"/>
          <w:color w:val="auto"/>
          <w:sz w:val="24"/>
          <w:szCs w:val="24"/>
          <w:highlight w:val="none"/>
          <w:u w:val="single"/>
        </w:rPr>
        <w:t xml:space="preserve">经许可，施工所需的临时设施所占土地 </w:t>
      </w:r>
      <w:r>
        <w:rPr>
          <w:rFonts w:hint="eastAsia" w:ascii="仿宋" w:hAnsi="仿宋" w:eastAsia="仿宋" w:cs="仿宋"/>
          <w:color w:val="auto"/>
          <w:kern w:val="0"/>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1.2法律 </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适用于合同的其他规范性文件：</w:t>
      </w:r>
      <w:r>
        <w:rPr>
          <w:rFonts w:hint="eastAsia" w:ascii="仿宋" w:hAnsi="仿宋" w:eastAsia="仿宋" w:cs="仿宋"/>
          <w:color w:val="auto"/>
          <w:sz w:val="24"/>
          <w:szCs w:val="24"/>
          <w:highlight w:val="none"/>
          <w:u w:val="single"/>
        </w:rPr>
        <w:t>《建筑法》、《</w:t>
      </w:r>
      <w:r>
        <w:rPr>
          <w:rFonts w:hint="eastAsia" w:ascii="仿宋" w:hAnsi="仿宋" w:eastAsia="仿宋" w:cs="仿宋"/>
          <w:color w:val="auto"/>
          <w:sz w:val="24"/>
          <w:szCs w:val="24"/>
          <w:highlight w:val="none"/>
          <w:u w:val="single"/>
          <w:lang w:val="en-US" w:eastAsia="zh-CN"/>
        </w:rPr>
        <w:t>民法典</w:t>
      </w:r>
      <w:r>
        <w:rPr>
          <w:rFonts w:hint="eastAsia" w:ascii="仿宋" w:hAnsi="仿宋" w:eastAsia="仿宋" w:cs="仿宋"/>
          <w:color w:val="auto"/>
          <w:sz w:val="24"/>
          <w:szCs w:val="24"/>
          <w:highlight w:val="none"/>
          <w:u w:val="single"/>
        </w:rPr>
        <w:t>》、《安全生产法》、《建筑工程质量管理体系》等国家法规及自治区和地方的有关规定</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标准和规范</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1.3.1适用于工程的标准规范包括：</w:t>
      </w:r>
      <w:r>
        <w:rPr>
          <w:rFonts w:hint="eastAsia" w:ascii="仿宋" w:hAnsi="仿宋" w:eastAsia="仿宋" w:cs="仿宋"/>
          <w:color w:val="auto"/>
          <w:sz w:val="24"/>
          <w:szCs w:val="24"/>
          <w:highlight w:val="none"/>
          <w:u w:val="single"/>
        </w:rPr>
        <w:t>执行施工图内明确的各项技术标准，按国家现行的《建筑工程质量验收统一标准》，以及国家现行有效施工验收规范、质量标准及操作规定等相关要求验收、《建设工程工程量清单计价规范》GB50500-2013。计价依据按新建标【2016】2号文件有关规定执行，计税方式为增值税销项税</w:t>
      </w:r>
      <w:r>
        <w:rPr>
          <w:rFonts w:hint="eastAsia" w:ascii="仿宋" w:hAnsi="仿宋" w:eastAsia="仿宋" w:cs="仿宋"/>
          <w:color w:val="auto"/>
          <w:sz w:val="24"/>
          <w:szCs w:val="24"/>
          <w:highlight w:val="none"/>
        </w:rPr>
        <w:t>。</w:t>
      </w:r>
    </w:p>
    <w:p>
      <w:pPr>
        <w:spacing w:line="360" w:lineRule="auto"/>
        <w:ind w:firstLine="480" w:firstLineChars="200"/>
        <w:outlineLvl w:val="0"/>
        <w:rPr>
          <w:rFonts w:hint="eastAsia" w:ascii="仿宋" w:hAnsi="仿宋" w:eastAsia="仿宋" w:cs="仿宋"/>
          <w:color w:val="auto"/>
          <w:kern w:val="0"/>
          <w:sz w:val="24"/>
          <w:szCs w:val="24"/>
          <w:highlight w:val="none"/>
        </w:rPr>
      </w:pPr>
      <w:bookmarkStart w:id="119" w:name="_Toc4405"/>
      <w:r>
        <w:rPr>
          <w:rFonts w:hint="eastAsia" w:ascii="仿宋" w:hAnsi="仿宋" w:eastAsia="仿宋" w:cs="仿宋"/>
          <w:color w:val="auto"/>
          <w:kern w:val="0"/>
          <w:sz w:val="24"/>
          <w:szCs w:val="24"/>
          <w:highlight w:val="none"/>
        </w:rPr>
        <w:t>1.3.2 发包人提供国外标准、规范的名称：</w:t>
      </w:r>
      <w:r>
        <w:rPr>
          <w:rFonts w:hint="eastAsia" w:ascii="仿宋" w:hAnsi="仿宋" w:eastAsia="仿宋" w:cs="仿宋"/>
          <w:color w:val="auto"/>
          <w:kern w:val="0"/>
          <w:sz w:val="24"/>
          <w:szCs w:val="24"/>
          <w:highlight w:val="none"/>
          <w:u w:val="single"/>
        </w:rPr>
        <w:t>无    ；</w:t>
      </w:r>
      <w:bookmarkEnd w:id="119"/>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发包人提供国外标准、规范的份数：</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发包人提供国外标准、规范的名称：</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w:t>
      </w:r>
    </w:p>
    <w:p>
      <w:pPr>
        <w:spacing w:line="360" w:lineRule="auto"/>
        <w:ind w:left="596" w:leftChars="2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1.3.3发包人对工程的技术标准和功能要求的特殊要求：</w:t>
      </w:r>
      <w:r>
        <w:rPr>
          <w:rFonts w:hint="eastAsia" w:ascii="仿宋" w:hAnsi="仿宋" w:eastAsia="仿宋" w:cs="仿宋"/>
          <w:color w:val="auto"/>
          <w:sz w:val="24"/>
          <w:szCs w:val="24"/>
          <w:highlight w:val="none"/>
          <w:u w:val="single"/>
        </w:rPr>
        <w:t>按合同约定执行</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120" w:name="_Toc13363"/>
      <w:r>
        <w:rPr>
          <w:rFonts w:hint="eastAsia" w:ascii="仿宋" w:hAnsi="仿宋" w:eastAsia="仿宋" w:cs="仿宋"/>
          <w:color w:val="auto"/>
          <w:sz w:val="24"/>
          <w:szCs w:val="24"/>
          <w:highlight w:val="none"/>
        </w:rPr>
        <w:t>1.4 合同文件的优先顺序</w:t>
      </w:r>
      <w:bookmarkEnd w:id="120"/>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合同文件组成及优先顺序为：</w:t>
      </w:r>
      <w:r>
        <w:rPr>
          <w:rFonts w:hint="eastAsia" w:ascii="仿宋" w:hAnsi="仿宋" w:eastAsia="仿宋" w:cs="仿宋"/>
          <w:color w:val="auto"/>
          <w:sz w:val="24"/>
          <w:szCs w:val="24"/>
          <w:highlight w:val="none"/>
          <w:u w:val="single"/>
        </w:rPr>
        <w:t>(1)合同协议书；(2)成交通知书；(3)本工程施工采购文件（含采购文件附件、采购文件补充）；(4)响应文件及其附件（含承包人在评审期间递交和确认并经业主同意的对有关问题的补充资料和澄清文件等）；(5)合同专用条款（含数据表和招标文件补充答疑书中与此有关的部分）；(6)合同通用条款；(7)标准、规范及有关技术文件（含采购文件补充答疑书中与此有关的部分）；(8)图纸（含招标文件补充答疑书中与此有关的部分）；(9)工程量清单。双方有关工程的洽商、变更等书面协议或文件均视为本合同的组成部分。合同双方在合同履行过程中签订的补充协议亦构成合同文件的组成部分，其解释顺序视其内容与其合同文件的相互关系而定</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121" w:name="_Toc4775"/>
      <w:r>
        <w:rPr>
          <w:rFonts w:hint="eastAsia" w:ascii="仿宋" w:hAnsi="仿宋" w:eastAsia="仿宋" w:cs="仿宋"/>
          <w:color w:val="auto"/>
          <w:sz w:val="24"/>
          <w:szCs w:val="24"/>
          <w:highlight w:val="none"/>
        </w:rPr>
        <w:t>1.5 图纸和承包人文件</w:t>
      </w:r>
      <w:bookmarkEnd w:id="121"/>
      <w:r>
        <w:rPr>
          <w:rFonts w:hint="eastAsia" w:ascii="仿宋" w:hAnsi="仿宋" w:eastAsia="仿宋" w:cs="仿宋"/>
          <w:color w:val="auto"/>
          <w:sz w:val="24"/>
          <w:szCs w:val="24"/>
          <w:highlight w:val="none"/>
        </w:rPr>
        <w:tab/>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 图纸的提供</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发包人向承包人提供图纸的数量：</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发包人向承包人提供图纸的内容：</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 承包人文件</w:t>
      </w:r>
    </w:p>
    <w:p>
      <w:pPr>
        <w:spacing w:line="560" w:lineRule="exact"/>
        <w:ind w:firstLine="475" w:firstLineChars="198"/>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需要由承包人提供的文件，包括：</w:t>
      </w:r>
      <w:r>
        <w:rPr>
          <w:rFonts w:hint="eastAsia" w:ascii="仿宋" w:hAnsi="仿宋" w:eastAsia="仿宋" w:cs="仿宋"/>
          <w:color w:val="auto"/>
          <w:sz w:val="24"/>
          <w:szCs w:val="24"/>
          <w:highlight w:val="none"/>
          <w:u w:val="single"/>
        </w:rPr>
        <w:t>开工报告，施工组织设计，专项施工方案，进度报表及有关现场、经济签证、设计变更、竣工验收图纸、工程量清单。</w:t>
      </w:r>
    </w:p>
    <w:p>
      <w:pPr>
        <w:widowControl/>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承包人提供的文件的期限为：</w:t>
      </w:r>
      <w:r>
        <w:rPr>
          <w:rFonts w:hint="eastAsia" w:ascii="仿宋" w:hAnsi="仿宋" w:eastAsia="仿宋" w:cs="仿宋"/>
          <w:color w:val="auto"/>
          <w:sz w:val="24"/>
          <w:szCs w:val="24"/>
          <w:highlight w:val="none"/>
          <w:u w:val="single"/>
        </w:rPr>
        <w:t xml:space="preserve">开工报告、施工组织设计、专项施工方案、进度报表须在开工7日前提供。经济签证、设计变更、竣工验收图纸、工程量清单须在竣工验收后15日内提供  </w:t>
      </w:r>
      <w:r>
        <w:rPr>
          <w:rFonts w:hint="eastAsia" w:ascii="仿宋" w:hAnsi="仿宋" w:eastAsia="仿宋" w:cs="仿宋"/>
          <w:color w:val="auto"/>
          <w:sz w:val="24"/>
          <w:szCs w:val="24"/>
          <w:highlight w:val="none"/>
        </w:rPr>
        <w:t>；</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承包人提供的文件的数量为：</w:t>
      </w:r>
      <w:r>
        <w:rPr>
          <w:rFonts w:hint="eastAsia" w:ascii="仿宋" w:hAnsi="仿宋" w:eastAsia="仿宋" w:cs="仿宋"/>
          <w:color w:val="auto"/>
          <w:sz w:val="24"/>
          <w:szCs w:val="24"/>
          <w:highlight w:val="none"/>
          <w:u w:val="single"/>
        </w:rPr>
        <w:t xml:space="preserve"> 一式叁份    </w:t>
      </w:r>
      <w:r>
        <w:rPr>
          <w:rFonts w:hint="eastAsia" w:ascii="仿宋" w:hAnsi="仿宋" w:eastAsia="仿宋" w:cs="仿宋"/>
          <w:color w:val="auto"/>
          <w:sz w:val="24"/>
          <w:szCs w:val="24"/>
          <w:highlight w:val="none"/>
        </w:rPr>
        <w:t>；</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承包人提供的文件的形式为：</w:t>
      </w:r>
      <w:r>
        <w:rPr>
          <w:rFonts w:hint="eastAsia" w:ascii="仿宋" w:hAnsi="仿宋" w:eastAsia="仿宋" w:cs="仿宋"/>
          <w:color w:val="auto"/>
          <w:sz w:val="24"/>
          <w:szCs w:val="24"/>
          <w:highlight w:val="none"/>
          <w:u w:val="single"/>
        </w:rPr>
        <w:t xml:space="preserve"> 纸质、电子   </w:t>
      </w:r>
      <w:r>
        <w:rPr>
          <w:rFonts w:hint="eastAsia" w:ascii="仿宋" w:hAnsi="仿宋" w:eastAsia="仿宋" w:cs="仿宋"/>
          <w:color w:val="auto"/>
          <w:sz w:val="24"/>
          <w:szCs w:val="24"/>
          <w:highlight w:val="none"/>
        </w:rPr>
        <w:t>；</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发包人审批承包人文件的期限：</w:t>
      </w:r>
      <w:r>
        <w:rPr>
          <w:rFonts w:hint="eastAsia" w:ascii="仿宋" w:hAnsi="仿宋" w:eastAsia="仿宋" w:cs="仿宋"/>
          <w:color w:val="auto"/>
          <w:sz w:val="24"/>
          <w:szCs w:val="24"/>
          <w:highlight w:val="none"/>
          <w:u w:val="single"/>
        </w:rPr>
        <w:t xml:space="preserve"> 收到文件起7日内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 现场图纸准备</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关于现场图纸准备的约定：</w:t>
      </w:r>
      <w:r>
        <w:rPr>
          <w:rFonts w:hint="eastAsia" w:ascii="仿宋" w:hAnsi="仿宋" w:eastAsia="仿宋" w:cs="仿宋"/>
          <w:color w:val="auto"/>
          <w:sz w:val="24"/>
          <w:szCs w:val="24"/>
          <w:highlight w:val="none"/>
          <w:u w:val="single"/>
        </w:rPr>
        <w:t>施工现场保存两套完整的施工图</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122" w:name="_Toc11382"/>
      <w:r>
        <w:rPr>
          <w:rFonts w:hint="eastAsia" w:ascii="仿宋" w:hAnsi="仿宋" w:eastAsia="仿宋" w:cs="仿宋"/>
          <w:color w:val="auto"/>
          <w:sz w:val="24"/>
          <w:szCs w:val="24"/>
          <w:highlight w:val="none"/>
        </w:rPr>
        <w:t>1.6 联络</w:t>
      </w:r>
      <w:bookmarkEnd w:id="122"/>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1.6.1发包人和承包人应当在</w:t>
      </w:r>
      <w:r>
        <w:rPr>
          <w:rFonts w:hint="eastAsia" w:ascii="仿宋" w:hAnsi="仿宋" w:eastAsia="仿宋" w:cs="仿宋"/>
          <w:color w:val="auto"/>
          <w:sz w:val="24"/>
          <w:szCs w:val="24"/>
          <w:highlight w:val="none"/>
          <w:u w:val="single"/>
        </w:rPr>
        <w:t>合同签订后伍</w:t>
      </w:r>
      <w:r>
        <w:rPr>
          <w:rFonts w:hint="eastAsia" w:ascii="仿宋" w:hAnsi="仿宋" w:eastAsia="仿宋" w:cs="仿宋"/>
          <w:color w:val="auto"/>
          <w:kern w:val="0"/>
          <w:sz w:val="24"/>
          <w:szCs w:val="24"/>
          <w:highlight w:val="none"/>
        </w:rPr>
        <w:t>天内将与合同有关的通知、批准、证明、证书、指示、指令、要求、请求、同意、意见、确定和决定等书面函件送达对方当事人。</w:t>
      </w:r>
    </w:p>
    <w:p>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1.6.2 发包人接收文件的地点：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发包人指定的接收人为：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5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承包人接收文件的地点：</w:t>
      </w:r>
      <w:r>
        <w:rPr>
          <w:rFonts w:hint="eastAsia" w:ascii="仿宋" w:hAnsi="仿宋" w:eastAsia="仿宋" w:cs="仿宋"/>
          <w:color w:val="auto"/>
          <w:sz w:val="24"/>
          <w:szCs w:val="24"/>
          <w:highlight w:val="none"/>
          <w:u w:val="single"/>
        </w:rPr>
        <w:t xml:space="preserve">        施工现场        </w:t>
      </w:r>
      <w:r>
        <w:rPr>
          <w:rFonts w:hint="eastAsia" w:ascii="仿宋" w:hAnsi="仿宋" w:eastAsia="仿宋" w:cs="仿宋"/>
          <w:color w:val="auto"/>
          <w:kern w:val="0"/>
          <w:sz w:val="24"/>
          <w:szCs w:val="24"/>
          <w:highlight w:val="none"/>
        </w:rPr>
        <w:t>；</w:t>
      </w:r>
    </w:p>
    <w:p>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承包人指定的接收人为：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监理人接收文件的地点：</w:t>
      </w:r>
      <w:r>
        <w:rPr>
          <w:rFonts w:hint="eastAsia" w:ascii="仿宋" w:hAnsi="仿宋" w:eastAsia="仿宋" w:cs="仿宋"/>
          <w:color w:val="auto"/>
          <w:sz w:val="24"/>
          <w:szCs w:val="24"/>
          <w:highlight w:val="none"/>
          <w:u w:val="single"/>
        </w:rPr>
        <w:t xml:space="preserve">        施工现场        </w:t>
      </w:r>
      <w:r>
        <w:rPr>
          <w:rFonts w:hint="eastAsia" w:ascii="仿宋" w:hAnsi="仿宋" w:eastAsia="仿宋" w:cs="仿宋"/>
          <w:color w:val="auto"/>
          <w:kern w:val="0"/>
          <w:sz w:val="24"/>
          <w:szCs w:val="24"/>
          <w:highlight w:val="none"/>
        </w:rPr>
        <w:t>；</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监理人指定的接收人为：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123" w:name="_Toc23861"/>
      <w:r>
        <w:rPr>
          <w:rFonts w:hint="eastAsia" w:ascii="仿宋" w:hAnsi="仿宋" w:eastAsia="仿宋" w:cs="仿宋"/>
          <w:color w:val="auto"/>
          <w:sz w:val="24"/>
          <w:szCs w:val="24"/>
          <w:highlight w:val="none"/>
        </w:rPr>
        <w:t>1.7 交通运输</w:t>
      </w:r>
      <w:bookmarkEnd w:id="123"/>
    </w:p>
    <w:p>
      <w:pPr>
        <w:spacing w:line="360" w:lineRule="auto"/>
        <w:ind w:firstLine="480" w:firstLineChars="200"/>
        <w:outlineLvl w:val="0"/>
        <w:rPr>
          <w:rFonts w:hint="eastAsia" w:ascii="仿宋" w:hAnsi="仿宋" w:eastAsia="仿宋" w:cs="仿宋"/>
          <w:color w:val="auto"/>
          <w:sz w:val="24"/>
          <w:szCs w:val="24"/>
          <w:highlight w:val="none"/>
        </w:rPr>
      </w:pPr>
      <w:bookmarkStart w:id="124" w:name="_Toc14177"/>
      <w:r>
        <w:rPr>
          <w:rFonts w:hint="eastAsia" w:ascii="仿宋" w:hAnsi="仿宋" w:eastAsia="仿宋" w:cs="仿宋"/>
          <w:color w:val="auto"/>
          <w:sz w:val="24"/>
          <w:szCs w:val="24"/>
          <w:highlight w:val="none"/>
        </w:rPr>
        <w:t>1</w:t>
      </w:r>
      <w:bookmarkStart w:id="125" w:name="_Toc304295521"/>
      <w:bookmarkStart w:id="126" w:name="_Toc318581155"/>
      <w:bookmarkStart w:id="127" w:name="_Toc312677986"/>
      <w:bookmarkStart w:id="128" w:name="_Toc303539100"/>
      <w:bookmarkStart w:id="129" w:name="_Toc300934943"/>
      <w:r>
        <w:rPr>
          <w:rFonts w:hint="eastAsia" w:ascii="仿宋" w:hAnsi="仿宋" w:eastAsia="仿宋" w:cs="仿宋"/>
          <w:color w:val="auto"/>
          <w:sz w:val="24"/>
          <w:szCs w:val="24"/>
          <w:highlight w:val="none"/>
        </w:rPr>
        <w:t>.7.1 出入现场的权利</w:t>
      </w:r>
      <w:bookmarkEnd w:id="124"/>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关于出入现场的权利的约定：</w:t>
      </w:r>
      <w:r>
        <w:rPr>
          <w:rFonts w:hint="eastAsia" w:ascii="仿宋" w:hAnsi="仿宋" w:eastAsia="仿宋" w:cs="仿宋"/>
          <w:color w:val="auto"/>
          <w:sz w:val="24"/>
          <w:szCs w:val="24"/>
          <w:highlight w:val="none"/>
          <w:u w:val="single"/>
        </w:rPr>
        <w:t>甲方负责办理乙方出入手续，相关费用由乙方承担</w:t>
      </w:r>
      <w:r>
        <w:rPr>
          <w:rFonts w:hint="eastAsia" w:ascii="仿宋" w:hAnsi="仿宋" w:eastAsia="仿宋" w:cs="仿宋"/>
          <w:color w:val="auto"/>
          <w:sz w:val="24"/>
          <w:szCs w:val="24"/>
          <w:highlight w:val="none"/>
        </w:rPr>
        <w:t>。</w:t>
      </w:r>
    </w:p>
    <w:bookmarkEnd w:id="125"/>
    <w:bookmarkEnd w:id="126"/>
    <w:bookmarkEnd w:id="127"/>
    <w:bookmarkEnd w:id="128"/>
    <w:bookmarkEnd w:id="129"/>
    <w:p>
      <w:pPr>
        <w:spacing w:line="360" w:lineRule="auto"/>
        <w:ind w:firstLine="480" w:firstLineChars="200"/>
        <w:jc w:val="left"/>
        <w:outlineLvl w:val="0"/>
        <w:rPr>
          <w:rFonts w:hint="eastAsia" w:ascii="仿宋" w:hAnsi="仿宋" w:eastAsia="仿宋" w:cs="仿宋"/>
          <w:color w:val="auto"/>
          <w:sz w:val="24"/>
          <w:szCs w:val="24"/>
          <w:highlight w:val="none"/>
        </w:rPr>
      </w:pPr>
      <w:bookmarkStart w:id="130" w:name="_Toc28370"/>
      <w:r>
        <w:rPr>
          <w:rFonts w:hint="eastAsia" w:ascii="仿宋" w:hAnsi="仿宋" w:eastAsia="仿宋" w:cs="仿宋"/>
          <w:color w:val="auto"/>
          <w:sz w:val="24"/>
          <w:szCs w:val="24"/>
          <w:highlight w:val="none"/>
        </w:rPr>
        <w:t>1</w:t>
      </w:r>
      <w:bookmarkStart w:id="131" w:name="_Toc303539101"/>
      <w:bookmarkStart w:id="132" w:name="_Toc304295522"/>
      <w:bookmarkStart w:id="133" w:name="_Toc312677987"/>
      <w:bookmarkStart w:id="134" w:name="_Toc300934944"/>
      <w:bookmarkStart w:id="135" w:name="_Toc318581156"/>
      <w:r>
        <w:rPr>
          <w:rFonts w:hint="eastAsia" w:ascii="仿宋" w:hAnsi="仿宋" w:eastAsia="仿宋" w:cs="仿宋"/>
          <w:color w:val="auto"/>
          <w:sz w:val="24"/>
          <w:szCs w:val="24"/>
          <w:highlight w:val="none"/>
        </w:rPr>
        <w:t>.7.2 场内交通</w:t>
      </w:r>
      <w:bookmarkEnd w:id="130"/>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关于场外交通和场内交通的边界的约定：</w:t>
      </w:r>
      <w:r>
        <w:rPr>
          <w:rFonts w:hint="eastAsia" w:ascii="仿宋" w:hAnsi="仿宋" w:eastAsia="仿宋" w:cs="仿宋"/>
          <w:color w:val="auto"/>
          <w:sz w:val="24"/>
          <w:szCs w:val="24"/>
          <w:highlight w:val="none"/>
          <w:u w:val="single"/>
        </w:rPr>
        <w:t>施工现场封闭围挡范围以内为场内交通，范围以外为场外交通</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关于发包人向承包人免费提供满足工程施工需要的场内道路和交通设施的约定：</w:t>
      </w:r>
      <w:r>
        <w:rPr>
          <w:rFonts w:hint="eastAsia" w:ascii="仿宋" w:hAnsi="仿宋" w:eastAsia="仿宋" w:cs="仿宋"/>
          <w:color w:val="auto"/>
          <w:sz w:val="24"/>
          <w:szCs w:val="24"/>
          <w:highlight w:val="none"/>
          <w:u w:val="single"/>
        </w:rPr>
        <w:t>发包人提供施工场地道路满足承包人大型机械设备和运输车辆进出施工现场及通行的需要</w:t>
      </w:r>
      <w:r>
        <w:rPr>
          <w:rFonts w:hint="eastAsia" w:ascii="仿宋" w:hAnsi="仿宋" w:eastAsia="仿宋" w:cs="仿宋"/>
          <w:color w:val="auto"/>
          <w:sz w:val="24"/>
          <w:szCs w:val="24"/>
          <w:highlight w:val="none"/>
        </w:rPr>
        <w:t>。</w:t>
      </w:r>
      <w:bookmarkEnd w:id="131"/>
      <w:bookmarkEnd w:id="132"/>
      <w:bookmarkEnd w:id="133"/>
      <w:bookmarkEnd w:id="134"/>
      <w:bookmarkEnd w:id="135"/>
      <w:r>
        <w:rPr>
          <w:rFonts w:hint="eastAsia" w:ascii="仿宋" w:hAnsi="仿宋" w:eastAsia="仿宋" w:cs="仿宋"/>
          <w:color w:val="auto"/>
          <w:sz w:val="24"/>
          <w:szCs w:val="24"/>
          <w:highlight w:val="none"/>
        </w:rPr>
        <w:t xml:space="preserve">  </w:t>
      </w:r>
      <w:bookmarkStart w:id="136" w:name="_Toc318581157"/>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1.7.3超大件和超重件的运输</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运输超大件或超重件所需的道路和桥梁临时加固改造费用和其他有关费用由</w:t>
      </w:r>
      <w:r>
        <w:rPr>
          <w:rFonts w:hint="eastAsia" w:ascii="仿宋" w:hAnsi="仿宋" w:eastAsia="仿宋" w:cs="仿宋"/>
          <w:color w:val="auto"/>
          <w:sz w:val="24"/>
          <w:szCs w:val="24"/>
          <w:highlight w:val="none"/>
          <w:u w:val="single"/>
        </w:rPr>
        <w:t>承包人</w:t>
      </w:r>
      <w:r>
        <w:rPr>
          <w:rFonts w:hint="eastAsia" w:ascii="仿宋" w:hAnsi="仿宋" w:eastAsia="仿宋" w:cs="仿宋"/>
          <w:color w:val="auto"/>
          <w:sz w:val="24"/>
          <w:szCs w:val="24"/>
          <w:highlight w:val="none"/>
        </w:rPr>
        <w:t>承担。</w:t>
      </w:r>
    </w:p>
    <w:bookmarkEnd w:id="136"/>
    <w:p>
      <w:pPr>
        <w:spacing w:after="120" w:line="360" w:lineRule="auto"/>
        <w:ind w:firstLine="480" w:firstLineChars="200"/>
        <w:outlineLvl w:val="0"/>
        <w:rPr>
          <w:rFonts w:hint="eastAsia" w:ascii="仿宋" w:hAnsi="仿宋" w:eastAsia="仿宋" w:cs="仿宋"/>
          <w:color w:val="auto"/>
          <w:sz w:val="24"/>
          <w:szCs w:val="24"/>
          <w:highlight w:val="none"/>
        </w:rPr>
      </w:pPr>
      <w:bookmarkStart w:id="137" w:name="_Toc5392"/>
      <w:r>
        <w:rPr>
          <w:rFonts w:hint="eastAsia" w:ascii="仿宋" w:hAnsi="仿宋" w:eastAsia="仿宋" w:cs="仿宋"/>
          <w:color w:val="auto"/>
          <w:sz w:val="24"/>
          <w:szCs w:val="24"/>
          <w:highlight w:val="none"/>
        </w:rPr>
        <w:t>1.8 知识产权</w:t>
      </w:r>
      <w:bookmarkEnd w:id="137"/>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auto"/>
          <w:sz w:val="24"/>
          <w:szCs w:val="24"/>
          <w:highlight w:val="none"/>
          <w:u w:val="single"/>
        </w:rPr>
        <w:t>发包人</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关于发包人提供的上述文件的使用限制的要求：</w:t>
      </w:r>
      <w:r>
        <w:rPr>
          <w:rFonts w:hint="eastAsia" w:ascii="仿宋" w:hAnsi="仿宋" w:eastAsia="仿宋" w:cs="仿宋"/>
          <w:color w:val="auto"/>
          <w:kern w:val="0"/>
          <w:sz w:val="24"/>
          <w:szCs w:val="24"/>
          <w:highlight w:val="none"/>
          <w:u w:val="single"/>
        </w:rPr>
        <w:t>执行本合同通用条款</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 关于承包人为实施工程所编制文件的著作权的归属：</w:t>
      </w:r>
      <w:r>
        <w:rPr>
          <w:rFonts w:hint="eastAsia" w:ascii="仿宋" w:hAnsi="仿宋" w:eastAsia="仿宋" w:cs="仿宋"/>
          <w:color w:val="auto"/>
          <w:sz w:val="24"/>
          <w:szCs w:val="24"/>
          <w:highlight w:val="none"/>
          <w:u w:val="single"/>
        </w:rPr>
        <w:t>执行本合同通用条款</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关于承包人提供的上述文件的使用限制的要求：</w:t>
      </w:r>
      <w:r>
        <w:rPr>
          <w:rFonts w:hint="eastAsia" w:ascii="仿宋" w:hAnsi="仿宋" w:eastAsia="仿宋" w:cs="仿宋"/>
          <w:color w:val="auto"/>
          <w:sz w:val="24"/>
          <w:szCs w:val="24"/>
          <w:highlight w:val="none"/>
          <w:u w:val="single"/>
        </w:rPr>
        <w:t xml:space="preserve">执行本合同通用条款 </w:t>
      </w:r>
      <w:r>
        <w:rPr>
          <w:rFonts w:hint="eastAsia" w:ascii="仿宋" w:hAnsi="仿宋" w:eastAsia="仿宋" w:cs="仿宋"/>
          <w:color w:val="auto"/>
          <w:sz w:val="24"/>
          <w:szCs w:val="24"/>
          <w:highlight w:val="none"/>
        </w:rPr>
        <w:t>。</w:t>
      </w:r>
    </w:p>
    <w:p>
      <w:pPr>
        <w:spacing w:line="360" w:lineRule="auto"/>
        <w:ind w:firstLine="480" w:firstLineChars="200"/>
        <w:outlineLvl w:val="0"/>
        <w:rPr>
          <w:rFonts w:hint="eastAsia" w:ascii="仿宋" w:hAnsi="仿宋" w:eastAsia="仿宋" w:cs="仿宋"/>
          <w:color w:val="auto"/>
          <w:kern w:val="0"/>
          <w:sz w:val="24"/>
          <w:szCs w:val="24"/>
          <w:highlight w:val="none"/>
        </w:rPr>
      </w:pPr>
      <w:bookmarkStart w:id="138" w:name="_Toc8531"/>
      <w:r>
        <w:rPr>
          <w:rFonts w:hint="eastAsia" w:ascii="仿宋" w:hAnsi="仿宋" w:eastAsia="仿宋" w:cs="仿宋"/>
          <w:color w:val="auto"/>
          <w:sz w:val="24"/>
          <w:szCs w:val="24"/>
          <w:highlight w:val="none"/>
        </w:rPr>
        <w:t>1.8.3 承包人在施工过程中所采用的专利、专有技术、技术秘密的使用费的承担方式：</w:t>
      </w:r>
      <w:r>
        <w:rPr>
          <w:rFonts w:hint="eastAsia" w:ascii="仿宋" w:hAnsi="仿宋" w:eastAsia="仿宋" w:cs="仿宋"/>
          <w:color w:val="auto"/>
          <w:sz w:val="24"/>
          <w:szCs w:val="24"/>
          <w:highlight w:val="none"/>
          <w:u w:val="single"/>
        </w:rPr>
        <w:t>执行本合同通用条款</w:t>
      </w:r>
      <w:r>
        <w:rPr>
          <w:rFonts w:hint="eastAsia" w:ascii="仿宋" w:hAnsi="仿宋" w:eastAsia="仿宋" w:cs="仿宋"/>
          <w:color w:val="auto"/>
          <w:kern w:val="0"/>
          <w:sz w:val="24"/>
          <w:szCs w:val="24"/>
          <w:highlight w:val="none"/>
        </w:rPr>
        <w:t>。</w:t>
      </w:r>
      <w:bookmarkEnd w:id="138"/>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1.9工程量清单错误的修正</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出现工程量清单错误时，是否调整合同价格：</w:t>
      </w:r>
      <w:r>
        <w:rPr>
          <w:rFonts w:hint="eastAsia" w:ascii="仿宋" w:hAnsi="仿宋" w:eastAsia="仿宋" w:cs="仿宋"/>
          <w:color w:val="auto"/>
          <w:sz w:val="24"/>
          <w:szCs w:val="24"/>
          <w:highlight w:val="none"/>
          <w:u w:val="single"/>
        </w:rPr>
        <w:t xml:space="preserve">  是    </w:t>
      </w:r>
      <w:r>
        <w:rPr>
          <w:rFonts w:hint="eastAsia" w:ascii="仿宋" w:hAnsi="仿宋" w:eastAsia="仿宋" w:cs="仿宋"/>
          <w:color w:val="auto"/>
          <w:kern w:val="0"/>
          <w:sz w:val="24"/>
          <w:szCs w:val="24"/>
          <w:highlight w:val="none"/>
        </w:rPr>
        <w:t>。</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允许调整合同价格的工程量偏差范围：</w:t>
      </w:r>
      <w:r>
        <w:rPr>
          <w:rFonts w:hint="eastAsia" w:ascii="仿宋" w:hAnsi="仿宋" w:eastAsia="仿宋" w:cs="仿宋"/>
          <w:color w:val="auto"/>
          <w:sz w:val="24"/>
          <w:szCs w:val="24"/>
          <w:highlight w:val="none"/>
          <w:u w:val="single"/>
        </w:rPr>
        <w:t>当工程量清单项目工程量的变化幅度在±15%（含15%）以内时，其综合单价不做调整，执行原有综合单价。当工程量清单项目工程量的变化幅度在±15%以外时，其综合单价进行调整。调整方法为：超出+15%的原综合单价下浮10%；超过-15%的原综合单价上浮10%,当清单出现漏项项目，漏项造价超出</w:t>
      </w:r>
      <w:r>
        <w:rPr>
          <w:rFonts w:hint="eastAsia" w:ascii="仿宋" w:hAnsi="仿宋" w:eastAsia="仿宋" w:cs="仿宋"/>
          <w:color w:val="auto"/>
          <w:sz w:val="24"/>
          <w:szCs w:val="24"/>
          <w:highlight w:val="none"/>
          <w:u w:val="single"/>
          <w:lang w:val="en-US" w:eastAsia="zh-CN"/>
        </w:rPr>
        <w:t>合同</w:t>
      </w:r>
      <w:r>
        <w:rPr>
          <w:rFonts w:hint="eastAsia" w:ascii="仿宋" w:hAnsi="仿宋" w:eastAsia="仿宋" w:cs="仿宋"/>
          <w:color w:val="auto"/>
          <w:sz w:val="24"/>
          <w:szCs w:val="24"/>
          <w:highlight w:val="none"/>
          <w:u w:val="single"/>
        </w:rPr>
        <w:t>总价（不含暂列金额）的3%时，3%以内（含3%）不予调整，超出3%部分按新疆现行预算定额取费后下浮15%结算，其中，主材、人工费和人工费调整、材料费及材差、税金不下浮。当确认变更的费用发生争议时，施工方不得以该争议作为怠工、停工等的理由，必须正常施工。</w:t>
      </w:r>
    </w:p>
    <w:p>
      <w:pPr>
        <w:pStyle w:val="6"/>
        <w:spacing w:before="120" w:after="120" w:line="360" w:lineRule="auto"/>
        <w:rPr>
          <w:rFonts w:hint="eastAsia" w:ascii="仿宋" w:hAnsi="仿宋" w:eastAsia="仿宋" w:cs="仿宋"/>
          <w:b w:val="0"/>
          <w:color w:val="auto"/>
          <w:sz w:val="24"/>
          <w:szCs w:val="24"/>
          <w:highlight w:val="none"/>
        </w:rPr>
      </w:pPr>
      <w:bookmarkStart w:id="139" w:name="_Toc351203634"/>
      <w:r>
        <w:rPr>
          <w:rFonts w:hint="eastAsia" w:ascii="仿宋" w:hAnsi="仿宋" w:eastAsia="仿宋" w:cs="仿宋"/>
          <w:b w:val="0"/>
          <w:color w:val="auto"/>
          <w:sz w:val="24"/>
          <w:szCs w:val="24"/>
          <w:highlight w:val="none"/>
        </w:rPr>
        <w:t>2</w:t>
      </w:r>
      <w:bookmarkStart w:id="140" w:name="_Toc292559362"/>
      <w:bookmarkStart w:id="141" w:name="_Toc296347156"/>
      <w:bookmarkStart w:id="142" w:name="_Toc292559867"/>
      <w:bookmarkStart w:id="143" w:name="_Toc296346658"/>
      <w:bookmarkStart w:id="144" w:name="_Toc296503157"/>
      <w:bookmarkStart w:id="145" w:name="_Toc296944496"/>
      <w:bookmarkStart w:id="146" w:name="_Toc296891197"/>
      <w:bookmarkStart w:id="147" w:name="_Toc296890985"/>
      <w:bookmarkStart w:id="148" w:name="_Toc297120457"/>
      <w:bookmarkStart w:id="149" w:name="_Toc297048343"/>
      <w:r>
        <w:rPr>
          <w:rFonts w:hint="eastAsia" w:ascii="仿宋" w:hAnsi="仿宋" w:eastAsia="仿宋" w:cs="仿宋"/>
          <w:b w:val="0"/>
          <w:color w:val="auto"/>
          <w:sz w:val="24"/>
          <w:szCs w:val="24"/>
          <w:highlight w:val="none"/>
        </w:rPr>
        <w:t>. 发包人</w:t>
      </w:r>
      <w:bookmarkEnd w:id="139"/>
    </w:p>
    <w:bookmarkEnd w:id="140"/>
    <w:bookmarkEnd w:id="141"/>
    <w:bookmarkEnd w:id="142"/>
    <w:bookmarkEnd w:id="143"/>
    <w:bookmarkEnd w:id="144"/>
    <w:bookmarkEnd w:id="145"/>
    <w:bookmarkEnd w:id="146"/>
    <w:bookmarkEnd w:id="147"/>
    <w:bookmarkEnd w:id="148"/>
    <w:bookmarkEnd w:id="149"/>
    <w:p>
      <w:pPr>
        <w:spacing w:after="120" w:line="360" w:lineRule="auto"/>
        <w:ind w:firstLine="480" w:firstLineChars="200"/>
        <w:outlineLvl w:val="0"/>
        <w:rPr>
          <w:rFonts w:hint="eastAsia" w:ascii="仿宋" w:hAnsi="仿宋" w:eastAsia="仿宋" w:cs="仿宋"/>
          <w:color w:val="auto"/>
          <w:sz w:val="24"/>
          <w:szCs w:val="24"/>
          <w:highlight w:val="none"/>
        </w:rPr>
      </w:pPr>
      <w:bookmarkStart w:id="150" w:name="_Toc4488"/>
      <w:r>
        <w:rPr>
          <w:rFonts w:hint="eastAsia" w:ascii="仿宋" w:hAnsi="仿宋" w:eastAsia="仿宋" w:cs="仿宋"/>
          <w:color w:val="auto"/>
          <w:sz w:val="24"/>
          <w:szCs w:val="24"/>
          <w:highlight w:val="none"/>
        </w:rPr>
        <w:t>2.1 发包人代表</w:t>
      </w:r>
      <w:bookmarkEnd w:id="150"/>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发包人代表：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发包人对发包人代表的授权范围如下：</w:t>
      </w:r>
      <w:r>
        <w:rPr>
          <w:rFonts w:hint="eastAsia" w:ascii="仿宋" w:hAnsi="仿宋" w:eastAsia="仿宋" w:cs="仿宋"/>
          <w:color w:val="auto"/>
          <w:sz w:val="24"/>
          <w:szCs w:val="24"/>
          <w:highlight w:val="none"/>
          <w:u w:val="single"/>
        </w:rPr>
        <w:t>负责工程材料、工程质量与工程进度的监督，负责施工现场的卫生与安全监督，负责施工现场管理协调。对工程经济技术签证进行确认；对工程设计变更、工程量变更等，按程序上报至发包人相关负责人处，经相关负责人批准后执行；其它方面需由发包人以书面授权委托的方式确认；发包人派驻工程管理代表需更换的，应提前7天书面通知承包人</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151" w:name="_Toc3106"/>
      <w:r>
        <w:rPr>
          <w:rFonts w:hint="eastAsia" w:ascii="仿宋" w:hAnsi="仿宋" w:eastAsia="仿宋" w:cs="仿宋"/>
          <w:color w:val="auto"/>
          <w:sz w:val="24"/>
          <w:szCs w:val="24"/>
          <w:highlight w:val="none"/>
        </w:rPr>
        <w:t>2.2 施工现场、施工条件和基础资料的提供</w:t>
      </w:r>
      <w:bookmarkEnd w:id="151"/>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提供施工现场</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关于发包人移交施工现场的期限要求：</w:t>
      </w:r>
      <w:r>
        <w:rPr>
          <w:rFonts w:hint="eastAsia" w:ascii="仿宋" w:hAnsi="仿宋" w:eastAsia="仿宋" w:cs="仿宋"/>
          <w:color w:val="auto"/>
          <w:kern w:val="0"/>
          <w:sz w:val="24"/>
          <w:szCs w:val="24"/>
          <w:highlight w:val="none"/>
          <w:u w:val="single"/>
        </w:rPr>
        <w:t>开工前提供施工现场</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 提供施工条件</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关于发包人应负责提供施工所需要的条件，包括：</w:t>
      </w:r>
      <w:r>
        <w:rPr>
          <w:rFonts w:hint="eastAsia" w:ascii="仿宋" w:hAnsi="仿宋" w:eastAsia="仿宋" w:cs="仿宋"/>
          <w:color w:val="auto"/>
          <w:kern w:val="0"/>
          <w:sz w:val="24"/>
          <w:szCs w:val="24"/>
          <w:highlight w:val="none"/>
          <w:u w:val="single"/>
        </w:rPr>
        <w:t>发包人协调，承包人完成，费用包含在合同价中</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152" w:name="_Toc23573"/>
      <w:r>
        <w:rPr>
          <w:rFonts w:hint="eastAsia" w:ascii="仿宋" w:hAnsi="仿宋" w:eastAsia="仿宋" w:cs="仿宋"/>
          <w:color w:val="auto"/>
          <w:sz w:val="24"/>
          <w:szCs w:val="24"/>
          <w:highlight w:val="none"/>
        </w:rPr>
        <w:t>2.3 资金来源证明及支付担保</w:t>
      </w:r>
      <w:bookmarkEnd w:id="152"/>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发包人提供资金来源证明的期限要求：</w:t>
      </w:r>
      <w:r>
        <w:rPr>
          <w:rFonts w:hint="eastAsia" w:ascii="仿宋" w:hAnsi="仿宋" w:eastAsia="仿宋" w:cs="仿宋"/>
          <w:color w:val="auto"/>
          <w:kern w:val="0"/>
          <w:sz w:val="24"/>
          <w:szCs w:val="24"/>
          <w:highlight w:val="none"/>
          <w:u w:val="single"/>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发包人是否提供支付担保：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不提供</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发包人提供支付担保的形式：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pStyle w:val="6"/>
        <w:spacing w:before="120" w:after="120" w:line="360" w:lineRule="auto"/>
        <w:rPr>
          <w:rFonts w:hint="eastAsia" w:ascii="仿宋" w:hAnsi="仿宋" w:eastAsia="仿宋" w:cs="仿宋"/>
          <w:b w:val="0"/>
          <w:color w:val="auto"/>
          <w:sz w:val="24"/>
          <w:szCs w:val="24"/>
          <w:highlight w:val="none"/>
        </w:rPr>
      </w:pPr>
      <w:bookmarkStart w:id="153" w:name="_Toc351203635"/>
      <w:r>
        <w:rPr>
          <w:rFonts w:hint="eastAsia" w:ascii="仿宋" w:hAnsi="仿宋" w:eastAsia="仿宋" w:cs="仿宋"/>
          <w:b w:val="0"/>
          <w:color w:val="auto"/>
          <w:sz w:val="24"/>
          <w:szCs w:val="24"/>
          <w:highlight w:val="none"/>
        </w:rPr>
        <w:t>3</w:t>
      </w:r>
      <w:bookmarkStart w:id="154" w:name="_Toc296346659"/>
      <w:bookmarkStart w:id="155" w:name="_Toc297120458"/>
      <w:bookmarkStart w:id="156" w:name="_Toc296891198"/>
      <w:bookmarkStart w:id="157" w:name="_Toc296890986"/>
      <w:bookmarkStart w:id="158" w:name="_Toc296503158"/>
      <w:bookmarkStart w:id="159" w:name="_Toc292559363"/>
      <w:bookmarkStart w:id="160" w:name="_Toc292559868"/>
      <w:bookmarkStart w:id="161" w:name="_Toc296944497"/>
      <w:bookmarkStart w:id="162" w:name="_Toc297048344"/>
      <w:bookmarkStart w:id="163" w:name="_Toc296347157"/>
      <w:r>
        <w:rPr>
          <w:rFonts w:hint="eastAsia" w:ascii="仿宋" w:hAnsi="仿宋" w:eastAsia="仿宋" w:cs="仿宋"/>
          <w:b w:val="0"/>
          <w:color w:val="auto"/>
          <w:sz w:val="24"/>
          <w:szCs w:val="24"/>
          <w:highlight w:val="none"/>
        </w:rPr>
        <w:t>. 承包人</w:t>
      </w:r>
      <w:bookmarkEnd w:id="153"/>
    </w:p>
    <w:bookmarkEnd w:id="154"/>
    <w:bookmarkEnd w:id="155"/>
    <w:bookmarkEnd w:id="156"/>
    <w:bookmarkEnd w:id="157"/>
    <w:bookmarkEnd w:id="158"/>
    <w:bookmarkEnd w:id="159"/>
    <w:bookmarkEnd w:id="160"/>
    <w:bookmarkEnd w:id="161"/>
    <w:bookmarkEnd w:id="162"/>
    <w:bookmarkEnd w:id="163"/>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承包人的一般义务</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承包人提交的竣工资料的内容：</w:t>
      </w:r>
      <w:r>
        <w:rPr>
          <w:rFonts w:hint="eastAsia" w:ascii="仿宋" w:hAnsi="仿宋" w:eastAsia="仿宋" w:cs="仿宋"/>
          <w:color w:val="auto"/>
          <w:sz w:val="24"/>
          <w:szCs w:val="24"/>
          <w:highlight w:val="none"/>
          <w:u w:val="single"/>
        </w:rPr>
        <w:t>全套施工及验收资料</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承包人需要提交的竣工资料套数：</w:t>
      </w:r>
      <w:r>
        <w:rPr>
          <w:rFonts w:hint="eastAsia" w:ascii="仿宋" w:hAnsi="仿宋" w:eastAsia="仿宋" w:cs="仿宋"/>
          <w:color w:val="auto"/>
          <w:sz w:val="24"/>
          <w:szCs w:val="24"/>
          <w:highlight w:val="none"/>
          <w:u w:val="single"/>
        </w:rPr>
        <w:t xml:space="preserve">   五套       </w:t>
      </w:r>
      <w:r>
        <w:rPr>
          <w:rFonts w:hint="eastAsia" w:ascii="仿宋" w:hAnsi="仿宋" w:eastAsia="仿宋" w:cs="仿宋"/>
          <w:color w:val="auto"/>
          <w:sz w:val="24"/>
          <w:szCs w:val="24"/>
          <w:highlight w:val="none"/>
        </w:rPr>
        <w:t>。</w:t>
      </w:r>
    </w:p>
    <w:p>
      <w:pPr>
        <w:spacing w:line="560" w:lineRule="exact"/>
        <w:ind w:left="638" w:leftChars="30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承包人提交的竣工资料的费用承担：</w:t>
      </w:r>
      <w:r>
        <w:rPr>
          <w:rFonts w:hint="eastAsia" w:ascii="仿宋" w:hAnsi="仿宋" w:eastAsia="仿宋" w:cs="仿宋"/>
          <w:color w:val="auto"/>
          <w:sz w:val="24"/>
          <w:szCs w:val="24"/>
          <w:highlight w:val="none"/>
          <w:u w:val="single"/>
        </w:rPr>
        <w:t xml:space="preserve">承包人承担    </w:t>
      </w:r>
      <w:r>
        <w:rPr>
          <w:rFonts w:hint="eastAsia" w:ascii="仿宋" w:hAnsi="仿宋" w:eastAsia="仿宋" w:cs="仿宋"/>
          <w:color w:val="auto"/>
          <w:sz w:val="24"/>
          <w:szCs w:val="24"/>
          <w:highlight w:val="none"/>
        </w:rPr>
        <w:t>。</w:t>
      </w:r>
    </w:p>
    <w:p>
      <w:pPr>
        <w:spacing w:line="560" w:lineRule="exact"/>
        <w:ind w:left="638" w:leftChars="30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承包人提交的竣工资料移交时间：</w:t>
      </w:r>
      <w:r>
        <w:rPr>
          <w:rFonts w:hint="eastAsia" w:ascii="仿宋" w:hAnsi="仿宋" w:eastAsia="仿宋" w:cs="仿宋"/>
          <w:color w:val="auto"/>
          <w:sz w:val="24"/>
          <w:szCs w:val="24"/>
          <w:highlight w:val="none"/>
          <w:u w:val="single"/>
        </w:rPr>
        <w:t>工程竣工验收合格后7日内</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承包人提交的竣工资料形式要求：</w:t>
      </w:r>
      <w:r>
        <w:rPr>
          <w:rFonts w:hint="eastAsia" w:ascii="仿宋" w:hAnsi="仿宋" w:eastAsia="仿宋" w:cs="仿宋"/>
          <w:color w:val="auto"/>
          <w:sz w:val="24"/>
          <w:szCs w:val="24"/>
          <w:highlight w:val="none"/>
          <w:u w:val="single"/>
        </w:rPr>
        <w:t xml:space="preserve">    纸质五套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承包人应履行的其他义务：</w:t>
      </w:r>
      <w:r>
        <w:rPr>
          <w:rFonts w:hint="eastAsia" w:ascii="仿宋" w:hAnsi="仿宋" w:eastAsia="仿宋" w:cs="仿宋"/>
          <w:color w:val="auto"/>
          <w:sz w:val="24"/>
          <w:szCs w:val="24"/>
          <w:highlight w:val="none"/>
          <w:u w:val="single"/>
        </w:rPr>
        <w:t>1、严格执行建筑节能相关法律法规,在施工工程中节约资源,杜绝浪费。2、环保、卫生、安全等符合国家规定以及发包人的相关规定</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项目经理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3.2.1 </w:t>
      </w:r>
      <w:r>
        <w:rPr>
          <w:rFonts w:hint="eastAsia" w:ascii="仿宋" w:hAnsi="仿宋" w:eastAsia="仿宋" w:cs="仿宋"/>
          <w:color w:val="auto"/>
          <w:sz w:val="24"/>
          <w:szCs w:val="24"/>
          <w:highlight w:val="none"/>
        </w:rPr>
        <w:t>项目经理：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建造师执业资格等级：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建造师注册证书号：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建造师执业印章号：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安全生产考核合格证书号：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承包人对项目经理的授权范围如下：</w:t>
      </w:r>
      <w:r>
        <w:rPr>
          <w:rFonts w:hint="eastAsia" w:ascii="仿宋" w:hAnsi="仿宋" w:eastAsia="仿宋" w:cs="仿宋"/>
          <w:color w:val="auto"/>
          <w:sz w:val="24"/>
          <w:szCs w:val="24"/>
          <w:highlight w:val="none"/>
          <w:u w:val="single"/>
        </w:rPr>
        <w:t>代表承包人履行合同</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关于项目经理每月在施工现场的时间要求：</w:t>
      </w:r>
      <w:r>
        <w:rPr>
          <w:rFonts w:hint="eastAsia" w:ascii="仿宋" w:hAnsi="仿宋" w:eastAsia="仿宋" w:cs="仿宋"/>
          <w:color w:val="auto"/>
          <w:sz w:val="24"/>
          <w:szCs w:val="24"/>
          <w:highlight w:val="none"/>
          <w:u w:val="single"/>
        </w:rPr>
        <w:t>25日以上</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承包人未提交劳动合同，以及没有为项目经理缴纳社会保险证明的违约责任：</w:t>
      </w:r>
      <w:r>
        <w:rPr>
          <w:rFonts w:hint="eastAsia" w:ascii="仿宋" w:hAnsi="仿宋" w:eastAsia="仿宋" w:cs="仿宋"/>
          <w:color w:val="auto"/>
          <w:sz w:val="24"/>
          <w:szCs w:val="24"/>
          <w:highlight w:val="none"/>
          <w:u w:val="single"/>
        </w:rPr>
        <w:t>发包人限期承包人在收到提交要求后3日内补交，并承担违约金1万元；3日内不能补交的，承包人必须更换项目经理，并承担违约金3万元/天，直至补交完毕为止，同时由此导致的一切责任由承包人承担，若给发包人造成损失的承包人负责。</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项目经理未经发包人批准，擅自离开施工现场的违约责任：</w:t>
      </w:r>
      <w:r>
        <w:rPr>
          <w:rFonts w:hint="eastAsia" w:ascii="仿宋" w:hAnsi="仿宋" w:eastAsia="仿宋" w:cs="仿宋"/>
          <w:color w:val="auto"/>
          <w:sz w:val="24"/>
          <w:szCs w:val="24"/>
          <w:highlight w:val="none"/>
          <w:u w:val="single"/>
        </w:rPr>
        <w:t>擅自离场≤3日的，承包人承担违约金1万元；擅自离场＞3日的，发包人有权要求承包人更换项目经理，并承担违约金3万元，由此导致的一切责任由承包人承担，若给发包人造成损失的承包人负责</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3.2.2 承包人擅自更换项目经理的违约责任：</w:t>
      </w:r>
      <w:r>
        <w:rPr>
          <w:rFonts w:hint="eastAsia" w:ascii="仿宋" w:hAnsi="仿宋" w:eastAsia="仿宋" w:cs="仿宋"/>
          <w:color w:val="auto"/>
          <w:sz w:val="24"/>
          <w:szCs w:val="24"/>
          <w:highlight w:val="none"/>
          <w:u w:val="single"/>
        </w:rPr>
        <w:t>原项目经理如能继续履行职责，发包人应责令承包人撤销其更换决定，承包人承担违约金1万元；如原项目经理无法继续履行职责，发包人有权要求审核确认承包人更换的项目经理，并承担违约金3万元，由此导致的一切责任由承包人承担，若给发包人造成损失的承包人负责</w:t>
      </w:r>
      <w:r>
        <w:rPr>
          <w:rFonts w:hint="eastAsia" w:ascii="仿宋" w:hAnsi="仿宋" w:eastAsia="仿宋" w:cs="仿宋"/>
          <w:color w:val="auto"/>
          <w:sz w:val="24"/>
          <w:szCs w:val="24"/>
          <w:highlight w:val="none"/>
        </w:rPr>
        <w:t>。</w:t>
      </w:r>
    </w:p>
    <w:p>
      <w:pPr>
        <w:spacing w:line="360" w:lineRule="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bookmarkStart w:id="164" w:name="_Toc2212"/>
      <w:r>
        <w:rPr>
          <w:rFonts w:hint="eastAsia" w:ascii="仿宋" w:hAnsi="仿宋" w:eastAsia="仿宋" w:cs="仿宋"/>
          <w:color w:val="auto"/>
          <w:sz w:val="24"/>
          <w:szCs w:val="24"/>
          <w:highlight w:val="none"/>
        </w:rPr>
        <w:t>3.2.3 承包人无正当理由拒绝更换项目经理的违约责任：</w:t>
      </w:r>
      <w:r>
        <w:rPr>
          <w:rFonts w:hint="eastAsia" w:ascii="仿宋" w:hAnsi="仿宋" w:eastAsia="仿宋" w:cs="仿宋"/>
          <w:color w:val="auto"/>
          <w:sz w:val="24"/>
          <w:szCs w:val="24"/>
          <w:highlight w:val="none"/>
          <w:u w:val="single"/>
        </w:rPr>
        <w:t>发包人应在承包人接到第二次更换通知第3日书面通知该项目经理停止工作，并指示暂时停止施工，按照通用条款7.8.2款处理</w:t>
      </w:r>
      <w:r>
        <w:rPr>
          <w:rFonts w:hint="eastAsia" w:ascii="仿宋" w:hAnsi="仿宋" w:eastAsia="仿宋" w:cs="仿宋"/>
          <w:color w:val="auto"/>
          <w:sz w:val="24"/>
          <w:szCs w:val="24"/>
          <w:highlight w:val="none"/>
        </w:rPr>
        <w:t>。</w:t>
      </w:r>
      <w:bookmarkEnd w:id="164"/>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承包人人员</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 承包人提交项目管理机构及施工现场管理人员安排报告的期限：</w:t>
      </w:r>
      <w:r>
        <w:rPr>
          <w:rFonts w:hint="eastAsia" w:ascii="仿宋" w:hAnsi="仿宋" w:eastAsia="仿宋" w:cs="仿宋"/>
          <w:color w:val="auto"/>
          <w:sz w:val="24"/>
          <w:szCs w:val="24"/>
          <w:highlight w:val="none"/>
          <w:u w:val="single"/>
        </w:rPr>
        <w:t xml:space="preserve">  开工前七日内      </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 承包人无正当理由拒绝撤换主要施工管理人员的违约责任：</w:t>
      </w:r>
      <w:r>
        <w:rPr>
          <w:rFonts w:hint="eastAsia" w:ascii="仿宋" w:hAnsi="仿宋" w:eastAsia="仿宋" w:cs="仿宋"/>
          <w:color w:val="auto"/>
          <w:sz w:val="24"/>
          <w:szCs w:val="24"/>
          <w:highlight w:val="none"/>
          <w:u w:val="single"/>
        </w:rPr>
        <w:t xml:space="preserve">发包人应再次发出通知要求承包人3天之内予以更换，并承担违约金0.5万元/天；如承包人在接到第二次通知3天内仍拒绝更换的，发包人应书面通知该施工管理人员停止工作，并指示暂时停止施工，按照通用条款7.8.2款处理。 </w:t>
      </w:r>
      <w:r>
        <w:rPr>
          <w:rFonts w:hint="eastAsia" w:ascii="仿宋" w:hAnsi="仿宋" w:eastAsia="仿宋" w:cs="仿宋"/>
          <w:color w:val="auto"/>
          <w:sz w:val="24"/>
          <w:szCs w:val="24"/>
          <w:highlight w:val="none"/>
        </w:rPr>
        <w:t>。</w:t>
      </w:r>
    </w:p>
    <w:p>
      <w:pPr>
        <w:spacing w:line="5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3.3.3 承包人主要施工管理人员离开施工现场的批准要求：</w:t>
      </w:r>
      <w:r>
        <w:rPr>
          <w:rFonts w:hint="eastAsia" w:ascii="仿宋" w:hAnsi="仿宋" w:eastAsia="仿宋" w:cs="仿宋"/>
          <w:color w:val="auto"/>
          <w:sz w:val="24"/>
          <w:szCs w:val="24"/>
          <w:highlight w:val="none"/>
          <w:u w:val="single"/>
        </w:rPr>
        <w:t xml:space="preserve"> 由监理人和发包人书面批准 </w:t>
      </w:r>
      <w:r>
        <w:rPr>
          <w:rFonts w:hint="eastAsia" w:ascii="仿宋" w:hAnsi="仿宋" w:eastAsia="仿宋" w:cs="仿宋"/>
          <w:color w:val="auto"/>
          <w:sz w:val="24"/>
          <w:szCs w:val="24"/>
          <w:highlight w:val="none"/>
        </w:rPr>
        <w:t>。</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3.3.4承包人擅自更换主要施工管理人员的违约责任：</w:t>
      </w:r>
      <w:r>
        <w:rPr>
          <w:rFonts w:hint="eastAsia" w:ascii="仿宋" w:hAnsi="仿宋" w:eastAsia="仿宋" w:cs="仿宋"/>
          <w:color w:val="auto"/>
          <w:sz w:val="24"/>
          <w:szCs w:val="24"/>
          <w:highlight w:val="none"/>
          <w:u w:val="single"/>
        </w:rPr>
        <w:t>如原主要施工管理人员能继续履行职责，发包人应责令承包人撤销其更换决定，承包人承担违约金0.5万元；如原主要施工管理人员无法继续履行职责，发包人有权要求审核确认承包人更换的施工管理人员，并承担违约金1万元，由此导致的一切责任由承包人承担。</w:t>
      </w:r>
    </w:p>
    <w:p>
      <w:pPr>
        <w:spacing w:after="120"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承包人主要施工管理人员擅自离开施工现场的违约责任：</w:t>
      </w:r>
      <w:r>
        <w:rPr>
          <w:rFonts w:hint="eastAsia" w:ascii="仿宋" w:hAnsi="仿宋" w:eastAsia="仿宋" w:cs="仿宋"/>
          <w:color w:val="auto"/>
          <w:sz w:val="24"/>
          <w:szCs w:val="24"/>
          <w:highlight w:val="none"/>
          <w:u w:val="single"/>
        </w:rPr>
        <w:t xml:space="preserve">擅自离场≤3日的，承包人承担违约金0.5万元/天；擅自离场＞3日的，监理人有权要求承包人更换该管理人员，并承担违约金1万元/天，由此导致的一切责任由承包人承担。 </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bookmarkStart w:id="165" w:name="_Toc304295523"/>
      <w:bookmarkStart w:id="166" w:name="_Toc292559869"/>
      <w:bookmarkStart w:id="167" w:name="_Toc296890987"/>
      <w:bookmarkStart w:id="168" w:name="_Toc300934945"/>
      <w:bookmarkStart w:id="169" w:name="_Toc297216151"/>
      <w:bookmarkStart w:id="170" w:name="_Toc292559364"/>
      <w:bookmarkStart w:id="171" w:name="_Toc297123492"/>
      <w:bookmarkStart w:id="172" w:name="_Toc297048345"/>
      <w:bookmarkStart w:id="173" w:name="_Toc296346660"/>
      <w:bookmarkStart w:id="174" w:name="_Toc296891199"/>
      <w:bookmarkStart w:id="175" w:name="_Toc296503159"/>
      <w:bookmarkStart w:id="176" w:name="_Toc296347158"/>
      <w:bookmarkStart w:id="177" w:name="_Toc296944498"/>
      <w:bookmarkStart w:id="178" w:name="_Toc297120459"/>
      <w:bookmarkStart w:id="179" w:name="_Toc303539102"/>
      <w:bookmarkStart w:id="180" w:name="_Toc312677988"/>
      <w:r>
        <w:rPr>
          <w:rFonts w:hint="eastAsia" w:ascii="仿宋" w:hAnsi="仿宋" w:eastAsia="仿宋" w:cs="仿宋"/>
          <w:color w:val="auto"/>
          <w:sz w:val="24"/>
          <w:szCs w:val="24"/>
          <w:highlight w:val="none"/>
        </w:rPr>
        <w:t>.5 分包</w:t>
      </w:r>
    </w:p>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bookmarkStart w:id="181" w:name="_Toc297048346"/>
      <w:bookmarkStart w:id="182" w:name="_Toc296346661"/>
      <w:bookmarkStart w:id="183" w:name="_Toc296503160"/>
      <w:bookmarkStart w:id="184" w:name="_Toc296891200"/>
      <w:bookmarkStart w:id="185" w:name="_Toc296944499"/>
      <w:bookmarkStart w:id="186" w:name="_Toc297123493"/>
      <w:bookmarkStart w:id="187" w:name="_Toc300934946"/>
      <w:bookmarkStart w:id="188" w:name="_Toc304295524"/>
      <w:bookmarkStart w:id="189" w:name="_Toc292559870"/>
      <w:bookmarkStart w:id="190" w:name="_Toc297216152"/>
      <w:bookmarkStart w:id="191" w:name="_Toc303539103"/>
      <w:bookmarkStart w:id="192" w:name="_Toc296347159"/>
      <w:bookmarkStart w:id="193" w:name="_Toc292559365"/>
      <w:bookmarkStart w:id="194" w:name="_Toc297120460"/>
      <w:bookmarkStart w:id="195" w:name="_Toc296890988"/>
      <w:bookmarkStart w:id="196" w:name="_Toc318581158"/>
      <w:bookmarkStart w:id="197" w:name="_Toc312677989"/>
      <w:r>
        <w:rPr>
          <w:rFonts w:hint="eastAsia" w:ascii="仿宋" w:hAnsi="仿宋" w:eastAsia="仿宋" w:cs="仿宋"/>
          <w:color w:val="auto"/>
          <w:sz w:val="24"/>
          <w:szCs w:val="24"/>
          <w:highlight w:val="none"/>
        </w:rPr>
        <w:t>.5.1 分包的一般约定</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禁止分包的工程包括：</w:t>
      </w:r>
      <w:r>
        <w:rPr>
          <w:rFonts w:hint="eastAsia" w:ascii="仿宋" w:hAnsi="仿宋" w:eastAsia="仿宋" w:cs="仿宋"/>
          <w:color w:val="auto"/>
          <w:sz w:val="24"/>
          <w:szCs w:val="24"/>
          <w:highlight w:val="none"/>
          <w:u w:val="single"/>
        </w:rPr>
        <w:t>本工程禁止分包</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主体结构、关键性工作的范围：</w:t>
      </w:r>
      <w:r>
        <w:rPr>
          <w:rFonts w:hint="eastAsia" w:ascii="仿宋" w:hAnsi="仿宋" w:eastAsia="仿宋" w:cs="仿宋"/>
          <w:color w:val="auto"/>
          <w:sz w:val="24"/>
          <w:szCs w:val="24"/>
          <w:highlight w:val="none"/>
          <w:u w:val="single"/>
        </w:rPr>
        <w:t>本工程无分包项目，合同约定承包范围的工作均交由承包人完成</w:t>
      </w:r>
      <w:r>
        <w:rPr>
          <w:rFonts w:hint="eastAsia" w:ascii="仿宋" w:hAnsi="仿宋" w:eastAsia="仿宋" w:cs="仿宋"/>
          <w:color w:val="auto"/>
          <w:sz w:val="24"/>
          <w:szCs w:val="24"/>
          <w:highlight w:val="none"/>
        </w:rPr>
        <w:t>。</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Start w:id="198" w:name="_Toc296891201"/>
      <w:bookmarkStart w:id="199" w:name="_Toc303539104"/>
      <w:bookmarkStart w:id="200" w:name="_Toc296346662"/>
      <w:bookmarkStart w:id="201" w:name="_Toc297120461"/>
      <w:bookmarkStart w:id="202" w:name="_Toc296347160"/>
      <w:bookmarkStart w:id="203" w:name="_Toc297048347"/>
      <w:bookmarkStart w:id="204" w:name="_Toc300934947"/>
      <w:bookmarkStart w:id="205" w:name="_Toc296890989"/>
      <w:bookmarkStart w:id="206" w:name="_Toc296944500"/>
      <w:bookmarkStart w:id="207" w:name="_Toc296503161"/>
      <w:bookmarkStart w:id="208" w:name="_Toc297216153"/>
      <w:bookmarkStart w:id="209" w:name="_Toc304295525"/>
      <w:bookmarkStart w:id="210" w:name="_Toc297123494"/>
    </w:p>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w:t>
      </w:r>
      <w:bookmarkStart w:id="211" w:name="_Toc318581159"/>
      <w:bookmarkStart w:id="212" w:name="_Toc312677990"/>
      <w:r>
        <w:rPr>
          <w:rFonts w:hint="eastAsia" w:ascii="仿宋" w:hAnsi="仿宋" w:eastAsia="仿宋" w:cs="仿宋"/>
          <w:color w:val="auto"/>
          <w:sz w:val="24"/>
          <w:szCs w:val="24"/>
          <w:highlight w:val="none"/>
        </w:rPr>
        <w:t>.5.2分包的确定</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允许分包的专业工程包括：</w:t>
      </w:r>
      <w:r>
        <w:rPr>
          <w:rFonts w:hint="eastAsia" w:ascii="仿宋" w:hAnsi="仿宋" w:eastAsia="仿宋" w:cs="仿宋"/>
          <w:color w:val="auto"/>
          <w:sz w:val="24"/>
          <w:szCs w:val="24"/>
          <w:highlight w:val="none"/>
          <w:u w:val="single"/>
        </w:rPr>
        <w:t>本工程禁止分包</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其他关于分包的约定：</w:t>
      </w:r>
      <w:r>
        <w:rPr>
          <w:rFonts w:hint="eastAsia" w:ascii="仿宋" w:hAnsi="仿宋" w:eastAsia="仿宋" w:cs="仿宋"/>
          <w:color w:val="auto"/>
          <w:kern w:val="0"/>
          <w:sz w:val="24"/>
          <w:szCs w:val="24"/>
          <w:highlight w:val="none"/>
          <w:u w:val="single"/>
        </w:rPr>
        <w:t>无</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3.5.3 分包合同价款</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关于分包合同价款支付的约定：</w:t>
      </w:r>
      <w:r>
        <w:rPr>
          <w:rFonts w:hint="eastAsia" w:ascii="仿宋" w:hAnsi="仿宋" w:eastAsia="仿宋" w:cs="仿宋"/>
          <w:color w:val="auto"/>
          <w:kern w:val="0"/>
          <w:sz w:val="24"/>
          <w:szCs w:val="24"/>
          <w:highlight w:val="none"/>
          <w:u w:val="single"/>
        </w:rPr>
        <w:t>无</w:t>
      </w:r>
      <w:r>
        <w:rPr>
          <w:rFonts w:hint="eastAsia" w:ascii="仿宋" w:hAnsi="仿宋" w:eastAsia="仿宋" w:cs="仿宋"/>
          <w:color w:val="auto"/>
          <w:sz w:val="24"/>
          <w:szCs w:val="24"/>
          <w:highlight w:val="none"/>
        </w:rPr>
        <w:t>。</w:t>
      </w:r>
    </w:p>
    <w:bookmarkEnd w:id="211"/>
    <w:bookmarkEnd w:id="212"/>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 工程照管与成品、半成品保护</w:t>
      </w:r>
    </w:p>
    <w:p>
      <w:pPr>
        <w:spacing w:before="120" w:after="120"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承包人负责照管工程及工程相关的材料、工程设备的起始时间：</w:t>
      </w:r>
      <w:r>
        <w:rPr>
          <w:rFonts w:hint="eastAsia" w:ascii="仿宋" w:hAnsi="仿宋" w:eastAsia="仿宋" w:cs="仿宋"/>
          <w:color w:val="auto"/>
          <w:sz w:val="24"/>
          <w:szCs w:val="24"/>
          <w:highlight w:val="none"/>
          <w:u w:val="single"/>
        </w:rPr>
        <w:t>从开工至工程竣工交付使用</w:t>
      </w:r>
      <w:r>
        <w:rPr>
          <w:rFonts w:hint="eastAsia" w:ascii="仿宋" w:hAnsi="仿宋" w:eastAsia="仿宋" w:cs="仿宋"/>
          <w:color w:val="auto"/>
          <w:kern w:val="0"/>
          <w:sz w:val="24"/>
          <w:szCs w:val="24"/>
          <w:highlight w:val="none"/>
        </w:rPr>
        <w:t>。</w:t>
      </w:r>
    </w:p>
    <w:p>
      <w:pPr>
        <w:spacing w:after="12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3.7 履约担保</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承包人是否提供履约担保：</w:t>
      </w:r>
      <w:r>
        <w:rPr>
          <w:rFonts w:hint="eastAsia" w:ascii="仿宋" w:hAnsi="仿宋" w:eastAsia="仿宋" w:cs="仿宋"/>
          <w:color w:val="auto"/>
          <w:sz w:val="24"/>
          <w:szCs w:val="24"/>
          <w:highlight w:val="none"/>
          <w:u w:val="single"/>
        </w:rPr>
        <w:t xml:space="preserve">    必须提供    </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承包人提供履约担保的形式、金额及期限的：</w:t>
      </w:r>
      <w:r>
        <w:rPr>
          <w:rFonts w:hint="eastAsia" w:ascii="仿宋" w:hAnsi="仿宋" w:eastAsia="仿宋" w:cs="仿宋"/>
          <w:color w:val="auto"/>
          <w:sz w:val="24"/>
          <w:szCs w:val="24"/>
          <w:highlight w:val="none"/>
          <w:u w:val="single"/>
        </w:rPr>
        <w:t xml:space="preserve">  承包人应按合同价款的3%提供履约担保金，履约担保可使用银行履约保函的形式。在收到成交通知书后承包人须在7个工作日内向采购人提交履约保证金。合同履约完成，缺陷责任期（12个月）结束，无息退还履约保证金。</w:t>
      </w:r>
    </w:p>
    <w:p>
      <w:pPr>
        <w:pStyle w:val="6"/>
        <w:spacing w:before="120" w:after="120" w:line="360" w:lineRule="auto"/>
        <w:rPr>
          <w:rFonts w:hint="eastAsia" w:ascii="仿宋" w:hAnsi="仿宋" w:eastAsia="仿宋" w:cs="仿宋"/>
          <w:b w:val="0"/>
          <w:color w:val="auto"/>
          <w:sz w:val="24"/>
          <w:szCs w:val="24"/>
          <w:highlight w:val="none"/>
        </w:rPr>
      </w:pPr>
      <w:bookmarkStart w:id="213" w:name="_Toc351203636"/>
      <w:r>
        <w:rPr>
          <w:rFonts w:hint="eastAsia" w:ascii="仿宋" w:hAnsi="仿宋" w:eastAsia="仿宋" w:cs="仿宋"/>
          <w:b w:val="0"/>
          <w:color w:val="auto"/>
          <w:sz w:val="24"/>
          <w:szCs w:val="24"/>
          <w:highlight w:val="none"/>
        </w:rPr>
        <w:t>4</w:t>
      </w:r>
      <w:bookmarkStart w:id="214" w:name="_Toc296891202"/>
      <w:bookmarkStart w:id="215" w:name="_Toc296890990"/>
      <w:bookmarkStart w:id="216" w:name="_Toc296503162"/>
      <w:bookmarkStart w:id="217" w:name="_Toc296347161"/>
      <w:bookmarkStart w:id="218" w:name="_Toc296346663"/>
      <w:bookmarkStart w:id="219" w:name="_Toc297048348"/>
      <w:bookmarkStart w:id="220" w:name="_Toc267251413"/>
      <w:bookmarkStart w:id="221" w:name="_Toc292559366"/>
      <w:bookmarkStart w:id="222" w:name="_Toc296944501"/>
      <w:bookmarkStart w:id="223" w:name="_Toc297120462"/>
      <w:bookmarkStart w:id="224" w:name="_Toc292559871"/>
      <w:r>
        <w:rPr>
          <w:rFonts w:hint="eastAsia" w:ascii="仿宋" w:hAnsi="仿宋" w:eastAsia="仿宋" w:cs="仿宋"/>
          <w:b w:val="0"/>
          <w:color w:val="auto"/>
          <w:sz w:val="24"/>
          <w:szCs w:val="24"/>
          <w:highlight w:val="none"/>
        </w:rPr>
        <w:t>. 监</w:t>
      </w:r>
      <w:bookmarkEnd w:id="214"/>
      <w:bookmarkEnd w:id="215"/>
      <w:bookmarkEnd w:id="216"/>
      <w:bookmarkEnd w:id="217"/>
      <w:bookmarkEnd w:id="218"/>
      <w:bookmarkEnd w:id="219"/>
      <w:bookmarkEnd w:id="220"/>
      <w:bookmarkEnd w:id="221"/>
      <w:bookmarkEnd w:id="222"/>
      <w:bookmarkEnd w:id="223"/>
      <w:bookmarkEnd w:id="224"/>
      <w:r>
        <w:rPr>
          <w:rFonts w:hint="eastAsia" w:ascii="仿宋" w:hAnsi="仿宋" w:eastAsia="仿宋" w:cs="仿宋"/>
          <w:b w:val="0"/>
          <w:color w:val="auto"/>
          <w:sz w:val="24"/>
          <w:szCs w:val="24"/>
          <w:highlight w:val="none"/>
        </w:rPr>
        <w:t>理人</w:t>
      </w:r>
      <w:bookmarkEnd w:id="213"/>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4.1监理人的一般规定</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关于监理人的监理内容：</w:t>
      </w:r>
      <w:r>
        <w:rPr>
          <w:rFonts w:hint="eastAsia" w:ascii="仿宋" w:hAnsi="仿宋" w:eastAsia="仿宋" w:cs="仿宋"/>
          <w:color w:val="auto"/>
          <w:sz w:val="24"/>
          <w:szCs w:val="24"/>
          <w:highlight w:val="none"/>
          <w:u w:val="single"/>
        </w:rPr>
        <w:t>见《建设工程委托监理合同》</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关于监理人的监理权限：</w:t>
      </w:r>
      <w:r>
        <w:rPr>
          <w:rFonts w:hint="eastAsia" w:ascii="仿宋" w:hAnsi="仿宋" w:eastAsia="仿宋" w:cs="仿宋"/>
          <w:color w:val="auto"/>
          <w:sz w:val="24"/>
          <w:szCs w:val="24"/>
          <w:highlight w:val="none"/>
          <w:u w:val="single"/>
        </w:rPr>
        <w:t>见《建设工程委托监理合同》</w:t>
      </w:r>
      <w:r>
        <w:rPr>
          <w:rFonts w:hint="eastAsia" w:ascii="仿宋" w:hAnsi="仿宋" w:eastAsia="仿宋" w:cs="仿宋"/>
          <w:color w:val="auto"/>
          <w:sz w:val="24"/>
          <w:szCs w:val="24"/>
          <w:highlight w:val="none"/>
        </w:rPr>
        <w:t xml:space="preserve">。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关于监理人在施工现场的办公场所、生活场所的提供和费用承担的约定：</w:t>
      </w:r>
      <w:r>
        <w:rPr>
          <w:rFonts w:hint="eastAsia" w:ascii="仿宋" w:hAnsi="仿宋" w:eastAsia="仿宋" w:cs="仿宋"/>
          <w:color w:val="auto"/>
          <w:sz w:val="24"/>
          <w:szCs w:val="24"/>
          <w:highlight w:val="none"/>
          <w:u w:val="single"/>
        </w:rPr>
        <w:t>见《建设工程委托监理合同》</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 监理人员</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总监理工程师：</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监理工程师执业资格证书号：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关于监理人的其他约定：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 商定或确定</w:t>
      </w:r>
    </w:p>
    <w:p>
      <w:pPr>
        <w:spacing w:line="360" w:lineRule="auto"/>
        <w:ind w:firstLine="480" w:firstLineChars="200"/>
        <w:rPr>
          <w:rFonts w:hint="eastAsia" w:ascii="仿宋" w:hAnsi="仿宋" w:eastAsia="仿宋" w:cs="仿宋"/>
          <w:color w:val="auto"/>
          <w:sz w:val="24"/>
          <w:szCs w:val="24"/>
          <w:highlight w:val="none"/>
        </w:rPr>
      </w:pPr>
      <w:bookmarkStart w:id="225" w:name="_Toc267251418"/>
      <w:r>
        <w:rPr>
          <w:rFonts w:hint="eastAsia" w:ascii="仿宋" w:hAnsi="仿宋" w:eastAsia="仿宋" w:cs="仿宋"/>
          <w:color w:val="auto"/>
          <w:sz w:val="24"/>
          <w:szCs w:val="24"/>
          <w:highlight w:val="none"/>
        </w:rPr>
        <w:t>在发包人和承包人不能通过协商达成一致意见时，发包人授权监理人对以下事项进行确定：</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u w:val="single"/>
        </w:rPr>
        <w:t>合同当事人进行商定或确定时，总监理工程师应当会同合同当事人尽量通过协议达成一致，不能达成一致的，由监理工程师按照合同约定审慎做出公正的决定。总监理工程师应将确定以书面形式通知发包人和承包人，并附详细依据。合同当事人对总监理工程师的确定没有异议的，按照监理总工程师的确定执行，任何一方合同当事人有异议，按照第20条（争议解决）约定处理，争议解决前，争议解决的结果与总监理工程师的确定不一致的，按照争议解决的结果执行，由此造成的损失由责任人承担。</w:t>
      </w:r>
      <w:r>
        <w:rPr>
          <w:rFonts w:hint="eastAsia" w:ascii="仿宋" w:hAnsi="仿宋" w:eastAsia="仿宋" w:cs="仿宋"/>
          <w:color w:val="auto"/>
          <w:sz w:val="24"/>
          <w:szCs w:val="24"/>
          <w:highlight w:val="none"/>
        </w:rPr>
        <w:t>；</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sz w:val="24"/>
          <w:szCs w:val="24"/>
          <w:highlight w:val="none"/>
          <w:u w:val="single"/>
        </w:rPr>
        <w:t xml:space="preserve">  / 。</w:t>
      </w:r>
    </w:p>
    <w:p>
      <w:pPr>
        <w:pStyle w:val="6"/>
        <w:spacing w:before="120" w:after="120" w:line="360" w:lineRule="auto"/>
        <w:rPr>
          <w:rFonts w:hint="eastAsia" w:ascii="仿宋" w:hAnsi="仿宋" w:eastAsia="仿宋" w:cs="仿宋"/>
          <w:b w:val="0"/>
          <w:color w:val="auto"/>
          <w:sz w:val="24"/>
          <w:szCs w:val="24"/>
          <w:highlight w:val="none"/>
        </w:rPr>
      </w:pPr>
      <w:bookmarkStart w:id="226" w:name="_Toc351203637"/>
      <w:r>
        <w:rPr>
          <w:rFonts w:hint="eastAsia" w:ascii="仿宋" w:hAnsi="仿宋" w:eastAsia="仿宋" w:cs="仿宋"/>
          <w:b w:val="0"/>
          <w:color w:val="auto"/>
          <w:sz w:val="24"/>
          <w:szCs w:val="24"/>
          <w:highlight w:val="none"/>
        </w:rPr>
        <w:t>5</w:t>
      </w:r>
      <w:bookmarkEnd w:id="225"/>
      <w:bookmarkStart w:id="227" w:name="_Toc292559872"/>
      <w:bookmarkStart w:id="228" w:name="_Toc296346664"/>
      <w:bookmarkStart w:id="229" w:name="_Toc296944502"/>
      <w:bookmarkStart w:id="230" w:name="_Toc292559367"/>
      <w:bookmarkStart w:id="231" w:name="_Toc296891203"/>
      <w:bookmarkStart w:id="232" w:name="_Toc297120463"/>
      <w:bookmarkStart w:id="233" w:name="_Toc296890991"/>
      <w:bookmarkStart w:id="234" w:name="_Toc297048349"/>
      <w:bookmarkStart w:id="235" w:name="_Toc296347162"/>
      <w:bookmarkStart w:id="236" w:name="_Toc296503163"/>
      <w:r>
        <w:rPr>
          <w:rFonts w:hint="eastAsia" w:ascii="仿宋" w:hAnsi="仿宋" w:eastAsia="仿宋" w:cs="仿宋"/>
          <w:b w:val="0"/>
          <w:color w:val="auto"/>
          <w:sz w:val="24"/>
          <w:szCs w:val="24"/>
          <w:highlight w:val="none"/>
        </w:rPr>
        <w:t>. 工程质量</w:t>
      </w:r>
      <w:bookmarkEnd w:id="226"/>
    </w:p>
    <w:p>
      <w:pPr>
        <w:spacing w:after="120" w:line="360" w:lineRule="auto"/>
        <w:ind w:firstLine="480" w:firstLineChars="200"/>
        <w:outlineLvl w:val="0"/>
        <w:rPr>
          <w:rFonts w:hint="eastAsia" w:ascii="仿宋" w:hAnsi="仿宋" w:eastAsia="仿宋" w:cs="仿宋"/>
          <w:color w:val="auto"/>
          <w:sz w:val="24"/>
          <w:szCs w:val="24"/>
          <w:highlight w:val="none"/>
        </w:rPr>
      </w:pPr>
      <w:bookmarkStart w:id="237" w:name="_Toc23220"/>
      <w:r>
        <w:rPr>
          <w:rFonts w:hint="eastAsia" w:ascii="仿宋" w:hAnsi="仿宋" w:eastAsia="仿宋" w:cs="仿宋"/>
          <w:color w:val="auto"/>
          <w:sz w:val="24"/>
          <w:szCs w:val="24"/>
          <w:highlight w:val="none"/>
        </w:rPr>
        <w:t>5.1 质量要求</w:t>
      </w:r>
      <w:bookmarkEnd w:id="237"/>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bookmarkStart w:id="238" w:name="_Toc303539106"/>
      <w:bookmarkStart w:id="239" w:name="_Toc312677997"/>
      <w:bookmarkStart w:id="240" w:name="_Toc304295527"/>
      <w:bookmarkStart w:id="241" w:name="_Toc297216155"/>
      <w:bookmarkStart w:id="242" w:name="_Toc300934949"/>
      <w:bookmarkStart w:id="243" w:name="_Toc318581164"/>
      <w:bookmarkStart w:id="244" w:name="_Toc297123496"/>
      <w:r>
        <w:rPr>
          <w:rFonts w:hint="eastAsia" w:ascii="仿宋" w:hAnsi="仿宋" w:eastAsia="仿宋" w:cs="仿宋"/>
          <w:color w:val="auto"/>
          <w:sz w:val="24"/>
          <w:szCs w:val="24"/>
          <w:highlight w:val="none"/>
        </w:rPr>
        <w:t>.1.1 特殊质量标准和要求：</w:t>
      </w:r>
      <w:r>
        <w:rPr>
          <w:rFonts w:hint="eastAsia" w:ascii="仿宋" w:hAnsi="仿宋" w:eastAsia="仿宋" w:cs="仿宋"/>
          <w:color w:val="auto"/>
          <w:kern w:val="0"/>
          <w:sz w:val="24"/>
          <w:szCs w:val="24"/>
          <w:highlight w:val="none"/>
          <w:u w:val="single"/>
        </w:rPr>
        <w:t>工程质量标准必须符合现行国家有关工程施工质量验收规范和标准的要求</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245" w:name="_Toc5758"/>
      <w:r>
        <w:rPr>
          <w:rFonts w:hint="eastAsia" w:ascii="仿宋" w:hAnsi="仿宋" w:eastAsia="仿宋" w:cs="仿宋"/>
          <w:color w:val="auto"/>
          <w:sz w:val="24"/>
          <w:szCs w:val="24"/>
          <w:highlight w:val="none"/>
        </w:rPr>
        <w:t>5.2 隐蔽工程检查</w:t>
      </w:r>
      <w:bookmarkEnd w:id="245"/>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5.2.1承包人提前通知监理人隐蔽工程检查的期限的约定：</w:t>
      </w:r>
      <w:r>
        <w:rPr>
          <w:rFonts w:hint="eastAsia" w:ascii="仿宋" w:hAnsi="仿宋" w:eastAsia="仿宋" w:cs="仿宋"/>
          <w:color w:val="auto"/>
          <w:sz w:val="24"/>
          <w:szCs w:val="24"/>
          <w:highlight w:val="none"/>
          <w:u w:val="single"/>
        </w:rPr>
        <w:t>工程隐蔽部位隐蔽前48小时内。因为承包人未提前通知造成监理人未能对隐蔽工程进行检查的，以后因为隐蔽工程而引发的一切争议的后果均由承包人承担</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监理人不能按时进行检查时，应提前</w:t>
      </w:r>
      <w:r>
        <w:rPr>
          <w:rFonts w:hint="eastAsia" w:ascii="仿宋" w:hAnsi="仿宋" w:eastAsia="仿宋" w:cs="仿宋"/>
          <w:color w:val="auto"/>
          <w:sz w:val="24"/>
          <w:szCs w:val="24"/>
          <w:highlight w:val="none"/>
          <w:u w:val="single"/>
        </w:rPr>
        <w:t>24</w:t>
      </w:r>
      <w:r>
        <w:rPr>
          <w:rFonts w:hint="eastAsia" w:ascii="仿宋" w:hAnsi="仿宋" w:eastAsia="仿宋" w:cs="仿宋"/>
          <w:color w:val="auto"/>
          <w:sz w:val="24"/>
          <w:szCs w:val="24"/>
          <w:highlight w:val="none"/>
        </w:rPr>
        <w:t>小时提交书面延期要求。</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关于延期最长不得超过：</w:t>
      </w:r>
      <w:r>
        <w:rPr>
          <w:rFonts w:hint="eastAsia" w:ascii="仿宋" w:hAnsi="仿宋" w:eastAsia="仿宋" w:cs="仿宋"/>
          <w:color w:val="auto"/>
          <w:sz w:val="24"/>
          <w:szCs w:val="24"/>
          <w:highlight w:val="none"/>
          <w:u w:val="single"/>
        </w:rPr>
        <w:t>48</w:t>
      </w:r>
      <w:r>
        <w:rPr>
          <w:rFonts w:hint="eastAsia" w:ascii="仿宋" w:hAnsi="仿宋" w:eastAsia="仿宋" w:cs="仿宋"/>
          <w:color w:val="auto"/>
          <w:sz w:val="24"/>
          <w:szCs w:val="24"/>
          <w:highlight w:val="none"/>
        </w:rPr>
        <w:t>小时。</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246" w:name="_Toc24993"/>
      <w:r>
        <w:rPr>
          <w:rFonts w:hint="eastAsia" w:ascii="仿宋" w:hAnsi="仿宋" w:eastAsia="仿宋" w:cs="仿宋"/>
          <w:color w:val="auto"/>
          <w:sz w:val="24"/>
          <w:szCs w:val="24"/>
          <w:highlight w:val="none"/>
        </w:rPr>
        <w:t>5.3不合格工程处理</w:t>
      </w:r>
      <w:bookmarkEnd w:id="246"/>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除执行通用合同条款外，还应执行：① 由于承包人使用了不合格材料和工程设备造成了工程损害，监理人和发包人可以随时发出指示，要求承包人立即采取措施进行补救，直至彻底清除工程的不合格部位以及不合格的材料或工程设备，由此增加的费用和工期延误责任由承包人承担。② 若承包人无故拖延或拒绝执行监理人或发包人的指示，则发包人有权委托其它承包人执行该项指示，由此增加的费用和工期延误的责任，均由承包人承担。③承包人向发包人支付签约合同价格10％的违约金，造成发包人损失的，承包人应当承担损失的赔偿责任，该损失包括但不限于诉讼费、律师费、公证费、鉴定费、评估费、差旅费等费用。④发包人认为必要时，可以没收履约保证金，单方解除合同，另行发包。</w:t>
      </w:r>
    </w:p>
    <w:p>
      <w:pPr>
        <w:pStyle w:val="6"/>
        <w:spacing w:before="120" w:after="120" w:line="360" w:lineRule="auto"/>
        <w:rPr>
          <w:rFonts w:hint="eastAsia" w:ascii="仿宋" w:hAnsi="仿宋" w:eastAsia="仿宋" w:cs="仿宋"/>
          <w:b w:val="0"/>
          <w:color w:val="auto"/>
          <w:sz w:val="24"/>
          <w:szCs w:val="24"/>
          <w:highlight w:val="none"/>
        </w:rPr>
      </w:pPr>
      <w:bookmarkStart w:id="247" w:name="_Toc351203638"/>
      <w:r>
        <w:rPr>
          <w:rFonts w:hint="eastAsia" w:ascii="仿宋" w:hAnsi="仿宋" w:eastAsia="仿宋" w:cs="仿宋"/>
          <w:b w:val="0"/>
          <w:color w:val="auto"/>
          <w:sz w:val="24"/>
          <w:szCs w:val="24"/>
          <w:highlight w:val="none"/>
        </w:rPr>
        <w:t>6. 安全文明施工与环境保护</w:t>
      </w:r>
      <w:bookmarkEnd w:id="247"/>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6.1安全文明施工</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6.1.1 项目安全生产的达标目标及相应事项的约定：</w:t>
      </w:r>
      <w:r>
        <w:rPr>
          <w:rFonts w:hint="eastAsia" w:ascii="仿宋" w:hAnsi="仿宋" w:eastAsia="仿宋" w:cs="仿宋"/>
          <w:color w:val="auto"/>
          <w:sz w:val="24"/>
          <w:szCs w:val="24"/>
          <w:highlight w:val="none"/>
          <w:u w:val="single"/>
        </w:rPr>
        <w:t>开工前承包人与发包人签订《安全生产责任书》，承包人必须按照国家有关规定交纳施工人员的安全保险费用，按规定安装现场安全设施，并严格管理施工人员的工作、生活安全及往来、材料运输路途安全，严禁不规范操作及其它原因造成人员安全事故。如发生，所有责任及费用均由承包人独自承担，发包人不承担任何责任、费用</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承包人应严格管理，确保文明施工，安全施工，杜绝发生任何事故（包括但不限于工伤事故、安全事故、意外事故、管理责任事故、违法违纪事故等），否则，因此产生的经济责任全部由承包人自行承担。发生相关事故的，承包人应自行积极妥善处理，并承担相关费用。否则，因此给发包人造成经济损失的，承包人应双倍赔偿发包人，因此受到的全部损失，发包人有权从应给承包人支付的后期费用中优先扣除，不足部分，承包人负责赔偿，承包人不及时赔偿的，每日向发包人承担付款百分之五的滞纳金。</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6.1.2 关于治安保卫的特别约定：</w:t>
      </w:r>
      <w:r>
        <w:rPr>
          <w:rFonts w:hint="eastAsia" w:ascii="仿宋" w:hAnsi="仿宋" w:eastAsia="仿宋" w:cs="仿宋"/>
          <w:color w:val="auto"/>
          <w:sz w:val="24"/>
          <w:szCs w:val="24"/>
          <w:highlight w:val="none"/>
          <w:u w:val="single"/>
        </w:rPr>
        <w:t>承包人制定应对突发治安事件紧急预案,承包人负责统一管理施工场地的治安保卫事项,对因治安事件发生的人身和财产损失，均由承包方负责,发包人不承担任何责任</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关于编制施工场地治安管理计划的约定：</w:t>
      </w:r>
      <w:r>
        <w:rPr>
          <w:rFonts w:hint="eastAsia" w:ascii="仿宋" w:hAnsi="仿宋" w:eastAsia="仿宋" w:cs="仿宋"/>
          <w:color w:val="auto"/>
          <w:sz w:val="24"/>
          <w:szCs w:val="24"/>
          <w:highlight w:val="none"/>
          <w:u w:val="single"/>
        </w:rPr>
        <w:t>开工前2日内</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6.1.3 文明施工</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合同当事人对文明施工的要求：</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6.1.4 关于安全文明施工费支付比例和支付期限的约定：</w:t>
      </w:r>
      <w:r>
        <w:rPr>
          <w:rFonts w:hint="eastAsia" w:ascii="仿宋" w:hAnsi="仿宋" w:eastAsia="仿宋" w:cs="仿宋"/>
          <w:color w:val="auto"/>
          <w:sz w:val="24"/>
          <w:szCs w:val="24"/>
          <w:highlight w:val="none"/>
          <w:u w:val="single"/>
        </w:rPr>
        <w:t>包含在合同价支付</w:t>
      </w:r>
      <w:r>
        <w:rPr>
          <w:rFonts w:hint="eastAsia" w:ascii="仿宋" w:hAnsi="仿宋" w:eastAsia="仿宋" w:cs="仿宋"/>
          <w:color w:val="auto"/>
          <w:sz w:val="24"/>
          <w:szCs w:val="24"/>
          <w:highlight w:val="none"/>
        </w:rPr>
        <w:t>。</w:t>
      </w:r>
    </w:p>
    <w:bookmarkEnd w:id="238"/>
    <w:bookmarkEnd w:id="239"/>
    <w:bookmarkEnd w:id="240"/>
    <w:bookmarkEnd w:id="241"/>
    <w:bookmarkEnd w:id="242"/>
    <w:bookmarkEnd w:id="243"/>
    <w:bookmarkEnd w:id="244"/>
    <w:p>
      <w:pPr>
        <w:pStyle w:val="6"/>
        <w:spacing w:before="120" w:after="120" w:line="360" w:lineRule="auto"/>
        <w:rPr>
          <w:rFonts w:hint="eastAsia" w:ascii="仿宋" w:hAnsi="仿宋" w:eastAsia="仿宋" w:cs="仿宋"/>
          <w:b w:val="0"/>
          <w:color w:val="auto"/>
          <w:sz w:val="24"/>
          <w:szCs w:val="24"/>
          <w:highlight w:val="none"/>
        </w:rPr>
      </w:pPr>
      <w:bookmarkStart w:id="248" w:name="_Toc351203639"/>
      <w:r>
        <w:rPr>
          <w:rFonts w:hint="eastAsia" w:ascii="仿宋" w:hAnsi="仿宋" w:eastAsia="仿宋" w:cs="仿宋"/>
          <w:b w:val="0"/>
          <w:color w:val="auto"/>
          <w:sz w:val="24"/>
          <w:szCs w:val="24"/>
          <w:highlight w:val="none"/>
        </w:rPr>
        <w:t>7. 工期和进度</w:t>
      </w:r>
      <w:bookmarkEnd w:id="248"/>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 施工组织设计</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7.1.1 合</w:t>
      </w:r>
      <w:r>
        <w:rPr>
          <w:rFonts w:hint="eastAsia" w:ascii="仿宋" w:hAnsi="仿宋" w:eastAsia="仿宋" w:cs="仿宋"/>
          <w:color w:val="auto"/>
          <w:kern w:val="0"/>
          <w:sz w:val="24"/>
          <w:szCs w:val="24"/>
          <w:highlight w:val="none"/>
        </w:rPr>
        <w:t>同当事人约定的施工组织设计应包括的其他内容：</w:t>
      </w:r>
      <w:r>
        <w:rPr>
          <w:rFonts w:hint="eastAsia" w:ascii="仿宋" w:hAnsi="仿宋" w:eastAsia="仿宋" w:cs="仿宋"/>
          <w:color w:val="auto"/>
          <w:sz w:val="24"/>
          <w:szCs w:val="24"/>
          <w:highlight w:val="none"/>
          <w:u w:val="single"/>
        </w:rPr>
        <w:t>执行通用合同条款</w:t>
      </w:r>
      <w:r>
        <w:rPr>
          <w:rFonts w:hint="eastAsia" w:ascii="仿宋" w:hAnsi="仿宋" w:eastAsia="仿宋" w:cs="仿宋"/>
          <w:color w:val="auto"/>
          <w:sz w:val="24"/>
          <w:szCs w:val="24"/>
          <w:highlight w:val="none"/>
        </w:rPr>
        <w:t>。</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 xml:space="preserve">7.1.2 </w:t>
      </w:r>
      <w:r>
        <w:rPr>
          <w:rFonts w:hint="eastAsia" w:ascii="仿宋" w:hAnsi="仿宋" w:eastAsia="仿宋" w:cs="仿宋"/>
          <w:color w:val="auto"/>
          <w:kern w:val="0"/>
          <w:sz w:val="24"/>
          <w:szCs w:val="24"/>
          <w:highlight w:val="none"/>
        </w:rPr>
        <w:t>施工组织设计的提交和修改</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承包人提交详细施工组织设计的期限的约定：</w:t>
      </w:r>
      <w:r>
        <w:rPr>
          <w:rFonts w:hint="eastAsia" w:ascii="仿宋" w:hAnsi="仿宋" w:eastAsia="仿宋" w:cs="仿宋"/>
          <w:color w:val="auto"/>
          <w:sz w:val="24"/>
          <w:szCs w:val="24"/>
          <w:highlight w:val="none"/>
          <w:u w:val="single"/>
        </w:rPr>
        <w:t>开工三日内承包人将施工组织设计（方案）和进度计划提交发包人</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发包人和监理人在收到详细的施工组织设计后确认或提出修改意见的期限：</w:t>
      </w:r>
      <w:r>
        <w:rPr>
          <w:rFonts w:hint="eastAsia" w:ascii="仿宋" w:hAnsi="仿宋" w:eastAsia="仿宋" w:cs="仿宋"/>
          <w:color w:val="auto"/>
          <w:sz w:val="24"/>
          <w:szCs w:val="24"/>
          <w:highlight w:val="none"/>
          <w:u w:val="single"/>
        </w:rPr>
        <w:t>执行通用合同条款</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249" w:name="_Toc300934966"/>
      <w:bookmarkStart w:id="250" w:name="_Toc304295541"/>
      <w:bookmarkStart w:id="251" w:name="_Toc297216173"/>
      <w:bookmarkStart w:id="252" w:name="_Toc312677479"/>
      <w:bookmarkStart w:id="253" w:name="_Toc297123514"/>
      <w:bookmarkStart w:id="254" w:name="_Toc312678005"/>
      <w:bookmarkStart w:id="255" w:name="_Toc303539123"/>
      <w:r>
        <w:rPr>
          <w:rFonts w:hint="eastAsia" w:ascii="仿宋" w:hAnsi="仿宋" w:eastAsia="仿宋" w:cs="仿宋"/>
          <w:color w:val="auto"/>
          <w:sz w:val="24"/>
          <w:szCs w:val="24"/>
          <w:highlight w:val="none"/>
        </w:rPr>
        <w:t>.2 施工进度计划</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7.2.1 施工进度计划的修订</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发包人和监理人在收到修订的施工进度计划后确认或提出修改意见的期限：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 开工</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7.3.1 开工准备</w:t>
      </w:r>
    </w:p>
    <w:p>
      <w:pPr>
        <w:spacing w:line="360" w:lineRule="auto"/>
        <w:ind w:firstLine="645"/>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关于承包人提交</w:t>
      </w:r>
      <w:r>
        <w:rPr>
          <w:rFonts w:hint="eastAsia" w:ascii="仿宋" w:hAnsi="仿宋" w:eastAsia="仿宋" w:cs="仿宋"/>
          <w:color w:val="auto"/>
          <w:kern w:val="0"/>
          <w:sz w:val="24"/>
          <w:szCs w:val="24"/>
          <w:highlight w:val="none"/>
        </w:rPr>
        <w:t>工程开工报审表的期限：</w:t>
      </w:r>
      <w:r>
        <w:rPr>
          <w:rFonts w:hint="eastAsia" w:ascii="仿宋" w:hAnsi="仿宋" w:eastAsia="仿宋" w:cs="仿宋"/>
          <w:color w:val="auto"/>
          <w:sz w:val="24"/>
          <w:szCs w:val="24"/>
          <w:highlight w:val="none"/>
          <w:u w:val="single"/>
        </w:rPr>
        <w:t>[开工通知]载明日期前7天</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关于发包人应完成的其他开工准备工作及期限：</w:t>
      </w:r>
      <w:r>
        <w:rPr>
          <w:rFonts w:hint="eastAsia" w:ascii="仿宋" w:hAnsi="仿宋" w:eastAsia="仿宋" w:cs="仿宋"/>
          <w:color w:val="auto"/>
          <w:sz w:val="24"/>
          <w:szCs w:val="24"/>
          <w:highlight w:val="none"/>
          <w:u w:val="single"/>
        </w:rPr>
        <w:t>开工前7天</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关于承包人应完成的其他开工准备工作及期限：</w:t>
      </w:r>
      <w:r>
        <w:rPr>
          <w:rFonts w:hint="eastAsia" w:ascii="仿宋" w:hAnsi="仿宋" w:eastAsia="仿宋" w:cs="仿宋"/>
          <w:color w:val="auto"/>
          <w:sz w:val="24"/>
          <w:szCs w:val="24"/>
          <w:highlight w:val="none"/>
          <w:u w:val="single"/>
        </w:rPr>
        <w:t xml:space="preserve">开工前7天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7.3.2开工通知</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因发包人原因造成监理人未能在计划开工日期之日起</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天内发出开工通知的，承包人有权提出价格调整要求，或者解除合同。</w:t>
      </w:r>
    </w:p>
    <w:bookmarkEnd w:id="249"/>
    <w:bookmarkEnd w:id="250"/>
    <w:bookmarkEnd w:id="251"/>
    <w:bookmarkEnd w:id="252"/>
    <w:bookmarkEnd w:id="253"/>
    <w:bookmarkEnd w:id="254"/>
    <w:bookmarkEnd w:id="255"/>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 测量放线</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7.4.1发包人通过监理人向承包人提供测量基准点、基准线和水准点及其书面资料的期限：</w:t>
      </w:r>
      <w:r>
        <w:rPr>
          <w:rFonts w:hint="eastAsia" w:ascii="仿宋" w:hAnsi="仿宋" w:eastAsia="仿宋" w:cs="仿宋"/>
          <w:color w:val="auto"/>
          <w:sz w:val="24"/>
          <w:szCs w:val="24"/>
          <w:highlight w:val="none"/>
          <w:u w:val="single"/>
        </w:rPr>
        <w:t>执行通用合同条款</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256" w:name="_Toc304295546"/>
      <w:bookmarkStart w:id="257" w:name="_Toc312678010"/>
      <w:bookmarkStart w:id="258" w:name="_Toc312677484"/>
      <w:bookmarkStart w:id="259" w:name="_Toc297216175"/>
      <w:bookmarkStart w:id="260" w:name="_Toc297123516"/>
      <w:bookmarkStart w:id="261" w:name="_Toc300934968"/>
      <w:bookmarkStart w:id="262" w:name="_Toc303539125"/>
      <w:r>
        <w:rPr>
          <w:rFonts w:hint="eastAsia" w:ascii="仿宋" w:hAnsi="仿宋" w:eastAsia="仿宋" w:cs="仿宋"/>
          <w:color w:val="auto"/>
          <w:sz w:val="24"/>
          <w:szCs w:val="24"/>
          <w:highlight w:val="none"/>
        </w:rPr>
        <w:t>.5 工期延误</w:t>
      </w:r>
    </w:p>
    <w:bookmarkEnd w:id="256"/>
    <w:bookmarkEnd w:id="257"/>
    <w:bookmarkEnd w:id="258"/>
    <w:bookmarkEnd w:id="259"/>
    <w:bookmarkEnd w:id="260"/>
    <w:bookmarkEnd w:id="261"/>
    <w:bookmarkEnd w:id="262"/>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7.5.1 因发包人原因导致工期延误</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因发包人原因导致工期延误的其他情形：</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263" w:name="_Toc297123518"/>
      <w:bookmarkStart w:id="264" w:name="_Toc297216177"/>
      <w:bookmarkStart w:id="265" w:name="_Toc318581169"/>
      <w:bookmarkStart w:id="266" w:name="_Toc312678012"/>
      <w:bookmarkStart w:id="267" w:name="_Toc312677486"/>
      <w:bookmarkStart w:id="268" w:name="_Toc304295548"/>
      <w:bookmarkStart w:id="269" w:name="_Toc303539127"/>
      <w:bookmarkStart w:id="270" w:name="_Toc300934970"/>
      <w:r>
        <w:rPr>
          <w:rFonts w:hint="eastAsia" w:ascii="仿宋" w:hAnsi="仿宋" w:eastAsia="仿宋" w:cs="仿宋"/>
          <w:color w:val="auto"/>
          <w:sz w:val="24"/>
          <w:szCs w:val="24"/>
          <w:highlight w:val="none"/>
        </w:rPr>
        <w:t>.5.2 因承包人原因导致工期延误</w:t>
      </w:r>
    </w:p>
    <w:bookmarkEnd w:id="263"/>
    <w:bookmarkEnd w:id="264"/>
    <w:bookmarkEnd w:id="265"/>
    <w:bookmarkEnd w:id="266"/>
    <w:bookmarkEnd w:id="267"/>
    <w:bookmarkEnd w:id="268"/>
    <w:bookmarkEnd w:id="269"/>
    <w:bookmarkEnd w:id="270"/>
    <w:p>
      <w:pPr>
        <w:spacing w:line="560" w:lineRule="exact"/>
        <w:ind w:firstLine="480" w:firstLineChars="200"/>
        <w:jc w:val="left"/>
        <w:rPr>
          <w:rFonts w:hint="eastAsia" w:ascii="仿宋" w:hAnsi="仿宋" w:eastAsia="仿宋" w:cs="仿宋"/>
          <w:color w:val="auto"/>
          <w:sz w:val="24"/>
          <w:szCs w:val="24"/>
          <w:highlight w:val="none"/>
          <w:u w:val="single"/>
        </w:rPr>
      </w:pPr>
      <w:bookmarkStart w:id="271" w:name="_Toc318581171"/>
      <w:bookmarkStart w:id="272" w:name="_Toc312678014"/>
      <w:r>
        <w:rPr>
          <w:rFonts w:hint="eastAsia" w:ascii="仿宋" w:hAnsi="仿宋" w:eastAsia="仿宋" w:cs="仿宋"/>
          <w:color w:val="auto"/>
          <w:sz w:val="24"/>
          <w:szCs w:val="24"/>
          <w:highlight w:val="none"/>
        </w:rPr>
        <w:t>因</w:t>
      </w:r>
      <w:bookmarkStart w:id="273" w:name="_Toc312677487"/>
      <w:bookmarkStart w:id="274" w:name="_Toc312678013"/>
      <w:bookmarkStart w:id="275" w:name="_Toc318581170"/>
      <w:r>
        <w:rPr>
          <w:rFonts w:hint="eastAsia" w:ascii="仿宋" w:hAnsi="仿宋" w:eastAsia="仿宋" w:cs="仿宋"/>
          <w:color w:val="auto"/>
          <w:sz w:val="24"/>
          <w:szCs w:val="24"/>
          <w:highlight w:val="none"/>
        </w:rPr>
        <w:t>承包人原因造成工期延误，逾期竣工违约金的计算方法为：</w:t>
      </w:r>
      <w:r>
        <w:rPr>
          <w:rFonts w:hint="eastAsia" w:ascii="仿宋" w:hAnsi="仿宋" w:eastAsia="仿宋" w:cs="仿宋"/>
          <w:color w:val="auto"/>
          <w:sz w:val="24"/>
          <w:szCs w:val="24"/>
          <w:highlight w:val="none"/>
          <w:u w:val="single"/>
        </w:rPr>
        <w:t xml:space="preserve">每推延一天，赔偿一万元的违约金 </w:t>
      </w:r>
      <w:r>
        <w:rPr>
          <w:rFonts w:hint="eastAsia" w:ascii="仿宋" w:hAnsi="仿宋" w:eastAsia="仿宋" w:cs="仿宋"/>
          <w:color w:val="auto"/>
          <w:sz w:val="24"/>
          <w:szCs w:val="24"/>
          <w:highlight w:val="none"/>
        </w:rPr>
        <w:t>。</w:t>
      </w:r>
      <w:bookmarkEnd w:id="273"/>
      <w:bookmarkEnd w:id="274"/>
    </w:p>
    <w:bookmarkEnd w:id="275"/>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因承包人原因造成工期延误，逾期竣工违约金的上限：</w:t>
      </w:r>
      <w:r>
        <w:rPr>
          <w:rFonts w:hint="eastAsia" w:ascii="仿宋" w:hAnsi="仿宋" w:eastAsia="仿宋" w:cs="仿宋"/>
          <w:color w:val="auto"/>
          <w:sz w:val="24"/>
          <w:szCs w:val="24"/>
          <w:highlight w:val="none"/>
          <w:u w:val="single"/>
        </w:rPr>
        <w:t xml:space="preserve">逾期竣工的违约金不超过合同总价的10% </w:t>
      </w:r>
      <w:r>
        <w:rPr>
          <w:rFonts w:hint="eastAsia" w:ascii="仿宋" w:hAnsi="仿宋" w:eastAsia="仿宋" w:cs="仿宋"/>
          <w:color w:val="auto"/>
          <w:sz w:val="24"/>
          <w:szCs w:val="24"/>
          <w:highlight w:val="none"/>
        </w:rPr>
        <w:t>。</w:t>
      </w:r>
    </w:p>
    <w:bookmarkEnd w:id="271"/>
    <w:bookmarkEnd w:id="272"/>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276" w:name="_Toc300934971"/>
      <w:bookmarkStart w:id="277" w:name="_Toc303539128"/>
      <w:bookmarkStart w:id="278" w:name="_Toc304295549"/>
      <w:bookmarkStart w:id="279" w:name="_Toc297123519"/>
      <w:bookmarkStart w:id="280" w:name="_Toc297216178"/>
      <w:bookmarkStart w:id="281" w:name="_Toc312678015"/>
      <w:r>
        <w:rPr>
          <w:rFonts w:hint="eastAsia" w:ascii="仿宋" w:hAnsi="仿宋" w:eastAsia="仿宋" w:cs="仿宋"/>
          <w:color w:val="auto"/>
          <w:sz w:val="24"/>
          <w:szCs w:val="24"/>
          <w:highlight w:val="none"/>
        </w:rPr>
        <w:t>.6 不</w:t>
      </w:r>
      <w:bookmarkEnd w:id="276"/>
      <w:bookmarkEnd w:id="277"/>
      <w:bookmarkEnd w:id="278"/>
      <w:bookmarkEnd w:id="279"/>
      <w:bookmarkEnd w:id="280"/>
      <w:bookmarkEnd w:id="281"/>
      <w:r>
        <w:rPr>
          <w:rFonts w:hint="eastAsia" w:ascii="仿宋" w:hAnsi="仿宋" w:eastAsia="仿宋" w:cs="仿宋"/>
          <w:color w:val="auto"/>
          <w:sz w:val="24"/>
          <w:szCs w:val="24"/>
          <w:highlight w:val="none"/>
        </w:rPr>
        <w:t>利物质条件</w:t>
      </w:r>
    </w:p>
    <w:p>
      <w:pPr>
        <w:spacing w:line="360" w:lineRule="auto"/>
        <w:ind w:firstLine="480" w:firstLineChars="200"/>
        <w:jc w:val="left"/>
        <w:rPr>
          <w:rFonts w:hint="eastAsia" w:ascii="仿宋" w:hAnsi="仿宋" w:eastAsia="仿宋" w:cs="仿宋"/>
          <w:color w:val="auto"/>
          <w:sz w:val="24"/>
          <w:szCs w:val="24"/>
          <w:highlight w:val="none"/>
        </w:rPr>
      </w:pPr>
      <w:bookmarkStart w:id="282" w:name="_Toc297123520"/>
      <w:bookmarkStart w:id="283" w:name="_Toc312678016"/>
      <w:bookmarkStart w:id="284" w:name="_Toc303539129"/>
      <w:bookmarkStart w:id="285" w:name="_Toc318581172"/>
      <w:bookmarkStart w:id="286" w:name="_Toc297216179"/>
      <w:bookmarkStart w:id="287" w:name="_Toc304295550"/>
      <w:bookmarkStart w:id="288" w:name="_Toc300934972"/>
      <w:r>
        <w:rPr>
          <w:rFonts w:hint="eastAsia" w:ascii="仿宋" w:hAnsi="仿宋" w:eastAsia="仿宋" w:cs="仿宋"/>
          <w:color w:val="auto"/>
          <w:sz w:val="24"/>
          <w:szCs w:val="24"/>
          <w:highlight w:val="none"/>
        </w:rPr>
        <w:t>不利物质条件的其他情形和有关约定：</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bookmarkEnd w:id="282"/>
    <w:bookmarkEnd w:id="283"/>
    <w:bookmarkEnd w:id="284"/>
    <w:bookmarkEnd w:id="285"/>
    <w:bookmarkEnd w:id="286"/>
    <w:bookmarkEnd w:id="287"/>
    <w:bookmarkEnd w:id="288"/>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289" w:name="_Toc304295551"/>
      <w:bookmarkStart w:id="290" w:name="_Toc297216180"/>
      <w:bookmarkStart w:id="291" w:name="_Toc300934973"/>
      <w:bookmarkStart w:id="292" w:name="_Toc303539130"/>
      <w:bookmarkStart w:id="293" w:name="_Toc312678017"/>
      <w:bookmarkStart w:id="294" w:name="_Toc297123521"/>
      <w:r>
        <w:rPr>
          <w:rFonts w:hint="eastAsia" w:ascii="仿宋" w:hAnsi="仿宋" w:eastAsia="仿宋" w:cs="仿宋"/>
          <w:color w:val="auto"/>
          <w:sz w:val="24"/>
          <w:szCs w:val="24"/>
          <w:highlight w:val="none"/>
        </w:rPr>
        <w:t>.7异常恶劣的气候条件</w:t>
      </w:r>
    </w:p>
    <w:bookmarkEnd w:id="289"/>
    <w:bookmarkEnd w:id="290"/>
    <w:bookmarkEnd w:id="291"/>
    <w:bookmarkEnd w:id="292"/>
    <w:bookmarkEnd w:id="293"/>
    <w:bookmarkEnd w:id="294"/>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发包人和承包人同意以下情形视为异常恶劣的气候条件：</w:t>
      </w:r>
    </w:p>
    <w:p>
      <w:pPr>
        <w:spacing w:line="360" w:lineRule="auto"/>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执行通用条款。</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7.8其他约定</w:t>
      </w:r>
    </w:p>
    <w:p>
      <w:pPr>
        <w:autoSpaceDE w:val="0"/>
        <w:autoSpaceDN w:val="0"/>
        <w:adjustRightInd w:val="0"/>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7.8.1 承包人自行负责建筑垃圾的清理,交工时必须保证场地的干净整齐，所发生的费用由承包人自行承担。</w:t>
      </w:r>
    </w:p>
    <w:p>
      <w:pPr>
        <w:autoSpaceDE w:val="0"/>
        <w:autoSpaceDN w:val="0"/>
        <w:adjustRightInd w:val="0"/>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7.8.2 施工水、电的费用由承包人自理（包括开挖、堆土造成的草坪、树木恢复费用）。</w:t>
      </w:r>
    </w:p>
    <w:p>
      <w:pPr>
        <w:autoSpaceDE w:val="0"/>
        <w:autoSpaceDN w:val="0"/>
        <w:adjustRightInd w:val="0"/>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7.8.3承包人在工程施工、竣工及保修的整个过程中对施工现场全部人员的保险及安全负责，费用自理。</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7.8.4承包人对在施工过程中聘请的人员，应当签订相应的合同，并按照合同的约定及时发放报酬。承包人与其聘请人员发生的任何争议均由承包人自行解决并承担全部责任。因承包人与其聘请人员发生争议而影响施工进度、工程质量的，给发包方造成损失的，承包人承担相应的赔偿责任，发包方还有权解除合同。</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7.8.5承包人应确保安全施工、文明施工，并自行为其聘请人员缴纳社保或购买相应的保险、支付相关费用，在施工过程中产生的劳务费用纠纷、劳动用工纠纷、工伤纠纷、人身损害赔偿纠纷等任何纠纷，由承包人承担相应的责任；因此给发包人造成任何损失的，承包人双倍赔偿。</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7.8.6承包人应具备该工程所需的施工资质，并确保其工作人员具有该工程所需的资格证书。否则因此给发包人造成任何损失的，承包人双倍赔偿。</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295" w:name="_Toc1893"/>
      <w:r>
        <w:rPr>
          <w:rFonts w:hint="eastAsia" w:ascii="仿宋" w:hAnsi="仿宋" w:eastAsia="仿宋" w:cs="仿宋"/>
          <w:color w:val="auto"/>
          <w:sz w:val="24"/>
          <w:szCs w:val="24"/>
          <w:highlight w:val="none"/>
        </w:rPr>
        <w:t>7.9 提前竣工的奖励</w:t>
      </w:r>
      <w:bookmarkEnd w:id="295"/>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7.9.1提前竣工的奖励：</w:t>
      </w:r>
      <w:r>
        <w:rPr>
          <w:rFonts w:hint="eastAsia" w:ascii="仿宋" w:hAnsi="仿宋" w:eastAsia="仿宋" w:cs="仿宋"/>
          <w:color w:val="auto"/>
          <w:sz w:val="24"/>
          <w:szCs w:val="24"/>
          <w:highlight w:val="none"/>
          <w:u w:val="single"/>
        </w:rPr>
        <w:t xml:space="preserve">  无  </w:t>
      </w:r>
      <w:r>
        <w:rPr>
          <w:rFonts w:hint="eastAsia" w:ascii="仿宋" w:hAnsi="仿宋" w:eastAsia="仿宋" w:cs="仿宋"/>
          <w:color w:val="auto"/>
          <w:sz w:val="24"/>
          <w:szCs w:val="24"/>
          <w:highlight w:val="none"/>
        </w:rPr>
        <w:t>。</w:t>
      </w:r>
    </w:p>
    <w:p>
      <w:pPr>
        <w:pStyle w:val="6"/>
        <w:spacing w:before="120" w:after="120" w:line="360" w:lineRule="auto"/>
        <w:rPr>
          <w:rFonts w:hint="eastAsia" w:ascii="仿宋" w:hAnsi="仿宋" w:eastAsia="仿宋" w:cs="仿宋"/>
          <w:b w:val="0"/>
          <w:color w:val="auto"/>
          <w:sz w:val="24"/>
          <w:szCs w:val="24"/>
          <w:highlight w:val="none"/>
        </w:rPr>
      </w:pPr>
      <w:bookmarkStart w:id="296" w:name="_Toc351203640"/>
      <w:r>
        <w:rPr>
          <w:rFonts w:hint="eastAsia" w:ascii="仿宋" w:hAnsi="仿宋" w:eastAsia="仿宋" w:cs="仿宋"/>
          <w:b w:val="0"/>
          <w:color w:val="auto"/>
          <w:sz w:val="24"/>
          <w:szCs w:val="24"/>
          <w:highlight w:val="none"/>
        </w:rPr>
        <w:t>8. 材料与设备</w:t>
      </w:r>
      <w:bookmarkEnd w:id="296"/>
    </w:p>
    <w:bookmarkEnd w:id="227"/>
    <w:bookmarkEnd w:id="228"/>
    <w:bookmarkEnd w:id="229"/>
    <w:bookmarkEnd w:id="230"/>
    <w:bookmarkEnd w:id="231"/>
    <w:bookmarkEnd w:id="232"/>
    <w:bookmarkEnd w:id="233"/>
    <w:bookmarkEnd w:id="234"/>
    <w:bookmarkEnd w:id="235"/>
    <w:bookmarkEnd w:id="236"/>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bookmarkStart w:id="297" w:name="_Toc297120467"/>
      <w:bookmarkStart w:id="298" w:name="_Toc292559372"/>
      <w:bookmarkStart w:id="299" w:name="_Toc312678019"/>
      <w:bookmarkStart w:id="300" w:name="_Toc297048353"/>
      <w:bookmarkStart w:id="301" w:name="_Toc296503167"/>
      <w:bookmarkStart w:id="302" w:name="_Toc297123527"/>
      <w:bookmarkStart w:id="303" w:name="_Toc280868654"/>
      <w:bookmarkStart w:id="304" w:name="_Toc312677493"/>
      <w:bookmarkStart w:id="305" w:name="_Toc304295556"/>
      <w:bookmarkStart w:id="306" w:name="_Toc296944506"/>
      <w:bookmarkStart w:id="307" w:name="_Toc292559877"/>
      <w:bookmarkStart w:id="308" w:name="_Toc296891207"/>
      <w:bookmarkStart w:id="309" w:name="_Toc300934979"/>
      <w:bookmarkStart w:id="310" w:name="_Toc297216186"/>
      <w:bookmarkStart w:id="311" w:name="_Toc296347166"/>
      <w:bookmarkStart w:id="312" w:name="_Toc296346668"/>
      <w:bookmarkStart w:id="313" w:name="_Toc296890995"/>
      <w:bookmarkStart w:id="314" w:name="_Toc303539136"/>
      <w:bookmarkStart w:id="315" w:name="_Toc280868656"/>
      <w:bookmarkStart w:id="316" w:name="_Toc280868655"/>
      <w:bookmarkStart w:id="317" w:name="_Toc267251424"/>
      <w:r>
        <w:rPr>
          <w:rFonts w:hint="eastAsia" w:ascii="仿宋" w:hAnsi="仿宋" w:eastAsia="仿宋" w:cs="仿宋"/>
          <w:color w:val="auto"/>
          <w:sz w:val="24"/>
          <w:szCs w:val="24"/>
          <w:highlight w:val="none"/>
        </w:rPr>
        <w:t>.1材料与工程设备的保管与使用</w:t>
      </w:r>
    </w:p>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bookmarkStart w:id="318" w:name="_Toc292559878"/>
      <w:bookmarkStart w:id="319" w:name="_Toc292559373"/>
      <w:bookmarkStart w:id="320" w:name="_Toc297120468"/>
      <w:bookmarkStart w:id="321" w:name="_Toc297123528"/>
      <w:bookmarkStart w:id="322" w:name="_Toc300934980"/>
      <w:bookmarkStart w:id="323" w:name="_Toc303539137"/>
      <w:bookmarkStart w:id="324" w:name="_Toc318581173"/>
      <w:bookmarkStart w:id="325" w:name="_Toc297216187"/>
      <w:bookmarkStart w:id="326" w:name="_Toc297048354"/>
      <w:bookmarkStart w:id="327" w:name="_Toc296347167"/>
      <w:bookmarkStart w:id="328" w:name="_Toc312678020"/>
      <w:bookmarkStart w:id="329" w:name="_Toc304295557"/>
      <w:bookmarkStart w:id="330" w:name="_Toc312677494"/>
      <w:bookmarkStart w:id="331" w:name="_Toc296503168"/>
      <w:bookmarkStart w:id="332" w:name="_Toc296891208"/>
      <w:bookmarkStart w:id="333" w:name="_Toc296346669"/>
      <w:bookmarkStart w:id="334" w:name="_Toc296944507"/>
      <w:bookmarkStart w:id="335" w:name="_Toc296890996"/>
      <w:r>
        <w:rPr>
          <w:rFonts w:hint="eastAsia" w:ascii="仿宋" w:hAnsi="仿宋" w:eastAsia="仿宋" w:cs="仿宋"/>
          <w:color w:val="auto"/>
          <w:sz w:val="24"/>
          <w:szCs w:val="24"/>
          <w:highlight w:val="none"/>
        </w:rPr>
        <w:t>.1.1发包人供应的材料设备的保管费用的承担：</w:t>
      </w:r>
      <w:r>
        <w:rPr>
          <w:rFonts w:hint="eastAsia" w:ascii="仿宋" w:hAnsi="仿宋" w:eastAsia="仿宋" w:cs="仿宋"/>
          <w:color w:val="auto"/>
          <w:sz w:val="24"/>
          <w:szCs w:val="24"/>
          <w:highlight w:val="none"/>
          <w:u w:val="single"/>
        </w:rPr>
        <w:t>无</w:t>
      </w:r>
      <w:r>
        <w:rPr>
          <w:rFonts w:hint="eastAsia" w:ascii="仿宋" w:hAnsi="仿宋" w:eastAsia="仿宋" w:cs="仿宋"/>
          <w:color w:val="auto"/>
          <w:sz w:val="24"/>
          <w:szCs w:val="24"/>
          <w:highlight w:val="none"/>
        </w:rPr>
        <w:t>。</w:t>
      </w:r>
      <w:bookmarkEnd w:id="318"/>
      <w:bookmarkEnd w:id="319"/>
    </w:p>
    <w:p>
      <w:pPr>
        <w:spacing w:after="120" w:line="360" w:lineRule="auto"/>
        <w:ind w:firstLine="480" w:firstLineChars="200"/>
        <w:outlineLvl w:val="0"/>
        <w:rPr>
          <w:rFonts w:hint="eastAsia" w:ascii="仿宋" w:hAnsi="仿宋" w:eastAsia="仿宋" w:cs="仿宋"/>
          <w:color w:val="auto"/>
          <w:sz w:val="24"/>
          <w:szCs w:val="24"/>
          <w:highlight w:val="none"/>
        </w:rPr>
      </w:pPr>
      <w:bookmarkStart w:id="336" w:name="_Toc14465"/>
      <w:r>
        <w:rPr>
          <w:rFonts w:hint="eastAsia" w:ascii="仿宋" w:hAnsi="仿宋" w:eastAsia="仿宋" w:cs="仿宋"/>
          <w:color w:val="auto"/>
          <w:sz w:val="24"/>
          <w:szCs w:val="24"/>
          <w:highlight w:val="none"/>
        </w:rPr>
        <w:t>8.2 样品</w:t>
      </w:r>
      <w:bookmarkEnd w:id="336"/>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8.2.1</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样品的报送与封存</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需要承包人报送样品的材料或工程设备，样品的种类、名称、规格、数量要求：</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337" w:name="_Toc22052"/>
      <w:r>
        <w:rPr>
          <w:rFonts w:hint="eastAsia" w:ascii="仿宋" w:hAnsi="仿宋" w:eastAsia="仿宋" w:cs="仿宋"/>
          <w:color w:val="auto"/>
          <w:sz w:val="24"/>
          <w:szCs w:val="24"/>
          <w:highlight w:val="none"/>
        </w:rPr>
        <w:t>8.3 施工设备和临时设施</w:t>
      </w:r>
      <w:bookmarkEnd w:id="337"/>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8.3.1 承包人提供的施工设备和临时设施</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关于修建临时设施费用承担的约定：</w:t>
      </w:r>
      <w:r>
        <w:rPr>
          <w:rFonts w:hint="eastAsia" w:ascii="仿宋" w:hAnsi="仿宋" w:eastAsia="仿宋" w:cs="仿宋"/>
          <w:color w:val="auto"/>
          <w:sz w:val="24"/>
          <w:szCs w:val="24"/>
          <w:highlight w:val="none"/>
          <w:u w:val="single"/>
        </w:rPr>
        <w:t>承包人自行承担</w:t>
      </w:r>
      <w:r>
        <w:rPr>
          <w:rFonts w:hint="eastAsia" w:ascii="仿宋" w:hAnsi="仿宋" w:eastAsia="仿宋" w:cs="仿宋"/>
          <w:color w:val="auto"/>
          <w:sz w:val="24"/>
          <w:szCs w:val="24"/>
          <w:highlight w:val="none"/>
        </w:rPr>
        <w:t>。</w:t>
      </w:r>
    </w:p>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Pr>
        <w:pStyle w:val="6"/>
        <w:spacing w:before="120" w:after="120" w:line="360" w:lineRule="auto"/>
        <w:rPr>
          <w:rFonts w:hint="eastAsia" w:ascii="仿宋" w:hAnsi="仿宋" w:eastAsia="仿宋" w:cs="仿宋"/>
          <w:b w:val="0"/>
          <w:color w:val="auto"/>
          <w:sz w:val="24"/>
          <w:szCs w:val="24"/>
          <w:highlight w:val="none"/>
        </w:rPr>
      </w:pPr>
      <w:bookmarkStart w:id="338" w:name="_Toc351203641"/>
      <w:r>
        <w:rPr>
          <w:rFonts w:hint="eastAsia" w:ascii="仿宋" w:hAnsi="仿宋" w:eastAsia="仿宋" w:cs="仿宋"/>
          <w:b w:val="0"/>
          <w:color w:val="auto"/>
          <w:sz w:val="24"/>
          <w:szCs w:val="24"/>
          <w:highlight w:val="none"/>
        </w:rPr>
        <w:t>9</w:t>
      </w:r>
      <w:bookmarkEnd w:id="315"/>
      <w:bookmarkEnd w:id="316"/>
      <w:bookmarkEnd w:id="317"/>
      <w:bookmarkStart w:id="339" w:name="_Toc297216192"/>
      <w:bookmarkStart w:id="340" w:name="_Toc312677495"/>
      <w:bookmarkStart w:id="341" w:name="_Toc297123533"/>
      <w:bookmarkStart w:id="342" w:name="_Toc304295559"/>
      <w:bookmarkStart w:id="343" w:name="_Toc312678021"/>
      <w:bookmarkStart w:id="344" w:name="_Toc300934982"/>
      <w:bookmarkStart w:id="345" w:name="_Toc303539139"/>
      <w:bookmarkStart w:id="346" w:name="_Toc297120473"/>
      <w:bookmarkStart w:id="347" w:name="_Toc292559378"/>
      <w:bookmarkStart w:id="348" w:name="_Toc296944512"/>
      <w:bookmarkStart w:id="349" w:name="_Toc296346674"/>
      <w:bookmarkStart w:id="350" w:name="_Toc296891001"/>
      <w:bookmarkStart w:id="351" w:name="_Toc297048359"/>
      <w:bookmarkStart w:id="352" w:name="_Toc267251427"/>
      <w:bookmarkStart w:id="353" w:name="_Toc292559883"/>
      <w:bookmarkStart w:id="354" w:name="_Toc296891213"/>
      <w:bookmarkStart w:id="355" w:name="_Toc296503173"/>
      <w:bookmarkStart w:id="356" w:name="_Toc267251428"/>
      <w:bookmarkStart w:id="357" w:name="_Toc296347172"/>
      <w:r>
        <w:rPr>
          <w:rFonts w:hint="eastAsia" w:ascii="仿宋" w:hAnsi="仿宋" w:eastAsia="仿宋" w:cs="仿宋"/>
          <w:b w:val="0"/>
          <w:color w:val="auto"/>
          <w:sz w:val="24"/>
          <w:szCs w:val="24"/>
          <w:highlight w:val="none"/>
        </w:rPr>
        <w:t>. 试验与检验</w:t>
      </w:r>
      <w:bookmarkEnd w:id="338"/>
    </w:p>
    <w:bookmarkEnd w:id="339"/>
    <w:bookmarkEnd w:id="340"/>
    <w:bookmarkEnd w:id="341"/>
    <w:bookmarkEnd w:id="342"/>
    <w:bookmarkEnd w:id="343"/>
    <w:bookmarkEnd w:id="344"/>
    <w:bookmarkEnd w:id="345"/>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bookmarkStart w:id="358" w:name="_Toc304295560"/>
      <w:bookmarkStart w:id="359" w:name="_Toc303539140"/>
      <w:bookmarkStart w:id="360" w:name="_Toc297123534"/>
      <w:bookmarkStart w:id="361" w:name="_Toc297216193"/>
      <w:bookmarkStart w:id="362" w:name="_Toc300934983"/>
      <w:bookmarkStart w:id="363" w:name="_Toc312677496"/>
      <w:bookmarkStart w:id="364" w:name="_Toc312678022"/>
      <w:r>
        <w:rPr>
          <w:rFonts w:hint="eastAsia" w:ascii="仿宋" w:hAnsi="仿宋" w:eastAsia="仿宋" w:cs="仿宋"/>
          <w:color w:val="auto"/>
          <w:sz w:val="24"/>
          <w:szCs w:val="24"/>
          <w:highlight w:val="none"/>
        </w:rPr>
        <w:t>.1试验设备与试验人员</w:t>
      </w:r>
    </w:p>
    <w:bookmarkEnd w:id="358"/>
    <w:bookmarkEnd w:id="359"/>
    <w:bookmarkEnd w:id="360"/>
    <w:bookmarkEnd w:id="361"/>
    <w:bookmarkEnd w:id="362"/>
    <w:bookmarkEnd w:id="363"/>
    <w:bookmarkEnd w:id="364"/>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bookmarkStart w:id="365" w:name="_Toc297123535"/>
      <w:bookmarkStart w:id="366" w:name="_Toc312677497"/>
      <w:bookmarkStart w:id="367" w:name="_Toc300934984"/>
      <w:bookmarkStart w:id="368" w:name="_Toc312678023"/>
      <w:bookmarkStart w:id="369" w:name="_Toc297216194"/>
      <w:bookmarkStart w:id="370" w:name="_Toc304295561"/>
      <w:bookmarkStart w:id="371" w:name="_Toc303539141"/>
      <w:bookmarkStart w:id="372" w:name="_Toc318581174"/>
      <w:r>
        <w:rPr>
          <w:rFonts w:hint="eastAsia" w:ascii="仿宋" w:hAnsi="仿宋" w:eastAsia="仿宋" w:cs="仿宋"/>
          <w:color w:val="auto"/>
          <w:sz w:val="24"/>
          <w:szCs w:val="24"/>
          <w:highlight w:val="none"/>
        </w:rPr>
        <w:t>.1.1 试验设备</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施工现场需要配置的试验场所：</w:t>
      </w:r>
      <w:bookmarkEnd w:id="365"/>
      <w:bookmarkEnd w:id="366"/>
      <w:bookmarkEnd w:id="367"/>
      <w:bookmarkEnd w:id="368"/>
      <w:bookmarkEnd w:id="369"/>
      <w:bookmarkEnd w:id="370"/>
      <w:bookmarkEnd w:id="371"/>
      <w:bookmarkStart w:id="373" w:name="_Toc304295562"/>
      <w:bookmarkStart w:id="374" w:name="_Toc312678024"/>
      <w:bookmarkStart w:id="375" w:name="_Toc297216195"/>
      <w:bookmarkStart w:id="376" w:name="_Toc303539142"/>
      <w:bookmarkStart w:id="377" w:name="_Toc300934985"/>
      <w:bookmarkStart w:id="378" w:name="_Toc297123536"/>
      <w:bookmarkStart w:id="379" w:name="_Toc312677498"/>
      <w:r>
        <w:rPr>
          <w:rFonts w:hint="eastAsia" w:ascii="仿宋" w:hAnsi="仿宋" w:eastAsia="仿宋" w:cs="仿宋"/>
          <w:color w:val="auto"/>
          <w:kern w:val="0"/>
          <w:sz w:val="24"/>
          <w:szCs w:val="24"/>
          <w:highlight w:val="none"/>
          <w:u w:val="single"/>
        </w:rPr>
        <w:t>承包人根据合同约定或监理人指示进行的现场材料试验，应由承包人提供试验场所、试验人员、试验设备以及其他必要的试验条件</w:t>
      </w:r>
      <w:r>
        <w:rPr>
          <w:rFonts w:hint="eastAsia" w:ascii="仿宋" w:hAnsi="仿宋" w:eastAsia="仿宋" w:cs="仿宋"/>
          <w:color w:val="auto"/>
          <w:sz w:val="24"/>
          <w:szCs w:val="24"/>
          <w:highlight w:val="none"/>
        </w:rPr>
        <w:t xml:space="preserve">。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施工现场需要配备的试验设备：</w:t>
      </w:r>
      <w:r>
        <w:rPr>
          <w:rFonts w:hint="eastAsia" w:ascii="仿宋" w:hAnsi="仿宋" w:eastAsia="仿宋" w:cs="仿宋"/>
          <w:color w:val="auto"/>
          <w:kern w:val="0"/>
          <w:sz w:val="24"/>
          <w:szCs w:val="24"/>
          <w:highlight w:val="none"/>
          <w:u w:val="single"/>
        </w:rPr>
        <w:t>由承包人自行解决</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施工现场需要具备的其他试验条件：</w:t>
      </w:r>
      <w:r>
        <w:rPr>
          <w:rFonts w:hint="eastAsia" w:ascii="仿宋" w:hAnsi="仿宋" w:eastAsia="仿宋" w:cs="仿宋"/>
          <w:color w:val="auto"/>
          <w:kern w:val="0"/>
          <w:sz w:val="24"/>
          <w:szCs w:val="24"/>
          <w:highlight w:val="none"/>
          <w:u w:val="single"/>
        </w:rPr>
        <w:t>由承包人自行解决</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380" w:name="_Toc25031"/>
      <w:r>
        <w:rPr>
          <w:rFonts w:hint="eastAsia" w:ascii="仿宋" w:hAnsi="仿宋" w:eastAsia="仿宋" w:cs="仿宋"/>
          <w:color w:val="auto"/>
          <w:sz w:val="24"/>
          <w:szCs w:val="24"/>
          <w:highlight w:val="none"/>
        </w:rPr>
        <w:t>9.2 现场工艺试验</w:t>
      </w:r>
      <w:bookmarkEnd w:id="380"/>
      <w:r>
        <w:rPr>
          <w:rFonts w:hint="eastAsia" w:ascii="仿宋" w:hAnsi="仿宋" w:eastAsia="仿宋" w:cs="仿宋"/>
          <w:color w:val="auto"/>
          <w:sz w:val="24"/>
          <w:szCs w:val="24"/>
          <w:highlight w:val="none"/>
        </w:rPr>
        <w:t xml:space="preserve">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现场工艺试验的有关约定：</w:t>
      </w:r>
      <w:r>
        <w:rPr>
          <w:rFonts w:hint="eastAsia" w:ascii="仿宋" w:hAnsi="仿宋" w:eastAsia="仿宋" w:cs="仿宋"/>
          <w:color w:val="auto"/>
          <w:kern w:val="0"/>
          <w:sz w:val="24"/>
          <w:szCs w:val="24"/>
          <w:highlight w:val="none"/>
          <w:u w:val="single"/>
        </w:rPr>
        <w:t>执行通用合同条款</w:t>
      </w:r>
      <w:r>
        <w:rPr>
          <w:rFonts w:hint="eastAsia" w:ascii="仿宋" w:hAnsi="仿宋" w:eastAsia="仿宋" w:cs="仿宋"/>
          <w:color w:val="auto"/>
          <w:sz w:val="24"/>
          <w:szCs w:val="24"/>
          <w:highlight w:val="none"/>
        </w:rPr>
        <w:t>。</w:t>
      </w:r>
    </w:p>
    <w:bookmarkEnd w:id="372"/>
    <w:bookmarkEnd w:id="373"/>
    <w:bookmarkEnd w:id="374"/>
    <w:bookmarkEnd w:id="375"/>
    <w:bookmarkEnd w:id="376"/>
    <w:bookmarkEnd w:id="377"/>
    <w:bookmarkEnd w:id="378"/>
    <w:bookmarkEnd w:id="379"/>
    <w:p>
      <w:pPr>
        <w:pStyle w:val="6"/>
        <w:spacing w:before="120" w:after="120" w:line="360" w:lineRule="auto"/>
        <w:rPr>
          <w:rFonts w:hint="eastAsia" w:ascii="仿宋" w:hAnsi="仿宋" w:eastAsia="仿宋" w:cs="仿宋"/>
          <w:b w:val="0"/>
          <w:color w:val="auto"/>
          <w:sz w:val="24"/>
          <w:szCs w:val="24"/>
          <w:highlight w:val="none"/>
        </w:rPr>
      </w:pPr>
      <w:bookmarkStart w:id="381" w:name="_Toc351203642"/>
      <w:r>
        <w:rPr>
          <w:rFonts w:hint="eastAsia" w:ascii="仿宋" w:hAnsi="仿宋" w:eastAsia="仿宋" w:cs="仿宋"/>
          <w:b w:val="0"/>
          <w:color w:val="auto"/>
          <w:sz w:val="24"/>
          <w:szCs w:val="24"/>
          <w:highlight w:val="none"/>
        </w:rPr>
        <w:t>1</w:t>
      </w:r>
      <w:bookmarkEnd w:id="346"/>
      <w:bookmarkEnd w:id="347"/>
      <w:bookmarkEnd w:id="348"/>
      <w:bookmarkEnd w:id="349"/>
      <w:bookmarkEnd w:id="350"/>
      <w:bookmarkEnd w:id="351"/>
      <w:bookmarkEnd w:id="352"/>
      <w:bookmarkEnd w:id="353"/>
      <w:bookmarkEnd w:id="354"/>
      <w:bookmarkEnd w:id="355"/>
      <w:bookmarkEnd w:id="356"/>
      <w:bookmarkEnd w:id="357"/>
      <w:bookmarkStart w:id="382" w:name="_Toc296503193"/>
      <w:bookmarkStart w:id="383" w:name="_Toc296346694"/>
      <w:bookmarkStart w:id="384" w:name="_Toc304295566"/>
      <w:bookmarkStart w:id="385" w:name="_Toc296347192"/>
      <w:bookmarkStart w:id="386" w:name="_Toc292559903"/>
      <w:bookmarkStart w:id="387" w:name="_Toc297120493"/>
      <w:bookmarkStart w:id="388" w:name="_Toc300934989"/>
      <w:bookmarkStart w:id="389" w:name="_Toc297123540"/>
      <w:bookmarkStart w:id="390" w:name="_Toc297216199"/>
      <w:bookmarkStart w:id="391" w:name="_Toc296891021"/>
      <w:bookmarkStart w:id="392" w:name="_Toc296891233"/>
      <w:bookmarkStart w:id="393" w:name="_Toc303539146"/>
      <w:bookmarkStart w:id="394" w:name="_Toc296944532"/>
      <w:bookmarkStart w:id="395" w:name="_Toc297048379"/>
      <w:bookmarkStart w:id="396" w:name="_Toc292559398"/>
      <w:bookmarkStart w:id="397" w:name="_Toc312678025"/>
      <w:bookmarkStart w:id="398" w:name="_Toc312677499"/>
      <w:bookmarkStart w:id="399" w:name="_Toc267251437"/>
      <w:bookmarkStart w:id="400" w:name="_Toc267251433"/>
      <w:bookmarkStart w:id="401" w:name="_Toc267251441"/>
      <w:bookmarkStart w:id="402" w:name="_Toc267251435"/>
      <w:bookmarkStart w:id="403" w:name="_Toc267251440"/>
      <w:bookmarkStart w:id="404" w:name="_Toc267251439"/>
      <w:bookmarkStart w:id="405" w:name="_Toc267251442"/>
      <w:r>
        <w:rPr>
          <w:rFonts w:hint="eastAsia" w:ascii="仿宋" w:hAnsi="仿宋" w:eastAsia="仿宋" w:cs="仿宋"/>
          <w:b w:val="0"/>
          <w:color w:val="auto"/>
          <w:sz w:val="24"/>
          <w:szCs w:val="24"/>
          <w:highlight w:val="none"/>
        </w:rPr>
        <w:t>0. 变更</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bookmarkEnd w:id="397"/>
    <w:bookmarkEnd w:id="398"/>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406" w:name="_Toc296891022"/>
      <w:bookmarkStart w:id="407" w:name="_Toc297048380"/>
      <w:bookmarkStart w:id="408" w:name="_Toc296346695"/>
      <w:bookmarkStart w:id="409" w:name="_Toc312677500"/>
      <w:bookmarkStart w:id="410" w:name="_Toc297120494"/>
      <w:bookmarkStart w:id="411" w:name="_Toc297216200"/>
      <w:bookmarkStart w:id="412" w:name="_Toc296944533"/>
      <w:bookmarkStart w:id="413" w:name="_Toc304295567"/>
      <w:bookmarkStart w:id="414" w:name="_Toc312678026"/>
      <w:bookmarkStart w:id="415" w:name="_Toc292559904"/>
      <w:bookmarkStart w:id="416" w:name="_Toc300934990"/>
      <w:bookmarkStart w:id="417" w:name="_Toc296503194"/>
      <w:bookmarkStart w:id="418" w:name="_Toc303539147"/>
      <w:bookmarkStart w:id="419" w:name="_Toc296891234"/>
      <w:bookmarkStart w:id="420" w:name="_Toc297123541"/>
      <w:bookmarkStart w:id="421" w:name="_Toc296347193"/>
      <w:bookmarkStart w:id="422" w:name="_Toc292559399"/>
      <w:r>
        <w:rPr>
          <w:rFonts w:hint="eastAsia" w:ascii="仿宋" w:hAnsi="仿宋" w:eastAsia="仿宋" w:cs="仿宋"/>
          <w:color w:val="auto"/>
          <w:sz w:val="24"/>
          <w:szCs w:val="24"/>
          <w:highlight w:val="none"/>
        </w:rPr>
        <w:t>0.1变更的范围</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关于变更的范围的约定：</w:t>
      </w:r>
      <w:r>
        <w:rPr>
          <w:rFonts w:hint="eastAsia" w:ascii="仿宋" w:hAnsi="仿宋" w:eastAsia="仿宋" w:cs="仿宋"/>
          <w:color w:val="auto"/>
          <w:sz w:val="24"/>
          <w:szCs w:val="24"/>
          <w:highlight w:val="none"/>
          <w:u w:val="single"/>
        </w:rPr>
        <w:t>执行合同通用条款10.1条</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423" w:name="_Toc27373"/>
      <w:r>
        <w:rPr>
          <w:rFonts w:hint="eastAsia" w:ascii="仿宋" w:hAnsi="仿宋" w:eastAsia="仿宋" w:cs="仿宋"/>
          <w:color w:val="auto"/>
          <w:sz w:val="24"/>
          <w:szCs w:val="24"/>
          <w:highlight w:val="none"/>
        </w:rPr>
        <w:t>10.2 变更估价</w:t>
      </w:r>
      <w:bookmarkEnd w:id="423"/>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10.2.1 变更估价原则</w:t>
      </w:r>
    </w:p>
    <w:p>
      <w:pPr>
        <w:autoSpaceDE w:val="0"/>
        <w:autoSpaceDN w:val="0"/>
        <w:adjustRightInd w:val="0"/>
        <w:spacing w:line="560" w:lineRule="exact"/>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（1）已标价工程量清单或预算书有相同项目的，按照相同项目单价认定；</w:t>
      </w:r>
    </w:p>
    <w:p>
      <w:pPr>
        <w:autoSpaceDE w:val="0"/>
        <w:autoSpaceDN w:val="0"/>
        <w:adjustRightInd w:val="0"/>
        <w:spacing w:line="560" w:lineRule="exact"/>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（2）已标价工程量清单或预算书中无相同项目，但有类似项目的，参照类似项目的单价认定；</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u w:val="singl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通用条款第4.4款〔商定或确定〕确定变更工作的单价</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Start w:id="424" w:name="_Toc296503197"/>
      <w:bookmarkStart w:id="425" w:name="_Toc296944536"/>
      <w:bookmarkStart w:id="426" w:name="_Toc300934993"/>
      <w:bookmarkStart w:id="427" w:name="_Toc296346698"/>
      <w:bookmarkStart w:id="428" w:name="_Toc296891237"/>
      <w:bookmarkStart w:id="429" w:name="_Toc292559402"/>
      <w:bookmarkStart w:id="430" w:name="_Toc297123544"/>
      <w:bookmarkStart w:id="431" w:name="_Toc292559907"/>
      <w:bookmarkStart w:id="432" w:name="_Toc297048383"/>
      <w:bookmarkStart w:id="433" w:name="_Toc296891025"/>
      <w:bookmarkStart w:id="434" w:name="_Toc297120497"/>
      <w:bookmarkStart w:id="435" w:name="_Toc297216203"/>
      <w:bookmarkStart w:id="436" w:name="_Toc296347196"/>
      <w:bookmarkStart w:id="437" w:name="_Toc303539150"/>
      <w:bookmarkStart w:id="438" w:name="_Toc312678029"/>
      <w:bookmarkStart w:id="439" w:name="_Toc304295570"/>
      <w:bookmarkStart w:id="440" w:name="_Toc312677503"/>
      <w:r>
        <w:rPr>
          <w:rFonts w:hint="eastAsia" w:ascii="仿宋" w:hAnsi="仿宋" w:eastAsia="仿宋" w:cs="仿宋"/>
          <w:color w:val="auto"/>
          <w:sz w:val="24"/>
          <w:szCs w:val="24"/>
          <w:highlight w:val="none"/>
        </w:rPr>
        <w:t>0.3承</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Start w:id="441" w:name="_Toc297123545"/>
      <w:bookmarkStart w:id="442" w:name="_Toc296891243"/>
      <w:bookmarkStart w:id="443" w:name="_Toc296346704"/>
      <w:bookmarkStart w:id="444" w:name="_Toc292559913"/>
      <w:bookmarkStart w:id="445" w:name="_Toc297120503"/>
      <w:bookmarkStart w:id="446" w:name="_Toc296944542"/>
      <w:bookmarkStart w:id="447" w:name="_Toc303539151"/>
      <w:bookmarkStart w:id="448" w:name="_Toc296503203"/>
      <w:bookmarkStart w:id="449" w:name="_Toc296891031"/>
      <w:bookmarkStart w:id="450" w:name="_Toc296347202"/>
      <w:bookmarkStart w:id="451" w:name="_Toc300934994"/>
      <w:bookmarkStart w:id="452" w:name="_Toc297216204"/>
      <w:bookmarkStart w:id="453" w:name="_Toc297048389"/>
      <w:bookmarkStart w:id="454" w:name="_Toc292559408"/>
      <w:r>
        <w:rPr>
          <w:rFonts w:hint="eastAsia" w:ascii="仿宋" w:hAnsi="仿宋" w:eastAsia="仿宋" w:cs="仿宋"/>
          <w:color w:val="auto"/>
          <w:sz w:val="24"/>
          <w:szCs w:val="24"/>
          <w:highlight w:val="none"/>
        </w:rPr>
        <w:t>包人的合理化建议</w:t>
      </w:r>
    </w:p>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Pr>
        <w:spacing w:line="560" w:lineRule="exact"/>
        <w:ind w:firstLine="480" w:firstLineChars="200"/>
        <w:jc w:val="left"/>
        <w:rPr>
          <w:rFonts w:hint="eastAsia" w:ascii="仿宋" w:hAnsi="仿宋" w:eastAsia="仿宋" w:cs="仿宋"/>
          <w:color w:val="auto"/>
          <w:sz w:val="24"/>
          <w:szCs w:val="24"/>
          <w:highlight w:val="none"/>
        </w:rPr>
      </w:pPr>
      <w:bookmarkStart w:id="455" w:name="_Toc296346705"/>
      <w:bookmarkStart w:id="456" w:name="_Toc292559914"/>
      <w:bookmarkStart w:id="457" w:name="_Toc296944543"/>
      <w:bookmarkStart w:id="458" w:name="_Toc296503204"/>
      <w:bookmarkStart w:id="459" w:name="_Toc297123546"/>
      <w:bookmarkStart w:id="460" w:name="_Toc300934995"/>
      <w:bookmarkStart w:id="461" w:name="_Toc297120504"/>
      <w:bookmarkStart w:id="462" w:name="_Toc296891244"/>
      <w:bookmarkStart w:id="463" w:name="_Toc304295571"/>
      <w:bookmarkStart w:id="464" w:name="_Toc297216205"/>
      <w:bookmarkStart w:id="465" w:name="_Toc318581175"/>
      <w:bookmarkStart w:id="466" w:name="_Toc312678030"/>
      <w:bookmarkStart w:id="467" w:name="_Toc303539152"/>
      <w:bookmarkStart w:id="468" w:name="_Toc296891032"/>
      <w:bookmarkStart w:id="469" w:name="_Toc296347203"/>
      <w:bookmarkStart w:id="470" w:name="_Toc312677504"/>
      <w:bookmarkStart w:id="471" w:name="_Toc297048390"/>
      <w:bookmarkStart w:id="472" w:name="_Toc292559409"/>
      <w:r>
        <w:rPr>
          <w:rFonts w:hint="eastAsia" w:ascii="仿宋" w:hAnsi="仿宋" w:eastAsia="仿宋" w:cs="仿宋"/>
          <w:color w:val="auto"/>
          <w:sz w:val="24"/>
          <w:szCs w:val="24"/>
          <w:highlight w:val="none"/>
        </w:rPr>
        <w:t>监理人审查承包人合理化建议的期限：</w:t>
      </w:r>
      <w:r>
        <w:rPr>
          <w:rFonts w:hint="eastAsia" w:ascii="仿宋" w:hAnsi="仿宋" w:eastAsia="仿宋" w:cs="仿宋"/>
          <w:color w:val="auto"/>
          <w:sz w:val="24"/>
          <w:szCs w:val="24"/>
          <w:highlight w:val="none"/>
          <w:u w:val="single"/>
        </w:rPr>
        <w:t xml:space="preserve"> 监理人应在收到承包人提交的合理化建议后7天内审查完毕  </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发包人审批承包人合理化建议的期限：</w:t>
      </w:r>
      <w:r>
        <w:rPr>
          <w:rFonts w:hint="eastAsia" w:ascii="仿宋" w:hAnsi="仿宋" w:eastAsia="仿宋" w:cs="仿宋"/>
          <w:color w:val="auto"/>
          <w:sz w:val="24"/>
          <w:szCs w:val="24"/>
          <w:highlight w:val="none"/>
          <w:u w:val="single"/>
        </w:rPr>
        <w:t xml:space="preserve"> 发包人应在收到监理人提交的合理化建议后7天内审查完毕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承包人提出的合理化建议降低了合同价格或者提高了工程经济效益的奖励的方法和金额为：</w:t>
      </w:r>
      <w:r>
        <w:rPr>
          <w:rFonts w:hint="eastAsia" w:ascii="仿宋" w:hAnsi="仿宋" w:eastAsia="仿宋" w:cs="仿宋"/>
          <w:color w:val="auto"/>
          <w:sz w:val="24"/>
          <w:szCs w:val="24"/>
          <w:highlight w:val="none"/>
          <w:u w:val="single"/>
        </w:rPr>
        <w:t xml:space="preserve">  无     </w:t>
      </w:r>
      <w:r>
        <w:rPr>
          <w:rFonts w:hint="eastAsia" w:ascii="仿宋" w:hAnsi="仿宋" w:eastAsia="仿宋" w:cs="仿宋"/>
          <w:color w:val="auto"/>
          <w:sz w:val="24"/>
          <w:szCs w:val="24"/>
          <w:highlight w:val="none"/>
        </w:rPr>
        <w:t>。</w:t>
      </w:r>
    </w:p>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Pr>
        <w:spacing w:after="120" w:line="360" w:lineRule="auto"/>
        <w:ind w:firstLine="480" w:firstLineChars="200"/>
        <w:outlineLvl w:val="0"/>
        <w:rPr>
          <w:rFonts w:hint="eastAsia" w:ascii="仿宋" w:hAnsi="仿宋" w:eastAsia="仿宋" w:cs="仿宋"/>
          <w:color w:val="auto"/>
          <w:sz w:val="24"/>
          <w:szCs w:val="24"/>
          <w:highlight w:val="none"/>
        </w:rPr>
      </w:pPr>
      <w:bookmarkStart w:id="473" w:name="_Toc32316"/>
      <w:r>
        <w:rPr>
          <w:rFonts w:hint="eastAsia" w:ascii="仿宋" w:hAnsi="仿宋" w:eastAsia="仿宋" w:cs="仿宋"/>
          <w:color w:val="auto"/>
          <w:sz w:val="24"/>
          <w:szCs w:val="24"/>
          <w:highlight w:val="none"/>
        </w:rPr>
        <w:t>1</w:t>
      </w:r>
      <w:bookmarkStart w:id="474" w:name="_Toc296503199"/>
      <w:bookmarkStart w:id="475" w:name="_Toc296346700"/>
      <w:bookmarkStart w:id="476" w:name="_Toc292559404"/>
      <w:bookmarkStart w:id="477" w:name="_Toc303539154"/>
      <w:bookmarkStart w:id="478" w:name="_Toc292559909"/>
      <w:bookmarkStart w:id="479" w:name="_Toc312677507"/>
      <w:bookmarkStart w:id="480" w:name="_Toc300934997"/>
      <w:bookmarkStart w:id="481" w:name="_Toc297120499"/>
      <w:bookmarkStart w:id="482" w:name="_Toc296891239"/>
      <w:bookmarkStart w:id="483" w:name="_Toc297216207"/>
      <w:bookmarkStart w:id="484" w:name="_Toc312678033"/>
      <w:bookmarkStart w:id="485" w:name="_Toc304295574"/>
      <w:bookmarkStart w:id="486" w:name="_Toc296347198"/>
      <w:bookmarkStart w:id="487" w:name="_Toc297123548"/>
      <w:bookmarkStart w:id="488" w:name="_Toc296944538"/>
      <w:bookmarkStart w:id="489" w:name="_Toc297048385"/>
      <w:bookmarkStart w:id="490" w:name="_Toc296891027"/>
      <w:r>
        <w:rPr>
          <w:rFonts w:hint="eastAsia" w:ascii="仿宋" w:hAnsi="仿宋" w:eastAsia="仿宋" w:cs="仿宋"/>
          <w:color w:val="auto"/>
          <w:sz w:val="24"/>
          <w:szCs w:val="24"/>
          <w:highlight w:val="none"/>
        </w:rPr>
        <w:t>0.4 暂估价</w:t>
      </w:r>
      <w:bookmarkEnd w:id="473"/>
    </w:p>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491" w:name="_Toc318581177"/>
      <w:bookmarkStart w:id="492" w:name="_Toc312678035"/>
      <w:bookmarkStart w:id="493" w:name="_Toc312677509"/>
      <w:r>
        <w:rPr>
          <w:rFonts w:hint="eastAsia" w:ascii="仿宋" w:hAnsi="仿宋" w:eastAsia="仿宋" w:cs="仿宋"/>
          <w:color w:val="auto"/>
          <w:sz w:val="24"/>
          <w:szCs w:val="24"/>
          <w:highlight w:val="none"/>
        </w:rPr>
        <w:t>0.4.1 依法必须招标的暂估价项目</w:t>
      </w:r>
    </w:p>
    <w:bookmarkEnd w:id="491"/>
    <w:bookmarkEnd w:id="492"/>
    <w:bookmarkEnd w:id="493"/>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对于依法必须招标的暂估价项目的确认和批准采取</w:t>
      </w:r>
      <w:r>
        <w:rPr>
          <w:rFonts w:hint="eastAsia" w:ascii="仿宋" w:hAnsi="仿宋" w:eastAsia="仿宋" w:cs="仿宋"/>
          <w:color w:val="auto"/>
          <w:kern w:val="0"/>
          <w:sz w:val="24"/>
          <w:szCs w:val="24"/>
          <w:highlight w:val="none"/>
          <w:u w:val="single"/>
        </w:rPr>
        <w:t>通用条款10.7.1中的第2</w:t>
      </w:r>
      <w:r>
        <w:rPr>
          <w:rFonts w:hint="eastAsia" w:ascii="仿宋" w:hAnsi="仿宋" w:eastAsia="仿宋" w:cs="仿宋"/>
          <w:color w:val="auto"/>
          <w:sz w:val="24"/>
          <w:szCs w:val="24"/>
          <w:highlight w:val="none"/>
        </w:rPr>
        <w:t>种方式确定。</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10.4.2 不属于依法必须招标的暂估价项目</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对于不属于依法必须招标的暂估价项目的确认和批准采取</w:t>
      </w:r>
      <w:r>
        <w:rPr>
          <w:rFonts w:hint="eastAsia" w:ascii="仿宋" w:hAnsi="仿宋" w:eastAsia="仿宋" w:cs="仿宋"/>
          <w:color w:val="auto"/>
          <w:kern w:val="0"/>
          <w:sz w:val="24"/>
          <w:szCs w:val="24"/>
          <w:highlight w:val="none"/>
          <w:u w:val="single"/>
        </w:rPr>
        <w:t xml:space="preserve">通用合同条款10.7.2中的第1 </w:t>
      </w:r>
      <w:r>
        <w:rPr>
          <w:rFonts w:hint="eastAsia" w:ascii="仿宋" w:hAnsi="仿宋" w:eastAsia="仿宋" w:cs="仿宋"/>
          <w:color w:val="auto"/>
          <w:sz w:val="24"/>
          <w:szCs w:val="24"/>
          <w:highlight w:val="none"/>
        </w:rPr>
        <w:t>种方式确定。</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第3种方式：</w:t>
      </w:r>
      <w:r>
        <w:rPr>
          <w:rFonts w:hint="eastAsia" w:ascii="仿宋" w:hAnsi="仿宋" w:eastAsia="仿宋" w:cs="仿宋"/>
          <w:color w:val="auto"/>
          <w:kern w:val="0"/>
          <w:sz w:val="24"/>
          <w:szCs w:val="24"/>
          <w:highlight w:val="none"/>
        </w:rPr>
        <w:t>承包人直接实施的暂估价项目</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承包人直接实施的暂估价项目的约定：</w:t>
      </w:r>
      <w:r>
        <w:rPr>
          <w:rFonts w:hint="eastAsia" w:ascii="仿宋" w:hAnsi="仿宋" w:eastAsia="仿宋" w:cs="仿宋"/>
          <w:color w:val="auto"/>
          <w:kern w:val="0"/>
          <w:sz w:val="24"/>
          <w:szCs w:val="24"/>
          <w:highlight w:val="none"/>
          <w:u w:val="single"/>
        </w:rPr>
        <w:t>在工程施工时，即可由发包人对暂估价项目的综合单价进行确认；若不使用暂估价项目原报价的，应由承包人提出新的综合单价及计价依据，经发包人确认后予以调整</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10.5 暂列金额</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合同当事人关于暂列金额使用的约定：</w:t>
      </w:r>
      <w:r>
        <w:rPr>
          <w:rFonts w:hint="eastAsia" w:ascii="仿宋" w:hAnsi="仿宋" w:eastAsia="仿宋" w:cs="仿宋"/>
          <w:color w:val="auto"/>
          <w:kern w:val="0"/>
          <w:sz w:val="24"/>
          <w:szCs w:val="24"/>
          <w:highlight w:val="none"/>
          <w:u w:val="single"/>
        </w:rPr>
        <w:t>暂列金是指发包人为可能发生工程变更而暂列的金额，包括因发包人提供的工程量清单漏项、清单有误引起的工程数量增加和施工过程中设计变更引起新的清单项目或工程数量增加等需要增加的金额。暂列金是招标人自行确定设立的，承包商无权使用此笔费用。此费用按实际发生经招标人签证后确定全部使用、部分使用或不使用（暂列金不计入工程款付款的基数）。</w:t>
      </w:r>
    </w:p>
    <w:p>
      <w:pPr>
        <w:pStyle w:val="6"/>
        <w:spacing w:before="120" w:after="120" w:line="360" w:lineRule="auto"/>
        <w:rPr>
          <w:rFonts w:hint="eastAsia" w:ascii="仿宋" w:hAnsi="仿宋" w:eastAsia="仿宋" w:cs="仿宋"/>
          <w:b w:val="0"/>
          <w:color w:val="auto"/>
          <w:sz w:val="24"/>
          <w:szCs w:val="24"/>
          <w:highlight w:val="none"/>
        </w:rPr>
      </w:pPr>
      <w:bookmarkStart w:id="494" w:name="_Toc351203643"/>
      <w:r>
        <w:rPr>
          <w:rFonts w:hint="eastAsia" w:ascii="仿宋" w:hAnsi="仿宋" w:eastAsia="仿宋" w:cs="仿宋"/>
          <w:b w:val="0"/>
          <w:color w:val="auto"/>
          <w:sz w:val="24"/>
          <w:szCs w:val="24"/>
          <w:highlight w:val="none"/>
        </w:rPr>
        <w:t>11. 价格调整</w:t>
      </w:r>
      <w:bookmarkEnd w:id="494"/>
    </w:p>
    <w:p>
      <w:pPr>
        <w:spacing w:after="120" w:line="360" w:lineRule="auto"/>
        <w:ind w:firstLine="480" w:firstLineChars="200"/>
        <w:rPr>
          <w:rFonts w:hint="eastAsia" w:ascii="仿宋" w:hAnsi="仿宋" w:eastAsia="仿宋" w:cs="仿宋"/>
          <w:color w:val="auto"/>
          <w:sz w:val="24"/>
          <w:szCs w:val="24"/>
          <w:highlight w:val="none"/>
        </w:rPr>
      </w:pPr>
      <w:bookmarkStart w:id="495" w:name="_Toc296891029"/>
      <w:bookmarkStart w:id="496" w:name="_Toc296891241"/>
      <w:bookmarkStart w:id="497" w:name="_Toc297120501"/>
      <w:bookmarkStart w:id="498" w:name="_Toc292559911"/>
      <w:bookmarkStart w:id="499" w:name="_Toc296347200"/>
      <w:bookmarkStart w:id="500" w:name="_Toc292559406"/>
      <w:bookmarkStart w:id="501" w:name="_Toc296346702"/>
      <w:bookmarkStart w:id="502" w:name="_Toc300935000"/>
      <w:bookmarkStart w:id="503" w:name="_Toc312678039"/>
      <w:bookmarkStart w:id="504" w:name="_Toc296944540"/>
      <w:bookmarkStart w:id="505" w:name="_Toc297216209"/>
      <w:bookmarkStart w:id="506" w:name="_Toc296503201"/>
      <w:bookmarkStart w:id="507" w:name="_Toc297048387"/>
      <w:bookmarkStart w:id="508" w:name="_Toc304295577"/>
      <w:bookmarkStart w:id="509" w:name="_Toc303539157"/>
      <w:bookmarkStart w:id="510" w:name="_Toc297123550"/>
      <w:r>
        <w:rPr>
          <w:rFonts w:hint="eastAsia" w:ascii="仿宋" w:hAnsi="仿宋" w:eastAsia="仿宋" w:cs="仿宋"/>
          <w:color w:val="auto"/>
          <w:sz w:val="24"/>
          <w:szCs w:val="24"/>
          <w:highlight w:val="none"/>
        </w:rPr>
        <w:t>11.1 市场价格波动引起的调整</w:t>
      </w:r>
    </w:p>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市场价格波动是否调整合同价格的约定：</w:t>
      </w:r>
      <w:r>
        <w:rPr>
          <w:rFonts w:hint="eastAsia" w:ascii="仿宋" w:hAnsi="仿宋" w:eastAsia="仿宋" w:cs="仿宋"/>
          <w:color w:val="auto"/>
          <w:sz w:val="24"/>
          <w:szCs w:val="24"/>
          <w:highlight w:val="none"/>
          <w:u w:val="single"/>
        </w:rPr>
        <w:t xml:space="preserve">  是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因市场价格波动调整合同价格，采用以下第</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种方式对合同价格进行调整：</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第1种方式：采用价格指数进行价格调整。</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关于各可调因子、定值和变值权重，以及基本价格指数及其来源的约定：</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第2种方式：</w:t>
      </w:r>
      <w:r>
        <w:rPr>
          <w:rFonts w:hint="eastAsia" w:ascii="仿宋" w:hAnsi="仿宋" w:eastAsia="仿宋" w:cs="仿宋"/>
          <w:color w:val="auto"/>
          <w:sz w:val="24"/>
          <w:szCs w:val="24"/>
          <w:highlight w:val="none"/>
          <w:u w:val="single"/>
        </w:rPr>
        <w:t>签约合同价编制时的材料价格信息。</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%时，或材料单价跌幅以已标价工程量清单或预算书中载明材料单价为基础超过</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%时，其超过部分据实调整。</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%时，材料单价涨幅以已标价工程量清单或预算书中载明材料单价为基础超过</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%时，其超过部分据实调整。</w:t>
      </w:r>
    </w:p>
    <w:p>
      <w:pPr>
        <w:spacing w:line="360" w:lineRule="auto"/>
        <w:ind w:firstLine="64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%时，其超过部分据实调整。</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第3种方式：其他价格调整方式：</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bookmarkEnd w:id="399"/>
    <w:bookmarkEnd w:id="400"/>
    <w:bookmarkEnd w:id="401"/>
    <w:bookmarkEnd w:id="402"/>
    <w:bookmarkEnd w:id="403"/>
    <w:bookmarkEnd w:id="404"/>
    <w:p>
      <w:pPr>
        <w:pStyle w:val="6"/>
        <w:spacing w:before="120" w:after="120" w:line="360" w:lineRule="auto"/>
        <w:rPr>
          <w:rFonts w:hint="eastAsia" w:ascii="仿宋" w:hAnsi="仿宋" w:eastAsia="仿宋" w:cs="仿宋"/>
          <w:b w:val="0"/>
          <w:color w:val="auto"/>
          <w:sz w:val="24"/>
          <w:szCs w:val="24"/>
          <w:highlight w:val="none"/>
        </w:rPr>
      </w:pPr>
      <w:bookmarkStart w:id="511" w:name="_Toc296346706"/>
      <w:bookmarkStart w:id="512" w:name="_Toc296944544"/>
      <w:bookmarkStart w:id="513" w:name="_Toc296891245"/>
      <w:bookmarkStart w:id="514" w:name="_Toc297048391"/>
      <w:bookmarkStart w:id="515" w:name="_Toc292559915"/>
      <w:bookmarkStart w:id="516" w:name="_Toc296503205"/>
      <w:bookmarkStart w:id="517" w:name="_Toc297120505"/>
      <w:bookmarkStart w:id="518" w:name="_Toc296347204"/>
      <w:bookmarkStart w:id="519" w:name="_Toc296891033"/>
      <w:bookmarkStart w:id="520" w:name="_Toc292559410"/>
      <w:bookmarkStart w:id="521" w:name="_Toc351203644"/>
      <w:bookmarkStart w:id="522" w:name="_Toc304295579"/>
      <w:bookmarkStart w:id="523" w:name="_Toc297123552"/>
      <w:bookmarkStart w:id="524" w:name="_Toc297216211"/>
      <w:bookmarkStart w:id="525" w:name="_Toc303539159"/>
      <w:bookmarkStart w:id="526" w:name="_Toc312678040"/>
      <w:bookmarkStart w:id="527" w:name="_Toc300935002"/>
      <w:r>
        <w:rPr>
          <w:rFonts w:hint="eastAsia" w:ascii="仿宋" w:hAnsi="仿宋" w:eastAsia="仿宋" w:cs="仿宋"/>
          <w:b w:val="0"/>
          <w:color w:val="auto"/>
          <w:sz w:val="24"/>
          <w:szCs w:val="24"/>
          <w:highlight w:val="none"/>
        </w:rPr>
        <w:t xml:space="preserve">12. </w:t>
      </w:r>
      <w:bookmarkEnd w:id="511"/>
      <w:bookmarkEnd w:id="512"/>
      <w:bookmarkEnd w:id="513"/>
      <w:bookmarkEnd w:id="514"/>
      <w:bookmarkEnd w:id="515"/>
      <w:bookmarkEnd w:id="516"/>
      <w:bookmarkEnd w:id="517"/>
      <w:bookmarkEnd w:id="518"/>
      <w:bookmarkEnd w:id="519"/>
      <w:bookmarkEnd w:id="520"/>
      <w:r>
        <w:rPr>
          <w:rFonts w:hint="eastAsia" w:ascii="仿宋" w:hAnsi="仿宋" w:eastAsia="仿宋" w:cs="仿宋"/>
          <w:b w:val="0"/>
          <w:color w:val="auto"/>
          <w:sz w:val="24"/>
          <w:szCs w:val="24"/>
          <w:highlight w:val="none"/>
        </w:rPr>
        <w:t>合同价格、计量与支付</w:t>
      </w:r>
      <w:bookmarkEnd w:id="521"/>
    </w:p>
    <w:bookmarkEnd w:id="522"/>
    <w:bookmarkEnd w:id="523"/>
    <w:bookmarkEnd w:id="524"/>
    <w:bookmarkEnd w:id="525"/>
    <w:bookmarkEnd w:id="526"/>
    <w:bookmarkEnd w:id="527"/>
    <w:p>
      <w:pPr>
        <w:spacing w:after="120" w:line="360" w:lineRule="auto"/>
        <w:ind w:firstLine="480" w:firstLineChars="200"/>
        <w:rPr>
          <w:rFonts w:hint="eastAsia" w:ascii="仿宋" w:hAnsi="仿宋" w:eastAsia="仿宋" w:cs="仿宋"/>
          <w:color w:val="auto"/>
          <w:sz w:val="24"/>
          <w:szCs w:val="24"/>
          <w:highlight w:val="none"/>
        </w:rPr>
      </w:pPr>
      <w:bookmarkStart w:id="528" w:name="_Toc292559916"/>
      <w:bookmarkStart w:id="529" w:name="_Toc292559411"/>
      <w:bookmarkStart w:id="530" w:name="_Toc267251461"/>
      <w:bookmarkStart w:id="531" w:name="_Toc296503206"/>
      <w:bookmarkStart w:id="532" w:name="_Toc296891034"/>
      <w:bookmarkStart w:id="533" w:name="_Toc296891246"/>
      <w:bookmarkStart w:id="534" w:name="_Toc297048392"/>
      <w:bookmarkStart w:id="535" w:name="_Toc297120506"/>
      <w:bookmarkStart w:id="536" w:name="_Toc296347205"/>
      <w:bookmarkStart w:id="537" w:name="_Toc296944545"/>
      <w:bookmarkStart w:id="538" w:name="_Toc296346707"/>
      <w:bookmarkStart w:id="539" w:name="_Toc297123553"/>
      <w:bookmarkStart w:id="540" w:name="_Toc312678041"/>
      <w:bookmarkStart w:id="541" w:name="_Toc297216212"/>
      <w:bookmarkStart w:id="542" w:name="_Toc304295580"/>
      <w:bookmarkStart w:id="543" w:name="_Toc300935003"/>
      <w:bookmarkStart w:id="544" w:name="_Toc303539160"/>
      <w:r>
        <w:rPr>
          <w:rFonts w:hint="eastAsia" w:ascii="仿宋" w:hAnsi="仿宋" w:eastAsia="仿宋" w:cs="仿宋"/>
          <w:color w:val="auto"/>
          <w:sz w:val="24"/>
          <w:szCs w:val="24"/>
          <w:highlight w:val="none"/>
        </w:rPr>
        <w:t>12.1 合</w:t>
      </w:r>
      <w:bookmarkEnd w:id="528"/>
      <w:bookmarkEnd w:id="529"/>
      <w:bookmarkEnd w:id="530"/>
      <w:r>
        <w:rPr>
          <w:rFonts w:hint="eastAsia" w:ascii="仿宋" w:hAnsi="仿宋" w:eastAsia="仿宋" w:cs="仿宋"/>
          <w:color w:val="auto"/>
          <w:sz w:val="24"/>
          <w:szCs w:val="24"/>
          <w:highlight w:val="none"/>
        </w:rPr>
        <w:t>同价</w:t>
      </w:r>
      <w:bookmarkEnd w:id="531"/>
      <w:bookmarkEnd w:id="532"/>
      <w:bookmarkEnd w:id="533"/>
      <w:bookmarkEnd w:id="534"/>
      <w:bookmarkEnd w:id="535"/>
      <w:bookmarkEnd w:id="536"/>
      <w:bookmarkEnd w:id="537"/>
      <w:bookmarkEnd w:id="538"/>
      <w:r>
        <w:rPr>
          <w:rFonts w:hint="eastAsia" w:ascii="仿宋" w:hAnsi="仿宋" w:eastAsia="仿宋" w:cs="仿宋"/>
          <w:color w:val="auto"/>
          <w:sz w:val="24"/>
          <w:szCs w:val="24"/>
          <w:highlight w:val="none"/>
        </w:rPr>
        <w:t>格形式</w:t>
      </w:r>
    </w:p>
    <w:bookmarkEnd w:id="539"/>
    <w:bookmarkEnd w:id="540"/>
    <w:bookmarkEnd w:id="541"/>
    <w:bookmarkEnd w:id="542"/>
    <w:bookmarkEnd w:id="543"/>
    <w:bookmarkEnd w:id="544"/>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1、单价合同。</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综合单价包含的风险范围：</w:t>
      </w:r>
      <w:r>
        <w:rPr>
          <w:rFonts w:hint="eastAsia" w:ascii="仿宋" w:hAnsi="仿宋" w:eastAsia="仿宋" w:cs="仿宋"/>
          <w:color w:val="auto"/>
          <w:sz w:val="24"/>
          <w:szCs w:val="24"/>
          <w:highlight w:val="none"/>
          <w:u w:val="single"/>
        </w:rPr>
        <w:t>（1）因天气、地形、地质等自然条件的变化，采取的临时措施，发包人签字认可的除外；（2）因承包人原因延误工期所采取的赶工措施；（3）施工现场的施工人员必须进行安全文明施工教育，配备必要的劳动保护用具，保证工程的施工安全和人身安全；（4）自购材料的卸车及保管费、交叉作业费、试验费、材料和设备的二次搬运费</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风险费用的计算方法：</w:t>
      </w:r>
      <w:r>
        <w:rPr>
          <w:rFonts w:hint="eastAsia" w:ascii="仿宋" w:hAnsi="仿宋" w:eastAsia="仿宋" w:cs="仿宋"/>
          <w:color w:val="auto"/>
          <w:sz w:val="24"/>
          <w:szCs w:val="24"/>
          <w:highlight w:val="none"/>
          <w:u w:val="single"/>
        </w:rPr>
        <w:t>执行通用和专用条款</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风险范围以外合同价格的调整方法：</w:t>
      </w:r>
      <w:r>
        <w:rPr>
          <w:rFonts w:hint="eastAsia" w:ascii="仿宋" w:hAnsi="仿宋" w:eastAsia="仿宋" w:cs="仿宋"/>
          <w:color w:val="auto"/>
          <w:sz w:val="24"/>
          <w:szCs w:val="24"/>
          <w:highlight w:val="none"/>
          <w:u w:val="single"/>
        </w:rPr>
        <w:t>（1）新增项目综合单价的确定：签订合同后，因分部分项工程量清单漏项、非承包人原因引发的工程变更、经济签证、新增项目，造成增加新的工程量清单项目，其对应的综合单价按下列方法确定：执行GB50500-2013《建设工程工程量清单计价规范》中合同价款调整第9.3条、9.4条、9.5条、9.6条；具体调整方式参见《2013建设工程计价计量规范辅导》。所有费率按原</w:t>
      </w:r>
      <w:r>
        <w:rPr>
          <w:rFonts w:hint="eastAsia" w:ascii="仿宋" w:hAnsi="仿宋" w:eastAsia="仿宋" w:cs="仿宋"/>
          <w:color w:val="auto"/>
          <w:sz w:val="24"/>
          <w:szCs w:val="24"/>
          <w:highlight w:val="none"/>
          <w:u w:val="single"/>
          <w:lang w:val="en-US" w:eastAsia="zh-CN"/>
        </w:rPr>
        <w:t>响应文件</w:t>
      </w:r>
      <w:r>
        <w:rPr>
          <w:rFonts w:hint="eastAsia" w:ascii="仿宋" w:hAnsi="仿宋" w:eastAsia="仿宋" w:cs="仿宋"/>
          <w:color w:val="auto"/>
          <w:sz w:val="24"/>
          <w:szCs w:val="24"/>
          <w:highlight w:val="none"/>
          <w:u w:val="single"/>
        </w:rPr>
        <w:t>费率执行，由承包人提出适当的综合单价，经发包人会同监理单位及跟踪审计单位审核后，按发包人维修工程管理制度和程序审批确定。（2）合同范围内工程量增减综合单价的确定：签订合同后，如清单项目工程量发生变化，执行GB50500-2013《建设工程工程量清单计价规范》中合同价款调整第9.6条；具体调整方式参见《2013建设工程计价计量规范辅导》。（3）材料变更价格确定：①承包人材料价格明细表已有的材料，根据承包人材料价格明细表所列材料单价计算；②承包人材料价格明细表中没有的材料，按照新疆维吾尔自治区造价管理总站施工期间公布的材料单价计算；③新疆维吾尔自治区工程造价管理总站没有公布的材料，由承包人提出适当的价格，发包人会同监理单位及跟踪审计单位审定后按采购人维修工程管理制度和程序审批确定；④对有暂估价的材料或设备的子项的单价，结算时按发包人认可的供货价或合同价进行价差调整</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以上调整仅限主材价格进行的调整，组成综合单价的其他一切费用不得调整。</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2、总价合同。</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总价包含的风险范围：</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风险费用的计算方法：</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风险范围以外合同价格的调整方法：</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3、其他价格方式：</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bookmarkStart w:id="545" w:name="_Toc303539161"/>
      <w:bookmarkStart w:id="546" w:name="_Toc297120507"/>
      <w:bookmarkStart w:id="547" w:name="_Toc300935004"/>
      <w:bookmarkStart w:id="548" w:name="_Toc292559412"/>
      <w:bookmarkStart w:id="549" w:name="_Toc297123554"/>
      <w:bookmarkStart w:id="550" w:name="_Toc312678042"/>
      <w:bookmarkStart w:id="551" w:name="_Toc296503207"/>
      <w:bookmarkStart w:id="552" w:name="_Toc296346708"/>
      <w:bookmarkStart w:id="553" w:name="_Toc296944546"/>
      <w:bookmarkStart w:id="554" w:name="_Toc297048393"/>
      <w:bookmarkStart w:id="555" w:name="_Toc304295581"/>
      <w:bookmarkStart w:id="556" w:name="_Toc292559917"/>
      <w:bookmarkStart w:id="557" w:name="_Toc296891247"/>
      <w:bookmarkStart w:id="558" w:name="_Toc296891035"/>
      <w:bookmarkStart w:id="559" w:name="_Toc296347206"/>
      <w:bookmarkStart w:id="560" w:name="_Toc297216213"/>
      <w:r>
        <w:rPr>
          <w:rFonts w:hint="eastAsia" w:ascii="仿宋" w:hAnsi="仿宋" w:eastAsia="仿宋" w:cs="仿宋"/>
          <w:color w:val="auto"/>
          <w:sz w:val="24"/>
          <w:szCs w:val="24"/>
          <w:highlight w:val="none"/>
        </w:rPr>
        <w:t>12.2 预付款</w:t>
      </w:r>
    </w:p>
    <w:p>
      <w:pPr>
        <w:spacing w:line="6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12.2.1 预付款的支付</w:t>
      </w:r>
    </w:p>
    <w:p>
      <w:pPr>
        <w:spacing w:line="6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预付款支付比例或金额：</w:t>
      </w:r>
      <w:r>
        <w:rPr>
          <w:rFonts w:hint="eastAsia" w:ascii="仿宋" w:hAnsi="仿宋" w:eastAsia="仿宋" w:cs="仿宋"/>
          <w:color w:val="auto"/>
          <w:sz w:val="24"/>
          <w:szCs w:val="24"/>
          <w:highlight w:val="none"/>
          <w:u w:val="single"/>
        </w:rPr>
        <w:t>预付款的额度为合同价的30%。</w:t>
      </w:r>
    </w:p>
    <w:p>
      <w:pPr>
        <w:spacing w:line="6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预付款支付期限：</w:t>
      </w:r>
      <w:r>
        <w:rPr>
          <w:rFonts w:hint="eastAsia" w:ascii="仿宋" w:hAnsi="仿宋" w:eastAsia="仿宋" w:cs="仿宋"/>
          <w:color w:val="auto"/>
          <w:sz w:val="24"/>
          <w:szCs w:val="24"/>
          <w:highlight w:val="none"/>
          <w:u w:val="single"/>
        </w:rPr>
        <w:t>合同签订后支付。</w:t>
      </w:r>
    </w:p>
    <w:p>
      <w:pPr>
        <w:spacing w:line="6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工程施工过程中，在预付款暂不到位的情况下，承包人也应按计划组织施工，不得因此停工并延误竣工日期。发包人不承担逾期支利息及其他衍生费用。</w:t>
      </w:r>
    </w:p>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 计量</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12.3.1 计量原则</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工程量计算规则：</w:t>
      </w:r>
      <w:r>
        <w:rPr>
          <w:rFonts w:hint="eastAsia" w:ascii="仿宋" w:hAnsi="仿宋" w:eastAsia="仿宋" w:cs="仿宋"/>
          <w:color w:val="auto"/>
          <w:kern w:val="0"/>
          <w:sz w:val="24"/>
          <w:szCs w:val="24"/>
          <w:highlight w:val="none"/>
          <w:u w:val="single"/>
        </w:rPr>
        <w:t>工程量以竣工图、设计变更、经济签证、洽商记录为依据，实际验收工程量为准（工程量最终确认由发包方、承包方、现场监理、跟踪审计等相关单位进行现场测量并共同认可的实际完成工程量为准，以审计确认的工程量为最终结算依据）</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12.3.2 计量周期</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关于计量周期的约定：</w:t>
      </w:r>
      <w:r>
        <w:rPr>
          <w:rFonts w:hint="eastAsia" w:ascii="仿宋" w:hAnsi="仿宋" w:eastAsia="仿宋" w:cs="仿宋"/>
          <w:color w:val="auto"/>
          <w:kern w:val="0"/>
          <w:sz w:val="24"/>
          <w:szCs w:val="24"/>
          <w:highlight w:val="none"/>
          <w:u w:val="single"/>
        </w:rPr>
        <w:t>按月计量</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12.3.3 单价合同的计量</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关于单价合同计量的约定：</w:t>
      </w:r>
      <w:r>
        <w:rPr>
          <w:rFonts w:hint="eastAsia" w:ascii="仿宋" w:hAnsi="仿宋" w:eastAsia="仿宋" w:cs="仿宋"/>
          <w:color w:val="auto"/>
          <w:kern w:val="0"/>
          <w:sz w:val="24"/>
          <w:szCs w:val="24"/>
          <w:highlight w:val="none"/>
          <w:u w:val="single"/>
        </w:rPr>
        <w:t>执行通用合同条款</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 工程进度款支付</w:t>
      </w:r>
    </w:p>
    <w:p>
      <w:pPr>
        <w:spacing w:line="360" w:lineRule="auto"/>
        <w:ind w:firstLine="480" w:firstLineChars="200"/>
        <w:jc w:val="left"/>
        <w:rPr>
          <w:rFonts w:hint="eastAsia" w:ascii="仿宋" w:hAnsi="仿宋" w:eastAsia="仿宋" w:cs="仿宋"/>
          <w:color w:val="auto"/>
          <w:sz w:val="24"/>
          <w:szCs w:val="24"/>
          <w:highlight w:val="none"/>
        </w:rPr>
      </w:pPr>
      <w:bookmarkStart w:id="561" w:name="_Toc296944550"/>
      <w:bookmarkStart w:id="562" w:name="_Toc296503211"/>
      <w:bookmarkStart w:id="563" w:name="_Toc292559921"/>
      <w:bookmarkStart w:id="564" w:name="_Toc296891251"/>
      <w:bookmarkStart w:id="565" w:name="_Toc296346712"/>
      <w:bookmarkStart w:id="566" w:name="_Toc296347210"/>
      <w:bookmarkStart w:id="567" w:name="_Toc300935006"/>
      <w:bookmarkStart w:id="568" w:name="_Toc297048397"/>
      <w:bookmarkStart w:id="569" w:name="_Toc297120511"/>
      <w:bookmarkStart w:id="570" w:name="_Toc296891039"/>
      <w:bookmarkStart w:id="571" w:name="_Toc292559416"/>
      <w:bookmarkStart w:id="572" w:name="_Toc303539163"/>
      <w:bookmarkStart w:id="573" w:name="_Toc297216215"/>
      <w:bookmarkStart w:id="574" w:name="_Toc297123556"/>
      <w:r>
        <w:rPr>
          <w:rFonts w:hint="eastAsia" w:ascii="仿宋" w:hAnsi="仿宋" w:eastAsia="仿宋" w:cs="仿宋"/>
          <w:color w:val="auto"/>
          <w:sz w:val="24"/>
          <w:szCs w:val="24"/>
          <w:highlight w:val="none"/>
        </w:rPr>
        <w:t>12.4.1 付款周期</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关于付款周期的约定：</w:t>
      </w:r>
      <w:r>
        <w:rPr>
          <w:rFonts w:hint="eastAsia" w:ascii="仿宋" w:hAnsi="仿宋" w:eastAsia="仿宋" w:cs="仿宋"/>
          <w:color w:val="auto"/>
          <w:kern w:val="0"/>
          <w:sz w:val="24"/>
          <w:szCs w:val="24"/>
          <w:highlight w:val="none"/>
          <w:u w:val="single"/>
        </w:rPr>
        <w:t>按工程形象进度支付工程款</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12.4.2 进度付款申请单的编制</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关于进度付款申请单编制的约定：</w:t>
      </w:r>
      <w:r>
        <w:rPr>
          <w:rFonts w:hint="eastAsia" w:ascii="仿宋" w:hAnsi="仿宋" w:eastAsia="仿宋" w:cs="仿宋"/>
          <w:color w:val="auto"/>
          <w:sz w:val="24"/>
          <w:szCs w:val="24"/>
          <w:highlight w:val="none"/>
          <w:u w:val="single"/>
        </w:rPr>
        <w:t>双方签订合同后支付预付款30%，工程竣工验收合格后支付至合同价的</w:t>
      </w:r>
      <w:r>
        <w:rPr>
          <w:rFonts w:hint="eastAsia" w:ascii="仿宋" w:hAnsi="仿宋" w:eastAsia="仿宋" w:cs="仿宋"/>
          <w:color w:val="auto"/>
          <w:sz w:val="24"/>
          <w:szCs w:val="24"/>
          <w:highlight w:val="none"/>
          <w:u w:val="single"/>
          <w:lang w:val="en-US" w:eastAsia="zh-CN"/>
        </w:rPr>
        <w:t>8</w:t>
      </w:r>
      <w:r>
        <w:rPr>
          <w:rFonts w:hint="eastAsia" w:ascii="仿宋" w:hAnsi="仿宋" w:eastAsia="仿宋" w:cs="仿宋"/>
          <w:color w:val="auto"/>
          <w:sz w:val="24"/>
          <w:szCs w:val="24"/>
          <w:highlight w:val="none"/>
          <w:u w:val="single"/>
        </w:rPr>
        <w:t>0%；工程经结算审计后，以审计结果为准，付款至审计价的100%</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本合同约定价款为含税价，承包人应在发包人付款前提供符合发包人财务做账需求的足额工程款增值税专用发票，否则发包人有权拒付款项且不承担违约责任，并写清贵单位开发票相关信息。</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如质保期内工程存在质量问题，进行维修的，相应部分质保期顺延；若质保期内承包人不能按发包人要求及时进行维修，发包人有权自行处理，所产生的一切费用由承包人承担。</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r>
        <w:rPr>
          <w:rFonts w:hint="eastAsia" w:ascii="仿宋" w:hAnsi="仿宋" w:eastAsia="仿宋" w:cs="仿宋"/>
          <w:color w:val="auto"/>
          <w:sz w:val="24"/>
          <w:szCs w:val="24"/>
          <w:highlight w:val="none"/>
        </w:rPr>
        <w:t>2.4.3 进度付款申请单的提交</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（1）单价合同进度付款申请单提交的约定：</w:t>
      </w:r>
      <w:r>
        <w:rPr>
          <w:rFonts w:hint="eastAsia" w:ascii="仿宋" w:hAnsi="仿宋" w:eastAsia="仿宋" w:cs="仿宋"/>
          <w:color w:val="auto"/>
          <w:kern w:val="0"/>
          <w:sz w:val="24"/>
          <w:szCs w:val="24"/>
          <w:highlight w:val="none"/>
          <w:u w:val="single"/>
        </w:rPr>
        <w:t>进度付款申请单一式伍份</w:t>
      </w:r>
      <w:r>
        <w:rPr>
          <w:rFonts w:hint="eastAsia" w:ascii="仿宋" w:hAnsi="仿宋" w:eastAsia="仿宋" w:cs="仿宋"/>
          <w:color w:val="auto"/>
          <w:sz w:val="24"/>
          <w:szCs w:val="24"/>
          <w:highlight w:val="none"/>
        </w:rPr>
        <w:t>。</w:t>
      </w:r>
    </w:p>
    <w:bookmarkEnd w:id="405"/>
    <w:p>
      <w:pPr>
        <w:pStyle w:val="6"/>
        <w:spacing w:before="120" w:after="120" w:line="360" w:lineRule="auto"/>
        <w:rPr>
          <w:rFonts w:hint="eastAsia" w:ascii="仿宋" w:hAnsi="仿宋" w:eastAsia="仿宋" w:cs="仿宋"/>
          <w:b w:val="0"/>
          <w:color w:val="auto"/>
          <w:sz w:val="24"/>
          <w:szCs w:val="24"/>
          <w:highlight w:val="none"/>
        </w:rPr>
      </w:pPr>
      <w:bookmarkStart w:id="575" w:name="_Toc351203645"/>
      <w:bookmarkStart w:id="576" w:name="_Toc297048405"/>
      <w:bookmarkStart w:id="577" w:name="_Toc296891047"/>
      <w:bookmarkStart w:id="578" w:name="_Toc300935015"/>
      <w:bookmarkStart w:id="579" w:name="_Toc297123564"/>
      <w:bookmarkStart w:id="580" w:name="_Toc296347218"/>
      <w:bookmarkStart w:id="581" w:name="_Toc292559929"/>
      <w:bookmarkStart w:id="582" w:name="_Toc296944558"/>
      <w:bookmarkStart w:id="583" w:name="_Toc297216223"/>
      <w:bookmarkStart w:id="584" w:name="_Toc303539172"/>
      <w:bookmarkStart w:id="585" w:name="_Toc296503219"/>
      <w:bookmarkStart w:id="586" w:name="_Toc296891259"/>
      <w:bookmarkStart w:id="587" w:name="_Toc297120519"/>
      <w:bookmarkStart w:id="588" w:name="_Toc312678053"/>
      <w:bookmarkStart w:id="589" w:name="_Toc296346720"/>
      <w:bookmarkStart w:id="590" w:name="_Toc304295593"/>
      <w:bookmarkStart w:id="591" w:name="_Toc292559424"/>
      <w:r>
        <w:rPr>
          <w:rFonts w:hint="eastAsia" w:ascii="仿宋" w:hAnsi="仿宋" w:eastAsia="仿宋" w:cs="仿宋"/>
          <w:b w:val="0"/>
          <w:color w:val="auto"/>
          <w:sz w:val="24"/>
          <w:szCs w:val="24"/>
          <w:highlight w:val="none"/>
        </w:rPr>
        <w:t>13. 验收和工程试车</w:t>
      </w:r>
      <w:bookmarkEnd w:id="575"/>
    </w:p>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分部分项工程验收</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13.1.1监理人不能按时进行验收时，应提前</w:t>
      </w:r>
      <w:r>
        <w:rPr>
          <w:rFonts w:hint="eastAsia" w:ascii="仿宋" w:hAnsi="仿宋" w:eastAsia="仿宋" w:cs="仿宋"/>
          <w:color w:val="auto"/>
          <w:sz w:val="24"/>
          <w:szCs w:val="24"/>
          <w:highlight w:val="none"/>
          <w:u w:val="single"/>
        </w:rPr>
        <w:t xml:space="preserve">  24  </w:t>
      </w:r>
      <w:r>
        <w:rPr>
          <w:rFonts w:hint="eastAsia" w:ascii="仿宋" w:hAnsi="仿宋" w:eastAsia="仿宋" w:cs="仿宋"/>
          <w:color w:val="auto"/>
          <w:sz w:val="24"/>
          <w:szCs w:val="24"/>
          <w:highlight w:val="none"/>
        </w:rPr>
        <w:t>小时提交书面延期要求。</w:t>
      </w:r>
    </w:p>
    <w:p>
      <w:pPr>
        <w:spacing w:line="360" w:lineRule="auto"/>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关于延期最长不得超过：</w:t>
      </w:r>
      <w:r>
        <w:rPr>
          <w:rFonts w:hint="eastAsia" w:ascii="仿宋" w:hAnsi="仿宋" w:eastAsia="仿宋" w:cs="仿宋"/>
          <w:color w:val="auto"/>
          <w:sz w:val="24"/>
          <w:szCs w:val="24"/>
          <w:highlight w:val="none"/>
          <w:u w:val="single"/>
        </w:rPr>
        <w:t xml:space="preserve">   48   </w:t>
      </w:r>
      <w:r>
        <w:rPr>
          <w:rFonts w:hint="eastAsia" w:ascii="仿宋" w:hAnsi="仿宋" w:eastAsia="仿宋" w:cs="仿宋"/>
          <w:color w:val="auto"/>
          <w:sz w:val="24"/>
          <w:szCs w:val="24"/>
          <w:highlight w:val="none"/>
        </w:rPr>
        <w:t>小时。</w:t>
      </w:r>
    </w:p>
    <w:p>
      <w:pPr>
        <w:spacing w:after="120" w:line="360" w:lineRule="auto"/>
        <w:ind w:firstLine="480" w:firstLineChars="200"/>
        <w:rPr>
          <w:rFonts w:hint="eastAsia" w:ascii="仿宋" w:hAnsi="仿宋" w:eastAsia="仿宋" w:cs="仿宋"/>
          <w:color w:val="auto"/>
          <w:sz w:val="24"/>
          <w:szCs w:val="24"/>
          <w:highlight w:val="none"/>
        </w:rPr>
      </w:pPr>
      <w:bookmarkStart w:id="592" w:name="_Toc296347222"/>
      <w:bookmarkStart w:id="593" w:name="_Toc300935016"/>
      <w:bookmarkStart w:id="594" w:name="_Toc292559428"/>
      <w:bookmarkStart w:id="595" w:name="_Toc296891051"/>
      <w:bookmarkStart w:id="596" w:name="_Toc297120523"/>
      <w:bookmarkStart w:id="597" w:name="_Toc304295596"/>
      <w:bookmarkStart w:id="598" w:name="_Toc296944562"/>
      <w:bookmarkStart w:id="599" w:name="_Toc312678056"/>
      <w:bookmarkStart w:id="600" w:name="_Toc292559933"/>
      <w:bookmarkStart w:id="601" w:name="_Toc296346724"/>
      <w:bookmarkStart w:id="602" w:name="_Toc296503223"/>
      <w:bookmarkStart w:id="603" w:name="_Toc297048409"/>
      <w:bookmarkStart w:id="604" w:name="_Toc296891263"/>
      <w:bookmarkStart w:id="605" w:name="_Toc303539173"/>
      <w:bookmarkStart w:id="606" w:name="_Toc297123565"/>
      <w:bookmarkStart w:id="607" w:name="_Toc297216224"/>
      <w:bookmarkStart w:id="608" w:name="_Toc267251470"/>
      <w:bookmarkStart w:id="609" w:name="_Toc267251473"/>
      <w:bookmarkStart w:id="610" w:name="_Toc267251476"/>
      <w:bookmarkStart w:id="611" w:name="_Toc267251475"/>
      <w:bookmarkStart w:id="612" w:name="_Toc267251474"/>
      <w:bookmarkStart w:id="613" w:name="_Toc267251472"/>
      <w:bookmarkStart w:id="614" w:name="_Toc267251471"/>
      <w:r>
        <w:rPr>
          <w:rFonts w:hint="eastAsia" w:ascii="仿宋" w:hAnsi="仿宋" w:eastAsia="仿宋" w:cs="仿宋"/>
          <w:color w:val="auto"/>
          <w:sz w:val="24"/>
          <w:szCs w:val="24"/>
          <w:highlight w:val="none"/>
        </w:rPr>
        <w:t>13.2 竣工验收</w:t>
      </w:r>
    </w:p>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Pr>
        <w:spacing w:line="360" w:lineRule="auto"/>
        <w:ind w:firstLine="480" w:firstLineChars="200"/>
        <w:jc w:val="left"/>
        <w:rPr>
          <w:rFonts w:hint="eastAsia" w:ascii="仿宋" w:hAnsi="仿宋" w:eastAsia="仿宋" w:cs="仿宋"/>
          <w:color w:val="auto"/>
          <w:sz w:val="24"/>
          <w:szCs w:val="24"/>
          <w:highlight w:val="none"/>
        </w:rPr>
      </w:pPr>
      <w:bookmarkStart w:id="615" w:name="_Toc280868704"/>
      <w:bookmarkStart w:id="616" w:name="_Toc280868705"/>
      <w:bookmarkStart w:id="617" w:name="_Toc280868706"/>
      <w:bookmarkStart w:id="618" w:name="_Toc280868707"/>
      <w:bookmarkStart w:id="619" w:name="_Toc280868708"/>
      <w:bookmarkStart w:id="620" w:name="_Toc280868709"/>
      <w:r>
        <w:rPr>
          <w:rFonts w:hint="eastAsia" w:ascii="仿宋" w:hAnsi="仿宋" w:eastAsia="仿宋" w:cs="仿宋"/>
          <w:color w:val="auto"/>
          <w:sz w:val="24"/>
          <w:szCs w:val="24"/>
          <w:highlight w:val="none"/>
        </w:rPr>
        <w:t>13.2.1竣工验收程序</w:t>
      </w:r>
    </w:p>
    <w:bookmarkEnd w:id="615"/>
    <w:p>
      <w:pPr>
        <w:spacing w:line="5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关于竣工验收程序的约定：</w:t>
      </w:r>
      <w:r>
        <w:rPr>
          <w:rFonts w:hint="eastAsia" w:ascii="仿宋" w:hAnsi="仿宋" w:eastAsia="仿宋" w:cs="仿宋"/>
          <w:color w:val="auto"/>
          <w:kern w:val="0"/>
          <w:sz w:val="24"/>
          <w:szCs w:val="24"/>
          <w:highlight w:val="none"/>
          <w:u w:val="single"/>
        </w:rPr>
        <w:t>承包人在合同约定的时间内报送竣工验收申请报告，经监理及发包人审批后，由发包人组织相关单位进行竣工验收。</w:t>
      </w:r>
    </w:p>
    <w:bookmarkEnd w:id="616"/>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13.2.2移交、接收全部与部分工程</w:t>
      </w:r>
    </w:p>
    <w:bookmarkEnd w:id="617"/>
    <w:bookmarkEnd w:id="618"/>
    <w:p>
      <w:pPr>
        <w:spacing w:line="5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承包人向发包人移交工程的期限：</w:t>
      </w:r>
      <w:r>
        <w:rPr>
          <w:rFonts w:hint="eastAsia" w:ascii="仿宋" w:hAnsi="仿宋" w:eastAsia="仿宋" w:cs="仿宋"/>
          <w:color w:val="auto"/>
          <w:sz w:val="24"/>
          <w:szCs w:val="24"/>
          <w:highlight w:val="none"/>
          <w:u w:val="single"/>
        </w:rPr>
        <w:t xml:space="preserve">合同当事人应当在颁发工程接收证书后7天内完成工程的移交 </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发包人未按本合同约定接收全部或部分工程的，违约金的计算方法为：</w:t>
      </w:r>
      <w:r>
        <w:rPr>
          <w:rFonts w:hint="eastAsia" w:ascii="仿宋" w:hAnsi="仿宋" w:eastAsia="仿宋" w:cs="仿宋"/>
          <w:color w:val="auto"/>
          <w:sz w:val="24"/>
          <w:szCs w:val="24"/>
          <w:highlight w:val="none"/>
          <w:u w:val="single"/>
        </w:rPr>
        <w:t>无</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承包人未按时移交工程的，违约金的计算方法为：</w:t>
      </w:r>
      <w:r>
        <w:rPr>
          <w:rFonts w:hint="eastAsia" w:ascii="仿宋" w:hAnsi="仿宋" w:eastAsia="仿宋" w:cs="仿宋"/>
          <w:color w:val="auto"/>
          <w:sz w:val="24"/>
          <w:szCs w:val="24"/>
          <w:highlight w:val="none"/>
          <w:u w:val="single"/>
        </w:rPr>
        <w:t xml:space="preserve">  每延期一天，赔偿合同总额千分之一的违约金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如因承包人违约导致发包人解除合同的，承包人应在收到发包人解除合同通知书之日起3日内将工程及工程相关资料全部移交给发包人。</w:t>
      </w:r>
      <w:r>
        <w:rPr>
          <w:rFonts w:hint="eastAsia" w:ascii="仿宋" w:hAnsi="仿宋" w:eastAsia="仿宋" w:cs="仿宋"/>
          <w:color w:val="auto"/>
          <w:sz w:val="24"/>
          <w:szCs w:val="24"/>
          <w:highlight w:val="none"/>
          <w:u w:val="single"/>
        </w:rPr>
        <w:t>每延期一日，承担合同总额千分之一的违约金</w:t>
      </w:r>
      <w:r>
        <w:rPr>
          <w:rFonts w:hint="eastAsia" w:ascii="仿宋" w:hAnsi="仿宋" w:eastAsia="仿宋" w:cs="仿宋"/>
          <w:color w:val="auto"/>
          <w:sz w:val="24"/>
          <w:szCs w:val="24"/>
          <w:highlight w:val="none"/>
        </w:rPr>
        <w:t>。</w:t>
      </w:r>
    </w:p>
    <w:bookmarkEnd w:id="619"/>
    <w:p>
      <w:pPr>
        <w:spacing w:after="120" w:line="360" w:lineRule="auto"/>
        <w:ind w:firstLine="480" w:firstLineChars="200"/>
        <w:outlineLvl w:val="0"/>
        <w:rPr>
          <w:rFonts w:hint="eastAsia" w:ascii="仿宋" w:hAnsi="仿宋" w:eastAsia="仿宋" w:cs="仿宋"/>
          <w:color w:val="auto"/>
          <w:sz w:val="24"/>
          <w:szCs w:val="24"/>
          <w:highlight w:val="none"/>
        </w:rPr>
      </w:pPr>
      <w:bookmarkStart w:id="621" w:name="_Toc24383"/>
      <w:r>
        <w:rPr>
          <w:rFonts w:hint="eastAsia" w:ascii="仿宋" w:hAnsi="仿宋" w:eastAsia="仿宋" w:cs="仿宋"/>
          <w:color w:val="auto"/>
          <w:sz w:val="24"/>
          <w:szCs w:val="24"/>
          <w:highlight w:val="none"/>
        </w:rPr>
        <w:t>13.3 竣工退场</w:t>
      </w:r>
      <w:bookmarkEnd w:id="621"/>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13.3.1 竣工退场</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承包人完成竣工退场的期限：</w:t>
      </w:r>
      <w:r>
        <w:rPr>
          <w:rFonts w:hint="eastAsia" w:ascii="仿宋" w:hAnsi="仿宋" w:eastAsia="仿宋" w:cs="仿宋"/>
          <w:color w:val="auto"/>
          <w:sz w:val="24"/>
          <w:szCs w:val="24"/>
          <w:highlight w:val="none"/>
          <w:u w:val="single"/>
        </w:rPr>
        <w:t>工程竣工验收合格后七日内，或发包人解除合同之日起三日内</w:t>
      </w:r>
      <w:r>
        <w:rPr>
          <w:rFonts w:hint="eastAsia" w:ascii="仿宋" w:hAnsi="仿宋" w:eastAsia="仿宋" w:cs="仿宋"/>
          <w:color w:val="auto"/>
          <w:kern w:val="0"/>
          <w:sz w:val="24"/>
          <w:szCs w:val="24"/>
          <w:highlight w:val="none"/>
        </w:rPr>
        <w:t>。</w:t>
      </w:r>
    </w:p>
    <w:p>
      <w:pPr>
        <w:pStyle w:val="6"/>
        <w:spacing w:before="120" w:after="120" w:line="360" w:lineRule="auto"/>
        <w:rPr>
          <w:rFonts w:hint="eastAsia" w:ascii="仿宋" w:hAnsi="仿宋" w:eastAsia="仿宋" w:cs="仿宋"/>
          <w:b w:val="0"/>
          <w:color w:val="auto"/>
          <w:sz w:val="24"/>
          <w:szCs w:val="24"/>
          <w:highlight w:val="none"/>
        </w:rPr>
      </w:pPr>
      <w:bookmarkStart w:id="622" w:name="_Toc351203646"/>
      <w:r>
        <w:rPr>
          <w:rFonts w:hint="eastAsia" w:ascii="仿宋" w:hAnsi="仿宋" w:eastAsia="仿宋" w:cs="仿宋"/>
          <w:b w:val="0"/>
          <w:color w:val="auto"/>
          <w:sz w:val="24"/>
          <w:szCs w:val="24"/>
          <w:highlight w:val="none"/>
        </w:rPr>
        <w:t>14. 竣工结算</w:t>
      </w:r>
      <w:bookmarkEnd w:id="622"/>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竣工结算申请</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承包人提交竣工付款申请单的期限：</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竣工付款申请单应包括的内容：</w:t>
      </w:r>
      <w:r>
        <w:rPr>
          <w:rFonts w:hint="eastAsia" w:ascii="仿宋" w:hAnsi="仿宋" w:eastAsia="仿宋" w:cs="仿宋"/>
          <w:color w:val="auto"/>
          <w:sz w:val="24"/>
          <w:szCs w:val="24"/>
          <w:highlight w:val="none"/>
          <w:u w:val="single"/>
        </w:rPr>
        <w:t xml:space="preserve"> 按通用合同条款14.1执行 </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623" w:name="_Toc13782"/>
      <w:r>
        <w:rPr>
          <w:rFonts w:hint="eastAsia" w:ascii="仿宋" w:hAnsi="仿宋" w:eastAsia="仿宋" w:cs="仿宋"/>
          <w:color w:val="auto"/>
          <w:sz w:val="24"/>
          <w:szCs w:val="24"/>
          <w:highlight w:val="none"/>
        </w:rPr>
        <w:t>14.2 竣工结算审核</w:t>
      </w:r>
      <w:bookmarkEnd w:id="623"/>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发包人审批竣工付款申请单的期限：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发包人完成竣工付款的期限：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关于竣工付款证书异议部分复核的方式和程序 </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 最终结清</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14.3.1 最终结清申请单</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承包人提交最终结清申请单的份数：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捌份</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承包人提交最终结算申请单的期限：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30天</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14.3.2 最终结清证书和支付</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（1）发包人完成最终结清申请单的审批并颁发最终结清证书的期限：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bookmarkEnd w:id="608"/>
    <w:bookmarkEnd w:id="609"/>
    <w:bookmarkEnd w:id="610"/>
    <w:bookmarkEnd w:id="611"/>
    <w:bookmarkEnd w:id="612"/>
    <w:bookmarkEnd w:id="613"/>
    <w:bookmarkEnd w:id="614"/>
    <w:bookmarkEnd w:id="620"/>
    <w:p>
      <w:pPr>
        <w:pStyle w:val="6"/>
        <w:spacing w:before="120" w:after="120" w:line="360" w:lineRule="auto"/>
        <w:rPr>
          <w:rFonts w:hint="eastAsia" w:ascii="仿宋" w:hAnsi="仿宋" w:eastAsia="仿宋" w:cs="仿宋"/>
          <w:b w:val="0"/>
          <w:color w:val="auto"/>
          <w:sz w:val="24"/>
          <w:szCs w:val="24"/>
          <w:highlight w:val="none"/>
        </w:rPr>
      </w:pPr>
      <w:bookmarkStart w:id="624" w:name="_Toc351203647"/>
      <w:bookmarkStart w:id="625" w:name="_Toc267251483"/>
      <w:bookmarkStart w:id="626" w:name="_Toc267251482"/>
      <w:bookmarkStart w:id="627" w:name="_Toc267251484"/>
      <w:bookmarkStart w:id="628" w:name="_Toc267251485"/>
      <w:bookmarkStart w:id="629" w:name="_Toc267251489"/>
      <w:bookmarkStart w:id="630" w:name="_Toc267251488"/>
      <w:bookmarkStart w:id="631" w:name="_Toc267251490"/>
      <w:bookmarkStart w:id="632" w:name="_Toc267251486"/>
      <w:bookmarkStart w:id="633" w:name="_Toc267251501"/>
      <w:bookmarkStart w:id="634" w:name="_Toc267251502"/>
      <w:bookmarkStart w:id="635" w:name="_Toc267251493"/>
      <w:bookmarkStart w:id="636" w:name="_Toc267251497"/>
      <w:bookmarkStart w:id="637" w:name="_Toc267251491"/>
      <w:bookmarkStart w:id="638" w:name="_Toc267251492"/>
      <w:bookmarkStart w:id="639" w:name="_Toc267251496"/>
      <w:bookmarkStart w:id="640" w:name="_Toc267251495"/>
      <w:bookmarkStart w:id="641" w:name="_Toc267251503"/>
      <w:bookmarkStart w:id="642" w:name="_Toc267251499"/>
      <w:bookmarkStart w:id="643" w:name="_Toc267251494"/>
      <w:bookmarkStart w:id="644" w:name="_Toc267251498"/>
      <w:bookmarkStart w:id="645" w:name="_Toc267251507"/>
      <w:bookmarkStart w:id="646" w:name="_Toc267251506"/>
      <w:bookmarkStart w:id="647" w:name="_Toc267251504"/>
      <w:bookmarkStart w:id="648" w:name="_Toc267251508"/>
      <w:bookmarkStart w:id="649" w:name="_Toc267251510"/>
      <w:bookmarkStart w:id="650" w:name="_Toc267251515"/>
      <w:bookmarkStart w:id="651" w:name="_Toc267251511"/>
      <w:bookmarkStart w:id="652" w:name="_Toc267251513"/>
      <w:bookmarkStart w:id="653" w:name="_Toc267251509"/>
      <w:bookmarkStart w:id="654" w:name="_Toc267251514"/>
      <w:r>
        <w:rPr>
          <w:rFonts w:hint="eastAsia" w:ascii="仿宋" w:hAnsi="仿宋" w:eastAsia="仿宋" w:cs="仿宋"/>
          <w:b w:val="0"/>
          <w:color w:val="auto"/>
          <w:sz w:val="24"/>
          <w:szCs w:val="24"/>
          <w:highlight w:val="none"/>
        </w:rPr>
        <w:t>15. 缺陷责任期与保修</w:t>
      </w:r>
      <w:bookmarkEnd w:id="624"/>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15.1缺陷责任期</w:t>
      </w:r>
      <w:bookmarkEnd w:id="625"/>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缺陷责任期的具体期限：</w:t>
      </w:r>
      <w:r>
        <w:rPr>
          <w:rFonts w:hint="eastAsia" w:ascii="仿宋" w:hAnsi="仿宋" w:eastAsia="仿宋" w:cs="仿宋"/>
          <w:color w:val="auto"/>
          <w:sz w:val="24"/>
          <w:szCs w:val="24"/>
          <w:highlight w:val="none"/>
          <w:u w:val="single"/>
        </w:rPr>
        <w:t>自工程实际竣工之日起计算，12个月</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655" w:name="_Toc9696"/>
      <w:r>
        <w:rPr>
          <w:rFonts w:hint="eastAsia" w:ascii="仿宋" w:hAnsi="仿宋" w:eastAsia="仿宋" w:cs="仿宋"/>
          <w:color w:val="auto"/>
          <w:sz w:val="24"/>
          <w:szCs w:val="24"/>
          <w:highlight w:val="none"/>
        </w:rPr>
        <w:t>15.2 质量保证金</w:t>
      </w:r>
      <w:bookmarkEnd w:id="655"/>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关于是否扣留质量保证金的约定：</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。在工程项目竣工前，承包人按专用合同条款提供履约担保的，发包人不得同时预留工程质量保证金。</w:t>
      </w:r>
    </w:p>
    <w:p>
      <w:pPr>
        <w:spacing w:line="360" w:lineRule="auto"/>
        <w:ind w:firstLine="480" w:firstLineChars="200"/>
        <w:jc w:val="left"/>
        <w:outlineLvl w:val="0"/>
        <w:rPr>
          <w:rFonts w:hint="eastAsia" w:ascii="仿宋" w:hAnsi="仿宋" w:eastAsia="仿宋" w:cs="仿宋"/>
          <w:color w:val="auto"/>
          <w:sz w:val="24"/>
          <w:szCs w:val="24"/>
          <w:highlight w:val="none"/>
        </w:rPr>
      </w:pPr>
      <w:bookmarkStart w:id="656" w:name="_Toc6213"/>
      <w:r>
        <w:rPr>
          <w:rFonts w:hint="eastAsia" w:ascii="仿宋" w:hAnsi="仿宋" w:eastAsia="仿宋" w:cs="仿宋"/>
          <w:color w:val="auto"/>
          <w:sz w:val="24"/>
          <w:szCs w:val="24"/>
          <w:highlight w:val="none"/>
        </w:rPr>
        <w:t>15.2.1 承包人提供质量保证金的方式</w:t>
      </w:r>
      <w:bookmarkEnd w:id="656"/>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质量保证金采用以下第</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种方式：</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（1）质量保证金保函，保证金额为：</w:t>
      </w:r>
      <w:r>
        <w:rPr>
          <w:rFonts w:hint="eastAsia" w:ascii="仿宋" w:hAnsi="仿宋" w:eastAsia="仿宋" w:cs="仿宋"/>
          <w:color w:val="auto"/>
          <w:kern w:val="0"/>
          <w:sz w:val="24"/>
          <w:szCs w:val="24"/>
          <w:highlight w:val="none"/>
          <w:u w:val="single"/>
        </w:rPr>
        <w:t xml:space="preserve">      无         </w:t>
      </w:r>
      <w:r>
        <w:rPr>
          <w:rFonts w:hint="eastAsia" w:ascii="仿宋" w:hAnsi="仿宋" w:eastAsia="仿宋" w:cs="仿宋"/>
          <w:color w:val="auto"/>
          <w:kern w:val="0"/>
          <w:sz w:val="24"/>
          <w:szCs w:val="24"/>
          <w:highlight w:val="none"/>
        </w:rPr>
        <w:t xml:space="preserve">； </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的工程款；</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（3）其他方式:</w:t>
      </w:r>
      <w:r>
        <w:rPr>
          <w:rFonts w:hint="eastAsia" w:ascii="仿宋" w:hAnsi="仿宋" w:eastAsia="仿宋" w:cs="仿宋"/>
          <w:color w:val="auto"/>
          <w:kern w:val="0"/>
          <w:sz w:val="24"/>
          <w:szCs w:val="24"/>
          <w:highlight w:val="none"/>
          <w:u w:val="single"/>
        </w:rPr>
        <w:t xml:space="preserve">      无           </w:t>
      </w:r>
      <w:r>
        <w:rPr>
          <w:rFonts w:hint="eastAsia" w:ascii="仿宋" w:hAnsi="仿宋" w:eastAsia="仿宋" w:cs="仿宋"/>
          <w:color w:val="auto"/>
          <w:kern w:val="0"/>
          <w:sz w:val="24"/>
          <w:szCs w:val="24"/>
          <w:highlight w:val="none"/>
        </w:rPr>
        <w:t>。</w:t>
      </w:r>
    </w:p>
    <w:p>
      <w:pPr>
        <w:spacing w:line="360" w:lineRule="auto"/>
        <w:ind w:firstLine="480" w:firstLineChars="200"/>
        <w:jc w:val="left"/>
        <w:outlineLvl w:val="0"/>
        <w:rPr>
          <w:rFonts w:hint="eastAsia" w:ascii="仿宋" w:hAnsi="仿宋" w:eastAsia="仿宋" w:cs="仿宋"/>
          <w:color w:val="auto"/>
          <w:sz w:val="24"/>
          <w:szCs w:val="24"/>
          <w:highlight w:val="none"/>
        </w:rPr>
      </w:pPr>
      <w:bookmarkStart w:id="657" w:name="_Toc24507"/>
      <w:r>
        <w:rPr>
          <w:rFonts w:hint="eastAsia" w:ascii="仿宋" w:hAnsi="仿宋" w:eastAsia="仿宋" w:cs="仿宋"/>
          <w:color w:val="auto"/>
          <w:sz w:val="24"/>
          <w:szCs w:val="24"/>
          <w:highlight w:val="none"/>
        </w:rPr>
        <w:t>15.2.2 质量保证金的扣留</w:t>
      </w:r>
      <w:bookmarkEnd w:id="657"/>
      <w:r>
        <w:rPr>
          <w:rFonts w:hint="eastAsia" w:ascii="仿宋" w:hAnsi="仿宋" w:eastAsia="仿宋" w:cs="仿宋"/>
          <w:color w:val="auto"/>
          <w:sz w:val="24"/>
          <w:szCs w:val="24"/>
          <w:highlight w:val="none"/>
        </w:rPr>
        <w:t xml:space="preserve">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质量保证金的扣留采取以下第</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种方式：</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（1）在支付工程进度款时逐次扣留，在此情形下，质量保证金的计算基数不包括预付款的支付、扣回以及价格调整的金额；</w:t>
      </w:r>
    </w:p>
    <w:p>
      <w:pPr>
        <w:autoSpaceDE w:val="0"/>
        <w:autoSpaceDN w:val="0"/>
        <w:adjustRightInd w:val="0"/>
        <w:spacing w:line="360" w:lineRule="auto"/>
        <w:ind w:firstLine="480" w:firstLineChars="200"/>
        <w:jc w:val="left"/>
        <w:outlineLvl w:val="0"/>
        <w:rPr>
          <w:rFonts w:hint="eastAsia" w:ascii="仿宋" w:hAnsi="仿宋" w:eastAsia="仿宋" w:cs="仿宋"/>
          <w:color w:val="auto"/>
          <w:kern w:val="0"/>
          <w:sz w:val="24"/>
          <w:szCs w:val="24"/>
          <w:highlight w:val="none"/>
        </w:rPr>
      </w:pPr>
      <w:bookmarkStart w:id="658" w:name="_Toc15066"/>
      <w:r>
        <w:rPr>
          <w:rFonts w:hint="eastAsia" w:ascii="仿宋" w:hAnsi="仿宋" w:eastAsia="仿宋" w:cs="仿宋"/>
          <w:color w:val="auto"/>
          <w:kern w:val="0"/>
          <w:sz w:val="24"/>
          <w:szCs w:val="24"/>
          <w:highlight w:val="none"/>
        </w:rPr>
        <w:t>（2）工程竣工结算时一次性扣留质量保证金；</w:t>
      </w:r>
      <w:bookmarkEnd w:id="658"/>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（3）其他扣留方式:</w:t>
      </w:r>
      <w:r>
        <w:rPr>
          <w:rFonts w:hint="eastAsia" w:ascii="仿宋" w:hAnsi="仿宋" w:eastAsia="仿宋" w:cs="仿宋"/>
          <w:color w:val="auto"/>
          <w:kern w:val="0"/>
          <w:sz w:val="24"/>
          <w:szCs w:val="24"/>
          <w:highlight w:val="none"/>
          <w:u w:val="single"/>
        </w:rPr>
        <w:t xml:space="preserve">  无      </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关于质量保证金的补充约定：</w:t>
      </w:r>
      <w:r>
        <w:rPr>
          <w:rFonts w:hint="eastAsia" w:ascii="仿宋" w:hAnsi="仿宋" w:eastAsia="仿宋" w:cs="仿宋"/>
          <w:color w:val="auto"/>
          <w:kern w:val="0"/>
          <w:sz w:val="24"/>
          <w:szCs w:val="24"/>
          <w:highlight w:val="none"/>
          <w:u w:val="single"/>
        </w:rPr>
        <w:t xml:space="preserve">     无       </w:t>
      </w:r>
      <w:r>
        <w:rPr>
          <w:rFonts w:hint="eastAsia" w:ascii="仿宋" w:hAnsi="仿宋" w:eastAsia="仿宋" w:cs="仿宋"/>
          <w:color w:val="auto"/>
          <w:kern w:val="0"/>
          <w:sz w:val="24"/>
          <w:szCs w:val="24"/>
          <w:highlight w:val="none"/>
        </w:rPr>
        <w:t>。</w:t>
      </w:r>
    </w:p>
    <w:bookmarkEnd w:id="626"/>
    <w:bookmarkEnd w:id="627"/>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15.3保修</w:t>
      </w:r>
    </w:p>
    <w:bookmarkEnd w:id="628"/>
    <w:p>
      <w:pPr>
        <w:spacing w:line="360" w:lineRule="auto"/>
        <w:ind w:firstLine="468" w:firstLineChars="19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15.3.1 保修的原则</w:t>
      </w:r>
    </w:p>
    <w:p>
      <w:pPr>
        <w:spacing w:line="6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在工程移交发包人后，因承包人原因产生的质量缺陷，承包人应承担质量缺陷责任和保修义务。缺陷责任期届满，承包人仍应按合同约定的工程各部位保修年限承担保修义务。</w:t>
      </w:r>
    </w:p>
    <w:p>
      <w:pPr>
        <w:spacing w:line="360" w:lineRule="auto"/>
        <w:ind w:firstLine="468" w:firstLineChars="19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15.3.2 保修责任</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工程保修期为：</w:t>
      </w:r>
      <w:r>
        <w:rPr>
          <w:rFonts w:hint="eastAsia" w:ascii="仿宋" w:hAnsi="仿宋" w:eastAsia="仿宋" w:cs="仿宋"/>
          <w:color w:val="auto"/>
          <w:kern w:val="0"/>
          <w:sz w:val="24"/>
          <w:szCs w:val="24"/>
          <w:highlight w:val="none"/>
          <w:u w:val="single"/>
        </w:rPr>
        <w:t>土建维修2年，安装工程中给排水、电气2年，采暖2个采暖期，屋面防水工程5年，主体工程为工程设计的合理期限</w:t>
      </w:r>
      <w:r>
        <w:rPr>
          <w:rFonts w:hint="eastAsia" w:ascii="仿宋" w:hAnsi="仿宋" w:eastAsia="仿宋" w:cs="仿宋"/>
          <w:color w:val="auto"/>
          <w:kern w:val="0"/>
          <w:sz w:val="24"/>
          <w:szCs w:val="24"/>
          <w:highlight w:val="none"/>
        </w:rPr>
        <w:t>。</w:t>
      </w:r>
    </w:p>
    <w:p>
      <w:pPr>
        <w:spacing w:line="360" w:lineRule="auto"/>
        <w:ind w:firstLine="468" w:firstLineChars="19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15.3.3 修复通知</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承包人收到保修通知并到达工程现场的合理时间：</w:t>
      </w:r>
      <w:r>
        <w:rPr>
          <w:rFonts w:hint="eastAsia" w:ascii="仿宋" w:hAnsi="仿宋" w:eastAsia="仿宋" w:cs="仿宋"/>
          <w:color w:val="auto"/>
          <w:sz w:val="24"/>
          <w:szCs w:val="24"/>
          <w:highlight w:val="none"/>
          <w:u w:val="single"/>
        </w:rPr>
        <w:t>24小时内</w:t>
      </w:r>
      <w:r>
        <w:rPr>
          <w:rFonts w:hint="eastAsia" w:ascii="仿宋" w:hAnsi="仿宋" w:eastAsia="仿宋" w:cs="仿宋"/>
          <w:color w:val="auto"/>
          <w:kern w:val="0"/>
          <w:sz w:val="24"/>
          <w:szCs w:val="24"/>
          <w:highlight w:val="none"/>
        </w:rPr>
        <w:t>。</w:t>
      </w:r>
    </w:p>
    <w:p>
      <w:pPr>
        <w:spacing w:line="560" w:lineRule="exact"/>
        <w:ind w:firstLine="6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15.3.4本工程双方约定的工程质量保修期自竣工验收合格之日起</w:t>
      </w:r>
      <w:r>
        <w:rPr>
          <w:rFonts w:hint="eastAsia" w:ascii="仿宋" w:hAnsi="仿宋" w:eastAsia="仿宋" w:cs="仿宋"/>
          <w:color w:val="auto"/>
          <w:sz w:val="24"/>
          <w:szCs w:val="24"/>
          <w:highlight w:val="none"/>
          <w:u w:val="single"/>
        </w:rPr>
        <w:t xml:space="preserve"> 2年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保修期内承包人保证随叫随到，若出现问题承包人在24小时内没有维修或解决，发包人有权委托他人进行处理，费用从承包人的质保金中支出；如维修费用高于质保金的，除扣除质保金外，超出部分费用由承包人承担，维修项目的质量保修期相应顺延。在顺延的质保期内因工程达不到质量要求而支出的维修费用超过质保金的部分，由承包人支付并承担相应的赔偿责任，并且发包人将该施工单位列入发包人修缮工程单位黑名单中。</w:t>
      </w:r>
    </w:p>
    <w:bookmarkEnd w:id="629"/>
    <w:bookmarkEnd w:id="630"/>
    <w:bookmarkEnd w:id="631"/>
    <w:bookmarkEnd w:id="632"/>
    <w:p>
      <w:pPr>
        <w:pStyle w:val="6"/>
        <w:spacing w:before="120" w:after="120" w:line="360" w:lineRule="auto"/>
        <w:rPr>
          <w:rFonts w:hint="eastAsia" w:ascii="仿宋" w:hAnsi="仿宋" w:eastAsia="仿宋" w:cs="仿宋"/>
          <w:b w:val="0"/>
          <w:color w:val="auto"/>
          <w:sz w:val="24"/>
          <w:szCs w:val="24"/>
          <w:highlight w:val="none"/>
        </w:rPr>
      </w:pPr>
      <w:bookmarkStart w:id="659" w:name="_Toc351203648"/>
      <w:bookmarkStart w:id="660" w:name="_Toc280868717"/>
      <w:bookmarkStart w:id="661" w:name="_Toc280868718"/>
      <w:r>
        <w:rPr>
          <w:rFonts w:hint="eastAsia" w:ascii="仿宋" w:hAnsi="仿宋" w:eastAsia="仿宋" w:cs="仿宋"/>
          <w:b w:val="0"/>
          <w:color w:val="auto"/>
          <w:sz w:val="24"/>
          <w:szCs w:val="24"/>
          <w:highlight w:val="none"/>
        </w:rPr>
        <w:t>16. 违约</w:t>
      </w:r>
      <w:bookmarkEnd w:id="659"/>
    </w:p>
    <w:p>
      <w:pPr>
        <w:spacing w:after="120" w:line="360" w:lineRule="auto"/>
        <w:ind w:firstLine="480" w:firstLineChars="200"/>
        <w:outlineLvl w:val="0"/>
        <w:rPr>
          <w:rFonts w:hint="eastAsia" w:ascii="仿宋" w:hAnsi="仿宋" w:eastAsia="仿宋" w:cs="仿宋"/>
          <w:color w:val="auto"/>
          <w:sz w:val="24"/>
          <w:szCs w:val="24"/>
          <w:highlight w:val="none"/>
        </w:rPr>
      </w:pPr>
      <w:bookmarkStart w:id="662" w:name="_Toc11430"/>
      <w:r>
        <w:rPr>
          <w:rFonts w:hint="eastAsia" w:ascii="仿宋" w:hAnsi="仿宋" w:eastAsia="仿宋" w:cs="仿宋"/>
          <w:color w:val="auto"/>
          <w:sz w:val="24"/>
          <w:szCs w:val="24"/>
          <w:highlight w:val="none"/>
        </w:rPr>
        <w:t>16.1 发包人违约</w:t>
      </w:r>
      <w:bookmarkEnd w:id="662"/>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16.1.1发包人违约的情形</w:t>
      </w:r>
    </w:p>
    <w:p>
      <w:pPr>
        <w:spacing w:line="360" w:lineRule="auto"/>
        <w:ind w:left="1316" w:leftChars="284" w:hanging="720" w:hangingChars="3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发包人违约的其他情形：</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rPr>
        <w:t>。</w:t>
      </w:r>
    </w:p>
    <w:p>
      <w:pPr>
        <w:spacing w:line="360" w:lineRule="auto"/>
        <w:ind w:left="1200" w:hanging="1200" w:hangingChars="5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16.1.2 发包人违约的责任</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发包人违约责任的承担方式和计算方法：</w:t>
      </w:r>
    </w:p>
    <w:p>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（1）因发包人原因未能在计划开工日期前7天内下达开工通知的违约责任：</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（2）因发包人原因未能按合同约定支付合同价款的违约责任：</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（3）发包人违反第10.1款〔变更的范围〕第（2）项约定，自行实施被取消的工作或转由他人实施的违约责任：</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u w:val="single"/>
        </w:rPr>
        <w:t>无</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（5）因发包人违反合同约定造成暂停施工的违约责任：</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（6）发包人无正当理由没有在约定期限内发出复工指示，导致承包人无法复工的违约责任：</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（7）其他：</w:t>
      </w:r>
      <w:r>
        <w:rPr>
          <w:rFonts w:hint="eastAsia" w:ascii="仿宋" w:hAnsi="仿宋" w:eastAsia="仿宋" w:cs="仿宋"/>
          <w:color w:val="auto"/>
          <w:kern w:val="0"/>
          <w:sz w:val="24"/>
          <w:szCs w:val="24"/>
          <w:highlight w:val="none"/>
          <w:u w:val="single"/>
        </w:rPr>
        <w:t xml:space="preserve">    无     </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16.1.3 因发包人违约解除合同</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承包人按16.1.1项〔发包人违约的情形〕约定暂停施工满</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天后发包人仍不纠正其违约行为并致使合同目的不能实现的，承包人有权解除合同。</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663" w:name="_Toc18103"/>
      <w:r>
        <w:rPr>
          <w:rFonts w:hint="eastAsia" w:ascii="仿宋" w:hAnsi="仿宋" w:eastAsia="仿宋" w:cs="仿宋"/>
          <w:color w:val="auto"/>
          <w:sz w:val="24"/>
          <w:szCs w:val="24"/>
          <w:highlight w:val="none"/>
        </w:rPr>
        <w:t>16.2 承包人违约</w:t>
      </w:r>
      <w:bookmarkEnd w:id="663"/>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16.2.1 承包人违约的情形</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承包人违约的其他情形：</w:t>
      </w:r>
      <w:r>
        <w:rPr>
          <w:rFonts w:hint="eastAsia" w:ascii="仿宋" w:hAnsi="仿宋" w:eastAsia="仿宋" w:cs="仿宋"/>
          <w:color w:val="auto"/>
          <w:kern w:val="0"/>
          <w:sz w:val="24"/>
          <w:szCs w:val="24"/>
          <w:highlight w:val="none"/>
          <w:u w:val="single"/>
        </w:rPr>
        <w:t>承包人应保证按时足额向施工人员发放工资，双方明确，如因在收到发包人款项后，未按时足额给工人支付工资的，发包人有权按相关费用的2倍，要求承包人承担违约金，并从后期应付费用中直接扣除。如因此发生任何施工人员举报、信访、围堵政府相关部门等事件的，甲方有权解除本协议，没收履约保证金，停止支付工程款，涉及刑事犯罪的，发包人将依法向有关部门进行举报。</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16.2.2承包人违约的责任</w:t>
      </w:r>
    </w:p>
    <w:p>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承包人违约责任的承担方式和计算方法：</w:t>
      </w:r>
      <w:r>
        <w:rPr>
          <w:rFonts w:hint="eastAsia" w:ascii="仿宋" w:hAnsi="仿宋" w:eastAsia="仿宋" w:cs="仿宋"/>
          <w:color w:val="auto"/>
          <w:kern w:val="0"/>
          <w:sz w:val="24"/>
          <w:szCs w:val="24"/>
          <w:highlight w:val="none"/>
          <w:u w:val="single"/>
        </w:rPr>
        <w:t>（1）因承包人原因造成不能按期完工，每延误一天工期承包人向发包人支付</w:t>
      </w:r>
      <w:r>
        <w:rPr>
          <w:rFonts w:hint="eastAsia" w:ascii="仿宋" w:hAnsi="仿宋" w:eastAsia="仿宋" w:cs="仿宋"/>
          <w:color w:val="auto"/>
          <w:sz w:val="24"/>
          <w:szCs w:val="24"/>
          <w:highlight w:val="none"/>
          <w:u w:val="single"/>
        </w:rPr>
        <w:t>一万元的</w:t>
      </w:r>
      <w:r>
        <w:rPr>
          <w:rFonts w:hint="eastAsia" w:ascii="仿宋" w:hAnsi="仿宋" w:eastAsia="仿宋" w:cs="仿宋"/>
          <w:color w:val="auto"/>
          <w:kern w:val="0"/>
          <w:sz w:val="24"/>
          <w:szCs w:val="24"/>
          <w:highlight w:val="none"/>
          <w:u w:val="single"/>
        </w:rPr>
        <w:t>逾期违约金，逾期违约金金额的最高限额为合同价的10%，达到逾期违约金的最高限额后，发包人有权单方面解除合同，承包人承担全部经济责任，同时向发包人赔偿因工期延误造成的经济损失。（2）承包人施工质量不合格，发包人有权选择要求承包人返修或者单方解除合同；要求返修的，承包人逾期完工，按本条上一款承担违约责任。（3）承包人分包或转包本合同约定的全部或部分施工内容，发包人有权单方解除合同，不支付工程款，并要求承包人承担合同总额30%的违约金。（4）承包人违反本合同的其他约定或相关法律规定，给发包人造成损失的，发包人有权单方解除合同。（5）一方违约，还应赔偿守约方因此遭受的其他损失，包括为主张权益所支付的律师费、交通费等全部费用。承包人违约的，发包方有权将相应违约金从应给承包方支付的货款、质保金中直接予以扣除。（6）承包人在缺陷责任期及保修期内，未能在合理期限对工程缺陷进行修复，或拒绝按发包人要求进行修复的，发包人有权使用扣留保证金修复工程，质保金不足部分发包人有权要求承包方承担；（7）承包人明确表示或者以其行为表明不履行合同主要义务的，发包人有权单方解除协议，并要求承包人按照合同金额的30%承担违约责任，已支付的款项根据承包人已完成工程量（质量合格部分）进行结算。</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承包人违约的其他情形：</w:t>
      </w:r>
    </w:p>
    <w:p>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1）承包人应保证按时足额向施工人员发放工资，双方明确，如因在收到发包人款项后，未按时足额给工人支付工资的，发包人有权按相关费用的2倍，要求承包人承担违约金，并从后期应付费用中直接扣除。如因此发生任何施工人员举报、信访、围堵政府相关部门等事件的，承包人向发包人支付签约合同价格3%的违约金，并且发包人有权单方解除本协议，没收履约保证金，停止支付工程款，涉及刑事犯罪的，发包人将依法向有关部门进行举报。</w:t>
      </w:r>
    </w:p>
    <w:p>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2）承包人违约，发包人可发出整改通知要求承包人限期进行整改，如承包人在规定时间内仍不纠正违约行为的，发包人有权单方解除合同，承包人向发包人支付签约合同价格5%违约金。合同解除后，发包人可另行组织人员或委托其他承包人施工。发包人因继续完成该工程需要，有权扣留使用承包人在现场的材料、设备和临时设施。但发包人的这一行为不免除或减轻承包人应承担的违约责任，也不影响发包人根据合同约定享有的索赔权利。</w:t>
      </w:r>
    </w:p>
    <w:p>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承包人违约的，应当赔偿甲方相关损失，除特别约定外另按照合同金额的30%承担违约责任。</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16.2.3 因承包人违约解除合同</w:t>
      </w:r>
    </w:p>
    <w:p>
      <w:pPr>
        <w:spacing w:before="120" w:after="120"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关于承包人违约解除合同的特别约定：</w:t>
      </w:r>
      <w:r>
        <w:rPr>
          <w:rFonts w:hint="eastAsia" w:ascii="仿宋" w:hAnsi="仿宋" w:eastAsia="仿宋" w:cs="仿宋"/>
          <w:color w:val="auto"/>
          <w:kern w:val="0"/>
          <w:sz w:val="24"/>
          <w:szCs w:val="24"/>
          <w:highlight w:val="none"/>
          <w:u w:val="single"/>
        </w:rPr>
        <w:t>执行通用条款</w:t>
      </w:r>
      <w:r>
        <w:rPr>
          <w:rFonts w:hint="eastAsia" w:ascii="仿宋" w:hAnsi="仿宋" w:eastAsia="仿宋" w:cs="仿宋"/>
          <w:color w:val="auto"/>
          <w:kern w:val="0"/>
          <w:sz w:val="24"/>
          <w:szCs w:val="24"/>
          <w:highlight w:val="none"/>
        </w:rPr>
        <w:t>。</w:t>
      </w:r>
    </w:p>
    <w:p>
      <w:pPr>
        <w:spacing w:before="120" w:after="120"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仿宋" w:hAnsi="仿宋" w:eastAsia="仿宋" w:cs="仿宋"/>
          <w:color w:val="auto"/>
          <w:kern w:val="0"/>
          <w:sz w:val="24"/>
          <w:szCs w:val="24"/>
          <w:highlight w:val="none"/>
          <w:u w:val="single"/>
        </w:rPr>
        <w:t xml:space="preserve">    无      </w:t>
      </w:r>
      <w:r>
        <w:rPr>
          <w:rFonts w:hint="eastAsia" w:ascii="仿宋" w:hAnsi="仿宋" w:eastAsia="仿宋" w:cs="仿宋"/>
          <w:color w:val="auto"/>
          <w:kern w:val="0"/>
          <w:sz w:val="24"/>
          <w:szCs w:val="24"/>
          <w:highlight w:val="none"/>
        </w:rPr>
        <w:t>。</w:t>
      </w:r>
    </w:p>
    <w:p>
      <w:pPr>
        <w:pStyle w:val="6"/>
        <w:spacing w:before="120" w:after="120" w:line="360" w:lineRule="auto"/>
        <w:rPr>
          <w:rFonts w:hint="eastAsia" w:ascii="仿宋" w:hAnsi="仿宋" w:eastAsia="仿宋" w:cs="仿宋"/>
          <w:b w:val="0"/>
          <w:color w:val="auto"/>
          <w:sz w:val="24"/>
          <w:szCs w:val="24"/>
          <w:highlight w:val="none"/>
        </w:rPr>
      </w:pPr>
      <w:bookmarkStart w:id="664" w:name="_Toc351203649"/>
      <w:r>
        <w:rPr>
          <w:rFonts w:hint="eastAsia" w:ascii="仿宋" w:hAnsi="仿宋" w:eastAsia="仿宋" w:cs="仿宋"/>
          <w:b w:val="0"/>
          <w:color w:val="auto"/>
          <w:sz w:val="24"/>
          <w:szCs w:val="24"/>
          <w:highlight w:val="none"/>
        </w:rPr>
        <w:t>17. 不可抗力</w:t>
      </w:r>
      <w:bookmarkEnd w:id="664"/>
      <w:r>
        <w:rPr>
          <w:rFonts w:hint="eastAsia" w:ascii="仿宋" w:hAnsi="仿宋" w:eastAsia="仿宋" w:cs="仿宋"/>
          <w:b w:val="0"/>
          <w:color w:val="auto"/>
          <w:sz w:val="24"/>
          <w:szCs w:val="24"/>
          <w:highlight w:val="none"/>
        </w:rPr>
        <w:t xml:space="preserve"> </w:t>
      </w:r>
      <w:bookmarkEnd w:id="660"/>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 不可抗力的确认</w:t>
      </w:r>
    </w:p>
    <w:p>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sz w:val="24"/>
          <w:szCs w:val="24"/>
          <w:highlight w:val="none"/>
        </w:rPr>
        <w:t xml:space="preserve">除通用合同条款约定的不可抗力事件之外，视为不可抗力的其他情形：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u w:val="single"/>
        </w:rPr>
        <w:t>执行通用合同条款</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665" w:name="_Toc32600"/>
      <w:r>
        <w:rPr>
          <w:rFonts w:hint="eastAsia" w:ascii="仿宋" w:hAnsi="仿宋" w:eastAsia="仿宋" w:cs="仿宋"/>
          <w:color w:val="auto"/>
          <w:sz w:val="24"/>
          <w:szCs w:val="24"/>
          <w:highlight w:val="none"/>
        </w:rPr>
        <w:t>17.2 因不可抗力解除合同</w:t>
      </w:r>
      <w:bookmarkEnd w:id="665"/>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合同解除后，发包人应在商定或确定发包人应支付款项后</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天内完成款项的支付。</w:t>
      </w:r>
    </w:p>
    <w:p>
      <w:pPr>
        <w:pStyle w:val="6"/>
        <w:spacing w:before="120" w:after="120" w:line="360" w:lineRule="auto"/>
        <w:rPr>
          <w:rFonts w:hint="eastAsia" w:ascii="仿宋" w:hAnsi="仿宋" w:eastAsia="仿宋" w:cs="仿宋"/>
          <w:b w:val="0"/>
          <w:color w:val="auto"/>
          <w:sz w:val="24"/>
          <w:szCs w:val="24"/>
          <w:highlight w:val="none"/>
        </w:rPr>
      </w:pPr>
      <w:bookmarkStart w:id="666" w:name="_Toc351203650"/>
      <w:r>
        <w:rPr>
          <w:rFonts w:hint="eastAsia" w:ascii="仿宋" w:hAnsi="仿宋" w:eastAsia="仿宋" w:cs="仿宋"/>
          <w:b w:val="0"/>
          <w:color w:val="auto"/>
          <w:sz w:val="24"/>
          <w:szCs w:val="24"/>
          <w:highlight w:val="none"/>
        </w:rPr>
        <w:t>18. 保险</w:t>
      </w:r>
      <w:bookmarkEnd w:id="666"/>
    </w:p>
    <w:bookmarkEnd w:id="661"/>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 工程保险</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关于工程保险的特别约定：</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667" w:name="_Toc358"/>
      <w:r>
        <w:rPr>
          <w:rFonts w:hint="eastAsia" w:ascii="仿宋" w:hAnsi="仿宋" w:eastAsia="仿宋" w:cs="仿宋"/>
          <w:color w:val="auto"/>
          <w:sz w:val="24"/>
          <w:szCs w:val="24"/>
          <w:highlight w:val="none"/>
        </w:rPr>
        <w:t>18.2 其他保险</w:t>
      </w:r>
      <w:bookmarkEnd w:id="667"/>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关于其他保险的约定：</w:t>
      </w:r>
      <w:r>
        <w:rPr>
          <w:rFonts w:hint="eastAsia" w:ascii="仿宋" w:hAnsi="仿宋" w:eastAsia="仿宋" w:cs="仿宋"/>
          <w:color w:val="auto"/>
          <w:kern w:val="0"/>
          <w:sz w:val="24"/>
          <w:szCs w:val="24"/>
          <w:highlight w:val="none"/>
          <w:u w:val="single"/>
        </w:rPr>
        <w:t>承包人负责为</w:t>
      </w:r>
      <w:r>
        <w:rPr>
          <w:rFonts w:hint="eastAsia" w:ascii="仿宋" w:hAnsi="仿宋" w:eastAsia="仿宋" w:cs="仿宋"/>
          <w:color w:val="auto"/>
          <w:sz w:val="24"/>
          <w:szCs w:val="24"/>
          <w:highlight w:val="none"/>
          <w:u w:val="single"/>
        </w:rPr>
        <w:t>承包人在</w:t>
      </w:r>
      <w:r>
        <w:rPr>
          <w:rFonts w:hint="eastAsia" w:ascii="仿宋" w:hAnsi="仿宋" w:eastAsia="仿宋" w:cs="仿宋"/>
          <w:color w:val="auto"/>
          <w:kern w:val="0"/>
          <w:sz w:val="24"/>
          <w:szCs w:val="24"/>
          <w:highlight w:val="none"/>
          <w:u w:val="single"/>
        </w:rPr>
        <w:t>施工现场全部人员办理意外伤害保险并支付保险费</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承包人是否应为其施工设备等办理财产保险：</w:t>
      </w:r>
      <w:r>
        <w:rPr>
          <w:rFonts w:hint="eastAsia" w:ascii="仿宋" w:hAnsi="仿宋" w:eastAsia="仿宋" w:cs="仿宋"/>
          <w:color w:val="auto"/>
          <w:sz w:val="24"/>
          <w:szCs w:val="24"/>
          <w:highlight w:val="none"/>
          <w:u w:val="single"/>
        </w:rPr>
        <w:t>承包人自行办理</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 通知义务</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关于变更保险合同时的通知义务的约定：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执行通用合同条款</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633"/>
    <w:bookmarkEnd w:id="634"/>
    <w:bookmarkEnd w:id="635"/>
    <w:bookmarkEnd w:id="636"/>
    <w:bookmarkEnd w:id="637"/>
    <w:bookmarkEnd w:id="638"/>
    <w:bookmarkEnd w:id="639"/>
    <w:bookmarkEnd w:id="640"/>
    <w:bookmarkEnd w:id="641"/>
    <w:bookmarkEnd w:id="642"/>
    <w:bookmarkEnd w:id="643"/>
    <w:bookmarkEnd w:id="644"/>
    <w:p>
      <w:pPr>
        <w:pStyle w:val="6"/>
        <w:spacing w:before="120" w:after="120" w:line="360" w:lineRule="auto"/>
        <w:rPr>
          <w:rFonts w:hint="eastAsia" w:ascii="仿宋" w:hAnsi="仿宋" w:eastAsia="仿宋" w:cs="仿宋"/>
          <w:color w:val="auto"/>
          <w:sz w:val="24"/>
          <w:szCs w:val="24"/>
          <w:highlight w:val="none"/>
        </w:rPr>
      </w:pPr>
      <w:bookmarkStart w:id="668" w:name="_Toc351203651"/>
      <w:r>
        <w:rPr>
          <w:rFonts w:hint="eastAsia" w:ascii="仿宋" w:hAnsi="仿宋" w:eastAsia="仿宋" w:cs="仿宋"/>
          <w:b w:val="0"/>
          <w:color w:val="auto"/>
          <w:sz w:val="24"/>
          <w:szCs w:val="24"/>
          <w:highlight w:val="none"/>
        </w:rPr>
        <w:t>19. 争议解决</w:t>
      </w:r>
      <w:bookmarkEnd w:id="645"/>
      <w:bookmarkEnd w:id="646"/>
      <w:bookmarkEnd w:id="647"/>
      <w:bookmarkEnd w:id="668"/>
    </w:p>
    <w:p>
      <w:pPr>
        <w:spacing w:after="120" w:line="360" w:lineRule="auto"/>
        <w:ind w:firstLine="480" w:firstLineChars="200"/>
        <w:outlineLvl w:val="0"/>
        <w:rPr>
          <w:rFonts w:hint="eastAsia" w:ascii="仿宋" w:hAnsi="仿宋" w:eastAsia="仿宋" w:cs="仿宋"/>
          <w:color w:val="auto"/>
          <w:sz w:val="24"/>
          <w:szCs w:val="24"/>
          <w:highlight w:val="none"/>
        </w:rPr>
      </w:pPr>
      <w:bookmarkStart w:id="669" w:name="_Toc30235"/>
      <w:r>
        <w:rPr>
          <w:rFonts w:hint="eastAsia" w:ascii="仿宋" w:hAnsi="仿宋" w:eastAsia="仿宋" w:cs="仿宋"/>
          <w:color w:val="auto"/>
          <w:sz w:val="24"/>
          <w:szCs w:val="24"/>
          <w:highlight w:val="none"/>
        </w:rPr>
        <w:t>19.1仲裁或诉讼</w:t>
      </w:r>
      <w:bookmarkEnd w:id="648"/>
      <w:bookmarkEnd w:id="669"/>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因合同及合同有关事项发生的争议，按下列第</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种方式解决：</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（1）向</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仲裁委员会申请仲裁；</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（2）向</w:t>
      </w:r>
      <w:r>
        <w:rPr>
          <w:rFonts w:hint="eastAsia" w:ascii="仿宋" w:hAnsi="仿宋" w:eastAsia="仿宋" w:cs="仿宋"/>
          <w:color w:val="auto"/>
          <w:sz w:val="24"/>
          <w:szCs w:val="24"/>
          <w:highlight w:val="none"/>
          <w:u w:val="single"/>
        </w:rPr>
        <w:t xml:space="preserve">    发包人所在地  </w:t>
      </w:r>
      <w:r>
        <w:rPr>
          <w:rFonts w:hint="eastAsia" w:ascii="仿宋" w:hAnsi="仿宋" w:eastAsia="仿宋" w:cs="仿宋"/>
          <w:color w:val="auto"/>
          <w:sz w:val="24"/>
          <w:szCs w:val="24"/>
          <w:highlight w:val="none"/>
        </w:rPr>
        <w:t>人民法院起诉。</w:t>
      </w:r>
      <w:bookmarkEnd w:id="649"/>
      <w:bookmarkEnd w:id="650"/>
      <w:bookmarkEnd w:id="651"/>
      <w:bookmarkEnd w:id="652"/>
      <w:bookmarkEnd w:id="653"/>
      <w:bookmarkEnd w:id="654"/>
    </w:p>
    <w:p>
      <w:pPr>
        <w:widowControl/>
        <w:spacing w:line="56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20.</w:t>
      </w:r>
    </w:p>
    <w:p>
      <w:pPr>
        <w:widowControl/>
        <w:spacing w:line="56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20.1本合同尾部载明的双方地址、电话等信息，系双方有效联系方式，如发生变更，应提前书面通知另一方，否则依该联系方式送达相关文书的，视为送达成功。</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20.2本合同第一部分合同协议书或第二部分通用条款部分与第三部分专用合同条款内容不一致之处，以第三部分专用合同条款的内容为准。</w:t>
      </w:r>
    </w:p>
    <w:p>
      <w:pPr>
        <w:spacing w:line="360" w:lineRule="auto"/>
        <w:ind w:firstLine="480" w:firstLineChars="200"/>
        <w:jc w:val="left"/>
        <w:rPr>
          <w:rFonts w:hint="eastAsia" w:ascii="仿宋" w:hAnsi="仿宋" w:eastAsia="仿宋" w:cs="仿宋"/>
          <w:color w:val="auto"/>
          <w:sz w:val="24"/>
          <w:szCs w:val="24"/>
          <w:highlight w:val="none"/>
          <w:u w:val="single"/>
        </w:rPr>
      </w:pPr>
    </w:p>
    <w:p>
      <w:pPr>
        <w:widowControl/>
        <w:spacing w:line="56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补充条款：</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承包人同意接受甲方工程结算审计原则。</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工程竣工后，承包方要在规定的时间内报送完整、规范的竣工材料，工程竣工验收单（记录）须加盖承包方、工程管理部门、使用单位公章并由单位负责人或项目负责人签字，否则视为工程未通过验收。并对报送材料的全面、准确、真实性负责。</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2.承包方须在竣工验收合格之日起三个月内报送工程结算及全部工程资料，承包方送审的工程竣工材料要恪守承诺和质量要求，工程施工内容与结算内容相一致，符合</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及合同内容，不得违反合同约定。承包方如未在规定的时间内提供完整、真实、合法的资料、包括工程中涉及变更项目及增加的项目，由此产生的不良后果由承包方负责，发包方不承担责任，也不予受理；工程管理部门拖延者，将按采购人的相关规定进行问责。工程结算报甲方审计处进行审计，最终以甲方审计处审定结算价为准。</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3.工程结算资料延报第一个月，每延报一天，扣承包方1000元/天，延报第二个月，每延报一天，扣承包方3000元/天；延报超过两个月，扣违约金的最高限额为合同价的30%。</w:t>
      </w:r>
    </w:p>
    <w:p>
      <w:pPr>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Start w:id="670" w:name="_Toc351203652"/>
      <w:r>
        <w:rPr>
          <w:rFonts w:hint="eastAsia" w:ascii="仿宋" w:hAnsi="仿宋" w:eastAsia="仿宋" w:cs="仿宋"/>
          <w:b/>
          <w:color w:val="auto"/>
          <w:sz w:val="24"/>
          <w:szCs w:val="24"/>
          <w:highlight w:val="none"/>
        </w:rPr>
        <w:t>附件</w:t>
      </w:r>
      <w:bookmarkEnd w:id="670"/>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附件1：工程质量保修书</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附件2：建设工程廉政责任书</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附件3：承包人用于本工程施工的机械设备表</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附件4：承包人主要施工管理人员表</w:t>
      </w:r>
    </w:p>
    <w:p>
      <w:pPr>
        <w:spacing w:line="360" w:lineRule="auto"/>
        <w:jc w:val="left"/>
        <w:rPr>
          <w:rFonts w:hint="eastAsia" w:ascii="仿宋" w:hAnsi="仿宋" w:eastAsia="仿宋" w:cs="仿宋"/>
          <w:color w:val="auto"/>
          <w:sz w:val="28"/>
          <w:szCs w:val="28"/>
          <w:highlight w:val="none"/>
        </w:rPr>
        <w:sectPr>
          <w:footerReference r:id="rId14" w:type="first"/>
          <w:footerReference r:id="rId13" w:type="default"/>
          <w:pgSz w:w="11906" w:h="16838"/>
          <w:pgMar w:top="1418" w:right="1555" w:bottom="1418" w:left="1531" w:header="851" w:footer="992" w:gutter="0"/>
          <w:pgNumType w:fmt="decimal"/>
          <w:cols w:space="720" w:num="1"/>
          <w:titlePg/>
          <w:docGrid w:type="lines" w:linePitch="312" w:charSpace="0"/>
        </w:sectPr>
      </w:pPr>
      <w:r>
        <w:rPr>
          <w:rFonts w:hint="eastAsia" w:ascii="仿宋" w:hAnsi="仿宋" w:eastAsia="仿宋" w:cs="仿宋"/>
          <w:color w:val="auto"/>
          <w:sz w:val="24"/>
          <w:szCs w:val="24"/>
          <w:highlight w:val="none"/>
        </w:rPr>
        <w:t>附件5：本工程主材明细表</w:t>
      </w:r>
    </w:p>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附件1：</w:t>
      </w:r>
    </w:p>
    <w:p>
      <w:pPr>
        <w:jc w:val="left"/>
        <w:rPr>
          <w:rFonts w:hint="eastAsia" w:ascii="仿宋" w:hAnsi="仿宋" w:eastAsia="仿宋" w:cs="仿宋"/>
          <w:b/>
          <w:bCs/>
          <w:color w:val="auto"/>
          <w:sz w:val="28"/>
          <w:szCs w:val="28"/>
          <w:highlight w:val="none"/>
        </w:rPr>
      </w:pPr>
    </w:p>
    <w:p>
      <w:pPr>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工程质量保修书</w:t>
      </w:r>
    </w:p>
    <w:p>
      <w:pPr>
        <w:spacing w:line="540" w:lineRule="exact"/>
        <w:ind w:firstLine="560" w:firstLineChars="200"/>
        <w:rPr>
          <w:rFonts w:hint="eastAsia" w:ascii="仿宋" w:hAnsi="仿宋" w:eastAsia="仿宋" w:cs="仿宋"/>
          <w:color w:val="auto"/>
          <w:sz w:val="28"/>
          <w:szCs w:val="28"/>
          <w:highlight w:val="none"/>
        </w:rPr>
      </w:pP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发包人（全称）：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承包人（全称）：</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发包人和承包人根据《中华人民共和国建筑法》和《建设工程质量管理条例》，经协商一致就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工程签订工程质量保修书。</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一、工程质量保修范围和内容</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承包人在质量保修期内，按照有关法律规定和合同约定，承担工程质量保修责任。</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5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工程承包范围内的全部事项</w:t>
      </w:r>
      <w:r>
        <w:rPr>
          <w:rFonts w:hint="eastAsia" w:ascii="仿宋" w:hAnsi="仿宋" w:eastAsia="仿宋" w:cs="仿宋"/>
          <w:color w:val="auto"/>
          <w:sz w:val="24"/>
          <w:szCs w:val="24"/>
          <w:highlight w:val="none"/>
        </w:rPr>
        <w:t>。</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w:t>
      </w:r>
      <w:r>
        <w:rPr>
          <w:rFonts w:hint="eastAsia" w:ascii="仿宋" w:hAnsi="仿宋" w:eastAsia="仿宋" w:cs="仿宋"/>
          <w:color w:val="auto"/>
          <w:sz w:val="24"/>
          <w:szCs w:val="24"/>
          <w:highlight w:val="none"/>
        </w:rPr>
        <w:t>二、质量保修期</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根据《建设工程质量管理条例》及有关规定，工程的质量保修期如下：</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1．地基基础工程和主体结构工程为设计文件规定的工程合理使用年限；</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2．屋面防水工程、有防水要求的卫生间、房间和外墙面的防渗为</w:t>
      </w:r>
      <w:r>
        <w:rPr>
          <w:rFonts w:hint="eastAsia" w:ascii="仿宋" w:hAnsi="仿宋" w:eastAsia="仿宋" w:cs="仿宋"/>
          <w:color w:val="auto"/>
          <w:sz w:val="24"/>
          <w:szCs w:val="24"/>
          <w:highlight w:val="none"/>
          <w:u w:val="single"/>
        </w:rPr>
        <w:t>5</w:t>
      </w:r>
      <w:r>
        <w:rPr>
          <w:rFonts w:hint="eastAsia" w:ascii="仿宋" w:hAnsi="仿宋" w:eastAsia="仿宋" w:cs="仿宋"/>
          <w:color w:val="auto"/>
          <w:sz w:val="24"/>
          <w:szCs w:val="24"/>
          <w:highlight w:val="none"/>
        </w:rPr>
        <w:t>年；</w:t>
      </w:r>
    </w:p>
    <w:p>
      <w:pPr>
        <w:spacing w:line="540" w:lineRule="exact"/>
        <w:ind w:left="420" w:leftChars="2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3．装修工程为</w:t>
      </w:r>
      <w:r>
        <w:rPr>
          <w:rFonts w:hint="eastAsia" w:ascii="仿宋" w:hAnsi="仿宋" w:eastAsia="仿宋" w:cs="仿宋"/>
          <w:color w:val="auto"/>
          <w:sz w:val="24"/>
          <w:szCs w:val="24"/>
          <w:highlight w:val="none"/>
          <w:u w:val="single"/>
        </w:rPr>
        <w:t>2</w:t>
      </w:r>
      <w:r>
        <w:rPr>
          <w:rFonts w:hint="eastAsia" w:ascii="仿宋" w:hAnsi="仿宋" w:eastAsia="仿宋" w:cs="仿宋"/>
          <w:color w:val="auto"/>
          <w:sz w:val="24"/>
          <w:szCs w:val="24"/>
          <w:highlight w:val="none"/>
        </w:rPr>
        <w:t>年；</w:t>
      </w:r>
    </w:p>
    <w:p>
      <w:pPr>
        <w:spacing w:line="540" w:lineRule="exact"/>
        <w:ind w:left="420" w:leftChars="2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4．电气管线、给排水管道、设备安装工程为</w:t>
      </w:r>
      <w:r>
        <w:rPr>
          <w:rFonts w:hint="eastAsia" w:ascii="仿宋" w:hAnsi="仿宋" w:eastAsia="仿宋" w:cs="仿宋"/>
          <w:color w:val="auto"/>
          <w:sz w:val="24"/>
          <w:szCs w:val="24"/>
          <w:highlight w:val="none"/>
          <w:u w:val="single"/>
        </w:rPr>
        <w:t>2</w:t>
      </w:r>
      <w:r>
        <w:rPr>
          <w:rFonts w:hint="eastAsia" w:ascii="仿宋" w:hAnsi="仿宋" w:eastAsia="仿宋" w:cs="仿宋"/>
          <w:color w:val="auto"/>
          <w:sz w:val="24"/>
          <w:szCs w:val="24"/>
          <w:highlight w:val="none"/>
        </w:rPr>
        <w:t>年；</w:t>
      </w:r>
    </w:p>
    <w:p>
      <w:pPr>
        <w:spacing w:line="540" w:lineRule="exact"/>
        <w:ind w:left="420" w:leftChars="2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5．供热与供冷系统为</w:t>
      </w:r>
      <w:r>
        <w:rPr>
          <w:rFonts w:hint="eastAsia" w:ascii="仿宋" w:hAnsi="仿宋" w:eastAsia="仿宋" w:cs="仿宋"/>
          <w:color w:val="auto"/>
          <w:sz w:val="24"/>
          <w:szCs w:val="24"/>
          <w:highlight w:val="none"/>
          <w:u w:val="single"/>
        </w:rPr>
        <w:t xml:space="preserve"> 2</w:t>
      </w:r>
      <w:r>
        <w:rPr>
          <w:rFonts w:hint="eastAsia" w:ascii="仿宋" w:hAnsi="仿宋" w:eastAsia="仿宋" w:cs="仿宋"/>
          <w:color w:val="auto"/>
          <w:sz w:val="24"/>
          <w:szCs w:val="24"/>
          <w:highlight w:val="none"/>
        </w:rPr>
        <w:t>个采暖期、供冷期；</w:t>
      </w:r>
    </w:p>
    <w:p>
      <w:pPr>
        <w:spacing w:line="540" w:lineRule="exact"/>
        <w:ind w:left="420" w:leftChars="2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6．住宅小区内的给排水设施、道路等配套工程为</w:t>
      </w:r>
      <w:r>
        <w:rPr>
          <w:rFonts w:hint="eastAsia" w:ascii="仿宋" w:hAnsi="仿宋" w:eastAsia="仿宋" w:cs="仿宋"/>
          <w:color w:val="auto"/>
          <w:sz w:val="24"/>
          <w:szCs w:val="24"/>
          <w:highlight w:val="none"/>
          <w:u w:val="single"/>
        </w:rPr>
        <w:t xml:space="preserve">2 </w:t>
      </w:r>
      <w:r>
        <w:rPr>
          <w:rFonts w:hint="eastAsia" w:ascii="仿宋" w:hAnsi="仿宋" w:eastAsia="仿宋" w:cs="仿宋"/>
          <w:color w:val="auto"/>
          <w:sz w:val="24"/>
          <w:szCs w:val="24"/>
          <w:highlight w:val="none"/>
        </w:rPr>
        <w:t>年；</w:t>
      </w:r>
    </w:p>
    <w:p>
      <w:pPr>
        <w:spacing w:line="540" w:lineRule="exact"/>
        <w:ind w:left="420" w:leftChars="200" w:firstLine="120" w:firstLineChars="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7．其他项目保修期限约定如下：</w:t>
      </w:r>
      <w:r>
        <w:rPr>
          <w:rFonts w:hint="eastAsia" w:ascii="仿宋" w:hAnsi="仿宋" w:eastAsia="仿宋" w:cs="仿宋"/>
          <w:color w:val="auto"/>
          <w:sz w:val="24"/>
          <w:szCs w:val="24"/>
          <w:highlight w:val="none"/>
          <w:u w:val="single"/>
        </w:rPr>
        <w:t xml:space="preserve"> 本项目质保期2年 </w:t>
      </w:r>
      <w:r>
        <w:rPr>
          <w:rFonts w:hint="eastAsia" w:ascii="仿宋" w:hAnsi="仿宋" w:eastAsia="仿宋" w:cs="仿宋"/>
          <w:color w:val="auto"/>
          <w:sz w:val="24"/>
          <w:szCs w:val="24"/>
          <w:highlight w:val="none"/>
        </w:rPr>
        <w:t>。</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质量保修期自工程竣工验收合格之日起计算。</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三、缺陷责任期</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工程缺陷责任期为</w:t>
      </w:r>
      <w:r>
        <w:rPr>
          <w:rFonts w:hint="eastAsia" w:ascii="仿宋" w:hAnsi="仿宋" w:eastAsia="仿宋" w:cs="仿宋"/>
          <w:color w:val="auto"/>
          <w:sz w:val="24"/>
          <w:szCs w:val="24"/>
          <w:highlight w:val="none"/>
          <w:u w:val="single"/>
        </w:rPr>
        <w:t>12</w:t>
      </w:r>
      <w:r>
        <w:rPr>
          <w:rFonts w:hint="eastAsia" w:ascii="仿宋" w:hAnsi="仿宋" w:eastAsia="仿宋" w:cs="仿宋"/>
          <w:color w:val="auto"/>
          <w:sz w:val="24"/>
          <w:szCs w:val="24"/>
          <w:highlight w:val="none"/>
        </w:rPr>
        <w:t>个月，缺陷责任期自工程实际竣工之日起计算。单位工程先于全部工程进行验收，单位工程缺陷责任期自单位工程验收合格之日起算。</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四、质量保修责任</w:t>
      </w:r>
    </w:p>
    <w:p>
      <w:pPr>
        <w:spacing w:line="54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1．属于保修范围、内容的项目，承包人应当在接到保修通知之日起7天内派人保修。承包人不在约定期限内派人保修的，发包人可以委托他人修理，修理费用从质量保修金内扣除。</w:t>
      </w:r>
    </w:p>
    <w:p>
      <w:pPr>
        <w:spacing w:line="54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2．发生紧急事故需抢修的，承包人在接到事故通知后，应当立即到达事故现场抢修。</w:t>
      </w:r>
    </w:p>
    <w:p>
      <w:pPr>
        <w:spacing w:line="54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540" w:lineRule="exact"/>
        <w:ind w:left="420" w:leftChars="2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4．质量保修完成后，由发包人组织验收。</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五、保修费用</w:t>
      </w:r>
    </w:p>
    <w:p>
      <w:pPr>
        <w:spacing w:line="54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保修费用由造成质量缺陷的责任方承担。</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六、质量保修金的支付</w:t>
      </w:r>
    </w:p>
    <w:p>
      <w:pPr>
        <w:spacing w:line="54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发包人和承包人约定预留质量保证金比例为结算价的/，在工程竣工结算时一次性预留保证金。</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七、质量保修金的返还</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缺陷责任期满后经甲方再次验收无任何质量问题后无息给予付清。</w:t>
      </w:r>
    </w:p>
    <w:p>
      <w:pPr>
        <w:spacing w:line="54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八</w:t>
      </w:r>
      <w:r>
        <w:rPr>
          <w:rFonts w:hint="eastAsia" w:ascii="仿宋" w:hAnsi="仿宋" w:eastAsia="仿宋" w:cs="仿宋"/>
          <w:color w:val="auto"/>
          <w:sz w:val="24"/>
          <w:szCs w:val="24"/>
          <w:highlight w:val="none"/>
        </w:rPr>
        <w:t>、双方约定的其他工程质量保修事项：</w:t>
      </w:r>
    </w:p>
    <w:p>
      <w:pPr>
        <w:spacing w:line="540" w:lineRule="exact"/>
        <w:ind w:firstLine="6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保修期内承包人保证随叫随到，若出现问题承包人在24小时内没有维修或解决，发包人有权委托他人进行处理，费用从承包人的质保金中支出；如维修费用高于质保金的，除扣除质保金外，超出部分费用由承包人承担，维修项目的质量保修期相应顺延。在顺延的质保期内因工程达不到质量要求而支出的维修费用超过质保金的部分，由承包人支付并承担相应的赔偿责任，并且发包人将该施工单位列入发包人修缮工程单位黑名单中。</w:t>
      </w:r>
    </w:p>
    <w:p>
      <w:pPr>
        <w:spacing w:line="540" w:lineRule="exact"/>
        <w:ind w:firstLine="456" w:firstLineChars="19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工程质量保修书由发包人、承包人在工程竣工验收前共同签署，作为施工合同附件，其有效期限至保修期满。</w:t>
      </w:r>
    </w:p>
    <w:p>
      <w:pPr>
        <w:spacing w:line="540" w:lineRule="exact"/>
        <w:ind w:firstLine="420"/>
        <w:rPr>
          <w:rFonts w:hint="eastAsia" w:ascii="仿宋" w:hAnsi="仿宋" w:eastAsia="仿宋" w:cs="仿宋"/>
          <w:color w:val="auto"/>
          <w:sz w:val="24"/>
          <w:szCs w:val="24"/>
          <w:highlight w:val="none"/>
        </w:rPr>
      </w:pP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  (公章)              承包人：  (公章)</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                  法定代表人或</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           委托代理人（签字）：</w:t>
      </w:r>
    </w:p>
    <w:p>
      <w:pPr>
        <w:tabs>
          <w:tab w:val="left" w:pos="4410"/>
        </w:tabs>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组织机构代码：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组织机构代码：</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u w:val="single"/>
          <w:shd w:val="clear" w:color="auto" w:fill="FFFFFF"/>
        </w:rPr>
      </w:pPr>
      <w:r>
        <w:rPr>
          <w:rFonts w:hint="eastAsia" w:ascii="仿宋" w:hAnsi="仿宋" w:eastAsia="仿宋" w:cs="仿宋"/>
          <w:color w:val="auto"/>
          <w:sz w:val="24"/>
          <w:szCs w:val="24"/>
          <w:highlight w:val="none"/>
        </w:rPr>
        <w:t>地  址：</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z w:val="24"/>
          <w:szCs w:val="24"/>
          <w:highlight w:val="none"/>
        </w:rPr>
        <w:t xml:space="preserve">  地址：</w:t>
      </w:r>
      <w:r>
        <w:rPr>
          <w:rFonts w:hint="eastAsia" w:ascii="仿宋" w:hAnsi="仿宋" w:eastAsia="仿宋" w:cs="仿宋"/>
          <w:color w:val="auto"/>
          <w:sz w:val="24"/>
          <w:szCs w:val="24"/>
          <w:highlight w:val="none"/>
          <w:u w:val="single"/>
          <w:shd w:val="clear" w:color="auto" w:fill="FFFFFF"/>
        </w:rPr>
        <w:t xml:space="preserve">                      </w:t>
      </w:r>
    </w:p>
    <w:p>
      <w:pPr>
        <w:spacing w:line="540" w:lineRule="exact"/>
        <w:rPr>
          <w:rFonts w:hint="eastAsia" w:ascii="仿宋" w:hAnsi="仿宋" w:eastAsia="仿宋" w:cs="仿宋"/>
          <w:color w:val="auto"/>
          <w:sz w:val="24"/>
          <w:szCs w:val="24"/>
          <w:highlight w:val="none"/>
          <w:u w:val="single"/>
          <w:shd w:val="clear" w:color="auto" w:fill="FFFFFF"/>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邮政编码：</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电子信箱：</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rPr>
        <w:t xml:space="preserve"> </w:t>
      </w:r>
    </w:p>
    <w:p>
      <w:pPr>
        <w:spacing w:line="540" w:lineRule="exact"/>
        <w:ind w:left="4320" w:hanging="4320" w:hangingChars="1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pacing w:val="-30"/>
          <w:sz w:val="24"/>
          <w:szCs w:val="24"/>
          <w:highlight w:val="none"/>
          <w:u w:val="single"/>
        </w:rPr>
        <w:t xml:space="preserve">                                       </w:t>
      </w:r>
      <w:r>
        <w:rPr>
          <w:rFonts w:hint="eastAsia" w:ascii="仿宋" w:hAnsi="仿宋" w:eastAsia="仿宋" w:cs="仿宋"/>
          <w:color w:val="auto"/>
          <w:sz w:val="24"/>
          <w:szCs w:val="24"/>
          <w:highlight w:val="none"/>
        </w:rPr>
        <w:t>开户银行:</w:t>
      </w:r>
      <w:r>
        <w:rPr>
          <w:rFonts w:hint="eastAsia" w:ascii="仿宋" w:hAnsi="仿宋" w:eastAsia="仿宋" w:cs="仿宋"/>
          <w:color w:val="auto"/>
          <w:spacing w:val="-30"/>
          <w:sz w:val="24"/>
          <w:szCs w:val="24"/>
          <w:highlight w:val="none"/>
          <w:u w:val="single"/>
        </w:rPr>
        <w:t xml:space="preserve"> </w:t>
      </w:r>
      <w:r>
        <w:rPr>
          <w:rFonts w:hint="eastAsia" w:ascii="仿宋" w:hAnsi="仿宋" w:eastAsia="仿宋" w:cs="仿宋"/>
          <w:color w:val="auto"/>
          <w:sz w:val="24"/>
          <w:szCs w:val="24"/>
          <w:highlight w:val="none"/>
          <w:u w:val="single"/>
          <w:shd w:val="clear" w:color="auto" w:fill="FFFFFF"/>
        </w:rPr>
        <w:t xml:space="preserve">                    </w:t>
      </w:r>
    </w:p>
    <w:p>
      <w:pPr>
        <w:spacing w:line="360" w:lineRule="auto"/>
        <w:jc w:val="left"/>
        <w:rPr>
          <w:rFonts w:hint="eastAsia" w:ascii="仿宋" w:hAnsi="仿宋" w:eastAsia="仿宋" w:cs="仿宋"/>
          <w:color w:val="auto"/>
          <w:sz w:val="24"/>
          <w:szCs w:val="24"/>
          <w:highlight w:val="none"/>
        </w:rPr>
        <w:sectPr>
          <w:pgSz w:w="11906" w:h="16838"/>
          <w:pgMar w:top="1418" w:right="1555" w:bottom="1418" w:left="1531" w:header="851" w:footer="992" w:gutter="0"/>
          <w:pgNumType w:fmt="decimal"/>
          <w:cols w:space="720" w:num="1"/>
          <w:titlePg/>
          <w:docGrid w:type="lines" w:linePitch="312" w:charSpace="0"/>
        </w:sectPr>
      </w:pPr>
      <w:r>
        <w:rPr>
          <w:rFonts w:hint="eastAsia" w:ascii="仿宋" w:hAnsi="仿宋" w:eastAsia="仿宋" w:cs="仿宋"/>
          <w:color w:val="auto"/>
          <w:sz w:val="24"/>
          <w:szCs w:val="24"/>
          <w:highlight w:val="none"/>
        </w:rPr>
        <w:t>账  号：</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z w:val="24"/>
          <w:szCs w:val="24"/>
          <w:highlight w:val="none"/>
        </w:rPr>
        <w:t>账  号：</w:t>
      </w:r>
      <w:r>
        <w:rPr>
          <w:rFonts w:hint="eastAsia" w:ascii="仿宋" w:hAnsi="仿宋" w:eastAsia="仿宋" w:cs="仿宋"/>
          <w:color w:val="auto"/>
          <w:sz w:val="24"/>
          <w:szCs w:val="24"/>
          <w:highlight w:val="none"/>
          <w:u w:val="single"/>
          <w:shd w:val="clear" w:color="auto" w:fill="FFFFFF"/>
        </w:rPr>
        <w:t xml:space="preserve">                      </w:t>
      </w:r>
    </w:p>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附件2：</w:t>
      </w:r>
    </w:p>
    <w:p>
      <w:pPr>
        <w:spacing w:line="600" w:lineRule="exact"/>
        <w:jc w:val="left"/>
        <w:rPr>
          <w:rFonts w:hint="eastAsia" w:ascii="仿宋" w:hAnsi="仿宋" w:eastAsia="仿宋" w:cs="仿宋"/>
          <w:b/>
          <w:color w:val="auto"/>
          <w:sz w:val="28"/>
          <w:szCs w:val="28"/>
          <w:highlight w:val="none"/>
        </w:rPr>
      </w:pPr>
    </w:p>
    <w:p>
      <w:pPr>
        <w:spacing w:line="600" w:lineRule="exact"/>
        <w:ind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建设工程廉政责任书</w:t>
      </w:r>
    </w:p>
    <w:p>
      <w:pPr>
        <w:spacing w:line="560" w:lineRule="exact"/>
        <w:rPr>
          <w:rFonts w:hint="eastAsia" w:ascii="仿宋" w:hAnsi="仿宋" w:eastAsia="仿宋" w:cs="仿宋"/>
          <w:color w:val="auto"/>
          <w:sz w:val="28"/>
          <w:szCs w:val="28"/>
          <w:highlight w:val="none"/>
        </w:rPr>
      </w:pPr>
    </w:p>
    <w:p>
      <w:pP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w:t>
      </w:r>
      <w:r>
        <w:rPr>
          <w:rFonts w:hint="eastAsia" w:ascii="仿宋" w:hAnsi="仿宋" w:eastAsia="仿宋" w:cs="仿宋"/>
          <w:color w:val="auto"/>
          <w:sz w:val="24"/>
          <w:szCs w:val="24"/>
          <w:highlight w:val="none"/>
          <w:u w:val="single"/>
        </w:rPr>
        <w:t xml:space="preserve">                              </w:t>
      </w:r>
    </w:p>
    <w:p>
      <w:pP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w:t>
      </w:r>
      <w:r>
        <w:rPr>
          <w:rFonts w:hint="eastAsia" w:ascii="仿宋" w:hAnsi="仿宋" w:eastAsia="仿宋" w:cs="仿宋"/>
          <w:color w:val="auto"/>
          <w:sz w:val="24"/>
          <w:szCs w:val="24"/>
          <w:highlight w:val="none"/>
          <w:u w:val="single"/>
        </w:rPr>
        <w:t xml:space="preserve">                              </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一、双方的责任</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1.1应严格遵守国家关于建设工程的有关法律、法规，相关政策，以及廉政建设的各项规定。</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1.2严格执行建设工程合同文件，自觉按合同办事。</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1.3各项活动必须坚持公开、公平、公正、诚信、透明的原则(除法律法规另有规定者外)，不得为获取不正当的利益，损害国家、集体和对方利益，不得违反建设工程管理的规章制度。</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1.4发现对方在业务活动中有违规、违纪、违法行为的，应及时提醒对方，情节严重的，应向其上级主管部门或纪检监察、司法等有关机关举报。</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二、发包人责任</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发包人的领导和从事该建设工程项目的工作人员，在工程建设的事前、事中、事后应遵守以下规定：</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2.1不得向承包人和相关单位索要或接受回扣、礼金、有价证券、贵重物品和好处费、感谢费等。</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2.2不得在承包人和相关单位报销任何应由发包人或个人支付的费用。</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2.3不得要求、暗示或接受承包人和相关单位为个人装修住房、婚丧嫁娶、配偶子女的工作安排以及出国(境)、旅游等提供方便。</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2.4不得参加有可能影响公正执行公务的承包人和相关单位的宴请、健身、娱乐等活动。</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2.5不得向承包人和相关单位介绍或为配偶、子女、亲属参与同发包人工程建设管理合同有关的业务活动；不得以任何理由要求承包人和相关单位使用某种产品、材料和设备。</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三、承包人责任</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应与发包人保持正常的业务交往，按照有关法律法规和程序开展业务工作，严格执行工程建设的有关方针、政策，执行工程建设强制性标准，并遵守以下规定：</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3.1不得以任何理由向发包人及其工作人员索要、接受或赠送礼金、有价证券、贵重物品及回扣、好处费、感谢费等。</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3.2不得以任何理由为发包人和相关单位报销应由对方或个人支付的费用。</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3.3不得接受或暗示为发包人、相关单位或个人装修住房、婚丧嫁娶、配偶子女的工作安排以及出国(境)、旅游等提供方便。</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3.4不得以任何理由为发包人、相关单位或个人组织有可能影响公正执行公务的宴请、健身、娱乐等活动。</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四、违约责任</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4.1发包人工作人员有违反本责任书第一、二条责任行为的，依据有关法律、法规给予处理；涉嫌犯罪的，移交司法机关追究刑事责任；给承包人单位造成经济损失的，应予以赔偿。</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4.2承包人工作人员有违反本责任书第一、三条责任行为的，依据有关法律法规处理；涉嫌犯罪的，移交司法机关追究刑事责任；给发包人单位造成经济损失的，应予以赔偿。</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4.3本责任书作为建设工程合同的组成部分，与建设工程合同具有同等法律效力。经双方签署后立即生效。</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五、责任书有效期</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本责任书的有效期为双方签署之日起至该工程项目竣工验收合格时止。</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六、责任书份数</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本责任书一式二份，发包人承包人各执一份，具有同等效力。</w:t>
      </w:r>
    </w:p>
    <w:p>
      <w:pPr>
        <w:spacing w:line="560" w:lineRule="exact"/>
        <w:rPr>
          <w:rFonts w:hint="eastAsia" w:ascii="仿宋" w:hAnsi="仿宋" w:eastAsia="仿宋" w:cs="仿宋"/>
          <w:color w:val="auto"/>
          <w:sz w:val="24"/>
          <w:szCs w:val="24"/>
          <w:highlight w:val="none"/>
        </w:rPr>
      </w:pP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  (公章)              承包人：  (公章)</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                  法定代表人或</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           委托代理人（签字）：</w:t>
      </w:r>
    </w:p>
    <w:p>
      <w:pPr>
        <w:tabs>
          <w:tab w:val="left" w:pos="4410"/>
        </w:tabs>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组织机构代码：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组织机构代码：</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u w:val="single"/>
          <w:shd w:val="clear" w:color="auto" w:fill="FFFFFF"/>
        </w:rPr>
      </w:pPr>
      <w:r>
        <w:rPr>
          <w:rFonts w:hint="eastAsia" w:ascii="仿宋" w:hAnsi="仿宋" w:eastAsia="仿宋" w:cs="仿宋"/>
          <w:color w:val="auto"/>
          <w:sz w:val="24"/>
          <w:szCs w:val="24"/>
          <w:highlight w:val="none"/>
        </w:rPr>
        <w:t>地  址：</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z w:val="24"/>
          <w:szCs w:val="24"/>
          <w:highlight w:val="none"/>
        </w:rPr>
        <w:t xml:space="preserve">  地址：</w:t>
      </w:r>
      <w:r>
        <w:rPr>
          <w:rFonts w:hint="eastAsia" w:ascii="仿宋" w:hAnsi="仿宋" w:eastAsia="仿宋" w:cs="仿宋"/>
          <w:color w:val="auto"/>
          <w:sz w:val="24"/>
          <w:szCs w:val="24"/>
          <w:highlight w:val="none"/>
          <w:u w:val="single"/>
          <w:shd w:val="clear" w:color="auto" w:fill="FFFFFF"/>
        </w:rPr>
        <w:t xml:space="preserve">                      </w:t>
      </w:r>
    </w:p>
    <w:p>
      <w:pPr>
        <w:spacing w:line="540" w:lineRule="exact"/>
        <w:rPr>
          <w:rFonts w:hint="eastAsia" w:ascii="仿宋" w:hAnsi="仿宋" w:eastAsia="仿宋" w:cs="仿宋"/>
          <w:color w:val="auto"/>
          <w:sz w:val="24"/>
          <w:szCs w:val="24"/>
          <w:highlight w:val="none"/>
          <w:u w:val="single"/>
          <w:shd w:val="clear" w:color="auto" w:fill="FFFFFF"/>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邮政编码：</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电子信箱：</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rPr>
        <w:t xml:space="preserve"> </w:t>
      </w:r>
    </w:p>
    <w:p>
      <w:pPr>
        <w:spacing w:line="540" w:lineRule="exact"/>
        <w:ind w:left="4320" w:hanging="4320" w:hangingChars="1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pacing w:val="-30"/>
          <w:sz w:val="24"/>
          <w:szCs w:val="24"/>
          <w:highlight w:val="none"/>
          <w:u w:val="single"/>
        </w:rPr>
        <w:t xml:space="preserve">                                       </w:t>
      </w:r>
      <w:r>
        <w:rPr>
          <w:rFonts w:hint="eastAsia" w:ascii="仿宋" w:hAnsi="仿宋" w:eastAsia="仿宋" w:cs="仿宋"/>
          <w:color w:val="auto"/>
          <w:sz w:val="24"/>
          <w:szCs w:val="24"/>
          <w:highlight w:val="none"/>
        </w:rPr>
        <w:t>开户银行:</w:t>
      </w:r>
      <w:r>
        <w:rPr>
          <w:rFonts w:hint="eastAsia" w:ascii="仿宋" w:hAnsi="仿宋" w:eastAsia="仿宋" w:cs="仿宋"/>
          <w:color w:val="auto"/>
          <w:spacing w:val="-30"/>
          <w:sz w:val="24"/>
          <w:szCs w:val="24"/>
          <w:highlight w:val="none"/>
          <w:u w:val="single"/>
        </w:rPr>
        <w:t xml:space="preserve"> </w:t>
      </w:r>
      <w:r>
        <w:rPr>
          <w:rFonts w:hint="eastAsia" w:ascii="仿宋" w:hAnsi="仿宋" w:eastAsia="仿宋" w:cs="仿宋"/>
          <w:color w:val="auto"/>
          <w:sz w:val="24"/>
          <w:szCs w:val="24"/>
          <w:highlight w:val="none"/>
          <w:u w:val="single"/>
          <w:shd w:val="clear" w:color="auto" w:fill="FFFFFF"/>
        </w:rPr>
        <w:t xml:space="preserve">                    </w:t>
      </w:r>
    </w:p>
    <w:p>
      <w:pPr>
        <w:spacing w:line="360" w:lineRule="auto"/>
        <w:jc w:val="left"/>
        <w:rPr>
          <w:rFonts w:hint="eastAsia" w:ascii="仿宋" w:hAnsi="仿宋" w:eastAsia="仿宋" w:cs="仿宋"/>
          <w:color w:val="auto"/>
          <w:sz w:val="24"/>
          <w:szCs w:val="24"/>
          <w:highlight w:val="none"/>
        </w:rPr>
        <w:sectPr>
          <w:pgSz w:w="11906" w:h="16838"/>
          <w:pgMar w:top="1418" w:right="1555" w:bottom="1418" w:left="1531" w:header="851" w:footer="992" w:gutter="0"/>
          <w:pgNumType w:fmt="decimal"/>
          <w:cols w:space="720" w:num="1"/>
          <w:titlePg/>
          <w:docGrid w:type="lines" w:linePitch="312" w:charSpace="0"/>
        </w:sectPr>
      </w:pPr>
      <w:r>
        <w:rPr>
          <w:rFonts w:hint="eastAsia" w:ascii="仿宋" w:hAnsi="仿宋" w:eastAsia="仿宋" w:cs="仿宋"/>
          <w:color w:val="auto"/>
          <w:sz w:val="24"/>
          <w:szCs w:val="24"/>
          <w:highlight w:val="none"/>
        </w:rPr>
        <w:t>账  号：</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z w:val="24"/>
          <w:szCs w:val="24"/>
          <w:highlight w:val="none"/>
        </w:rPr>
        <w:t>账  号：</w:t>
      </w:r>
      <w:r>
        <w:rPr>
          <w:rFonts w:hint="eastAsia" w:ascii="仿宋" w:hAnsi="仿宋" w:eastAsia="仿宋" w:cs="仿宋"/>
          <w:color w:val="auto"/>
          <w:sz w:val="24"/>
          <w:szCs w:val="24"/>
          <w:highlight w:val="none"/>
          <w:u w:val="single"/>
          <w:shd w:val="clear" w:color="auto" w:fill="FFFFFF"/>
        </w:rPr>
        <w:t xml:space="preserve">                      </w:t>
      </w:r>
    </w:p>
    <w:p>
      <w:pPr>
        <w:spacing w:line="440" w:lineRule="exac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附件3：</w:t>
      </w:r>
    </w:p>
    <w:p>
      <w:pPr>
        <w:spacing w:before="156" w:beforeLines="50" w:after="156" w:afterLines="50" w:line="440" w:lineRule="exact"/>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承包人用于本工程施工的机械设备表</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1418"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机械或设备名称</w:t>
            </w:r>
          </w:p>
        </w:tc>
        <w:tc>
          <w:tcPr>
            <w:tcW w:w="850"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规格型号</w:t>
            </w:r>
          </w:p>
        </w:tc>
        <w:tc>
          <w:tcPr>
            <w:tcW w:w="1058"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数量</w:t>
            </w:r>
          </w:p>
        </w:tc>
        <w:tc>
          <w:tcPr>
            <w:tcW w:w="880"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产地</w:t>
            </w:r>
          </w:p>
        </w:tc>
        <w:tc>
          <w:tcPr>
            <w:tcW w:w="1020"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制造年份</w:t>
            </w:r>
          </w:p>
        </w:tc>
        <w:tc>
          <w:tcPr>
            <w:tcW w:w="1480"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额定功率(kW)</w:t>
            </w:r>
          </w:p>
        </w:tc>
        <w:tc>
          <w:tcPr>
            <w:tcW w:w="1020"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生产能力</w:t>
            </w:r>
          </w:p>
        </w:tc>
        <w:tc>
          <w:tcPr>
            <w:tcW w:w="921"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bl>
    <w:p>
      <w:pPr>
        <w:spacing w:line="440" w:lineRule="exact"/>
        <w:rPr>
          <w:rFonts w:hint="eastAsia" w:ascii="仿宋" w:hAnsi="仿宋" w:eastAsia="仿宋" w:cs="仿宋"/>
          <w:color w:val="auto"/>
          <w:sz w:val="30"/>
          <w:szCs w:val="30"/>
          <w:highlight w:val="none"/>
        </w:rPr>
        <w:sectPr>
          <w:pgSz w:w="11906" w:h="16838"/>
          <w:pgMar w:top="1418" w:right="1555" w:bottom="1418" w:left="1531" w:header="851" w:footer="992" w:gutter="0"/>
          <w:pgNumType w:fmt="decimal"/>
          <w:cols w:space="720" w:num="1"/>
          <w:titlePg/>
          <w:docGrid w:type="lines" w:linePitch="312" w:charSpace="0"/>
        </w:sectPr>
      </w:pPr>
    </w:p>
    <w:p>
      <w:pPr>
        <w:spacing w:line="440" w:lineRule="exac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附件4：</w:t>
      </w:r>
    </w:p>
    <w:p>
      <w:pPr>
        <w:spacing w:before="156" w:beforeLines="50" w:after="156" w:afterLines="50" w:line="440" w:lineRule="exact"/>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承包人主要施工管理人员表</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名    称</w:t>
            </w:r>
          </w:p>
        </w:tc>
        <w:tc>
          <w:tcPr>
            <w:tcW w:w="1418"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姓名</w:t>
            </w:r>
          </w:p>
        </w:tc>
        <w:tc>
          <w:tcPr>
            <w:tcW w:w="1134"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职务</w:t>
            </w:r>
          </w:p>
        </w:tc>
        <w:tc>
          <w:tcPr>
            <w:tcW w:w="1134"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职称</w:t>
            </w:r>
          </w:p>
        </w:tc>
        <w:tc>
          <w:tcPr>
            <w:tcW w:w="4252"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项目主管</w:t>
            </w:r>
          </w:p>
        </w:tc>
        <w:tc>
          <w:tcPr>
            <w:tcW w:w="1418"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其他人员</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项目经理</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项目副经理</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技术负责人</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造价管理</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质量管理</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材料管理</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计划管理</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安全管理</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其他人员</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tcBorders>
              <w:bottom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tcBorders>
              <w:bottom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tcBorders>
              <w:bottom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tcBorders>
              <w:bottom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tcBorders>
              <w:bottom w:val="single" w:color="auto" w:sz="12"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tcBorders>
              <w:bottom w:val="single" w:color="auto" w:sz="12"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tcBorders>
              <w:bottom w:val="single" w:color="auto" w:sz="12"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tcBorders>
              <w:bottom w:val="single" w:color="auto" w:sz="12"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bl>
    <w:p>
      <w:pPr>
        <w:spacing w:line="440" w:lineRule="exact"/>
        <w:rPr>
          <w:rFonts w:hint="eastAsia" w:ascii="仿宋" w:hAnsi="仿宋" w:eastAsia="仿宋" w:cs="仿宋"/>
          <w:color w:val="auto"/>
          <w:sz w:val="30"/>
          <w:szCs w:val="30"/>
          <w:highlight w:val="none"/>
        </w:rPr>
        <w:sectPr>
          <w:pgSz w:w="11906" w:h="16838"/>
          <w:pgMar w:top="1418" w:right="1555" w:bottom="1418" w:left="1531" w:header="851" w:footer="992" w:gutter="0"/>
          <w:pgNumType w:fmt="decimal"/>
          <w:cols w:space="720" w:num="1"/>
          <w:titlePg/>
          <w:docGrid w:type="lines" w:linePitch="312" w:charSpace="0"/>
        </w:sectPr>
      </w:pPr>
    </w:p>
    <w:p>
      <w:pPr>
        <w:spacing w:line="440" w:lineRule="exac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附件5：</w:t>
      </w:r>
    </w:p>
    <w:p>
      <w:pPr>
        <w:spacing w:before="156" w:beforeLines="50" w:after="156" w:afterLines="50" w:line="440" w:lineRule="exact"/>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本工程主材明细表</w:t>
      </w:r>
    </w:p>
    <w:tbl>
      <w:tblPr>
        <w:tblStyle w:val="2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
      <w:tblGrid>
        <w:gridCol w:w="599"/>
        <w:gridCol w:w="1500"/>
        <w:gridCol w:w="1680"/>
        <w:gridCol w:w="1365"/>
        <w:gridCol w:w="2039"/>
        <w:gridCol w:w="16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序号</w:t>
            </w:r>
          </w:p>
        </w:tc>
        <w:tc>
          <w:tcPr>
            <w:tcW w:w="1500"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名称</w:t>
            </w:r>
          </w:p>
        </w:tc>
        <w:tc>
          <w:tcPr>
            <w:tcW w:w="1680"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品牌</w:t>
            </w:r>
          </w:p>
        </w:tc>
        <w:tc>
          <w:tcPr>
            <w:tcW w:w="1365"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产地</w:t>
            </w:r>
          </w:p>
        </w:tc>
        <w:tc>
          <w:tcPr>
            <w:tcW w:w="203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规格</w:t>
            </w:r>
          </w:p>
        </w:tc>
        <w:tc>
          <w:tcPr>
            <w:tcW w:w="1635" w:type="dxa"/>
            <w:tcBorders>
              <w:bottom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2</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3</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4</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5</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6</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7</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8</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9</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10</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11</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12</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top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13</w:t>
            </w:r>
          </w:p>
        </w:tc>
        <w:tc>
          <w:tcPr>
            <w:tcW w:w="1500" w:type="dxa"/>
            <w:tcBorders>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noWrap w:val="0"/>
            <w:vAlign w:val="center"/>
          </w:tcPr>
          <w:p>
            <w:pPr>
              <w:jc w:val="center"/>
              <w:rPr>
                <w:rFonts w:hint="eastAsia" w:ascii="仿宋" w:hAnsi="仿宋" w:eastAsia="仿宋" w:cs="仿宋"/>
                <w:color w:val="auto"/>
                <w:sz w:val="24"/>
                <w:szCs w:val="24"/>
                <w:highlight w:val="none"/>
              </w:rPr>
            </w:pPr>
          </w:p>
        </w:tc>
      </w:tr>
    </w:tbl>
    <w:p>
      <w:pPr>
        <w:pStyle w:val="5"/>
        <w:numPr>
          <w:ilvl w:val="0"/>
          <w:numId w:val="0"/>
        </w:numPr>
        <w:ind w:leftChars="0"/>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bookmarkEnd w:id="79"/>
    <w:p>
      <w:pPr>
        <w:rPr>
          <w:rFonts w:ascii="宋体" w:hAnsi="宋体" w:cs="宋体"/>
          <w:color w:val="auto"/>
          <w:sz w:val="24"/>
          <w:szCs w:val="24"/>
          <w:highlight w:val="none"/>
        </w:rPr>
      </w:pPr>
    </w:p>
    <w:p>
      <w:pPr>
        <w:jc w:val="center"/>
        <w:outlineLvl w:val="9"/>
        <w:rPr>
          <w:rFonts w:hint="eastAsia" w:ascii="宋体" w:hAnsi="宋体" w:cs="宋体"/>
          <w:color w:val="auto"/>
          <w:sz w:val="32"/>
          <w:szCs w:val="32"/>
          <w:highlight w:val="none"/>
        </w:rPr>
      </w:pPr>
    </w:p>
    <w:p>
      <w:pPr>
        <w:pStyle w:val="5"/>
        <w:numPr>
          <w:ilvl w:val="0"/>
          <w:numId w:val="0"/>
        </w:numPr>
        <w:ind w:leftChars="0"/>
        <w:rPr>
          <w:rFonts w:hint="eastAsia"/>
          <w:color w:val="auto"/>
          <w:highlight w:val="none"/>
        </w:rPr>
      </w:pPr>
    </w:p>
    <w:p>
      <w:pPr>
        <w:pStyle w:val="5"/>
        <w:numPr>
          <w:ilvl w:val="0"/>
          <w:numId w:val="0"/>
        </w:numPr>
        <w:ind w:leftChars="0"/>
        <w:rPr>
          <w:rFonts w:hint="eastAsia"/>
          <w:color w:val="auto"/>
          <w:highlight w:val="none"/>
        </w:rPr>
      </w:pPr>
    </w:p>
    <w:p>
      <w:pPr>
        <w:jc w:val="left"/>
        <w:rPr>
          <w:rFonts w:hint="eastAsia" w:cs="仿宋_GB2312"/>
          <w:color w:val="auto"/>
          <w:highlight w:val="none"/>
        </w:rPr>
      </w:pPr>
    </w:p>
    <w:p>
      <w:pPr>
        <w:jc w:val="left"/>
        <w:rPr>
          <w:rFonts w:hint="eastAsia" w:cs="仿宋_GB2312"/>
          <w:color w:val="auto"/>
          <w:highlight w:val="none"/>
        </w:rPr>
      </w:pPr>
    </w:p>
    <w:p>
      <w:pPr>
        <w:jc w:val="left"/>
        <w:rPr>
          <w:rFonts w:hint="eastAsia" w:cs="仿宋_GB2312"/>
          <w:color w:val="auto"/>
          <w:highlight w:val="none"/>
        </w:rPr>
      </w:pPr>
    </w:p>
    <w:p>
      <w:pPr>
        <w:jc w:val="left"/>
        <w:rPr>
          <w:rFonts w:hint="eastAsia" w:cs="仿宋_GB2312"/>
          <w:color w:val="auto"/>
          <w:highlight w:val="none"/>
        </w:rPr>
      </w:pPr>
    </w:p>
    <w:p>
      <w:pPr>
        <w:pStyle w:val="26"/>
        <w:rPr>
          <w:rFonts w:hint="eastAsia"/>
          <w:color w:val="auto"/>
          <w:highlight w:val="none"/>
          <w:lang w:val="en-US" w:eastAsia="zh-CN"/>
        </w:rPr>
      </w:pPr>
    </w:p>
    <w:p>
      <w:pPr>
        <w:numPr>
          <w:ilvl w:val="0"/>
          <w:numId w:val="6"/>
        </w:num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bookmarkStart w:id="671" w:name="_Toc47"/>
      <w:bookmarkStart w:id="672" w:name="_Toc23309"/>
      <w:bookmarkStart w:id="673" w:name="_Toc27467"/>
      <w:r>
        <w:rPr>
          <w:rFonts w:hint="eastAsia" w:ascii="宋体" w:hAnsi="宋体" w:cs="宋体"/>
          <w:b/>
          <w:color w:val="auto"/>
          <w:sz w:val="32"/>
          <w:szCs w:val="32"/>
          <w:highlight w:val="none"/>
          <w:lang w:val="en-US" w:eastAsia="zh-CN"/>
        </w:rPr>
        <w:t>采购需求</w:t>
      </w:r>
    </w:p>
    <w:p>
      <w:pPr>
        <w:autoSpaceDE w:val="0"/>
        <w:autoSpaceDN w:val="0"/>
        <w:adjustRightInd w:val="0"/>
        <w:spacing w:line="440" w:lineRule="exact"/>
        <w:ind w:left="-630" w:firstLine="6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一</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工程概况：</w:t>
      </w:r>
    </w:p>
    <w:p>
      <w:pPr>
        <w:adjustRightInd w:val="0"/>
        <w:snapToGrid w:val="0"/>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1、建设单位：</w:t>
      </w:r>
      <w:r>
        <w:rPr>
          <w:rFonts w:hint="eastAsia" w:ascii="宋体" w:hAnsi="宋体" w:eastAsia="宋体" w:cs="宋体"/>
          <w:color w:val="auto"/>
          <w:sz w:val="24"/>
          <w:highlight w:val="none"/>
          <w:lang w:val="en-US" w:eastAsia="zh-CN"/>
        </w:rPr>
        <w:t>新疆维吾尔自治区省级干部住宅小区管理服务中心</w:t>
      </w:r>
    </w:p>
    <w:p>
      <w:pPr>
        <w:adjustRightInd w:val="0"/>
        <w:snapToGrid w:val="0"/>
        <w:spacing w:line="440" w:lineRule="exact"/>
        <w:ind w:firstLine="480"/>
        <w:rPr>
          <w:rFonts w:hint="eastAsia" w:ascii="宋体" w:hAnsi="宋体" w:cs="宋体"/>
          <w:color w:val="auto"/>
          <w:sz w:val="24"/>
          <w:highlight w:val="none"/>
          <w:lang w:eastAsia="zh-CN"/>
        </w:rPr>
      </w:pPr>
      <w:r>
        <w:rPr>
          <w:rFonts w:hint="eastAsia" w:ascii="宋体" w:hAnsi="宋体" w:eastAsia="宋体" w:cs="宋体"/>
          <w:color w:val="auto"/>
          <w:sz w:val="24"/>
          <w:highlight w:val="none"/>
        </w:rPr>
        <w:t>2、工程名称：</w:t>
      </w:r>
      <w:r>
        <w:rPr>
          <w:rFonts w:hint="eastAsia" w:ascii="宋体" w:hAnsi="宋体" w:cs="宋体"/>
          <w:color w:val="auto"/>
          <w:sz w:val="24"/>
          <w:highlight w:val="none"/>
          <w:lang w:eastAsia="zh-CN"/>
        </w:rPr>
        <w:t>团结路小区管网工程铺设项目</w:t>
      </w:r>
    </w:p>
    <w:p>
      <w:pPr>
        <w:adjustRightInd w:val="0"/>
        <w:snapToGrid w:val="0"/>
        <w:spacing w:line="440" w:lineRule="exact"/>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建设地址：</w:t>
      </w:r>
      <w:r>
        <w:rPr>
          <w:rFonts w:hint="eastAsia" w:ascii="宋体" w:hAnsi="宋体" w:eastAsia="宋体" w:cs="宋体"/>
          <w:color w:val="auto"/>
          <w:sz w:val="24"/>
          <w:highlight w:val="none"/>
          <w:lang w:val="en-US" w:eastAsia="zh-CN"/>
        </w:rPr>
        <w:t>乌鲁木齐市</w:t>
      </w:r>
      <w:r>
        <w:rPr>
          <w:rFonts w:hint="eastAsia" w:ascii="宋体" w:hAnsi="宋体" w:cs="宋体"/>
          <w:color w:val="auto"/>
          <w:sz w:val="24"/>
          <w:highlight w:val="none"/>
          <w:lang w:eastAsia="zh-CN"/>
        </w:rPr>
        <w:t>团结路小区</w:t>
      </w:r>
    </w:p>
    <w:p>
      <w:pPr>
        <w:adjustRightInd w:val="0"/>
        <w:snapToGrid w:val="0"/>
        <w:spacing w:line="440" w:lineRule="exact"/>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4、建设规模及工程内容：</w:t>
      </w:r>
      <w:r>
        <w:rPr>
          <w:rFonts w:hint="eastAsia" w:ascii="宋体" w:hAnsi="宋体" w:eastAsia="宋体" w:cs="宋体"/>
          <w:color w:val="auto"/>
          <w:sz w:val="24"/>
          <w:highlight w:val="none"/>
          <w:lang w:val="en-US" w:eastAsia="zh-CN"/>
        </w:rPr>
        <w:t>工程量清单范围内的全部工作内容</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ab/>
      </w:r>
    </w:p>
    <w:p>
      <w:pPr>
        <w:autoSpaceDE w:val="0"/>
        <w:autoSpaceDN w:val="0"/>
        <w:adjustRightInd w:val="0"/>
        <w:spacing w:line="440" w:lineRule="exact"/>
        <w:ind w:left="-630" w:firstLine="6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二、项目工程量清单</w:t>
      </w:r>
    </w:p>
    <w:p>
      <w:pPr>
        <w:adjustRightInd w:val="0"/>
        <w:snapToGrid w:val="0"/>
        <w:spacing w:line="440" w:lineRule="exact"/>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详见附件。</w:t>
      </w:r>
    </w:p>
    <w:p>
      <w:pPr>
        <w:autoSpaceDE w:val="0"/>
        <w:autoSpaceDN w:val="0"/>
        <w:adjustRightInd w:val="0"/>
        <w:spacing w:line="440" w:lineRule="exact"/>
        <w:ind w:left="-630" w:firstLine="600"/>
        <w:rPr>
          <w:rFonts w:hint="default" w:ascii="Times New Roman" w:hAnsi="Times New Roman" w:eastAsia="宋体" w:cs="Times New Roman"/>
          <w:b/>
          <w:bCs/>
          <w:color w:val="auto"/>
          <w:sz w:val="28"/>
          <w:szCs w:val="32"/>
          <w:highlight w:val="none"/>
          <w:lang w:val="en-US" w:eastAsia="zh-CN"/>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商务要求</w:t>
      </w:r>
    </w:p>
    <w:p>
      <w:pPr>
        <w:snapToGrid w:val="0"/>
        <w:ind w:left="0" w:leftChars="0"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1、合同履约期限：</w:t>
      </w:r>
      <w:r>
        <w:rPr>
          <w:rFonts w:hint="eastAsia" w:ascii="宋体" w:hAnsi="宋体"/>
          <w:bCs/>
          <w:color w:val="auto"/>
          <w:sz w:val="24"/>
          <w:highlight w:val="none"/>
          <w:u w:val="single"/>
          <w:lang w:val="en-US" w:eastAsia="zh-CN"/>
        </w:rPr>
        <w:t>合同签订后30</w:t>
      </w:r>
      <w:r>
        <w:rPr>
          <w:rFonts w:hint="eastAsia" w:ascii="宋体" w:hAnsi="宋体"/>
          <w:bCs/>
          <w:color w:val="auto"/>
          <w:sz w:val="24"/>
          <w:highlight w:val="none"/>
          <w:u w:val="single"/>
        </w:rPr>
        <w:t>日内完成所有工作内容</w:t>
      </w:r>
      <w:r>
        <w:rPr>
          <w:rFonts w:hint="eastAsia" w:ascii="宋体" w:hAnsi="宋体"/>
          <w:bCs/>
          <w:color w:val="auto"/>
          <w:sz w:val="24"/>
          <w:highlight w:val="none"/>
          <w:u w:val="single"/>
          <w:lang w:val="en-US" w:eastAsia="zh-CN"/>
        </w:rPr>
        <w:t>并验收合格</w:t>
      </w:r>
    </w:p>
    <w:p>
      <w:pPr>
        <w:snapToGrid w:val="0"/>
        <w:ind w:left="0" w:leftChars="0"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2、履约地点：采购人指定地点。</w:t>
      </w:r>
    </w:p>
    <w:p>
      <w:pPr>
        <w:snapToGrid w:val="0"/>
        <w:ind w:left="0" w:leftChars="0"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3、付款方式：</w:t>
      </w:r>
      <w:r>
        <w:rPr>
          <w:rFonts w:hint="eastAsia" w:ascii="宋体" w:hAnsi="宋体" w:cs="Times New Roman"/>
          <w:bCs/>
          <w:color w:val="auto"/>
          <w:sz w:val="24"/>
          <w:highlight w:val="none"/>
          <w:lang w:val="en-US" w:eastAsia="zh-CN"/>
        </w:rPr>
        <w:t>按合同约定</w:t>
      </w:r>
      <w:r>
        <w:rPr>
          <w:rFonts w:hint="eastAsia" w:ascii="宋体" w:hAnsi="宋体" w:eastAsia="宋体" w:cs="Times New Roman"/>
          <w:bCs/>
          <w:color w:val="auto"/>
          <w:sz w:val="24"/>
          <w:highlight w:val="none"/>
          <w:lang w:eastAsia="zh-CN"/>
        </w:rPr>
        <w:t>。</w:t>
      </w:r>
    </w:p>
    <w:p>
      <w:pPr>
        <w:snapToGrid w:val="0"/>
        <w:ind w:left="0" w:leftChars="0" w:firstLine="240" w:firstLineChars="1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4、验收标准：按国家有关规定、采购文件的要求、供应商</w:t>
      </w:r>
      <w:r>
        <w:rPr>
          <w:rFonts w:hint="eastAsia" w:ascii="宋体" w:hAnsi="宋体" w:eastAsia="宋体" w:cs="Times New Roman"/>
          <w:color w:val="auto"/>
          <w:sz w:val="24"/>
          <w:highlight w:val="none"/>
          <w:lang w:val="en-US" w:eastAsia="zh-CN"/>
        </w:rPr>
        <w:t>响应文件</w:t>
      </w:r>
      <w:r>
        <w:rPr>
          <w:rFonts w:hint="default" w:ascii="宋体" w:hAnsi="宋体" w:eastAsia="宋体" w:cs="Times New Roman"/>
          <w:color w:val="auto"/>
          <w:sz w:val="24"/>
          <w:highlight w:val="none"/>
          <w:lang w:val="en-US" w:eastAsia="zh-CN"/>
        </w:rPr>
        <w:t>及承诺进行验收。</w:t>
      </w:r>
    </w:p>
    <w:p>
      <w:pPr>
        <w:snapToGrid w:val="0"/>
        <w:ind w:left="0" w:leftChars="0" w:firstLine="240" w:firstLineChars="1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5、履约责任：成交单位须在结果公示后</w:t>
      </w:r>
      <w:r>
        <w:rPr>
          <w:rFonts w:hint="eastAsia" w:ascii="宋体" w:hAnsi="宋体" w:eastAsia="宋体" w:cs="Times New Roman"/>
          <w:color w:val="auto"/>
          <w:sz w:val="24"/>
          <w:highlight w:val="none"/>
          <w:lang w:val="en-US" w:eastAsia="zh-CN"/>
        </w:rPr>
        <w:t>30</w:t>
      </w:r>
      <w:r>
        <w:rPr>
          <w:rFonts w:hint="default" w:ascii="宋体" w:hAnsi="宋体" w:eastAsia="宋体" w:cs="Times New Roman"/>
          <w:color w:val="auto"/>
          <w:sz w:val="24"/>
          <w:highlight w:val="none"/>
          <w:lang w:val="en-US" w:eastAsia="zh-CN"/>
        </w:rPr>
        <w:t>天内与采购人签订合同，并按采购文件要求和</w:t>
      </w:r>
      <w:r>
        <w:rPr>
          <w:rFonts w:hint="eastAsia" w:ascii="宋体" w:hAnsi="宋体" w:eastAsia="宋体" w:cs="Times New Roman"/>
          <w:color w:val="auto"/>
          <w:sz w:val="24"/>
          <w:highlight w:val="none"/>
          <w:lang w:val="en-US" w:eastAsia="zh-CN"/>
        </w:rPr>
        <w:t>响应</w:t>
      </w:r>
      <w:r>
        <w:rPr>
          <w:rFonts w:hint="default" w:ascii="宋体" w:hAnsi="宋体" w:eastAsia="宋体" w:cs="Times New Roman"/>
          <w:color w:val="auto"/>
          <w:sz w:val="24"/>
          <w:highlight w:val="none"/>
          <w:lang w:val="en-US" w:eastAsia="zh-CN"/>
        </w:rPr>
        <w:t>文件响应内容履行相应职责，否则招标采购单位不予退还其交纳的</w:t>
      </w:r>
      <w:r>
        <w:rPr>
          <w:rFonts w:hint="eastAsia" w:ascii="宋体" w:hAnsi="宋体" w:eastAsia="宋体" w:cs="Times New Roman"/>
          <w:color w:val="auto"/>
          <w:sz w:val="24"/>
          <w:highlight w:val="none"/>
          <w:lang w:val="en-US" w:eastAsia="zh-CN"/>
        </w:rPr>
        <w:t>响应</w:t>
      </w:r>
      <w:r>
        <w:rPr>
          <w:rFonts w:hint="default" w:ascii="宋体" w:hAnsi="宋体" w:eastAsia="宋体" w:cs="Times New Roman"/>
          <w:color w:val="auto"/>
          <w:sz w:val="24"/>
          <w:highlight w:val="none"/>
          <w:lang w:val="en-US" w:eastAsia="zh-CN"/>
        </w:rPr>
        <w:t>保证金，给采购人造成的经济损失的，采购人将依法追究其法律责任。</w:t>
      </w:r>
    </w:p>
    <w:p>
      <w:pPr>
        <w:snapToGrid w:val="0"/>
        <w:ind w:left="0" w:leftChars="0" w:firstLine="240" w:firstLineChars="1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6、工程质量保修期为</w:t>
      </w:r>
      <w:r>
        <w:rPr>
          <w:rFonts w:hint="eastAsia" w:ascii="宋体" w:hAnsi="宋体" w:cs="Times New Roman"/>
          <w:color w:val="auto"/>
          <w:sz w:val="24"/>
          <w:highlight w:val="none"/>
          <w:lang w:val="en-US" w:eastAsia="zh-CN"/>
        </w:rPr>
        <w:t>2</w:t>
      </w:r>
      <w:r>
        <w:rPr>
          <w:rFonts w:hint="default" w:ascii="宋体" w:hAnsi="宋体" w:eastAsia="宋体" w:cs="Times New Roman"/>
          <w:color w:val="auto"/>
          <w:sz w:val="24"/>
          <w:highlight w:val="none"/>
          <w:lang w:val="en-US" w:eastAsia="zh-CN"/>
        </w:rPr>
        <w:t>年。</w:t>
      </w:r>
    </w:p>
    <w:p>
      <w:pPr>
        <w:snapToGrid w:val="0"/>
        <w:ind w:left="0" w:leftChars="0" w:firstLine="240" w:firstLineChars="1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7、工程质量、材料及施工要求：工程质量及材料应达到国家、省、市现行验收标准；材料品质、规格必须符合设计要求，施工时必须按经批准的施工组织设计，符合施工规范及验收标准,并满足采购人要求。</w:t>
      </w:r>
    </w:p>
    <w:p>
      <w:pPr>
        <w:numPr>
          <w:ilvl w:val="0"/>
          <w:numId w:val="0"/>
        </w:numPr>
        <w:kinsoku w:val="0"/>
        <w:overflowPunct w:val="0"/>
        <w:spacing w:line="360" w:lineRule="auto"/>
        <w:jc w:val="both"/>
        <w:outlineLvl w:val="0"/>
        <w:rPr>
          <w:rFonts w:hint="eastAsia" w:ascii="宋体" w:hAnsi="宋体" w:eastAsia="宋体" w:cs="宋体"/>
          <w:b/>
          <w:color w:val="auto"/>
          <w:sz w:val="32"/>
          <w:szCs w:val="32"/>
          <w:highlight w:val="none"/>
          <w:lang w:val="en-US" w:eastAsia="zh-CN"/>
        </w:rPr>
      </w:pPr>
    </w:p>
    <w:p>
      <w:pPr>
        <w:numPr>
          <w:ilvl w:val="0"/>
          <w:numId w:val="0"/>
        </w:numPr>
        <w:kinsoku w:val="0"/>
        <w:overflowPunct w:val="0"/>
        <w:spacing w:line="360" w:lineRule="auto"/>
        <w:jc w:val="both"/>
        <w:outlineLvl w:val="0"/>
        <w:rPr>
          <w:rFonts w:hint="eastAsia" w:ascii="宋体" w:hAnsi="宋体" w:eastAsia="宋体" w:cs="宋体"/>
          <w:b/>
          <w:color w:val="auto"/>
          <w:sz w:val="32"/>
          <w:szCs w:val="32"/>
          <w:highlight w:val="none"/>
          <w:lang w:val="en-US" w:eastAsia="zh-CN"/>
        </w:rPr>
      </w:pPr>
    </w:p>
    <w:p>
      <w:pPr>
        <w:numPr>
          <w:ilvl w:val="0"/>
          <w:numId w:val="0"/>
        </w:numPr>
        <w:kinsoku w:val="0"/>
        <w:overflowPunct w:val="0"/>
        <w:spacing w:line="360" w:lineRule="auto"/>
        <w:jc w:val="both"/>
        <w:outlineLvl w:val="0"/>
        <w:rPr>
          <w:rFonts w:hint="eastAsia" w:ascii="宋体" w:hAnsi="宋体" w:eastAsia="宋体" w:cs="宋体"/>
          <w:b/>
          <w:color w:val="auto"/>
          <w:sz w:val="32"/>
          <w:szCs w:val="32"/>
          <w:highlight w:val="none"/>
          <w:lang w:val="en-US" w:eastAsia="zh-CN"/>
        </w:rPr>
      </w:pPr>
    </w:p>
    <w:p>
      <w:pPr>
        <w:numPr>
          <w:ilvl w:val="0"/>
          <w:numId w:val="0"/>
        </w:numPr>
        <w:kinsoku w:val="0"/>
        <w:overflowPunct w:val="0"/>
        <w:spacing w:line="360" w:lineRule="auto"/>
        <w:jc w:val="both"/>
        <w:outlineLvl w:val="0"/>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工程量清单</w:t>
      </w:r>
      <w:bookmarkEnd w:id="80"/>
      <w:bookmarkEnd w:id="81"/>
      <w:bookmarkEnd w:id="82"/>
      <w:bookmarkEnd w:id="83"/>
      <w:bookmarkEnd w:id="671"/>
      <w:bookmarkEnd w:id="672"/>
      <w:bookmarkStart w:id="674" w:name="_Toc8076"/>
      <w:bookmarkStart w:id="675" w:name="_Toc529952601"/>
      <w:bookmarkStart w:id="676" w:name="_Toc17616"/>
      <w:bookmarkStart w:id="677" w:name="_Toc256000028"/>
      <w:bookmarkStart w:id="678" w:name="_Toc9479"/>
      <w:bookmarkStart w:id="679" w:name="_Toc23930"/>
      <w:r>
        <w:rPr>
          <w:rFonts w:hint="eastAsia" w:ascii="宋体" w:hAnsi="宋体" w:eastAsia="宋体" w:cs="宋体"/>
          <w:b/>
          <w:color w:val="auto"/>
          <w:sz w:val="32"/>
          <w:szCs w:val="32"/>
          <w:highlight w:val="none"/>
          <w:lang w:val="en-US" w:eastAsia="zh-CN"/>
        </w:rPr>
        <w:t>（详见附件）</w:t>
      </w:r>
      <w:bookmarkEnd w:id="673"/>
    </w:p>
    <w:p>
      <w:pPr>
        <w:pStyle w:val="27"/>
        <w:numPr>
          <w:ilvl w:val="0"/>
          <w:numId w:val="0"/>
        </w:numPr>
        <w:ind w:leftChars="350"/>
        <w:rPr>
          <w:rFonts w:hint="eastAsia"/>
          <w:color w:val="auto"/>
          <w:highlight w:val="none"/>
          <w:lang w:val="en-US" w:eastAsia="zh-CN"/>
        </w:rPr>
      </w:pPr>
    </w:p>
    <w:p>
      <w:pPr>
        <w:pStyle w:val="26"/>
        <w:rPr>
          <w:rFonts w:hint="eastAsia"/>
          <w:color w:val="auto"/>
          <w:highlight w:val="none"/>
          <w:lang w:val="en-US" w:eastAsia="zh-CN"/>
        </w:rPr>
      </w:pPr>
    </w:p>
    <w:p>
      <w:p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p>
    <w:p>
      <w:p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p>
    <w:p>
      <w:p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p>
    <w:p>
      <w:p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bookmarkStart w:id="680" w:name="_Toc1533"/>
      <w:r>
        <w:rPr>
          <w:rFonts w:hint="eastAsia" w:ascii="宋体" w:hAnsi="宋体" w:eastAsia="宋体" w:cs="宋体"/>
          <w:b/>
          <w:color w:val="auto"/>
          <w:sz w:val="32"/>
          <w:szCs w:val="32"/>
          <w:highlight w:val="none"/>
          <w:lang w:val="en-US" w:eastAsia="zh-CN"/>
        </w:rPr>
        <w:t>第六章  图纸</w:t>
      </w:r>
      <w:bookmarkEnd w:id="674"/>
      <w:bookmarkEnd w:id="675"/>
      <w:bookmarkEnd w:id="676"/>
      <w:bookmarkEnd w:id="677"/>
      <w:r>
        <w:rPr>
          <w:rFonts w:hint="eastAsia" w:ascii="宋体" w:hAnsi="宋体" w:eastAsia="宋体" w:cs="宋体"/>
          <w:b/>
          <w:color w:val="auto"/>
          <w:sz w:val="32"/>
          <w:szCs w:val="32"/>
          <w:highlight w:val="none"/>
          <w:lang w:val="en-US" w:eastAsia="zh-CN"/>
        </w:rPr>
        <w:t>另附</w:t>
      </w:r>
      <w:bookmarkEnd w:id="678"/>
      <w:bookmarkEnd w:id="679"/>
      <w:bookmarkEnd w:id="680"/>
    </w:p>
    <w:p>
      <w:pPr>
        <w:rPr>
          <w:rFonts w:hint="eastAsia" w:ascii="宋体" w:hAnsi="宋体" w:cs="宋体"/>
          <w:b/>
          <w:bCs/>
          <w:color w:val="auto"/>
          <w:sz w:val="22"/>
          <w:szCs w:val="21"/>
          <w:highlight w:val="none"/>
          <w:lang w:val="en-US" w:eastAsia="zh-CN"/>
        </w:rPr>
      </w:pPr>
      <w:bookmarkStart w:id="681" w:name="EB494e10445b284177a9350c3e96722e55"/>
    </w:p>
    <w:p>
      <w:pPr>
        <w:rPr>
          <w:rFonts w:hint="eastAsia" w:ascii="宋体" w:hAnsi="宋体" w:cs="宋体"/>
          <w:b/>
          <w:bCs/>
          <w:color w:val="auto"/>
          <w:sz w:val="22"/>
          <w:szCs w:val="21"/>
          <w:highlight w:val="none"/>
          <w:lang w:val="en-US" w:eastAsia="zh-CN"/>
        </w:rPr>
      </w:pPr>
    </w:p>
    <w:p>
      <w:pPr>
        <w:jc w:val="center"/>
        <w:rPr>
          <w:rFonts w:hint="eastAsia" w:ascii="宋体" w:hAnsi="宋体" w:cs="宋体"/>
          <w:b/>
          <w:bCs/>
          <w:color w:val="auto"/>
          <w:sz w:val="22"/>
          <w:szCs w:val="21"/>
          <w:highlight w:val="none"/>
          <w:lang w:val="en-US" w:eastAsia="zh-CN"/>
        </w:rPr>
      </w:pPr>
      <w:r>
        <w:rPr>
          <w:rFonts w:hint="eastAsia" w:ascii="宋体" w:hAnsi="宋体" w:cs="宋体"/>
          <w:b/>
          <w:bCs/>
          <w:color w:val="auto"/>
          <w:sz w:val="22"/>
          <w:szCs w:val="21"/>
          <w:highlight w:val="none"/>
          <w:lang w:val="en-US" w:eastAsia="zh-CN"/>
        </w:rPr>
        <w:t>本项目无图纸</w:t>
      </w:r>
    </w:p>
    <w:p>
      <w:pPr>
        <w:pStyle w:val="27"/>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bookmarkEnd w:id="681"/>
    <w:p>
      <w:p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bookmarkStart w:id="682" w:name="_Toc19130"/>
      <w:bookmarkStart w:id="683" w:name="_Toc256000029"/>
      <w:bookmarkStart w:id="684" w:name="_Toc529952602"/>
      <w:bookmarkStart w:id="685" w:name="_Toc9752"/>
      <w:bookmarkStart w:id="686" w:name="_Toc30879"/>
      <w:bookmarkStart w:id="687" w:name="_Toc5936"/>
      <w:bookmarkStart w:id="688" w:name="_Toc10897"/>
      <w:r>
        <w:rPr>
          <w:rFonts w:hint="eastAsia" w:ascii="宋体" w:hAnsi="宋体" w:eastAsia="宋体" w:cs="宋体"/>
          <w:b/>
          <w:color w:val="auto"/>
          <w:sz w:val="32"/>
          <w:szCs w:val="32"/>
          <w:highlight w:val="none"/>
          <w:lang w:val="en-US" w:eastAsia="zh-CN"/>
        </w:rPr>
        <w:t>第七章 响应文件格式</w:t>
      </w:r>
      <w:bookmarkEnd w:id="682"/>
      <w:bookmarkEnd w:id="683"/>
      <w:bookmarkEnd w:id="684"/>
      <w:bookmarkEnd w:id="685"/>
      <w:bookmarkEnd w:id="686"/>
      <w:bookmarkEnd w:id="687"/>
      <w:bookmarkEnd w:id="688"/>
    </w:p>
    <w:p>
      <w:pPr>
        <w:rPr>
          <w:rFonts w:hint="eastAsia" w:ascii="宋体" w:hAnsi="宋体" w:cs="宋体"/>
          <w:color w:val="auto"/>
          <w:highlight w:val="none"/>
        </w:rPr>
      </w:pPr>
      <w:bookmarkStart w:id="689" w:name="EB77e84d16e8514e3d843450083f22a83d"/>
    </w:p>
    <w:p>
      <w:pPr>
        <w:pStyle w:val="54"/>
        <w:spacing w:after="100" w:afterAutospacing="1"/>
        <w:jc w:val="center"/>
        <w:outlineLvl w:val="9"/>
        <w:rPr>
          <w:rFonts w:hint="eastAsia" w:ascii="宋体" w:hAnsi="宋体" w:eastAsia="宋体" w:cs="宋体"/>
          <w:color w:val="auto"/>
          <w:highlight w:val="none"/>
        </w:rPr>
      </w:pPr>
      <w:bookmarkStart w:id="690" w:name="_Toc27473"/>
      <w:bookmarkStart w:id="691" w:name="_Toc28793"/>
      <w:bookmarkStart w:id="692" w:name="_Toc29643"/>
      <w:r>
        <w:rPr>
          <w:rFonts w:hint="eastAsia" w:ascii="宋体" w:hAnsi="宋体" w:eastAsia="宋体" w:cs="宋体"/>
          <w:color w:val="auto"/>
          <w:sz w:val="40"/>
          <w:highlight w:val="none"/>
        </w:rPr>
        <w:t>目    录</w:t>
      </w:r>
      <w:bookmarkEnd w:id="690"/>
      <w:bookmarkEnd w:id="691"/>
      <w:bookmarkEnd w:id="692"/>
    </w:p>
    <w:p>
      <w:pPr>
        <w:pStyle w:val="54"/>
        <w:spacing w:after="100" w:afterAutospacing="1"/>
        <w:outlineLvl w:val="9"/>
        <w:rPr>
          <w:rFonts w:hint="eastAsia" w:ascii="宋体" w:hAnsi="宋体" w:eastAsia="宋体" w:cs="宋体"/>
          <w:color w:val="auto"/>
          <w:sz w:val="24"/>
          <w:szCs w:val="21"/>
          <w:highlight w:val="none"/>
        </w:rPr>
      </w:pPr>
      <w:bookmarkStart w:id="693" w:name="_Toc28827"/>
      <w:bookmarkStart w:id="694" w:name="_Toc21481"/>
      <w:r>
        <w:rPr>
          <w:rFonts w:hint="eastAsia" w:ascii="宋体" w:hAnsi="宋体" w:eastAsia="宋体" w:cs="宋体"/>
          <w:color w:val="auto"/>
          <w:sz w:val="24"/>
          <w:szCs w:val="21"/>
          <w:highlight w:val="none"/>
        </w:rPr>
        <w:t>一、投标文件封面</w:t>
      </w:r>
      <w:bookmarkEnd w:id="693"/>
      <w:bookmarkEnd w:id="694"/>
    </w:p>
    <w:p>
      <w:pPr>
        <w:pStyle w:val="54"/>
        <w:spacing w:after="100" w:afterAutospacing="1"/>
        <w:outlineLvl w:val="9"/>
        <w:rPr>
          <w:rFonts w:hint="eastAsia" w:ascii="宋体" w:hAnsi="宋体" w:eastAsia="宋体" w:cs="宋体"/>
          <w:color w:val="auto"/>
          <w:sz w:val="24"/>
          <w:szCs w:val="21"/>
          <w:highlight w:val="none"/>
        </w:rPr>
      </w:pPr>
      <w:bookmarkStart w:id="695" w:name="_Toc22739"/>
      <w:bookmarkStart w:id="696" w:name="_Toc26828"/>
      <w:r>
        <w:rPr>
          <w:rFonts w:hint="eastAsia" w:ascii="宋体" w:hAnsi="宋体" w:eastAsia="宋体" w:cs="宋体"/>
          <w:color w:val="auto"/>
          <w:sz w:val="24"/>
          <w:szCs w:val="21"/>
          <w:highlight w:val="none"/>
        </w:rPr>
        <w:t>二、供应商资格声明</w:t>
      </w:r>
      <w:bookmarkEnd w:id="695"/>
      <w:bookmarkEnd w:id="696"/>
    </w:p>
    <w:p>
      <w:pPr>
        <w:pStyle w:val="54"/>
        <w:spacing w:after="100" w:afterAutospacing="1"/>
        <w:outlineLvl w:val="9"/>
        <w:rPr>
          <w:rFonts w:hint="eastAsia" w:ascii="宋体" w:hAnsi="宋体" w:eastAsia="宋体" w:cs="宋体"/>
          <w:color w:val="auto"/>
          <w:sz w:val="24"/>
          <w:szCs w:val="21"/>
          <w:highlight w:val="none"/>
        </w:rPr>
      </w:pPr>
      <w:bookmarkStart w:id="697" w:name="_Toc19474"/>
      <w:bookmarkStart w:id="698" w:name="_Toc28701"/>
      <w:r>
        <w:rPr>
          <w:rFonts w:hint="eastAsia" w:ascii="宋体" w:hAnsi="宋体" w:eastAsia="宋体" w:cs="宋体"/>
          <w:color w:val="auto"/>
          <w:sz w:val="24"/>
          <w:szCs w:val="21"/>
          <w:highlight w:val="none"/>
        </w:rPr>
        <w:t>三、法定代表人身份证明或附有法定代表人身份证明的授权书</w:t>
      </w:r>
      <w:bookmarkEnd w:id="697"/>
      <w:bookmarkEnd w:id="698"/>
    </w:p>
    <w:p>
      <w:pPr>
        <w:pStyle w:val="54"/>
        <w:spacing w:after="100" w:afterAutospacing="1"/>
        <w:outlineLvl w:val="9"/>
        <w:rPr>
          <w:rFonts w:hint="eastAsia" w:ascii="宋体" w:hAnsi="宋体" w:eastAsia="宋体" w:cs="宋体"/>
          <w:color w:val="auto"/>
          <w:sz w:val="24"/>
          <w:szCs w:val="21"/>
          <w:highlight w:val="none"/>
        </w:rPr>
      </w:pPr>
      <w:bookmarkStart w:id="699" w:name="_Toc13980"/>
      <w:bookmarkStart w:id="700" w:name="_Toc21152"/>
      <w:r>
        <w:rPr>
          <w:rFonts w:hint="eastAsia" w:ascii="宋体" w:hAnsi="宋体" w:eastAsia="宋体" w:cs="宋体"/>
          <w:color w:val="auto"/>
          <w:sz w:val="24"/>
          <w:szCs w:val="21"/>
          <w:highlight w:val="none"/>
        </w:rPr>
        <w:t>四、近三年无重大违法记录信息证明文件</w:t>
      </w:r>
      <w:bookmarkEnd w:id="699"/>
      <w:bookmarkEnd w:id="700"/>
    </w:p>
    <w:p>
      <w:pPr>
        <w:pStyle w:val="54"/>
        <w:spacing w:after="100" w:afterAutospacing="1"/>
        <w:outlineLvl w:val="9"/>
        <w:rPr>
          <w:rFonts w:hint="eastAsia" w:ascii="宋体" w:hAnsi="宋体" w:eastAsia="宋体" w:cs="宋体"/>
          <w:color w:val="auto"/>
          <w:sz w:val="24"/>
          <w:szCs w:val="21"/>
          <w:highlight w:val="none"/>
        </w:rPr>
      </w:pPr>
      <w:bookmarkStart w:id="701" w:name="_Toc11075"/>
      <w:bookmarkStart w:id="702" w:name="_Toc2427"/>
      <w:r>
        <w:rPr>
          <w:rFonts w:hint="eastAsia" w:ascii="宋体" w:hAnsi="宋体" w:eastAsia="宋体" w:cs="宋体"/>
          <w:color w:val="auto"/>
          <w:sz w:val="24"/>
          <w:szCs w:val="21"/>
          <w:highlight w:val="none"/>
        </w:rPr>
        <w:t>五、其他资格证明文件</w:t>
      </w:r>
      <w:bookmarkEnd w:id="701"/>
      <w:bookmarkEnd w:id="702"/>
    </w:p>
    <w:p>
      <w:pPr>
        <w:pStyle w:val="54"/>
        <w:spacing w:after="100" w:afterAutospacing="1"/>
        <w:outlineLvl w:val="9"/>
        <w:rPr>
          <w:rFonts w:hint="eastAsia" w:ascii="宋体" w:hAnsi="宋体" w:eastAsia="宋体" w:cs="宋体"/>
          <w:color w:val="auto"/>
          <w:sz w:val="24"/>
          <w:szCs w:val="21"/>
          <w:highlight w:val="none"/>
        </w:rPr>
      </w:pPr>
      <w:bookmarkStart w:id="703" w:name="_Toc9249"/>
      <w:bookmarkStart w:id="704" w:name="_Toc31609"/>
      <w:r>
        <w:rPr>
          <w:rFonts w:hint="eastAsia" w:ascii="宋体" w:hAnsi="宋体" w:eastAsia="宋体" w:cs="宋体"/>
          <w:color w:val="auto"/>
          <w:sz w:val="24"/>
          <w:szCs w:val="21"/>
          <w:highlight w:val="none"/>
        </w:rPr>
        <w:t>六、</w:t>
      </w:r>
      <w:bookmarkEnd w:id="703"/>
      <w:bookmarkEnd w:id="704"/>
      <w:r>
        <w:rPr>
          <w:rFonts w:hint="eastAsia" w:ascii="宋体" w:hAnsi="宋体" w:eastAsia="宋体" w:cs="宋体"/>
          <w:color w:val="auto"/>
          <w:sz w:val="24"/>
          <w:szCs w:val="21"/>
          <w:highlight w:val="none"/>
        </w:rPr>
        <w:t>投标保证金</w:t>
      </w:r>
    </w:p>
    <w:p>
      <w:pPr>
        <w:pStyle w:val="54"/>
        <w:spacing w:after="100" w:afterAutospacing="1"/>
        <w:outlineLvl w:val="9"/>
        <w:rPr>
          <w:rFonts w:hint="eastAsia" w:ascii="宋体" w:hAnsi="宋体" w:eastAsia="宋体" w:cs="宋体"/>
          <w:color w:val="auto"/>
          <w:sz w:val="24"/>
          <w:szCs w:val="21"/>
          <w:highlight w:val="none"/>
        </w:rPr>
      </w:pPr>
      <w:bookmarkStart w:id="705" w:name="_Toc6695"/>
      <w:bookmarkStart w:id="706" w:name="_Toc3224"/>
      <w:r>
        <w:rPr>
          <w:rFonts w:hint="eastAsia" w:ascii="宋体" w:hAnsi="宋体" w:eastAsia="宋体" w:cs="宋体"/>
          <w:color w:val="auto"/>
          <w:sz w:val="24"/>
          <w:szCs w:val="21"/>
          <w:highlight w:val="none"/>
        </w:rPr>
        <w:t>七、不参与围标串标承诺书</w:t>
      </w:r>
      <w:bookmarkEnd w:id="705"/>
      <w:bookmarkEnd w:id="706"/>
    </w:p>
    <w:p>
      <w:pPr>
        <w:pStyle w:val="54"/>
        <w:spacing w:after="100" w:afterAutospacing="1"/>
        <w:outlineLvl w:val="9"/>
        <w:rPr>
          <w:rFonts w:hint="eastAsia" w:ascii="宋体" w:hAnsi="宋体" w:eastAsia="宋体" w:cs="宋体"/>
          <w:color w:val="auto"/>
          <w:sz w:val="24"/>
          <w:szCs w:val="21"/>
          <w:highlight w:val="none"/>
        </w:rPr>
      </w:pPr>
      <w:bookmarkStart w:id="707" w:name="_Toc28448"/>
      <w:bookmarkStart w:id="708" w:name="_Toc7013"/>
      <w:r>
        <w:rPr>
          <w:rFonts w:hint="eastAsia" w:ascii="宋体" w:hAnsi="宋体" w:eastAsia="宋体" w:cs="宋体"/>
          <w:color w:val="auto"/>
          <w:sz w:val="24"/>
          <w:szCs w:val="21"/>
          <w:highlight w:val="none"/>
        </w:rPr>
        <w:t>八、中、小微企业声明函（中、小、微型企业产品价格需扣除的须提供）</w:t>
      </w:r>
      <w:bookmarkEnd w:id="707"/>
      <w:bookmarkEnd w:id="708"/>
    </w:p>
    <w:p>
      <w:pPr>
        <w:pStyle w:val="54"/>
        <w:spacing w:after="100" w:afterAutospacing="1"/>
        <w:outlineLvl w:val="9"/>
        <w:rPr>
          <w:rFonts w:hint="eastAsia" w:ascii="宋体" w:hAnsi="宋体" w:eastAsia="宋体" w:cs="宋体"/>
          <w:color w:val="auto"/>
          <w:sz w:val="24"/>
          <w:szCs w:val="21"/>
          <w:highlight w:val="none"/>
        </w:rPr>
      </w:pPr>
      <w:bookmarkStart w:id="709" w:name="_Toc7720"/>
      <w:bookmarkStart w:id="710" w:name="_Toc25675"/>
      <w:r>
        <w:rPr>
          <w:rFonts w:hint="eastAsia" w:ascii="宋体" w:hAnsi="宋体" w:eastAsia="宋体" w:cs="宋体"/>
          <w:color w:val="auto"/>
          <w:sz w:val="24"/>
          <w:szCs w:val="21"/>
          <w:highlight w:val="none"/>
        </w:rPr>
        <w:t>九、磋商申请</w:t>
      </w:r>
      <w:bookmarkEnd w:id="709"/>
      <w:bookmarkEnd w:id="710"/>
    </w:p>
    <w:p>
      <w:pPr>
        <w:pStyle w:val="54"/>
        <w:spacing w:after="100" w:afterAutospacing="1"/>
        <w:outlineLvl w:val="9"/>
        <w:rPr>
          <w:rFonts w:hint="eastAsia" w:ascii="宋体" w:hAnsi="宋体" w:eastAsia="宋体" w:cs="宋体"/>
          <w:color w:val="auto"/>
          <w:sz w:val="24"/>
          <w:szCs w:val="21"/>
          <w:highlight w:val="none"/>
        </w:rPr>
      </w:pPr>
      <w:bookmarkStart w:id="711" w:name="_Toc21302"/>
      <w:bookmarkStart w:id="712" w:name="_Toc12572"/>
      <w:r>
        <w:rPr>
          <w:rFonts w:hint="eastAsia" w:ascii="宋体" w:hAnsi="宋体" w:eastAsia="宋体" w:cs="宋体"/>
          <w:color w:val="auto"/>
          <w:sz w:val="24"/>
          <w:szCs w:val="21"/>
          <w:highlight w:val="none"/>
        </w:rPr>
        <w:t>十、磋商申请附录</w:t>
      </w:r>
      <w:bookmarkEnd w:id="711"/>
      <w:bookmarkEnd w:id="712"/>
    </w:p>
    <w:p>
      <w:pPr>
        <w:pStyle w:val="54"/>
        <w:spacing w:after="100" w:afterAutospacing="1"/>
        <w:outlineLvl w:val="9"/>
        <w:rPr>
          <w:rFonts w:hint="eastAsia" w:ascii="宋体" w:hAnsi="宋体" w:eastAsia="宋体" w:cs="宋体"/>
          <w:color w:val="auto"/>
          <w:sz w:val="24"/>
          <w:szCs w:val="21"/>
          <w:highlight w:val="none"/>
        </w:rPr>
      </w:pPr>
      <w:bookmarkStart w:id="713" w:name="_Toc27937"/>
      <w:bookmarkStart w:id="714" w:name="_Toc23163"/>
      <w:r>
        <w:rPr>
          <w:rFonts w:hint="eastAsia" w:ascii="宋体" w:hAnsi="宋体" w:eastAsia="宋体" w:cs="宋体"/>
          <w:color w:val="auto"/>
          <w:sz w:val="24"/>
          <w:szCs w:val="21"/>
          <w:highlight w:val="none"/>
        </w:rPr>
        <w:t>十一、已标价的工程量清单</w:t>
      </w:r>
      <w:bookmarkEnd w:id="713"/>
      <w:bookmarkEnd w:id="714"/>
    </w:p>
    <w:p>
      <w:pPr>
        <w:pStyle w:val="54"/>
        <w:spacing w:after="100" w:afterAutospacing="1"/>
        <w:outlineLvl w:val="9"/>
        <w:rPr>
          <w:rFonts w:hint="eastAsia" w:ascii="宋体" w:hAnsi="宋体" w:eastAsia="宋体" w:cs="宋体"/>
          <w:color w:val="auto"/>
          <w:sz w:val="24"/>
          <w:szCs w:val="21"/>
          <w:highlight w:val="none"/>
        </w:rPr>
      </w:pPr>
      <w:bookmarkStart w:id="715" w:name="_Toc23514"/>
      <w:bookmarkStart w:id="716" w:name="_Toc13706"/>
      <w:r>
        <w:rPr>
          <w:rFonts w:hint="eastAsia" w:ascii="宋体" w:hAnsi="宋体" w:eastAsia="宋体" w:cs="宋体"/>
          <w:color w:val="auto"/>
          <w:sz w:val="24"/>
          <w:szCs w:val="21"/>
          <w:highlight w:val="none"/>
        </w:rPr>
        <w:t>十二、联合体协议书格式（如有）</w:t>
      </w:r>
      <w:bookmarkEnd w:id="715"/>
      <w:bookmarkEnd w:id="716"/>
    </w:p>
    <w:p>
      <w:pPr>
        <w:pStyle w:val="54"/>
        <w:spacing w:after="100" w:afterAutospacing="1"/>
        <w:outlineLvl w:val="9"/>
        <w:rPr>
          <w:rFonts w:hint="eastAsia" w:ascii="宋体" w:hAnsi="宋体" w:eastAsia="宋体" w:cs="宋体"/>
          <w:color w:val="auto"/>
          <w:sz w:val="24"/>
          <w:szCs w:val="21"/>
          <w:highlight w:val="none"/>
        </w:rPr>
      </w:pPr>
      <w:bookmarkStart w:id="717" w:name="_Toc26864"/>
      <w:bookmarkStart w:id="718" w:name="_Toc25336"/>
      <w:r>
        <w:rPr>
          <w:rFonts w:hint="eastAsia" w:ascii="宋体" w:hAnsi="宋体" w:eastAsia="宋体" w:cs="宋体"/>
          <w:color w:val="auto"/>
          <w:sz w:val="24"/>
          <w:szCs w:val="21"/>
          <w:highlight w:val="none"/>
        </w:rPr>
        <w:t>十</w:t>
      </w:r>
      <w:r>
        <w:rPr>
          <w:rFonts w:hint="eastAsia" w:ascii="宋体" w:hAnsi="宋体" w:eastAsia="宋体" w:cs="宋体"/>
          <w:color w:val="auto"/>
          <w:sz w:val="24"/>
          <w:szCs w:val="21"/>
          <w:highlight w:val="none"/>
          <w:lang w:val="en-US" w:eastAsia="zh-CN"/>
        </w:rPr>
        <w:t>三</w:t>
      </w:r>
      <w:r>
        <w:rPr>
          <w:rFonts w:hint="eastAsia" w:ascii="宋体" w:hAnsi="宋体" w:eastAsia="宋体" w:cs="宋体"/>
          <w:color w:val="auto"/>
          <w:sz w:val="24"/>
          <w:szCs w:val="21"/>
          <w:highlight w:val="none"/>
        </w:rPr>
        <w:t>、施工组织设计</w:t>
      </w:r>
      <w:bookmarkEnd w:id="717"/>
      <w:bookmarkEnd w:id="718"/>
    </w:p>
    <w:p>
      <w:pPr>
        <w:pStyle w:val="54"/>
        <w:spacing w:after="100" w:afterAutospacing="1"/>
        <w:outlineLvl w:val="9"/>
        <w:rPr>
          <w:rFonts w:hint="eastAsia" w:ascii="宋体" w:hAnsi="宋体" w:eastAsia="宋体" w:cs="宋体"/>
          <w:color w:val="auto"/>
          <w:sz w:val="24"/>
          <w:szCs w:val="21"/>
          <w:highlight w:val="none"/>
        </w:rPr>
      </w:pPr>
      <w:bookmarkStart w:id="719" w:name="_Toc8875"/>
      <w:bookmarkStart w:id="720" w:name="_Toc20564"/>
      <w:r>
        <w:rPr>
          <w:rFonts w:hint="eastAsia" w:ascii="宋体" w:hAnsi="宋体" w:eastAsia="宋体" w:cs="宋体"/>
          <w:color w:val="auto"/>
          <w:sz w:val="24"/>
          <w:szCs w:val="21"/>
          <w:highlight w:val="none"/>
        </w:rPr>
        <w:t>十</w:t>
      </w:r>
      <w:r>
        <w:rPr>
          <w:rFonts w:hint="eastAsia" w:ascii="宋体" w:hAnsi="宋体" w:eastAsia="宋体" w:cs="宋体"/>
          <w:color w:val="auto"/>
          <w:sz w:val="24"/>
          <w:szCs w:val="21"/>
          <w:highlight w:val="none"/>
          <w:lang w:val="en-US" w:eastAsia="zh-CN"/>
        </w:rPr>
        <w:t>四</w:t>
      </w:r>
      <w:r>
        <w:rPr>
          <w:rFonts w:hint="eastAsia" w:ascii="宋体" w:hAnsi="宋体" w:eastAsia="宋体" w:cs="宋体"/>
          <w:color w:val="auto"/>
          <w:sz w:val="24"/>
          <w:szCs w:val="21"/>
          <w:highlight w:val="none"/>
        </w:rPr>
        <w:t>、项目管理机构组成表</w:t>
      </w:r>
      <w:bookmarkEnd w:id="719"/>
      <w:bookmarkEnd w:id="720"/>
    </w:p>
    <w:p>
      <w:pPr>
        <w:pStyle w:val="54"/>
        <w:spacing w:after="100" w:afterAutospacing="1"/>
        <w:outlineLvl w:val="9"/>
        <w:rPr>
          <w:rFonts w:hint="eastAsia" w:ascii="宋体" w:hAnsi="宋体" w:eastAsia="宋体" w:cs="宋体"/>
          <w:color w:val="auto"/>
          <w:sz w:val="24"/>
          <w:szCs w:val="21"/>
          <w:highlight w:val="none"/>
        </w:rPr>
      </w:pPr>
      <w:bookmarkStart w:id="721" w:name="_Toc528"/>
      <w:bookmarkStart w:id="722" w:name="_Toc25913"/>
      <w:r>
        <w:rPr>
          <w:rFonts w:hint="eastAsia" w:ascii="宋体" w:hAnsi="宋体" w:eastAsia="宋体" w:cs="宋体"/>
          <w:color w:val="auto"/>
          <w:sz w:val="24"/>
          <w:szCs w:val="21"/>
          <w:highlight w:val="none"/>
        </w:rPr>
        <w:t>十</w:t>
      </w:r>
      <w:r>
        <w:rPr>
          <w:rFonts w:hint="eastAsia" w:ascii="宋体" w:hAnsi="宋体" w:eastAsia="宋体" w:cs="宋体"/>
          <w:color w:val="auto"/>
          <w:sz w:val="24"/>
          <w:szCs w:val="21"/>
          <w:highlight w:val="none"/>
          <w:lang w:val="en-US" w:eastAsia="zh-CN"/>
        </w:rPr>
        <w:t>五</w:t>
      </w:r>
      <w:r>
        <w:rPr>
          <w:rFonts w:hint="eastAsia" w:ascii="宋体" w:hAnsi="宋体" w:eastAsia="宋体" w:cs="宋体"/>
          <w:color w:val="auto"/>
          <w:sz w:val="24"/>
          <w:szCs w:val="21"/>
          <w:highlight w:val="none"/>
        </w:rPr>
        <w:t>、项目经理简历表</w:t>
      </w:r>
      <w:bookmarkEnd w:id="721"/>
      <w:bookmarkEnd w:id="722"/>
    </w:p>
    <w:p>
      <w:pPr>
        <w:pStyle w:val="55"/>
        <w:outlineLvl w:val="9"/>
        <w:rPr>
          <w:rFonts w:hint="eastAsia" w:ascii="宋体" w:hAnsi="宋体" w:eastAsia="宋体" w:cs="宋体"/>
          <w:color w:val="auto"/>
          <w:sz w:val="24"/>
          <w:szCs w:val="21"/>
          <w:highlight w:val="none"/>
        </w:rPr>
      </w:pPr>
      <w:bookmarkStart w:id="723" w:name="_Toc2446"/>
      <w:bookmarkStart w:id="724" w:name="_Toc22593"/>
      <w:bookmarkStart w:id="725" w:name="_Toc32524"/>
      <w:r>
        <w:rPr>
          <w:rFonts w:hint="eastAsia" w:ascii="宋体" w:hAnsi="宋体" w:eastAsia="宋体" w:cs="宋体"/>
          <w:color w:val="auto"/>
          <w:sz w:val="24"/>
          <w:szCs w:val="21"/>
          <w:highlight w:val="none"/>
        </w:rPr>
        <w:t>十</w:t>
      </w:r>
      <w:r>
        <w:rPr>
          <w:rFonts w:hint="eastAsia" w:ascii="宋体" w:hAnsi="宋体" w:eastAsia="宋体" w:cs="宋体"/>
          <w:color w:val="auto"/>
          <w:sz w:val="24"/>
          <w:szCs w:val="21"/>
          <w:highlight w:val="none"/>
          <w:lang w:val="en-US" w:eastAsia="zh-CN"/>
        </w:rPr>
        <w:t>六</w:t>
      </w:r>
      <w:r>
        <w:rPr>
          <w:rFonts w:hint="eastAsia" w:ascii="宋体" w:hAnsi="宋体" w:eastAsia="宋体" w:cs="宋体"/>
          <w:color w:val="auto"/>
          <w:sz w:val="24"/>
          <w:szCs w:val="21"/>
          <w:highlight w:val="none"/>
        </w:rPr>
        <w:t>、其他材料</w:t>
      </w:r>
      <w:bookmarkEnd w:id="723"/>
      <w:bookmarkEnd w:id="724"/>
      <w:bookmarkEnd w:id="725"/>
      <w:bookmarkStart w:id="726" w:name="_Toc6608"/>
      <w:bookmarkStart w:id="727" w:name="_Toc256000030"/>
      <w:bookmarkStart w:id="728" w:name="_Toc24498"/>
    </w:p>
    <w:p>
      <w:pPr>
        <w:pStyle w:val="55"/>
        <w:outlineLvl w:val="9"/>
        <w:rPr>
          <w:rFonts w:hint="eastAsia" w:ascii="宋体" w:hAnsi="宋体" w:eastAsia="宋体" w:cs="宋体"/>
          <w:color w:val="auto"/>
          <w:sz w:val="24"/>
          <w:szCs w:val="21"/>
          <w:highlight w:val="none"/>
        </w:rPr>
      </w:pPr>
    </w:p>
    <w:p>
      <w:pPr>
        <w:pStyle w:val="55"/>
        <w:outlineLvl w:val="9"/>
        <w:rPr>
          <w:rFonts w:hint="eastAsia" w:ascii="宋体" w:hAnsi="宋体" w:eastAsia="宋体" w:cs="宋体"/>
          <w:color w:val="auto"/>
          <w:sz w:val="24"/>
          <w:szCs w:val="21"/>
          <w:highlight w:val="none"/>
        </w:rPr>
      </w:pPr>
    </w:p>
    <w:p>
      <w:pPr>
        <w:pStyle w:val="55"/>
        <w:outlineLvl w:val="9"/>
        <w:rPr>
          <w:rFonts w:hint="eastAsia" w:ascii="宋体" w:hAnsi="宋体" w:eastAsia="宋体" w:cs="宋体"/>
          <w:color w:val="auto"/>
          <w:sz w:val="24"/>
          <w:szCs w:val="21"/>
          <w:highlight w:val="none"/>
        </w:rPr>
      </w:pPr>
    </w:p>
    <w:p>
      <w:pPr>
        <w:pStyle w:val="55"/>
        <w:outlineLvl w:val="9"/>
        <w:rPr>
          <w:rFonts w:hint="eastAsia" w:ascii="宋体" w:hAnsi="宋体" w:eastAsia="宋体" w:cs="宋体"/>
          <w:color w:val="auto"/>
          <w:sz w:val="24"/>
          <w:szCs w:val="21"/>
          <w:highlight w:val="none"/>
        </w:rPr>
      </w:pPr>
    </w:p>
    <w:p>
      <w:pPr>
        <w:pStyle w:val="55"/>
        <w:outlineLvl w:val="9"/>
        <w:rPr>
          <w:rFonts w:hint="eastAsia" w:ascii="宋体" w:hAnsi="宋体" w:eastAsia="宋体" w:cs="宋体"/>
          <w:color w:val="auto"/>
          <w:sz w:val="24"/>
          <w:szCs w:val="21"/>
          <w:highlight w:val="none"/>
        </w:rPr>
      </w:pPr>
    </w:p>
    <w:p>
      <w:pPr>
        <w:pStyle w:val="55"/>
        <w:outlineLvl w:val="9"/>
        <w:rPr>
          <w:rFonts w:hint="eastAsia" w:ascii="宋体" w:hAnsi="宋体" w:eastAsia="宋体" w:cs="宋体"/>
          <w:color w:val="auto"/>
          <w:sz w:val="24"/>
          <w:szCs w:val="21"/>
          <w:highlight w:val="none"/>
        </w:rPr>
      </w:pPr>
    </w:p>
    <w:p>
      <w:pPr>
        <w:pStyle w:val="55"/>
        <w:outlineLvl w:val="9"/>
        <w:rPr>
          <w:rFonts w:hint="eastAsia" w:ascii="宋体" w:hAnsi="宋体" w:eastAsia="宋体" w:cs="宋体"/>
          <w:color w:val="auto"/>
          <w:sz w:val="24"/>
          <w:szCs w:val="21"/>
          <w:highlight w:val="none"/>
        </w:rPr>
      </w:pPr>
    </w:p>
    <w:p>
      <w:pPr>
        <w:pStyle w:val="55"/>
        <w:outlineLvl w:val="1"/>
        <w:rPr>
          <w:rFonts w:hint="eastAsia" w:ascii="宋体" w:hAnsi="宋体" w:eastAsia="宋体" w:cs="宋体"/>
          <w:color w:val="auto"/>
          <w:highlight w:val="none"/>
        </w:rPr>
      </w:pPr>
      <w:bookmarkStart w:id="729" w:name="_Toc32047"/>
      <w:bookmarkStart w:id="730" w:name="_Toc29832"/>
      <w:r>
        <w:rPr>
          <w:rFonts w:hint="eastAsia" w:ascii="宋体" w:hAnsi="宋体" w:eastAsia="宋体" w:cs="宋体"/>
          <w:b/>
          <w:color w:val="auto"/>
          <w:sz w:val="28"/>
          <w:szCs w:val="22"/>
          <w:highlight w:val="none"/>
          <w:lang w:val="en-US" w:eastAsia="zh-CN" w:bidi="ar-SA"/>
        </w:rPr>
        <w:t>一、响应文件封面</w:t>
      </w:r>
      <w:bookmarkEnd w:id="726"/>
      <w:bookmarkEnd w:id="727"/>
      <w:bookmarkEnd w:id="728"/>
      <w:bookmarkEnd w:id="729"/>
      <w:bookmarkEnd w:id="730"/>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u w:val="single"/>
        </w:rPr>
        <w:t xml:space="preserve">                        </w:t>
      </w:r>
      <w:r>
        <w:rPr>
          <w:rFonts w:hint="eastAsia" w:ascii="宋体" w:hAnsi="宋体" w:cs="宋体"/>
          <w:b/>
          <w:bCs/>
          <w:color w:val="auto"/>
          <w:sz w:val="28"/>
          <w:szCs w:val="28"/>
          <w:highlight w:val="none"/>
        </w:rPr>
        <w:t>（项目名称）</w:t>
      </w:r>
    </w:p>
    <w:p>
      <w:pPr>
        <w:pStyle w:val="50"/>
        <w:spacing w:line="360" w:lineRule="auto"/>
        <w:jc w:val="center"/>
        <w:rPr>
          <w:rFonts w:hint="eastAsia" w:ascii="宋体" w:hAnsi="宋体" w:cs="宋体"/>
          <w:color w:val="auto"/>
          <w:sz w:val="28"/>
          <w:szCs w:val="28"/>
          <w:highlight w:val="none"/>
        </w:rPr>
      </w:pPr>
    </w:p>
    <w:p>
      <w:pPr>
        <w:pStyle w:val="50"/>
        <w:spacing w:line="360" w:lineRule="auto"/>
        <w:ind w:firstLine="1680" w:firstLineChars="6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u w:val="single"/>
        </w:rPr>
        <w:t xml:space="preserve">                    </w:t>
      </w:r>
      <w:r>
        <w:rPr>
          <w:rFonts w:hint="eastAsia" w:ascii="宋体" w:hAnsi="宋体" w:cs="宋体"/>
          <w:b/>
          <w:bCs/>
          <w:color w:val="auto"/>
          <w:sz w:val="28"/>
          <w:szCs w:val="28"/>
          <w:highlight w:val="none"/>
        </w:rPr>
        <w:t>（包号）</w:t>
      </w: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lang w:val="en-US" w:eastAsia="zh-CN"/>
        </w:rPr>
        <w:t>响应</w:t>
      </w:r>
      <w:r>
        <w:rPr>
          <w:rFonts w:hint="eastAsia" w:ascii="宋体" w:hAnsi="宋体" w:cs="宋体"/>
          <w:b/>
          <w:color w:val="auto"/>
          <w:sz w:val="52"/>
          <w:szCs w:val="52"/>
          <w:highlight w:val="none"/>
        </w:rPr>
        <w:t>文件</w:t>
      </w: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b/>
          <w:color w:val="auto"/>
          <w:sz w:val="24"/>
          <w:highlight w:val="none"/>
        </w:rPr>
      </w:pPr>
    </w:p>
    <w:p>
      <w:pPr>
        <w:pStyle w:val="50"/>
        <w:spacing w:line="360" w:lineRule="auto"/>
        <w:jc w:val="center"/>
        <w:rPr>
          <w:rFonts w:hint="eastAsia" w:ascii="宋体" w:hAnsi="宋体" w:cs="宋体"/>
          <w:b/>
          <w:color w:val="auto"/>
          <w:sz w:val="24"/>
          <w:highlight w:val="none"/>
        </w:rPr>
      </w:pPr>
    </w:p>
    <w:p>
      <w:pPr>
        <w:pStyle w:val="50"/>
        <w:spacing w:line="360" w:lineRule="auto"/>
        <w:jc w:val="center"/>
        <w:rPr>
          <w:rFonts w:hint="eastAsia" w:ascii="宋体" w:hAnsi="宋体" w:cs="宋体"/>
          <w:b/>
          <w:color w:val="auto"/>
          <w:sz w:val="24"/>
          <w:highlight w:val="none"/>
        </w:rPr>
      </w:pPr>
    </w:p>
    <w:p>
      <w:pPr>
        <w:pStyle w:val="50"/>
        <w:spacing w:line="360" w:lineRule="auto"/>
        <w:ind w:left="0" w:leftChars="0" w:firstLine="840" w:firstLineChars="300"/>
        <w:jc w:val="left"/>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投</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标</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盖</w:t>
      </w:r>
      <w:r>
        <w:rPr>
          <w:rFonts w:hint="eastAsia" w:ascii="宋体" w:hAnsi="宋体" w:cs="宋体"/>
          <w:color w:val="auto"/>
          <w:sz w:val="28"/>
          <w:szCs w:val="28"/>
          <w:highlight w:val="none"/>
        </w:rPr>
        <w:t>章）</w:t>
      </w:r>
    </w:p>
    <w:p>
      <w:pPr>
        <w:pStyle w:val="50"/>
        <w:spacing w:line="360" w:lineRule="auto"/>
        <w:ind w:left="0" w:leftChars="0" w:firstLine="840" w:firstLineChars="3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签字或盖章</w:t>
      </w:r>
      <w:r>
        <w:rPr>
          <w:rFonts w:hint="eastAsia" w:ascii="宋体" w:hAnsi="宋体" w:cs="宋体"/>
          <w:color w:val="auto"/>
          <w:sz w:val="28"/>
          <w:szCs w:val="28"/>
          <w:highlight w:val="none"/>
        </w:rPr>
        <w:t>）</w:t>
      </w:r>
    </w:p>
    <w:p>
      <w:pPr>
        <w:pStyle w:val="50"/>
        <w:spacing w:line="360" w:lineRule="auto"/>
        <w:ind w:left="0" w:leftChars="0" w:firstLine="840" w:firstLineChars="3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期</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（年/月/日）</w:t>
      </w:r>
      <w:bookmarkStart w:id="731" w:name="_Toc256000031"/>
      <w:bookmarkStart w:id="732" w:name="_Toc10938"/>
      <w:bookmarkStart w:id="733" w:name="_Toc3934"/>
    </w:p>
    <w:p>
      <w:pPr>
        <w:pStyle w:val="56"/>
        <w:outlineLvl w:val="9"/>
        <w:rPr>
          <w:rFonts w:hint="eastAsia" w:ascii="宋体" w:hAnsi="宋体" w:cs="宋体"/>
          <w:color w:val="auto"/>
          <w:sz w:val="28"/>
          <w:szCs w:val="28"/>
          <w:highlight w:val="none"/>
        </w:rPr>
      </w:pPr>
    </w:p>
    <w:p>
      <w:pPr>
        <w:pStyle w:val="56"/>
        <w:outlineLvl w:val="9"/>
        <w:rPr>
          <w:rFonts w:hint="eastAsia" w:ascii="宋体" w:hAnsi="宋体" w:cs="宋体"/>
          <w:color w:val="auto"/>
          <w:sz w:val="28"/>
          <w:szCs w:val="28"/>
          <w:highlight w:val="none"/>
        </w:rPr>
      </w:pPr>
    </w:p>
    <w:p>
      <w:pPr>
        <w:pStyle w:val="56"/>
        <w:outlineLvl w:val="9"/>
        <w:rPr>
          <w:rFonts w:hint="eastAsia" w:ascii="宋体" w:hAnsi="宋体" w:cs="宋体"/>
          <w:color w:val="auto"/>
          <w:sz w:val="28"/>
          <w:szCs w:val="28"/>
          <w:highlight w:val="none"/>
        </w:rPr>
      </w:pPr>
    </w:p>
    <w:p>
      <w:pPr>
        <w:pStyle w:val="56"/>
        <w:outlineLvl w:val="9"/>
        <w:rPr>
          <w:rFonts w:hint="eastAsia" w:ascii="宋体" w:hAnsi="宋体" w:cs="宋体"/>
          <w:color w:val="auto"/>
          <w:sz w:val="28"/>
          <w:szCs w:val="28"/>
          <w:highlight w:val="none"/>
        </w:rPr>
      </w:pPr>
    </w:p>
    <w:p>
      <w:pPr>
        <w:pStyle w:val="55"/>
        <w:outlineLvl w:val="1"/>
        <w:rPr>
          <w:rFonts w:hint="eastAsia" w:ascii="宋体" w:hAnsi="宋体" w:eastAsia="宋体" w:cs="宋体"/>
          <w:b/>
          <w:color w:val="auto"/>
          <w:sz w:val="28"/>
          <w:szCs w:val="22"/>
          <w:highlight w:val="none"/>
          <w:lang w:val="en-US" w:eastAsia="zh-CN" w:bidi="ar-SA"/>
        </w:rPr>
      </w:pPr>
      <w:bookmarkStart w:id="734" w:name="_Toc5128"/>
      <w:bookmarkStart w:id="735" w:name="_Toc28332"/>
      <w:bookmarkStart w:id="736" w:name="_Toc28282"/>
      <w:r>
        <w:rPr>
          <w:rFonts w:hint="eastAsia" w:ascii="宋体" w:hAnsi="宋体" w:eastAsia="宋体" w:cs="宋体"/>
          <w:b/>
          <w:color w:val="auto"/>
          <w:sz w:val="28"/>
          <w:szCs w:val="22"/>
          <w:highlight w:val="none"/>
          <w:lang w:val="en-US" w:eastAsia="zh-CN" w:bidi="ar-SA"/>
        </w:rPr>
        <w:t>二、供应商资格声明</w:t>
      </w:r>
      <w:bookmarkEnd w:id="731"/>
      <w:bookmarkEnd w:id="732"/>
      <w:bookmarkEnd w:id="733"/>
      <w:bookmarkEnd w:id="734"/>
      <w:bookmarkEnd w:id="735"/>
      <w:bookmarkEnd w:id="736"/>
    </w:p>
    <w:p>
      <w:pPr>
        <w:pStyle w:val="56"/>
        <w:jc w:val="center"/>
        <w:outlineLvl w:val="9"/>
        <w:rPr>
          <w:rFonts w:hint="eastAsia" w:ascii="宋体" w:hAnsi="宋体" w:eastAsia="宋体" w:cs="宋体"/>
          <w:b/>
          <w:color w:val="auto"/>
          <w:sz w:val="24"/>
          <w:szCs w:val="24"/>
          <w:highlight w:val="none"/>
        </w:rPr>
      </w:pPr>
      <w:bookmarkStart w:id="737" w:name="_Toc256000032"/>
    </w:p>
    <w:p>
      <w:pPr>
        <w:pStyle w:val="56"/>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 供应商资格声明</w:t>
      </w:r>
      <w:bookmarkEnd w:id="737"/>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1．供应商概况：                                   </w:t>
      </w:r>
    </w:p>
    <w:p>
      <w:pPr>
        <w:pStyle w:val="16"/>
        <w:ind w:firstLine="480" w:firstLineChars="200"/>
        <w:rPr>
          <w:rFonts w:hint="eastAsia" w:ascii="仿宋" w:hAnsi="仿宋" w:eastAsia="仿宋" w:cs="仿宋"/>
          <w:color w:val="auto"/>
          <w:highlight w:val="none"/>
        </w:rPr>
      </w:pPr>
      <w:r>
        <w:rPr>
          <w:rFonts w:hint="eastAsia" w:ascii="宋体" w:hAnsi="宋体" w:eastAsia="宋体" w:cs="宋体"/>
          <w:color w:val="auto"/>
          <w:sz w:val="24"/>
          <w:szCs w:val="24"/>
          <w:highlight w:val="none"/>
        </w:rPr>
        <w:t xml:space="preserve">   </w:t>
      </w:r>
    </w:p>
    <w:p>
      <w:pPr>
        <w:pStyle w:val="16"/>
        <w:ind w:firstLine="420" w:firstLineChars="200"/>
        <w:jc w:val="center"/>
        <w:rPr>
          <w:rFonts w:hint="eastAsia" w:ascii="仿宋" w:hAnsi="仿宋" w:eastAsia="仿宋" w:cs="仿宋"/>
          <w:color w:val="auto"/>
          <w:highlight w:val="none"/>
        </w:rPr>
      </w:pPr>
      <w:r>
        <w:rPr>
          <w:rFonts w:hint="eastAsia" w:ascii="仿宋" w:hAnsi="仿宋" w:eastAsia="仿宋" w:cs="仿宋"/>
          <w:color w:val="auto"/>
          <w:highlight w:val="none"/>
        </w:rPr>
        <w:t>供应商基本情况表</w:t>
      </w:r>
    </w:p>
    <w:p>
      <w:pPr>
        <w:pStyle w:val="16"/>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供应商：(公章)</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7"/>
        <w:gridCol w:w="2557"/>
        <w:gridCol w:w="2154"/>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供应商名称</w:t>
            </w:r>
          </w:p>
        </w:tc>
        <w:tc>
          <w:tcPr>
            <w:tcW w:w="2557" w:type="dxa"/>
            <w:noWrap w:val="0"/>
            <w:vAlign w:val="center"/>
          </w:tcPr>
          <w:p>
            <w:pPr>
              <w:pStyle w:val="16"/>
              <w:jc w:val="center"/>
              <w:rPr>
                <w:rFonts w:hint="eastAsia" w:ascii="仿宋" w:hAnsi="仿宋" w:eastAsia="仿宋" w:cs="仿宋"/>
                <w:color w:val="auto"/>
                <w:highlight w:val="none"/>
                <w:lang w:val="en-US" w:eastAsia="zh-CN"/>
              </w:rPr>
            </w:pPr>
          </w:p>
        </w:tc>
        <w:tc>
          <w:tcPr>
            <w:tcW w:w="2154"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法定代表人</w:t>
            </w:r>
          </w:p>
        </w:tc>
        <w:tc>
          <w:tcPr>
            <w:tcW w:w="1528" w:type="dxa"/>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统一社会信用代码</w:t>
            </w:r>
          </w:p>
        </w:tc>
        <w:tc>
          <w:tcPr>
            <w:tcW w:w="2557" w:type="dxa"/>
            <w:noWrap w:val="0"/>
            <w:vAlign w:val="center"/>
          </w:tcPr>
          <w:p>
            <w:pPr>
              <w:pStyle w:val="16"/>
              <w:jc w:val="center"/>
              <w:rPr>
                <w:rFonts w:hint="eastAsia" w:ascii="仿宋" w:hAnsi="仿宋" w:eastAsia="仿宋" w:cs="仿宋"/>
                <w:color w:val="auto"/>
                <w:highlight w:val="none"/>
                <w:lang w:val="en-US" w:eastAsia="zh-CN"/>
              </w:rPr>
            </w:pPr>
          </w:p>
        </w:tc>
        <w:tc>
          <w:tcPr>
            <w:tcW w:w="2154"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邮政编码</w:t>
            </w:r>
          </w:p>
        </w:tc>
        <w:tc>
          <w:tcPr>
            <w:tcW w:w="1528" w:type="dxa"/>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授权代表</w:t>
            </w:r>
          </w:p>
        </w:tc>
        <w:tc>
          <w:tcPr>
            <w:tcW w:w="2557" w:type="dxa"/>
            <w:noWrap w:val="0"/>
            <w:vAlign w:val="center"/>
          </w:tcPr>
          <w:p>
            <w:pPr>
              <w:pStyle w:val="16"/>
              <w:jc w:val="center"/>
              <w:rPr>
                <w:rFonts w:hint="eastAsia" w:ascii="仿宋" w:hAnsi="仿宋" w:eastAsia="仿宋" w:cs="仿宋"/>
                <w:color w:val="auto"/>
                <w:highlight w:val="none"/>
                <w:lang w:val="en-US" w:eastAsia="zh-CN"/>
              </w:rPr>
            </w:pPr>
          </w:p>
        </w:tc>
        <w:tc>
          <w:tcPr>
            <w:tcW w:w="2154"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联系电话</w:t>
            </w:r>
          </w:p>
        </w:tc>
        <w:tc>
          <w:tcPr>
            <w:tcW w:w="1528" w:type="dxa"/>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电子邮箱</w:t>
            </w:r>
          </w:p>
        </w:tc>
        <w:tc>
          <w:tcPr>
            <w:tcW w:w="2557" w:type="dxa"/>
            <w:noWrap w:val="0"/>
            <w:vAlign w:val="center"/>
          </w:tcPr>
          <w:p>
            <w:pPr>
              <w:pStyle w:val="16"/>
              <w:jc w:val="center"/>
              <w:rPr>
                <w:rFonts w:hint="eastAsia" w:ascii="仿宋" w:hAnsi="仿宋" w:eastAsia="仿宋" w:cs="仿宋"/>
                <w:color w:val="auto"/>
                <w:highlight w:val="none"/>
                <w:lang w:val="en-US" w:eastAsia="zh-CN"/>
              </w:rPr>
            </w:pPr>
          </w:p>
        </w:tc>
        <w:tc>
          <w:tcPr>
            <w:tcW w:w="2154"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传真</w:t>
            </w:r>
          </w:p>
        </w:tc>
        <w:tc>
          <w:tcPr>
            <w:tcW w:w="1528" w:type="dxa"/>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上年营业收入</w:t>
            </w:r>
          </w:p>
        </w:tc>
        <w:tc>
          <w:tcPr>
            <w:tcW w:w="2557" w:type="dxa"/>
            <w:noWrap w:val="0"/>
            <w:vAlign w:val="center"/>
          </w:tcPr>
          <w:p>
            <w:pPr>
              <w:pStyle w:val="16"/>
              <w:jc w:val="center"/>
              <w:rPr>
                <w:rFonts w:hint="eastAsia" w:ascii="仿宋" w:hAnsi="仿宋" w:eastAsia="仿宋" w:cs="仿宋"/>
                <w:color w:val="auto"/>
                <w:highlight w:val="none"/>
                <w:lang w:val="en-US" w:eastAsia="zh-CN"/>
              </w:rPr>
            </w:pPr>
          </w:p>
        </w:tc>
        <w:tc>
          <w:tcPr>
            <w:tcW w:w="2154"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员工总人数</w:t>
            </w:r>
          </w:p>
        </w:tc>
        <w:tc>
          <w:tcPr>
            <w:tcW w:w="1528" w:type="dxa"/>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基本账户开户行及账号</w:t>
            </w:r>
          </w:p>
        </w:tc>
        <w:tc>
          <w:tcPr>
            <w:tcW w:w="6239" w:type="dxa"/>
            <w:gridSpan w:val="3"/>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税务登记机关</w:t>
            </w:r>
          </w:p>
        </w:tc>
        <w:tc>
          <w:tcPr>
            <w:tcW w:w="6239" w:type="dxa"/>
            <w:gridSpan w:val="3"/>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资质名称</w:t>
            </w:r>
          </w:p>
        </w:tc>
        <w:tc>
          <w:tcPr>
            <w:tcW w:w="255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等级</w:t>
            </w:r>
          </w:p>
        </w:tc>
        <w:tc>
          <w:tcPr>
            <w:tcW w:w="2154"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发证机关</w:t>
            </w:r>
          </w:p>
        </w:tc>
        <w:tc>
          <w:tcPr>
            <w:tcW w:w="1528"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p>
        </w:tc>
        <w:tc>
          <w:tcPr>
            <w:tcW w:w="2557" w:type="dxa"/>
            <w:noWrap w:val="0"/>
            <w:vAlign w:val="center"/>
          </w:tcPr>
          <w:p>
            <w:pPr>
              <w:pStyle w:val="16"/>
              <w:jc w:val="center"/>
              <w:rPr>
                <w:rFonts w:hint="eastAsia" w:ascii="仿宋" w:hAnsi="仿宋" w:eastAsia="仿宋" w:cs="仿宋"/>
                <w:color w:val="auto"/>
                <w:highlight w:val="none"/>
                <w:lang w:val="en-US" w:eastAsia="zh-CN"/>
              </w:rPr>
            </w:pPr>
          </w:p>
        </w:tc>
        <w:tc>
          <w:tcPr>
            <w:tcW w:w="2154" w:type="dxa"/>
            <w:noWrap w:val="0"/>
            <w:vAlign w:val="center"/>
          </w:tcPr>
          <w:p>
            <w:pPr>
              <w:pStyle w:val="16"/>
              <w:jc w:val="center"/>
              <w:rPr>
                <w:rFonts w:hint="eastAsia" w:ascii="仿宋" w:hAnsi="仿宋" w:eastAsia="仿宋" w:cs="仿宋"/>
                <w:color w:val="auto"/>
                <w:highlight w:val="none"/>
                <w:lang w:val="en-US" w:eastAsia="zh-CN"/>
              </w:rPr>
            </w:pPr>
          </w:p>
        </w:tc>
        <w:tc>
          <w:tcPr>
            <w:tcW w:w="1528" w:type="dxa"/>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p>
        </w:tc>
        <w:tc>
          <w:tcPr>
            <w:tcW w:w="2557" w:type="dxa"/>
            <w:noWrap w:val="0"/>
            <w:vAlign w:val="center"/>
          </w:tcPr>
          <w:p>
            <w:pPr>
              <w:pStyle w:val="16"/>
              <w:jc w:val="center"/>
              <w:rPr>
                <w:rFonts w:hint="eastAsia" w:ascii="仿宋" w:hAnsi="仿宋" w:eastAsia="仿宋" w:cs="仿宋"/>
                <w:color w:val="auto"/>
                <w:highlight w:val="none"/>
                <w:lang w:val="en-US" w:eastAsia="zh-CN"/>
              </w:rPr>
            </w:pPr>
          </w:p>
        </w:tc>
        <w:tc>
          <w:tcPr>
            <w:tcW w:w="2154" w:type="dxa"/>
            <w:noWrap w:val="0"/>
            <w:vAlign w:val="center"/>
          </w:tcPr>
          <w:p>
            <w:pPr>
              <w:pStyle w:val="16"/>
              <w:jc w:val="center"/>
              <w:rPr>
                <w:rFonts w:hint="eastAsia" w:ascii="仿宋" w:hAnsi="仿宋" w:eastAsia="仿宋" w:cs="仿宋"/>
                <w:color w:val="auto"/>
                <w:highlight w:val="none"/>
                <w:lang w:val="en-US" w:eastAsia="zh-CN"/>
              </w:rPr>
            </w:pPr>
          </w:p>
        </w:tc>
        <w:tc>
          <w:tcPr>
            <w:tcW w:w="1528" w:type="dxa"/>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备注</w:t>
            </w:r>
          </w:p>
        </w:tc>
        <w:tc>
          <w:tcPr>
            <w:tcW w:w="6239" w:type="dxa"/>
            <w:gridSpan w:val="3"/>
            <w:noWrap w:val="0"/>
            <w:vAlign w:val="center"/>
          </w:tcPr>
          <w:p>
            <w:pPr>
              <w:pStyle w:val="16"/>
              <w:jc w:val="center"/>
              <w:rPr>
                <w:rFonts w:hint="eastAsia" w:ascii="仿宋" w:hAnsi="仿宋" w:eastAsia="仿宋" w:cs="仿宋"/>
                <w:color w:val="auto"/>
                <w:highlight w:val="none"/>
                <w:lang w:val="en-US" w:eastAsia="zh-CN"/>
              </w:rPr>
            </w:pPr>
          </w:p>
        </w:tc>
      </w:tr>
    </w:tbl>
    <w:p>
      <w:pPr>
        <w:pStyle w:val="57"/>
        <w:spacing w:line="360" w:lineRule="auto"/>
        <w:ind w:firstLine="1440" w:firstLineChars="600"/>
        <w:rPr>
          <w:rFonts w:hint="eastAsia" w:ascii="宋体" w:hAnsi="宋体" w:eastAsia="宋体" w:cs="宋体"/>
          <w:color w:val="auto"/>
          <w:sz w:val="24"/>
          <w:szCs w:val="24"/>
          <w:highlight w:val="none"/>
        </w:rPr>
      </w:pP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2．我方在此声明，我方具备并满足下列各项条款的规定。本声明如有虚假或不实之处，我方将失去合格供应商资格且我方的磋商保证金将不予退还。</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（1）具有独立承担民事责任的能力； </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（2）具有良好的商业信誉和健全的财务会计制度； </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（3）具有履行合同所必需的设备和专业技术能力； </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（4）有依法缴纳税收的良好记录； </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（5）近三年内，在经营活动中没有重大违法记录。</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附法人营业执照、资质证书、安全生产许可证复印件。</w:t>
      </w:r>
    </w:p>
    <w:p>
      <w:pPr>
        <w:pStyle w:val="57"/>
        <w:spacing w:line="360" w:lineRule="auto"/>
        <w:ind w:firstLine="420"/>
        <w:rPr>
          <w:rFonts w:hint="eastAsia" w:ascii="宋体" w:hAnsi="宋体" w:eastAsia="宋体" w:cs="宋体"/>
          <w:color w:val="auto"/>
          <w:sz w:val="24"/>
          <w:szCs w:val="24"/>
          <w:highlight w:val="none"/>
        </w:rPr>
      </w:pP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就我方全部所知，兹证明上述声明是真实、正确的，并已提供了全部现有资料和数据，我方同意根据贵方要求出示文件予以证实。</w:t>
      </w:r>
    </w:p>
    <w:p>
      <w:pPr>
        <w:pStyle w:val="57"/>
        <w:spacing w:line="360" w:lineRule="auto"/>
        <w:ind w:firstLine="420"/>
        <w:rPr>
          <w:rFonts w:hint="eastAsia" w:ascii="宋体" w:hAnsi="宋体" w:eastAsia="宋体" w:cs="宋体"/>
          <w:color w:val="auto"/>
          <w:sz w:val="24"/>
          <w:szCs w:val="24"/>
          <w:highlight w:val="none"/>
        </w:rPr>
      </w:pP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w:t>
      </w:r>
      <w:r>
        <w:rPr>
          <w:rFonts w:hint="eastAsia" w:ascii="宋体" w:hAnsi="宋体" w:eastAsia="宋体" w:cs="宋体"/>
          <w:color w:val="auto"/>
          <w:sz w:val="24"/>
          <w:szCs w:val="24"/>
          <w:highlight w:val="none"/>
          <w:lang w:val="en-US" w:eastAsia="zh-CN"/>
        </w:rPr>
        <w:t>盖章</w:t>
      </w:r>
      <w:r>
        <w:rPr>
          <w:rFonts w:hint="eastAsia" w:ascii="宋体" w:hAnsi="宋体" w:eastAsia="宋体" w:cs="宋体"/>
          <w:color w:val="auto"/>
          <w:sz w:val="24"/>
          <w:szCs w:val="24"/>
          <w:highlight w:val="none"/>
        </w:rPr>
        <w:t>）：</w:t>
      </w:r>
    </w:p>
    <w:p>
      <w:pPr>
        <w:pStyle w:val="57"/>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法定代表人或其授权代表（</w:t>
      </w:r>
      <w:r>
        <w:rPr>
          <w:rFonts w:hint="eastAsia" w:ascii="宋体" w:hAnsi="宋体" w:eastAsia="宋体" w:cs="宋体"/>
          <w:color w:val="auto"/>
          <w:sz w:val="24"/>
          <w:szCs w:val="24"/>
          <w:highlight w:val="none"/>
          <w:lang w:val="en-US" w:eastAsia="zh-CN"/>
        </w:rPr>
        <w:t>签字</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pPr>
        <w:pStyle w:val="56"/>
        <w:outlineLvl w:val="0"/>
        <w:rPr>
          <w:rFonts w:hint="eastAsia" w:ascii="宋体" w:hAnsi="宋体" w:eastAsia="宋体" w:cs="宋体"/>
          <w:b/>
          <w:color w:val="auto"/>
          <w:sz w:val="24"/>
          <w:szCs w:val="21"/>
          <w:highlight w:val="none"/>
          <w:lang w:val="en-US" w:eastAsia="zh-CN" w:bidi="ar-SA"/>
        </w:rPr>
      </w:pPr>
      <w:r>
        <w:rPr>
          <w:rFonts w:hint="eastAsia" w:ascii="宋体" w:hAnsi="宋体" w:eastAsia="宋体" w:cs="宋体"/>
          <w:color w:val="auto"/>
          <w:sz w:val="24"/>
          <w:szCs w:val="24"/>
          <w:highlight w:val="none"/>
        </w:rPr>
        <w:br w:type="page"/>
      </w:r>
      <w:bookmarkStart w:id="738" w:name="_Toc16962"/>
      <w:bookmarkStart w:id="739" w:name="_Toc12095"/>
      <w:bookmarkStart w:id="740" w:name="_Toc8658"/>
      <w:bookmarkStart w:id="741" w:name="_Toc15440"/>
      <w:bookmarkStart w:id="742" w:name="_Toc256000033"/>
      <w:bookmarkStart w:id="743" w:name="_Toc18057"/>
      <w:r>
        <w:rPr>
          <w:rFonts w:hint="eastAsia" w:ascii="宋体" w:hAnsi="宋体" w:eastAsia="宋体" w:cs="宋体"/>
          <w:b/>
          <w:color w:val="auto"/>
          <w:sz w:val="28"/>
          <w:szCs w:val="22"/>
          <w:highlight w:val="none"/>
          <w:lang w:val="en-US" w:eastAsia="zh-CN" w:bidi="ar-SA"/>
        </w:rPr>
        <w:t>三、法定代表人身份证明或附有法定代表人身份证明的授权书</w:t>
      </w:r>
      <w:bookmarkEnd w:id="738"/>
      <w:bookmarkEnd w:id="739"/>
      <w:bookmarkEnd w:id="740"/>
      <w:bookmarkEnd w:id="741"/>
      <w:bookmarkEnd w:id="742"/>
      <w:bookmarkEnd w:id="743"/>
    </w:p>
    <w:p>
      <w:pPr>
        <w:pStyle w:val="58"/>
        <w:spacing w:line="360" w:lineRule="auto"/>
        <w:jc w:val="center"/>
        <w:rPr>
          <w:rFonts w:hint="eastAsia" w:ascii="宋体" w:hAnsi="宋体" w:eastAsia="宋体" w:cs="宋体"/>
          <w:b/>
          <w:bCs/>
          <w:color w:val="auto"/>
          <w:sz w:val="24"/>
          <w:szCs w:val="24"/>
          <w:highlight w:val="none"/>
          <w:lang w:val="en-US" w:eastAsia="zh-CN"/>
        </w:rPr>
      </w:pPr>
      <w:bookmarkStart w:id="744" w:name="_Toc256000034"/>
      <w:r>
        <w:rPr>
          <w:rFonts w:hint="eastAsia" w:ascii="宋体" w:hAnsi="宋体" w:eastAsia="宋体" w:cs="宋体"/>
          <w:b/>
          <w:bCs/>
          <w:color w:val="auto"/>
          <w:sz w:val="24"/>
          <w:szCs w:val="24"/>
          <w:highlight w:val="none"/>
          <w:lang w:val="en-US" w:eastAsia="zh-CN"/>
        </w:rPr>
        <w:t>（二）法定代表人身份证明或附有法定代表人身份证明的授权书</w:t>
      </w:r>
      <w:bookmarkEnd w:id="744"/>
    </w:p>
    <w:p>
      <w:pPr>
        <w:pStyle w:val="58"/>
        <w:spacing w:line="360" w:lineRule="auto"/>
        <w:ind w:firstLine="420"/>
        <w:jc w:val="center"/>
        <w:rPr>
          <w:rFonts w:hint="eastAsia" w:ascii="宋体" w:hAnsi="宋体" w:eastAsia="宋体" w:cs="宋体"/>
          <w:color w:val="auto"/>
          <w:sz w:val="24"/>
          <w:szCs w:val="24"/>
          <w:highlight w:val="none"/>
        </w:rPr>
      </w:pPr>
    </w:p>
    <w:p>
      <w:pPr>
        <w:pStyle w:val="58"/>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法定代表人身份证明</w:t>
      </w:r>
    </w:p>
    <w:p>
      <w:pPr>
        <w:pStyle w:val="58"/>
        <w:spacing w:line="360" w:lineRule="auto"/>
        <w:ind w:firstLine="48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（供应商）的法定代表人。</w:t>
      </w: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附：法定代表人身份证复印件正反面</w:t>
      </w: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w:t>
      </w:r>
      <w:r>
        <w:rPr>
          <w:rFonts w:hint="eastAsia" w:ascii="宋体" w:hAnsi="宋体" w:eastAsia="宋体" w:cs="宋体"/>
          <w:color w:val="auto"/>
          <w:sz w:val="24"/>
          <w:szCs w:val="24"/>
          <w:highlight w:val="none"/>
          <w:lang w:val="en-US" w:eastAsia="zh-CN"/>
        </w:rPr>
        <w:t>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jc w:val="center"/>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lang w:val="zh-CN"/>
        </w:rPr>
        <w:t>授权委托书</w:t>
      </w:r>
    </w:p>
    <w:p>
      <w:pPr>
        <w:pStyle w:val="59"/>
        <w:adjustRightInd w:val="0"/>
        <w:snapToGrid w:val="0"/>
        <w:spacing w:line="360" w:lineRule="auto"/>
        <w:rPr>
          <w:rFonts w:hint="eastAsia" w:ascii="宋体" w:hAnsi="宋体" w:eastAsia="宋体" w:cs="宋体"/>
          <w:color w:val="auto"/>
          <w:sz w:val="24"/>
          <w:szCs w:val="24"/>
          <w:highlight w:val="none"/>
        </w:rPr>
      </w:pPr>
    </w:p>
    <w:p>
      <w:pPr>
        <w:pStyle w:val="59"/>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(供应商名称)的法定代表人，现授权委托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(姓名)为我公司本次磋商采购活动的授权代表，参加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项目的磋商采购活动。授权代表在磋商、合同签订过程中所签署的一切文件和处理与之有关的一切事务，我均予以承认。</w:t>
      </w:r>
    </w:p>
    <w:p>
      <w:pPr>
        <w:pStyle w:val="59"/>
        <w:adjustRightInd w:val="0"/>
        <w:snapToGrid w:val="0"/>
        <w:spacing w:line="360" w:lineRule="auto"/>
        <w:rPr>
          <w:rFonts w:hint="eastAsia" w:ascii="宋体" w:hAnsi="宋体" w:eastAsia="宋体" w:cs="宋体"/>
          <w:color w:val="auto"/>
          <w:sz w:val="24"/>
          <w:szCs w:val="24"/>
          <w:highlight w:val="none"/>
        </w:rPr>
      </w:pPr>
    </w:p>
    <w:p>
      <w:pPr>
        <w:pStyle w:val="59"/>
        <w:adjustRightInd w:val="0"/>
        <w:snapToGrid w:val="0"/>
        <w:spacing w:line="360" w:lineRule="auto"/>
        <w:ind w:left="4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授权代表无转委托权。特此委托。</w:t>
      </w:r>
    </w:p>
    <w:p>
      <w:pPr>
        <w:pStyle w:val="59"/>
        <w:adjustRightInd w:val="0"/>
        <w:snapToGrid w:val="0"/>
        <w:spacing w:line="360" w:lineRule="auto"/>
        <w:ind w:left="412"/>
        <w:rPr>
          <w:rFonts w:hint="eastAsia" w:ascii="宋体" w:hAnsi="宋体" w:eastAsia="宋体" w:cs="宋体"/>
          <w:color w:val="auto"/>
          <w:sz w:val="24"/>
          <w:szCs w:val="24"/>
          <w:highlight w:val="none"/>
        </w:rPr>
      </w:pPr>
    </w:p>
    <w:p>
      <w:pPr>
        <w:pStyle w:val="59"/>
        <w:adjustRightInd w:val="0"/>
        <w:snapToGrid w:val="0"/>
        <w:spacing w:line="360" w:lineRule="auto"/>
        <w:ind w:left="4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授权代表（姓名）：               性别：                    年龄：</w:t>
      </w:r>
    </w:p>
    <w:p>
      <w:pPr>
        <w:pStyle w:val="59"/>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           位：               部门：                    职务：</w:t>
      </w:r>
    </w:p>
    <w:p>
      <w:pPr>
        <w:pStyle w:val="59"/>
        <w:adjustRightInd w:val="0"/>
        <w:snapToGrid w:val="0"/>
        <w:spacing w:line="360" w:lineRule="auto"/>
        <w:ind w:firstLine="420"/>
        <w:rPr>
          <w:rFonts w:hint="eastAsia" w:ascii="宋体" w:hAnsi="宋体" w:eastAsia="宋体" w:cs="宋体"/>
          <w:color w:val="auto"/>
          <w:sz w:val="24"/>
          <w:szCs w:val="24"/>
          <w:highlight w:val="none"/>
        </w:rPr>
      </w:pPr>
    </w:p>
    <w:p>
      <w:pPr>
        <w:pStyle w:val="59"/>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附：授权代表身份证复印件正反面</w:t>
      </w:r>
    </w:p>
    <w:p>
      <w:pPr>
        <w:pStyle w:val="59"/>
        <w:adjustRightInd w:val="0"/>
        <w:snapToGrid w:val="0"/>
        <w:spacing w:line="360" w:lineRule="auto"/>
        <w:ind w:firstLine="420"/>
        <w:rPr>
          <w:rFonts w:hint="eastAsia" w:ascii="宋体" w:hAnsi="宋体" w:eastAsia="宋体" w:cs="宋体"/>
          <w:color w:val="auto"/>
          <w:sz w:val="24"/>
          <w:szCs w:val="24"/>
          <w:highlight w:val="none"/>
        </w:rPr>
      </w:pPr>
    </w:p>
    <w:p>
      <w:pPr>
        <w:pStyle w:val="59"/>
        <w:adjustRightInd w:val="0"/>
        <w:snapToGrid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 (</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p>
    <w:p>
      <w:pPr>
        <w:pStyle w:val="59"/>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(签章)：</w:t>
      </w:r>
    </w:p>
    <w:p>
      <w:pPr>
        <w:pStyle w:val="59"/>
        <w:adjustRightInd w:val="0"/>
        <w:snapToGrid w:val="0"/>
        <w:spacing w:line="360" w:lineRule="auto"/>
        <w:ind w:right="42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60"/>
        <w:outlineLvl w:val="9"/>
        <w:rPr>
          <w:rFonts w:hint="eastAsia" w:ascii="宋体" w:hAnsi="宋体" w:eastAsia="宋体" w:cs="宋体"/>
          <w:b/>
          <w:color w:val="auto"/>
          <w:sz w:val="24"/>
          <w:szCs w:val="24"/>
          <w:highlight w:val="none"/>
        </w:rPr>
      </w:pPr>
      <w:bookmarkStart w:id="745" w:name="_Toc28905"/>
      <w:bookmarkStart w:id="746" w:name="_Toc6993"/>
      <w:bookmarkStart w:id="747" w:name="_Toc256000035"/>
    </w:p>
    <w:p>
      <w:pPr>
        <w:pStyle w:val="60"/>
        <w:outlineLvl w:val="9"/>
        <w:rPr>
          <w:rFonts w:hint="eastAsia" w:ascii="宋体" w:hAnsi="宋体" w:eastAsia="宋体" w:cs="宋体"/>
          <w:b/>
          <w:color w:val="auto"/>
          <w:sz w:val="24"/>
          <w:szCs w:val="24"/>
          <w:highlight w:val="none"/>
        </w:rPr>
      </w:pPr>
    </w:p>
    <w:p>
      <w:pPr>
        <w:pStyle w:val="56"/>
        <w:outlineLvl w:val="0"/>
        <w:rPr>
          <w:rFonts w:hint="eastAsia" w:ascii="宋体" w:hAnsi="宋体" w:eastAsia="宋体" w:cs="宋体"/>
          <w:b/>
          <w:color w:val="auto"/>
          <w:sz w:val="28"/>
          <w:szCs w:val="22"/>
          <w:highlight w:val="none"/>
          <w:lang w:val="en-US" w:eastAsia="zh-CN" w:bidi="ar-SA"/>
        </w:rPr>
      </w:pPr>
      <w:bookmarkStart w:id="748" w:name="_Toc5695"/>
      <w:bookmarkStart w:id="749" w:name="_Toc17707"/>
      <w:bookmarkStart w:id="750" w:name="_Toc11330"/>
      <w:r>
        <w:rPr>
          <w:rFonts w:hint="eastAsia" w:ascii="宋体" w:hAnsi="宋体" w:eastAsia="宋体" w:cs="宋体"/>
          <w:b/>
          <w:color w:val="auto"/>
          <w:sz w:val="28"/>
          <w:szCs w:val="22"/>
          <w:highlight w:val="none"/>
          <w:lang w:val="en-US" w:eastAsia="zh-CN" w:bidi="ar-SA"/>
        </w:rPr>
        <w:t>四、近三年无重大违法记录信息证明文件</w:t>
      </w:r>
      <w:bookmarkEnd w:id="745"/>
      <w:bookmarkEnd w:id="746"/>
      <w:bookmarkEnd w:id="747"/>
      <w:r>
        <w:rPr>
          <w:rFonts w:hint="eastAsia" w:ascii="宋体" w:hAnsi="宋体" w:eastAsia="宋体" w:cs="宋体"/>
          <w:b/>
          <w:color w:val="auto"/>
          <w:sz w:val="28"/>
          <w:szCs w:val="22"/>
          <w:highlight w:val="none"/>
          <w:lang w:val="en-US" w:eastAsia="zh-CN" w:bidi="ar-SA"/>
        </w:rPr>
        <w:t>及反商业贿赂书</w:t>
      </w:r>
      <w:bookmarkEnd w:id="748"/>
      <w:bookmarkEnd w:id="749"/>
      <w:bookmarkEnd w:id="750"/>
    </w:p>
    <w:p>
      <w:pPr>
        <w:pStyle w:val="60"/>
        <w:outlineLvl w:val="9"/>
        <w:rPr>
          <w:rFonts w:hint="eastAsia" w:ascii="宋体" w:hAnsi="宋体" w:eastAsia="宋体" w:cs="宋体"/>
          <w:b/>
          <w:color w:val="auto"/>
          <w:sz w:val="24"/>
          <w:szCs w:val="24"/>
          <w:highlight w:val="none"/>
        </w:rPr>
      </w:pPr>
    </w:p>
    <w:p>
      <w:pPr>
        <w:pStyle w:val="16"/>
        <w:spacing w:line="360" w:lineRule="auto"/>
        <w:ind w:firstLine="480" w:firstLineChars="200"/>
        <w:jc w:val="center"/>
        <w:rPr>
          <w:rFonts w:hint="eastAsia" w:ascii="宋体" w:hAnsi="宋体" w:eastAsia="宋体" w:cs="宋体"/>
          <w:color w:val="auto"/>
          <w:sz w:val="24"/>
          <w:szCs w:val="24"/>
          <w:highlight w:val="none"/>
        </w:rPr>
      </w:pPr>
      <w:bookmarkStart w:id="751" w:name="_Toc31760"/>
      <w:bookmarkStart w:id="752" w:name="_Toc21668"/>
      <w:bookmarkStart w:id="753" w:name="_Toc256000036"/>
      <w:r>
        <w:rPr>
          <w:rFonts w:hint="eastAsia" w:ascii="宋体" w:hAnsi="宋体" w:eastAsia="宋体" w:cs="宋体"/>
          <w:color w:val="auto"/>
          <w:sz w:val="24"/>
          <w:szCs w:val="24"/>
          <w:highlight w:val="none"/>
        </w:rPr>
        <w:t>参加政府采购活动前三年内在经营活动中</w:t>
      </w:r>
    </w:p>
    <w:p>
      <w:pPr>
        <w:pStyle w:val="16"/>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没有重大违法记录的书面声明</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我单位在参加采购活动前三年内在经营活动中没有《政府采购法》第二十二条第一款第(五)项所称重大违法记录，包括：</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我单位或者其法定代表人、董事、监事、高级管理人员未因经营活动中的违法行为受到刑事处罚或者责令停产停业、吊销许可证或者执照、较大数额罚款等行政处罚。</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pStyle w:val="16"/>
        <w:spacing w:line="360" w:lineRule="auto"/>
        <w:ind w:firstLine="480" w:firstLineChars="200"/>
        <w:rPr>
          <w:rFonts w:hint="eastAsia" w:ascii="宋体" w:hAnsi="宋体" w:eastAsia="宋体" w:cs="宋体"/>
          <w:color w:val="auto"/>
          <w:sz w:val="24"/>
          <w:szCs w:val="24"/>
          <w:highlight w:val="none"/>
        </w:rPr>
      </w:pP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6"/>
        <w:spacing w:line="360" w:lineRule="auto"/>
        <w:ind w:firstLine="480" w:firstLineChars="200"/>
        <w:rPr>
          <w:rFonts w:hint="eastAsia" w:ascii="仿宋" w:hAnsi="仿宋" w:eastAsia="仿宋" w:cs="宋体"/>
          <w:color w:val="auto"/>
          <w:sz w:val="24"/>
          <w:szCs w:val="24"/>
          <w:highlight w:val="none"/>
          <w:lang w:eastAsia="zh-CN"/>
        </w:rPr>
      </w:pPr>
      <w:r>
        <w:rPr>
          <w:rFonts w:ascii="仿宋" w:hAnsi="仿宋" w:eastAsia="仿宋" w:cs="宋体"/>
          <w:color w:val="auto"/>
          <w:sz w:val="24"/>
          <w:szCs w:val="24"/>
          <w:highlight w:val="none"/>
        </w:rPr>
        <w:br w:type="page"/>
      </w:r>
    </w:p>
    <w:p>
      <w:pPr>
        <w:pStyle w:val="8"/>
        <w:numPr>
          <w:ilvl w:val="0"/>
          <w:numId w:val="0"/>
        </w:numPr>
        <w:tabs>
          <w:tab w:val="clear" w:pos="1152"/>
        </w:tabs>
        <w:spacing w:before="0" w:after="0" w:line="360" w:lineRule="auto"/>
        <w:jc w:val="center"/>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无不良信用记录承诺函</w:t>
      </w:r>
      <w:r>
        <w:rPr>
          <w:rFonts w:ascii="仿宋" w:hAnsi="仿宋" w:eastAsia="仿宋" w:cs="宋体"/>
          <w:color w:val="auto"/>
          <w:sz w:val="28"/>
          <w:szCs w:val="28"/>
          <w:highlight w:val="none"/>
        </w:rPr>
        <w:t>(</w:t>
      </w:r>
      <w:r>
        <w:rPr>
          <w:rFonts w:hint="eastAsia" w:ascii="仿宋" w:hAnsi="仿宋" w:eastAsia="仿宋" w:cs="宋体"/>
          <w:color w:val="auto"/>
          <w:sz w:val="28"/>
          <w:szCs w:val="28"/>
          <w:highlight w:val="none"/>
        </w:rPr>
        <w:t>供应商自行查询适用</w:t>
      </w:r>
      <w:r>
        <w:rPr>
          <w:rFonts w:ascii="仿宋" w:hAnsi="仿宋" w:eastAsia="仿宋" w:cs="宋体"/>
          <w:color w:val="auto"/>
          <w:sz w:val="28"/>
          <w:szCs w:val="28"/>
          <w:highlight w:val="none"/>
        </w:rPr>
        <w:t>)</w:t>
      </w:r>
    </w:p>
    <w:p>
      <w:pPr>
        <w:pStyle w:val="16"/>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致</w:t>
      </w:r>
      <w:r>
        <w:rPr>
          <w:rFonts w:ascii="仿宋" w:hAnsi="仿宋" w:eastAsia="仿宋" w:cs="宋体"/>
          <w:color w:val="auto"/>
          <w:sz w:val="24"/>
          <w:szCs w:val="24"/>
          <w:highlight w:val="none"/>
        </w:rPr>
        <w:t>______(</w:t>
      </w:r>
      <w:r>
        <w:rPr>
          <w:rFonts w:hint="eastAsia" w:ascii="仿宋" w:hAnsi="仿宋" w:eastAsia="仿宋" w:cs="宋体"/>
          <w:color w:val="auto"/>
          <w:sz w:val="24"/>
          <w:szCs w:val="24"/>
          <w:highlight w:val="none"/>
        </w:rPr>
        <w:t>采购人或采购代理机构</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w:t>
      </w:r>
    </w:p>
    <w:p>
      <w:pPr>
        <w:pStyle w:val="16"/>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本单位郑重承诺，我单位无以下不良信用记录情形：</w:t>
      </w:r>
    </w:p>
    <w:p>
      <w:pPr>
        <w:pStyle w:val="16"/>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被人民法院列入失信被执行人；</w:t>
      </w:r>
    </w:p>
    <w:p>
      <w:pPr>
        <w:pStyle w:val="16"/>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被税务部门列入重大税收违法案件当事人名单；</w:t>
      </w:r>
    </w:p>
    <w:p>
      <w:pPr>
        <w:pStyle w:val="16"/>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被政府采购监管部门列入政府采购严重违法失信行为记录名单；</w:t>
      </w:r>
    </w:p>
    <w:p>
      <w:pPr>
        <w:pStyle w:val="16"/>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4.</w:t>
      </w:r>
      <w:r>
        <w:rPr>
          <w:rFonts w:hint="eastAsia" w:ascii="仿宋" w:hAnsi="仿宋" w:eastAsia="仿宋" w:cs="宋体"/>
          <w:color w:val="auto"/>
          <w:sz w:val="24"/>
          <w:szCs w:val="24"/>
          <w:highlight w:val="none"/>
        </w:rPr>
        <w:t>不符合《政府采购法》第二十二条规定的条件。</w:t>
      </w:r>
    </w:p>
    <w:p>
      <w:pPr>
        <w:pStyle w:val="16"/>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我单位已就上述不良信用行为按照磋商文件中磋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pPr>
        <w:pStyle w:val="16"/>
        <w:spacing w:line="360" w:lineRule="auto"/>
        <w:ind w:firstLine="480" w:firstLineChars="200"/>
        <w:rPr>
          <w:rFonts w:ascii="仿宋" w:hAnsi="仿宋" w:eastAsia="仿宋" w:cs="宋体"/>
          <w:color w:val="auto"/>
          <w:sz w:val="24"/>
          <w:szCs w:val="24"/>
          <w:highlight w:val="none"/>
        </w:rPr>
      </w:pPr>
    </w:p>
    <w:p>
      <w:pPr>
        <w:pStyle w:val="16"/>
        <w:spacing w:line="360" w:lineRule="auto"/>
        <w:ind w:firstLine="480" w:firstLineChars="200"/>
        <w:rPr>
          <w:rFonts w:ascii="仿宋" w:hAnsi="仿宋" w:eastAsia="仿宋" w:cs="宋体"/>
          <w:color w:val="auto"/>
          <w:sz w:val="24"/>
          <w:szCs w:val="24"/>
          <w:highlight w:val="none"/>
        </w:rPr>
      </w:pPr>
    </w:p>
    <w:p>
      <w:pPr>
        <w:pStyle w:val="16"/>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供应商</w:t>
      </w:r>
      <w:r>
        <w:rPr>
          <w:rFonts w:hint="eastAsia" w:ascii="仿宋" w:hAnsi="仿宋" w:eastAsia="仿宋" w:cs="宋体"/>
          <w:color w:val="auto"/>
          <w:sz w:val="24"/>
          <w:szCs w:val="24"/>
          <w:highlight w:val="none"/>
        </w:rPr>
        <w:t>名称</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盖公章</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w:t>
      </w:r>
      <w:r>
        <w:rPr>
          <w:rFonts w:ascii="仿宋" w:hAnsi="仿宋" w:eastAsia="仿宋" w:cs="宋体"/>
          <w:color w:val="auto"/>
          <w:sz w:val="24"/>
          <w:szCs w:val="24"/>
          <w:highlight w:val="none"/>
        </w:rPr>
        <w:t>____________</w:t>
      </w:r>
    </w:p>
    <w:p>
      <w:pPr>
        <w:pStyle w:val="16"/>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法定代表人或其授权代表</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签字或盖章</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w:t>
      </w:r>
      <w:r>
        <w:rPr>
          <w:rFonts w:ascii="仿宋" w:hAnsi="仿宋" w:eastAsia="仿宋" w:cs="宋体"/>
          <w:color w:val="auto"/>
          <w:sz w:val="24"/>
          <w:szCs w:val="24"/>
          <w:highlight w:val="none"/>
        </w:rPr>
        <w:t>____________</w:t>
      </w:r>
    </w:p>
    <w:p>
      <w:pPr>
        <w:pStyle w:val="16"/>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日期：</w:t>
      </w:r>
      <w:r>
        <w:rPr>
          <w:rFonts w:ascii="仿宋" w:hAnsi="仿宋" w:eastAsia="仿宋" w:cs="宋体"/>
          <w:color w:val="auto"/>
          <w:sz w:val="24"/>
          <w:szCs w:val="24"/>
          <w:highlight w:val="none"/>
        </w:rPr>
        <w:t>______</w:t>
      </w:r>
      <w:r>
        <w:rPr>
          <w:rFonts w:hint="eastAsia" w:ascii="仿宋" w:hAnsi="仿宋" w:eastAsia="仿宋" w:cs="宋体"/>
          <w:color w:val="auto"/>
          <w:sz w:val="24"/>
          <w:szCs w:val="24"/>
          <w:highlight w:val="none"/>
        </w:rPr>
        <w:t>年</w:t>
      </w:r>
      <w:r>
        <w:rPr>
          <w:rFonts w:ascii="仿宋" w:hAnsi="仿宋" w:eastAsia="仿宋" w:cs="宋体"/>
          <w:color w:val="auto"/>
          <w:sz w:val="24"/>
          <w:szCs w:val="24"/>
          <w:highlight w:val="none"/>
        </w:rPr>
        <w:t>____</w:t>
      </w:r>
      <w:r>
        <w:rPr>
          <w:rFonts w:hint="eastAsia" w:ascii="仿宋" w:hAnsi="仿宋" w:eastAsia="仿宋" w:cs="宋体"/>
          <w:color w:val="auto"/>
          <w:sz w:val="24"/>
          <w:szCs w:val="24"/>
          <w:highlight w:val="none"/>
        </w:rPr>
        <w:t>月</w:t>
      </w:r>
      <w:r>
        <w:rPr>
          <w:rFonts w:ascii="仿宋" w:hAnsi="仿宋" w:eastAsia="仿宋" w:cs="宋体"/>
          <w:color w:val="auto"/>
          <w:sz w:val="24"/>
          <w:szCs w:val="24"/>
          <w:highlight w:val="none"/>
        </w:rPr>
        <w:t>____</w:t>
      </w:r>
      <w:r>
        <w:rPr>
          <w:rFonts w:hint="eastAsia" w:ascii="仿宋" w:hAnsi="仿宋" w:eastAsia="仿宋" w:cs="宋体"/>
          <w:color w:val="auto"/>
          <w:sz w:val="24"/>
          <w:szCs w:val="24"/>
          <w:highlight w:val="none"/>
        </w:rPr>
        <w:t>日</w:t>
      </w:r>
    </w:p>
    <w:p>
      <w:pPr>
        <w:pStyle w:val="16"/>
        <w:spacing w:line="360" w:lineRule="auto"/>
        <w:ind w:firstLine="480" w:firstLineChars="200"/>
        <w:rPr>
          <w:rFonts w:ascii="仿宋" w:hAnsi="仿宋" w:eastAsia="仿宋" w:cs="宋体"/>
          <w:color w:val="auto"/>
          <w:sz w:val="24"/>
          <w:szCs w:val="24"/>
          <w:highlight w:val="none"/>
        </w:rPr>
      </w:pPr>
    </w:p>
    <w:p>
      <w:pPr>
        <w:pStyle w:val="16"/>
        <w:spacing w:line="360" w:lineRule="auto"/>
        <w:ind w:firstLine="482" w:firstLineChars="200"/>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符合磋商文件要求的供应商特定资格条件的证明材料</w:t>
      </w:r>
      <w:r>
        <w:rPr>
          <w:rFonts w:ascii="仿宋" w:hAnsi="仿宋" w:eastAsia="仿宋" w:cs="宋体"/>
          <w:b/>
          <w:bCs/>
          <w:color w:val="auto"/>
          <w:sz w:val="24"/>
          <w:szCs w:val="24"/>
          <w:highlight w:val="none"/>
        </w:rPr>
        <w:t>(</w:t>
      </w:r>
      <w:r>
        <w:rPr>
          <w:rFonts w:hint="eastAsia" w:ascii="仿宋" w:hAnsi="仿宋" w:eastAsia="仿宋" w:cs="宋体"/>
          <w:b/>
          <w:bCs/>
          <w:color w:val="auto"/>
          <w:sz w:val="24"/>
          <w:szCs w:val="24"/>
          <w:highlight w:val="none"/>
          <w:lang w:val="en-US" w:eastAsia="zh-CN"/>
        </w:rPr>
        <w:t>信用查询资料可自行查询，具体以</w:t>
      </w:r>
      <w:r>
        <w:rPr>
          <w:rFonts w:hint="eastAsia" w:ascii="仿宋" w:hAnsi="仿宋" w:eastAsia="仿宋" w:cs="宋体"/>
          <w:b/>
          <w:bCs/>
          <w:color w:val="auto"/>
          <w:sz w:val="24"/>
          <w:szCs w:val="24"/>
          <w:highlight w:val="none"/>
        </w:rPr>
        <w:t>采购代理机构</w:t>
      </w:r>
      <w:r>
        <w:rPr>
          <w:rFonts w:hint="eastAsia" w:ascii="仿宋" w:hAnsi="仿宋" w:eastAsia="仿宋" w:cs="宋体"/>
          <w:b/>
          <w:bCs/>
          <w:color w:val="auto"/>
          <w:sz w:val="24"/>
          <w:szCs w:val="24"/>
          <w:highlight w:val="none"/>
          <w:lang w:val="en-US" w:eastAsia="zh-CN"/>
        </w:rPr>
        <w:t>现场查询为准</w:t>
      </w:r>
      <w:r>
        <w:rPr>
          <w:rFonts w:ascii="仿宋" w:hAnsi="仿宋" w:eastAsia="仿宋" w:cs="宋体"/>
          <w:b/>
          <w:bCs/>
          <w:color w:val="auto"/>
          <w:sz w:val="24"/>
          <w:szCs w:val="24"/>
          <w:highlight w:val="none"/>
        </w:rPr>
        <w:t>)</w:t>
      </w:r>
    </w:p>
    <w:p>
      <w:pPr>
        <w:pStyle w:val="56"/>
        <w:outlineLvl w:val="9"/>
        <w:rPr>
          <w:rFonts w:hint="eastAsia" w:ascii="宋体" w:hAnsi="宋体" w:eastAsia="宋体" w:cs="宋体"/>
          <w:b/>
          <w:color w:val="auto"/>
          <w:sz w:val="24"/>
          <w:szCs w:val="21"/>
          <w:highlight w:val="none"/>
          <w:lang w:val="en-US" w:eastAsia="zh-CN" w:bidi="ar-SA"/>
        </w:rPr>
      </w:pPr>
      <w:r>
        <w:rPr>
          <w:rFonts w:ascii="仿宋" w:hAnsi="仿宋" w:eastAsia="仿宋" w:cs="宋体"/>
          <w:color w:val="auto"/>
          <w:sz w:val="24"/>
          <w:szCs w:val="24"/>
          <w:highlight w:val="none"/>
        </w:rPr>
        <w:br w:type="page"/>
      </w:r>
    </w:p>
    <w:p>
      <w:pPr>
        <w:pStyle w:val="56"/>
        <w:outlineLvl w:val="0"/>
        <w:rPr>
          <w:rFonts w:hint="eastAsia" w:ascii="宋体" w:hAnsi="宋体" w:eastAsia="宋体" w:cs="宋体"/>
          <w:b/>
          <w:color w:val="auto"/>
          <w:sz w:val="28"/>
          <w:szCs w:val="22"/>
          <w:highlight w:val="none"/>
          <w:lang w:val="en-US" w:eastAsia="zh-CN" w:bidi="ar-SA"/>
        </w:rPr>
      </w:pPr>
      <w:bookmarkStart w:id="754" w:name="_Toc16243"/>
      <w:bookmarkStart w:id="755" w:name="_Toc6867"/>
      <w:bookmarkStart w:id="756" w:name="_Toc14962"/>
      <w:r>
        <w:rPr>
          <w:rFonts w:hint="eastAsia" w:ascii="宋体" w:hAnsi="宋体" w:eastAsia="宋体" w:cs="宋体"/>
          <w:b/>
          <w:color w:val="auto"/>
          <w:sz w:val="28"/>
          <w:szCs w:val="22"/>
          <w:highlight w:val="none"/>
          <w:lang w:val="en-US" w:eastAsia="zh-CN" w:bidi="ar-SA"/>
        </w:rPr>
        <w:t>五、其他资格证明文件</w:t>
      </w:r>
      <w:bookmarkEnd w:id="751"/>
      <w:bookmarkEnd w:id="752"/>
      <w:bookmarkEnd w:id="753"/>
      <w:bookmarkEnd w:id="754"/>
      <w:bookmarkEnd w:id="755"/>
      <w:bookmarkEnd w:id="756"/>
    </w:p>
    <w:p>
      <w:pPr>
        <w:pStyle w:val="60"/>
        <w:outlineLvl w:val="9"/>
        <w:rPr>
          <w:rFonts w:hint="eastAsia" w:ascii="宋体" w:hAnsi="宋体" w:eastAsia="宋体" w:cs="宋体"/>
          <w:b/>
          <w:color w:val="auto"/>
          <w:sz w:val="24"/>
          <w:szCs w:val="24"/>
          <w:highlight w:val="none"/>
        </w:rPr>
      </w:pPr>
      <w:bookmarkStart w:id="757" w:name="_Toc256000037"/>
    </w:p>
    <w:p>
      <w:pPr>
        <w:pStyle w:val="6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其他资格证明文件</w:t>
      </w:r>
      <w:bookmarkEnd w:id="757"/>
      <w:bookmarkStart w:id="758" w:name="_Toc28851"/>
      <w:bookmarkStart w:id="759" w:name="_Toc256000038"/>
      <w:bookmarkStart w:id="760" w:name="_Toc19993"/>
    </w:p>
    <w:p>
      <w:pPr>
        <w:pStyle w:val="60"/>
        <w:outlineLvl w:val="9"/>
        <w:rPr>
          <w:rFonts w:hint="eastAsia" w:ascii="宋体" w:hAnsi="宋体" w:eastAsia="宋体" w:cs="宋体"/>
          <w:b/>
          <w:color w:val="auto"/>
          <w:sz w:val="24"/>
          <w:szCs w:val="24"/>
          <w:highlight w:val="none"/>
        </w:rPr>
      </w:pPr>
    </w:p>
    <w:p>
      <w:pPr>
        <w:pStyle w:val="56"/>
        <w:outlineLvl w:val="0"/>
        <w:rPr>
          <w:rFonts w:hint="eastAsia" w:ascii="宋体" w:hAnsi="宋体" w:eastAsia="宋体" w:cs="宋体"/>
          <w:b/>
          <w:color w:val="auto"/>
          <w:sz w:val="28"/>
          <w:szCs w:val="22"/>
          <w:highlight w:val="none"/>
          <w:lang w:val="en-US" w:eastAsia="zh-CN" w:bidi="ar-SA"/>
        </w:rPr>
      </w:pPr>
      <w:bookmarkStart w:id="761" w:name="_Toc32738"/>
      <w:bookmarkStart w:id="762" w:name="_Toc17575"/>
      <w:bookmarkStart w:id="763" w:name="_Toc15253"/>
      <w:r>
        <w:rPr>
          <w:rFonts w:hint="eastAsia" w:ascii="宋体" w:hAnsi="宋体" w:eastAsia="宋体" w:cs="宋体"/>
          <w:b/>
          <w:color w:val="auto"/>
          <w:sz w:val="28"/>
          <w:szCs w:val="22"/>
          <w:highlight w:val="none"/>
          <w:lang w:val="en-US" w:eastAsia="zh-CN" w:bidi="ar-SA"/>
        </w:rPr>
        <w:t>六、</w:t>
      </w:r>
      <w:bookmarkEnd w:id="758"/>
      <w:bookmarkEnd w:id="759"/>
      <w:bookmarkEnd w:id="760"/>
      <w:r>
        <w:rPr>
          <w:rFonts w:hint="eastAsia" w:ascii="宋体" w:hAnsi="宋体" w:eastAsia="宋体" w:cs="宋体"/>
          <w:b/>
          <w:color w:val="auto"/>
          <w:sz w:val="28"/>
          <w:szCs w:val="22"/>
          <w:highlight w:val="none"/>
          <w:lang w:val="en-US" w:eastAsia="zh-CN" w:bidi="ar-SA"/>
        </w:rPr>
        <w:t>磋商保证金</w:t>
      </w:r>
      <w:bookmarkEnd w:id="761"/>
      <w:bookmarkEnd w:id="762"/>
      <w:bookmarkEnd w:id="763"/>
    </w:p>
    <w:p>
      <w:pPr>
        <w:pStyle w:val="60"/>
        <w:jc w:val="center"/>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供应商按照采购文件要求缴纳磋商保证</w:t>
      </w:r>
      <w:r>
        <w:rPr>
          <w:rFonts w:hint="eastAsia" w:ascii="宋体" w:hAnsi="宋体" w:eastAsia="宋体" w:cs="宋体"/>
          <w:color w:val="auto"/>
          <w:sz w:val="24"/>
          <w:szCs w:val="24"/>
          <w:highlight w:val="none"/>
        </w:rPr>
        <w:t>金，提供相应凭证。</w:t>
      </w:r>
      <w:r>
        <w:rPr>
          <w:rFonts w:hint="eastAsia" w:ascii="宋体" w:hAnsi="宋体" w:eastAsia="宋体" w:cs="宋体"/>
          <w:color w:val="auto"/>
          <w:sz w:val="24"/>
          <w:szCs w:val="24"/>
          <w:highlight w:val="none"/>
        </w:rPr>
        <w:br w:type="page"/>
      </w:r>
      <w:bookmarkStart w:id="764" w:name="_Toc29111"/>
      <w:bookmarkStart w:id="765" w:name="_Toc256000039"/>
      <w:bookmarkStart w:id="766" w:name="_Toc22682"/>
      <w:r>
        <w:rPr>
          <w:rFonts w:hint="eastAsia" w:ascii="宋体" w:hAnsi="宋体" w:eastAsia="宋体" w:cs="宋体"/>
          <w:b/>
          <w:color w:val="auto"/>
          <w:sz w:val="28"/>
          <w:szCs w:val="22"/>
          <w:highlight w:val="none"/>
          <w:lang w:val="en-US" w:eastAsia="zh-CN" w:bidi="ar-SA"/>
        </w:rPr>
        <w:t>七、不参与围标串标承诺书</w:t>
      </w:r>
      <w:bookmarkEnd w:id="764"/>
      <w:bookmarkEnd w:id="765"/>
      <w:bookmarkEnd w:id="766"/>
    </w:p>
    <w:p>
      <w:pPr>
        <w:pStyle w:val="61"/>
        <w:spacing w:line="640" w:lineRule="exact"/>
        <w:ind w:firstLine="426" w:firstLineChars="177"/>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不参与围标串标承诺书</w:t>
      </w:r>
    </w:p>
    <w:p>
      <w:pPr>
        <w:pStyle w:val="61"/>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本人作为</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的法人，清楚知晓我公司本项目投标活动，对以下事项作出承诺：</w:t>
      </w:r>
    </w:p>
    <w:p>
      <w:pPr>
        <w:pStyle w:val="61"/>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一、我单位遵循公开、公平、公正、诚实守信的原则，依法依规参与本项目竞标。</w:t>
      </w:r>
    </w:p>
    <w:p>
      <w:pPr>
        <w:pStyle w:val="61"/>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二、我单位在本项目招标投标活动中，未参与围标串标。</w:t>
      </w:r>
    </w:p>
    <w:p>
      <w:pPr>
        <w:pStyle w:val="61"/>
        <w:spacing w:line="64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三、我单位如被查实在本项目招标投标活动中存在围标串标的，递交投标文件行为作为实施串通投标违法行为的关键环节，本人承担直接责任人员法律责任，接受相应行政处罚和失信惩戒。</w:t>
      </w:r>
    </w:p>
    <w:p>
      <w:pPr>
        <w:pStyle w:val="61"/>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项目编号：    </w:t>
      </w:r>
    </w:p>
    <w:p>
      <w:pPr>
        <w:pStyle w:val="61"/>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标段号：    </w:t>
      </w:r>
    </w:p>
    <w:p>
      <w:pPr>
        <w:pStyle w:val="61"/>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供应商单位名称：</w:t>
      </w:r>
    </w:p>
    <w:p>
      <w:pPr>
        <w:pStyle w:val="61"/>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供应商法人签名：</w:t>
      </w:r>
    </w:p>
    <w:p>
      <w:pPr>
        <w:pStyle w:val="61"/>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61"/>
        <w:spacing w:line="640" w:lineRule="exact"/>
        <w:jc w:val="left"/>
        <w:rPr>
          <w:rFonts w:hint="eastAsia" w:ascii="宋体" w:hAnsi="宋体" w:eastAsia="宋体" w:cs="宋体"/>
          <w:color w:val="auto"/>
          <w:sz w:val="24"/>
          <w:szCs w:val="24"/>
          <w:highlight w:val="none"/>
        </w:rPr>
      </w:pPr>
    </w:p>
    <w:p>
      <w:pPr>
        <w:pStyle w:val="61"/>
        <w:spacing w:line="640" w:lineRule="exact"/>
        <w:ind w:firstLine="4080" w:firstLineChars="17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盖  章</w:t>
      </w:r>
    </w:p>
    <w:p>
      <w:pPr>
        <w:pStyle w:val="61"/>
        <w:spacing w:line="640" w:lineRule="exact"/>
        <w:ind w:firstLine="4320" w:firstLineChars="18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pStyle w:val="62"/>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767" w:name="_Toc11861"/>
      <w:bookmarkStart w:id="768" w:name="_Toc256000040"/>
      <w:bookmarkStart w:id="769" w:name="_Toc22648"/>
      <w:bookmarkStart w:id="770" w:name="_Toc8296"/>
      <w:bookmarkStart w:id="771" w:name="_Toc24297"/>
      <w:bookmarkStart w:id="772" w:name="_Toc14979"/>
      <w:r>
        <w:rPr>
          <w:rFonts w:hint="eastAsia" w:ascii="宋体" w:hAnsi="宋体" w:eastAsia="宋体" w:cs="宋体"/>
          <w:b/>
          <w:color w:val="auto"/>
          <w:sz w:val="28"/>
          <w:szCs w:val="22"/>
          <w:highlight w:val="none"/>
          <w:lang w:val="en-US" w:eastAsia="zh-CN" w:bidi="ar-SA"/>
        </w:rPr>
        <w:t>八、中、小微企业声明函</w:t>
      </w:r>
      <w:bookmarkEnd w:id="767"/>
      <w:bookmarkEnd w:id="768"/>
      <w:bookmarkEnd w:id="769"/>
      <w:bookmarkEnd w:id="770"/>
      <w:bookmarkEnd w:id="771"/>
      <w:bookmarkEnd w:id="772"/>
    </w:p>
    <w:p>
      <w:pPr>
        <w:pStyle w:val="62"/>
        <w:jc w:val="center"/>
        <w:outlineLvl w:val="9"/>
        <w:rPr>
          <w:rFonts w:hint="eastAsia" w:ascii="宋体" w:hAnsi="宋体" w:eastAsia="宋体" w:cs="宋体"/>
          <w:color w:val="auto"/>
          <w:sz w:val="24"/>
          <w:szCs w:val="24"/>
          <w:highlight w:val="none"/>
          <w:lang w:val="en-US" w:eastAsia="zh-CN"/>
        </w:rPr>
      </w:pPr>
      <w:bookmarkStart w:id="773" w:name="_Toc31547"/>
      <w:bookmarkStart w:id="774" w:name="_Toc25642"/>
      <w:bookmarkStart w:id="775" w:name="_Toc256000041"/>
      <w:r>
        <w:rPr>
          <w:rFonts w:hint="eastAsia" w:ascii="宋体" w:hAnsi="宋体" w:eastAsia="宋体" w:cs="宋体"/>
          <w:color w:val="auto"/>
          <w:sz w:val="24"/>
          <w:szCs w:val="24"/>
          <w:highlight w:val="none"/>
          <w:lang w:val="en-US" w:eastAsia="zh-CN"/>
        </w:rPr>
        <w:t>中小企业声明函</w:t>
      </w:r>
      <w:bookmarkEnd w:id="773"/>
      <w:bookmarkEnd w:id="774"/>
      <w:bookmarkEnd w:id="775"/>
    </w:p>
    <w:p>
      <w:pPr>
        <w:pStyle w:val="62"/>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1"/>
          <w:highlight w:val="none"/>
          <w:lang w:val="en-US" w:eastAsia="zh-CN" w:bidi="ar-SA"/>
        </w:rPr>
        <w:t>（中、小、微型企业产品价格需扣除的须提供）</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本公司（联合体）郑重声明，根据《政府采购促进中小企业发展管理办法》（财库﹝2020﹞46 号）的规定，本公司（联合体）参加</w:t>
      </w:r>
      <w:r>
        <w:rPr>
          <w:rFonts w:hint="eastAsia" w:ascii="宋体" w:hAnsi="宋体" w:eastAsia="宋体" w:cs="宋体"/>
          <w:color w:val="auto"/>
          <w:spacing w:val="-2"/>
          <w:sz w:val="24"/>
          <w:szCs w:val="24"/>
          <w:highlight w:val="none"/>
          <w:u w:val="single"/>
          <w:lang w:val="en-US" w:eastAsia="zh-CN"/>
        </w:rPr>
        <w:t>（单位名称）</w:t>
      </w:r>
      <w:r>
        <w:rPr>
          <w:rFonts w:hint="eastAsia" w:ascii="宋体" w:hAnsi="宋体" w:eastAsia="宋体" w:cs="宋体"/>
          <w:color w:val="auto"/>
          <w:spacing w:val="-2"/>
          <w:sz w:val="24"/>
          <w:szCs w:val="24"/>
          <w:highlight w:val="none"/>
          <w:lang w:val="en-US" w:eastAsia="zh-CN"/>
        </w:rPr>
        <w:t>的</w:t>
      </w:r>
      <w:r>
        <w:rPr>
          <w:rFonts w:hint="eastAsia" w:ascii="宋体" w:hAnsi="宋体" w:eastAsia="宋体" w:cs="宋体"/>
          <w:color w:val="auto"/>
          <w:spacing w:val="-2"/>
          <w:sz w:val="24"/>
          <w:szCs w:val="24"/>
          <w:highlight w:val="none"/>
          <w:u w:val="single"/>
          <w:lang w:val="en-US" w:eastAsia="zh-CN"/>
        </w:rPr>
        <w:t>（项目名称）</w:t>
      </w:r>
      <w:r>
        <w:rPr>
          <w:rFonts w:hint="eastAsia" w:ascii="宋体" w:hAnsi="宋体" w:eastAsia="宋体" w:cs="宋体"/>
          <w:color w:val="auto"/>
          <w:spacing w:val="-2"/>
          <w:sz w:val="24"/>
          <w:szCs w:val="24"/>
          <w:highlight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u w:val="single"/>
          <w:lang w:val="en-US" w:eastAsia="zh-CN"/>
        </w:rPr>
        <w:t>（标的名称）</w:t>
      </w:r>
      <w:r>
        <w:rPr>
          <w:rFonts w:hint="eastAsia" w:ascii="宋体" w:hAnsi="宋体" w:eastAsia="宋体" w:cs="宋体"/>
          <w:color w:val="auto"/>
          <w:spacing w:val="-2"/>
          <w:sz w:val="24"/>
          <w:szCs w:val="24"/>
          <w:highlight w:val="none"/>
          <w:lang w:val="en-US" w:eastAsia="zh-CN"/>
        </w:rPr>
        <w:t>，属于</w:t>
      </w:r>
      <w:r>
        <w:rPr>
          <w:rFonts w:hint="eastAsia" w:ascii="宋体" w:hAnsi="宋体" w:eastAsia="宋体" w:cs="宋体"/>
          <w:color w:val="auto"/>
          <w:spacing w:val="-2"/>
          <w:sz w:val="24"/>
          <w:szCs w:val="24"/>
          <w:highlight w:val="none"/>
          <w:u w:val="single"/>
          <w:lang w:val="en-US" w:eastAsia="zh-CN"/>
        </w:rPr>
        <w:t>（采购文件中明确的所属行业）</w:t>
      </w:r>
      <w:r>
        <w:rPr>
          <w:rFonts w:hint="eastAsia" w:ascii="宋体" w:hAnsi="宋体" w:eastAsia="宋体" w:cs="宋体"/>
          <w:color w:val="auto"/>
          <w:spacing w:val="-2"/>
          <w:sz w:val="24"/>
          <w:szCs w:val="24"/>
          <w:highlight w:val="none"/>
          <w:lang w:val="en-US" w:eastAsia="zh-CN"/>
        </w:rPr>
        <w:t>；承建（承接）企业为</w:t>
      </w:r>
      <w:r>
        <w:rPr>
          <w:rFonts w:hint="eastAsia" w:ascii="宋体" w:hAnsi="宋体" w:eastAsia="宋体" w:cs="宋体"/>
          <w:color w:val="auto"/>
          <w:spacing w:val="-2"/>
          <w:sz w:val="24"/>
          <w:szCs w:val="24"/>
          <w:highlight w:val="none"/>
          <w:u w:val="single"/>
          <w:lang w:val="en-US" w:eastAsia="zh-CN"/>
        </w:rPr>
        <w:t>（企业名称）</w:t>
      </w:r>
      <w:r>
        <w:rPr>
          <w:rFonts w:hint="eastAsia" w:ascii="宋体" w:hAnsi="宋体" w:eastAsia="宋体" w:cs="宋体"/>
          <w:color w:val="auto"/>
          <w:spacing w:val="-2"/>
          <w:sz w:val="24"/>
          <w:szCs w:val="24"/>
          <w:highlight w:val="none"/>
          <w:lang w:val="en-US" w:eastAsia="zh-CN"/>
        </w:rPr>
        <w:t>，从业人员</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lang w:val="en-US" w:eastAsia="zh-CN"/>
        </w:rPr>
        <w:tab/>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lang w:val="en-US" w:eastAsia="zh-CN"/>
        </w:rPr>
        <w:t xml:space="preserve">人，营业收入为 </w:t>
      </w:r>
      <w:r>
        <w:rPr>
          <w:rFonts w:hint="eastAsia" w:ascii="宋体" w:hAnsi="宋体" w:eastAsia="宋体" w:cs="宋体"/>
          <w:color w:val="auto"/>
          <w:spacing w:val="-2"/>
          <w:sz w:val="24"/>
          <w:szCs w:val="24"/>
          <w:highlight w:val="none"/>
          <w:u w:val="single"/>
          <w:lang w:val="en-US" w:eastAsia="zh-CN"/>
        </w:rPr>
        <w:tab/>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lang w:val="en-US" w:eastAsia="zh-CN"/>
        </w:rPr>
        <w:t>万元，资产总额为</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lang w:val="en-US" w:eastAsia="zh-CN"/>
        </w:rPr>
        <w:tab/>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lang w:val="en-US" w:eastAsia="zh-CN"/>
        </w:rPr>
        <w:t>万元，属于</w:t>
      </w:r>
      <w:r>
        <w:rPr>
          <w:rFonts w:hint="eastAsia" w:ascii="宋体" w:hAnsi="宋体" w:eastAsia="宋体" w:cs="宋体"/>
          <w:color w:val="auto"/>
          <w:spacing w:val="-2"/>
          <w:sz w:val="24"/>
          <w:szCs w:val="24"/>
          <w:highlight w:val="none"/>
          <w:u w:val="single"/>
          <w:lang w:val="en-US" w:eastAsia="zh-CN"/>
        </w:rPr>
        <w:t>（中型企业、小型企业、微型企业）</w:t>
      </w:r>
      <w:r>
        <w:rPr>
          <w:rFonts w:hint="eastAsia" w:ascii="宋体" w:hAnsi="宋体" w:eastAsia="宋体" w:cs="宋体"/>
          <w:color w:val="auto"/>
          <w:spacing w:val="-2"/>
          <w:sz w:val="24"/>
          <w:szCs w:val="24"/>
          <w:highlight w:val="none"/>
          <w:lang w:val="en-US" w:eastAsia="zh-CN"/>
        </w:rPr>
        <w:t>；</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u w:val="single"/>
          <w:lang w:val="en-US" w:eastAsia="zh-CN"/>
        </w:rPr>
        <w:t>（标的名称）</w:t>
      </w:r>
      <w:r>
        <w:rPr>
          <w:rFonts w:hint="eastAsia" w:ascii="宋体" w:hAnsi="宋体" w:eastAsia="宋体" w:cs="宋体"/>
          <w:color w:val="auto"/>
          <w:spacing w:val="-2"/>
          <w:sz w:val="24"/>
          <w:szCs w:val="24"/>
          <w:highlight w:val="none"/>
          <w:lang w:val="en-US" w:eastAsia="zh-CN"/>
        </w:rPr>
        <w:t>，属于</w:t>
      </w:r>
      <w:r>
        <w:rPr>
          <w:rFonts w:hint="eastAsia" w:ascii="宋体" w:hAnsi="宋体" w:eastAsia="宋体" w:cs="宋体"/>
          <w:color w:val="auto"/>
          <w:spacing w:val="-2"/>
          <w:sz w:val="24"/>
          <w:szCs w:val="24"/>
          <w:highlight w:val="none"/>
          <w:u w:val="single"/>
          <w:lang w:val="en-US" w:eastAsia="zh-CN"/>
        </w:rPr>
        <w:t>（采购文件中明确的所属行业）</w:t>
      </w:r>
      <w:r>
        <w:rPr>
          <w:rFonts w:hint="eastAsia" w:ascii="宋体" w:hAnsi="宋体" w:eastAsia="宋体" w:cs="宋体"/>
          <w:color w:val="auto"/>
          <w:spacing w:val="-2"/>
          <w:sz w:val="24"/>
          <w:szCs w:val="24"/>
          <w:highlight w:val="none"/>
          <w:lang w:val="en-US" w:eastAsia="zh-CN"/>
        </w:rPr>
        <w:t>；承建（承接）企业为</w:t>
      </w:r>
      <w:r>
        <w:rPr>
          <w:rFonts w:hint="eastAsia" w:ascii="宋体" w:hAnsi="宋体" w:eastAsia="宋体" w:cs="宋体"/>
          <w:color w:val="auto"/>
          <w:spacing w:val="-2"/>
          <w:sz w:val="24"/>
          <w:szCs w:val="24"/>
          <w:highlight w:val="none"/>
          <w:u w:val="single"/>
          <w:lang w:val="en-US" w:eastAsia="zh-CN"/>
        </w:rPr>
        <w:t>（企业名称）</w:t>
      </w:r>
      <w:r>
        <w:rPr>
          <w:rFonts w:hint="eastAsia" w:ascii="宋体" w:hAnsi="宋体" w:eastAsia="宋体" w:cs="宋体"/>
          <w:color w:val="auto"/>
          <w:spacing w:val="-2"/>
          <w:sz w:val="24"/>
          <w:szCs w:val="24"/>
          <w:highlight w:val="none"/>
          <w:lang w:val="en-US" w:eastAsia="zh-CN"/>
        </w:rPr>
        <w:t>，从业人员</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lang w:val="en-US" w:eastAsia="zh-CN"/>
        </w:rPr>
        <w:tab/>
      </w:r>
      <w:r>
        <w:rPr>
          <w:rFonts w:hint="eastAsia" w:ascii="宋体" w:hAnsi="宋体" w:eastAsia="宋体" w:cs="宋体"/>
          <w:color w:val="auto"/>
          <w:spacing w:val="-2"/>
          <w:sz w:val="24"/>
          <w:szCs w:val="24"/>
          <w:highlight w:val="none"/>
          <w:lang w:val="en-US" w:eastAsia="zh-CN"/>
        </w:rPr>
        <w:t>人，营业收入为</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lang w:val="en-US" w:eastAsia="zh-CN"/>
        </w:rPr>
        <w:tab/>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lang w:val="en-US" w:eastAsia="zh-CN"/>
        </w:rPr>
        <w:t>万元，资产总额为</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lang w:val="en-US" w:eastAsia="zh-CN"/>
        </w:rPr>
        <w:tab/>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lang w:val="en-US" w:eastAsia="zh-CN"/>
        </w:rPr>
        <w:t>万元，属于</w:t>
      </w:r>
      <w:r>
        <w:rPr>
          <w:rFonts w:hint="eastAsia" w:ascii="宋体" w:hAnsi="宋体" w:eastAsia="宋体" w:cs="宋体"/>
          <w:color w:val="auto"/>
          <w:spacing w:val="-2"/>
          <w:sz w:val="24"/>
          <w:szCs w:val="24"/>
          <w:highlight w:val="none"/>
          <w:u w:val="single"/>
          <w:lang w:val="en-US" w:eastAsia="zh-CN"/>
        </w:rPr>
        <w:t>（中型企业、小型企业、微型企业）</w:t>
      </w:r>
      <w:r>
        <w:rPr>
          <w:rFonts w:hint="eastAsia" w:ascii="宋体" w:hAnsi="宋体" w:eastAsia="宋体" w:cs="宋体"/>
          <w:color w:val="auto"/>
          <w:spacing w:val="-2"/>
          <w:sz w:val="24"/>
          <w:szCs w:val="24"/>
          <w:highlight w:val="none"/>
          <w:lang w:val="en-US" w:eastAsia="zh-CN"/>
        </w:rPr>
        <w:t>；</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以上企业，不属于大企业的分支机构，不存在控股股东为大企业的情形，也不存在与大企业的负责人为同一人的情形。</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本企业对上述声明内容的真实性负责。如有虚假，将依 法承担相应责任。</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p>
    <w:p>
      <w:pPr>
        <w:pStyle w:val="64"/>
        <w:spacing w:before="35" w:line="316" w:lineRule="auto"/>
        <w:ind w:right="2166" w:firstLine="4012" w:firstLineChars="17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企业名称（盖章）：</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                                 日期：</w:t>
      </w:r>
    </w:p>
    <w:p>
      <w:pPr>
        <w:pStyle w:val="65"/>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776" w:name="_Toc5981"/>
      <w:bookmarkStart w:id="777" w:name="_Toc16271"/>
      <w:bookmarkStart w:id="778" w:name="_Toc5114"/>
      <w:bookmarkStart w:id="779" w:name="_Toc30328"/>
      <w:bookmarkStart w:id="780" w:name="_Toc18082"/>
      <w:bookmarkStart w:id="781" w:name="_Toc256000042"/>
      <w:r>
        <w:rPr>
          <w:rFonts w:hint="eastAsia" w:ascii="宋体" w:hAnsi="宋体" w:eastAsia="宋体" w:cs="宋体"/>
          <w:b/>
          <w:color w:val="auto"/>
          <w:sz w:val="28"/>
          <w:szCs w:val="22"/>
          <w:highlight w:val="none"/>
          <w:lang w:val="en-US" w:eastAsia="zh-CN" w:bidi="ar-SA"/>
        </w:rPr>
        <w:t>九、磋商申请</w:t>
      </w:r>
      <w:bookmarkEnd w:id="776"/>
      <w:bookmarkEnd w:id="777"/>
      <w:bookmarkEnd w:id="778"/>
      <w:bookmarkEnd w:id="779"/>
      <w:bookmarkEnd w:id="780"/>
      <w:bookmarkEnd w:id="781"/>
    </w:p>
    <w:p>
      <w:pPr>
        <w:pStyle w:val="65"/>
        <w:jc w:val="center"/>
        <w:outlineLvl w:val="9"/>
        <w:rPr>
          <w:rFonts w:hint="eastAsia" w:ascii="宋体" w:hAnsi="宋体" w:eastAsia="宋体" w:cs="宋体"/>
          <w:b/>
          <w:color w:val="auto"/>
          <w:sz w:val="24"/>
          <w:szCs w:val="24"/>
          <w:highlight w:val="none"/>
          <w:lang w:val="zh-CN"/>
        </w:rPr>
      </w:pPr>
      <w:bookmarkStart w:id="782" w:name="_Toc256000043"/>
      <w:r>
        <w:rPr>
          <w:rFonts w:hint="eastAsia" w:ascii="宋体" w:hAnsi="宋体" w:eastAsia="宋体" w:cs="宋体"/>
          <w:b/>
          <w:color w:val="auto"/>
          <w:sz w:val="24"/>
          <w:szCs w:val="24"/>
          <w:highlight w:val="none"/>
        </w:rPr>
        <w:t>（一）磋商申请</w:t>
      </w:r>
      <w:bookmarkEnd w:id="782"/>
    </w:p>
    <w:p>
      <w:pPr>
        <w:pStyle w:val="66"/>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（项目单位）</w:t>
      </w:r>
    </w:p>
    <w:p>
      <w:pPr>
        <w:pStyle w:val="66"/>
        <w:autoSpaceDE w:val="0"/>
        <w:autoSpaceDN w:val="0"/>
        <w:adjustRightInd w:val="0"/>
        <w:spacing w:before="158" w:beforeLines="50" w:line="360" w:lineRule="auto"/>
        <w:ind w:left="239" w:leftChars="114" w:firstLine="240" w:firstLineChars="1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根据贵方项目编号</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的磋商文件，我方正式提交响应文件正本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份，副本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份。</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据此函，签字人兹同意如下：</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1、总报价为（大写）</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2、我们同意提供贵方可能要求的与本次磋商有关的任何证据或资料。</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3、一旦我方成交，我方承诺将根据磋商文件与贵方签订书面合同，并严格履行合同义务。</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4、我方指派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（姓名）为项目经理，保证于承诺的时间内完成本次发包范围内的任务，并交付贵方验收、使用。</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决不提供虚假材料谋取成交，决不采取不正当手段诋毁、排挤其他供应商，决不与采购人、其它供应商恶意串通，决不向采购人及磋商小组进行商业贿赂。如有违反，愿无条件接受贵方及相关管理部门的处罚。</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6、随本申请递交的磋商申请附录是本申请的组成部分，对我方构成约束力。</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7、与本申请有关的正式通讯地址为：</w:t>
      </w:r>
    </w:p>
    <w:p>
      <w:pPr>
        <w:pStyle w:val="66"/>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pStyle w:val="66"/>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pPr>
        <w:pStyle w:val="66"/>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pPr>
        <w:pStyle w:val="66"/>
        <w:spacing w:line="360" w:lineRule="auto"/>
        <w:ind w:firstLine="480" w:firstLineChars="200"/>
        <w:rPr>
          <w:rFonts w:hint="eastAsia" w:ascii="宋体" w:hAnsi="宋体" w:eastAsia="宋体" w:cs="宋体"/>
          <w:color w:val="auto"/>
          <w:sz w:val="24"/>
          <w:szCs w:val="24"/>
          <w:highlight w:val="none"/>
        </w:rPr>
      </w:pPr>
    </w:p>
    <w:p>
      <w:pPr>
        <w:pStyle w:val="66"/>
        <w:spacing w:before="50" w:after="158"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w:t>
      </w:r>
      <w:r>
        <w:rPr>
          <w:rFonts w:hint="eastAsia" w:ascii="宋体" w:hAnsi="宋体" w:eastAsia="宋体" w:cs="宋体"/>
          <w:color w:val="auto"/>
          <w:sz w:val="24"/>
          <w:szCs w:val="24"/>
          <w:highlight w:val="none"/>
          <w:lang w:val="en-US" w:eastAsia="zh-CN"/>
        </w:rPr>
        <w:t>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u w:val="single"/>
        </w:rPr>
        <w:t xml:space="preserve">                 </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67"/>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783" w:name="_Toc30383"/>
      <w:bookmarkStart w:id="784" w:name="_Toc256000044"/>
      <w:bookmarkStart w:id="785" w:name="_Toc2542"/>
      <w:bookmarkStart w:id="786" w:name="_Toc16882"/>
      <w:bookmarkStart w:id="787" w:name="_Toc14056"/>
      <w:bookmarkStart w:id="788" w:name="_Toc14932"/>
      <w:r>
        <w:rPr>
          <w:rFonts w:hint="eastAsia" w:ascii="宋体" w:hAnsi="宋体" w:eastAsia="宋体" w:cs="宋体"/>
          <w:b/>
          <w:color w:val="auto"/>
          <w:sz w:val="28"/>
          <w:szCs w:val="22"/>
          <w:highlight w:val="none"/>
          <w:lang w:val="en-US" w:eastAsia="zh-CN" w:bidi="ar-SA"/>
        </w:rPr>
        <w:t>十、磋商申请附录</w:t>
      </w:r>
      <w:bookmarkEnd w:id="783"/>
      <w:bookmarkEnd w:id="784"/>
      <w:bookmarkEnd w:id="785"/>
      <w:bookmarkEnd w:id="786"/>
      <w:bookmarkEnd w:id="787"/>
      <w:bookmarkEnd w:id="788"/>
    </w:p>
    <w:p>
      <w:pPr>
        <w:pStyle w:val="68"/>
        <w:spacing w:after="158" w:afterLines="50"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项目名称：                                       报价单位：人民币元</w:t>
      </w:r>
    </w:p>
    <w:tbl>
      <w:tblPr>
        <w:tblStyle w:val="28"/>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501"/>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w:t>
            </w:r>
          </w:p>
        </w:tc>
        <w:tc>
          <w:tcPr>
            <w:tcW w:w="7371" w:type="dxa"/>
            <w:gridSpan w:val="2"/>
            <w:noWrap w:val="0"/>
            <w:vAlign w:val="center"/>
          </w:tcPr>
          <w:p>
            <w:pPr>
              <w:pStyle w:val="68"/>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restart"/>
            <w:noWrap w:val="0"/>
            <w:vAlign w:val="center"/>
          </w:tcPr>
          <w:p>
            <w:pPr>
              <w:pStyle w:val="6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总报价（元）</w:t>
            </w:r>
          </w:p>
        </w:tc>
        <w:tc>
          <w:tcPr>
            <w:tcW w:w="1501" w:type="dxa"/>
            <w:tcBorders>
              <w:bottom w:val="single" w:color="auto" w:sz="4" w:space="0"/>
            </w:tcBorders>
            <w:noWrap w:val="0"/>
            <w:vAlign w:val="center"/>
          </w:tcPr>
          <w:p>
            <w:pPr>
              <w:pStyle w:val="6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c>
          <w:tcPr>
            <w:tcW w:w="5870" w:type="dxa"/>
            <w:tcBorders>
              <w:bottom w:val="single" w:color="auto" w:sz="4" w:space="0"/>
            </w:tcBorders>
            <w:noWrap w:val="0"/>
            <w:vAlign w:val="center"/>
          </w:tcPr>
          <w:p>
            <w:pPr>
              <w:pStyle w:val="68"/>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continue"/>
            <w:tcBorders>
              <w:bottom w:val="single" w:color="auto" w:sz="4" w:space="0"/>
            </w:tcBorders>
            <w:noWrap w:val="0"/>
            <w:vAlign w:val="center"/>
          </w:tcPr>
          <w:p>
            <w:pPr>
              <w:pStyle w:val="68"/>
              <w:spacing w:line="360" w:lineRule="auto"/>
              <w:jc w:val="center"/>
              <w:rPr>
                <w:rFonts w:hint="eastAsia" w:ascii="宋体" w:hAnsi="宋体" w:eastAsia="宋体" w:cs="宋体"/>
                <w:color w:val="auto"/>
                <w:sz w:val="24"/>
                <w:szCs w:val="24"/>
                <w:highlight w:val="none"/>
              </w:rPr>
            </w:pPr>
          </w:p>
        </w:tc>
        <w:tc>
          <w:tcPr>
            <w:tcW w:w="1501" w:type="dxa"/>
            <w:tcBorders>
              <w:bottom w:val="single" w:color="auto" w:sz="4" w:space="0"/>
            </w:tcBorders>
            <w:noWrap w:val="0"/>
            <w:vAlign w:val="center"/>
          </w:tcPr>
          <w:p>
            <w:pPr>
              <w:pStyle w:val="6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5870" w:type="dxa"/>
            <w:tcBorders>
              <w:bottom w:val="single" w:color="auto" w:sz="4" w:space="0"/>
            </w:tcBorders>
            <w:noWrap w:val="0"/>
            <w:vAlign w:val="center"/>
          </w:tcPr>
          <w:p>
            <w:pPr>
              <w:pStyle w:val="68"/>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ind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7371" w:type="dxa"/>
            <w:gridSpan w:val="2"/>
            <w:noWrap w:val="0"/>
            <w:vAlign w:val="center"/>
          </w:tcPr>
          <w:p>
            <w:pPr>
              <w:pStyle w:val="68"/>
              <w:spacing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w:t>
            </w:r>
          </w:p>
        </w:tc>
        <w:tc>
          <w:tcPr>
            <w:tcW w:w="7371" w:type="dxa"/>
            <w:gridSpan w:val="2"/>
            <w:noWrap w:val="0"/>
            <w:vAlign w:val="center"/>
          </w:tcPr>
          <w:p>
            <w:pPr>
              <w:pStyle w:val="68"/>
              <w:spacing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ind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w:t>
            </w:r>
          </w:p>
        </w:tc>
        <w:tc>
          <w:tcPr>
            <w:tcW w:w="7371" w:type="dxa"/>
            <w:gridSpan w:val="2"/>
            <w:noWrap w:val="0"/>
            <w:vAlign w:val="center"/>
          </w:tcPr>
          <w:p>
            <w:pPr>
              <w:pStyle w:val="68"/>
              <w:spacing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ind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7371" w:type="dxa"/>
            <w:gridSpan w:val="2"/>
            <w:noWrap w:val="0"/>
            <w:vAlign w:val="center"/>
          </w:tcPr>
          <w:p>
            <w:pPr>
              <w:pStyle w:val="68"/>
              <w:spacing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ind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371" w:type="dxa"/>
            <w:gridSpan w:val="2"/>
            <w:noWrap w:val="0"/>
            <w:vAlign w:val="center"/>
          </w:tcPr>
          <w:p>
            <w:pPr>
              <w:pStyle w:val="68"/>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供应商在磋商文件中规定的实质性要求和条件的基础上，可做出其他有利于采购人的承诺。此类承诺可在本表中予以补充填写。</w:t>
            </w:r>
          </w:p>
        </w:tc>
      </w:tr>
    </w:tbl>
    <w:p>
      <w:pPr>
        <w:pStyle w:val="68"/>
        <w:spacing w:line="360" w:lineRule="auto"/>
        <w:ind w:firstLine="480" w:firstLineChars="200"/>
        <w:rPr>
          <w:rFonts w:hint="eastAsia" w:ascii="宋体" w:hAnsi="宋体" w:eastAsia="宋体" w:cs="宋体"/>
          <w:color w:val="auto"/>
          <w:sz w:val="24"/>
          <w:szCs w:val="24"/>
          <w:highlight w:val="none"/>
        </w:rPr>
      </w:pPr>
    </w:p>
    <w:p>
      <w:pPr>
        <w:pStyle w:val="68"/>
        <w:spacing w:before="50" w:after="158"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w:t>
      </w:r>
      <w:r>
        <w:rPr>
          <w:rFonts w:hint="eastAsia" w:ascii="宋体" w:hAnsi="宋体" w:eastAsia="宋体" w:cs="宋体"/>
          <w:color w:val="auto"/>
          <w:sz w:val="24"/>
          <w:szCs w:val="24"/>
          <w:highlight w:val="none"/>
          <w:lang w:val="en-US" w:eastAsia="zh-CN"/>
        </w:rPr>
        <w:t>字</w:t>
      </w:r>
      <w:r>
        <w:rPr>
          <w:rFonts w:hint="eastAsia" w:ascii="宋体" w:hAnsi="宋体" w:eastAsia="宋体" w:cs="宋体"/>
          <w:color w:val="auto"/>
          <w:sz w:val="24"/>
          <w:szCs w:val="24"/>
          <w:highlight w:val="none"/>
        </w:rPr>
        <w:t>）：</w:t>
      </w:r>
    </w:p>
    <w:p>
      <w:pPr>
        <w:pStyle w:val="6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p>
    <w:p>
      <w:pPr>
        <w:pStyle w:val="68"/>
        <w:spacing w:line="360" w:lineRule="auto"/>
        <w:ind w:firstLine="480" w:firstLineChars="200"/>
        <w:rPr>
          <w:rFonts w:hint="eastAsia" w:ascii="宋体" w:hAnsi="宋体" w:eastAsia="宋体" w:cs="宋体"/>
          <w:color w:val="auto"/>
          <w:sz w:val="24"/>
          <w:szCs w:val="24"/>
          <w:highlight w:val="none"/>
        </w:rPr>
      </w:pPr>
    </w:p>
    <w:p>
      <w:pPr>
        <w:pStyle w:val="69"/>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789" w:name="_Toc256000045"/>
      <w:bookmarkStart w:id="790" w:name="_Toc7028"/>
      <w:bookmarkStart w:id="791" w:name="_Toc11940"/>
      <w:bookmarkStart w:id="792" w:name="_Toc18056"/>
      <w:bookmarkStart w:id="793" w:name="_Toc13803"/>
      <w:bookmarkStart w:id="794" w:name="_Toc29617"/>
      <w:r>
        <w:rPr>
          <w:rFonts w:hint="eastAsia" w:ascii="宋体" w:hAnsi="宋体" w:eastAsia="宋体" w:cs="宋体"/>
          <w:b/>
          <w:color w:val="auto"/>
          <w:sz w:val="28"/>
          <w:szCs w:val="22"/>
          <w:highlight w:val="none"/>
          <w:lang w:val="en-US" w:eastAsia="zh-CN" w:bidi="ar-SA"/>
        </w:rPr>
        <w:t>十一、已标价的工程量清单</w:t>
      </w:r>
      <w:bookmarkEnd w:id="789"/>
      <w:bookmarkEnd w:id="790"/>
      <w:bookmarkEnd w:id="791"/>
      <w:bookmarkEnd w:id="792"/>
      <w:bookmarkEnd w:id="793"/>
      <w:bookmarkEnd w:id="794"/>
    </w:p>
    <w:p>
      <w:pPr>
        <w:pStyle w:val="70"/>
        <w:spacing w:line="360" w:lineRule="auto"/>
        <w:jc w:val="center"/>
        <w:rPr>
          <w:rFonts w:hint="eastAsia" w:ascii="宋体" w:hAnsi="宋体" w:eastAsia="宋体" w:cs="宋体"/>
          <w:b/>
          <w:color w:val="auto"/>
          <w:sz w:val="24"/>
          <w:szCs w:val="24"/>
          <w:highlight w:val="none"/>
        </w:rPr>
      </w:pPr>
      <w:bookmarkStart w:id="795" w:name="_Toc256000046"/>
      <w:bookmarkStart w:id="796" w:name="_Toc14999"/>
      <w:r>
        <w:rPr>
          <w:rFonts w:hint="eastAsia" w:ascii="宋体" w:hAnsi="宋体" w:eastAsia="宋体" w:cs="宋体"/>
          <w:b/>
          <w:color w:val="auto"/>
          <w:sz w:val="24"/>
          <w:szCs w:val="24"/>
          <w:highlight w:val="none"/>
        </w:rPr>
        <w:t>报价一览表</w:t>
      </w:r>
    </w:p>
    <w:p>
      <w:pPr>
        <w:pStyle w:val="70"/>
        <w:adjustRightInd w:val="0"/>
        <w:snapToGrid w:val="0"/>
        <w:spacing w:line="360" w:lineRule="auto"/>
        <w:ind w:left="-88" w:leftChars="-4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（后附工程量清单明细表，否则其投标报价无效，做废标处理。）</w:t>
      </w:r>
    </w:p>
    <w:p>
      <w:pPr>
        <w:pStyle w:val="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标段名称：</w:t>
      </w:r>
    </w:p>
    <w:p>
      <w:pPr>
        <w:pStyle w:val="70"/>
        <w:spacing w:after="158" w:afterLines="50"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标段编号：                                        报价单位：人民币元</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501"/>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restart"/>
            <w:noWrap w:val="0"/>
            <w:vAlign w:val="center"/>
          </w:tcPr>
          <w:p>
            <w:pPr>
              <w:pStyle w:val="70"/>
              <w:spacing w:line="360" w:lineRule="auto"/>
              <w:jc w:val="center"/>
              <w:rPr>
                <w:rFonts w:hint="eastAsia" w:ascii="宋体" w:hAnsi="宋体" w:eastAsia="宋体" w:cs="宋体"/>
                <w:color w:val="auto"/>
                <w:sz w:val="24"/>
                <w:szCs w:val="24"/>
                <w:highlight w:val="none"/>
              </w:rPr>
            </w:pPr>
          </w:p>
          <w:p>
            <w:pPr>
              <w:pStyle w:val="7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总报价（元）</w:t>
            </w:r>
          </w:p>
          <w:p>
            <w:pPr>
              <w:pStyle w:val="70"/>
              <w:spacing w:line="360" w:lineRule="auto"/>
              <w:jc w:val="center"/>
              <w:rPr>
                <w:rFonts w:hint="eastAsia" w:ascii="宋体" w:hAnsi="宋体" w:eastAsia="宋体" w:cs="宋体"/>
                <w:color w:val="auto"/>
                <w:sz w:val="24"/>
                <w:szCs w:val="24"/>
                <w:highlight w:val="none"/>
              </w:rPr>
            </w:pPr>
          </w:p>
        </w:tc>
        <w:tc>
          <w:tcPr>
            <w:tcW w:w="1501" w:type="dxa"/>
            <w:noWrap w:val="0"/>
            <w:vAlign w:val="center"/>
          </w:tcPr>
          <w:p>
            <w:pPr>
              <w:pStyle w:val="7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5870" w:type="dxa"/>
            <w:noWrap w:val="0"/>
            <w:vAlign w:val="center"/>
          </w:tcPr>
          <w:p>
            <w:pPr>
              <w:pStyle w:val="7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continue"/>
            <w:noWrap w:val="0"/>
            <w:vAlign w:val="center"/>
          </w:tcPr>
          <w:p>
            <w:pPr>
              <w:pStyle w:val="70"/>
              <w:spacing w:line="360" w:lineRule="auto"/>
              <w:jc w:val="center"/>
              <w:rPr>
                <w:rFonts w:hint="eastAsia" w:ascii="宋体" w:hAnsi="宋体" w:eastAsia="宋体" w:cs="宋体"/>
                <w:color w:val="auto"/>
                <w:sz w:val="24"/>
                <w:szCs w:val="24"/>
                <w:highlight w:val="none"/>
              </w:rPr>
            </w:pPr>
          </w:p>
        </w:tc>
        <w:tc>
          <w:tcPr>
            <w:tcW w:w="1501" w:type="dxa"/>
            <w:tcBorders>
              <w:bottom w:val="single" w:color="auto" w:sz="4" w:space="0"/>
            </w:tcBorders>
            <w:noWrap w:val="0"/>
            <w:vAlign w:val="center"/>
          </w:tcPr>
          <w:p>
            <w:pPr>
              <w:pStyle w:val="7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c>
          <w:tcPr>
            <w:tcW w:w="5870" w:type="dxa"/>
            <w:tcBorders>
              <w:bottom w:val="single" w:color="auto" w:sz="4" w:space="0"/>
            </w:tcBorders>
            <w:noWrap w:val="0"/>
            <w:vAlign w:val="center"/>
          </w:tcPr>
          <w:p>
            <w:pPr>
              <w:pStyle w:val="7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70"/>
              <w:spacing w:line="360" w:lineRule="auto"/>
              <w:ind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w:t>
            </w:r>
          </w:p>
        </w:tc>
        <w:tc>
          <w:tcPr>
            <w:tcW w:w="7371" w:type="dxa"/>
            <w:gridSpan w:val="2"/>
            <w:noWrap w:val="0"/>
            <w:vAlign w:val="center"/>
          </w:tcPr>
          <w:p>
            <w:pPr>
              <w:pStyle w:val="70"/>
              <w:spacing w:line="360" w:lineRule="auto"/>
              <w:ind w:firstLine="42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70"/>
              <w:spacing w:line="360" w:lineRule="auto"/>
              <w:ind w:left="0" w:leftChars="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en-US" w:eastAsia="zh-CN"/>
              </w:rPr>
              <w:t>及执业证书号</w:t>
            </w:r>
          </w:p>
        </w:tc>
        <w:tc>
          <w:tcPr>
            <w:tcW w:w="7371" w:type="dxa"/>
            <w:gridSpan w:val="2"/>
            <w:noWrap w:val="0"/>
            <w:vAlign w:val="center"/>
          </w:tcPr>
          <w:p>
            <w:pPr>
              <w:pStyle w:val="70"/>
              <w:spacing w:line="360" w:lineRule="auto"/>
              <w:ind w:firstLine="422"/>
              <w:jc w:val="left"/>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70"/>
              <w:spacing w:line="360" w:lineRule="auto"/>
              <w:ind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371" w:type="dxa"/>
            <w:gridSpan w:val="2"/>
            <w:noWrap w:val="0"/>
            <w:vAlign w:val="center"/>
          </w:tcPr>
          <w:p>
            <w:pPr>
              <w:pStyle w:val="70"/>
              <w:spacing w:line="360" w:lineRule="auto"/>
              <w:ind w:firstLine="422"/>
              <w:jc w:val="left"/>
              <w:rPr>
                <w:rFonts w:hint="eastAsia" w:ascii="宋体" w:hAnsi="宋体" w:eastAsia="宋体" w:cs="宋体"/>
                <w:b/>
                <w:color w:val="auto"/>
                <w:sz w:val="24"/>
                <w:szCs w:val="24"/>
                <w:highlight w:val="none"/>
              </w:rPr>
            </w:pPr>
          </w:p>
        </w:tc>
      </w:tr>
    </w:tbl>
    <w:p>
      <w:pPr>
        <w:pStyle w:val="7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说明：各分项价格统一按此总报价幅度调整。</w:t>
      </w:r>
    </w:p>
    <w:p>
      <w:pPr>
        <w:pStyle w:val="70"/>
        <w:spacing w:line="360" w:lineRule="auto"/>
        <w:rPr>
          <w:rFonts w:hint="eastAsia" w:ascii="宋体" w:hAnsi="宋体" w:eastAsia="宋体" w:cs="宋体"/>
          <w:color w:val="auto"/>
          <w:sz w:val="24"/>
          <w:szCs w:val="24"/>
          <w:highlight w:val="none"/>
        </w:rPr>
      </w:pPr>
    </w:p>
    <w:p>
      <w:pPr>
        <w:pStyle w:val="70"/>
        <w:spacing w:line="360" w:lineRule="auto"/>
        <w:ind w:firstLine="480" w:firstLineChars="200"/>
        <w:rPr>
          <w:rFonts w:hint="eastAsia" w:ascii="宋体" w:hAnsi="宋体" w:eastAsia="宋体" w:cs="宋体"/>
          <w:color w:val="auto"/>
          <w:sz w:val="24"/>
          <w:szCs w:val="24"/>
          <w:highlight w:val="none"/>
        </w:rPr>
      </w:pPr>
    </w:p>
    <w:p>
      <w:pPr>
        <w:pStyle w:val="70"/>
        <w:spacing w:line="360" w:lineRule="auto"/>
        <w:ind w:firstLine="480" w:firstLineChars="200"/>
        <w:rPr>
          <w:rFonts w:hint="eastAsia" w:ascii="宋体" w:hAnsi="宋体" w:eastAsia="宋体" w:cs="宋体"/>
          <w:color w:val="auto"/>
          <w:sz w:val="24"/>
          <w:szCs w:val="24"/>
          <w:highlight w:val="none"/>
        </w:rPr>
      </w:pPr>
    </w:p>
    <w:p>
      <w:pPr>
        <w:pStyle w:val="70"/>
        <w:spacing w:before="50" w:after="158"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w:t>
      </w:r>
      <w:r>
        <w:rPr>
          <w:rFonts w:hint="eastAsia" w:ascii="宋体" w:hAnsi="宋体" w:eastAsia="宋体" w:cs="宋体"/>
          <w:color w:val="auto"/>
          <w:sz w:val="24"/>
          <w:szCs w:val="24"/>
          <w:highlight w:val="none"/>
          <w:lang w:val="en-US" w:eastAsia="zh-CN"/>
        </w:rPr>
        <w:t>签字</w:t>
      </w:r>
      <w:r>
        <w:rPr>
          <w:rFonts w:hint="eastAsia" w:ascii="宋体" w:hAnsi="宋体" w:eastAsia="宋体" w:cs="宋体"/>
          <w:color w:val="auto"/>
          <w:sz w:val="24"/>
          <w:szCs w:val="24"/>
          <w:highlight w:val="none"/>
        </w:rPr>
        <w:t>）：</w:t>
      </w:r>
    </w:p>
    <w:p>
      <w:pPr>
        <w:pStyle w:val="7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71"/>
        <w:jc w:val="center"/>
        <w:rPr>
          <w:rStyle w:val="72"/>
          <w:rFonts w:hint="eastAsia" w:ascii="宋体" w:hAnsi="宋体" w:eastAsia="宋体" w:cs="宋体"/>
          <w:color w:val="auto"/>
          <w:sz w:val="24"/>
          <w:szCs w:val="24"/>
          <w:highlight w:val="none"/>
        </w:rPr>
      </w:pPr>
    </w:p>
    <w:p>
      <w:pPr>
        <w:pStyle w:val="71"/>
        <w:jc w:val="center"/>
        <w:rPr>
          <w:rStyle w:val="72"/>
          <w:rFonts w:hint="eastAsia" w:ascii="宋体" w:hAnsi="宋体" w:eastAsia="宋体" w:cs="宋体"/>
          <w:color w:val="auto"/>
          <w:sz w:val="24"/>
          <w:szCs w:val="24"/>
          <w:highlight w:val="none"/>
        </w:rPr>
      </w:pPr>
    </w:p>
    <w:p>
      <w:pPr>
        <w:pStyle w:val="71"/>
        <w:jc w:val="center"/>
        <w:rPr>
          <w:rStyle w:val="72"/>
          <w:rFonts w:hint="eastAsia" w:ascii="宋体" w:hAnsi="宋体" w:eastAsia="宋体" w:cs="宋体"/>
          <w:color w:val="auto"/>
          <w:sz w:val="24"/>
          <w:szCs w:val="24"/>
          <w:highlight w:val="none"/>
        </w:rPr>
      </w:pPr>
    </w:p>
    <w:p>
      <w:pPr>
        <w:pStyle w:val="71"/>
        <w:jc w:val="center"/>
        <w:rPr>
          <w:rStyle w:val="72"/>
          <w:rFonts w:hint="eastAsia" w:ascii="宋体" w:hAnsi="宋体" w:eastAsia="宋体" w:cs="宋体"/>
          <w:color w:val="auto"/>
          <w:sz w:val="24"/>
          <w:szCs w:val="24"/>
          <w:highlight w:val="none"/>
        </w:rPr>
      </w:pPr>
      <w:bookmarkStart w:id="797" w:name="_Toc6512"/>
      <w:r>
        <w:rPr>
          <w:rStyle w:val="72"/>
          <w:rFonts w:hint="eastAsia" w:ascii="宋体" w:hAnsi="宋体" w:eastAsia="宋体" w:cs="宋体"/>
          <w:color w:val="auto"/>
          <w:sz w:val="24"/>
          <w:szCs w:val="24"/>
          <w:highlight w:val="none"/>
        </w:rPr>
        <w:t>已标价的工程量清单</w:t>
      </w:r>
      <w:bookmarkEnd w:id="795"/>
      <w:bookmarkStart w:id="798" w:name="_Toc256000047"/>
      <w:bookmarkStart w:id="799" w:name="_Toc22154"/>
      <w:bookmarkStart w:id="800" w:name="_Toc18861"/>
    </w:p>
    <w:bookmarkEnd w:id="796"/>
    <w:bookmarkEnd w:id="797"/>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69"/>
        <w:outlineLvl w:val="0"/>
        <w:rPr>
          <w:rFonts w:hint="eastAsia" w:ascii="宋体" w:hAnsi="宋体" w:eastAsia="宋体" w:cs="宋体"/>
          <w:b/>
          <w:color w:val="auto"/>
          <w:sz w:val="28"/>
          <w:szCs w:val="22"/>
          <w:highlight w:val="none"/>
          <w:lang w:val="en-US" w:eastAsia="zh-CN" w:bidi="ar-SA"/>
        </w:rPr>
      </w:pPr>
      <w:bookmarkStart w:id="801" w:name="_Toc17422"/>
      <w:bookmarkStart w:id="802" w:name="_Toc18229"/>
      <w:bookmarkStart w:id="803" w:name="_Toc7424"/>
      <w:r>
        <w:rPr>
          <w:rFonts w:hint="eastAsia" w:ascii="宋体" w:hAnsi="宋体" w:eastAsia="宋体" w:cs="宋体"/>
          <w:b/>
          <w:color w:val="auto"/>
          <w:sz w:val="28"/>
          <w:szCs w:val="22"/>
          <w:highlight w:val="none"/>
          <w:lang w:val="en-US" w:eastAsia="zh-CN" w:bidi="ar-SA"/>
        </w:rPr>
        <w:t>十二、联合体协议书格式（如有）</w:t>
      </w:r>
      <w:bookmarkEnd w:id="798"/>
      <w:bookmarkEnd w:id="799"/>
      <w:bookmarkEnd w:id="800"/>
      <w:bookmarkEnd w:id="801"/>
      <w:bookmarkEnd w:id="802"/>
      <w:bookmarkEnd w:id="803"/>
    </w:p>
    <w:p>
      <w:pPr>
        <w:pStyle w:val="74"/>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联合体协议</w:t>
      </w:r>
    </w:p>
    <w:p>
      <w:pPr>
        <w:pStyle w:val="74"/>
        <w:adjustRightInd w:val="0"/>
        <w:snapToGrid w:val="0"/>
        <w:spacing w:before="158"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经研究，我们决定自愿组成联合体共同申请参加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（项目名称、政府采购编号、采购代理编号）项目的磋商。现就联合体事宜订立如下协议：</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一、联合体基本信息：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（各方公司名称、地址、注册资金、营业执照、法定代表人姓名）。</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（某成员单位名称）为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（联合体名称）牵头人。</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合体牵头人合法代表联合体各成员负责本项目响应文件编制活动，代表联合体提交和接收相关的资料、信息及指示，并处理与磋商和成交有关的一切事务；联合体成交后，联合体牵头人负责合同订立和合同实施阶段的主办、组织和协调工作。</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四．联合体将严格按照磋商文件的各项要求，递交响应文件，参加磋商，履行成交义务和成交后的合同，并向采购人承担连带责任。</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五、联合体各成员单位内部的职责分工如下：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。按照本条上述分工，联合体成员单位各自所承担的合同工作量比例如下：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六、本协议书自签署之日起生效，合同履行完毕后自动失效。</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七、本协议书一式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份，联合体成员和采购人各执一份。</w:t>
      </w:r>
    </w:p>
    <w:p>
      <w:pPr>
        <w:pStyle w:val="74"/>
        <w:adjustRightInd w:val="0"/>
        <w:snapToGrid w:val="0"/>
        <w:spacing w:line="360" w:lineRule="auto"/>
        <w:rPr>
          <w:rFonts w:hint="eastAsia" w:ascii="宋体" w:hAnsi="宋体" w:eastAsia="宋体" w:cs="宋体"/>
          <w:color w:val="auto"/>
          <w:sz w:val="24"/>
          <w:szCs w:val="24"/>
          <w:highlight w:val="none"/>
        </w:rPr>
      </w:pPr>
    </w:p>
    <w:p>
      <w:pPr>
        <w:pStyle w:val="74"/>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牵头人名称（</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p>
    <w:p>
      <w:pPr>
        <w:pStyle w:val="74"/>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w:t>
      </w:r>
      <w:r>
        <w:rPr>
          <w:rFonts w:hint="eastAsia" w:ascii="宋体" w:hAnsi="宋体" w:eastAsia="宋体" w:cs="宋体"/>
          <w:color w:val="auto"/>
          <w:sz w:val="24"/>
          <w:szCs w:val="24"/>
          <w:highlight w:val="none"/>
          <w:lang w:val="en-US" w:eastAsia="zh-CN"/>
        </w:rPr>
        <w:t>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74"/>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p>
    <w:p>
      <w:pPr>
        <w:pStyle w:val="74"/>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w:t>
      </w:r>
      <w:r>
        <w:rPr>
          <w:rFonts w:hint="eastAsia" w:ascii="宋体" w:hAnsi="宋体" w:eastAsia="宋体" w:cs="宋体"/>
          <w:color w:val="auto"/>
          <w:sz w:val="24"/>
          <w:szCs w:val="24"/>
          <w:highlight w:val="none"/>
          <w:lang w:val="en-US" w:eastAsia="zh-CN"/>
        </w:rPr>
        <w:t>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74"/>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  </w:t>
      </w:r>
    </w:p>
    <w:p>
      <w:pPr>
        <w:pStyle w:val="74"/>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备注：本协议书由授权代表签字的，应附法定代表人签字的授权委托书。</w:t>
      </w:r>
      <w:bookmarkStart w:id="804" w:name="_Toc806"/>
      <w:bookmarkStart w:id="805" w:name="_Toc7512"/>
      <w:bookmarkStart w:id="806" w:name="_Toc256000048"/>
    </w:p>
    <w:p>
      <w:pPr>
        <w:pStyle w:val="74"/>
        <w:spacing w:line="360" w:lineRule="auto"/>
        <w:outlineLvl w:val="9"/>
        <w:rPr>
          <w:rFonts w:hint="eastAsia" w:ascii="宋体" w:hAnsi="宋体" w:eastAsia="宋体" w:cs="宋体"/>
          <w:color w:val="auto"/>
          <w:sz w:val="24"/>
          <w:szCs w:val="24"/>
          <w:highlight w:val="none"/>
        </w:rPr>
      </w:pPr>
    </w:p>
    <w:p>
      <w:pPr>
        <w:pStyle w:val="74"/>
        <w:spacing w:line="360" w:lineRule="auto"/>
        <w:outlineLvl w:val="9"/>
        <w:rPr>
          <w:rFonts w:hint="eastAsia" w:ascii="宋体" w:hAnsi="宋体" w:eastAsia="宋体" w:cs="宋体"/>
          <w:color w:val="auto"/>
          <w:sz w:val="24"/>
          <w:szCs w:val="24"/>
          <w:highlight w:val="none"/>
        </w:rPr>
      </w:pPr>
    </w:p>
    <w:bookmarkEnd w:id="804"/>
    <w:bookmarkEnd w:id="805"/>
    <w:bookmarkEnd w:id="806"/>
    <w:p>
      <w:pPr>
        <w:pStyle w:val="69"/>
        <w:outlineLvl w:val="0"/>
        <w:rPr>
          <w:rFonts w:hint="eastAsia" w:ascii="宋体" w:hAnsi="宋体" w:eastAsia="宋体" w:cs="宋体"/>
          <w:b/>
          <w:color w:val="auto"/>
          <w:sz w:val="28"/>
          <w:szCs w:val="22"/>
          <w:highlight w:val="none"/>
          <w:lang w:val="en-US" w:eastAsia="zh-CN" w:bidi="ar-SA"/>
        </w:rPr>
      </w:pPr>
      <w:bookmarkStart w:id="807" w:name="_Toc14498"/>
      <w:bookmarkStart w:id="808" w:name="_Toc8063"/>
      <w:bookmarkStart w:id="809" w:name="_Toc256000049"/>
      <w:bookmarkStart w:id="810" w:name="_Toc22436"/>
      <w:bookmarkStart w:id="811" w:name="_Toc677"/>
      <w:bookmarkStart w:id="812" w:name="_Toc2574"/>
      <w:r>
        <w:rPr>
          <w:rFonts w:hint="eastAsia" w:ascii="宋体" w:hAnsi="宋体" w:eastAsia="宋体" w:cs="宋体"/>
          <w:b/>
          <w:color w:val="auto"/>
          <w:sz w:val="28"/>
          <w:szCs w:val="22"/>
          <w:highlight w:val="none"/>
          <w:lang w:val="en-US" w:eastAsia="zh-CN" w:bidi="ar-SA"/>
        </w:rPr>
        <w:t>十三、施工组织设计</w:t>
      </w:r>
      <w:bookmarkEnd w:id="807"/>
      <w:bookmarkEnd w:id="808"/>
      <w:bookmarkEnd w:id="809"/>
      <w:bookmarkEnd w:id="810"/>
      <w:bookmarkEnd w:id="811"/>
      <w:bookmarkEnd w:id="812"/>
    </w:p>
    <w:p>
      <w:pPr>
        <w:pStyle w:val="75"/>
        <w:ind w:left="0" w:leftChars="0" w:firstLine="0" w:firstLineChars="0"/>
        <w:jc w:val="center"/>
        <w:outlineLvl w:val="9"/>
        <w:rPr>
          <w:rFonts w:hint="eastAsia" w:ascii="宋体" w:hAnsi="宋体" w:eastAsia="宋体" w:cs="宋体"/>
          <w:b/>
          <w:color w:val="auto"/>
          <w:sz w:val="24"/>
          <w:szCs w:val="24"/>
          <w:highlight w:val="none"/>
        </w:rPr>
      </w:pPr>
      <w:bookmarkStart w:id="813" w:name="_Toc256000050"/>
      <w:r>
        <w:rPr>
          <w:rFonts w:hint="eastAsia" w:ascii="宋体" w:hAnsi="宋体" w:eastAsia="宋体" w:cs="宋体"/>
          <w:b/>
          <w:color w:val="auto"/>
          <w:sz w:val="24"/>
          <w:szCs w:val="24"/>
          <w:highlight w:val="none"/>
        </w:rPr>
        <w:t>（一）施工组织设计</w:t>
      </w:r>
      <w:bookmarkEnd w:id="813"/>
    </w:p>
    <w:p>
      <w:pPr>
        <w:pStyle w:val="76"/>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编制施工组织设计的要求：编制时应简明扼要地说明施工方法，工程质量、安全生产、文明施工、环境保护、工程进度、技术组织等主要措施。用图表形式阐明本项目的施工总平面、进度计划以及拟投入主要施工设备、劳动力、项目管理机构等。</w:t>
      </w:r>
    </w:p>
    <w:p>
      <w:pPr>
        <w:pStyle w:val="76"/>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图表及格式要求：</w:t>
      </w:r>
    </w:p>
    <w:p>
      <w:pPr>
        <w:pStyle w:val="76"/>
        <w:tabs>
          <w:tab w:val="left" w:pos="720"/>
        </w:tabs>
        <w:spacing w:line="360" w:lineRule="auto"/>
        <w:ind w:firstLine="864" w:firstLineChars="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附表一  拟投入的主要施工设备表</w:t>
      </w:r>
    </w:p>
    <w:p>
      <w:pPr>
        <w:pStyle w:val="76"/>
        <w:tabs>
          <w:tab w:val="left" w:pos="720"/>
        </w:tabs>
        <w:spacing w:line="360" w:lineRule="auto"/>
        <w:ind w:firstLine="864" w:firstLineChars="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附表二  劳动力计划表</w:t>
      </w:r>
    </w:p>
    <w:p>
      <w:pPr>
        <w:pStyle w:val="76"/>
        <w:tabs>
          <w:tab w:val="left" w:pos="720"/>
        </w:tabs>
        <w:spacing w:line="360" w:lineRule="auto"/>
        <w:ind w:firstLine="864" w:firstLineChars="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附表三  进度计划</w:t>
      </w:r>
    </w:p>
    <w:p>
      <w:pPr>
        <w:pStyle w:val="76"/>
        <w:tabs>
          <w:tab w:val="left" w:pos="720"/>
        </w:tabs>
        <w:spacing w:line="360" w:lineRule="auto"/>
        <w:ind w:firstLine="864" w:firstLineChars="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附表四  施工总平面图</w:t>
      </w:r>
    </w:p>
    <w:p>
      <w:pPr>
        <w:pStyle w:val="76"/>
        <w:rPr>
          <w:rFonts w:hint="eastAsia" w:ascii="宋体" w:hAnsi="宋体" w:eastAsia="宋体" w:cs="宋体"/>
          <w:color w:val="auto"/>
          <w:sz w:val="24"/>
          <w:szCs w:val="24"/>
          <w:highlight w:val="none"/>
        </w:rPr>
      </w:pPr>
    </w:p>
    <w:p>
      <w:pPr>
        <w:pStyle w:val="76"/>
        <w:rPr>
          <w:rFonts w:hint="eastAsia" w:ascii="宋体" w:hAnsi="宋体" w:eastAsia="宋体" w:cs="宋体"/>
          <w:color w:val="auto"/>
          <w:sz w:val="24"/>
          <w:szCs w:val="24"/>
          <w:highlight w:val="none"/>
        </w:rPr>
      </w:pPr>
    </w:p>
    <w:p>
      <w:pPr>
        <w:pStyle w:val="76"/>
        <w:rPr>
          <w:rFonts w:hint="eastAsia" w:ascii="宋体" w:hAnsi="宋体" w:eastAsia="宋体" w:cs="宋体"/>
          <w:color w:val="auto"/>
          <w:sz w:val="24"/>
          <w:szCs w:val="24"/>
          <w:highlight w:val="none"/>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eastAsia" w:ascii="宋体" w:hAnsi="宋体" w:eastAsia="宋体" w:cs="宋体"/>
          <w:color w:val="auto"/>
          <w:sz w:val="24"/>
          <w:szCs w:val="24"/>
          <w:highlight w:val="none"/>
        </w:rPr>
      </w:pPr>
    </w:p>
    <w:p>
      <w:pPr>
        <w:pStyle w:val="7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附表一：拟投入本项目的主要施工设备表</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54"/>
        <w:gridCol w:w="808"/>
        <w:gridCol w:w="1052"/>
        <w:gridCol w:w="714"/>
        <w:gridCol w:w="782"/>
        <w:gridCol w:w="1288"/>
        <w:gridCol w:w="927"/>
        <w:gridCol w:w="1120"/>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设备名称</w:t>
            </w:r>
          </w:p>
        </w:tc>
        <w:tc>
          <w:tcPr>
            <w:tcW w:w="435"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tc>
        <w:tc>
          <w:tcPr>
            <w:tcW w:w="56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38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国别</w:t>
            </w:r>
          </w:p>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w:t>
            </w:r>
          </w:p>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年份</w:t>
            </w:r>
          </w:p>
        </w:tc>
        <w:tc>
          <w:tcPr>
            <w:tcW w:w="69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额定功率（kW）</w:t>
            </w:r>
          </w:p>
        </w:tc>
        <w:tc>
          <w:tcPr>
            <w:tcW w:w="49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w:t>
            </w:r>
          </w:p>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能力</w:t>
            </w:r>
          </w:p>
        </w:tc>
        <w:tc>
          <w:tcPr>
            <w:tcW w:w="60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用于施工部位</w:t>
            </w: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bl>
    <w:p>
      <w:pPr>
        <w:pStyle w:val="76"/>
        <w:rPr>
          <w:rFonts w:hint="eastAsia" w:ascii="宋体" w:hAnsi="宋体" w:eastAsia="宋体" w:cs="宋体"/>
          <w:b/>
          <w:bCs/>
          <w:color w:val="auto"/>
          <w:sz w:val="24"/>
          <w:szCs w:val="24"/>
          <w:highlight w:val="none"/>
        </w:rPr>
      </w:pPr>
    </w:p>
    <w:p>
      <w:pPr>
        <w:pStyle w:val="76"/>
        <w:rPr>
          <w:rFonts w:hint="eastAsia" w:ascii="宋体" w:hAnsi="宋体" w:eastAsia="宋体" w:cs="宋体"/>
          <w:b/>
          <w:bCs/>
          <w:color w:val="auto"/>
          <w:sz w:val="24"/>
          <w:szCs w:val="24"/>
          <w:highlight w:val="none"/>
        </w:rPr>
      </w:pPr>
    </w:p>
    <w:p>
      <w:pPr>
        <w:pStyle w:val="76"/>
        <w:rPr>
          <w:rFonts w:hint="eastAsia" w:ascii="宋体" w:hAnsi="宋体" w:eastAsia="宋体" w:cs="宋体"/>
          <w:b/>
          <w:bCs/>
          <w:color w:val="auto"/>
          <w:sz w:val="24"/>
          <w:szCs w:val="24"/>
          <w:highlight w:val="none"/>
        </w:rPr>
      </w:pPr>
    </w:p>
    <w:p>
      <w:pPr>
        <w:pStyle w:val="7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附表二：劳动力计划表</w:t>
      </w:r>
    </w:p>
    <w:p>
      <w:pPr>
        <w:pStyle w:val="76"/>
        <w:spacing w:line="360" w:lineRule="auto"/>
        <w:ind w:right="200"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w:t>
      </w:r>
    </w:p>
    <w:tbl>
      <w:tblPr>
        <w:tblStyle w:val="2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419"/>
        <w:gridCol w:w="1159"/>
        <w:gridCol w:w="1159"/>
        <w:gridCol w:w="1159"/>
        <w:gridCol w:w="1159"/>
        <w:gridCol w:w="1159"/>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工种</w:t>
            </w:r>
          </w:p>
        </w:tc>
        <w:tc>
          <w:tcPr>
            <w:tcW w:w="4513" w:type="pct"/>
            <w:gridSpan w:val="7"/>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bl>
    <w:p>
      <w:pPr>
        <w:pStyle w:val="77"/>
        <w:spacing w:line="360" w:lineRule="auto"/>
        <w:rPr>
          <w:rFonts w:hint="eastAsia" w:ascii="宋体" w:hAnsi="宋体" w:eastAsia="宋体" w:cs="宋体"/>
          <w:color w:val="auto"/>
          <w:sz w:val="24"/>
          <w:szCs w:val="24"/>
          <w:highlight w:val="none"/>
        </w:rPr>
      </w:pPr>
    </w:p>
    <w:p>
      <w:pPr>
        <w:pStyle w:val="77"/>
        <w:spacing w:line="360" w:lineRule="auto"/>
        <w:rPr>
          <w:rFonts w:hint="eastAsia" w:ascii="宋体" w:hAnsi="宋体" w:eastAsia="宋体" w:cs="宋体"/>
          <w:color w:val="auto"/>
          <w:sz w:val="24"/>
          <w:szCs w:val="24"/>
          <w:highlight w:val="none"/>
        </w:rPr>
      </w:pPr>
    </w:p>
    <w:p>
      <w:pPr>
        <w:pStyle w:val="7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附表三：进度计划</w:t>
      </w:r>
    </w:p>
    <w:p>
      <w:pPr>
        <w:pStyle w:val="76"/>
        <w:rPr>
          <w:rFonts w:hint="eastAsia" w:ascii="宋体" w:hAnsi="宋体" w:eastAsia="宋体" w:cs="宋体"/>
          <w:b/>
          <w:bCs/>
          <w:color w:val="auto"/>
          <w:sz w:val="24"/>
          <w:szCs w:val="24"/>
          <w:highlight w:val="none"/>
        </w:rPr>
      </w:pPr>
    </w:p>
    <w:p>
      <w:pPr>
        <w:pStyle w:val="76"/>
        <w:numPr>
          <w:ilvl w:val="0"/>
          <w:numId w:val="0"/>
        </w:numPr>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供应商应递交施工进度网络图或施工进度表，说明按磋商文件要求的计划工期进行施工的各个关键日期。</w:t>
      </w:r>
    </w:p>
    <w:p>
      <w:pPr>
        <w:pStyle w:val="76"/>
        <w:numPr>
          <w:ilvl w:val="0"/>
          <w:numId w:val="0"/>
        </w:numPr>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施工进度表可采用网络图或横道图表示。</w:t>
      </w:r>
    </w:p>
    <w:p>
      <w:pPr>
        <w:pStyle w:val="76"/>
        <w:rPr>
          <w:rFonts w:hint="eastAsia" w:ascii="宋体" w:hAnsi="宋体" w:eastAsia="宋体" w:cs="宋体"/>
          <w:color w:val="auto"/>
          <w:sz w:val="24"/>
          <w:szCs w:val="24"/>
          <w:highlight w:val="none"/>
        </w:rPr>
      </w:pPr>
    </w:p>
    <w:p>
      <w:pPr>
        <w:pStyle w:val="76"/>
        <w:rPr>
          <w:rFonts w:hint="eastAsia" w:ascii="宋体" w:hAnsi="宋体" w:eastAsia="宋体" w:cs="宋体"/>
          <w:color w:val="auto"/>
          <w:sz w:val="24"/>
          <w:szCs w:val="24"/>
          <w:highlight w:val="none"/>
        </w:rPr>
      </w:pPr>
    </w:p>
    <w:p>
      <w:pPr>
        <w:pStyle w:val="76"/>
        <w:rPr>
          <w:rFonts w:hint="eastAsia" w:ascii="宋体" w:hAnsi="宋体" w:eastAsia="宋体" w:cs="宋体"/>
          <w:color w:val="auto"/>
          <w:sz w:val="24"/>
          <w:szCs w:val="24"/>
          <w:highlight w:val="none"/>
        </w:rPr>
      </w:pPr>
    </w:p>
    <w:p>
      <w:pPr>
        <w:pStyle w:val="7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附表四：施工总平面图</w:t>
      </w:r>
    </w:p>
    <w:p>
      <w:pPr>
        <w:pStyle w:val="76"/>
        <w:numPr>
          <w:ilvl w:val="0"/>
          <w:numId w:val="0"/>
        </w:numPr>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供应商应递交一份施工总平面图，绘出现场临时设施布置图表，并注明临时设施、加工车间、现场办公、设备及仓储、供电、供水、卫生、生活、道路、消防等设施的情况和布置。</w:t>
      </w:r>
      <w:bookmarkStart w:id="814" w:name="_Toc256000051"/>
      <w:bookmarkStart w:id="815" w:name="_Toc4856"/>
      <w:bookmarkStart w:id="816" w:name="_Toc28819"/>
    </w:p>
    <w:p>
      <w:pPr>
        <w:pStyle w:val="76"/>
        <w:numPr>
          <w:ilvl w:val="0"/>
          <w:numId w:val="0"/>
        </w:numPr>
        <w:ind w:left="0" w:leftChars="0" w:firstLine="420" w:firstLineChars="175"/>
        <w:rPr>
          <w:rFonts w:hint="eastAsia" w:ascii="宋体" w:hAnsi="宋体" w:eastAsia="宋体" w:cs="宋体"/>
          <w:color w:val="auto"/>
          <w:sz w:val="24"/>
          <w:szCs w:val="24"/>
          <w:highlight w:val="none"/>
        </w:rPr>
      </w:pPr>
    </w:p>
    <w:p>
      <w:pPr>
        <w:pStyle w:val="76"/>
        <w:numPr>
          <w:ilvl w:val="0"/>
          <w:numId w:val="0"/>
        </w:numPr>
        <w:ind w:left="0" w:leftChars="0" w:firstLine="420" w:firstLineChars="175"/>
        <w:rPr>
          <w:rFonts w:hint="eastAsia" w:ascii="宋体" w:hAnsi="宋体" w:eastAsia="宋体" w:cs="宋体"/>
          <w:color w:val="auto"/>
          <w:sz w:val="24"/>
          <w:szCs w:val="24"/>
          <w:highlight w:val="none"/>
        </w:rPr>
      </w:pPr>
    </w:p>
    <w:p>
      <w:pPr>
        <w:pStyle w:val="69"/>
        <w:outlineLvl w:val="0"/>
        <w:rPr>
          <w:rFonts w:hint="eastAsia" w:ascii="宋体" w:hAnsi="宋体" w:eastAsia="宋体" w:cs="宋体"/>
          <w:b/>
          <w:color w:val="auto"/>
          <w:sz w:val="24"/>
          <w:szCs w:val="24"/>
          <w:highlight w:val="none"/>
        </w:rPr>
      </w:pPr>
      <w:bookmarkStart w:id="817" w:name="_Toc20650"/>
      <w:bookmarkStart w:id="818" w:name="_Toc30659"/>
      <w:bookmarkStart w:id="819" w:name="_Toc4464"/>
      <w:r>
        <w:rPr>
          <w:rFonts w:hint="eastAsia" w:ascii="宋体" w:hAnsi="宋体" w:eastAsia="宋体" w:cs="宋体"/>
          <w:b/>
          <w:color w:val="auto"/>
          <w:sz w:val="28"/>
          <w:szCs w:val="22"/>
          <w:highlight w:val="none"/>
          <w:lang w:val="en-US" w:eastAsia="zh-CN" w:bidi="ar-SA"/>
        </w:rPr>
        <w:t>十四、项目管理机构组成表</w:t>
      </w:r>
      <w:bookmarkEnd w:id="814"/>
      <w:bookmarkEnd w:id="815"/>
      <w:bookmarkEnd w:id="816"/>
      <w:bookmarkEnd w:id="817"/>
      <w:bookmarkEnd w:id="818"/>
      <w:bookmarkEnd w:id="819"/>
    </w:p>
    <w:p>
      <w:pPr>
        <w:pStyle w:val="76"/>
        <w:rPr>
          <w:rFonts w:hint="eastAsia" w:ascii="宋体" w:hAnsi="宋体" w:eastAsia="宋体" w:cs="宋体"/>
          <w:b/>
          <w:bCs/>
          <w:color w:val="auto"/>
          <w:sz w:val="24"/>
          <w:szCs w:val="24"/>
          <w:highlight w:val="none"/>
        </w:rPr>
      </w:pPr>
      <w:bookmarkStart w:id="820" w:name="_Toc256000052"/>
      <w:r>
        <w:rPr>
          <w:rFonts w:hint="eastAsia" w:ascii="宋体" w:hAnsi="宋体" w:eastAsia="宋体" w:cs="宋体"/>
          <w:b/>
          <w:bCs/>
          <w:color w:val="auto"/>
          <w:sz w:val="24"/>
          <w:szCs w:val="24"/>
          <w:highlight w:val="none"/>
        </w:rPr>
        <w:t>（一）项目管理机构组成表</w:t>
      </w:r>
      <w:bookmarkEnd w:id="820"/>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782"/>
        <w:gridCol w:w="782"/>
        <w:gridCol w:w="1177"/>
        <w:gridCol w:w="782"/>
        <w:gridCol w:w="784"/>
        <w:gridCol w:w="782"/>
        <w:gridCol w:w="2761"/>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7" w:type="pct"/>
            <w:vMerge w:val="restar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3385" w:type="pct"/>
            <w:gridSpan w:val="5"/>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7" w:type="pct"/>
            <w:vMerge w:val="continue"/>
            <w:tcBorders>
              <w:top w:val="single" w:color="auto" w:sz="4" w:space="0"/>
              <w:left w:val="single" w:color="auto" w:sz="4" w:space="0"/>
              <w:bottom w:val="single" w:color="auto" w:sz="4" w:space="0"/>
              <w:right w:val="single" w:color="auto" w:sz="4" w:space="0"/>
            </w:tcBorders>
            <w:noWrap w:val="0"/>
            <w:vAlign w:val="center"/>
          </w:tcPr>
          <w:p>
            <w:pPr>
              <w:pStyle w:val="78"/>
              <w:widowControl/>
              <w:jc w:val="left"/>
              <w:rPr>
                <w:rFonts w:hint="eastAsia" w:ascii="宋体" w:hAnsi="宋体" w:eastAsia="宋体" w:cs="宋体"/>
                <w:color w:val="auto"/>
                <w:sz w:val="24"/>
                <w:szCs w:val="24"/>
                <w:highlight w:val="none"/>
              </w:rPr>
            </w:pPr>
          </w:p>
        </w:tc>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pPr>
              <w:pStyle w:val="78"/>
              <w:widowControl/>
              <w:jc w:val="left"/>
              <w:rPr>
                <w:rFonts w:hint="eastAsia" w:ascii="宋体" w:hAnsi="宋体" w:eastAsia="宋体" w:cs="宋体"/>
                <w:color w:val="auto"/>
                <w:sz w:val="24"/>
                <w:szCs w:val="24"/>
                <w:highlight w:val="none"/>
              </w:rPr>
            </w:pPr>
          </w:p>
        </w:tc>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pPr>
              <w:pStyle w:val="78"/>
              <w:widowControl/>
              <w:jc w:val="left"/>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422"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证号</w:t>
            </w: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486"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养老保险</w:t>
            </w: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bl>
    <w:p>
      <w:pPr>
        <w:pStyle w:val="79"/>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821" w:name="_Toc18856"/>
      <w:bookmarkStart w:id="822" w:name="_Toc14452"/>
      <w:bookmarkStart w:id="823" w:name="_Toc5067"/>
      <w:bookmarkStart w:id="824" w:name="_Toc256000053"/>
      <w:bookmarkStart w:id="825" w:name="_Toc14825"/>
      <w:bookmarkStart w:id="826" w:name="_Toc11937"/>
      <w:r>
        <w:rPr>
          <w:rFonts w:hint="eastAsia" w:ascii="宋体" w:hAnsi="宋体" w:eastAsia="宋体" w:cs="宋体"/>
          <w:b/>
          <w:color w:val="auto"/>
          <w:sz w:val="28"/>
          <w:szCs w:val="22"/>
          <w:highlight w:val="none"/>
          <w:lang w:val="en-US" w:eastAsia="zh-CN" w:bidi="ar-SA"/>
        </w:rPr>
        <w:t>十五、项目经理简历表</w:t>
      </w:r>
      <w:bookmarkEnd w:id="821"/>
      <w:bookmarkEnd w:id="822"/>
      <w:bookmarkEnd w:id="823"/>
      <w:bookmarkEnd w:id="824"/>
      <w:bookmarkEnd w:id="825"/>
      <w:bookmarkEnd w:id="826"/>
    </w:p>
    <w:p>
      <w:pPr>
        <w:pStyle w:val="80"/>
        <w:spacing w:line="360" w:lineRule="auto"/>
        <w:jc w:val="left"/>
        <w:rPr>
          <w:rFonts w:hint="eastAsia" w:ascii="宋体" w:hAnsi="宋体" w:eastAsia="宋体" w:cs="宋体"/>
          <w:b/>
          <w:color w:val="auto"/>
          <w:sz w:val="24"/>
          <w:szCs w:val="24"/>
          <w:highlight w:val="none"/>
        </w:rPr>
      </w:pPr>
      <w:bookmarkStart w:id="827" w:name="_Toc21430"/>
      <w:bookmarkStart w:id="828" w:name="_Toc14040"/>
      <w:bookmarkStart w:id="829" w:name="_Toc256000054"/>
      <w:r>
        <w:rPr>
          <w:rStyle w:val="81"/>
          <w:rFonts w:hint="eastAsia" w:ascii="宋体" w:hAnsi="宋体" w:eastAsia="宋体" w:cs="宋体"/>
          <w:color w:val="auto"/>
          <w:sz w:val="24"/>
          <w:szCs w:val="24"/>
          <w:highlight w:val="none"/>
        </w:rPr>
        <w:t>（</w:t>
      </w:r>
      <w:r>
        <w:rPr>
          <w:rStyle w:val="81"/>
          <w:rFonts w:hint="eastAsia" w:ascii="宋体" w:hAnsi="宋体" w:cs="宋体"/>
          <w:color w:val="auto"/>
          <w:sz w:val="24"/>
          <w:szCs w:val="24"/>
          <w:highlight w:val="none"/>
          <w:lang w:val="en-US" w:eastAsia="zh-CN"/>
        </w:rPr>
        <w:t>一</w:t>
      </w:r>
      <w:r>
        <w:rPr>
          <w:rStyle w:val="81"/>
          <w:rFonts w:hint="eastAsia" w:ascii="宋体" w:hAnsi="宋体" w:eastAsia="宋体" w:cs="宋体"/>
          <w:color w:val="auto"/>
          <w:sz w:val="24"/>
          <w:szCs w:val="24"/>
          <w:highlight w:val="none"/>
        </w:rPr>
        <w:t>）项目经理简历表</w:t>
      </w:r>
      <w:bookmarkEnd w:id="827"/>
      <w:bookmarkEnd w:id="828"/>
      <w:bookmarkEnd w:id="829"/>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392"/>
        <w:gridCol w:w="784"/>
        <w:gridCol w:w="1008"/>
        <w:gridCol w:w="1159"/>
        <w:gridCol w:w="774"/>
        <w:gridCol w:w="1374"/>
        <w:gridCol w:w="171"/>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633" w:type="pct"/>
            <w:gridSpan w:val="2"/>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p>
        </w:tc>
        <w:tc>
          <w:tcPr>
            <w:tcW w:w="1249" w:type="pct"/>
            <w:gridSpan w:val="3"/>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252"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633" w:type="pct"/>
            <w:gridSpan w:val="2"/>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p>
        </w:tc>
        <w:tc>
          <w:tcPr>
            <w:tcW w:w="1249" w:type="pct"/>
            <w:gridSpan w:val="3"/>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1252"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4304" w:type="pct"/>
            <w:gridSpan w:val="8"/>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2006" w:type="pct"/>
            <w:gridSpan w:val="4"/>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w:t>
            </w:r>
          </w:p>
        </w:tc>
        <w:tc>
          <w:tcPr>
            <w:tcW w:w="740"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1346" w:type="pct"/>
            <w:gridSpan w:val="2"/>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bl>
    <w:p>
      <w:pPr>
        <w:pStyle w:val="8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附：建造师注册证书、安全生产考核合格证书、身份证复印件</w:t>
      </w:r>
    </w:p>
    <w:bookmarkEnd w:id="689"/>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79"/>
        <w:outlineLvl w:val="0"/>
        <w:rPr>
          <w:rFonts w:hint="eastAsia" w:ascii="宋体" w:hAnsi="宋体" w:eastAsia="宋体" w:cs="宋体"/>
          <w:b/>
          <w:color w:val="auto"/>
          <w:sz w:val="28"/>
          <w:szCs w:val="22"/>
          <w:highlight w:val="none"/>
          <w:lang w:val="en-US" w:eastAsia="zh-CN" w:bidi="ar-SA"/>
        </w:rPr>
      </w:pPr>
      <w:bookmarkStart w:id="830" w:name="_Toc10234"/>
      <w:bookmarkStart w:id="831" w:name="_Toc5410"/>
      <w:bookmarkStart w:id="832" w:name="_Toc22373"/>
      <w:r>
        <w:rPr>
          <w:rFonts w:hint="eastAsia" w:ascii="宋体" w:hAnsi="宋体" w:eastAsia="宋体" w:cs="宋体"/>
          <w:b/>
          <w:color w:val="auto"/>
          <w:sz w:val="28"/>
          <w:szCs w:val="22"/>
          <w:highlight w:val="none"/>
          <w:lang w:val="en-US" w:eastAsia="zh-CN" w:bidi="ar-SA"/>
        </w:rPr>
        <w:t>十六、其他材料</w:t>
      </w:r>
      <w:bookmarkEnd w:id="830"/>
      <w:bookmarkEnd w:id="831"/>
      <w:bookmarkEnd w:id="832"/>
    </w:p>
    <w:p>
      <w:pPr>
        <w:pStyle w:val="21"/>
        <w:jc w:val="center"/>
        <w:rPr>
          <w:rFonts w:hint="eastAsia" w:ascii="宋体" w:hAnsi="宋体" w:eastAsia="宋体" w:cs="宋体"/>
          <w:bCs/>
          <w:color w:val="auto"/>
          <w:sz w:val="24"/>
          <w:szCs w:val="24"/>
          <w:highlight w:val="none"/>
        </w:rPr>
      </w:pPr>
      <w:bookmarkStart w:id="833" w:name="_Toc12805"/>
      <w:bookmarkStart w:id="834" w:name="_Toc6078"/>
      <w:bookmarkStart w:id="835" w:name="_Toc16141"/>
      <w:bookmarkStart w:id="836" w:name="_Toc23830"/>
      <w:bookmarkStart w:id="837" w:name="_Toc4049"/>
      <w:bookmarkStart w:id="838" w:name="_Toc9222"/>
      <w:r>
        <w:rPr>
          <w:rStyle w:val="83"/>
          <w:rFonts w:hint="eastAsia" w:ascii="宋体" w:hAnsi="宋体" w:eastAsia="宋体" w:cs="宋体"/>
          <w:color w:val="auto"/>
          <w:sz w:val="24"/>
          <w:szCs w:val="24"/>
          <w:highlight w:val="none"/>
        </w:rPr>
        <w:t>要求提供的其它材料以及供应商认为需要提交的材料（格式自拟）</w:t>
      </w:r>
      <w:bookmarkEnd w:id="833"/>
      <w:bookmarkEnd w:id="834"/>
      <w:bookmarkEnd w:id="835"/>
      <w:bookmarkEnd w:id="836"/>
      <w:bookmarkEnd w:id="837"/>
      <w:bookmarkEnd w:id="838"/>
    </w:p>
    <w:sectPr>
      <w:footerReference r:id="rId17" w:type="first"/>
      <w:headerReference r:id="rId15" w:type="default"/>
      <w:footerReference r:id="rId16" w:type="default"/>
      <w:pgSz w:w="11906" w:h="16838"/>
      <w:pgMar w:top="1417" w:right="1417" w:bottom="1417" w:left="1417" w:header="907" w:footer="907" w:gutter="0"/>
      <w:pgNumType w:fmt="decimal"/>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dashDotStroked" w:color="auto" w:sz="24" w:space="1"/>
      </w:pBdr>
      <w:jc w:val="right"/>
      <w:rPr>
        <w:sz w:val="16"/>
        <w:szCs w:val="16"/>
      </w:rPr>
    </w:pPr>
    <w:r>
      <w:rPr>
        <w:rFonts w:hint="eastAsia"/>
      </w:rPr>
      <w:t xml:space="preserve">   </w:t>
    </w:r>
    <w:r>
      <w:rPr>
        <w:rFonts w:hint="eastAsia"/>
        <w:b/>
        <w:bCs/>
        <w:i/>
        <w:iCs/>
      </w:rPr>
      <w:t xml:space="preserve">           </w:t>
    </w:r>
    <w:r>
      <w:rPr>
        <w:rFonts w:hint="eastAsia"/>
        <w:b/>
        <w:bCs/>
      </w:rPr>
      <w:t xml:space="preserve">                    </w:t>
    </w:r>
    <w:r>
      <w:rPr>
        <w:rFonts w:hint="eastAsia"/>
        <w:b/>
        <w:bCs/>
        <w:i/>
        <w:iCs/>
      </w:rPr>
      <w:t xml:space="preserve">           </w:t>
    </w:r>
    <w:r>
      <w:rPr>
        <w:rFonts w:hint="eastAsia"/>
        <w:b/>
        <w:bCs/>
      </w:rPr>
      <w:t xml:space="preserve">                  </w:t>
    </w:r>
    <w:r>
      <w:rPr>
        <w:rFonts w:hint="eastAsia"/>
        <w:b/>
        <w:bCs/>
        <w:sz w:val="16"/>
        <w:szCs w:val="16"/>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dashDotStroked" w:color="auto" w:sz="24" w:space="1"/>
      </w:pBd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r>
      <w:rPr>
        <w:rFonts w:hint="eastAsia"/>
        <w:b/>
        <w:bCs/>
        <w:i/>
        <w:iC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仿宋_GB2312"/>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仿宋_GB2312"/>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- 62 -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- 62 -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5379A"/>
    <w:multiLevelType w:val="singleLevel"/>
    <w:tmpl w:val="8335379A"/>
    <w:lvl w:ilvl="0" w:tentative="0">
      <w:start w:val="5"/>
      <w:numFmt w:val="chineseCounting"/>
      <w:suff w:val="space"/>
      <w:lvlText w:val="第%1章"/>
      <w:lvlJc w:val="left"/>
      <w:rPr>
        <w:rFonts w:hint="eastAsia"/>
      </w:rPr>
    </w:lvl>
  </w:abstractNum>
  <w:abstractNum w:abstractNumId="1">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pStyle w:val="8"/>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2">
    <w:nsid w:val="00000009"/>
    <w:multiLevelType w:val="multilevel"/>
    <w:tmpl w:val="00000009"/>
    <w:lvl w:ilvl="0" w:tentative="0">
      <w:start w:val="1"/>
      <w:numFmt w:val="upperLetter"/>
      <w:pStyle w:val="5"/>
      <w:lvlText w:val="%1."/>
      <w:lvlJc w:val="left"/>
      <w:pPr>
        <w:tabs>
          <w:tab w:val="left" w:pos="468"/>
        </w:tabs>
        <w:ind w:left="468" w:hanging="468"/>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360"/>
        </w:tabs>
        <w:ind w:left="3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000000D"/>
    <w:multiLevelType w:val="multilevel"/>
    <w:tmpl w:val="0000000D"/>
    <w:lvl w:ilvl="0" w:tentative="0">
      <w:start w:val="1"/>
      <w:numFmt w:val="upperLetter"/>
      <w:pStyle w:val="6"/>
      <w:lvlText w:val="%1."/>
      <w:lvlJc w:val="left"/>
      <w:pPr>
        <w:tabs>
          <w:tab w:val="left" w:pos="435"/>
        </w:tabs>
        <w:ind w:left="435" w:hanging="435"/>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76317BE2"/>
    <w:multiLevelType w:val="singleLevel"/>
    <w:tmpl w:val="76317BE2"/>
    <w:lvl w:ilvl="0" w:tentative="0">
      <w:start w:val="1"/>
      <w:numFmt w:val="decimal"/>
      <w:suff w:val="nothing"/>
      <w:lvlText w:val="%1、"/>
      <w:lvlJc w:val="left"/>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MjZjNWYxMDcyOTEzNzRjNzRjZmMzM2I5N2IzMzYifQ=="/>
  </w:docVars>
  <w:rsids>
    <w:rsidRoot w:val="00000000"/>
    <w:rsid w:val="0002561E"/>
    <w:rsid w:val="040E27E3"/>
    <w:rsid w:val="041E22AA"/>
    <w:rsid w:val="044C2652"/>
    <w:rsid w:val="051E0804"/>
    <w:rsid w:val="06FF4665"/>
    <w:rsid w:val="077F1687"/>
    <w:rsid w:val="08A00316"/>
    <w:rsid w:val="09AB4631"/>
    <w:rsid w:val="09CF031F"/>
    <w:rsid w:val="0A1977EC"/>
    <w:rsid w:val="0A886720"/>
    <w:rsid w:val="0AE07548"/>
    <w:rsid w:val="0BB12589"/>
    <w:rsid w:val="0CE07D0C"/>
    <w:rsid w:val="0D93340D"/>
    <w:rsid w:val="0EB126E9"/>
    <w:rsid w:val="0EBE2625"/>
    <w:rsid w:val="0FF44E3C"/>
    <w:rsid w:val="10A51DDA"/>
    <w:rsid w:val="115455AE"/>
    <w:rsid w:val="12050B4C"/>
    <w:rsid w:val="12BC165D"/>
    <w:rsid w:val="13EB3FA7"/>
    <w:rsid w:val="15804BC3"/>
    <w:rsid w:val="15D8055B"/>
    <w:rsid w:val="177E5132"/>
    <w:rsid w:val="185F4F64"/>
    <w:rsid w:val="18DF7A43"/>
    <w:rsid w:val="193524FC"/>
    <w:rsid w:val="19F5094B"/>
    <w:rsid w:val="1BCD48DA"/>
    <w:rsid w:val="1BFB32DA"/>
    <w:rsid w:val="1D821274"/>
    <w:rsid w:val="1D8B2357"/>
    <w:rsid w:val="1DB45D52"/>
    <w:rsid w:val="1E876FC3"/>
    <w:rsid w:val="1F8043D8"/>
    <w:rsid w:val="215C64E4"/>
    <w:rsid w:val="23AB1D0D"/>
    <w:rsid w:val="246D6C5B"/>
    <w:rsid w:val="24EF5FF5"/>
    <w:rsid w:val="25580B74"/>
    <w:rsid w:val="283F19C1"/>
    <w:rsid w:val="28FF4A5E"/>
    <w:rsid w:val="2A550015"/>
    <w:rsid w:val="2C6262F3"/>
    <w:rsid w:val="2CAB5FDA"/>
    <w:rsid w:val="2D2F07C3"/>
    <w:rsid w:val="306F416D"/>
    <w:rsid w:val="30A532D8"/>
    <w:rsid w:val="30E77B7E"/>
    <w:rsid w:val="326D4F1E"/>
    <w:rsid w:val="36370E76"/>
    <w:rsid w:val="36413AA3"/>
    <w:rsid w:val="36F11F50"/>
    <w:rsid w:val="37E375CD"/>
    <w:rsid w:val="38C70E89"/>
    <w:rsid w:val="3971469F"/>
    <w:rsid w:val="3A8734D2"/>
    <w:rsid w:val="3AEE5713"/>
    <w:rsid w:val="3CB7686D"/>
    <w:rsid w:val="3FA01F11"/>
    <w:rsid w:val="40464190"/>
    <w:rsid w:val="417E3DFD"/>
    <w:rsid w:val="423A155A"/>
    <w:rsid w:val="425F396C"/>
    <w:rsid w:val="428D254A"/>
    <w:rsid w:val="449C4CC6"/>
    <w:rsid w:val="44BF5E3C"/>
    <w:rsid w:val="45701CAF"/>
    <w:rsid w:val="4818157A"/>
    <w:rsid w:val="488258D9"/>
    <w:rsid w:val="48ED3874"/>
    <w:rsid w:val="4A122CFA"/>
    <w:rsid w:val="4D21318F"/>
    <w:rsid w:val="4E583234"/>
    <w:rsid w:val="4EAE3C57"/>
    <w:rsid w:val="4FC74BC1"/>
    <w:rsid w:val="522A5F66"/>
    <w:rsid w:val="52481FEA"/>
    <w:rsid w:val="544B7034"/>
    <w:rsid w:val="545F3469"/>
    <w:rsid w:val="55A547ED"/>
    <w:rsid w:val="561F2D8B"/>
    <w:rsid w:val="57675F39"/>
    <w:rsid w:val="57736E3F"/>
    <w:rsid w:val="579730CB"/>
    <w:rsid w:val="584119B5"/>
    <w:rsid w:val="5A9B41F5"/>
    <w:rsid w:val="5B0F5D9A"/>
    <w:rsid w:val="5B10566E"/>
    <w:rsid w:val="5B774DFE"/>
    <w:rsid w:val="5C0C46BB"/>
    <w:rsid w:val="5DC7295C"/>
    <w:rsid w:val="5DD54BFB"/>
    <w:rsid w:val="609B00D0"/>
    <w:rsid w:val="64596CF4"/>
    <w:rsid w:val="651641C9"/>
    <w:rsid w:val="689618F7"/>
    <w:rsid w:val="689E075E"/>
    <w:rsid w:val="69DD7064"/>
    <w:rsid w:val="6B116506"/>
    <w:rsid w:val="6C7610E4"/>
    <w:rsid w:val="6D806684"/>
    <w:rsid w:val="6F307C36"/>
    <w:rsid w:val="7003534A"/>
    <w:rsid w:val="711845A3"/>
    <w:rsid w:val="712A2806"/>
    <w:rsid w:val="7249798C"/>
    <w:rsid w:val="73832670"/>
    <w:rsid w:val="76012298"/>
    <w:rsid w:val="76143E0D"/>
    <w:rsid w:val="78A0041C"/>
    <w:rsid w:val="79507852"/>
    <w:rsid w:val="798706AD"/>
    <w:rsid w:val="798B6ADC"/>
    <w:rsid w:val="7A6A5BDE"/>
    <w:rsid w:val="7AE24A63"/>
    <w:rsid w:val="7AFD1314"/>
    <w:rsid w:val="7E520CD8"/>
    <w:rsid w:val="7F1C42C1"/>
    <w:rsid w:val="7F296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83"/>
    <w:qFormat/>
    <w:uiPriority w:val="0"/>
    <w:pPr>
      <w:keepNext/>
      <w:tabs>
        <w:tab w:val="left" w:pos="420"/>
      </w:tabs>
      <w:jc w:val="center"/>
      <w:outlineLvl w:val="0"/>
    </w:pPr>
    <w:rPr>
      <w:b/>
      <w:bCs/>
      <w:kern w:val="0"/>
      <w:sz w:val="24"/>
    </w:rPr>
  </w:style>
  <w:style w:type="paragraph" w:styleId="4">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numPr>
        <w:ilvl w:val="0"/>
        <w:numId w:val="1"/>
      </w:numPr>
      <w:outlineLvl w:val="2"/>
    </w:pPr>
    <w:rPr>
      <w:b/>
      <w:bCs/>
      <w:sz w:val="28"/>
      <w:szCs w:val="24"/>
    </w:rPr>
  </w:style>
  <w:style w:type="paragraph" w:styleId="6">
    <w:name w:val="heading 4"/>
    <w:basedOn w:val="1"/>
    <w:next w:val="1"/>
    <w:qFormat/>
    <w:uiPriority w:val="0"/>
    <w:pPr>
      <w:keepNext/>
      <w:numPr>
        <w:ilvl w:val="0"/>
        <w:numId w:val="2"/>
      </w:numPr>
      <w:outlineLvl w:val="3"/>
    </w:pPr>
    <w:rPr>
      <w:b/>
      <w:color w:val="000000"/>
      <w:sz w:val="28"/>
      <w:szCs w:val="24"/>
      <w:u w:val="single"/>
    </w:rPr>
  </w:style>
  <w:style w:type="paragraph" w:styleId="7">
    <w:name w:val="heading 5"/>
    <w:basedOn w:val="1"/>
    <w:next w:val="1"/>
    <w:qFormat/>
    <w:uiPriority w:val="0"/>
    <w:pPr>
      <w:keepNext/>
      <w:keepLines/>
      <w:spacing w:before="280" w:beforeLines="0" w:after="290" w:afterLines="0" w:line="376" w:lineRule="auto"/>
      <w:outlineLvl w:val="4"/>
    </w:pPr>
    <w:rPr>
      <w:b/>
      <w:bCs/>
      <w:sz w:val="28"/>
      <w:szCs w:val="28"/>
    </w:rPr>
  </w:style>
  <w:style w:type="paragraph" w:styleId="8">
    <w:name w:val="heading 6"/>
    <w:basedOn w:val="1"/>
    <w:next w:val="1"/>
    <w:qFormat/>
    <w:uiPriority w:val="9"/>
    <w:pPr>
      <w:keepNext/>
      <w:keepLines/>
      <w:numPr>
        <w:ilvl w:val="5"/>
        <w:numId w:val="3"/>
      </w:numPr>
      <w:tabs>
        <w:tab w:val="left" w:pos="1152"/>
      </w:tabs>
      <w:adjustRightIn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qFormat/>
    <w:uiPriority w:val="0"/>
    <w:pPr>
      <w:keepNext/>
      <w:keepLines/>
      <w:spacing w:before="240" w:beforeLines="0" w:after="64" w:afterLines="0" w:line="320" w:lineRule="auto"/>
      <w:outlineLvl w:val="6"/>
    </w:pPr>
    <w:rPr>
      <w:b/>
      <w:bCs/>
      <w:kern w:val="0"/>
      <w:sz w:val="24"/>
      <w:szCs w:val="24"/>
    </w:rPr>
  </w:style>
  <w:style w:type="character" w:default="1" w:styleId="29">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szCs w:val="20"/>
    </w:rPr>
  </w:style>
  <w:style w:type="paragraph" w:styleId="10">
    <w:name w:val="toa heading"/>
    <w:basedOn w:val="1"/>
    <w:next w:val="1"/>
    <w:qFormat/>
    <w:uiPriority w:val="0"/>
    <w:pPr>
      <w:spacing w:before="120"/>
    </w:pPr>
    <w:rPr>
      <w:rFonts w:ascii="Arial" w:hAnsi="Arial"/>
      <w:sz w:val="24"/>
      <w:szCs w:val="21"/>
    </w:rPr>
  </w:style>
  <w:style w:type="paragraph" w:styleId="11">
    <w:name w:val="Body Text"/>
    <w:basedOn w:val="1"/>
    <w:next w:val="12"/>
    <w:qFormat/>
    <w:uiPriority w:val="0"/>
    <w:pPr>
      <w:spacing w:after="120" w:afterLines="0"/>
    </w:pPr>
  </w:style>
  <w:style w:type="paragraph" w:styleId="12">
    <w:name w:val="Date"/>
    <w:basedOn w:val="1"/>
    <w:next w:val="1"/>
    <w:qFormat/>
    <w:uiPriority w:val="99"/>
    <w:rPr>
      <w:rFonts w:ascii="Times New Roman" w:hAnsi="Times New Roman"/>
      <w:kern w:val="0"/>
      <w:sz w:val="20"/>
      <w:szCs w:val="20"/>
    </w:rPr>
  </w:style>
  <w:style w:type="paragraph" w:styleId="13">
    <w:name w:val="Body Text Indent"/>
    <w:basedOn w:val="1"/>
    <w:next w:val="1"/>
    <w:qFormat/>
    <w:uiPriority w:val="0"/>
    <w:pPr>
      <w:spacing w:line="800" w:lineRule="exact"/>
      <w:ind w:left="315" w:leftChars="150" w:firstLine="664" w:firstLineChars="237"/>
    </w:pPr>
    <w:rPr>
      <w:rFonts w:ascii="仿宋_GB2312" w:eastAsia="仿宋_GB2312"/>
      <w:sz w:val="28"/>
    </w:rPr>
  </w:style>
  <w:style w:type="paragraph" w:styleId="14">
    <w:name w:val="toc 5"/>
    <w:basedOn w:val="1"/>
    <w:next w:val="1"/>
    <w:semiHidden/>
    <w:qFormat/>
    <w:uiPriority w:val="0"/>
    <w:pPr>
      <w:ind w:left="840"/>
      <w:jc w:val="left"/>
    </w:pPr>
    <w:rPr>
      <w:sz w:val="18"/>
      <w:szCs w:val="18"/>
    </w:rPr>
  </w:style>
  <w:style w:type="paragraph" w:styleId="15">
    <w:name w:val="toc 3"/>
    <w:basedOn w:val="1"/>
    <w:next w:val="1"/>
    <w:qFormat/>
    <w:uiPriority w:val="0"/>
    <w:pPr>
      <w:ind w:left="840" w:leftChars="400"/>
    </w:pPr>
  </w:style>
  <w:style w:type="paragraph" w:styleId="16">
    <w:name w:val="Plain Text"/>
    <w:basedOn w:val="1"/>
    <w:next w:val="1"/>
    <w:qFormat/>
    <w:uiPriority w:val="0"/>
    <w:rPr>
      <w:rFonts w:ascii="宋体" w:hAnsi="宋体"/>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39"/>
    <w:pPr>
      <w:spacing w:before="156" w:beforeLines="50"/>
    </w:pPr>
    <w:rPr>
      <w:rFonts w:ascii="仿宋_GB2312" w:eastAsia="仿宋_GB2312"/>
      <w:sz w:val="24"/>
    </w:rPr>
  </w:style>
  <w:style w:type="paragraph" w:styleId="20">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21">
    <w:name w:val="footnote text"/>
    <w:basedOn w:val="1"/>
    <w:qFormat/>
    <w:uiPriority w:val="0"/>
    <w:pPr>
      <w:snapToGrid w:val="0"/>
      <w:jc w:val="left"/>
    </w:pPr>
    <w:rPr>
      <w:rFonts w:eastAsia="楷体_GB2312"/>
      <w:sz w:val="18"/>
      <w:szCs w:val="18"/>
    </w:rPr>
  </w:style>
  <w:style w:type="paragraph" w:styleId="22">
    <w:name w:val="toc 2"/>
    <w:basedOn w:val="1"/>
    <w:next w:val="1"/>
    <w:qFormat/>
    <w:uiPriority w:val="0"/>
    <w:pPr>
      <w:ind w:left="420" w:leftChars="200"/>
    </w:pPr>
  </w:style>
  <w:style w:type="paragraph" w:styleId="23">
    <w:name w:val="HTML Preformatted"/>
    <w:basedOn w:val="1"/>
    <w:qFormat/>
    <w:uiPriority w:val="99"/>
    <w:rPr>
      <w:rFonts w:ascii="Courier New" w:hAnsi="Courier New"/>
      <w:sz w:val="20"/>
    </w:rPr>
  </w:style>
  <w:style w:type="paragraph" w:styleId="24">
    <w:name w:val="Normal (Web)"/>
    <w:basedOn w:val="1"/>
    <w:qFormat/>
    <w:uiPriority w:val="0"/>
    <w:pPr>
      <w:widowControl/>
      <w:jc w:val="left"/>
    </w:pPr>
    <w:rPr>
      <w:rFonts w:ascii="宋体" w:hAnsi="宋体" w:cs="宋体"/>
      <w:kern w:val="0"/>
      <w:sz w:val="24"/>
      <w:szCs w:val="24"/>
    </w:rPr>
  </w:style>
  <w:style w:type="paragraph" w:styleId="25">
    <w:name w:val="Title"/>
    <w:basedOn w:val="1"/>
    <w:next w:val="1"/>
    <w:qFormat/>
    <w:uiPriority w:val="0"/>
    <w:pPr>
      <w:jc w:val="both"/>
    </w:pPr>
    <w:rPr>
      <w:rFonts w:ascii="宋体" w:hAnsi="宋体"/>
      <w:b/>
      <w:sz w:val="44"/>
      <w:szCs w:val="28"/>
    </w:rPr>
  </w:style>
  <w:style w:type="paragraph" w:styleId="26">
    <w:name w:val="Body Text First Indent"/>
    <w:basedOn w:val="11"/>
    <w:unhideWhenUsed/>
    <w:qFormat/>
    <w:uiPriority w:val="0"/>
    <w:pPr>
      <w:spacing w:before="0" w:beforeLines="0" w:after="120" w:afterLines="0" w:line="312" w:lineRule="atLeast"/>
      <w:ind w:firstLine="420" w:firstLineChars="100"/>
    </w:pPr>
    <w:rPr>
      <w:sz w:val="21"/>
    </w:rPr>
  </w:style>
  <w:style w:type="paragraph" w:styleId="27">
    <w:name w:val="Body Text First Indent 2"/>
    <w:basedOn w:val="13"/>
    <w:next w:val="26"/>
    <w:qFormat/>
    <w:uiPriority w:val="0"/>
    <w:pPr>
      <w:tabs>
        <w:tab w:val="left" w:pos="8280"/>
      </w:tabs>
      <w:ind w:firstLine="420" w:firstLineChars="200"/>
    </w:pPr>
    <w:rPr>
      <w:rFonts w:ascii="Times New Roman" w:hAnsi="Times New Roman"/>
      <w:szCs w:val="20"/>
    </w:rPr>
  </w:style>
  <w:style w:type="character" w:styleId="30">
    <w:name w:val="Strong"/>
    <w:basedOn w:val="29"/>
    <w:qFormat/>
    <w:uiPriority w:val="0"/>
    <w:rPr>
      <w:b/>
      <w:bCs/>
    </w:rPr>
  </w:style>
  <w:style w:type="character" w:styleId="31">
    <w:name w:val="Hyperlink"/>
    <w:unhideWhenUsed/>
    <w:qFormat/>
    <w:uiPriority w:val="0"/>
    <w:rPr>
      <w:color w:val="0000FF"/>
      <w:u w:val="single"/>
    </w:rPr>
  </w:style>
  <w:style w:type="character" w:styleId="32">
    <w:name w:val="HTML Sample"/>
    <w:basedOn w:val="29"/>
    <w:qFormat/>
    <w:uiPriority w:val="0"/>
    <w:rPr>
      <w:rFonts w:ascii="Courier New" w:hAnsi="Courier New"/>
    </w:rPr>
  </w:style>
  <w:style w:type="paragraph" w:customStyle="1" w:styleId="33">
    <w:name w:val="标题 5（有编号）（绿盟科技）"/>
    <w:basedOn w:val="1"/>
    <w:next w:val="34"/>
    <w:qFormat/>
    <w:uiPriority w:val="0"/>
    <w:pPr>
      <w:keepNext/>
      <w:keepLines/>
      <w:numPr>
        <w:ilvl w:val="4"/>
        <w:numId w:val="4"/>
      </w:numPr>
      <w:spacing w:before="280" w:after="156" w:line="377" w:lineRule="auto"/>
      <w:jc w:val="left"/>
      <w:outlineLvl w:val="4"/>
    </w:pPr>
    <w:rPr>
      <w:rFonts w:ascii="Arial" w:hAnsi="Arial" w:eastAsia="黑体"/>
      <w:b/>
      <w:sz w:val="24"/>
      <w:szCs w:val="28"/>
    </w:rPr>
  </w:style>
  <w:style w:type="paragraph" w:customStyle="1" w:styleId="3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5">
    <w:name w:val="Char"/>
    <w:basedOn w:val="1"/>
    <w:qFormat/>
    <w:uiPriority w:val="0"/>
    <w:pPr>
      <w:tabs>
        <w:tab w:val="left" w:pos="360"/>
      </w:tabs>
    </w:pPr>
    <w:rPr>
      <w:sz w:val="24"/>
      <w:szCs w:val="24"/>
    </w:rPr>
  </w:style>
  <w:style w:type="paragraph" w:customStyle="1" w:styleId="36">
    <w:name w:val="_Style 2"/>
    <w:basedOn w:val="1"/>
    <w:next w:val="1"/>
    <w:qFormat/>
    <w:uiPriority w:val="99"/>
    <w:pPr>
      <w:ind w:firstLine="420" w:firstLineChars="200"/>
    </w:pPr>
    <w:rPr>
      <w:szCs w:val="24"/>
    </w:rPr>
  </w:style>
  <w:style w:type="paragraph" w:customStyle="1" w:styleId="3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正文_1_0"/>
    <w:basedOn w:val="39"/>
    <w:next w:val="44"/>
    <w:qFormat/>
    <w:uiPriority w:val="0"/>
    <w:pPr>
      <w:widowControl w:val="0"/>
      <w:jc w:val="both"/>
    </w:pPr>
    <w:rPr>
      <w:rFonts w:ascii="Calibri" w:hAnsi="Calibri"/>
      <w:kern w:val="2"/>
      <w:sz w:val="21"/>
      <w:szCs w:val="24"/>
      <w:lang w:val="en-US" w:eastAsia="zh-CN" w:bidi="ar-SA"/>
    </w:rPr>
  </w:style>
  <w:style w:type="paragraph" w:customStyle="1" w:styleId="39">
    <w:name w:val="正文_2"/>
    <w:basedOn w:val="40"/>
    <w:next w:val="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_3"/>
    <w:basedOn w:val="41"/>
    <w:next w:val="2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文本_1"/>
    <w:basedOn w:val="43"/>
    <w:unhideWhenUsed/>
    <w:qFormat/>
    <w:uiPriority w:val="0"/>
    <w:pPr>
      <w:spacing w:after="120"/>
    </w:pPr>
    <w:rPr>
      <w:rFonts w:ascii="Calibri" w:hAnsi="Calibri" w:eastAsia="宋体" w:cs="Times New Roman"/>
    </w:rPr>
  </w:style>
  <w:style w:type="paragraph" w:customStyle="1" w:styleId="43">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正文首行缩进1"/>
    <w:basedOn w:val="45"/>
    <w:unhideWhenUsed/>
    <w:qFormat/>
    <w:uiPriority w:val="99"/>
    <w:pPr>
      <w:ind w:firstLine="420" w:firstLineChars="100"/>
    </w:pPr>
    <w:rPr>
      <w:szCs w:val="22"/>
    </w:rPr>
  </w:style>
  <w:style w:type="paragraph" w:customStyle="1" w:styleId="45">
    <w:name w:val="正文文本_0_0"/>
    <w:basedOn w:val="46"/>
    <w:qFormat/>
    <w:uiPriority w:val="0"/>
    <w:pPr>
      <w:spacing w:after="120"/>
    </w:pPr>
    <w:rPr>
      <w:rFonts w:ascii="Calibri" w:hAnsi="Calibri"/>
      <w:kern w:val="0"/>
      <w:sz w:val="20"/>
    </w:rPr>
  </w:style>
  <w:style w:type="paragraph" w:customStyle="1" w:styleId="46">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标题 2_0"/>
    <w:basedOn w:val="48"/>
    <w:next w:val="49"/>
    <w:qFormat/>
    <w:uiPriority w:val="0"/>
    <w:pPr>
      <w:spacing w:line="360" w:lineRule="auto"/>
      <w:outlineLvl w:val="1"/>
    </w:pPr>
    <w:rPr>
      <w:rFonts w:ascii="Arial" w:hAnsi="Arial"/>
      <w:b w:val="0"/>
      <w:bCs w:val="0"/>
      <w:sz w:val="24"/>
    </w:rPr>
  </w:style>
  <w:style w:type="paragraph" w:customStyle="1" w:styleId="48">
    <w:name w:val="标题 3_0"/>
    <w:basedOn w:val="49"/>
    <w:next w:val="49"/>
    <w:unhideWhenUsed/>
    <w:qFormat/>
    <w:uiPriority w:val="9"/>
    <w:pPr>
      <w:keepNext/>
      <w:keepLines/>
      <w:spacing w:before="260" w:after="260" w:line="416" w:lineRule="auto"/>
      <w:outlineLvl w:val="2"/>
    </w:pPr>
    <w:rPr>
      <w:b/>
      <w:bCs/>
      <w:sz w:val="32"/>
      <w:szCs w:val="32"/>
    </w:rPr>
  </w:style>
  <w:style w:type="paragraph" w:customStyle="1" w:styleId="49">
    <w:name w:val="正文_1"/>
    <w:basedOn w:val="50"/>
    <w:next w:val="5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2_0"/>
    <w:basedOn w:val="39"/>
    <w:next w:val="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文本_0"/>
    <w:basedOn w:val="38"/>
    <w:qFormat/>
    <w:uiPriority w:val="0"/>
    <w:pPr>
      <w:keepNext w:val="0"/>
      <w:keepLines w:val="0"/>
      <w:widowControl w:val="0"/>
      <w:suppressLineNumbers w:val="0"/>
      <w:spacing w:before="0" w:beforeAutospacing="0" w:after="120" w:afterAutospacing="0"/>
      <w:ind w:left="0" w:right="0"/>
      <w:jc w:val="both"/>
    </w:pPr>
    <w:rPr>
      <w:kern w:val="0"/>
      <w:sz w:val="20"/>
    </w:rPr>
  </w:style>
  <w:style w:type="paragraph" w:customStyle="1" w:styleId="52">
    <w:name w:val="纯文本_0"/>
    <w:basedOn w:val="38"/>
    <w:qFormat/>
    <w:uiPriority w:val="0"/>
    <w:rPr>
      <w:rFonts w:ascii="宋体" w:hAnsi="Courier New" w:eastAsia="宋体" w:cs="Courier New"/>
      <w:szCs w:val="21"/>
    </w:rPr>
  </w:style>
  <w:style w:type="paragraph" w:customStyle="1" w:styleId="53">
    <w:name w:val="Char Char Char Char Char Char Char Char Char Char"/>
    <w:basedOn w:val="1"/>
    <w:qFormat/>
    <w:uiPriority w:val="0"/>
    <w:pPr>
      <w:adjustRightInd w:val="0"/>
      <w:spacing w:line="360" w:lineRule="auto"/>
    </w:pPr>
    <w:rPr>
      <w:kern w:val="0"/>
      <w:sz w:val="24"/>
      <w:szCs w:val="20"/>
    </w:rPr>
  </w:style>
  <w:style w:type="paragraph" w:customStyle="1" w:styleId="54">
    <w:name w:val="Normal_18"/>
    <w:qFormat/>
    <w:uiPriority w:val="0"/>
    <w:rPr>
      <w:rFonts w:ascii="黑体" w:hAnsi="黑体" w:eastAsia="黑体" w:cs="Times New Roman"/>
      <w:b/>
      <w:sz w:val="32"/>
      <w:szCs w:val="24"/>
      <w:lang w:val="en-US" w:eastAsia="zh-CN" w:bidi="ar-SA"/>
    </w:rPr>
  </w:style>
  <w:style w:type="paragraph" w:customStyle="1" w:styleId="55">
    <w:name w:val="Normal_0_0"/>
    <w:qFormat/>
    <w:uiPriority w:val="0"/>
    <w:rPr>
      <w:rFonts w:ascii="黑体" w:hAnsi="黑体" w:eastAsia="黑体" w:cs="Times New Roman"/>
      <w:b/>
      <w:sz w:val="32"/>
      <w:szCs w:val="24"/>
      <w:lang w:val="en-US" w:eastAsia="zh-CN" w:bidi="ar-SA"/>
    </w:rPr>
  </w:style>
  <w:style w:type="paragraph" w:customStyle="1" w:styleId="56">
    <w:name w:val="Normal_1_0"/>
    <w:qFormat/>
    <w:uiPriority w:val="0"/>
    <w:rPr>
      <w:rFonts w:ascii="黑体" w:hAnsi="黑体" w:eastAsia="黑体" w:cs="Times New Roman"/>
      <w:b/>
      <w:sz w:val="32"/>
      <w:szCs w:val="24"/>
      <w:lang w:val="en-US" w:eastAsia="zh-CN" w:bidi="ar-SA"/>
    </w:rPr>
  </w:style>
  <w:style w:type="paragraph" w:customStyle="1" w:styleId="57">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纯文本_1"/>
    <w:basedOn w:val="58"/>
    <w:unhideWhenUsed/>
    <w:qFormat/>
    <w:uiPriority w:val="0"/>
    <w:rPr>
      <w:rFonts w:ascii="宋体" w:hAnsi="Courier New" w:eastAsia="宋体" w:cs="Courier New"/>
      <w:szCs w:val="21"/>
    </w:rPr>
  </w:style>
  <w:style w:type="paragraph" w:customStyle="1" w:styleId="60">
    <w:name w:val="Normal_3"/>
    <w:qFormat/>
    <w:uiPriority w:val="0"/>
    <w:rPr>
      <w:rFonts w:ascii="黑体" w:hAnsi="黑体" w:eastAsia="黑体" w:cs="Times New Roman"/>
      <w:b/>
      <w:sz w:val="32"/>
      <w:szCs w:val="24"/>
      <w:lang w:val="en-US" w:eastAsia="zh-CN" w:bidi="ar-SA"/>
    </w:rPr>
  </w:style>
  <w:style w:type="paragraph" w:customStyle="1" w:styleId="61">
    <w:name w:val="Normal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Normal_8"/>
    <w:qFormat/>
    <w:uiPriority w:val="0"/>
    <w:rPr>
      <w:rFonts w:ascii="黑体" w:hAnsi="黑体" w:eastAsia="黑体" w:cs="Times New Roman"/>
      <w:b/>
      <w:sz w:val="32"/>
      <w:szCs w:val="24"/>
      <w:lang w:val="en-US" w:eastAsia="zh-CN" w:bidi="ar-SA"/>
    </w:rPr>
  </w:style>
  <w:style w:type="paragraph" w:customStyle="1" w:styleId="63">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4">
    <w:name w:val="Body Text"/>
    <w:basedOn w:val="63"/>
    <w:qFormat/>
    <w:uiPriority w:val="1"/>
    <w:pPr>
      <w:ind w:left="220"/>
    </w:pPr>
    <w:rPr>
      <w:rFonts w:eastAsia="Times New Roman"/>
      <w:sz w:val="32"/>
      <w:szCs w:val="32"/>
    </w:rPr>
  </w:style>
  <w:style w:type="paragraph" w:customStyle="1" w:styleId="65">
    <w:name w:val="Normal_10"/>
    <w:qFormat/>
    <w:uiPriority w:val="0"/>
    <w:rPr>
      <w:rFonts w:ascii="黑体" w:hAnsi="黑体" w:eastAsia="黑体" w:cs="Times New Roman"/>
      <w:b/>
      <w:sz w:val="32"/>
      <w:szCs w:val="24"/>
      <w:lang w:val="en-US" w:eastAsia="zh-CN" w:bidi="ar-SA"/>
    </w:rPr>
  </w:style>
  <w:style w:type="paragraph" w:customStyle="1" w:styleId="66">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Normal_11"/>
    <w:qFormat/>
    <w:uiPriority w:val="0"/>
    <w:rPr>
      <w:rFonts w:ascii="黑体" w:hAnsi="黑体" w:eastAsia="黑体" w:cs="Times New Roman"/>
      <w:b/>
      <w:sz w:val="32"/>
      <w:szCs w:val="24"/>
      <w:lang w:val="en-US" w:eastAsia="zh-CN" w:bidi="ar-SA"/>
    </w:rPr>
  </w:style>
  <w:style w:type="paragraph" w:customStyle="1" w:styleId="68">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Normal_12"/>
    <w:qFormat/>
    <w:uiPriority w:val="0"/>
    <w:rPr>
      <w:rFonts w:ascii="黑体" w:hAnsi="黑体" w:eastAsia="黑体" w:cs="Times New Roman"/>
      <w:b/>
      <w:sz w:val="32"/>
      <w:szCs w:val="24"/>
      <w:lang w:val="en-US" w:eastAsia="zh-CN" w:bidi="ar-SA"/>
    </w:rPr>
  </w:style>
  <w:style w:type="paragraph" w:customStyle="1" w:styleId="70">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_7"/>
    <w:qFormat/>
    <w:uiPriority w:val="0"/>
    <w:pPr>
      <w:widowControl w:val="0"/>
      <w:jc w:val="both"/>
    </w:pPr>
    <w:rPr>
      <w:rFonts w:ascii="Calibri" w:hAnsi="Calibri" w:eastAsia="宋体" w:cs="Times New Roman"/>
      <w:kern w:val="2"/>
      <w:sz w:val="21"/>
      <w:szCs w:val="22"/>
      <w:lang w:val="en-US" w:eastAsia="zh-CN" w:bidi="ar-SA"/>
    </w:rPr>
  </w:style>
  <w:style w:type="character" w:customStyle="1" w:styleId="72">
    <w:name w:val="标题 3 Char_3"/>
    <w:link w:val="73"/>
    <w:semiHidden/>
    <w:qFormat/>
    <w:uiPriority w:val="0"/>
    <w:rPr>
      <w:b/>
      <w:bCs/>
      <w:kern w:val="0"/>
      <w:sz w:val="32"/>
      <w:szCs w:val="32"/>
    </w:rPr>
  </w:style>
  <w:style w:type="paragraph" w:customStyle="1" w:styleId="73">
    <w:name w:val="标题 3_3"/>
    <w:basedOn w:val="74"/>
    <w:next w:val="71"/>
    <w:link w:val="72"/>
    <w:unhideWhenUsed/>
    <w:qFormat/>
    <w:uiPriority w:val="0"/>
    <w:pPr>
      <w:keepNext/>
      <w:keepLines/>
      <w:spacing w:before="260" w:after="260" w:line="416" w:lineRule="auto"/>
      <w:outlineLvl w:val="2"/>
    </w:pPr>
    <w:rPr>
      <w:b/>
      <w:bCs/>
      <w:kern w:val="0"/>
      <w:sz w:val="32"/>
      <w:szCs w:val="32"/>
    </w:rPr>
  </w:style>
  <w:style w:type="paragraph" w:customStyle="1" w:styleId="74">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Normal_15"/>
    <w:qFormat/>
    <w:uiPriority w:val="0"/>
    <w:rPr>
      <w:rFonts w:ascii="黑体" w:hAnsi="黑体" w:eastAsia="黑体" w:cs="Times New Roman"/>
      <w:b/>
      <w:sz w:val="32"/>
      <w:szCs w:val="24"/>
      <w:lang w:val="en-US" w:eastAsia="zh-CN" w:bidi="ar-SA"/>
    </w:rPr>
  </w:style>
  <w:style w:type="paragraph" w:customStyle="1" w:styleId="76">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纯文本_0_0"/>
    <w:basedOn w:val="76"/>
    <w:unhideWhenUsed/>
    <w:qFormat/>
    <w:uiPriority w:val="0"/>
    <w:rPr>
      <w:rFonts w:ascii="宋体" w:hAnsi="Courier New" w:eastAsia="宋体" w:cs="Courier New"/>
      <w:szCs w:val="21"/>
    </w:rPr>
  </w:style>
  <w:style w:type="paragraph" w:customStyle="1" w:styleId="78">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Normal_17"/>
    <w:qFormat/>
    <w:uiPriority w:val="0"/>
    <w:rPr>
      <w:rFonts w:ascii="黑体" w:hAnsi="黑体" w:eastAsia="黑体" w:cs="Times New Roman"/>
      <w:b/>
      <w:sz w:val="32"/>
      <w:szCs w:val="24"/>
      <w:lang w:val="en-US" w:eastAsia="zh-CN" w:bidi="ar-SA"/>
    </w:rPr>
  </w:style>
  <w:style w:type="paragraph" w:customStyle="1" w:styleId="80">
    <w:name w:val="正文_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81">
    <w:name w:val="标题 3 Char_6"/>
    <w:link w:val="82"/>
    <w:semiHidden/>
    <w:qFormat/>
    <w:uiPriority w:val="0"/>
    <w:rPr>
      <w:b/>
      <w:bCs/>
      <w:kern w:val="0"/>
      <w:sz w:val="32"/>
      <w:szCs w:val="32"/>
    </w:rPr>
  </w:style>
  <w:style w:type="paragraph" w:customStyle="1" w:styleId="82">
    <w:name w:val="标题 3_6"/>
    <w:basedOn w:val="80"/>
    <w:next w:val="80"/>
    <w:link w:val="81"/>
    <w:unhideWhenUsed/>
    <w:qFormat/>
    <w:uiPriority w:val="0"/>
    <w:pPr>
      <w:keepNext/>
      <w:keepLines/>
      <w:spacing w:before="260" w:after="260" w:line="412" w:lineRule="auto"/>
      <w:outlineLvl w:val="2"/>
    </w:pPr>
    <w:rPr>
      <w:b/>
      <w:bCs/>
      <w:kern w:val="0"/>
      <w:sz w:val="32"/>
      <w:szCs w:val="32"/>
    </w:rPr>
  </w:style>
  <w:style w:type="character" w:customStyle="1" w:styleId="83">
    <w:name w:val="标题 1 Char"/>
    <w:link w:val="3"/>
    <w:qFormat/>
    <w:uiPriority w:val="0"/>
    <w:rPr>
      <w:b/>
      <w:bCs/>
      <w:kern w:val="0"/>
      <w:sz w:val="24"/>
    </w:rPr>
  </w:style>
  <w:style w:type="paragraph" w:customStyle="1" w:styleId="84">
    <w:name w:val="Normal"/>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Times New Roman" w:cs="Times New Roman"/>
      <w:kern w:val="0"/>
      <w:sz w:val="20"/>
      <w:szCs w:val="20"/>
      <w:lang w:val="en-US" w:eastAsia="zh-CN" w:bidi="ar"/>
    </w:rPr>
  </w:style>
  <w:style w:type="paragraph" w:customStyle="1" w:styleId="85">
    <w:name w:val="正文1"/>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Times New Roman" w:cs="Times New Roman"/>
      <w:kern w:val="0"/>
      <w:sz w:val="20"/>
      <w:szCs w:val="20"/>
      <w:lang w:val="en-US" w:eastAsia="zh-CN" w:bidi="ar"/>
    </w:rPr>
  </w:style>
  <w:style w:type="paragraph" w:customStyle="1" w:styleId="86">
    <w:name w:val="Normal_0"/>
    <w:basedOn w:val="1"/>
    <w:qFormat/>
    <w:uiPriority w:val="0"/>
    <w:pPr>
      <w:keepNext w:val="0"/>
      <w:keepLines w:val="0"/>
      <w:widowControl/>
      <w:suppressLineNumbers w:val="0"/>
      <w:spacing w:before="0" w:beforeAutospacing="0" w:after="0" w:afterAutospacing="0"/>
      <w:ind w:left="0" w:right="0"/>
      <w:jc w:val="left"/>
    </w:pPr>
    <w:rPr>
      <w:rFonts w:hint="default" w:ascii="Times New Roman" w:hAnsi="Times New Roman" w:eastAsia="Times New Roma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37368</Words>
  <Characters>39323</Characters>
  <Lines>0</Lines>
  <Paragraphs>0</Paragraphs>
  <TotalTime>3</TotalTime>
  <ScaleCrop>false</ScaleCrop>
  <LinksUpToDate>false</LinksUpToDate>
  <CharactersWithSpaces>44755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2023-05-26T05:29:00Z</dcterms:created>
  <dc:creator>Administrator</dc:creator>
  <cp:lastModifiedBy>谱诚咨询</cp:lastModifiedBy>
  <dcterms:modified xsi:type="dcterms:W3CDTF">2023-06-19T09:22:01Z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B971BDD39E39495E9A157C773811A8FA_12</vt:lpwstr>
  </property>
</Properties>
</file>