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bookmarkStart w:id="0" w:name="_Toc23999"/>
      <w:r>
        <w:rPr>
          <w:rFonts w:hint="eastAsia" w:ascii="仿宋" w:hAnsi="仿宋" w:eastAsia="仿宋" w:cs="仿宋"/>
          <w:b/>
          <w:bCs/>
          <w:color w:val="000000" w:themeColor="text1"/>
          <w:sz w:val="44"/>
          <w:szCs w:val="44"/>
          <w:highlight w:val="none"/>
          <w:lang w:val="en-US" w:eastAsia="zh-CN"/>
          <w14:textFill>
            <w14:solidFill>
              <w14:schemeClr w14:val="tx1"/>
            </w14:solidFill>
          </w14:textFill>
        </w:rPr>
        <w:t>2023年新疆维吾尔自治区公路管理局沥青储运总站管理二科锅炉房维修及设备改造项目(二次）</w:t>
      </w:r>
    </w:p>
    <w:p>
      <w:pPr>
        <w:bidi w:val="0"/>
        <w:jc w:val="center"/>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竞争性磋商</w:t>
      </w:r>
      <w:r>
        <w:rPr>
          <w:rFonts w:hint="eastAsia" w:ascii="仿宋" w:hAnsi="仿宋" w:eastAsia="仿宋" w:cs="仿宋"/>
          <w:b/>
          <w:bCs/>
          <w:color w:val="000000" w:themeColor="text1"/>
          <w:sz w:val="32"/>
          <w:szCs w:val="32"/>
          <w:highlight w:val="none"/>
          <w14:textFill>
            <w14:solidFill>
              <w14:schemeClr w14:val="tx1"/>
            </w14:solidFill>
          </w14:textFill>
        </w:rPr>
        <w:t>文件</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ascii="仿宋" w:hAnsi="仿宋" w:eastAsia="仿宋" w:cs="仿宋"/>
          <w:color w:val="000000" w:themeColor="text1"/>
          <w:sz w:val="32"/>
          <w:szCs w:val="32"/>
          <w:highlight w:val="none"/>
          <w:lang w:eastAsia="zh-CN"/>
          <w14:textFill>
            <w14:solidFill>
              <w14:schemeClr w14:val="tx1"/>
            </w14:solidFill>
          </w14:textFill>
        </w:rPr>
        <w:t>XJTZY2023-1-C00</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7</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tbl>
      <w:tblPr>
        <w:tblStyle w:val="16"/>
        <w:tblW w:w="8159" w:type="dxa"/>
        <w:jc w:val="center"/>
        <w:tblLayout w:type="fixed"/>
        <w:tblCellMar>
          <w:top w:w="0" w:type="dxa"/>
          <w:left w:w="108" w:type="dxa"/>
          <w:bottom w:w="0" w:type="dxa"/>
          <w:right w:w="108" w:type="dxa"/>
        </w:tblCellMar>
      </w:tblPr>
      <w:tblGrid>
        <w:gridCol w:w="2119"/>
        <w:gridCol w:w="6040"/>
      </w:tblGrid>
      <w:tr>
        <w:tblPrEx>
          <w:tblCellMar>
            <w:top w:w="0" w:type="dxa"/>
            <w:left w:w="108" w:type="dxa"/>
            <w:bottom w:w="0" w:type="dxa"/>
            <w:right w:w="108" w:type="dxa"/>
          </w:tblCellMar>
        </w:tblPrEx>
        <w:trPr>
          <w:trHeight w:val="1023" w:hRule="atLeast"/>
          <w:jc w:val="center"/>
        </w:trPr>
        <w:tc>
          <w:tcPr>
            <w:tcW w:w="2119" w:type="dxa"/>
            <w:noWrap w:val="0"/>
            <w:vAlign w:val="top"/>
          </w:tcPr>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 标 人：</w:t>
            </w:r>
          </w:p>
          <w:p>
            <w:pPr>
              <w:pStyle w:val="20"/>
              <w:rPr>
                <w:rFonts w:hint="eastAsia"/>
              </w:rPr>
            </w:pPr>
          </w:p>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招标代理：</w:t>
            </w:r>
          </w:p>
        </w:tc>
        <w:tc>
          <w:tcPr>
            <w:tcW w:w="6040" w:type="dxa"/>
            <w:noWrap w:val="0"/>
            <w:vAlign w:val="center"/>
          </w:tcPr>
          <w:p>
            <w:pPr>
              <w:bidi w:val="0"/>
              <w:jc w:val="center"/>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新疆维吾尔自治区公路管理局沥青储运总站</w:t>
            </w:r>
          </w:p>
          <w:p>
            <w:pPr>
              <w:bidi w:val="0"/>
              <w:jc w:val="center"/>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新疆天之源项目管理集团有限公司</w:t>
            </w:r>
          </w:p>
        </w:tc>
      </w:tr>
    </w:tbl>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二〇二</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eastAsia="zh-CN"/>
          <w14:textFill>
            <w14:solidFill>
              <w14:schemeClr w14:val="tx1"/>
            </w14:solidFill>
          </w14:textFill>
        </w:rPr>
        <w:t>六</w:t>
      </w:r>
      <w:r>
        <w:rPr>
          <w:rFonts w:hint="eastAsia" w:ascii="仿宋" w:hAnsi="仿宋" w:eastAsia="仿宋" w:cs="仿宋"/>
          <w:color w:val="000000" w:themeColor="text1"/>
          <w:sz w:val="32"/>
          <w:szCs w:val="32"/>
          <w:highlight w:val="none"/>
          <w:lang w:val="en-US" w:eastAsia="zh-CN"/>
          <w14:textFill>
            <w14:solidFill>
              <w14:schemeClr w14:val="tx1"/>
            </w14:solidFill>
          </w14:textFill>
        </w:rPr>
        <w:t>月</w:t>
      </w:r>
    </w:p>
    <w:p>
      <w:pPr>
        <w:pStyle w:val="5"/>
        <w:spacing w:line="360" w:lineRule="auto"/>
        <w:jc w:val="both"/>
        <w:outlineLvl w:val="9"/>
        <w:rPr>
          <w:rFonts w:hint="eastAsia" w:ascii="仿宋" w:hAnsi="仿宋" w:eastAsia="仿宋" w:cs="仿宋"/>
          <w:color w:val="000000" w:themeColor="text1"/>
          <w:sz w:val="28"/>
          <w:szCs w:val="28"/>
          <w:highlight w:val="none"/>
          <w14:textFill>
            <w14:solidFill>
              <w14:schemeClr w14:val="tx1"/>
            </w14:solidFill>
          </w14:textFill>
        </w:rPr>
      </w:pPr>
    </w:p>
    <w:sdt>
      <w:sdt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id w:val="147454511"/>
        <w15:color w:val="DBDBDB"/>
        <w:docPartObj>
          <w:docPartGallery w:val="Table of Contents"/>
          <w:docPartUnique/>
        </w:docPartObj>
      </w:sdtPr>
      <w:sdtEndP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w:t>
          </w:r>
        </w:p>
        <w:p>
          <w:pPr>
            <w:pStyle w:val="11"/>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p>
        <w:p>
          <w:pPr>
            <w:pStyle w:val="11"/>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_Toc14221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章　磋商须知</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1"/>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_Toc24360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28"/>
              <w:szCs w:val="28"/>
              <w:highlight w:val="none"/>
              <w14:textFill>
                <w14:solidFill>
                  <w14:schemeClr w14:val="tx1"/>
                </w14:solidFill>
              </w14:textFill>
            </w:rPr>
            <w:t>磋商须知正文</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_Toc24360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18</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1"/>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_Toc20214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二部分 </w:t>
          </w:r>
          <w:r>
            <w:rPr>
              <w:rFonts w:hint="eastAsia" w:ascii="仿宋" w:hAnsi="仿宋" w:eastAsia="仿宋" w:cs="仿宋"/>
              <w:color w:val="000000" w:themeColor="text1"/>
              <w:sz w:val="28"/>
              <w:szCs w:val="28"/>
              <w:highlight w:val="none"/>
              <w14:textFill>
                <w14:solidFill>
                  <w14:schemeClr w14:val="tx1"/>
                </w14:solidFill>
              </w14:textFill>
            </w:rPr>
            <w:t>评审方法及标准</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_Toc20214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1"/>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_Toc14751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章　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_Toc14751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38</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1"/>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_Toc23845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章　响应文件组成</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_Toc23845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38</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1"/>
            <w:tabs>
              <w:tab w:val="right" w:leader="dot" w:pos="9190"/>
            </w:tabs>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_Toc7586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kern w:val="44"/>
              <w:sz w:val="28"/>
              <w:szCs w:val="28"/>
              <w:highlight w:val="none"/>
              <w14:textFill>
                <w14:solidFill>
                  <w14:schemeClr w14:val="tx1"/>
                </w14:solidFill>
              </w14:textFill>
            </w:rPr>
            <w:t>第</w:t>
          </w:r>
          <w:r>
            <w:rPr>
              <w:rFonts w:hint="eastAsia" w:ascii="仿宋" w:hAnsi="仿宋" w:eastAsia="仿宋" w:cs="仿宋"/>
              <w:color w:val="000000" w:themeColor="text1"/>
              <w:kern w:val="44"/>
              <w:sz w:val="28"/>
              <w:szCs w:val="28"/>
              <w:highlight w:val="none"/>
              <w:lang w:eastAsia="zh-CN"/>
              <w14:textFill>
                <w14:solidFill>
                  <w14:schemeClr w14:val="tx1"/>
                </w14:solidFill>
              </w14:textFill>
            </w:rPr>
            <w:t>四</w:t>
          </w:r>
          <w:r>
            <w:rPr>
              <w:rFonts w:hint="eastAsia" w:ascii="仿宋" w:hAnsi="仿宋" w:eastAsia="仿宋" w:cs="仿宋"/>
              <w:color w:val="000000" w:themeColor="text1"/>
              <w:kern w:val="44"/>
              <w:sz w:val="28"/>
              <w:szCs w:val="28"/>
              <w:highlight w:val="none"/>
              <w14:textFill>
                <w14:solidFill>
                  <w14:schemeClr w14:val="tx1"/>
                </w14:solidFill>
              </w14:textFill>
            </w:rPr>
            <w:t>章　项目需求</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_Toc7586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57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p>
      </w:sdtContent>
    </w:sdt>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bookmarkEnd w:id="0"/>
    <w:p>
      <w:pPr>
        <w:ind w:firstLine="560" w:firstLineChars="200"/>
        <w:rPr>
          <w:rFonts w:hint="eastAsia" w:ascii="宋体" w:hAnsi="宋体" w:eastAsia="宋体" w:cs="宋体"/>
          <w:color w:val="000000"/>
          <w:sz w:val="28"/>
          <w:szCs w:val="28"/>
          <w:highlight w:val="none"/>
        </w:rPr>
      </w:pPr>
    </w:p>
    <w:p>
      <w:pPr>
        <w:pStyle w:val="8"/>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方正小标宋_GBK" w:hAnsi="方正小标宋_GBK" w:eastAsia="方正小标宋_GBK" w:cs="方正小标宋_GBK"/>
          <w:color w:val="000000"/>
          <w:sz w:val="32"/>
          <w:szCs w:val="32"/>
          <w:highlight w:val="none"/>
          <w:lang w:val="en-US" w:eastAsia="zh-CN"/>
        </w:rPr>
      </w:pPr>
      <w:r>
        <w:rPr>
          <w:rFonts w:hint="eastAsia" w:ascii="方正小标宋_GBK" w:hAnsi="方正小标宋_GBK" w:eastAsia="方正小标宋_GBK" w:cs="方正小标宋_GBK"/>
          <w:color w:val="000000"/>
          <w:sz w:val="32"/>
          <w:szCs w:val="32"/>
          <w:highlight w:val="none"/>
          <w:lang w:val="en-US" w:eastAsia="zh-CN"/>
        </w:rPr>
        <w:t>第一章　磋商须知</w:t>
      </w:r>
    </w:p>
    <w:tbl>
      <w:tblPr>
        <w:tblStyle w:val="16"/>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名称</w:t>
            </w:r>
          </w:p>
        </w:tc>
        <w:tc>
          <w:tcPr>
            <w:tcW w:w="6285"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5" w:type="dxa"/>
            <w:vMerge w:val="restart"/>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采购项目</w:t>
            </w:r>
          </w:p>
        </w:tc>
        <w:tc>
          <w:tcPr>
            <w:tcW w:w="6285" w:type="dxa"/>
            <w:vAlign w:val="center"/>
          </w:tcPr>
          <w:p>
            <w:pPr>
              <w:pStyle w:val="8"/>
              <w:snapToGrid w:val="0"/>
              <w:spacing w:after="113" w:afterLines="31" w:afterAutospacing="0" w:line="24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2023年新疆维吾尔自治区公路管理局沥青储运总站管理二科锅炉房维修及设备改造项目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vMerge w:val="continue"/>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采购预算</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792000</w:t>
            </w:r>
            <w:r>
              <w:rPr>
                <w:rFonts w:hint="eastAsia" w:ascii="仿宋" w:hAnsi="仿宋" w:eastAsia="仿宋" w:cs="仿宋"/>
                <w:color w:val="000000" w:themeColor="text1"/>
                <w:sz w:val="28"/>
                <w:szCs w:val="28"/>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公告媒体</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供应商资格条件</w:t>
            </w:r>
          </w:p>
        </w:tc>
        <w:tc>
          <w:tcPr>
            <w:tcW w:w="6285" w:type="dxa"/>
            <w:vAlign w:val="center"/>
          </w:tcPr>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落实政府采购政策需满足的资格要求：供应商为</w:t>
            </w:r>
            <w:r>
              <w:rPr>
                <w:rFonts w:hint="eastAsia" w:ascii="仿宋" w:hAnsi="仿宋" w:eastAsia="仿宋" w:cs="仿宋"/>
                <w:color w:val="000000" w:themeColor="text1"/>
                <w:sz w:val="28"/>
                <w:szCs w:val="28"/>
                <w:highlight w:val="none"/>
                <w:lang w:eastAsia="zh-CN"/>
                <w14:textFill>
                  <w14:solidFill>
                    <w14:schemeClr w14:val="tx1"/>
                  </w14:solidFill>
                </w14:textFill>
              </w:rPr>
              <w:t>中小</w:t>
            </w:r>
            <w:r>
              <w:rPr>
                <w:rFonts w:hint="eastAsia" w:ascii="仿宋" w:hAnsi="仿宋" w:eastAsia="仿宋" w:cs="仿宋"/>
                <w:color w:val="000000" w:themeColor="text1"/>
                <w:sz w:val="28"/>
                <w:szCs w:val="28"/>
                <w:highlight w:val="none"/>
                <w14:textFill>
                  <w14:solidFill>
                    <w14:schemeClr w14:val="tx1"/>
                  </w14:solidFill>
                </w14:textFill>
              </w:rPr>
              <w:t>企业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本项目的特定资格要求：</w:t>
            </w:r>
          </w:p>
          <w:p>
            <w:pPr>
              <w:bidi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1、符合《中华人民共和国政府采购法》第二十二条的规定，在中华人民共和国境内注册的合法运营企业；</w:t>
            </w:r>
          </w:p>
          <w:p>
            <w:pPr>
              <w:bidi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2、有效的工商营业执照</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特种设备安装资质要求：</w:t>
            </w:r>
            <w:r>
              <w:rPr>
                <w:rFonts w:hint="eastAsia" w:ascii="仿宋" w:hAnsi="仿宋" w:eastAsia="仿宋" w:cs="仿宋"/>
                <w:color w:val="000000" w:themeColor="text1"/>
                <w:sz w:val="28"/>
                <w:szCs w:val="28"/>
                <w:highlight w:val="none"/>
                <w14:textFill>
                  <w14:solidFill>
                    <w14:schemeClr w14:val="tx1"/>
                  </w14:solidFill>
                </w14:textFill>
              </w:rPr>
              <w:t>具有有效的《中华人民共和国特种设备生产许可证》(锅炉安装、修理、改造) B级及以上资质；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在人员、设备、资金等方面具备相应的履约能力，没有处于被责令停业、投标资格被取消或暂停、财产被接管、冻结、破产状态</w:t>
            </w:r>
            <w:r>
              <w:rPr>
                <w:rFonts w:hint="eastAsia" w:ascii="仿宋" w:hAnsi="仿宋" w:eastAsia="仿宋" w:cs="仿宋"/>
                <w:color w:val="000000" w:themeColor="text1"/>
                <w:sz w:val="28"/>
                <w:szCs w:val="28"/>
                <w:highlight w:val="none"/>
                <w:lang w:eastAsia="zh-CN"/>
                <w14:textFill>
                  <w14:solidFill>
                    <w14:schemeClr w14:val="tx1"/>
                  </w14:solidFill>
                </w14:textFill>
              </w:rPr>
              <w:t>（提供承诺函，格式自拟）</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相关政策</w:t>
            </w:r>
          </w:p>
        </w:tc>
        <w:tc>
          <w:tcPr>
            <w:tcW w:w="6285" w:type="dxa"/>
            <w:vAlign w:val="center"/>
          </w:tcPr>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w:t>
            </w:r>
            <w:r>
              <w:rPr>
                <w:rFonts w:hint="eastAsia" w:ascii="仿宋" w:hAnsi="仿宋" w:eastAsia="仿宋" w:cs="仿宋"/>
                <w:color w:val="000000" w:themeColor="text1"/>
                <w:sz w:val="28"/>
                <w:szCs w:val="28"/>
                <w:highlight w:val="none"/>
                <w:lang w:eastAsia="zh-CN"/>
                <w14:textFill>
                  <w14:solidFill>
                    <w14:schemeClr w14:val="tx1"/>
                  </w14:solidFill>
                </w14:textFill>
              </w:rPr>
              <w:t>中小</w:t>
            </w:r>
            <w:r>
              <w:rPr>
                <w:rFonts w:hint="eastAsia" w:ascii="仿宋" w:hAnsi="仿宋" w:eastAsia="仿宋" w:cs="仿宋"/>
                <w:color w:val="000000" w:themeColor="text1"/>
                <w:sz w:val="28"/>
                <w:szCs w:val="28"/>
                <w:highlight w:val="none"/>
                <w14:textFill>
                  <w14:solidFill>
                    <w14:schemeClr w14:val="tx1"/>
                  </w14:solidFill>
                </w14:textFill>
              </w:rPr>
              <w:t>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不接受</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澄清或者修改时间</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递交磋商响应文件的截止时间和地点</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2023年07月06日上午11:00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磋商响应文件开启时间和地点</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bookmarkStart w:id="75" w:name="_GoBack"/>
            <w:bookmarkEnd w:id="75"/>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2023年07月06日上午11:00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restart"/>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要求提供。本项目的磋商保证金为人民币：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10000</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壹万</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元整）</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磋商保证金到账截止时间：同磋商截止时间</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提交方式：从供应商基本账户以电汇、网银转账等非现金形式缴纳。</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账户信息：</w:t>
            </w:r>
          </w:p>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行号：308881029059</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账号：991902337110201</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开户行：招商银行股份有限公司乌鲁木齐人民路支行</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开标前将电子汇款凭证制作到电子响应性文件即可。</w:t>
            </w:r>
          </w:p>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2、政采云电子保函须知</w:t>
            </w:r>
          </w:p>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(1)本项目推荐使用政采云电子保函形式缴纳投标保证金，在线完成保函的申请、审核、开票、出函等环节；</w:t>
            </w:r>
          </w:p>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(3)开标前将保函制作到电子响应性文件即可。</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自响应文件截止时间起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响应文件份数</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3.远程开标前，投标人务必在政采云平台（https://www.zcygov.cn/）响应性文件上传模块中使用“模拟解密”功能，验证本机远程自助解密环境。</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w:t>
            </w:r>
            <w:r>
              <w:rPr>
                <w:rFonts w:hint="eastAsia" w:ascii="仿宋" w:hAnsi="仿宋" w:eastAsia="仿宋" w:cs="仿宋"/>
                <w:b/>
                <w:bCs/>
                <w:color w:val="000000" w:themeColor="text1"/>
                <w:sz w:val="28"/>
                <w:szCs w:val="28"/>
                <w:highlight w:val="none"/>
                <w14:textFill>
                  <w14:solidFill>
                    <w14:schemeClr w14:val="tx1"/>
                  </w14:solidFill>
                </w14:textFill>
              </w:rPr>
              <w:t>中标单位在领取中标通知书前须向招标代理公司</w:t>
            </w:r>
            <w:r>
              <w:rPr>
                <w:rFonts w:hint="eastAsia" w:ascii="仿宋" w:hAnsi="仿宋" w:eastAsia="仿宋" w:cs="仿宋"/>
                <w:b/>
                <w:bCs/>
                <w:color w:val="000000" w:themeColor="text1"/>
                <w:sz w:val="28"/>
                <w:szCs w:val="28"/>
                <w:highlight w:val="none"/>
                <w:lang w:eastAsia="zh-CN"/>
                <w14:textFill>
                  <w14:solidFill>
                    <w14:schemeClr w14:val="tx1"/>
                  </w14:solidFill>
                </w14:textFill>
              </w:rPr>
              <w:t>递交</w:t>
            </w:r>
            <w:r>
              <w:rPr>
                <w:rFonts w:hint="eastAsia" w:ascii="仿宋" w:hAnsi="仿宋" w:eastAsia="仿宋" w:cs="仿宋"/>
                <w:b/>
                <w:bCs/>
                <w:color w:val="000000" w:themeColor="text1"/>
                <w:sz w:val="28"/>
                <w:szCs w:val="28"/>
                <w:highlight w:val="none"/>
                <w14:textFill>
                  <w14:solidFill>
                    <w14:schemeClr w14:val="tx1"/>
                  </w14:solidFill>
                </w14:textFill>
              </w:rPr>
              <w:t>纸质版投标文件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14:textFill>
                  <w14:solidFill>
                    <w14:schemeClr w14:val="tx1"/>
                  </w14:solidFill>
                </w14:textFill>
              </w:rPr>
              <w:t>份</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一正</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副</w:t>
            </w:r>
            <w:r>
              <w:rPr>
                <w:rFonts w:hint="eastAsia" w:ascii="仿宋" w:hAnsi="仿宋" w:eastAsia="仿宋" w:cs="仿宋"/>
                <w:b/>
                <w:bCs/>
                <w:color w:val="000000" w:themeColor="text1"/>
                <w:sz w:val="28"/>
                <w:szCs w:val="28"/>
                <w:highlight w:val="none"/>
                <w:lang w:eastAsia="zh-CN"/>
                <w14:textFill>
                  <w14:solidFill>
                    <w14:schemeClr w14:val="tx1"/>
                  </w14:solidFill>
                </w14:textFill>
              </w:rPr>
              <w:t>）（包括电子版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开标时间及地点</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开标时间：同投标截止时间</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开标地点：政采云远程不见面开标大厅</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不见面开标默认解密时长：</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0分钟</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highlight w:val="none"/>
                <w14:textFill>
                  <w14:solidFill>
                    <w14:schemeClr w14:val="tx1"/>
                  </w14:solidFill>
                </w14:textFill>
              </w:rPr>
              <w:t>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服务期限及服务地点</w:t>
            </w:r>
          </w:p>
        </w:tc>
        <w:tc>
          <w:tcPr>
            <w:tcW w:w="6285" w:type="dxa"/>
            <w:vAlign w:val="center"/>
          </w:tcPr>
          <w:p>
            <w:pPr>
              <w:pStyle w:val="8"/>
              <w:spacing w:line="360" w:lineRule="auto"/>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w:t>
            </w:r>
            <w:r>
              <w:rPr>
                <w:rFonts w:hint="eastAsia" w:ascii="仿宋" w:hAnsi="仿宋" w:eastAsia="仿宋" w:cs="仿宋"/>
                <w:color w:val="000000" w:themeColor="text1"/>
                <w:sz w:val="28"/>
                <w:szCs w:val="28"/>
                <w:highlight w:val="none"/>
                <w:lang w:val="en-US" w:eastAsia="zh-CN"/>
                <w14:textFill>
                  <w14:solidFill>
                    <w14:schemeClr w14:val="tx1"/>
                  </w14:solidFill>
                </w14:textFill>
              </w:rPr>
              <w:t>80天</w:t>
            </w:r>
          </w:p>
          <w:p>
            <w:pPr>
              <w:pStyle w:val="8"/>
              <w:spacing w:line="360" w:lineRule="auto"/>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不要求提供</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履约保证金收取比例如下：合同金额的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履约保证金递交：中标单位收到中标通知书后10日内（签订合同前）向采购人缴纳</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履约保证金形式：电汇、网银转账</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中标单位未按本文件规定缴纳履约保证金的，其投标保证金将不予退还。</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履约保证金缴纳账户信息：</w:t>
            </w:r>
          </w:p>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纳税人识别号：</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w:t>
            </w:r>
          </w:p>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采购代理服务费</w:t>
            </w:r>
          </w:p>
        </w:tc>
        <w:tc>
          <w:tcPr>
            <w:tcW w:w="6285"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u w:val="single"/>
                <w14:textFill>
                  <w14:solidFill>
                    <w14:schemeClr w14:val="tx1"/>
                  </w14:solidFill>
                </w14:textFill>
              </w:rPr>
              <w:t>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项目现场勘察</w:t>
            </w:r>
          </w:p>
        </w:tc>
        <w:tc>
          <w:tcPr>
            <w:tcW w:w="6285" w:type="dxa"/>
            <w:vAlign w:val="center"/>
          </w:tcPr>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不组织</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中小</w:t>
            </w:r>
            <w:r>
              <w:rPr>
                <w:rFonts w:hint="eastAsia" w:ascii="仿宋" w:hAnsi="仿宋" w:eastAsia="仿宋" w:cs="仿宋"/>
                <w:color w:val="000000" w:themeColor="text1"/>
                <w:sz w:val="28"/>
                <w:szCs w:val="28"/>
                <w:highlight w:val="none"/>
                <w14:textFill>
                  <w14:solidFill>
                    <w14:schemeClr w14:val="tx1"/>
                  </w14:solidFill>
                </w14:textFill>
              </w:rPr>
              <w:t>型企业</w:t>
            </w:r>
          </w:p>
          <w:p>
            <w:pPr>
              <w:pStyle w:val="8"/>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有关政策</w:t>
            </w:r>
          </w:p>
        </w:tc>
        <w:tc>
          <w:tcPr>
            <w:tcW w:w="6285" w:type="dxa"/>
            <w:vAlign w:val="center"/>
          </w:tcPr>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据《政府采购促进中小企业展暂行办法》（财库【2020】46号文）、关于转发《政府采购促进中小企业发展管理办法》的通知（兵财库〔2021〕7号文）规定执行；</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根据工信部等部委发布的《关于印发中小企业划型标准规定的通知》（工信部联企业[2011]300号）规定执行；本项目采购标的对应的中小企业划分标准所属行业为（二）工业。从业人员1000人以下或营业收入40000万元以下的为</w:t>
            </w:r>
            <w:r>
              <w:rPr>
                <w:rFonts w:hint="eastAsia" w:ascii="仿宋" w:hAnsi="仿宋" w:eastAsia="仿宋" w:cs="仿宋"/>
                <w:color w:val="000000" w:themeColor="text1"/>
                <w:sz w:val="28"/>
                <w:szCs w:val="28"/>
                <w:highlight w:val="none"/>
                <w:lang w:eastAsia="zh-CN"/>
                <w14:textFill>
                  <w14:solidFill>
                    <w14:schemeClr w14:val="tx1"/>
                  </w14:solidFill>
                </w14:textFill>
              </w:rPr>
              <w:t>中小</w:t>
            </w:r>
            <w:r>
              <w:rPr>
                <w:rFonts w:hint="eastAsia" w:ascii="仿宋" w:hAnsi="仿宋" w:eastAsia="仿宋" w:cs="仿宋"/>
                <w:color w:val="000000" w:themeColor="text1"/>
                <w:sz w:val="28"/>
                <w:szCs w:val="28"/>
                <w:highlight w:val="none"/>
                <w14:textFill>
                  <w14:solidFill>
                    <w14:schemeClr w14:val="tx1"/>
                  </w14:solidFill>
                </w14:textFill>
              </w:rPr>
              <w:t>型企业。其中，从业人员300人及以上，且营业收入2000万元及以上的为中型企业；从业人员20人及以上，且营业收入300万元及以上的为小型企业；从业人员20人以下或营业收入300万元以下的为微型企业。</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(3)价格扣除幅度：价格给予</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%的扣除；</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(4)小型和微型企业适用价格扣除办法时应提供的相关资料：</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供应商需在响应文件报价部分中“中、小、微型企业产品明细表”中逐项注明所投产品的产品名称、制造商、型号并备注是否属于中、小企业。</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若所投标产品为进口产品的，不适用《政府采购促进中小企业发展暂行办法》。</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8"/>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23"/>
              <w:autoSpaceDE w:val="0"/>
              <w:autoSpaceDN w:val="0"/>
              <w:adjustRightIn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补充的其他内容</w:t>
            </w:r>
          </w:p>
        </w:tc>
        <w:tc>
          <w:tcPr>
            <w:tcW w:w="6285" w:type="dxa"/>
            <w:vAlign w:val="center"/>
          </w:tcPr>
          <w:p>
            <w:pPr>
              <w:pStyle w:val="23"/>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23"/>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8"/>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32"/>
              <w:adjustRightInd w:val="0"/>
              <w:snapToGri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w:t>
            </w:r>
          </w:p>
        </w:tc>
        <w:tc>
          <w:tcPr>
            <w:tcW w:w="6285" w:type="dxa"/>
            <w:vAlign w:val="center"/>
          </w:tcPr>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2、当出现下列情形之一，响应文件将予以退回：</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（1）投标人在响应文件递交截止时间前未成功上传加密电子响应文件；</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（2）投标人使用解密的CA数字证书与上传加密响应文件使用的CA数字证书不一致；</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（3）投标人解密时CA数字证书已过期，导致无法正常解密；</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（4）加密响应文件时，CA数字证书未过期，解密时，显示CA数字证书已过期，导致无法正常解密；</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（5）未在规定的响应文件解密时间内进行解密的；</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（6）投标人个人原因导致无法解密的其他情形。 </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32"/>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4、投标人需在投标截止时间前自行测试开标时使用的计算机，如因投标人自身原因导致响应文件解密失败的，由投标人自行承担相应后果。</w:t>
            </w:r>
          </w:p>
        </w:tc>
      </w:tr>
    </w:tbl>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1" w:name="_Toc24360"/>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32"/>
          <w:szCs w:val="32"/>
          <w:highlight w:val="none"/>
          <w14:textFill>
            <w14:solidFill>
              <w14:schemeClr w14:val="tx1"/>
            </w14:solidFill>
          </w14:textFill>
        </w:rPr>
        <w:t>磋商须知正文</w:t>
      </w:r>
      <w:bookmarkEnd w:id="1"/>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一、总则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1.定义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“磋商小组”是依据《政府采购竞争性磋商采购方式管理暂行办法》有关规定组建，依法履行竞争性磋商采购活动职责的磋商成员。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“服务”是指除货物和工程以外的其他政府采购对象。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2.采购项目预算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　本项目采购资金已列入政府采购预算，预算金额见磋商须知前附表。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落实政府采购政策需满足的资格要求：供应商为</w:t>
      </w:r>
      <w:r>
        <w:rPr>
          <w:rFonts w:hint="eastAsia" w:ascii="仿宋" w:hAnsi="仿宋" w:eastAsia="仿宋" w:cs="仿宋"/>
          <w:color w:val="000000" w:themeColor="text1"/>
          <w:sz w:val="28"/>
          <w:szCs w:val="28"/>
          <w:highlight w:val="none"/>
          <w:lang w:eastAsia="zh-CN"/>
          <w14:textFill>
            <w14:solidFill>
              <w14:schemeClr w14:val="tx1"/>
            </w14:solidFill>
          </w14:textFill>
        </w:rPr>
        <w:t>中小</w:t>
      </w:r>
      <w:r>
        <w:rPr>
          <w:rFonts w:hint="eastAsia" w:ascii="仿宋" w:hAnsi="仿宋" w:eastAsia="仿宋" w:cs="仿宋"/>
          <w:color w:val="000000" w:themeColor="text1"/>
          <w:sz w:val="28"/>
          <w:szCs w:val="28"/>
          <w:highlight w:val="none"/>
          <w14:textFill>
            <w14:solidFill>
              <w14:schemeClr w14:val="tx1"/>
            </w14:solidFill>
          </w14:textFill>
        </w:rPr>
        <w:t>企业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本项目的特定资格要求：</w:t>
      </w:r>
    </w:p>
    <w:p>
      <w:pPr>
        <w:bidi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1、符合《中华人民共和国政府采购法》第二十二条的规定，在中华人民共和国境内注册的合法运营企业；</w:t>
      </w:r>
    </w:p>
    <w:p>
      <w:pPr>
        <w:bidi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2、有效的工商营业执照</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特种设备安装资质要求：</w:t>
      </w:r>
      <w:r>
        <w:rPr>
          <w:rFonts w:hint="eastAsia" w:ascii="仿宋" w:hAnsi="仿宋" w:eastAsia="仿宋" w:cs="仿宋"/>
          <w:color w:val="000000" w:themeColor="text1"/>
          <w:sz w:val="28"/>
          <w:szCs w:val="28"/>
          <w:highlight w:val="none"/>
          <w14:textFill>
            <w14:solidFill>
              <w14:schemeClr w14:val="tx1"/>
            </w14:solidFill>
          </w14:textFill>
        </w:rPr>
        <w:t>具有有效的《中华人民共和国特种设备生产许可证》(锅炉安装、修理、改造) B级及以上资质；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在人员、设备、资金等方面具备相应的履约能力，没有处于被责令停业、投标资格被取消或暂停、财产被接管、冻结、破产状态</w:t>
      </w:r>
      <w:r>
        <w:rPr>
          <w:rFonts w:hint="eastAsia" w:ascii="仿宋" w:hAnsi="仿宋" w:eastAsia="仿宋" w:cs="仿宋"/>
          <w:color w:val="000000" w:themeColor="text1"/>
          <w:sz w:val="28"/>
          <w:szCs w:val="28"/>
          <w:highlight w:val="none"/>
          <w:lang w:eastAsia="zh-CN"/>
          <w14:textFill>
            <w14:solidFill>
              <w14:schemeClr w14:val="tx1"/>
            </w14:solidFill>
          </w14:textFill>
        </w:rPr>
        <w:t>（提供承诺函，格式自拟）</w:t>
      </w:r>
      <w:r>
        <w:rPr>
          <w:rFonts w:hint="eastAsia" w:ascii="仿宋" w:hAnsi="仿宋" w:eastAsia="仿宋" w:cs="仿宋"/>
          <w:color w:val="000000" w:themeColor="text1"/>
          <w:sz w:val="28"/>
          <w:szCs w:val="28"/>
          <w:highlight w:val="none"/>
          <w14:textFill>
            <w14:solidFill>
              <w14:schemeClr w14:val="tx1"/>
            </w14:solidFill>
          </w14:textFill>
        </w:rPr>
        <w:t>；</w:t>
      </w:r>
    </w:p>
    <w:p>
      <w:pPr>
        <w:pStyle w:val="6"/>
        <w:ind w:left="0" w:leftChars="0" w:firstLine="0" w:firstLineChars="0"/>
        <w:rPr>
          <w:rFonts w:hint="eastAsia" w:ascii="宋体" w:hAnsi="宋体" w:eastAsia="仿宋" w:cs="宋体"/>
          <w:color w:val="000000"/>
          <w:sz w:val="28"/>
          <w:szCs w:val="28"/>
          <w:highlight w:val="none"/>
          <w:lang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本项目不允许联合体投标</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供应商存在下列情形之一的不得参加竞争性磋商：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4.参与磋商的费用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无论磋商的结果如何，供应商应自行承担所有与竞争性磋商采购活动有关的全部费用。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5.授权委托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6.项目现场勘察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本项目是否组织现场勘察见磋商须知前附表。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勘察现场的费用由供应商自己承担，勘察期间所发生的人身伤害及财产损失由供应商自己负责。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采购人不对供应商据此而做出的推论、理解和结论负责。一旦成交，供应商不得以任何借口，提出额外补偿，或延长合同期限的要求。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二、磋商文件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7.磋商文件的组成</w:t>
      </w:r>
    </w:p>
    <w:p>
      <w:pPr>
        <w:bidi w:val="0"/>
        <w:rPr>
          <w:rFonts w:hint="eastAsia"/>
        </w:rPr>
      </w:pPr>
      <w:r>
        <w:rPr>
          <w:rFonts w:hint="eastAsia" w:ascii="仿宋" w:hAnsi="仿宋" w:eastAsia="仿宋" w:cs="仿宋"/>
          <w:color w:val="000000" w:themeColor="text1"/>
          <w:sz w:val="28"/>
          <w:szCs w:val="28"/>
          <w:highlight w:val="none"/>
          <w14:textFill>
            <w14:solidFill>
              <w14:schemeClr w14:val="tx1"/>
            </w14:solidFill>
          </w14:textFill>
        </w:rPr>
        <w:t>7.1　磋商文件由下列文件组成：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 xml:space="preserve">章　磋商须知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第一部分 磋商须知正文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第二部分</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评审方法及标准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章　合同条款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 xml:space="preserve">章　响应文件组成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 xml:space="preserve">章　项目需求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7.2　磋商须知前附表规定的提交首次响应文件截止时间前，对磋商文件进行澄清或者修改的内容，为磋商文件的组成部分。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8.磋商文件的澄清或者修改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10.一般要求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10.3　除技术要求另有规定外，本文件所要求使用的计量单位均采用国家法定的度、量、衡标准单位计量。未列明时亦默认为我国法定计量单位。</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10.4　供应商应按磋商文件中提供的响应文件格式填写。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10.5　磋商响应文件应采用书面形式，磋商文件中要求提供电子版的，必须按要求提供。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11.响应文件的组成(采购人可根据实际情况对以下项目标注★)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11.1　响应文件应包括但不限于下列内容：</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附件七、公司简介（后附营业执照及场地租赁合同复印件或自有房产证明复印件（事业单位法人证书）、税务登记证、组织机构代码证、相应的资质、保证金交纳情况等企业相关资料）（附件七）；</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）（附件</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240" w:lineRule="auto"/>
        <w:ind w:left="0" w:leftChars="0"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十、项目负责人及团队各项保障体系人员（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十二、近三年经过审计的财务审计报告（新成立不足一年的企业需提供自成立之日起至今公司财务主报表并加盖公章）</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十三、</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关于技术部分：（</w:t>
      </w:r>
      <w:r>
        <w:rPr>
          <w:rFonts w:hint="eastAsia" w:ascii="仿宋" w:hAnsi="仿宋" w:eastAsia="仿宋" w:cs="仿宋"/>
          <w:color w:val="000000" w:themeColor="text1"/>
          <w:sz w:val="28"/>
          <w:szCs w:val="28"/>
          <w:lang w:val="en-US" w:eastAsia="zh-CN"/>
          <w14:textFill>
            <w14:solidFill>
              <w14:schemeClr w14:val="tx1"/>
            </w14:solidFill>
          </w14:textFill>
        </w:rPr>
        <w:t>维修、改造、调试及试运行方案及保证措施</w:t>
      </w:r>
      <w:r>
        <w:rPr>
          <w:rFonts w:hint="eastAsia" w:ascii="仿宋" w:hAnsi="仿宋" w:eastAsia="仿宋" w:cs="仿宋"/>
          <w:color w:val="000000" w:themeColor="text1"/>
          <w:sz w:val="28"/>
          <w:szCs w:val="28"/>
          <w:highlight w:val="none"/>
          <w:lang w:val="en-US" w:eastAsia="zh-CN"/>
          <w14:textFill>
            <w14:solidFill>
              <w14:schemeClr w14:val="tx1"/>
            </w14:solidFill>
          </w14:textFill>
        </w:rPr>
        <w:t>、供货及施工进度计划及保证措施、售后保障、</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质量安全文明施工保证措施、安全、环保管理体系与措施、标函质量</w:t>
      </w:r>
      <w:r>
        <w:rPr>
          <w:rFonts w:hint="eastAsia" w:ascii="仿宋" w:hAnsi="仿宋" w:eastAsia="仿宋" w:cs="仿宋"/>
          <w:color w:val="000000" w:themeColor="text1"/>
          <w:sz w:val="28"/>
          <w:szCs w:val="28"/>
          <w:highlight w:val="none"/>
          <w:lang w:val="en-US" w:eastAsia="zh-CN"/>
          <w14:textFill>
            <w14:solidFill>
              <w14:schemeClr w14:val="tx1"/>
            </w14:solidFill>
          </w14:textFill>
        </w:rPr>
        <w:t>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十四、体现企业施工能力、管理水平、技术力量、机械设备配备的相关证明材料</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十五、货物技术性能参数的详细描述及执行的制造、检验、验收标准</w:t>
      </w:r>
    </w:p>
    <w:p>
      <w:pPr>
        <w:pStyle w:val="2"/>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十六、货物说明一览表（附件十三）</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十七、货物规格、技术参数偏离表（附件十四）</w:t>
      </w:r>
    </w:p>
    <w:p>
      <w:pPr>
        <w:pStyle w:val="2"/>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十八、维保售后服务方案及承诺</w:t>
      </w:r>
    </w:p>
    <w:p>
      <w:pPr>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十九、产品符合技术监督、安全、环保等有关要求的说明</w:t>
      </w:r>
    </w:p>
    <w:p>
      <w:pPr>
        <w:keepNext w:val="0"/>
        <w:keepLines w:val="0"/>
        <w:pageBreakBefore w:val="0"/>
        <w:numPr>
          <w:ilvl w:val="0"/>
          <w:numId w:val="0"/>
        </w:numPr>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服务需求偏离表（附件十五）</w:t>
      </w:r>
    </w:p>
    <w:p>
      <w:pPr>
        <w:keepNext w:val="0"/>
        <w:keepLines w:val="0"/>
        <w:pageBreakBefore w:val="0"/>
        <w:numPr>
          <w:ilvl w:val="0"/>
          <w:numId w:val="0"/>
        </w:numPr>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二十一、</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其他资料（投标人认为有必要提供的有利于自身的其它材料）（附件十六）</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二十二、</w:t>
      </w:r>
      <w:r>
        <w:rPr>
          <w:rFonts w:hint="eastAsia" w:ascii="仿宋" w:hAnsi="仿宋" w:eastAsia="仿宋" w:cs="仿宋"/>
          <w:color w:val="000000" w:themeColor="text1"/>
          <w:sz w:val="28"/>
          <w:szCs w:val="28"/>
          <w:highlight w:val="none"/>
          <w:lang w:eastAsia="zh-CN"/>
          <w14:textFill>
            <w14:solidFill>
              <w14:schemeClr w14:val="tx1"/>
            </w14:solidFill>
          </w14:textFill>
        </w:rPr>
        <w:t>中小企业证明文件等（附件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十七</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1"/>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二十三、不参与围标串标承诺书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1"/>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二十四、提供企业基本账户开户许可证，企业投标保证金截图（附件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1"/>
        <w:keepNext w:val="0"/>
        <w:keepLines w:val="0"/>
        <w:pageBreakBefore w:val="0"/>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二十五：提供2023年1-5月社保缴费证明（附件二十）</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11.3　磋商文件规定可能发生实质性变动的，供应商应当在《技术/商务响应与偏离表》中的对应内容处注明。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11.4　供应商无论成交与否，其响应文件不予退还。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12.1　供应商应按磋商文件规定的服务要求、责任范围和合同条件，以人民币进行报价。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12.3　供应商的最终报价不得超过采购项目预算。本次采购项目的预算见磋商须知前附表。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13.1　本项目是否交纳磋商保证金要求见磋商须知前附表。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13.4　有下列情形之一的，保证金不予退还：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(1)供应商在磋商须知前附表规定的提交首次响应文件截止时间后撤回响应文件的；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(2)供应商在响应文件中提供虚假材料的；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(3)除因不可抗力或磋商文件认可的情形以外，成交供应商不与采购人签订合同的；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(4)供应商与采购人、其他供应商或者采购代理机构恶意串通的；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(5)磋商文件规定的其他情形。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14.磋商响应有效期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15.响应文件的签署及规定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15.2　供应商应通过政采云投标客户端编制响应文件，将编制完成的电子响应文件，在投标截止时间前上传至新疆政府采购网政采云平台http://www.ccgp-xinjiang.gov.cn/相应位置；若未按规定的方式编制和提交响应文件的，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16.响应文件的密封和标记</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.2是否采用不见面开标方式详见投标供应商须知前附表，若本项目采用不见面开标，无需提供电子响应文件U盘</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但中标人须提供</w:t>
      </w:r>
      <w:r>
        <w:rPr>
          <w:rFonts w:hint="eastAsia" w:ascii="仿宋" w:hAnsi="仿宋" w:eastAsia="仿宋" w:cs="仿宋"/>
          <w:color w:val="000000" w:themeColor="text1"/>
          <w:sz w:val="28"/>
          <w:szCs w:val="28"/>
          <w:highlight w:val="none"/>
          <w14:textFill>
            <w14:solidFill>
              <w14:schemeClr w14:val="tx1"/>
            </w14:solidFill>
          </w14:textFill>
        </w:rPr>
        <w:t>纸质响应文件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1正2幅）</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未中标人无需提供纸质资料</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17.响应文件的递交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.2是否采用不见面开标详见投标供应商须知前附表。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迟交的响应文件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．采用不见面开标方式</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18.响应文件的补充、修改或者撤回</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18.2　补充、修改的内容与响应文件不一致时，以补充、修改的内容为准。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四、磋商与评审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19.磋商小组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19.1　磋商与评审由依法组建的磋商小组负责。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20.初步审查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(1)供应商未按照磋商文件规定提交磋商保证金的；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(2)未按照磋商文件规定要求密封、签署、盖章的；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(3)响应有效期不足的；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(4)供应商的报价超出采购预算价的；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(5)服务期限不满足磋商文件要求的；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(6)供应商不满足磋商文件供应商资格条件或未按照磋商文件规定提供资格证明材料的；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(8)响应文件附有招标人不能接受的条款；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(10)其他不符合法律、规章、规范性文件和磋商文件规定的。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(11)只允许有一个报价，不接受可变动性报价、赠送及“零”报价。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(12)供应商报价没有明显低于成本，若有时，供应商能在规定时间内作出合理说明或提供相关证明材料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21.澄清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22.6　磋商小组应当根据实际情况与供应商进行磋商，磋商轮次原则上为两轮，具体由磋商小组视情况决定。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23.最后报价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23.2　最后报价是供应商响应文件的有效组成部分。如磋商小组没有对磋商文件作实质性变动或增加新的需求，最后报价不得高于首轮报价。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24.最后报价评审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24.1　最后报价计算错误修正的原则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(1)最后报价的大写金额和小写金额不一致的，以大写金额为准。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(2)总价金额与按分项报价汇总金额不一致的，以分项报价金额计算结果为准。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(3)分项报价金额小数点有明显错位的，应以总价为准，并修改分项报价。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(4)如果供应商不接受对其错误的更正，其最后报价将被视为无效报价或确定为无效响应。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价格评分＝(评审基准价/评审价)×价格分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25.综合评审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25.2　评审办法及标准见第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25.3　评审时，磋商小组成员应当独立对每个有效响应的文件进行评价、打分，然后汇总每个供应商每项评分因素的得分。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26.提出成交供应商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26.1　磋商小组应当按照综合评分由高到低的顺序提出3名</w:t>
      </w:r>
      <w:r>
        <w:rPr>
          <w:rFonts w:hint="eastAsia" w:ascii="仿宋" w:hAnsi="仿宋" w:eastAsia="仿宋" w:cs="仿宋"/>
          <w:color w:val="000000" w:themeColor="text1"/>
          <w:sz w:val="28"/>
          <w:szCs w:val="28"/>
          <w:highlight w:val="none"/>
          <w:lang w:val="en-US"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以上成交候选供应商，并编写评审报告。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26.2　评审得分相同的，按照最后报价由低到高的顺序推荐。评审得分且最后报价相同的，按照技术指标优劣顺序推荐。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27.1　采购代理机构应当在评审结束之日起2个工作日内将评审报告送采购人确认。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27.3　采购人自行组织磋商的，应当在评审结束之日起5个工作日内确定成交供应商。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28.磋商终止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(1)因情况变化，不再符合规定的竞争性磋商采购方式适用情形的；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(4)因重大变故，采购任务取消的。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30.保密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30.1　磋商小组成员以及与评审工作有关的人员不得泄露评审情况以及评审过程中获悉的国家秘密、商业秘密。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31.禁止行为</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五、成交结果信息公布与签订合同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32.成交信息的公布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磋商文件随成交结果同时公告。但成交结果公告前磋商文件已公告的，不再重复公告。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32.3　采用书面推荐供应商参加采购活动的，在公告结果同时公告采购人和评审专家的推荐意见。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33.成交通知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34.履约保证金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34.2　成交供应商没有按照磋商须知前附表的规定提交履约保证金的，视为放弃成交资格，其磋商保证金不予退还。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35.1　磋商文件、成交供应商的响应文件及补充文件等均为签订政府采购合同的依据。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35.2　成交供应商应当在成交通知书发出之日起30日内与采购人签订政府采购合同。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36.采购代理服务费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36.1　成交供应商是否交纳采购代理服务费及相关要求见磋商须知前附表。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37.询问、质疑、投诉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38.成交供应商有下列情形之一的，将被列入不良行为记录名单，在1～3年内禁止参加政府采购活动，并予以通报：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(1)成交后无正当理由不与采购人签订合同的；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(2)未按照采购文件确定的事项签订政府采购合同，或者与采购人另行订立背离合同实质性内容的协议的；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(3)拒绝履行合同义务的；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(4)《政府采购法》第七十七条和《政府采购法实施条例》第七十二条规定的其他情形；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(5)其他违反法律法规相关规定的情形。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39.1　磋商文件的其他规定见磋商须知前附表。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40.未尽事宜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40.1　其他未尽事宜按政府采购法律法规的规定执行。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41.文件解释权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41.1　本磋商文件的解释权归</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r>
        <w:rPr>
          <w:rFonts w:hint="eastAsia" w:ascii="仿宋" w:hAnsi="仿宋" w:eastAsia="仿宋" w:cs="仿宋"/>
          <w:color w:val="000000" w:themeColor="text1"/>
          <w:sz w:val="28"/>
          <w:szCs w:val="28"/>
          <w:highlight w:val="none"/>
          <w14:textFill>
            <w14:solidFill>
              <w14:schemeClr w14:val="tx1"/>
            </w14:solidFill>
          </w14:textFill>
        </w:rPr>
        <w:t>所有。</w:t>
      </w:r>
    </w:p>
    <w:p>
      <w:pPr>
        <w:pStyle w:val="8"/>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bookmarkStart w:id="2" w:name="_Toc27010"/>
      <w:bookmarkStart w:id="3" w:name="_Toc20214"/>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二部分</w:t>
      </w:r>
      <w:r>
        <w:rPr>
          <w:rFonts w:hint="eastAsia" w:ascii="仿宋" w:hAnsi="仿宋" w:eastAsia="仿宋" w:cs="仿宋"/>
          <w:color w:val="000000" w:themeColor="text1"/>
          <w:sz w:val="32"/>
          <w:szCs w:val="32"/>
          <w:highlight w:val="none"/>
          <w14:textFill>
            <w14:solidFill>
              <w14:schemeClr w14:val="tx1"/>
            </w14:solidFill>
          </w14:textFill>
        </w:rPr>
        <w:t>　评审方法及标准</w:t>
      </w:r>
      <w:bookmarkEnd w:id="2"/>
      <w:bookmarkEnd w:id="3"/>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b/>
          <w:bCs/>
          <w:color w:val="000000" w:themeColor="text1"/>
          <w:sz w:val="28"/>
          <w:szCs w:val="28"/>
          <w:highlight w:val="none"/>
          <w14:textFill>
            <w14:solidFill>
              <w14:schemeClr w14:val="tx1"/>
            </w14:solidFill>
          </w14:textFill>
        </w:rPr>
        <w:t>审查表</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006"/>
        <w:gridCol w:w="526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20" w:type="dxa"/>
            <w:gridSpan w:val="2"/>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评审内容</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评审标准</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20" w:type="dxa"/>
            <w:gridSpan w:val="2"/>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采购政策</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供应商为</w:t>
            </w:r>
            <w:r>
              <w:rPr>
                <w:rFonts w:hint="eastAsia" w:ascii="仿宋" w:hAnsi="仿宋" w:eastAsia="仿宋" w:cs="仿宋"/>
                <w:color w:val="000000" w:themeColor="text1"/>
                <w:sz w:val="28"/>
                <w:szCs w:val="28"/>
                <w:highlight w:val="none"/>
                <w:lang w:eastAsia="zh-CN"/>
                <w14:textFill>
                  <w14:solidFill>
                    <w14:schemeClr w14:val="tx1"/>
                  </w14:solidFill>
                </w14:textFill>
              </w:rPr>
              <w:t>中小</w:t>
            </w:r>
            <w:r>
              <w:rPr>
                <w:rFonts w:hint="eastAsia" w:ascii="仿宋" w:hAnsi="仿宋" w:eastAsia="仿宋" w:cs="仿宋"/>
                <w:color w:val="000000" w:themeColor="text1"/>
                <w:sz w:val="28"/>
                <w:szCs w:val="28"/>
                <w:highlight w:val="none"/>
                <w14:textFill>
                  <w14:solidFill>
                    <w14:schemeClr w14:val="tx1"/>
                  </w14:solidFill>
                </w14:textFill>
              </w:rPr>
              <w:t>企业</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落实政府采购政策需满足的资格要求，上传对应的资格文件</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1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符合《中华人民共和国政府采购法》第二十二条的规定</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符合《中华人民共和国政府采购法》第二十二条的规定，在中华人民共和国境内注册的合法运营企业；</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14" w:type="dxa"/>
            <w:noWrap w:val="0"/>
            <w:vAlign w:val="center"/>
          </w:tcPr>
          <w:p>
            <w:pPr>
              <w:pStyle w:val="8"/>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有效的工商营业执照</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投标人须具备有效的工商营业执照</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14" w:type="dxa"/>
            <w:noWrap w:val="0"/>
            <w:vAlign w:val="center"/>
          </w:tcPr>
          <w:p>
            <w:pPr>
              <w:pStyle w:val="8"/>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法定代表人资格证明书</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具有法定代表人资格证明书</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614" w:type="dxa"/>
            <w:noWrap w:val="0"/>
            <w:vAlign w:val="center"/>
          </w:tcPr>
          <w:p>
            <w:pPr>
              <w:pStyle w:val="8"/>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资质要求</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具有有效的《中华人民共和国特种设备生产许可证》(锅炉安装、修理、改造) B级及以上资质；</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4" w:type="dxa"/>
            <w:noWrap w:val="0"/>
            <w:vAlign w:val="center"/>
          </w:tcPr>
          <w:p>
            <w:pPr>
              <w:pStyle w:val="8"/>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本次招标不接受联合体投标；否则为不合格</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614" w:type="dxa"/>
            <w:noWrap w:val="0"/>
            <w:vAlign w:val="center"/>
          </w:tcPr>
          <w:p>
            <w:pPr>
              <w:pStyle w:val="8"/>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按招标文件要求提交投标保证金且投标保证金交纳主体与投标人名称一致；提供银行转账支票或银行电汇证明。采用基本账户银行保函形式提交投标保证金，应提供基本账户开户许可证、基本账户银行保函复印件投标保证金有效期与投标有效期一致；否则为不合格</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614" w:type="dxa"/>
            <w:noWrap w:val="0"/>
            <w:vAlign w:val="center"/>
          </w:tcPr>
          <w:p>
            <w:pPr>
              <w:pStyle w:val="8"/>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p>
        </w:tc>
        <w:tc>
          <w:tcPr>
            <w:tcW w:w="2006" w:type="dxa"/>
            <w:noWrap w:val="0"/>
            <w:vAlign w:val="center"/>
          </w:tcPr>
          <w:p>
            <w:pPr>
              <w:pStyle w:val="8"/>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承诺函</w:t>
            </w:r>
          </w:p>
        </w:tc>
        <w:tc>
          <w:tcPr>
            <w:tcW w:w="5265"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在人员、设备、资金等方面具备相应的履约能力，没有处于被责令停业、投标资格被取消或暂停、财产被接管、冻结、破产状态（提供承诺函，格式自拟）；</w:t>
            </w:r>
          </w:p>
        </w:tc>
        <w:tc>
          <w:tcPr>
            <w:tcW w:w="1134" w:type="dxa"/>
            <w:noWrap w:val="0"/>
            <w:vAlign w:val="center"/>
          </w:tcPr>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bl>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eastAsia="zh-CN"/>
          <w14:textFill>
            <w14:solidFill>
              <w14:schemeClr w14:val="tx1"/>
            </w14:solidFill>
          </w14:textFill>
        </w:rPr>
        <w:t>符合性</w:t>
      </w:r>
      <w:r>
        <w:rPr>
          <w:rFonts w:hint="eastAsia" w:ascii="仿宋" w:hAnsi="仿宋" w:eastAsia="仿宋" w:cs="仿宋"/>
          <w:b/>
          <w:bCs/>
          <w:color w:val="000000" w:themeColor="text1"/>
          <w:sz w:val="28"/>
          <w:szCs w:val="28"/>
          <w:highlight w:val="none"/>
          <w14:textFill>
            <w14:solidFill>
              <w14:schemeClr w14:val="tx1"/>
            </w14:solidFill>
          </w14:textFill>
        </w:rPr>
        <w:t>审查表</w:t>
      </w:r>
    </w:p>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p>
    <w:tbl>
      <w:tblPr>
        <w:tblStyle w:val="16"/>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665"/>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restart"/>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符合性</w:t>
            </w:r>
            <w:r>
              <w:rPr>
                <w:rFonts w:hint="eastAsia" w:ascii="仿宋" w:hAnsi="仿宋" w:eastAsia="仿宋" w:cs="仿宋"/>
                <w:b/>
                <w:bCs/>
                <w:color w:val="000000" w:themeColor="text1"/>
                <w:sz w:val="28"/>
                <w:szCs w:val="28"/>
                <w:highlight w:val="none"/>
                <w14:textFill>
                  <w14:solidFill>
                    <w14:schemeClr w14:val="tx1"/>
                  </w14:solidFill>
                </w14:textFill>
              </w:rPr>
              <w:t>审查</w:t>
            </w: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其他不符合法律、规章、规范性文件和磋商文件规定的</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只允许有一个报价，不接受可变动性报价、赠送及“零”报价</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8"/>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8"/>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供应商报价没有明显低于成本，若有时，供应商能在规定时间内作出合理说明或提供相关证明材料。</w:t>
            </w:r>
          </w:p>
        </w:tc>
      </w:tr>
    </w:tbl>
    <w:p>
      <w:pPr>
        <w:pStyle w:val="8"/>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初步</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pStyle w:val="8"/>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8"/>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、（评分标准）</w:t>
      </w:r>
    </w:p>
    <w:tbl>
      <w:tblPr>
        <w:tblStyle w:val="16"/>
        <w:tblpPr w:leftFromText="180" w:rightFromText="180" w:vertAnchor="text" w:horzAnchor="page" w:tblpX="1319" w:tblpY="544"/>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25"/>
        <w:gridCol w:w="755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2"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left"/>
              <w:rPr>
                <w:rFonts w:hint="eastAsia" w:ascii="仿宋" w:hAnsi="仿宋" w:eastAsia="仿宋" w:cs="仿宋"/>
                <w:color w:val="000000" w:themeColor="text1"/>
                <w:kern w:val="2"/>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highlight w:val="none"/>
                <w:lang w:eastAsia="zh-CN"/>
                <w14:textFill>
                  <w14:solidFill>
                    <w14:schemeClr w14:val="tx1"/>
                  </w14:solidFill>
                </w14:textFill>
              </w:rPr>
              <w:t>分值构成</w:t>
            </w:r>
          </w:p>
        </w:tc>
        <w:tc>
          <w:tcPr>
            <w:tcW w:w="9147" w:type="dxa"/>
            <w:gridSpan w:val="3"/>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eastAsia="zh-CN"/>
                <w14:textFill>
                  <w14:solidFill>
                    <w14:schemeClr w14:val="tx1"/>
                  </w14:solidFill>
                </w14:textFill>
              </w:rPr>
              <w:t>1、报价得分</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highlight w:val="none"/>
                <w:lang w:eastAsia="zh-CN"/>
                <w14:textFill>
                  <w14:solidFill>
                    <w14:schemeClr w14:val="tx1"/>
                  </w14:solidFill>
                </w14:textFill>
              </w:rPr>
              <w:t>0分；2、商务部分</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kern w:val="2"/>
                <w:sz w:val="28"/>
                <w:szCs w:val="28"/>
                <w:highlight w:val="none"/>
                <w:lang w:eastAsia="zh-CN"/>
                <w14:textFill>
                  <w14:solidFill>
                    <w14:schemeClr w14:val="tx1"/>
                  </w14:solidFill>
                </w14:textFill>
              </w:rPr>
              <w:t>分；3、技术部分</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2"/>
                <w:sz w:val="28"/>
                <w:szCs w:val="28"/>
                <w:highlight w:val="none"/>
                <w:lang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2"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项目</w:t>
            </w:r>
          </w:p>
        </w:tc>
        <w:tc>
          <w:tcPr>
            <w:tcW w:w="1025"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both"/>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分项名称</w:t>
            </w:r>
          </w:p>
        </w:tc>
        <w:tc>
          <w:tcPr>
            <w:tcW w:w="7559"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jc w:val="center"/>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评分标准</w:t>
            </w:r>
          </w:p>
        </w:tc>
        <w:tc>
          <w:tcPr>
            <w:tcW w:w="563"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center"/>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62"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价格部分（</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highlight w:val="none"/>
                <w14:textFill>
                  <w14:solidFill>
                    <w14:schemeClr w14:val="tx1"/>
                  </w14:solidFill>
                </w14:textFill>
              </w:rPr>
              <w:t>0分）</w:t>
            </w:r>
          </w:p>
        </w:tc>
        <w:tc>
          <w:tcPr>
            <w:tcW w:w="1025"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both"/>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投标报价</w:t>
            </w:r>
          </w:p>
        </w:tc>
        <w:tc>
          <w:tcPr>
            <w:tcW w:w="7559" w:type="dxa"/>
            <w:tcBorders>
              <w:top w:val="single" w:color="auto" w:sz="4" w:space="0"/>
              <w:left w:val="single" w:color="auto" w:sz="4" w:space="0"/>
              <w:bottom w:val="single" w:color="auto" w:sz="4" w:space="0"/>
              <w:right w:val="single" w:color="auto" w:sz="4" w:space="0"/>
            </w:tcBorders>
            <w:vAlign w:val="top"/>
          </w:tcPr>
          <w:p>
            <w:pPr>
              <w:adjustRightInd w:val="0"/>
              <w:snapToGrid w:val="0"/>
              <w:ind w:left="0" w:leftChars="0"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1.评标基准价：满足招标文件全部实质性要求且投标报价最低的投标报价为评标基准价，评标基准价为满分20。</w:t>
            </w:r>
          </w:p>
          <w:p>
            <w:pPr>
              <w:adjustRightInd w:val="0"/>
              <w:snapToGrid w:val="0"/>
              <w:ind w:left="0" w:leftChars="0"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2.其他合格投标人的投标报价得分按照下列公式计算：投标报价得分＝（评标基准价／投标报价）×20。得分保留至小数点后两位，第三位四舍五入。</w:t>
            </w:r>
          </w:p>
        </w:tc>
        <w:tc>
          <w:tcPr>
            <w:tcW w:w="563" w:type="dxa"/>
            <w:tcBorders>
              <w:top w:val="single" w:color="auto" w:sz="4" w:space="0"/>
              <w:left w:val="single" w:color="auto" w:sz="4" w:space="0"/>
              <w:bottom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center"/>
              <w:rPr>
                <w:rFonts w:hint="default"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862" w:type="dxa"/>
            <w:tcBorders>
              <w:left w:val="single" w:color="auto" w:sz="4" w:space="0"/>
              <w:right w:val="single" w:color="auto" w:sz="4" w:space="0"/>
            </w:tcBorders>
            <w:vAlign w:val="center"/>
          </w:tcPr>
          <w:p>
            <w:pPr>
              <w:pStyle w:val="13"/>
              <w:adjustRightInd w:val="0"/>
              <w:snapToGrid w:val="0"/>
              <w:spacing w:before="0" w:beforeAutospacing="0" w:after="0" w:afterAutospacing="0"/>
              <w:jc w:val="left"/>
              <w:rPr>
                <w:rFonts w:hint="default"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商务部分（30分）</w:t>
            </w:r>
          </w:p>
        </w:tc>
        <w:tc>
          <w:tcPr>
            <w:tcW w:w="1025" w:type="dxa"/>
            <w:tcBorders>
              <w:left w:val="single" w:color="auto" w:sz="4" w:space="0"/>
              <w:right w:val="single" w:color="auto" w:sz="4" w:space="0"/>
            </w:tcBorders>
            <w:vAlign w:val="center"/>
          </w:tcPr>
          <w:p>
            <w:pPr>
              <w:pStyle w:val="13"/>
              <w:adjustRightInd w:val="0"/>
              <w:snapToGrid w:val="0"/>
              <w:spacing w:before="0" w:after="0"/>
              <w:ind w:left="0" w:leftChars="0" w:firstLine="0" w:firstLineChars="0"/>
              <w:jc w:val="both"/>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供应商业绩</w:t>
            </w:r>
          </w:p>
          <w:p>
            <w:pPr>
              <w:pStyle w:val="13"/>
              <w:adjustRightInd w:val="0"/>
              <w:snapToGrid w:val="0"/>
              <w:spacing w:before="0" w:after="0"/>
              <w:ind w:left="0" w:leftChars="0" w:firstLine="0" w:firstLineChars="0"/>
              <w:jc w:val="both"/>
              <w:rPr>
                <w:rFonts w:hint="eastAsia" w:ascii="仿宋" w:hAnsi="仿宋" w:eastAsia="仿宋" w:cs="仿宋"/>
                <w:color w:val="000000" w:themeColor="text1"/>
                <w:kern w:val="2"/>
                <w:sz w:val="28"/>
                <w:szCs w:val="28"/>
                <w:highlight w:val="none"/>
                <w14:textFill>
                  <w14:solidFill>
                    <w14:schemeClr w14:val="tx1"/>
                  </w14:solidFill>
                </w14:textFill>
              </w:rPr>
            </w:pPr>
          </w:p>
        </w:tc>
        <w:tc>
          <w:tcPr>
            <w:tcW w:w="7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近三年（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2020年6月1日起-至今</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已完成类似项目业绩；业绩证明材料为：合同协议书及中标通知书等相关的证明材料；合同需提供合同首页、标的内容及金额所在页、服务合同签字盖章页等关键页即可，需加盖公章。未提供业绩证明材或内容模糊不清的，其业绩不予认定。提供类似项目业绩1个得3分，最高得30分。</w:t>
            </w:r>
          </w:p>
        </w:tc>
        <w:tc>
          <w:tcPr>
            <w:tcW w:w="563" w:type="dxa"/>
            <w:tcBorders>
              <w:left w:val="single" w:color="auto" w:sz="4" w:space="0"/>
              <w:right w:val="single" w:color="auto" w:sz="4" w:space="0"/>
            </w:tcBorders>
            <w:vAlign w:val="center"/>
          </w:tcPr>
          <w:p>
            <w:pPr>
              <w:pStyle w:val="13"/>
              <w:adjustRightInd w:val="0"/>
              <w:snapToGrid w:val="0"/>
              <w:spacing w:before="0" w:after="0"/>
              <w:ind w:left="0" w:leftChars="0" w:firstLine="0" w:firstLineChars="0"/>
              <w:jc w:val="center"/>
              <w:rPr>
                <w:rFonts w:hint="default"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tcBorders>
              <w:left w:val="single" w:color="auto" w:sz="4" w:space="0"/>
              <w:right w:val="single" w:color="auto" w:sz="4" w:space="0"/>
            </w:tcBorders>
            <w:vAlign w:val="center"/>
          </w:tcPr>
          <w:p>
            <w:pPr>
              <w:pStyle w:val="13"/>
              <w:adjustRightInd w:val="0"/>
              <w:snapToGrid w:val="0"/>
              <w:spacing w:before="0" w:beforeAutospacing="0" w:after="0" w:afterAutospacing="0"/>
              <w:ind w:left="0" w:leftChars="0" w:firstLine="0" w:firstLineChars="0"/>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技术部分（50分）</w:t>
            </w:r>
          </w:p>
        </w:tc>
        <w:tc>
          <w:tcPr>
            <w:tcW w:w="1025" w:type="dxa"/>
            <w:tcBorders>
              <w:left w:val="single" w:color="auto" w:sz="4" w:space="0"/>
              <w:right w:val="single" w:color="auto" w:sz="4" w:space="0"/>
            </w:tcBorders>
            <w:vAlign w:val="center"/>
          </w:tcPr>
          <w:p>
            <w:pPr>
              <w:pStyle w:val="13"/>
              <w:adjustRightInd w:val="0"/>
              <w:snapToGrid w:val="0"/>
              <w:spacing w:before="0" w:after="0"/>
              <w:ind w:left="0" w:leftChars="0" w:firstLine="0" w:firstLineChars="0"/>
              <w:jc w:val="both"/>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项目方案</w:t>
            </w:r>
          </w:p>
          <w:p>
            <w:pPr>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p>
          <w:p>
            <w:pPr>
              <w:adjustRightInd w:val="0"/>
              <w:snapToGrid w:val="0"/>
              <w:ind w:left="0" w:leftChars="0" w:firstLine="0" w:firstLineChars="0"/>
              <w:jc w:val="both"/>
              <w:rPr>
                <w:rFonts w:hint="eastAsia" w:ascii="仿宋" w:hAnsi="仿宋" w:eastAsia="仿宋" w:cs="仿宋"/>
                <w:color w:val="000000" w:themeColor="text1"/>
                <w:kern w:val="0"/>
                <w:sz w:val="28"/>
                <w:szCs w:val="28"/>
                <w:highlight w:val="none"/>
                <w14:textFill>
                  <w14:solidFill>
                    <w14:schemeClr w14:val="tx1"/>
                  </w14:solidFill>
                </w14:textFill>
              </w:rPr>
            </w:pPr>
          </w:p>
        </w:tc>
        <w:tc>
          <w:tcPr>
            <w:tcW w:w="7559" w:type="dxa"/>
            <w:tcBorders>
              <w:top w:val="single" w:color="auto" w:sz="4" w:space="0"/>
              <w:left w:val="single" w:color="auto" w:sz="4" w:space="0"/>
              <w:right w:val="single" w:color="auto" w:sz="4" w:space="0"/>
            </w:tcBorders>
          </w:tcPr>
          <w:p>
            <w:pPr>
              <w:adjustRightInd w:val="0"/>
              <w:snapToGrid w:val="0"/>
              <w:rPr>
                <w:rFonts w:hint="eastAsia" w:ascii="仿宋" w:hAnsi="仿宋" w:eastAsia="仿宋" w:cs="仿宋"/>
                <w:sz w:val="28"/>
                <w:szCs w:val="28"/>
              </w:rPr>
            </w:pPr>
            <w:r>
              <w:rPr>
                <w:rFonts w:hint="eastAsia" w:ascii="仿宋" w:hAnsi="仿宋" w:eastAsia="仿宋" w:cs="仿宋"/>
                <w:sz w:val="28"/>
                <w:szCs w:val="28"/>
                <w:lang w:val="en-US" w:eastAsia="zh-CN"/>
              </w:rPr>
              <w:t>一、维修、改造、调试及试运行方案及保证措施（10分）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锅炉房设备改造方案方案全面且优于本次招标要求，对于项目实施提出建议可以达到节能效果，安装、改造、调试方案明确、合理，有切实可行的保证措施，得8-10分；维修改造方案详实，设备、工艺改造符合现场实际且合理，科学有效，有安装、改造、调试方案，保证措施一般，得4-7分；维修改造方案详实，设备、工艺改造符合现场实际且合理，科学性一般，安装、改造、调试方案不全，保证措施不全，得1-3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二、供货及施工进度计划及保证措施</w:t>
            </w:r>
            <w:r>
              <w:rPr>
                <w:rFonts w:hint="eastAsia" w:ascii="仿宋" w:hAnsi="仿宋" w:eastAsia="仿宋" w:cs="仿宋"/>
                <w:sz w:val="28"/>
                <w:szCs w:val="28"/>
                <w:lang w:val="en-US" w:eastAsia="zh-CN"/>
              </w:rPr>
              <w:t>（8分）</w:t>
            </w:r>
          </w:p>
          <w:p>
            <w:pPr>
              <w:numPr>
                <w:ilvl w:val="0"/>
                <w:numId w:val="0"/>
              </w:numPr>
              <w:adjustRightInd w:val="0"/>
              <w:snapToGrid w:val="0"/>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货及施工进度计划合理，且优于招标要求，供货及施工保证措施详实、合理、可靠，得6-8分；供货及施工进度计划一般，且能满足招标要求，有供货及施工保证措施，得3-5分；有供货及施工进度计划，能满足招标要求，但供货及施工保证措施操作性不强，得1-2分。</w:t>
            </w:r>
          </w:p>
          <w:p>
            <w:pPr>
              <w:numPr>
                <w:ilvl w:val="0"/>
                <w:numId w:val="0"/>
              </w:numPr>
              <w:adjustRightInd w:val="0"/>
              <w:snapToGrid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三、售后保障（10分）</w:t>
            </w:r>
          </w:p>
          <w:p>
            <w:pPr>
              <w:keepNext w:val="0"/>
              <w:keepLines w:val="0"/>
              <w:pageBreakBefore w:val="0"/>
              <w:widowControl w:val="0"/>
              <w:numPr>
                <w:ilvl w:val="0"/>
                <w:numId w:val="0"/>
              </w:numPr>
              <w:kinsoku/>
              <w:wordWrap/>
              <w:overflowPunct/>
              <w:topLinePunct w:val="0"/>
              <w:bidi w:val="0"/>
              <w:adjustRightInd w:val="0"/>
              <w:snapToGrid w:val="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应有一定的的售后服务能力和技术支持，包括现场安装、维修、检查（须在投标文件中提供相关证明材料，包括房屋合同、车辆配置（购车或租车合同）、人员配置信息及电话、以及其他形式的证明所属关系的有效材料）。</w:t>
            </w:r>
          </w:p>
          <w:p>
            <w:pPr>
              <w:pStyle w:val="6"/>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1、在项目所在地有售后服务机构并具有专业服务团队及服务车辆，在2小时响应问题3小时到现场解决问题的，得10分；</w:t>
            </w:r>
          </w:p>
          <w:p>
            <w:pPr>
              <w:pStyle w:val="6"/>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2、在疆内有售后服务机构及现场技术服务人员的，在2小时响应问题，24小时到现场解决问题的，得6分；其他情况不得分。</w:t>
            </w:r>
          </w:p>
          <w:p>
            <w:pPr>
              <w:pStyle w:val="20"/>
              <w:keepNext w:val="0"/>
              <w:keepLines w:val="0"/>
              <w:pageBreakBefore w:val="0"/>
              <w:widowControl w:val="0"/>
              <w:numPr>
                <w:ilvl w:val="0"/>
                <w:numId w:val="0"/>
              </w:numPr>
              <w:kinsoku/>
              <w:wordWrap/>
              <w:overflowPunct/>
              <w:topLinePunct w:val="0"/>
              <w:bidi w:val="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四、</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质量安全文明施工保证措施（8分）</w:t>
            </w:r>
          </w:p>
          <w:p>
            <w:pPr>
              <w:adjustRightInd w:val="0"/>
              <w:snapToGrid w:val="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质量安全文明施工保证措施：主要针对是否有具体可行的质量、安全、文明</w:t>
            </w:r>
            <w:r>
              <w:rPr>
                <w:rFonts w:hint="eastAsia" w:ascii="仿宋" w:hAnsi="仿宋" w:eastAsia="仿宋" w:cs="仿宋"/>
                <w:bCs/>
                <w:color w:val="auto"/>
                <w:sz w:val="28"/>
                <w:szCs w:val="28"/>
                <w:lang w:eastAsia="zh-CN"/>
              </w:rPr>
              <w:t>施工</w:t>
            </w:r>
            <w:r>
              <w:rPr>
                <w:rFonts w:hint="eastAsia" w:ascii="仿宋" w:hAnsi="仿宋" w:eastAsia="仿宋" w:cs="仿宋"/>
                <w:bCs/>
                <w:color w:val="auto"/>
                <w:sz w:val="28"/>
                <w:szCs w:val="28"/>
              </w:rPr>
              <w:t>保证措施，具体的违约责任、管理机构及管理制度是否健全、质量检测能力与手段是否完善</w:t>
            </w:r>
            <w:r>
              <w:rPr>
                <w:rFonts w:hint="eastAsia" w:ascii="仿宋" w:hAnsi="仿宋" w:eastAsia="仿宋" w:cs="仿宋"/>
                <w:bCs/>
                <w:color w:val="auto"/>
                <w:sz w:val="28"/>
                <w:szCs w:val="28"/>
                <w:lang w:eastAsia="zh-CN"/>
              </w:rPr>
              <w:t>，满足得</w:t>
            </w:r>
            <w:r>
              <w:rPr>
                <w:rFonts w:hint="eastAsia" w:ascii="仿宋" w:hAnsi="仿宋" w:eastAsia="仿宋" w:cs="仿宋"/>
                <w:bCs/>
                <w:color w:val="auto"/>
                <w:sz w:val="28"/>
                <w:szCs w:val="28"/>
                <w:lang w:val="en-US" w:eastAsia="zh-CN"/>
              </w:rPr>
              <w:t>8分，不满足不得分。</w:t>
            </w:r>
          </w:p>
          <w:p>
            <w:pPr>
              <w:adjustRightInd w:val="0"/>
              <w:snapToGrid w:val="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五、安全、环保管理体系与措施（7分）</w:t>
            </w:r>
          </w:p>
          <w:p>
            <w:pPr>
              <w:rPr>
                <w:rFonts w:hint="eastAsia" w:ascii="仿宋" w:hAnsi="仿宋" w:eastAsia="仿宋" w:cs="仿宋"/>
                <w:bCs/>
                <w:sz w:val="28"/>
                <w:szCs w:val="28"/>
              </w:rPr>
            </w:pPr>
            <w:r>
              <w:rPr>
                <w:rFonts w:hint="eastAsia" w:ascii="仿宋" w:hAnsi="仿宋" w:eastAsia="仿宋" w:cs="仿宋"/>
                <w:bCs/>
                <w:sz w:val="28"/>
                <w:szCs w:val="28"/>
              </w:rPr>
              <w:t>1.安全、环保及职业健康保证体系健全，每项1分，最多3分；</w:t>
            </w:r>
          </w:p>
          <w:p>
            <w:pPr>
              <w:adjustRightInd w:val="0"/>
              <w:snapToGrid w:val="0"/>
              <w:rPr>
                <w:rFonts w:hint="eastAsia" w:ascii="仿宋" w:hAnsi="仿宋" w:eastAsia="仿宋" w:cs="仿宋"/>
                <w:spacing w:val="-10"/>
                <w:sz w:val="28"/>
                <w:szCs w:val="28"/>
              </w:rPr>
            </w:pPr>
            <w:r>
              <w:rPr>
                <w:rFonts w:hint="eastAsia" w:ascii="仿宋" w:hAnsi="仿宋" w:eastAsia="仿宋" w:cs="仿宋"/>
                <w:spacing w:val="-10"/>
                <w:sz w:val="28"/>
                <w:szCs w:val="28"/>
                <w:lang w:val="en-US" w:eastAsia="zh-CN"/>
              </w:rPr>
              <w:t>2</w:t>
            </w:r>
            <w:r>
              <w:rPr>
                <w:rFonts w:hint="eastAsia" w:ascii="仿宋" w:hAnsi="仿宋" w:eastAsia="仿宋" w:cs="仿宋"/>
                <w:spacing w:val="-10"/>
                <w:sz w:val="28"/>
                <w:szCs w:val="28"/>
              </w:rPr>
              <w:t>、现场作业能够提供至少</w:t>
            </w:r>
            <w:r>
              <w:rPr>
                <w:rFonts w:hint="eastAsia" w:ascii="仿宋" w:hAnsi="仿宋" w:eastAsia="仿宋" w:cs="仿宋"/>
                <w:spacing w:val="-10"/>
                <w:sz w:val="28"/>
                <w:szCs w:val="28"/>
                <w:lang w:val="en-US" w:eastAsia="zh-CN"/>
              </w:rPr>
              <w:t>2</w:t>
            </w:r>
            <w:r>
              <w:rPr>
                <w:rFonts w:hint="eastAsia" w:ascii="仿宋" w:hAnsi="仿宋" w:eastAsia="仿宋" w:cs="仿宋"/>
                <w:spacing w:val="-10"/>
                <w:sz w:val="28"/>
                <w:szCs w:val="28"/>
              </w:rPr>
              <w:t>名专职安全员的，</w:t>
            </w:r>
            <w:r>
              <w:rPr>
                <w:rFonts w:hint="eastAsia" w:ascii="仿宋" w:hAnsi="仿宋" w:eastAsia="仿宋" w:cs="仿宋"/>
                <w:spacing w:val="-10"/>
                <w:sz w:val="28"/>
                <w:szCs w:val="28"/>
                <w:lang w:eastAsia="zh-CN"/>
              </w:rPr>
              <w:t>每提供一名得</w:t>
            </w:r>
            <w:r>
              <w:rPr>
                <w:rFonts w:hint="eastAsia" w:ascii="仿宋" w:hAnsi="仿宋" w:eastAsia="仿宋" w:cs="仿宋"/>
                <w:spacing w:val="-10"/>
                <w:sz w:val="28"/>
                <w:szCs w:val="28"/>
                <w:lang w:val="en-US" w:eastAsia="zh-CN"/>
              </w:rPr>
              <w:t>2分，</w:t>
            </w:r>
            <w:r>
              <w:rPr>
                <w:rFonts w:hint="eastAsia" w:ascii="仿宋" w:hAnsi="仿宋" w:eastAsia="仿宋" w:cs="仿宋"/>
                <w:spacing w:val="-10"/>
                <w:sz w:val="28"/>
                <w:szCs w:val="28"/>
                <w:lang w:eastAsia="zh-CN"/>
              </w:rPr>
              <w:t>最高</w:t>
            </w:r>
            <w:r>
              <w:rPr>
                <w:rFonts w:hint="eastAsia" w:ascii="仿宋" w:hAnsi="仿宋" w:eastAsia="仿宋" w:cs="仿宋"/>
                <w:spacing w:val="-10"/>
                <w:sz w:val="28"/>
                <w:szCs w:val="28"/>
              </w:rPr>
              <w:t>得</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分；（附</w:t>
            </w:r>
            <w:r>
              <w:rPr>
                <w:rFonts w:hint="eastAsia" w:ascii="仿宋" w:hAnsi="仿宋" w:eastAsia="仿宋" w:cs="仿宋"/>
                <w:spacing w:val="-10"/>
                <w:sz w:val="28"/>
                <w:szCs w:val="28"/>
                <w:lang w:eastAsia="zh-CN"/>
              </w:rPr>
              <w:t>资格</w:t>
            </w:r>
            <w:r>
              <w:rPr>
                <w:rFonts w:hint="eastAsia" w:ascii="仿宋" w:hAnsi="仿宋" w:eastAsia="仿宋" w:cs="仿宋"/>
                <w:spacing w:val="-10"/>
                <w:sz w:val="28"/>
                <w:szCs w:val="28"/>
              </w:rPr>
              <w:t>证明材料及社保证明</w:t>
            </w:r>
            <w:r>
              <w:rPr>
                <w:rFonts w:hint="eastAsia" w:ascii="仿宋" w:hAnsi="仿宋" w:eastAsia="仿宋" w:cs="仿宋"/>
                <w:spacing w:val="-10"/>
                <w:sz w:val="28"/>
                <w:szCs w:val="28"/>
                <w:lang w:eastAsia="zh-CN"/>
              </w:rPr>
              <w:t>材料</w:t>
            </w:r>
            <w:r>
              <w:rPr>
                <w:rFonts w:hint="eastAsia" w:ascii="仿宋" w:hAnsi="仿宋" w:eastAsia="仿宋" w:cs="仿宋"/>
                <w:spacing w:val="-10"/>
                <w:sz w:val="28"/>
                <w:szCs w:val="28"/>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六、安全环保技术</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（5分）</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提供有机热载体满足安全、环保、节能等技术要求，锅炉烟气排放满足且优于所在地工业锅炉污染源排放标准，氮氧化物排放稳定≤30mg。锅炉排烟温度不得高于280℃。能提供环评检测报告，满足得5分，不满足不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七、</w:t>
            </w:r>
            <w:r>
              <w:rPr>
                <w:rFonts w:hint="eastAsia" w:ascii="仿宋" w:hAnsi="仿宋" w:eastAsia="仿宋" w:cs="仿宋"/>
                <w:sz w:val="28"/>
                <w:szCs w:val="28"/>
                <w:lang w:val="en-US" w:eastAsia="zh-CN"/>
              </w:rPr>
              <w:t>标函质量（2分）</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sz w:val="28"/>
                <w:szCs w:val="28"/>
                <w:lang w:val="en-US" w:eastAsia="zh-CN"/>
              </w:rPr>
              <w:t>对投标人标书制作，进行综合性比较。编制内容完整、齐全、叙述严谨；标书无涂改、错页、漏页现象；履约措施具体、合理、可行得2分，标函编制内容不完整、叙述简单；标书有涂改、错页或漏页现象；履约措施不具体得1分。</w:t>
            </w:r>
          </w:p>
        </w:tc>
        <w:tc>
          <w:tcPr>
            <w:tcW w:w="563" w:type="dxa"/>
            <w:tcBorders>
              <w:top w:val="single" w:color="auto" w:sz="4" w:space="0"/>
              <w:left w:val="single" w:color="auto" w:sz="4" w:space="0"/>
              <w:right w:val="single" w:color="auto" w:sz="4" w:space="0"/>
            </w:tcBorders>
            <w:vAlign w:val="center"/>
          </w:tcPr>
          <w:p>
            <w:pPr>
              <w:ind w:left="0" w:leftChars="0" w:firstLine="0" w:firstLineChars="0"/>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50</w:t>
            </w:r>
          </w:p>
        </w:tc>
      </w:tr>
    </w:tbl>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kern w:val="44"/>
          <w:sz w:val="28"/>
          <w:szCs w:val="28"/>
          <w:highlight w:val="none"/>
          <w14:textFill>
            <w14:solidFill>
              <w14:schemeClr w14:val="tx1"/>
            </w14:solidFill>
          </w14:textFill>
        </w:rPr>
      </w:pPr>
      <w:bookmarkStart w:id="4" w:name="_Toc11858"/>
      <w:r>
        <w:rPr>
          <w:rFonts w:hint="eastAsia" w:ascii="仿宋" w:hAnsi="仿宋" w:eastAsia="仿宋" w:cs="仿宋"/>
          <w:color w:val="000000" w:themeColor="text1"/>
          <w:kern w:val="44"/>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5" w:name="_Toc14751"/>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章　合同条款</w:t>
      </w:r>
      <w:bookmarkEnd w:id="4"/>
      <w:bookmarkEnd w:id="5"/>
    </w:p>
    <w:p>
      <w:pPr>
        <w:bidi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6" w:name="OLE_LINK4"/>
      <w:r>
        <w:rPr>
          <w:rFonts w:hint="eastAsia" w:ascii="仿宋" w:hAnsi="仿宋" w:eastAsia="仿宋" w:cs="仿宋"/>
          <w:color w:val="000000" w:themeColor="text1"/>
          <w:sz w:val="28"/>
          <w:szCs w:val="28"/>
          <w:highlight w:val="none"/>
          <w14:textFill>
            <w14:solidFill>
              <w14:schemeClr w14:val="tx1"/>
            </w14:solidFill>
          </w14:textFill>
        </w:rPr>
        <w:t>（此合同仅供参考，具体以正式签订合同为准）</w:t>
      </w:r>
      <w:bookmarkEnd w:id="6"/>
    </w:p>
    <w:p>
      <w:pPr>
        <w:pStyle w:val="33"/>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7" w:name="_Toc23845"/>
      <w:bookmarkStart w:id="8" w:name="_Toc29788"/>
      <w:r>
        <w:rPr>
          <w:rFonts w:hint="eastAsia" w:ascii="仿宋" w:hAnsi="仿宋" w:eastAsia="仿宋" w:cs="仿宋"/>
          <w:color w:val="000000" w:themeColor="text1"/>
          <w:sz w:val="28"/>
          <w:szCs w:val="28"/>
          <w:highlight w:val="none"/>
          <w:lang w:eastAsia="zh-CN"/>
          <w14:textFill>
            <w14:solidFill>
              <w14:schemeClr w14:val="tx1"/>
            </w14:solidFill>
          </w14:textFill>
        </w:rPr>
        <w:t>合同名称：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33"/>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33"/>
        <w:tabs>
          <w:tab w:val="left" w:pos="2522"/>
          <w:tab w:val="left" w:pos="7761"/>
        </w:tabs>
        <w:spacing w:after="0" w:line="360" w:lineRule="auto"/>
        <w:ind w:firstLine="480"/>
        <w:jc w:val="righ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（以下称甲方）就</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进行采购</w:t>
      </w:r>
    </w:p>
    <w:p>
      <w:pPr>
        <w:pStyle w:val="33"/>
        <w:tabs>
          <w:tab w:val="left" w:pos="2533"/>
          <w:tab w:val="left" w:pos="5029"/>
          <w:tab w:val="left" w:pos="6661"/>
          <w:tab w:val="left" w:pos="862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）,接受了</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（以下称乙方）的投标， 依据《中华人民共和国合同法》及相关法律、法规，双方达成如下协议，并于20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 月 日签订了本协议书，合同总金额为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元（大写：人民币</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9" w:name="bookmark336"/>
      <w:r>
        <w:rPr>
          <w:rFonts w:hint="eastAsia" w:ascii="仿宋" w:hAnsi="仿宋" w:eastAsia="仿宋" w:cs="仿宋"/>
          <w:color w:val="000000" w:themeColor="text1"/>
          <w:sz w:val="28"/>
          <w:szCs w:val="28"/>
          <w:highlight w:val="none"/>
          <w:lang w:eastAsia="zh-CN"/>
          <w14:textFill>
            <w14:solidFill>
              <w14:schemeClr w14:val="tx1"/>
            </w14:solidFill>
          </w14:textFill>
        </w:rPr>
        <w:t>1</w:t>
      </w:r>
      <w:bookmarkEnd w:id="9"/>
      <w:r>
        <w:rPr>
          <w:rFonts w:hint="eastAsia" w:ascii="仿宋" w:hAnsi="仿宋" w:eastAsia="仿宋" w:cs="仿宋"/>
          <w:color w:val="000000" w:themeColor="text1"/>
          <w:sz w:val="28"/>
          <w:szCs w:val="28"/>
          <w:highlight w:val="none"/>
          <w:lang w:eastAsia="zh-CN"/>
          <w14:textFill>
            <w14:solidFill>
              <w14:schemeClr w14:val="tx1"/>
            </w14:solidFill>
          </w14:textFill>
        </w:rPr>
        <w:t>、本协议书的词语涵义与下述第2条所列的合同条款中的词语涵义相同。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0" w:name="bookmark337"/>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10"/>
      <w:r>
        <w:rPr>
          <w:rFonts w:hint="eastAsia" w:ascii="仿宋" w:hAnsi="仿宋" w:eastAsia="仿宋" w:cs="仿宋"/>
          <w:color w:val="000000" w:themeColor="text1"/>
          <w:sz w:val="28"/>
          <w:szCs w:val="28"/>
          <w:highlight w:val="none"/>
          <w:lang w:eastAsia="zh-CN"/>
          <w14:textFill>
            <w14:solidFill>
              <w14:schemeClr w14:val="tx1"/>
            </w14:solidFill>
          </w14:textFill>
        </w:rPr>
        <w:t>、本合同包括下列文件：本合同包括的“附件</w:t>
      </w:r>
      <w:r>
        <w:rPr>
          <w:rFonts w:hint="eastAsia" w:ascii="仿宋" w:hAnsi="仿宋" w:eastAsia="仿宋" w:cs="仿宋"/>
          <w:color w:val="000000" w:themeColor="text1"/>
          <w:sz w:val="28"/>
          <w:szCs w:val="28"/>
          <w:highlight w:val="none"/>
          <w:lang w:val="zh-CN" w:eastAsia="zh-CN" w:bidi="zh-CN"/>
          <w14:textFill>
            <w14:solidFill>
              <w14:schemeClr w14:val="tx1"/>
            </w14:solidFill>
          </w14:textFill>
        </w:rPr>
        <w:t>”和</w:t>
      </w:r>
      <w:r>
        <w:rPr>
          <w:rFonts w:hint="eastAsia" w:ascii="仿宋" w:hAnsi="仿宋" w:eastAsia="仿宋" w:cs="仿宋"/>
          <w:color w:val="000000" w:themeColor="text1"/>
          <w:sz w:val="28"/>
          <w:szCs w:val="28"/>
          <w:highlight w:val="none"/>
          <w:lang w:eastAsia="zh-CN"/>
          <w14:textFill>
            <w14:solidFill>
              <w14:schemeClr w14:val="tx1"/>
            </w14:solidFill>
          </w14:textFill>
        </w:rPr>
        <w:t>补充协议等，是本合同不可分割 的部分，与本合同具有同等法律效力。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组成本合同的文件及优先解释顺序如下：</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1" w:name="bookmark338"/>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1"/>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本合同协议书（包括补充协议）；</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2" w:name="bookmark339"/>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2"/>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招标文件技术需求书；</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3" w:name="bookmark340"/>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3"/>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4" w:name="bookmark341"/>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4"/>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经双方确认进入合同的其它文件。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5" w:name="bookmark342"/>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15"/>
      <w:r>
        <w:rPr>
          <w:rFonts w:hint="eastAsia" w:ascii="仿宋" w:hAnsi="仿宋" w:eastAsia="仿宋" w:cs="仿宋"/>
          <w:color w:val="000000" w:themeColor="text1"/>
          <w:sz w:val="28"/>
          <w:szCs w:val="28"/>
          <w:highlight w:val="none"/>
          <w:lang w:eastAsia="zh-CN"/>
          <w14:textFill>
            <w14:solidFill>
              <w14:schemeClr w14:val="tx1"/>
            </w14:solidFill>
          </w14:textFill>
        </w:rPr>
        <w:t>、上列文件汇集并代替了本协议书签订前双方为本合同签订的所有协议、会谈记录 以及相互承诺的一切文件。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6" w:name="bookmark343"/>
      <w:r>
        <w:rPr>
          <w:rFonts w:hint="eastAsia" w:ascii="仿宋" w:hAnsi="仿宋" w:eastAsia="仿宋" w:cs="仿宋"/>
          <w:color w:val="000000" w:themeColor="text1"/>
          <w:sz w:val="28"/>
          <w:szCs w:val="28"/>
          <w:highlight w:val="none"/>
          <w:lang w:eastAsia="zh-CN"/>
          <w14:textFill>
            <w14:solidFill>
              <w14:schemeClr w14:val="tx1"/>
            </w14:solidFill>
          </w14:textFill>
        </w:rPr>
        <w:t>4</w:t>
      </w:r>
      <w:bookmarkEnd w:id="1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本合同价为固定总价合同，合同执行期间，合同价格不因市场因素而调整，合同 价款分期支付。</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7" w:name="bookmark344"/>
      <w:r>
        <w:rPr>
          <w:rFonts w:hint="eastAsia" w:ascii="仿宋" w:hAnsi="仿宋" w:eastAsia="仿宋" w:cs="仿宋"/>
          <w:color w:val="000000" w:themeColor="text1"/>
          <w:sz w:val="28"/>
          <w:szCs w:val="28"/>
          <w:highlight w:val="none"/>
          <w:lang w:eastAsia="zh-CN"/>
          <w14:textFill>
            <w14:solidFill>
              <w14:schemeClr w14:val="tx1"/>
            </w14:solidFill>
          </w14:textFill>
        </w:rPr>
        <w:t>5</w:t>
      </w:r>
      <w:bookmarkEnd w:id="1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乙方保证按照合同规定全面完成合同内各项工作，并承担合同规定的乙方的全部 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 w:name="bookmark345"/>
      <w:r>
        <w:rPr>
          <w:rFonts w:hint="eastAsia" w:ascii="仿宋" w:hAnsi="仿宋" w:eastAsia="仿宋" w:cs="仿宋"/>
          <w:color w:val="000000" w:themeColor="text1"/>
          <w:sz w:val="28"/>
          <w:szCs w:val="28"/>
          <w:highlight w:val="none"/>
          <w:lang w:eastAsia="zh-CN"/>
          <w14:textFill>
            <w14:solidFill>
              <w14:schemeClr w14:val="tx1"/>
            </w14:solidFill>
          </w14:textFill>
        </w:rPr>
        <w:t>6</w:t>
      </w:r>
      <w:bookmarkEnd w:id="1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甲方保证按照合同规定付款并承担合同规定的甲方的全部义务和责任。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9" w:name="bookmark346"/>
      <w:r>
        <w:rPr>
          <w:rFonts w:hint="eastAsia" w:ascii="仿宋" w:hAnsi="仿宋" w:eastAsia="仿宋" w:cs="仿宋"/>
          <w:color w:val="000000" w:themeColor="text1"/>
          <w:sz w:val="28"/>
          <w:szCs w:val="28"/>
          <w:highlight w:val="none"/>
          <w:lang w:eastAsia="zh-CN"/>
          <w14:textFill>
            <w14:solidFill>
              <w14:schemeClr w14:val="tx1"/>
            </w14:solidFill>
          </w14:textFill>
        </w:rPr>
        <w:t>7</w:t>
      </w:r>
      <w:bookmarkEnd w:id="1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本协议书经双方法定代表人（或委托代理人）签名并分别盖本单位公章后生效。</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0" w:name="bookmark347"/>
      <w:r>
        <w:rPr>
          <w:rFonts w:hint="eastAsia" w:ascii="仿宋" w:hAnsi="仿宋" w:eastAsia="仿宋" w:cs="仿宋"/>
          <w:color w:val="000000" w:themeColor="text1"/>
          <w:sz w:val="28"/>
          <w:szCs w:val="28"/>
          <w:highlight w:val="none"/>
          <w:lang w:eastAsia="zh-CN"/>
          <w14:textFill>
            <w14:solidFill>
              <w14:schemeClr w14:val="tx1"/>
            </w14:solidFill>
          </w14:textFill>
        </w:rPr>
        <w:t>8</w:t>
      </w:r>
      <w:bookmarkEnd w:id="2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本合同签订后，如需对合同进行修改，可经双方协商一致并签订补充协议作为本合同附件来修改或补充合同内容。</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1" w:name="bookmark348"/>
      <w:r>
        <w:rPr>
          <w:rFonts w:hint="eastAsia" w:ascii="仿宋" w:hAnsi="仿宋" w:eastAsia="仿宋" w:cs="仿宋"/>
          <w:color w:val="000000" w:themeColor="text1"/>
          <w:sz w:val="28"/>
          <w:szCs w:val="28"/>
          <w:highlight w:val="none"/>
          <w:lang w:eastAsia="zh-CN"/>
          <w14:textFill>
            <w14:solidFill>
              <w14:schemeClr w14:val="tx1"/>
            </w14:solidFill>
          </w14:textFill>
        </w:rPr>
        <w:t>9</w:t>
      </w:r>
      <w:bookmarkEnd w:id="2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本合同一式捌份，甲乙双方各执肆份。</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10、本合同有效期至合同项下所有权利义务完成之日起结束。</w:t>
      </w:r>
    </w:p>
    <w:p>
      <w:pPr>
        <w:pStyle w:val="33"/>
        <w:tabs>
          <w:tab w:val="left" w:pos="4457"/>
          <w:tab w:val="left" w:pos="9105"/>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甲方名称: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（盖公章）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（盖公章）</w:t>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地</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址:</w:t>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电话：</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电</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话:</w:t>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传真：</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真:</w:t>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33"/>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章　响应文件组成</w:t>
      </w:r>
      <w:bookmarkEnd w:id="7"/>
      <w:bookmarkEnd w:id="8"/>
    </w:p>
    <w:p>
      <w:pPr>
        <w:pStyle w:val="22"/>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2" w:name="_Toc31752"/>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目录</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3" w:name="bookmark423"/>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2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 w:name="bookmark424"/>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24"/>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5" w:name="bookmark425"/>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2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6" w:name="bookmark426"/>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2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7" w:name="bookmark427"/>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2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8" w:name="bookmark428"/>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2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9" w:name="bookmark429"/>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2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bookmarkStart w:id="30" w:name="bookmark431"/>
      <w:r>
        <w:rPr>
          <w:rFonts w:hint="eastAsia" w:ascii="仿宋" w:hAnsi="仿宋" w:eastAsia="仿宋" w:cs="仿宋"/>
          <w:color w:val="000000" w:themeColor="text1"/>
          <w:sz w:val="28"/>
          <w:szCs w:val="28"/>
          <w:highlight w:val="none"/>
          <w:lang w:eastAsia="zh-CN"/>
          <w14:textFill>
            <w14:solidFill>
              <w14:schemeClr w14:val="tx1"/>
            </w14:solidFill>
          </w14:textFill>
        </w:rPr>
        <w:t>附件七、公司简介（后附营业执照及场地租赁合同复印件或自有房产证明复印件（事业单位法人证书）、税务登记证、组织机构代码证、相应的资质、保证金交纳情况等企业相关资料）（附件七）；</w:t>
      </w:r>
    </w:p>
    <w:bookmarkEnd w:id="30"/>
    <w:p>
      <w:pPr>
        <w:ind w:firstLine="480"/>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）（附件</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left="0" w:leftChars="0"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十、项目负责人及团队各项保障体系人员（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十二、近三年经过审计的财务审计报告（</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新成立不足一年的企业需提供自成立之日起至今公司财务主报表并加盖公章</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十三、</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关于技术部分：（维修、改造、调试及试运行方案及保证措施、供货及施工进度计划及保证措施、售后保障、</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质量安全文明施工保证措施、安全、环保管理体系与措施、标函质量</w:t>
      </w:r>
      <w:r>
        <w:rPr>
          <w:rFonts w:hint="eastAsia" w:ascii="仿宋" w:hAnsi="仿宋" w:eastAsia="仿宋" w:cs="仿宋"/>
          <w:color w:val="000000" w:themeColor="text1"/>
          <w:sz w:val="28"/>
          <w:szCs w:val="28"/>
          <w:highlight w:val="none"/>
          <w:lang w:val="en-US" w:eastAsia="zh-CN"/>
          <w14:textFill>
            <w14:solidFill>
              <w14:schemeClr w14:val="tx1"/>
            </w14:solidFill>
          </w14:textFill>
        </w:rPr>
        <w:t>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十四、体现企业施工能力、管理水平、技术力量、机械设备配备的相关证明材料</w:t>
      </w:r>
    </w:p>
    <w:p>
      <w:pPr>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十五、货物技术性能参数的详细描述及执行的制造、检验、验收标准</w:t>
      </w:r>
    </w:p>
    <w:p>
      <w:pPr>
        <w:pStyle w:val="2"/>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十六、货物说明一览表（附件十三）</w:t>
      </w:r>
    </w:p>
    <w:p>
      <w:pPr>
        <w:ind w:firstLine="56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十七、货物规格、技术参数偏离表（附件十四）</w:t>
      </w:r>
    </w:p>
    <w:p>
      <w:pPr>
        <w:pStyle w:val="2"/>
        <w:ind w:firstLine="56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十八、维保售后服务方案及承诺</w:t>
      </w:r>
    </w:p>
    <w:p>
      <w:pPr>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十九、产品符合技术监督、安全、环保等有关要求的说明</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服务需求偏离表（附件十五）</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二十一、</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其他资料（投标人认为有必要提供的有利于自身的其它材料）（附件十六）</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widowControl/>
        <w:spacing w:line="24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二十二、</w:t>
      </w:r>
      <w:r>
        <w:rPr>
          <w:rFonts w:hint="eastAsia" w:ascii="仿宋" w:hAnsi="仿宋" w:eastAsia="仿宋" w:cs="仿宋"/>
          <w:color w:val="000000" w:themeColor="text1"/>
          <w:sz w:val="28"/>
          <w:szCs w:val="28"/>
          <w:highlight w:val="none"/>
          <w:lang w:eastAsia="zh-CN"/>
          <w14:textFill>
            <w14:solidFill>
              <w14:schemeClr w14:val="tx1"/>
            </w14:solidFill>
          </w14:textFill>
        </w:rPr>
        <w:t>中小企业证明文件等（附件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十七</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二十三、不参与围标串标承诺书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二十四、提供企业基本账户开户许可证，企业投标保证金截图（附件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4"/>
        <w:spacing w:line="500" w:lineRule="exact"/>
        <w:ind w:firstLine="280" w:firstLineChars="100"/>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二十五：提供</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2023年1-5月社保缴费证明（附件二十）</w:t>
      </w:r>
    </w:p>
    <w:p>
      <w:pPr>
        <w:pStyle w:val="21"/>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22"/>
        <w:spacing w:after="0"/>
        <w:ind w:left="0" w:firstLine="48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附件一</w:t>
      </w:r>
    </w:p>
    <w:p>
      <w:pPr>
        <w:pStyle w:val="22"/>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投标函</w:t>
      </w:r>
    </w:p>
    <w:p>
      <w:pPr>
        <w:pStyle w:val="33"/>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致：</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3"/>
        <w:tabs>
          <w:tab w:val="left" w:pos="864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（委托代理人）</w:t>
      </w:r>
      <w:r>
        <w:rPr>
          <w:rFonts w:hint="eastAsia" w:ascii="仿宋" w:hAnsi="仿宋" w:eastAsia="仿宋" w:cs="仿宋"/>
          <w:color w:val="000000" w:themeColor="text1"/>
          <w:sz w:val="28"/>
          <w:szCs w:val="28"/>
          <w:highlight w:val="none"/>
          <w:lang w:eastAsia="zh-CN"/>
          <w14:textFill>
            <w14:solidFill>
              <w14:schemeClr w14:val="tx1"/>
            </w14:solidFill>
          </w14:textFill>
        </w:rPr>
        <w:t>代表我公司签署投标文件,郑重声明以下诸点，并负法律责任。</w:t>
      </w:r>
    </w:p>
    <w:p>
      <w:pPr>
        <w:pStyle w:val="33"/>
        <w:tabs>
          <w:tab w:val="left" w:pos="146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1" w:name="bookmark432"/>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3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val="en-US" w:eastAsia="zh-CN"/>
          <w14:textFill>
            <w14:solidFill>
              <w14:schemeClr w14:val="tx1"/>
            </w14:solidFill>
          </w14:textFill>
        </w:rPr>
        <w:t>我方承诺若我方</w:t>
      </w:r>
      <w:r>
        <w:rPr>
          <w:rFonts w:hint="eastAsia" w:ascii="仿宋" w:hAnsi="仿宋" w:eastAsia="仿宋" w:cs="仿宋"/>
          <w:color w:val="000000" w:themeColor="text1"/>
          <w:sz w:val="28"/>
          <w:szCs w:val="28"/>
          <w:highlight w:val="none"/>
          <w:lang w:eastAsia="zh-CN"/>
          <w14:textFill>
            <w14:solidFill>
              <w14:schemeClr w14:val="tx1"/>
            </w14:solidFill>
          </w14:textFill>
        </w:rPr>
        <w:t>中标在领取中标通知书前须向招标代理公司递交纸质版投标文件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份（一正</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副）（包括电子版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3"/>
        <w:tabs>
          <w:tab w:val="left" w:pos="1490"/>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2" w:name="bookmark433"/>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3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33"/>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3" w:name="bookmark434"/>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3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我方理解，最低报价不是中标的唯一条件，你们有选择投标人的权利；</w:t>
      </w:r>
    </w:p>
    <w:p>
      <w:pPr>
        <w:pStyle w:val="33"/>
        <w:tabs>
          <w:tab w:val="left" w:pos="1512"/>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4" w:name="bookmark435"/>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34"/>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我方愿按《中华人民共和国合同法》及其他有关法律、法规的规定，自觉履行自己的全部责任；</w:t>
      </w:r>
    </w:p>
    <w:p>
      <w:pPr>
        <w:pStyle w:val="33"/>
        <w:tabs>
          <w:tab w:val="left" w:pos="149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5" w:name="bookmark436"/>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3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我方同意按公开招标文件的规定交纳投标保证金、中标服务费，遵守贵方有关投标的各项规定；</w:t>
      </w:r>
    </w:p>
    <w:p>
      <w:pPr>
        <w:pStyle w:val="33"/>
        <w:tabs>
          <w:tab w:val="left" w:pos="1494"/>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6" w:name="bookmark437"/>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3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33"/>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7" w:name="bookmark438"/>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3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我方的投标文件有效期为9</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天。</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8" w:name="_Hlk6931445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pPr>
        <w:pStyle w:val="22"/>
        <w:spacing w:after="0"/>
        <w:ind w:left="0" w:firstLine="48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附件二</w:t>
      </w:r>
    </w:p>
    <w:p>
      <w:pPr>
        <w:pStyle w:val="2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开标</w:t>
      </w:r>
      <w:r>
        <w:rPr>
          <w:rFonts w:hint="eastAsia" w:ascii="仿宋" w:hAnsi="仿宋" w:eastAsia="仿宋" w:cs="仿宋"/>
          <w:b w:val="0"/>
          <w:bCs w:val="0"/>
          <w:color w:val="000000" w:themeColor="text1"/>
          <w:sz w:val="28"/>
          <w:szCs w:val="28"/>
          <w:highlight w:val="none"/>
          <w14:textFill>
            <w14:solidFill>
              <w14:schemeClr w14:val="tx1"/>
            </w14:solidFill>
          </w14:textFill>
        </w:rPr>
        <w:t>一览表</w:t>
      </w:r>
    </w:p>
    <w:tbl>
      <w:tblPr>
        <w:tblStyle w:val="16"/>
        <w:tblW w:w="9179" w:type="dxa"/>
        <w:jc w:val="center"/>
        <w:tblLayout w:type="fixed"/>
        <w:tblCellMar>
          <w:top w:w="0" w:type="dxa"/>
          <w:left w:w="10" w:type="dxa"/>
          <w:bottom w:w="0" w:type="dxa"/>
          <w:right w:w="10" w:type="dxa"/>
        </w:tblCellMar>
      </w:tblPr>
      <w:tblGrid>
        <w:gridCol w:w="1880"/>
        <w:gridCol w:w="2471"/>
        <w:gridCol w:w="1364"/>
        <w:gridCol w:w="3464"/>
      </w:tblGrid>
      <w:tr>
        <w:tblPrEx>
          <w:tblCellMar>
            <w:top w:w="0" w:type="dxa"/>
            <w:left w:w="10" w:type="dxa"/>
            <w:bottom w:w="0" w:type="dxa"/>
            <w:right w:w="10" w:type="dxa"/>
          </w:tblCellMar>
        </w:tblPrEx>
        <w:trPr>
          <w:trHeight w:val="873" w:hRule="exact"/>
          <w:jc w:val="center"/>
        </w:trPr>
        <w:tc>
          <w:tcPr>
            <w:tcW w:w="1880" w:type="dxa"/>
            <w:tcBorders>
              <w:top w:val="single" w:color="auto" w:sz="4" w:space="0"/>
              <w:left w:val="single" w:color="auto" w:sz="4" w:space="0"/>
            </w:tcBorders>
            <w:shd w:val="clear" w:color="auto" w:fill="FFFFFF"/>
            <w:vAlign w:val="center"/>
          </w:tcPr>
          <w:p>
            <w:pPr>
              <w:pStyle w:val="35"/>
              <w:ind w:firstLine="48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单位名称</w:t>
            </w:r>
          </w:p>
        </w:tc>
        <w:tc>
          <w:tcPr>
            <w:tcW w:w="7299"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13" w:hRule="exact"/>
          <w:jc w:val="center"/>
        </w:trPr>
        <w:tc>
          <w:tcPr>
            <w:tcW w:w="1880" w:type="dxa"/>
            <w:tcBorders>
              <w:top w:val="single" w:color="auto" w:sz="4" w:space="0"/>
              <w:left w:val="single" w:color="auto" w:sz="4" w:space="0"/>
            </w:tcBorders>
            <w:shd w:val="clear" w:color="auto" w:fill="FFFFFF"/>
            <w:vAlign w:val="center"/>
          </w:tcPr>
          <w:p>
            <w:pPr>
              <w:pStyle w:val="35"/>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p>
        </w:tc>
        <w:tc>
          <w:tcPr>
            <w:tcW w:w="7299"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98" w:hRule="exact"/>
          <w:jc w:val="center"/>
        </w:trPr>
        <w:tc>
          <w:tcPr>
            <w:tcW w:w="1880" w:type="dxa"/>
            <w:tcBorders>
              <w:top w:val="single" w:color="auto" w:sz="4" w:space="0"/>
              <w:left w:val="single" w:color="auto" w:sz="4" w:space="0"/>
            </w:tcBorders>
            <w:shd w:val="clear" w:color="auto" w:fill="FFFFFF"/>
            <w:vAlign w:val="center"/>
          </w:tcPr>
          <w:p>
            <w:pPr>
              <w:pStyle w:val="35"/>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7299"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1880" w:type="dxa"/>
            <w:tcBorders>
              <w:top w:val="single" w:color="auto" w:sz="4" w:space="0"/>
              <w:left w:val="single" w:color="auto" w:sz="4" w:space="0"/>
            </w:tcBorders>
            <w:shd w:val="clear" w:color="auto" w:fill="FFFFFF"/>
            <w:vAlign w:val="center"/>
          </w:tcPr>
          <w:p>
            <w:pPr>
              <w:pStyle w:val="35"/>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p>
        </w:tc>
        <w:tc>
          <w:tcPr>
            <w:tcW w:w="247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35"/>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1880" w:type="dxa"/>
            <w:tcBorders>
              <w:top w:val="single" w:color="auto" w:sz="4" w:space="0"/>
              <w:left w:val="single" w:color="auto" w:sz="4" w:space="0"/>
            </w:tcBorders>
            <w:shd w:val="clear" w:color="auto" w:fill="FFFFFF"/>
            <w:vAlign w:val="center"/>
          </w:tcPr>
          <w:p>
            <w:pPr>
              <w:pStyle w:val="35"/>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p>
        </w:tc>
        <w:tc>
          <w:tcPr>
            <w:tcW w:w="247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35"/>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1878" w:hRule="exact"/>
          <w:jc w:val="center"/>
        </w:trPr>
        <w:tc>
          <w:tcPr>
            <w:tcW w:w="1880" w:type="dxa"/>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投标总价</w:t>
            </w:r>
          </w:p>
        </w:tc>
        <w:tc>
          <w:tcPr>
            <w:tcW w:w="7299" w:type="dxa"/>
            <w:gridSpan w:val="3"/>
            <w:tcBorders>
              <w:top w:val="single" w:color="auto" w:sz="4" w:space="0"/>
              <w:left w:val="single" w:color="auto" w:sz="4" w:space="0"/>
              <w:right w:val="single" w:color="auto" w:sz="4" w:space="0"/>
            </w:tcBorders>
            <w:shd w:val="clear" w:color="auto" w:fill="FFFFFF"/>
            <w:vAlign w:val="center"/>
          </w:tcPr>
          <w:p>
            <w:pPr>
              <w:pStyle w:val="35"/>
              <w:tabs>
                <w:tab w:val="left" w:leader="underscore" w:pos="6440"/>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pStyle w:val="35"/>
              <w:tabs>
                <w:tab w:val="left" w:leader="underscore" w:pos="6469"/>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人民币（大写）：</w:t>
            </w:r>
            <w:r>
              <w:rPr>
                <w:rFonts w:hint="eastAsia" w:ascii="仿宋" w:hAnsi="仿宋" w:eastAsia="仿宋" w:cs="仿宋"/>
                <w:color w:val="000000" w:themeColor="text1"/>
                <w:sz w:val="28"/>
                <w:szCs w:val="28"/>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716" w:hRule="exact"/>
          <w:jc w:val="center"/>
        </w:trPr>
        <w:tc>
          <w:tcPr>
            <w:tcW w:w="1880" w:type="dxa"/>
            <w:tcBorders>
              <w:top w:val="single" w:color="auto" w:sz="4" w:space="0"/>
              <w:left w:val="single" w:color="auto" w:sz="4" w:space="0"/>
              <w:bottom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7299"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1880" w:type="dxa"/>
            <w:tcBorders>
              <w:top w:val="single" w:color="auto" w:sz="4" w:space="0"/>
              <w:left w:val="single" w:color="auto" w:sz="4" w:space="0"/>
              <w:bottom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p>
        </w:tc>
        <w:tc>
          <w:tcPr>
            <w:tcW w:w="7299"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1880" w:type="dxa"/>
            <w:tcBorders>
              <w:top w:val="single" w:color="auto" w:sz="4" w:space="0"/>
              <w:left w:val="single" w:color="auto" w:sz="4" w:space="0"/>
              <w:bottom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备注</w:t>
            </w:r>
          </w:p>
        </w:tc>
        <w:tc>
          <w:tcPr>
            <w:tcW w:w="7299"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000000" w:themeColor="text1"/>
          <w:sz w:val="28"/>
          <w:szCs w:val="28"/>
          <w:highlight w:val="none"/>
          <w14:textFill>
            <w14:solidFill>
              <w14:schemeClr w14:val="tx1"/>
            </w14:solidFill>
          </w14:textFill>
        </w:rPr>
        <w:t>注：</w:t>
      </w:r>
    </w:p>
    <w:p>
      <w:pPr>
        <w:pStyle w:val="36"/>
        <w:numPr>
          <w:ilvl w:val="0"/>
          <w:numId w:val="4"/>
        </w:numPr>
        <w:ind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9" w:name="bookmark439"/>
      <w:bookmarkEnd w:id="39"/>
      <w:r>
        <w:rPr>
          <w:rFonts w:hint="eastAsia" w:ascii="仿宋" w:hAnsi="仿宋" w:eastAsia="仿宋" w:cs="仿宋"/>
          <w:color w:val="000000" w:themeColor="text1"/>
          <w:sz w:val="28"/>
          <w:szCs w:val="28"/>
          <w:highlight w:val="none"/>
          <w:lang w:eastAsia="zh-CN"/>
          <w14:textFill>
            <w14:solidFill>
              <w14:schemeClr w14:val="tx1"/>
            </w14:solidFill>
          </w14:textFill>
        </w:rPr>
        <w:t>投标货币为人民币。本项目为总价合同，在数量不发生变化时，不得变动价格;</w:t>
      </w:r>
      <w:bookmarkStart w:id="40" w:name="bookmark442"/>
      <w:bookmarkEnd w:id="40"/>
      <w:bookmarkStart w:id="41" w:name="_Toc9549"/>
      <w:bookmarkStart w:id="42" w:name="bookmark441"/>
      <w:bookmarkStart w:id="43" w:name="bookmark443"/>
      <w:bookmarkStart w:id="44" w:name="bookmark440"/>
      <w:bookmarkStart w:id="45" w:name="_Toc15590"/>
      <w:bookmarkStart w:id="46" w:name="_Toc29416"/>
    </w:p>
    <w:bookmarkEnd w:id="41"/>
    <w:bookmarkEnd w:id="42"/>
    <w:bookmarkEnd w:id="43"/>
    <w:bookmarkEnd w:id="44"/>
    <w:bookmarkEnd w:id="45"/>
    <w:bookmarkEnd w:id="46"/>
    <w:p>
      <w:pPr>
        <w:pStyle w:val="36"/>
        <w:numPr>
          <w:ilvl w:val="0"/>
          <w:numId w:val="4"/>
        </w:numPr>
        <w:ind w:firstLineChars="0"/>
        <w:rPr>
          <w:rFonts w:hint="eastAsia" w:ascii="仿宋" w:hAnsi="仿宋" w:eastAsia="仿宋" w:cs="仿宋"/>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所有响应表格应根据投标人预算方式自行编制。</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22"/>
        <w:spacing w:after="0"/>
        <w:ind w:left="0" w:firstLine="48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附件三</w:t>
      </w:r>
    </w:p>
    <w:p>
      <w:pPr>
        <w:pStyle w:val="2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分项报价表</w:t>
      </w:r>
    </w:p>
    <w:tbl>
      <w:tblPr>
        <w:tblStyle w:val="16"/>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35"/>
              <w:ind w:left="0" w:leftChars="0" w:firstLine="280" w:firstLineChars="1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35"/>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35"/>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35"/>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35"/>
              <w:tabs>
                <w:tab w:val="left" w:leader="dot" w:pos="628"/>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35"/>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1、投标人应根据所需费用分项进行填报，表中表格行数可自行添加。</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7" w:name="bookmark445"/>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47"/>
      <w:r>
        <w:rPr>
          <w:rFonts w:hint="eastAsia" w:ascii="仿宋" w:hAnsi="仿宋" w:eastAsia="仿宋" w:cs="仿宋"/>
          <w:color w:val="000000" w:themeColor="text1"/>
          <w:sz w:val="28"/>
          <w:szCs w:val="28"/>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8" w:name="bookmark446"/>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4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表中投标报价总计应与对应报价一览表中投标总价一致。</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附件四</w:t>
      </w:r>
      <w:bookmarkEnd w:id="38"/>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r>
        <w:rPr>
          <w:rFonts w:hint="eastAsia" w:ascii="仿宋" w:hAnsi="仿宋" w:eastAsia="仿宋" w:cs="仿宋"/>
          <w:color w:val="000000" w:themeColor="text1"/>
          <w:sz w:val="28"/>
          <w:szCs w:val="28"/>
          <w:highlight w:val="none"/>
          <w:lang w:val="en-US" w:eastAsia="zh-CN"/>
          <w14:textFill>
            <w14:solidFill>
              <w14:schemeClr w14:val="tx1"/>
            </w14:solidFill>
          </w14:textFill>
        </w:rPr>
        <w:t>身份</w:t>
      </w:r>
      <w:r>
        <w:rPr>
          <w:rFonts w:hint="eastAsia" w:ascii="仿宋" w:hAnsi="仿宋" w:eastAsia="仿宋" w:cs="仿宋"/>
          <w:color w:val="000000" w:themeColor="text1"/>
          <w:sz w:val="28"/>
          <w:szCs w:val="28"/>
          <w:highlight w:val="none"/>
          <w14:textFill>
            <w14:solidFill>
              <w14:schemeClr w14:val="tx1"/>
            </w14:solidFill>
          </w14:textFill>
        </w:rPr>
        <w:t>证明书</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所属行业：</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营业期限：</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成立时间：</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    性别：   年龄：     职务：</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（供应商名称）</w:t>
      </w:r>
      <w:r>
        <w:rPr>
          <w:rFonts w:hint="eastAsia" w:ascii="仿宋" w:hAnsi="仿宋" w:eastAsia="仿宋" w:cs="仿宋"/>
          <w:color w:val="000000" w:themeColor="text1"/>
          <w:sz w:val="28"/>
          <w:szCs w:val="28"/>
          <w:highlight w:val="none"/>
          <w14:textFill>
            <w14:solidFill>
              <w14:schemeClr w14:val="tx1"/>
            </w14:solidFill>
          </w14:textFill>
        </w:rPr>
        <w:t>的法定代表人。</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825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825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附件五</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p>
      <w:pPr>
        <w:shd w:val="clear" w:color="auto" w:fill="FFFFFF"/>
        <w:spacing w:line="44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p>
    <w:p>
      <w:pPr>
        <w:shd w:val="clear" w:color="auto" w:fill="FFFFFF"/>
        <w:spacing w:line="440" w:lineRule="exact"/>
        <w:ind w:firstLine="529" w:firstLineChars="18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本授权委托书声明：我系</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（供应商名称）的法定代表人，现授权委托</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为我的代理人，以</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（供应商名称）的名义参加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代理人：   性别：  年龄：</w:t>
      </w:r>
    </w:p>
    <w:p>
      <w:pPr>
        <w:shd w:val="clear" w:color="auto" w:fill="FFFFFF"/>
        <w:spacing w:line="440" w:lineRule="exact"/>
        <w:ind w:firstLine="669" w:firstLineChars="23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部  门：  职务：</w:t>
      </w:r>
    </w:p>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tbl>
      <w:tblPr>
        <w:tblStyle w:val="17"/>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bl>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22"/>
        <w:spacing w:after="0"/>
        <w:ind w:left="0" w:leftChars="0"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附件六</w:t>
      </w:r>
    </w:p>
    <w:p>
      <w:pPr>
        <w:pStyle w:val="2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b w:val="0"/>
          <w:bCs w:val="0"/>
          <w:color w:val="000000" w:themeColor="text1"/>
          <w:sz w:val="28"/>
          <w:szCs w:val="28"/>
          <w:highlight w:val="none"/>
          <w14:textFill>
            <w14:solidFill>
              <w14:schemeClr w14:val="tx1"/>
            </w14:solidFill>
          </w14:textFill>
        </w:rPr>
        <w:t>基本情况</w:t>
      </w:r>
    </w:p>
    <w:tbl>
      <w:tblPr>
        <w:tblStyle w:val="16"/>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49" w:name="_Toc14081"/>
            <w:bookmarkStart w:id="50" w:name="_Toc30505"/>
            <w:bookmarkStart w:id="51" w:name="_Toc11698"/>
            <w:r>
              <w:rPr>
                <w:rFonts w:hint="eastAsia" w:ascii="仿宋" w:hAnsi="仿宋" w:eastAsia="仿宋" w:cs="仿宋"/>
                <w:color w:val="000000" w:themeColor="text1"/>
                <w:sz w:val="28"/>
                <w:szCs w:val="28"/>
                <w:highlight w:val="none"/>
                <w14:textFill>
                  <w14:solidFill>
                    <w14:schemeClr w14:val="tx1"/>
                  </w14:solidFill>
                </w14:textFill>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p>
        </w:tc>
      </w:tr>
    </w:tbl>
    <w:p>
      <w:pPr>
        <w:pStyle w:val="8"/>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注：后附营业执照副本、相关资质证书复印件等资料。</w:t>
      </w:r>
    </w:p>
    <w:p>
      <w:pPr>
        <w:pStyle w:val="33"/>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bookmarkEnd w:id="49"/>
    <w:bookmarkEnd w:id="50"/>
    <w:bookmarkEnd w:id="51"/>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22"/>
        <w:spacing w:after="0"/>
        <w:ind w:left="0" w:firstLine="482"/>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附件七、公司简介（后附营业执照及场地租赁合同复印件或自有房产证明复印件（事业单位法人证书）、税务登记证、组织机构代码证、相应的资质、保证金交纳情况等企业相关资料）（附件七）</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eastAsia="zh-CN"/>
          <w14:textFill>
            <w14:solidFill>
              <w14:schemeClr w14:val="tx1"/>
            </w14:solidFill>
          </w14:textFill>
        </w:rPr>
        <w:t>八、</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按照招标文件要求自行提供</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lang w:eastAsia="zh-CN"/>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37"/>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p>
      <w:pPr>
        <w:pStyle w:val="37"/>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:参加政府釆购活动前</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年内在经营活动中没有重大违法记</w:t>
      </w:r>
      <w:r>
        <w:rPr>
          <w:rFonts w:hint="eastAsia" w:ascii="仿宋" w:hAnsi="仿宋" w:eastAsia="仿宋" w:cs="仿宋"/>
          <w:color w:val="000000" w:themeColor="text1"/>
          <w:sz w:val="28"/>
          <w:szCs w:val="28"/>
          <w:highlight w:val="none"/>
          <w:lang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eastAsia="zh-CN"/>
          <w14:textFill>
            <w14:solidFill>
              <w14:schemeClr w14:val="tx1"/>
            </w14:solidFill>
          </w14:textFill>
        </w:rPr>
        <w:t>录的书面声明</w:t>
      </w:r>
    </w:p>
    <w:p>
      <w:pPr>
        <w:pStyle w:val="33"/>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本单位郑重声明：</w:t>
      </w:r>
    </w:p>
    <w:p>
      <w:pPr>
        <w:pStyle w:val="33"/>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33"/>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33"/>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特此声明！</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33"/>
        <w:tabs>
          <w:tab w:val="left" w:pos="2088"/>
          <w:tab w:val="left" w:pos="2808"/>
          <w:tab w:val="left" w:pos="3528"/>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8" w:type="default"/>
          <w:footerReference r:id="rId9" w:type="default"/>
          <w:pgSz w:w="11900" w:h="16840"/>
          <w:pgMar w:top="1578" w:right="1134" w:bottom="3772" w:left="1577" w:header="0" w:footer="3" w:gutter="0"/>
          <w:pgNumType w:fmt="decimal"/>
          <w:cols w:space="720" w:num="1"/>
          <w:docGrid w:linePitch="360" w:charSpace="0"/>
        </w:sectPr>
      </w:pPr>
    </w:p>
    <w:p>
      <w:pPr>
        <w:pStyle w:val="22"/>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：项目负责人及团队各项保障体系人员简历表</w:t>
      </w:r>
    </w:p>
    <w:tbl>
      <w:tblPr>
        <w:tblStyle w:val="16"/>
        <w:tblpPr w:leftFromText="180" w:rightFromText="180" w:vertAnchor="text" w:horzAnchor="page" w:tblpX="1529" w:tblpY="433"/>
        <w:tblOverlap w:val="never"/>
        <w:tblW w:w="9150" w:type="dxa"/>
        <w:tblInd w:w="0" w:type="dxa"/>
        <w:tblLayout w:type="fixed"/>
        <w:tblCellMar>
          <w:top w:w="0" w:type="dxa"/>
          <w:left w:w="108" w:type="dxa"/>
          <w:bottom w:w="0" w:type="dxa"/>
          <w:right w:w="108" w:type="dxa"/>
        </w:tblCellMar>
      </w:tblPr>
      <w:tblGrid>
        <w:gridCol w:w="868"/>
        <w:gridCol w:w="2422"/>
        <w:gridCol w:w="1005"/>
        <w:gridCol w:w="373"/>
        <w:gridCol w:w="699"/>
        <w:gridCol w:w="1603"/>
        <w:gridCol w:w="112"/>
        <w:gridCol w:w="2068"/>
      </w:tblGrid>
      <w:tr>
        <w:tblPrEx>
          <w:tblCellMar>
            <w:top w:w="0" w:type="dxa"/>
            <w:left w:w="108" w:type="dxa"/>
            <w:bottom w:w="0" w:type="dxa"/>
            <w:right w:w="108" w:type="dxa"/>
          </w:tblCellMar>
        </w:tblPrEx>
        <w:tc>
          <w:tcPr>
            <w:tcW w:w="868"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身份证号码</w:t>
            </w:r>
          </w:p>
        </w:tc>
        <w:tc>
          <w:tcPr>
            <w:tcW w:w="2180"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868"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     业</w:t>
            </w:r>
          </w:p>
        </w:tc>
        <w:tc>
          <w:tcPr>
            <w:tcW w:w="2180"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868"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     务</w:t>
            </w:r>
          </w:p>
        </w:tc>
        <w:tc>
          <w:tcPr>
            <w:tcW w:w="2180"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993" w:hRule="atLeast"/>
        </w:trPr>
        <w:tc>
          <w:tcPr>
            <w:tcW w:w="868"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服务时间</w:t>
            </w:r>
          </w:p>
        </w:tc>
        <w:tc>
          <w:tcPr>
            <w:tcW w:w="2180"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868"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主要经历</w:t>
            </w:r>
          </w:p>
        </w:tc>
        <w:tc>
          <w:tcPr>
            <w:tcW w:w="8282"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8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担任何职务</w:t>
            </w:r>
          </w:p>
        </w:tc>
        <w:tc>
          <w:tcPr>
            <w:tcW w:w="20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w:t>
            </w:r>
          </w:p>
        </w:tc>
      </w:tr>
      <w:tr>
        <w:tblPrEx>
          <w:tblCellMar>
            <w:top w:w="0" w:type="dxa"/>
            <w:left w:w="108" w:type="dxa"/>
            <w:bottom w:w="0" w:type="dxa"/>
            <w:right w:w="108" w:type="dxa"/>
          </w:tblCellMar>
        </w:tblPrEx>
        <w:tc>
          <w:tcPr>
            <w:tcW w:w="8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0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8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0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8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068"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bl>
    <w:p>
      <w:pPr>
        <w:autoSpaceDE w:val="0"/>
        <w:autoSpaceDN w:val="0"/>
        <w:adjustRightInd w:val="0"/>
        <w:spacing w:line="440" w:lineRule="exact"/>
        <w:ind w:left="0" w:leftChars="0" w:firstLine="0" w:firstLineChars="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lang w:val="zh-CN"/>
          <w14:textFill>
            <w14:solidFill>
              <w14:schemeClr w14:val="tx1"/>
            </w14:solidFill>
          </w14:textFill>
        </w:rPr>
        <w:t>：负责人简历中应</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color w:val="000000" w:themeColor="text1"/>
          <w:sz w:val="28"/>
          <w:szCs w:val="28"/>
          <w:highlight w:val="none"/>
          <w:lang w:val="zh-CN"/>
          <w14:textFill>
            <w14:solidFill>
              <w14:schemeClr w14:val="tx1"/>
            </w14:solidFill>
          </w14:textFill>
        </w:rPr>
        <w:t>本表后附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cs="仿宋"/>
          <w:b/>
          <w:color w:val="000000" w:themeColor="text1"/>
          <w:sz w:val="28"/>
          <w:szCs w:val="28"/>
          <w:highlight w:val="none"/>
          <w:lang w:val="en-US" w:eastAsia="zh-CN"/>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br w:type="page"/>
      </w:r>
    </w:p>
    <w:p>
      <w:pPr>
        <w:autoSpaceDE w:val="0"/>
        <w:autoSpaceDN w:val="0"/>
        <w:adjustRightInd w:val="0"/>
        <w:spacing w:line="44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t>拟投入</w:t>
      </w:r>
      <w:r>
        <w:rPr>
          <w:rFonts w:hint="eastAsia" w:ascii="仿宋" w:hAnsi="仿宋" w:eastAsia="仿宋" w:cs="仿宋"/>
          <w:b/>
          <w:color w:val="000000" w:themeColor="text1"/>
          <w:sz w:val="28"/>
          <w:szCs w:val="28"/>
          <w:highlight w:val="none"/>
          <w:lang w:eastAsia="zh-CN"/>
          <w14:textFill>
            <w14:solidFill>
              <w14:schemeClr w14:val="tx1"/>
            </w14:solidFill>
          </w14:textFill>
        </w:rPr>
        <w:t>团队人员简历表</w:t>
      </w:r>
    </w:p>
    <w:p>
      <w:pPr>
        <w:autoSpaceDE w:val="0"/>
        <w:autoSpaceDN w:val="0"/>
        <w:adjustRightInd w:val="0"/>
        <w:spacing w:line="440" w:lineRule="exact"/>
        <w:ind w:left="360"/>
        <w:rPr>
          <w:rFonts w:hint="eastAsia" w:ascii="仿宋" w:hAnsi="仿宋" w:eastAsia="仿宋" w:cs="仿宋"/>
          <w:color w:val="000000" w:themeColor="text1"/>
          <w:sz w:val="28"/>
          <w:szCs w:val="28"/>
          <w:highlight w:val="none"/>
          <w:lang w:val="zh-CN"/>
          <w14:textFill>
            <w14:solidFill>
              <w14:schemeClr w14:val="tx1"/>
            </w14:solidFill>
          </w14:textFill>
        </w:rPr>
      </w:pPr>
    </w:p>
    <w:tbl>
      <w:tblPr>
        <w:tblStyle w:val="16"/>
        <w:tblpPr w:leftFromText="180" w:rightFromText="180" w:vertAnchor="text" w:horzAnchor="page" w:tblpX="1469" w:tblpY="358"/>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08"/>
        <w:gridCol w:w="888"/>
        <w:gridCol w:w="766"/>
        <w:gridCol w:w="838"/>
        <w:gridCol w:w="838"/>
        <w:gridCol w:w="838"/>
        <w:gridCol w:w="203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84"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70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88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性别</w:t>
            </w:r>
          </w:p>
        </w:tc>
        <w:tc>
          <w:tcPr>
            <w:tcW w:w="766"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学历</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专业</w:t>
            </w:r>
          </w:p>
        </w:tc>
        <w:tc>
          <w:tcPr>
            <w:tcW w:w="20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拟担任岗位或承担工作内容</w:t>
            </w:r>
          </w:p>
        </w:tc>
        <w:tc>
          <w:tcPr>
            <w:tcW w:w="1837"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4"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rPr>
                <w:rFonts w:hint="eastAsia" w:ascii="仿宋" w:hAnsi="仿宋" w:eastAsia="仿宋" w:cs="仿宋"/>
                <w:color w:val="000000" w:themeColor="text1"/>
                <w:sz w:val="28"/>
                <w:szCs w:val="28"/>
                <w:highlight w:val="none"/>
                <w14:textFill>
                  <w14:solidFill>
                    <w14:schemeClr w14:val="tx1"/>
                  </w14:solidFill>
                </w14:textFill>
              </w:rPr>
            </w:pPr>
          </w:p>
        </w:tc>
        <w:tc>
          <w:tcPr>
            <w:tcW w:w="183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84"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3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4"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3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84"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83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4"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83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autoSpaceDE w:val="0"/>
        <w:autoSpaceDN w:val="0"/>
        <w:adjustRightInd w:val="0"/>
        <w:spacing w:line="440" w:lineRule="exact"/>
        <w:rPr>
          <w:rFonts w:hint="eastAsia" w:ascii="仿宋" w:hAnsi="仿宋" w:eastAsia="仿宋" w:cs="仿宋"/>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注</w:t>
      </w:r>
      <w:r>
        <w:rPr>
          <w:rFonts w:hint="eastAsia" w:ascii="仿宋" w:hAnsi="仿宋" w:eastAsia="仿宋" w:cs="仿宋"/>
          <w:bCs/>
          <w:color w:val="000000" w:themeColor="text1"/>
          <w:sz w:val="28"/>
          <w:szCs w:val="28"/>
          <w:highlight w:val="none"/>
          <w:lang w:val="zh-CN"/>
          <w14:textFill>
            <w14:solidFill>
              <w14:schemeClr w14:val="tx1"/>
            </w14:solidFill>
          </w14:textFill>
        </w:rPr>
        <w:t>：以上人员应当</w:t>
      </w:r>
      <w:r>
        <w:rPr>
          <w:rFonts w:hint="eastAsia" w:ascii="仿宋" w:hAnsi="仿宋" w:eastAsia="仿宋" w:cs="仿宋"/>
          <w:color w:val="000000" w:themeColor="text1"/>
          <w:sz w:val="28"/>
          <w:szCs w:val="28"/>
          <w:highlight w:val="none"/>
          <w:lang w:val="zh-CN"/>
          <w14:textFill>
            <w14:solidFill>
              <w14:schemeClr w14:val="tx1"/>
            </w14:solidFill>
          </w14:textFill>
        </w:rPr>
        <w:t>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8"/>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33"/>
        <w:tabs>
          <w:tab w:val="left" w:pos="620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pPr>
        <w:pStyle w:val="22"/>
        <w:spacing w:after="0"/>
        <w:ind w:left="0" w:leftChars="0" w:firstLine="562"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lang w:val="en-US" w:eastAsia="zh-CN"/>
          <w14:textFill>
            <w14:solidFill>
              <w14:schemeClr w14:val="tx1"/>
            </w14:solidFill>
          </w14:textFill>
        </w:rPr>
        <w:t>类似</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w:t>
      </w:r>
    </w:p>
    <w:tbl>
      <w:tblPr>
        <w:tblStyle w:val="16"/>
        <w:tblW w:w="8834" w:type="dxa"/>
        <w:jc w:val="center"/>
        <w:tblLayout w:type="fixed"/>
        <w:tblCellMar>
          <w:top w:w="0" w:type="dxa"/>
          <w:left w:w="10" w:type="dxa"/>
          <w:bottom w:w="0" w:type="dxa"/>
          <w:right w:w="10" w:type="dxa"/>
        </w:tblCellMar>
      </w:tblPr>
      <w:tblGrid>
        <w:gridCol w:w="505"/>
        <w:gridCol w:w="1212"/>
        <w:gridCol w:w="1068"/>
        <w:gridCol w:w="1032"/>
        <w:gridCol w:w="2436"/>
        <w:gridCol w:w="1435"/>
        <w:gridCol w:w="1146"/>
      </w:tblGrid>
      <w:tr>
        <w:tblPrEx>
          <w:tblCellMar>
            <w:top w:w="0" w:type="dxa"/>
            <w:left w:w="10" w:type="dxa"/>
            <w:bottom w:w="0" w:type="dxa"/>
            <w:right w:w="10" w:type="dxa"/>
          </w:tblCellMar>
        </w:tblPrEx>
        <w:trPr>
          <w:trHeight w:val="1382" w:hRule="exact"/>
          <w:jc w:val="center"/>
        </w:trPr>
        <w:tc>
          <w:tcPr>
            <w:tcW w:w="505" w:type="dxa"/>
            <w:tcBorders>
              <w:top w:val="single" w:color="auto" w:sz="4" w:space="0"/>
              <w:left w:val="single" w:color="auto" w:sz="4" w:space="0"/>
            </w:tcBorders>
            <w:shd w:val="clear" w:color="auto" w:fill="FFFFFF"/>
          </w:tcPr>
          <w:p>
            <w:pPr>
              <w:pStyle w:val="4"/>
              <w:numPr>
                <w:ilvl w:val="0"/>
                <w:numId w:val="0"/>
              </w:numPr>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35"/>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35"/>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35"/>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35"/>
              <w:ind w:left="0" w:leftChars="0" w:firstLine="0" w:firstLine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pPr>
              <w:pStyle w:val="35"/>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35"/>
              <w:ind w:left="0" w:leftChars="0" w:firstLine="0" w:firstLineChars="0"/>
              <w:jc w:val="left"/>
              <w:rPr>
                <w:rFonts w:hint="eastAsia" w:ascii="仿宋" w:hAnsi="仿宋" w:eastAsia="仿宋" w:cs="仿宋"/>
                <w:b/>
                <w:bCs/>
                <w:color w:val="000000" w:themeColor="text1"/>
                <w:sz w:val="28"/>
                <w:szCs w:val="28"/>
                <w:highlight w:val="none"/>
                <w14:textFill>
                  <w14:solidFill>
                    <w14:schemeClr w14:val="tx1"/>
                  </w14:solidFill>
                </w14:textFill>
              </w:rPr>
            </w:pPr>
          </w:p>
          <w:p>
            <w:pPr>
              <w:pStyle w:val="35"/>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完成情况</w:t>
            </w:r>
          </w:p>
        </w:tc>
        <w:tc>
          <w:tcPr>
            <w:tcW w:w="1146" w:type="dxa"/>
            <w:tcBorders>
              <w:top w:val="single" w:color="auto" w:sz="4" w:space="0"/>
              <w:left w:val="single" w:color="auto" w:sz="4" w:space="0"/>
              <w:right w:val="single" w:color="auto" w:sz="4" w:space="0"/>
            </w:tcBorders>
            <w:shd w:val="clear" w:color="auto" w:fill="FFFFFF"/>
            <w:vAlign w:val="center"/>
          </w:tcPr>
          <w:p>
            <w:pPr>
              <w:pStyle w:val="35"/>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50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50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38"/>
        <w:ind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w:t>
      </w:r>
      <w:r>
        <w:rPr>
          <w:rFonts w:hint="eastAsia" w:ascii="仿宋" w:hAnsi="仿宋" w:eastAsia="仿宋" w:cs="仿宋"/>
          <w:color w:val="000000" w:themeColor="text1"/>
          <w:sz w:val="28"/>
          <w:szCs w:val="28"/>
          <w:highlight w:val="none"/>
          <w14:textFill>
            <w14:solidFill>
              <w14:schemeClr w14:val="tx1"/>
            </w14:solidFill>
          </w14:textFill>
        </w:rPr>
        <w:t>业绩</w:t>
      </w:r>
      <w:r>
        <w:rPr>
          <w:rFonts w:hint="eastAsia" w:ascii="仿宋" w:hAnsi="仿宋" w:eastAsia="仿宋" w:cs="仿宋"/>
          <w:color w:val="000000" w:themeColor="text1"/>
          <w:sz w:val="28"/>
          <w:szCs w:val="28"/>
          <w:highlight w:val="none"/>
          <w:lang w:val="en-US" w:eastAsia="zh-CN"/>
          <w14:textFill>
            <w14:solidFill>
              <w14:schemeClr w14:val="tx1"/>
            </w14:solidFill>
          </w14:textFill>
        </w:rPr>
        <w:t>的证明材料，需提供</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合同协议书及中标通知书等相关的证明材料；合同需提供合同首页、标的内容及金额所在页、服务合同签字盖章页等关键页即可，需加盖公章。</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请根据招标文件及评分办法要求提供，</w:t>
      </w:r>
      <w:r>
        <w:rPr>
          <w:rFonts w:hint="eastAsia" w:ascii="仿宋" w:hAnsi="仿宋" w:eastAsia="仿宋" w:cs="仿宋"/>
          <w:b/>
          <w:bCs/>
          <w:color w:val="000000" w:themeColor="text1"/>
          <w:sz w:val="28"/>
          <w:szCs w:val="28"/>
          <w:highlight w:val="none"/>
          <w:lang w:eastAsia="zh-CN"/>
          <w14:textFill>
            <w14:solidFill>
              <w14:schemeClr w14:val="tx1"/>
            </w14:solidFill>
          </w14:textFill>
        </w:rPr>
        <w:t>原件事后备查</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eastAsia="zh-CN"/>
          <w14:textFill>
            <w14:solidFill>
              <w14:schemeClr w14:val="tx1"/>
            </w14:solidFill>
          </w14:textFill>
        </w:rPr>
        <w:t>十二、</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关于技术部分：（维修、改造、调试及试运行方案及保证措施、供货及施工进度计划及保证措施、售后保障、质量安全文明施工保证措施、安全、环保管理体系与措施、标函质量等</w:t>
      </w:r>
      <w:r>
        <w:rPr>
          <w:rFonts w:hint="eastAsia" w:ascii="仿宋" w:hAnsi="仿宋" w:eastAsia="仿宋" w:cs="仿宋"/>
          <w:b/>
          <w:bCs/>
          <w:color w:val="000000" w:themeColor="text1"/>
          <w:sz w:val="28"/>
          <w:szCs w:val="28"/>
          <w:highlight w:val="none"/>
          <w:lang w:eastAsia="zh-CN"/>
          <w14:textFill>
            <w14:solidFill>
              <w14:schemeClr w14:val="tx1"/>
            </w14:solidFill>
          </w14:textFill>
        </w:rPr>
        <w:t>）（自行提供、针对于此次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b/>
          <w:bCs/>
          <w:color w:val="000000" w:themeColor="text1"/>
          <w:sz w:val="28"/>
          <w:szCs w:val="28"/>
          <w:highlight w:val="none"/>
          <w:lang w:eastAsia="zh-CN"/>
          <w14:textFill>
            <w14:solidFill>
              <w14:schemeClr w14:val="tx1"/>
            </w14:solidFill>
          </w14:textFill>
        </w:rPr>
        <w:t>要求</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b/>
          <w:bCs/>
          <w:color w:val="000000" w:themeColor="text1"/>
          <w:sz w:val="28"/>
          <w:szCs w:val="28"/>
          <w:highlight w:val="none"/>
          <w:lang w:eastAsia="zh-CN"/>
          <w14:textFill>
            <w14:solidFill>
              <w14:schemeClr w14:val="tx1"/>
            </w14:solidFill>
          </w14:textFill>
        </w:rPr>
        <w:t>为主）</w:t>
      </w:r>
    </w:p>
    <w:p>
      <w:pPr>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附件十三</w:t>
      </w:r>
    </w:p>
    <w:p>
      <w:pPr>
        <w:pStyle w:val="2"/>
        <w:jc w:val="center"/>
        <w:rPr>
          <w:rFonts w:hint="eastAsia"/>
          <w:b/>
          <w:bCs/>
          <w:lang w:eastAsia="zh-CN"/>
        </w:rPr>
      </w:pPr>
      <w:r>
        <w:rPr>
          <w:rFonts w:hint="eastAsia"/>
          <w:b/>
          <w:bCs/>
          <w:lang w:eastAsia="zh-CN"/>
        </w:rPr>
        <w:t>货物说明一览表</w:t>
      </w:r>
    </w:p>
    <w:p>
      <w:pPr>
        <w:pStyle w:val="2"/>
        <w:rPr>
          <w:rFonts w:hint="eastAsia"/>
          <w:lang w:eastAsia="zh-CN"/>
        </w:rPr>
      </w:pPr>
      <w:r>
        <w:rPr>
          <w:rFonts w:hint="eastAsia"/>
          <w:lang w:eastAsia="zh-CN"/>
        </w:rPr>
        <w:t xml:space="preserve">项目名称：                          投标单位名称：                            </w:t>
      </w:r>
    </w:p>
    <w:p>
      <w:pPr>
        <w:pStyle w:val="2"/>
        <w:rPr>
          <w:rFonts w:hint="eastAsia"/>
          <w:lang w:eastAsia="zh-CN"/>
        </w:rPr>
      </w:pPr>
      <w:r>
        <w:rPr>
          <w:rFonts w:hint="eastAsia"/>
          <w:lang w:eastAsia="zh-CN"/>
        </w:rPr>
        <w:t xml:space="preserve">招标编号：                              </w:t>
      </w:r>
    </w:p>
    <w:tbl>
      <w:tblPr>
        <w:tblStyle w:val="16"/>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43"/>
        <w:gridCol w:w="1504"/>
        <w:gridCol w:w="2317"/>
        <w:gridCol w:w="157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货物名称</w:t>
            </w: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产地</w:t>
            </w: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品牌</w:t>
            </w: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规格</w:t>
            </w: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数量</w:t>
            </w: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r>
              <w:rPr>
                <w:rFonts w:hint="eastAsia"/>
                <w:lang w:eastAsia="zh-CN"/>
              </w:rPr>
              <w:t>……</w:t>
            </w:r>
          </w:p>
        </w:tc>
        <w:tc>
          <w:tcPr>
            <w:tcW w:w="1543"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04"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2317"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571"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
              <w:rPr>
                <w:rFonts w:hint="eastAsia"/>
                <w:lang w:eastAsia="zh-CN"/>
              </w:rPr>
            </w:pPr>
          </w:p>
        </w:tc>
      </w:tr>
    </w:tbl>
    <w:p>
      <w:pPr>
        <w:pStyle w:val="2"/>
        <w:rPr>
          <w:rFonts w:hint="eastAsia"/>
          <w:lang w:eastAsia="zh-CN"/>
        </w:rPr>
      </w:pPr>
      <w:r>
        <w:rPr>
          <w:rFonts w:hint="eastAsia"/>
          <w:lang w:eastAsia="zh-CN"/>
        </w:rPr>
        <w:t>兹声明：以上投标报价在投标有效期内一直有效。</w:t>
      </w:r>
    </w:p>
    <w:p>
      <w:pPr>
        <w:pStyle w:val="2"/>
        <w:rPr>
          <w:rFonts w:hint="eastAsia"/>
          <w:lang w:eastAsia="zh-CN"/>
        </w:rPr>
      </w:pPr>
      <w:r>
        <w:rPr>
          <w:rFonts w:hint="eastAsia"/>
          <w:lang w:eastAsia="zh-CN"/>
        </w:rPr>
        <w:t xml:space="preserve">投标人名称（加盖公章）：                               </w:t>
      </w:r>
    </w:p>
    <w:p>
      <w:pPr>
        <w:pStyle w:val="2"/>
        <w:rPr>
          <w:rFonts w:hint="eastAsia"/>
          <w:lang w:eastAsia="zh-CN"/>
        </w:rPr>
      </w:pPr>
      <w:r>
        <w:rPr>
          <w:rFonts w:hint="eastAsia"/>
          <w:lang w:eastAsia="zh-CN"/>
        </w:rPr>
        <w:t xml:space="preserve">代理（被授权人）签字：                  </w:t>
      </w:r>
    </w:p>
    <w:p>
      <w:pPr>
        <w:pStyle w:val="2"/>
        <w:rPr>
          <w:rFonts w:hint="eastAsia"/>
          <w:lang w:eastAsia="zh-CN"/>
        </w:rPr>
      </w:pPr>
      <w:r>
        <w:rPr>
          <w:rFonts w:hint="eastAsia"/>
          <w:lang w:eastAsia="zh-CN"/>
        </w:rPr>
        <w:t>日期：       年       月       日</w:t>
      </w:r>
    </w:p>
    <w:p>
      <w:pPr>
        <w:pStyle w:val="2"/>
        <w:rPr>
          <w:rFonts w:hint="eastAsia"/>
          <w:lang w:eastAsia="zh-CN"/>
        </w:rPr>
      </w:pPr>
    </w:p>
    <w:p>
      <w:pPr>
        <w:pStyle w:val="2"/>
        <w:rPr>
          <w:rFonts w:hint="eastAsia"/>
          <w:lang w:eastAsia="zh-CN"/>
        </w:rPr>
      </w:pPr>
    </w:p>
    <w:p>
      <w:pPr>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附件十四：货物规格及技术参数偏离表</w:t>
      </w:r>
    </w:p>
    <w:tbl>
      <w:tblPr>
        <w:tblStyle w:val="16"/>
        <w:tblW w:w="7867" w:type="dxa"/>
        <w:jc w:val="center"/>
        <w:tblLayout w:type="fixed"/>
        <w:tblCellMar>
          <w:top w:w="0" w:type="dxa"/>
          <w:left w:w="10" w:type="dxa"/>
          <w:bottom w:w="0" w:type="dxa"/>
          <w:right w:w="10" w:type="dxa"/>
        </w:tblCellMar>
      </w:tblPr>
      <w:tblGrid>
        <w:gridCol w:w="950"/>
        <w:gridCol w:w="1112"/>
        <w:gridCol w:w="1820"/>
        <w:gridCol w:w="1528"/>
        <w:gridCol w:w="1241"/>
        <w:gridCol w:w="1216"/>
      </w:tblGrid>
      <w:tr>
        <w:trPr>
          <w:trHeight w:val="476" w:hRule="exact"/>
          <w:jc w:val="center"/>
        </w:trPr>
        <w:tc>
          <w:tcPr>
            <w:tcW w:w="950"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序号</w:t>
            </w:r>
          </w:p>
        </w:tc>
        <w:tc>
          <w:tcPr>
            <w:tcW w:w="1112"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项目名称</w:t>
            </w:r>
          </w:p>
        </w:tc>
        <w:tc>
          <w:tcPr>
            <w:tcW w:w="1820"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招标参数</w:t>
            </w:r>
          </w:p>
        </w:tc>
        <w:tc>
          <w:tcPr>
            <w:tcW w:w="1528"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响应参数</w:t>
            </w:r>
          </w:p>
        </w:tc>
        <w:tc>
          <w:tcPr>
            <w:tcW w:w="1241"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偏离情况</w:t>
            </w:r>
          </w:p>
        </w:tc>
        <w:tc>
          <w:tcPr>
            <w:tcW w:w="1216" w:type="dxa"/>
            <w:tcBorders>
              <w:top w:val="single" w:color="auto" w:sz="4" w:space="0"/>
              <w:left w:val="single" w:color="auto" w:sz="4" w:space="0"/>
              <w:righ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说明</w:t>
            </w:r>
          </w:p>
        </w:tc>
      </w:tr>
      <w:tr>
        <w:tblPrEx>
          <w:tblCellMar>
            <w:top w:w="0" w:type="dxa"/>
            <w:left w:w="10" w:type="dxa"/>
            <w:bottom w:w="0" w:type="dxa"/>
            <w:right w:w="10" w:type="dxa"/>
          </w:tblCellMar>
        </w:tblPrEx>
        <w:trPr>
          <w:trHeight w:val="515" w:hRule="exact"/>
          <w:jc w:val="center"/>
        </w:trPr>
        <w:tc>
          <w:tcPr>
            <w:tcW w:w="950"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1</w:t>
            </w:r>
          </w:p>
        </w:tc>
        <w:tc>
          <w:tcPr>
            <w:tcW w:w="1112"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820"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528"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241"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216" w:type="dxa"/>
            <w:tcBorders>
              <w:top w:val="single" w:color="auto" w:sz="4" w:space="0"/>
              <w:left w:val="single" w:color="auto" w:sz="4" w:space="0"/>
              <w:righ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511" w:hRule="exact"/>
          <w:jc w:val="center"/>
        </w:trPr>
        <w:tc>
          <w:tcPr>
            <w:tcW w:w="950"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2</w:t>
            </w:r>
          </w:p>
        </w:tc>
        <w:tc>
          <w:tcPr>
            <w:tcW w:w="1112"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820"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528"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241"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216" w:type="dxa"/>
            <w:tcBorders>
              <w:top w:val="single" w:color="auto" w:sz="4" w:space="0"/>
              <w:left w:val="single" w:color="auto" w:sz="4" w:space="0"/>
              <w:righ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516" w:hRule="exact"/>
          <w:jc w:val="center"/>
        </w:trPr>
        <w:tc>
          <w:tcPr>
            <w:tcW w:w="950" w:type="dxa"/>
            <w:tcBorders>
              <w:top w:val="single" w:color="auto" w:sz="4" w:space="0"/>
              <w:left w:val="single" w:color="auto" w:sz="4" w:space="0"/>
            </w:tcBorders>
            <w:shd w:val="clear" w:color="auto" w:fill="FFFFFF"/>
            <w:vAlign w:val="center"/>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3</w:t>
            </w:r>
          </w:p>
        </w:tc>
        <w:tc>
          <w:tcPr>
            <w:tcW w:w="1112"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820"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528"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241" w:type="dxa"/>
            <w:tcBorders>
              <w:top w:val="single" w:color="auto" w:sz="4" w:space="0"/>
              <w:lef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c>
          <w:tcPr>
            <w:tcW w:w="1216" w:type="dxa"/>
            <w:tcBorders>
              <w:top w:val="single" w:color="auto" w:sz="4" w:space="0"/>
              <w:left w:val="single" w:color="auto" w:sz="4" w:space="0"/>
              <w:right w:val="single" w:color="auto" w:sz="4" w:space="0"/>
            </w:tcBorders>
            <w:shd w:val="clear" w:color="auto" w:fill="FFFFFF"/>
          </w:tcPr>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tc>
      </w:tr>
    </w:tbl>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注：凡响应文件中规格及技术条款与招标文件有偏差的，均应在此表中列出（内容较多的可以标注见响应文件第几页，偏差包括正偏差和负偏差），未在此表中列出的视同完全满足招标文件要求。</w:t>
      </w:r>
    </w:p>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ind w:firstLine="281" w:firstLineChars="1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ind w:firstLine="281" w:firstLineChars="1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附件十五：服务需求偏离表</w:t>
      </w:r>
    </w:p>
    <w:tbl>
      <w:tblPr>
        <w:tblStyle w:val="16"/>
        <w:tblW w:w="8363" w:type="dxa"/>
        <w:jc w:val="center"/>
        <w:tblLayout w:type="fixed"/>
        <w:tblCellMar>
          <w:top w:w="0" w:type="dxa"/>
          <w:left w:w="10" w:type="dxa"/>
          <w:bottom w:w="0" w:type="dxa"/>
          <w:right w:w="10" w:type="dxa"/>
        </w:tblCellMar>
      </w:tblPr>
      <w:tblGrid>
        <w:gridCol w:w="694"/>
        <w:gridCol w:w="1202"/>
        <w:gridCol w:w="1967"/>
        <w:gridCol w:w="1651"/>
        <w:gridCol w:w="1341"/>
        <w:gridCol w:w="1508"/>
      </w:tblGrid>
      <w:tr>
        <w:tblPrEx>
          <w:tblCellMar>
            <w:top w:w="0" w:type="dxa"/>
            <w:left w:w="10" w:type="dxa"/>
            <w:bottom w:w="0" w:type="dxa"/>
            <w:right w:w="10" w:type="dxa"/>
          </w:tblCellMar>
        </w:tblPrEx>
        <w:trPr>
          <w:trHeight w:val="695" w:hRule="exact"/>
          <w:jc w:val="center"/>
        </w:trPr>
        <w:tc>
          <w:tcPr>
            <w:tcW w:w="694" w:type="dxa"/>
            <w:tcBorders>
              <w:top w:val="single" w:color="auto" w:sz="4" w:space="0"/>
              <w:left w:val="single" w:color="auto" w:sz="4" w:space="0"/>
            </w:tcBorders>
            <w:shd w:val="clear" w:color="auto" w:fill="FFFFFF"/>
            <w:vAlign w:val="center"/>
          </w:tcPr>
          <w:p>
            <w:pPr>
              <w:pStyle w:val="35"/>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202" w:type="dxa"/>
            <w:tcBorders>
              <w:top w:val="single" w:color="auto" w:sz="4" w:space="0"/>
              <w:left w:val="single" w:color="auto" w:sz="4" w:space="0"/>
            </w:tcBorders>
            <w:shd w:val="clear" w:color="auto" w:fill="FFFFFF"/>
            <w:vAlign w:val="center"/>
          </w:tcPr>
          <w:p>
            <w:pPr>
              <w:pStyle w:val="35"/>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1967" w:type="dxa"/>
            <w:tcBorders>
              <w:top w:val="single" w:color="auto" w:sz="4" w:space="0"/>
              <w:left w:val="single" w:color="auto" w:sz="4" w:space="0"/>
            </w:tcBorders>
            <w:shd w:val="clear" w:color="auto" w:fill="FFFFFF"/>
            <w:vAlign w:val="center"/>
          </w:tcPr>
          <w:p>
            <w:pPr>
              <w:pStyle w:val="35"/>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招标参数</w:t>
            </w:r>
          </w:p>
        </w:tc>
        <w:tc>
          <w:tcPr>
            <w:tcW w:w="1651" w:type="dxa"/>
            <w:tcBorders>
              <w:top w:val="single" w:color="auto" w:sz="4" w:space="0"/>
              <w:left w:val="single" w:color="auto" w:sz="4" w:space="0"/>
            </w:tcBorders>
            <w:shd w:val="clear" w:color="auto" w:fill="FFFFFF"/>
            <w:vAlign w:val="center"/>
          </w:tcPr>
          <w:p>
            <w:pPr>
              <w:pStyle w:val="35"/>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响应参数</w:t>
            </w:r>
          </w:p>
        </w:tc>
        <w:tc>
          <w:tcPr>
            <w:tcW w:w="1341" w:type="dxa"/>
            <w:tcBorders>
              <w:top w:val="single" w:color="auto" w:sz="4" w:space="0"/>
              <w:left w:val="single" w:color="auto" w:sz="4" w:space="0"/>
            </w:tcBorders>
            <w:shd w:val="clear" w:color="auto" w:fill="FFFFFF"/>
            <w:vAlign w:val="center"/>
          </w:tcPr>
          <w:p>
            <w:pPr>
              <w:pStyle w:val="35"/>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偏离情况</w:t>
            </w:r>
          </w:p>
        </w:tc>
        <w:tc>
          <w:tcPr>
            <w:tcW w:w="1508" w:type="dxa"/>
            <w:tcBorders>
              <w:top w:val="single" w:color="auto" w:sz="4" w:space="0"/>
              <w:left w:val="single" w:color="auto" w:sz="4" w:space="0"/>
              <w:right w:val="single" w:color="auto" w:sz="4" w:space="0"/>
            </w:tcBorders>
            <w:shd w:val="clear" w:color="auto" w:fill="FFFFFF"/>
            <w:vAlign w:val="center"/>
          </w:tcPr>
          <w:p>
            <w:pPr>
              <w:pStyle w:val="35"/>
              <w:ind w:firstLine="48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说明</w:t>
            </w:r>
          </w:p>
        </w:tc>
      </w:tr>
      <w:tr>
        <w:tblPrEx>
          <w:tblCellMar>
            <w:top w:w="0" w:type="dxa"/>
            <w:left w:w="10" w:type="dxa"/>
            <w:bottom w:w="0" w:type="dxa"/>
            <w:right w:w="10" w:type="dxa"/>
          </w:tblCellMar>
        </w:tblPrEx>
        <w:trPr>
          <w:trHeight w:val="481" w:hRule="exact"/>
          <w:jc w:val="center"/>
        </w:trPr>
        <w:tc>
          <w:tcPr>
            <w:tcW w:w="694" w:type="dxa"/>
            <w:tcBorders>
              <w:top w:val="single" w:color="auto" w:sz="4" w:space="0"/>
              <w:left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2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96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5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4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08"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75" w:hRule="exact"/>
          <w:jc w:val="center"/>
        </w:trPr>
        <w:tc>
          <w:tcPr>
            <w:tcW w:w="694" w:type="dxa"/>
            <w:tcBorders>
              <w:top w:val="single" w:color="auto" w:sz="4" w:space="0"/>
              <w:left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2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96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5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4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08"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83" w:hRule="exact"/>
          <w:jc w:val="center"/>
        </w:trPr>
        <w:tc>
          <w:tcPr>
            <w:tcW w:w="694" w:type="dxa"/>
            <w:tcBorders>
              <w:top w:val="single" w:color="auto" w:sz="4" w:space="0"/>
              <w:left w:val="single" w:color="auto" w:sz="4" w:space="0"/>
            </w:tcBorders>
            <w:shd w:val="clear" w:color="auto" w:fill="FFFFFF"/>
            <w:vAlign w:val="center"/>
          </w:tcPr>
          <w:p>
            <w:pPr>
              <w:pStyle w:val="35"/>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2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96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5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4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08"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38"/>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凡响应文件中服务条款（包括项目工作时限要求、采购需求）与招标文件有偏差的，均应在此表中列出（内容较多的可以标注见响应文件第几页，偏差包括正偏差和负偏差），未在此表中列出的视同完全满足招标文件要求。</w:t>
      </w:r>
    </w:p>
    <w:p>
      <w:pPr>
        <w:pStyle w:val="33"/>
        <w:spacing w:after="0" w:line="36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附件十六：其他资料（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lang w:eastAsia="zh-CN"/>
          <w14:textFill>
            <w14:solidFill>
              <w14:schemeClr w14:val="tx1"/>
            </w14:solidFill>
          </w14:textFill>
        </w:rPr>
        <w:t>认为有必要提供的</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sz w:val="28"/>
          <w:szCs w:val="28"/>
          <w:highlight w:val="none"/>
          <w:lang w:eastAsia="zh-CN"/>
          <w14:textFill>
            <w14:solidFill>
              <w14:schemeClr w14:val="tx1"/>
            </w14:solidFill>
          </w14:textFill>
        </w:rPr>
        <w:t>其它材料）</w:t>
      </w:r>
    </w:p>
    <w:p>
      <w:pPr>
        <w:widowControl/>
        <w:spacing w:line="240" w:lineRule="auto"/>
        <w:ind w:firstLine="0" w:firstLineChars="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52" w:name="_Toc1212"/>
      <w:bookmarkStart w:id="53" w:name="_Toc41514355"/>
      <w:bookmarkStart w:id="54" w:name="_Toc12830"/>
      <w:bookmarkStart w:id="55" w:name="_Toc32031"/>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十七</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p>
    <w:bookmarkEnd w:id="52"/>
    <w:bookmarkEnd w:id="53"/>
    <w:bookmarkEnd w:id="54"/>
    <w:bookmarkEnd w:id="55"/>
    <w:p>
      <w:pPr>
        <w:spacing w:before="116" w:line="225" w:lineRule="auto"/>
        <w:ind w:left="1686"/>
        <w:jc w:val="center"/>
        <w:rPr>
          <w:rFonts w:hint="eastAsia" w:ascii="仿宋" w:hAnsi="仿宋" w:eastAsia="仿宋" w:cs="仿宋"/>
          <w:sz w:val="28"/>
          <w:szCs w:val="28"/>
          <w:highlight w:val="none"/>
          <w:lang w:eastAsia="zh-CN"/>
        </w:rPr>
      </w:pPr>
      <w:r>
        <w:rPr>
          <w:rFonts w:hint="eastAsia" w:ascii="仿宋" w:hAnsi="仿宋" w:eastAsia="仿宋" w:cs="仿宋"/>
          <w:spacing w:val="12"/>
          <w:sz w:val="28"/>
          <w:szCs w:val="28"/>
          <w:highlight w:val="none"/>
          <w:lang w:eastAsia="zh-CN"/>
          <w14:textOutline w14:w="6537" w14:cap="sq" w14:cmpd="sng">
            <w14:solidFill>
              <w14:srgbClr w14:val="000000"/>
            </w14:solidFill>
            <w14:prstDash w14:val="solid"/>
            <w14:bevel/>
          </w14:textOutline>
        </w:rPr>
        <w:t>中小</w:t>
      </w:r>
      <w:r>
        <w:rPr>
          <w:rFonts w:hint="eastAsia" w:ascii="仿宋" w:hAnsi="仿宋" w:eastAsia="仿宋" w:cs="仿宋"/>
          <w:spacing w:val="6"/>
          <w:sz w:val="28"/>
          <w:szCs w:val="28"/>
          <w:highlight w:val="none"/>
          <w14:textOutline w14:w="6537" w14:cap="sq" w14:cmpd="sng">
            <w14:solidFill>
              <w14:srgbClr w14:val="000000"/>
            </w14:solidFill>
            <w14:prstDash w14:val="solid"/>
            <w14:bevel/>
          </w14:textOutline>
        </w:rPr>
        <w:t>企业声明函</w:t>
      </w:r>
      <w:r>
        <w:rPr>
          <w:rFonts w:hint="eastAsia" w:ascii="仿宋" w:hAnsi="仿宋" w:eastAsia="仿宋" w:cs="仿宋"/>
          <w:spacing w:val="6"/>
          <w:sz w:val="28"/>
          <w:szCs w:val="28"/>
          <w:highlight w:val="none"/>
        </w:rPr>
        <w:t xml:space="preserve"> </w:t>
      </w:r>
      <w:r>
        <w:rPr>
          <w:rFonts w:hint="eastAsia" w:ascii="仿宋" w:hAnsi="仿宋" w:eastAsia="仿宋" w:cs="仿宋"/>
          <w:spacing w:val="6"/>
          <w:sz w:val="28"/>
          <w:szCs w:val="28"/>
          <w:highlight w:val="none"/>
          <w14:textOutline w14:w="6537" w14:cap="sq" w14:cmpd="sng">
            <w14:solidFill>
              <w14:srgbClr w14:val="000000"/>
            </w14:solidFill>
            <w14:prstDash w14:val="solid"/>
            <w14:bevel/>
          </w14:textOutline>
        </w:rPr>
        <w:t>(服务)</w:t>
      </w:r>
      <w:r>
        <w:rPr>
          <w:rFonts w:hint="eastAsia" w:ascii="仿宋" w:hAnsi="仿宋" w:eastAsia="仿宋" w:cs="仿宋"/>
          <w:spacing w:val="6"/>
          <w:sz w:val="28"/>
          <w:szCs w:val="28"/>
          <w:highlight w:val="none"/>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本公司 (联合体) 郑重声明，根据《政府采购促进中</w:t>
      </w:r>
      <w:r>
        <w:rPr>
          <w:rFonts w:hint="eastAsia" w:ascii="仿宋" w:hAnsi="仿宋" w:eastAsia="仿宋" w:cs="仿宋"/>
          <w:spacing w:val="5"/>
          <w:sz w:val="28"/>
          <w:szCs w:val="28"/>
          <w:highlight w:val="none"/>
        </w:rPr>
        <w:t>小</w:t>
      </w:r>
      <w:r>
        <w:rPr>
          <w:rFonts w:hint="eastAsia" w:ascii="仿宋" w:hAnsi="仿宋" w:eastAsia="仿宋" w:cs="仿宋"/>
          <w:sz w:val="28"/>
          <w:szCs w:val="28"/>
          <w:highlight w:val="none"/>
        </w:rPr>
        <w:t xml:space="preserve"> </w:t>
      </w:r>
      <w:r>
        <w:rPr>
          <w:rFonts w:hint="eastAsia" w:ascii="仿宋" w:hAnsi="仿宋" w:eastAsia="仿宋" w:cs="仿宋"/>
          <w:spacing w:val="-22"/>
          <w:sz w:val="28"/>
          <w:szCs w:val="28"/>
          <w:highlight w:val="none"/>
        </w:rPr>
        <w:t>企</w:t>
      </w:r>
      <w:r>
        <w:rPr>
          <w:rFonts w:hint="eastAsia" w:ascii="仿宋" w:hAnsi="仿宋" w:eastAsia="仿宋" w:cs="仿宋"/>
          <w:spacing w:val="-12"/>
          <w:sz w:val="28"/>
          <w:szCs w:val="28"/>
          <w:highlight w:val="none"/>
        </w:rPr>
        <w:t>业</w:t>
      </w:r>
      <w:r>
        <w:rPr>
          <w:rFonts w:hint="eastAsia" w:ascii="仿宋" w:hAnsi="仿宋" w:eastAsia="仿宋" w:cs="仿宋"/>
          <w:spacing w:val="-11"/>
          <w:sz w:val="28"/>
          <w:szCs w:val="28"/>
          <w:highlight w:val="none"/>
        </w:rPr>
        <w:t>发展管理办法》(财库 ﹝ 2020 ﹞ 46 号) 的规定，本公司</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(联合体</w:t>
      </w:r>
      <w:r>
        <w:rPr>
          <w:rFonts w:hint="eastAsia" w:ascii="仿宋" w:hAnsi="仿宋" w:eastAsia="仿宋" w:cs="仿宋"/>
          <w:spacing w:val="-7"/>
          <w:sz w:val="28"/>
          <w:szCs w:val="28"/>
          <w:highlight w:val="none"/>
        </w:rPr>
        <w:t>)</w:t>
      </w:r>
      <w:r>
        <w:rPr>
          <w:rFonts w:hint="eastAsia" w:ascii="仿宋" w:hAnsi="仿宋" w:eastAsia="仿宋" w:cs="仿宋"/>
          <w:spacing w:val="-5"/>
          <w:sz w:val="28"/>
          <w:szCs w:val="28"/>
          <w:highlight w:val="none"/>
        </w:rPr>
        <w:t xml:space="preserve"> 参加</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i/>
          <w:iCs/>
          <w:spacing w:val="-5"/>
          <w:sz w:val="28"/>
          <w:szCs w:val="28"/>
          <w:highlight w:val="none"/>
          <w:u w:val="single" w:color="auto"/>
        </w:rPr>
        <w:t>(单位名称)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 xml:space="preserve"> 的</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i/>
          <w:iCs/>
          <w:spacing w:val="-5"/>
          <w:sz w:val="28"/>
          <w:szCs w:val="28"/>
          <w:highlight w:val="none"/>
          <w:u w:val="single" w:color="auto"/>
        </w:rPr>
        <w:t>(项目名称)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采购活动，工</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程</w:t>
      </w:r>
      <w:r>
        <w:rPr>
          <w:rFonts w:hint="eastAsia" w:ascii="仿宋" w:hAnsi="仿宋" w:eastAsia="仿宋" w:cs="仿宋"/>
          <w:spacing w:val="8"/>
          <w:sz w:val="28"/>
          <w:szCs w:val="28"/>
          <w:highlight w:val="none"/>
        </w:rPr>
        <w:t>的施工单位全部为符合政策要求的中小企业 (或者：服务</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全部由符合政策要求的中小企业承接) 。相关企业 (含联</w:t>
      </w:r>
      <w:r>
        <w:rPr>
          <w:rFonts w:hint="eastAsia" w:ascii="仿宋" w:hAnsi="仿宋" w:eastAsia="仿宋" w:cs="仿宋"/>
          <w:spacing w:val="5"/>
          <w:sz w:val="28"/>
          <w:szCs w:val="28"/>
          <w:highlight w:val="none"/>
        </w:rPr>
        <w:t>合</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体</w:t>
      </w:r>
      <w:r>
        <w:rPr>
          <w:rFonts w:hint="eastAsia" w:ascii="仿宋" w:hAnsi="仿宋" w:eastAsia="仿宋" w:cs="仿宋"/>
          <w:spacing w:val="8"/>
          <w:sz w:val="28"/>
          <w:szCs w:val="28"/>
          <w:highlight w:val="none"/>
        </w:rPr>
        <w:t>中的中小企业、签订分包意向协议的中小企业) 的具体情</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况如下</w:t>
      </w:r>
      <w:r>
        <w:rPr>
          <w:rFonts w:hint="eastAsia" w:ascii="仿宋" w:hAnsi="仿宋" w:eastAsia="仿宋" w:cs="仿宋"/>
          <w:spacing w:val="1"/>
          <w:sz w:val="28"/>
          <w:szCs w:val="28"/>
          <w:highlight w:val="none"/>
        </w:rPr>
        <w:t>：</w:t>
      </w:r>
    </w:p>
    <w:p>
      <w:pPr>
        <w:spacing w:before="1" w:line="214" w:lineRule="auto"/>
        <w:ind w:left="68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i/>
          <w:iCs/>
          <w:spacing w:val="-6"/>
          <w:sz w:val="28"/>
          <w:szCs w:val="28"/>
          <w:highlight w:val="none"/>
          <w:u w:val="single" w:color="auto"/>
        </w:rPr>
        <w:t>(标的</w:t>
      </w:r>
      <w:r>
        <w:rPr>
          <w:rFonts w:hint="eastAsia" w:ascii="仿宋" w:hAnsi="仿宋" w:eastAsia="仿宋" w:cs="仿宋"/>
          <w:i/>
          <w:iCs/>
          <w:spacing w:val="-4"/>
          <w:sz w:val="28"/>
          <w:szCs w:val="28"/>
          <w:highlight w:val="none"/>
          <w:u w:val="single" w:color="auto"/>
        </w:rPr>
        <w:t>名</w:t>
      </w:r>
      <w:r>
        <w:rPr>
          <w:rFonts w:hint="eastAsia" w:ascii="仿宋" w:hAnsi="仿宋" w:eastAsia="仿宋" w:cs="仿宋"/>
          <w:i/>
          <w:iCs/>
          <w:spacing w:val="-3"/>
          <w:sz w:val="28"/>
          <w:szCs w:val="28"/>
          <w:highlight w:val="none"/>
          <w:u w:val="single" w:color="auto"/>
        </w:rPr>
        <w:t>称)</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，属于</w:t>
      </w:r>
      <w:r>
        <w:rPr>
          <w:rFonts w:hint="eastAsia" w:ascii="仿宋" w:hAnsi="仿宋" w:eastAsia="仿宋" w:cs="仿宋"/>
          <w:i/>
          <w:iCs/>
          <w:spacing w:val="-3"/>
          <w:sz w:val="28"/>
          <w:szCs w:val="28"/>
          <w:highlight w:val="none"/>
          <w:u w:val="single" w:color="auto"/>
        </w:rPr>
        <w:t>(采购文件中明确的所属行业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p>
    <w:p>
      <w:pPr>
        <w:spacing w:before="137" w:line="211" w:lineRule="auto"/>
        <w:ind w:left="3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承建</w:t>
      </w:r>
      <w:r>
        <w:rPr>
          <w:rFonts w:hint="eastAsia" w:ascii="仿宋" w:hAnsi="仿宋" w:eastAsia="仿宋" w:cs="仿宋"/>
          <w:spacing w:val="11"/>
          <w:sz w:val="28"/>
          <w:szCs w:val="28"/>
          <w:highlight w:val="none"/>
        </w:rPr>
        <w:t xml:space="preserve"> </w:t>
      </w:r>
      <w:r>
        <w:rPr>
          <w:rFonts w:hint="eastAsia" w:ascii="仿宋" w:hAnsi="仿宋" w:eastAsia="仿宋" w:cs="仿宋"/>
          <w:spacing w:val="8"/>
          <w:sz w:val="28"/>
          <w:szCs w:val="28"/>
          <w:highlight w:val="none"/>
        </w:rPr>
        <w:t>(承接) 企业为</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i/>
          <w:iCs/>
          <w:spacing w:val="8"/>
          <w:sz w:val="28"/>
          <w:szCs w:val="28"/>
          <w:highlight w:val="none"/>
          <w:u w:val="single" w:color="auto"/>
        </w:rPr>
        <w:t>(企业名称</w:t>
      </w:r>
      <w:r>
        <w:rPr>
          <w:rFonts w:hint="eastAsia" w:ascii="仿宋" w:hAnsi="仿宋" w:eastAsia="仿宋" w:cs="仿宋"/>
          <w:i/>
          <w:iCs/>
          <w:spacing w:val="8"/>
          <w:sz w:val="28"/>
          <w:szCs w:val="28"/>
          <w:highlight w:val="none"/>
        </w:rPr>
        <w:t>)</w:t>
      </w:r>
      <w:r>
        <w:rPr>
          <w:rFonts w:hint="eastAsia" w:ascii="仿宋" w:hAnsi="仿宋" w:eastAsia="仿宋" w:cs="仿宋"/>
          <w:spacing w:val="8"/>
          <w:sz w:val="28"/>
          <w:szCs w:val="28"/>
          <w:highlight w:val="none"/>
        </w:rPr>
        <w:t>，从业人员</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8"/>
          <w:sz w:val="28"/>
          <w:szCs w:val="28"/>
          <w:highlight w:val="none"/>
        </w:rPr>
        <w:t>人，营业</w:t>
      </w:r>
    </w:p>
    <w:p>
      <w:pPr>
        <w:spacing w:line="324" w:lineRule="auto"/>
        <w:ind w:left="5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收入为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万元，资</w:t>
      </w:r>
      <w:r>
        <w:rPr>
          <w:rFonts w:hint="eastAsia" w:ascii="仿宋" w:hAnsi="仿宋" w:eastAsia="仿宋" w:cs="仿宋"/>
          <w:sz w:val="28"/>
          <w:szCs w:val="28"/>
          <w:highlight w:val="none"/>
        </w:rPr>
        <w:t>产总额为</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万元</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 </w:instrText>
      </w:r>
      <w:r>
        <w:rPr>
          <w:rFonts w:hint="eastAsia" w:ascii="仿宋" w:hAnsi="仿宋" w:eastAsia="仿宋" w:cs="仿宋"/>
          <w:sz w:val="28"/>
          <w:szCs w:val="28"/>
          <w:highlight w:val="none"/>
        </w:rPr>
        <w:fldChar w:fldCharType="separate"/>
      </w:r>
      <w:r>
        <w:rPr>
          <w:rFonts w:hint="eastAsia" w:ascii="仿宋" w:hAnsi="仿宋" w:eastAsia="仿宋" w:cs="仿宋"/>
          <w:position w:val="16"/>
          <w:sz w:val="28"/>
          <w:szCs w:val="28"/>
          <w:highlight w:val="none"/>
        </w:rPr>
        <w:t>1</w:t>
      </w:r>
      <w:r>
        <w:rPr>
          <w:rFonts w:hint="eastAsia" w:ascii="仿宋" w:hAnsi="仿宋" w:eastAsia="仿宋" w:cs="仿宋"/>
          <w:position w:val="16"/>
          <w:sz w:val="28"/>
          <w:szCs w:val="28"/>
          <w:highlight w:val="none"/>
        </w:rPr>
        <w:fldChar w:fldCharType="end"/>
      </w:r>
      <w:r>
        <w:rPr>
          <w:rFonts w:hint="eastAsia" w:ascii="仿宋" w:hAnsi="仿宋" w:eastAsia="仿宋" w:cs="仿宋"/>
          <w:position w:val="16"/>
          <w:sz w:val="28"/>
          <w:szCs w:val="28"/>
          <w:highlight w:val="none"/>
        </w:rPr>
        <w:t xml:space="preserve"> </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color="auto"/>
        </w:rPr>
        <w:t xml:space="preserve"> </w:t>
      </w:r>
      <w:r>
        <w:rPr>
          <w:rFonts w:hint="eastAsia" w:ascii="仿宋" w:hAnsi="仿宋" w:eastAsia="仿宋" w:cs="仿宋"/>
          <w:i/>
          <w:iCs/>
          <w:sz w:val="28"/>
          <w:szCs w:val="28"/>
          <w:highlight w:val="none"/>
          <w:u w:val="single" w:color="auto"/>
        </w:rPr>
        <w:t>(中型企业、</w:t>
      </w:r>
    </w:p>
    <w:p>
      <w:pPr>
        <w:spacing w:before="82" w:line="217" w:lineRule="auto"/>
        <w:ind w:left="18"/>
        <w:rPr>
          <w:rFonts w:hint="eastAsia" w:ascii="仿宋" w:hAnsi="仿宋" w:eastAsia="仿宋" w:cs="仿宋"/>
          <w:sz w:val="28"/>
          <w:szCs w:val="28"/>
          <w:highlight w:val="none"/>
        </w:rPr>
      </w:pPr>
      <w:r>
        <w:rPr>
          <w:rFonts w:hint="eastAsia" w:ascii="仿宋" w:hAnsi="仿宋" w:eastAsia="仿宋" w:cs="仿宋"/>
          <w:i/>
          <w:iCs/>
          <w:spacing w:val="-4"/>
          <w:sz w:val="28"/>
          <w:szCs w:val="28"/>
          <w:highlight w:val="none"/>
          <w:u w:val="single" w:color="auto"/>
        </w:rPr>
        <w:t>小</w:t>
      </w:r>
      <w:r>
        <w:rPr>
          <w:rFonts w:hint="eastAsia" w:ascii="仿宋" w:hAnsi="仿宋" w:eastAsia="仿宋" w:cs="仿宋"/>
          <w:i/>
          <w:iCs/>
          <w:spacing w:val="-3"/>
          <w:sz w:val="28"/>
          <w:szCs w:val="28"/>
          <w:highlight w:val="none"/>
          <w:u w:val="single" w:color="auto"/>
        </w:rPr>
        <w:t>型企业、微型企业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p>
    <w:p>
      <w:pPr>
        <w:spacing w:before="133" w:line="291" w:lineRule="auto"/>
        <w:ind w:left="18" w:firstLine="65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i/>
          <w:iCs/>
          <w:spacing w:val="-3"/>
          <w:sz w:val="28"/>
          <w:szCs w:val="28"/>
          <w:highlight w:val="none"/>
          <w:u w:val="single" w:color="auto"/>
        </w:rPr>
        <w:t>(标的名称)</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，属于</w:t>
      </w:r>
      <w:r>
        <w:rPr>
          <w:rFonts w:hint="eastAsia" w:ascii="仿宋" w:hAnsi="仿宋" w:eastAsia="仿宋" w:cs="仿宋"/>
          <w:i/>
          <w:iCs/>
          <w:spacing w:val="-3"/>
          <w:sz w:val="28"/>
          <w:szCs w:val="28"/>
          <w:highlight w:val="none"/>
          <w:u w:val="single" w:color="auto"/>
        </w:rPr>
        <w:t>(采购文件中明确的所属行业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承</w:t>
      </w:r>
      <w:r>
        <w:rPr>
          <w:rFonts w:hint="eastAsia" w:ascii="仿宋" w:hAnsi="仿宋" w:eastAsia="仿宋" w:cs="仿宋"/>
          <w:spacing w:val="9"/>
          <w:sz w:val="28"/>
          <w:szCs w:val="28"/>
          <w:highlight w:val="none"/>
        </w:rPr>
        <w:t>建 (承接) 企业为</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i/>
          <w:iCs/>
          <w:spacing w:val="9"/>
          <w:sz w:val="28"/>
          <w:szCs w:val="28"/>
          <w:highlight w:val="none"/>
          <w:u w:val="single" w:color="auto"/>
        </w:rPr>
        <w:t>(企业名称</w:t>
      </w:r>
      <w:r>
        <w:rPr>
          <w:rFonts w:hint="eastAsia" w:ascii="仿宋" w:hAnsi="仿宋" w:eastAsia="仿宋" w:cs="仿宋"/>
          <w:i/>
          <w:iCs/>
          <w:spacing w:val="9"/>
          <w:sz w:val="28"/>
          <w:szCs w:val="28"/>
          <w:highlight w:val="none"/>
        </w:rPr>
        <w:t>)</w:t>
      </w:r>
      <w:r>
        <w:rPr>
          <w:rFonts w:hint="eastAsia" w:ascii="仿宋" w:hAnsi="仿宋" w:eastAsia="仿宋" w:cs="仿宋"/>
          <w:spacing w:val="9"/>
          <w:sz w:val="28"/>
          <w:szCs w:val="28"/>
          <w:highlight w:val="none"/>
        </w:rPr>
        <w:t>，从业人员</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人，营业</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收入为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万元，资产总额为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万元，属于</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i/>
          <w:iCs/>
          <w:spacing w:val="4"/>
          <w:sz w:val="28"/>
          <w:szCs w:val="28"/>
          <w:highlight w:val="none"/>
          <w:u w:val="single" w:color="auto"/>
        </w:rPr>
        <w:t>(中型企业</w:t>
      </w:r>
      <w:r>
        <w:rPr>
          <w:rFonts w:hint="eastAsia" w:ascii="仿宋" w:hAnsi="仿宋" w:eastAsia="仿宋" w:cs="仿宋"/>
          <w:i/>
          <w:iCs/>
          <w:spacing w:val="1"/>
          <w:sz w:val="28"/>
          <w:szCs w:val="28"/>
          <w:highlight w:val="none"/>
          <w:u w:val="single" w:color="auto"/>
        </w:rPr>
        <w:t>、</w:t>
      </w:r>
      <w:r>
        <w:rPr>
          <w:rFonts w:hint="eastAsia" w:ascii="仿宋" w:hAnsi="仿宋" w:eastAsia="仿宋" w:cs="仿宋"/>
          <w:sz w:val="28"/>
          <w:szCs w:val="28"/>
          <w:highlight w:val="none"/>
        </w:rPr>
        <w:t xml:space="preserve"> </w:t>
      </w:r>
      <w:r>
        <w:rPr>
          <w:rFonts w:hint="eastAsia" w:ascii="仿宋" w:hAnsi="仿宋" w:eastAsia="仿宋" w:cs="仿宋"/>
          <w:i/>
          <w:iCs/>
          <w:spacing w:val="-4"/>
          <w:sz w:val="28"/>
          <w:szCs w:val="28"/>
          <w:highlight w:val="none"/>
          <w:u w:val="single" w:color="auto"/>
        </w:rPr>
        <w:t>小</w:t>
      </w:r>
      <w:r>
        <w:rPr>
          <w:rFonts w:hint="eastAsia" w:ascii="仿宋" w:hAnsi="仿宋" w:eastAsia="仿宋" w:cs="仿宋"/>
          <w:i/>
          <w:iCs/>
          <w:spacing w:val="-3"/>
          <w:sz w:val="28"/>
          <w:szCs w:val="28"/>
          <w:highlight w:val="none"/>
          <w:u w:val="single" w:color="auto"/>
        </w:rPr>
        <w:t>型企业、微型企业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p>
    <w:p>
      <w:pPr>
        <w:spacing w:line="504" w:lineRule="exact"/>
        <w:ind w:left="688"/>
        <w:rPr>
          <w:rFonts w:hint="eastAsia" w:ascii="仿宋" w:hAnsi="仿宋" w:eastAsia="仿宋" w:cs="仿宋"/>
          <w:sz w:val="28"/>
          <w:szCs w:val="28"/>
          <w:highlight w:val="none"/>
        </w:rPr>
      </w:pPr>
      <w:r>
        <w:rPr>
          <w:rFonts w:hint="eastAsia" w:ascii="仿宋" w:hAnsi="仿宋" w:eastAsia="仿宋" w:cs="仿宋"/>
          <w:spacing w:val="5"/>
          <w:position w:val="4"/>
          <w:sz w:val="28"/>
          <w:szCs w:val="28"/>
          <w:highlight w:val="none"/>
        </w:rPr>
        <w:t>…</w:t>
      </w:r>
      <w:r>
        <w:rPr>
          <w:rFonts w:hint="eastAsia" w:ascii="仿宋" w:hAnsi="仿宋" w:eastAsia="仿宋" w:cs="仿宋"/>
          <w:spacing w:val="4"/>
          <w:position w:val="4"/>
          <w:sz w:val="28"/>
          <w:szCs w:val="28"/>
          <w:highlight w:val="none"/>
        </w:rPr>
        <w:t>…</w:t>
      </w:r>
    </w:p>
    <w:p>
      <w:pPr>
        <w:spacing w:before="13" w:line="310" w:lineRule="auto"/>
        <w:ind w:right="86"/>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以上企业，不属于大企业的分支机构，不存在控股股</w:t>
      </w:r>
      <w:r>
        <w:rPr>
          <w:rFonts w:hint="eastAsia" w:ascii="仿宋" w:hAnsi="仿宋" w:eastAsia="仿宋" w:cs="仿宋"/>
          <w:spacing w:val="3"/>
          <w:sz w:val="28"/>
          <w:szCs w:val="28"/>
          <w:highlight w:val="none"/>
        </w:rPr>
        <w:t>东</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为大</w:t>
      </w:r>
      <w:r>
        <w:rPr>
          <w:rFonts w:hint="eastAsia" w:ascii="仿宋" w:hAnsi="仿宋" w:eastAsia="仿宋" w:cs="仿宋"/>
          <w:spacing w:val="8"/>
          <w:sz w:val="28"/>
          <w:szCs w:val="28"/>
          <w:highlight w:val="none"/>
        </w:rPr>
        <w:t>企业的情形，也不存在与大企业的负责人为同一人的情</w:t>
      </w:r>
      <w:r>
        <w:rPr>
          <w:rFonts w:hint="eastAsia" w:ascii="仿宋" w:hAnsi="仿宋" w:eastAsia="仿宋" w:cs="仿宋"/>
          <w:spacing w:val="-7"/>
          <w:sz w:val="28"/>
          <w:szCs w:val="28"/>
          <w:highlight w:val="none"/>
        </w:rPr>
        <w:t>形</w:t>
      </w:r>
      <w:r>
        <w:rPr>
          <w:rFonts w:hint="eastAsia" w:ascii="仿宋" w:hAnsi="仿宋" w:eastAsia="仿宋" w:cs="仿宋"/>
          <w:spacing w:val="-6"/>
          <w:sz w:val="28"/>
          <w:szCs w:val="28"/>
          <w:highlight w:val="none"/>
        </w:rPr>
        <w:t>。</w:t>
      </w:r>
    </w:p>
    <w:p>
      <w:pPr>
        <w:spacing w:before="1" w:line="319" w:lineRule="auto"/>
        <w:ind w:left="45" w:right="88" w:firstLine="631"/>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8"/>
          <w:sz w:val="28"/>
          <w:szCs w:val="28"/>
          <w:highlight w:val="none"/>
        </w:rPr>
        <w:t>企业对上述声明内容的真实性负责。如有虚假，将依</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法</w:t>
      </w:r>
      <w:r>
        <w:rPr>
          <w:rFonts w:hint="eastAsia" w:ascii="仿宋" w:hAnsi="仿宋" w:eastAsia="仿宋" w:cs="仿宋"/>
          <w:spacing w:val="5"/>
          <w:sz w:val="28"/>
          <w:szCs w:val="28"/>
          <w:highlight w:val="none"/>
        </w:rPr>
        <w:t>承</w:t>
      </w:r>
      <w:r>
        <w:rPr>
          <w:rFonts w:hint="eastAsia" w:ascii="仿宋" w:hAnsi="仿宋" w:eastAsia="仿宋" w:cs="仿宋"/>
          <w:spacing w:val="4"/>
          <w:sz w:val="28"/>
          <w:szCs w:val="28"/>
          <w:highlight w:val="none"/>
        </w:rPr>
        <w:t>担相应责任。</w:t>
      </w:r>
    </w:p>
    <w:p>
      <w:pPr>
        <w:pStyle w:val="34"/>
        <w:adjustRightInd w:val="0"/>
        <w:snapToGrid w:val="0"/>
        <w:spacing w:line="500" w:lineRule="exact"/>
        <w:rPr>
          <w:rFonts w:hint="eastAsia" w:ascii="仿宋" w:hAnsi="仿宋" w:eastAsia="仿宋" w:cs="仿宋"/>
          <w:color w:val="auto"/>
          <w:sz w:val="28"/>
          <w:szCs w:val="28"/>
          <w:highlight w:val="none"/>
        </w:rPr>
      </w:pPr>
      <w:bookmarkStart w:id="56" w:name="_bookmark2"/>
      <w:bookmarkEnd w:id="56"/>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21"/>
        <w:ind w:left="0" w:leftChars="0" w:firstLine="0" w:firstLineChars="0"/>
        <w:rPr>
          <w:rFonts w:hint="eastAsia"/>
          <w:highlight w:val="none"/>
        </w:rPr>
        <w:sectPr>
          <w:headerReference r:id="rId14" w:type="default"/>
          <w:footerReference r:id="rId15" w:type="default"/>
          <w:pgSz w:w="11906" w:h="16838"/>
          <w:pgMar w:top="1440" w:right="1800" w:bottom="1440" w:left="1800" w:header="851" w:footer="992" w:gutter="0"/>
          <w:cols w:space="720" w:num="1"/>
          <w:docGrid w:type="lines" w:linePitch="312" w:charSpace="0"/>
        </w:sectPr>
      </w:pPr>
    </w:p>
    <w:p>
      <w:pPr>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bookmarkStart w:id="57" w:name="2_、残疾人福利性单位声明函（如有）"/>
      <w:bookmarkEnd w:id="57"/>
      <w:bookmarkStart w:id="58" w:name="_Toc25003"/>
      <w:bookmarkStart w:id="59" w:name="_Toc29032"/>
      <w:bookmarkStart w:id="60" w:name="_Toc7178"/>
      <w:bookmarkStart w:id="61" w:name="_Toc30498"/>
      <w:r>
        <w:rPr>
          <w:rFonts w:hint="eastAsia" w:ascii="仿宋" w:hAnsi="仿宋" w:eastAsia="仿宋" w:cs="仿宋"/>
          <w:color w:val="000000" w:themeColor="text1"/>
          <w:sz w:val="30"/>
          <w:szCs w:val="30"/>
          <w:highlight w:val="none"/>
          <w:lang w:eastAsia="zh-CN"/>
          <w14:textFill>
            <w14:solidFill>
              <w14:schemeClr w14:val="tx1"/>
            </w14:solidFill>
          </w14:textFill>
        </w:rPr>
        <w:t>2、残疾人福利性单位声明函（如有）</w:t>
      </w:r>
      <w:bookmarkEnd w:id="58"/>
      <w:bookmarkEnd w:id="59"/>
      <w:bookmarkEnd w:id="60"/>
      <w:bookmarkEnd w:id="61"/>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 w:eastAsia="zh-CN"/>
          <w14:textFill>
            <w14:solidFill>
              <w14:schemeClr w14:val="tx1"/>
            </w14:solidFill>
          </w14:textFill>
        </w:rPr>
        <w:t>招标人</w:t>
      </w:r>
      <w:r>
        <w:rPr>
          <w:rFonts w:hint="eastAsia" w:ascii="仿宋" w:hAnsi="仿宋" w:eastAsia="仿宋" w:cs="仿宋"/>
          <w:color w:val="000000" w:themeColor="text1"/>
          <w:sz w:val="30"/>
          <w:szCs w:val="30"/>
          <w:highlight w:val="none"/>
          <w:lang w:eastAsia="zh-CN"/>
          <w14:textFill>
            <w14:solidFill>
              <w14:schemeClr w14:val="tx1"/>
            </w14:solidFill>
          </w14:textFill>
        </w:rPr>
        <w:t>）单位的</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项目采购活动提供本单位制造的货物</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（由本单位承担工程/提供服务）</w:t>
      </w:r>
      <w:r>
        <w:rPr>
          <w:rFonts w:hint="eastAsia" w:ascii="仿宋" w:hAnsi="仿宋" w:eastAsia="仿宋" w:cs="仿宋"/>
          <w:color w:val="000000" w:themeColor="text1"/>
          <w:sz w:val="30"/>
          <w:szCs w:val="30"/>
          <w:highlight w:val="none"/>
          <w:lang w:eastAsia="zh-CN"/>
          <w14:textFill>
            <w14:solidFill>
              <w14:schemeClr w14:val="tx1"/>
            </w14:solidFill>
          </w14:textFill>
        </w:rPr>
        <w:t>，或者提供其他残疾人福利性单位制造的货物（不包括使用非残疾人福利性单位注册商标的货物）。</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本单位对上述声明的真实性负责。如有虚假，将依法承担相应责任。</w:t>
      </w: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3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jc w:val="center"/>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62" w:name="3_、监狱企业证明材料（如有）"/>
      <w:bookmarkEnd w:id="62"/>
      <w:bookmarkStart w:id="63" w:name="_Toc22085"/>
      <w:bookmarkStart w:id="64" w:name="_Toc3980"/>
      <w:bookmarkStart w:id="65" w:name="_Toc13043"/>
      <w:r>
        <w:rPr>
          <w:rFonts w:hint="eastAsia" w:ascii="仿宋" w:hAnsi="仿宋" w:eastAsia="仿宋" w:cs="仿宋"/>
          <w:color w:val="000000" w:themeColor="text1"/>
          <w:sz w:val="30"/>
          <w:szCs w:val="30"/>
          <w:highlight w:val="none"/>
          <w:lang w:eastAsia="zh-CN"/>
          <w14:textFill>
            <w14:solidFill>
              <w14:schemeClr w14:val="tx1"/>
            </w14:solidFill>
          </w14:textFill>
        </w:rPr>
        <w:t>3 、监狱企业证明材料（如有）</w:t>
      </w:r>
      <w:bookmarkEnd w:id="63"/>
      <w:bookmarkEnd w:id="64"/>
      <w:bookmarkEnd w:id="65"/>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2.证明材料加盖投标人公章。</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3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39"/>
        <w:outlineLvl w:val="9"/>
        <w:rPr>
          <w:rFonts w:hint="eastAsia" w:ascii="仿宋" w:hAnsi="仿宋" w:eastAsia="仿宋" w:cs="仿宋"/>
          <w:color w:val="auto"/>
          <w:sz w:val="28"/>
          <w:szCs w:val="28"/>
          <w:highlight w:val="none"/>
        </w:rPr>
      </w:pPr>
    </w:p>
    <w:p>
      <w:pPr>
        <w:pStyle w:val="20"/>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bidi w:val="0"/>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附件十八、</w:t>
      </w:r>
    </w:p>
    <w:p>
      <w:pPr>
        <w:bidi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zh-TW" w:eastAsia="zh-TW"/>
        </w:rPr>
        <w:t>★</w:t>
      </w:r>
      <w:r>
        <w:rPr>
          <w:rFonts w:hint="eastAsia" w:ascii="仿宋" w:hAnsi="仿宋" w:eastAsia="仿宋" w:cs="仿宋"/>
          <w:b/>
          <w:bCs/>
          <w:sz w:val="28"/>
          <w:szCs w:val="28"/>
          <w:highlight w:val="none"/>
        </w:rPr>
        <w:t>不参与围标串标承诺书</w:t>
      </w:r>
    </w:p>
    <w:p>
      <w:pPr>
        <w:bidi w:val="0"/>
        <w:rPr>
          <w:rFonts w:hint="eastAsia" w:ascii="仿宋" w:hAnsi="仿宋" w:eastAsia="仿宋" w:cs="仿宋"/>
          <w:sz w:val="28"/>
          <w:szCs w:val="28"/>
          <w:highlight w:val="none"/>
        </w:rPr>
      </w:pPr>
      <w:bookmarkStart w:id="66" w:name="_Toc22899"/>
      <w:bookmarkStart w:id="67" w:name="_Toc13630"/>
      <w:bookmarkStart w:id="68" w:name="_Toc22220"/>
      <w:r>
        <w:rPr>
          <w:rFonts w:hint="eastAsia" w:ascii="仿宋" w:hAnsi="仿宋" w:eastAsia="仿宋" w:cs="仿宋"/>
          <w:sz w:val="28"/>
          <w:szCs w:val="28"/>
          <w:highlight w:val="none"/>
        </w:rPr>
        <w:t>不参与围标串标承诺书</w:t>
      </w:r>
      <w:bookmarkEnd w:id="66"/>
      <w:bookmarkEnd w:id="67"/>
      <w:bookmarkEnd w:id="68"/>
    </w:p>
    <w:p>
      <w:pPr>
        <w:pStyle w:val="40"/>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40"/>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40"/>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40"/>
        <w:widowControl/>
        <w:adjustRightInd w:val="0"/>
        <w:snapToGrid w:val="0"/>
        <w:spacing w:line="360" w:lineRule="auto"/>
        <w:jc w:val="left"/>
        <w:rPr>
          <w:rFonts w:hint="eastAsia" w:ascii="仿宋" w:hAnsi="仿宋" w:eastAsia="仿宋" w:cs="仿宋"/>
          <w:color w:val="auto"/>
          <w:spacing w:val="6"/>
          <w:kern w:val="0"/>
          <w:sz w:val="28"/>
          <w:szCs w:val="28"/>
          <w:highlight w:val="none"/>
        </w:rPr>
      </w:pPr>
      <w:bookmarkStart w:id="69" w:name="_Toc11508"/>
      <w:bookmarkStart w:id="70" w:name="_Toc17345"/>
      <w:bookmarkStart w:id="71" w:name="_Toc139"/>
      <w:r>
        <w:rPr>
          <w:rFonts w:hint="eastAsia" w:ascii="仿宋" w:hAnsi="仿宋" w:eastAsia="仿宋" w:cs="仿宋"/>
          <w:color w:val="auto"/>
          <w:spacing w:val="6"/>
          <w:kern w:val="0"/>
          <w:sz w:val="28"/>
          <w:szCs w:val="28"/>
          <w:highlight w:val="none"/>
        </w:rPr>
        <w:t>二、我单位在本项目招标投标活动中，未参与围标串标。</w:t>
      </w:r>
      <w:bookmarkEnd w:id="69"/>
      <w:bookmarkEnd w:id="70"/>
      <w:bookmarkEnd w:id="71"/>
    </w:p>
    <w:p>
      <w:pPr>
        <w:pStyle w:val="40"/>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40"/>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40"/>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3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3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3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34"/>
        <w:spacing w:line="500" w:lineRule="exact"/>
        <w:rPr>
          <w:rFonts w:hint="eastAsia" w:ascii="仿宋" w:hAnsi="仿宋" w:eastAsia="仿宋" w:cs="仿宋"/>
          <w:color w:val="auto"/>
          <w:sz w:val="28"/>
          <w:szCs w:val="28"/>
          <w:highlight w:val="none"/>
        </w:rPr>
      </w:pPr>
    </w:p>
    <w:p>
      <w:pPr>
        <w:pStyle w:val="34"/>
        <w:spacing w:line="500" w:lineRule="exact"/>
        <w:rPr>
          <w:rFonts w:hint="eastAsia" w:ascii="仿宋" w:hAnsi="仿宋" w:eastAsia="仿宋" w:cs="仿宋"/>
          <w:color w:val="auto"/>
          <w:sz w:val="28"/>
          <w:szCs w:val="28"/>
          <w:highlight w:val="none"/>
        </w:rPr>
      </w:pPr>
    </w:p>
    <w:p>
      <w:pPr>
        <w:pStyle w:val="34"/>
        <w:spacing w:line="500" w:lineRule="exact"/>
        <w:rPr>
          <w:rFonts w:hint="eastAsia" w:ascii="仿宋" w:hAnsi="仿宋" w:eastAsia="仿宋" w:cs="仿宋"/>
          <w:color w:val="auto"/>
          <w:sz w:val="28"/>
          <w:szCs w:val="28"/>
          <w:highlight w:val="none"/>
        </w:rPr>
      </w:pPr>
    </w:p>
    <w:p>
      <w:pPr>
        <w:pStyle w:val="34"/>
        <w:spacing w:line="500" w:lineRule="exact"/>
        <w:rPr>
          <w:rFonts w:hint="eastAsia" w:ascii="仿宋" w:hAnsi="仿宋" w:eastAsia="仿宋" w:cs="仿宋"/>
          <w:color w:val="auto"/>
          <w:sz w:val="28"/>
          <w:szCs w:val="28"/>
          <w:highlight w:val="none"/>
        </w:rPr>
      </w:pPr>
    </w:p>
    <w:p>
      <w:pPr>
        <w:pStyle w:val="34"/>
        <w:spacing w:line="500" w:lineRule="exact"/>
        <w:rPr>
          <w:rFonts w:hint="eastAsia" w:ascii="仿宋" w:hAnsi="仿宋" w:eastAsia="仿宋" w:cs="仿宋"/>
          <w:color w:val="auto"/>
          <w:sz w:val="28"/>
          <w:szCs w:val="28"/>
          <w:highlight w:val="none"/>
        </w:rPr>
      </w:pPr>
    </w:p>
    <w:p>
      <w:pPr>
        <w:pStyle w:val="34"/>
        <w:spacing w:line="500" w:lineRule="exact"/>
        <w:rPr>
          <w:rFonts w:hint="eastAsia" w:ascii="仿宋" w:hAnsi="仿宋" w:eastAsia="仿宋" w:cs="仿宋"/>
          <w:b/>
          <w:bCs/>
          <w:color w:val="auto"/>
          <w:sz w:val="28"/>
          <w:szCs w:val="28"/>
          <w:highlight w:val="none"/>
          <w:lang w:eastAsia="zh-CN"/>
        </w:rPr>
      </w:pPr>
    </w:p>
    <w:p>
      <w:pPr>
        <w:pStyle w:val="34"/>
        <w:spacing w:line="500" w:lineRule="exact"/>
        <w:rPr>
          <w:rFonts w:hint="eastAsia" w:ascii="仿宋" w:hAnsi="仿宋" w:eastAsia="仿宋" w:cs="仿宋"/>
          <w:b/>
          <w:bCs/>
          <w:color w:val="auto"/>
          <w:sz w:val="28"/>
          <w:szCs w:val="28"/>
          <w:highlight w:val="none"/>
          <w:lang w:eastAsia="zh-CN"/>
        </w:rPr>
      </w:pPr>
    </w:p>
    <w:p>
      <w:pPr>
        <w:pStyle w:val="34"/>
        <w:spacing w:line="500" w:lineRule="exact"/>
        <w:rPr>
          <w:rFonts w:hint="eastAsia" w:ascii="仿宋" w:hAnsi="仿宋" w:eastAsia="仿宋" w:cs="仿宋"/>
          <w:b/>
          <w:bCs/>
          <w:color w:val="auto"/>
          <w:sz w:val="28"/>
          <w:szCs w:val="28"/>
          <w:highlight w:val="none"/>
          <w:lang w:eastAsia="zh-CN"/>
        </w:rPr>
      </w:pPr>
    </w:p>
    <w:p>
      <w:pPr>
        <w:pStyle w:val="34"/>
        <w:spacing w:line="500" w:lineRule="exact"/>
        <w:rPr>
          <w:rFonts w:hint="eastAsia" w:ascii="仿宋" w:hAnsi="仿宋" w:eastAsia="仿宋" w:cs="仿宋"/>
          <w:b/>
          <w:bCs/>
          <w:color w:val="auto"/>
          <w:sz w:val="28"/>
          <w:szCs w:val="28"/>
          <w:highlight w:val="none"/>
          <w:lang w:eastAsia="zh-CN"/>
        </w:rPr>
      </w:pPr>
    </w:p>
    <w:p>
      <w:pPr>
        <w:pStyle w:val="34"/>
        <w:spacing w:line="500" w:lineRule="exac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附件十九：提供企业基本账户开户许可证，企业投标保证金截图</w:t>
      </w:r>
    </w:p>
    <w:p>
      <w:pPr>
        <w:pStyle w:val="34"/>
        <w:spacing w:line="500" w:lineRule="exact"/>
        <w:rPr>
          <w:rFonts w:hint="eastAsia" w:ascii="仿宋" w:hAnsi="仿宋" w:eastAsia="仿宋" w:cs="仿宋"/>
          <w:b/>
          <w:bCs/>
          <w:color w:val="auto"/>
          <w:sz w:val="28"/>
          <w:szCs w:val="28"/>
          <w:highlight w:val="none"/>
          <w:lang w:eastAsia="zh-CN"/>
        </w:rPr>
      </w:pPr>
    </w:p>
    <w:p>
      <w:pPr>
        <w:pStyle w:val="34"/>
        <w:spacing w:line="50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附件二十：提供</w:t>
      </w:r>
      <w:r>
        <w:rPr>
          <w:rFonts w:hint="eastAsia" w:ascii="仿宋" w:hAnsi="仿宋" w:eastAsia="仿宋" w:cs="仿宋"/>
          <w:b/>
          <w:bCs/>
          <w:color w:val="auto"/>
          <w:sz w:val="28"/>
          <w:szCs w:val="28"/>
          <w:highlight w:val="none"/>
          <w:lang w:val="en-US" w:eastAsia="zh-CN"/>
        </w:rPr>
        <w:t>2023年1-5月社保缴费证明</w:t>
      </w:r>
    </w:p>
    <w:p>
      <w:pPr>
        <w:pStyle w:val="34"/>
        <w:spacing w:line="500" w:lineRule="exact"/>
        <w:rPr>
          <w:rFonts w:hint="eastAsia" w:ascii="仿宋" w:hAnsi="仿宋" w:eastAsia="仿宋" w:cs="仿宋"/>
          <w:b/>
          <w:bCs/>
          <w:color w:val="auto"/>
          <w:sz w:val="28"/>
          <w:szCs w:val="28"/>
          <w:highlight w:val="none"/>
          <w:lang w:val="en-US" w:eastAsia="zh-CN"/>
        </w:rPr>
      </w:pPr>
    </w:p>
    <w:p>
      <w:pPr>
        <w:pStyle w:val="34"/>
        <w:spacing w:line="500" w:lineRule="exact"/>
        <w:rPr>
          <w:rFonts w:hint="default" w:ascii="仿宋" w:hAnsi="仿宋" w:eastAsia="仿宋" w:cs="仿宋"/>
          <w:b/>
          <w:bCs/>
          <w:color w:val="auto"/>
          <w:sz w:val="28"/>
          <w:szCs w:val="28"/>
          <w:highlight w:val="none"/>
          <w:lang w:val="en-US" w:eastAsia="zh-CN"/>
        </w:rPr>
        <w:sectPr>
          <w:pgSz w:w="11906" w:h="16838"/>
          <w:pgMar w:top="1440" w:right="1800" w:bottom="1440" w:left="1800" w:header="851" w:footer="992" w:gutter="0"/>
          <w:cols w:space="720" w:num="1"/>
          <w:docGrid w:type="lines" w:linePitch="312" w:charSpace="0"/>
        </w:sectPr>
      </w:pPr>
    </w:p>
    <w:p>
      <w:pPr>
        <w:pStyle w:val="3"/>
        <w:numPr>
          <w:ilvl w:val="0"/>
          <w:numId w:val="0"/>
        </w:numPr>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72" w:name="_Toc7586"/>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第四章　</w:t>
      </w:r>
      <w:r>
        <w:rPr>
          <w:rFonts w:hint="eastAsia" w:ascii="仿宋" w:hAnsi="仿宋" w:eastAsia="仿宋" w:cs="仿宋"/>
          <w:color w:val="000000" w:themeColor="text1"/>
          <w:sz w:val="32"/>
          <w:szCs w:val="32"/>
          <w:highlight w:val="none"/>
          <w14:textFill>
            <w14:solidFill>
              <w14:schemeClr w14:val="tx1"/>
            </w14:solidFill>
          </w14:textFill>
        </w:rPr>
        <w:t>项目需求</w:t>
      </w:r>
      <w:bookmarkEnd w:id="22"/>
      <w:bookmarkEnd w:id="72"/>
    </w:p>
    <w:p>
      <w:pPr>
        <w:spacing w:before="36" w:line="227" w:lineRule="auto"/>
        <w:jc w:val="center"/>
        <w:rPr>
          <w:rFonts w:hint="eastAsia" w:ascii="宋体" w:hAnsi="宋体" w:eastAsia="宋体" w:cs="宋体"/>
          <w:b/>
          <w:bCs/>
          <w:sz w:val="28"/>
          <w:szCs w:val="28"/>
          <w:lang w:val="en-US" w:eastAsia="zh-CN"/>
        </w:rPr>
      </w:pPr>
      <w:r>
        <w:rPr>
          <w:rFonts w:ascii="宋体" w:hAnsi="宋体" w:eastAsia="宋体" w:cs="宋体"/>
          <w:b/>
          <w:bCs/>
          <w:spacing w:val="15"/>
          <w:sz w:val="28"/>
          <w:szCs w:val="28"/>
        </w:rPr>
        <w:t>项目服务内容</w:t>
      </w:r>
      <w:r>
        <w:rPr>
          <w:rFonts w:hint="eastAsia" w:ascii="宋体" w:hAnsi="宋体" w:cs="宋体"/>
          <w:b/>
          <w:bCs/>
          <w:spacing w:val="15"/>
          <w:sz w:val="28"/>
          <w:szCs w:val="28"/>
          <w:lang w:eastAsia="zh-CN"/>
        </w:rPr>
        <w:t>及技术要求</w:t>
      </w:r>
    </w:p>
    <w:p>
      <w:pPr>
        <w:numPr>
          <w:ilvl w:val="0"/>
          <w:numId w:val="0"/>
        </w:numPr>
        <w:spacing w:before="183" w:line="360" w:lineRule="auto"/>
        <w:ind w:left="15" w:leftChars="0" w:right="80" w:rightChars="0" w:firstLine="491" w:firstLineChars="0"/>
        <w:rPr>
          <w:rFonts w:ascii="宋体" w:hAnsi="宋体" w:eastAsia="宋体" w:cs="宋体"/>
          <w:spacing w:val="8"/>
          <w:sz w:val="24"/>
          <w:szCs w:val="24"/>
        </w:rPr>
      </w:pPr>
      <w:r>
        <w:rPr>
          <w:rFonts w:hint="eastAsia" w:ascii="宋体" w:hAnsi="宋体" w:eastAsia="宋体" w:cs="宋体"/>
          <w:spacing w:val="6"/>
          <w:sz w:val="24"/>
          <w:szCs w:val="24"/>
          <w:lang w:eastAsia="zh-CN"/>
        </w:rPr>
        <w:t>一、</w:t>
      </w:r>
      <w:r>
        <w:rPr>
          <w:rFonts w:ascii="宋体" w:hAnsi="宋体" w:eastAsia="宋体" w:cs="宋体"/>
          <w:spacing w:val="6"/>
          <w:sz w:val="24"/>
          <w:szCs w:val="24"/>
        </w:rPr>
        <w:t>项目简介：</w:t>
      </w:r>
      <w:r>
        <w:rPr>
          <w:rFonts w:hint="eastAsia" w:ascii="宋体" w:hAnsi="宋体" w:cs="宋体"/>
          <w:color w:val="auto"/>
          <w:sz w:val="24"/>
          <w:szCs w:val="24"/>
          <w:lang w:eastAsia="zh-CN"/>
        </w:rPr>
        <w:t>新疆维吾尔自治区公路管理局沥青储运总站锅炉房</w:t>
      </w:r>
      <w:r>
        <w:rPr>
          <w:rFonts w:ascii="宋体" w:hAnsi="宋体" w:eastAsia="宋体" w:cs="宋体"/>
          <w:spacing w:val="3"/>
          <w:sz w:val="24"/>
          <w:szCs w:val="24"/>
        </w:rPr>
        <w:t>位于克拉玛依市。锅炉房</w:t>
      </w:r>
      <w:r>
        <w:rPr>
          <w:rFonts w:ascii="宋体" w:hAnsi="宋体" w:eastAsia="宋体" w:cs="宋体"/>
          <w:spacing w:val="2"/>
          <w:sz w:val="24"/>
          <w:szCs w:val="24"/>
        </w:rPr>
        <w:t>总建筑面积为</w:t>
      </w:r>
      <w:r>
        <w:rPr>
          <w:rFonts w:hint="eastAsia" w:ascii="宋体" w:hAnsi="宋体" w:eastAsia="宋体" w:cs="宋体"/>
          <w:spacing w:val="2"/>
          <w:sz w:val="24"/>
          <w:szCs w:val="24"/>
        </w:rPr>
        <w:t>144.77</w:t>
      </w:r>
      <w:r>
        <w:rPr>
          <w:rFonts w:ascii="宋体" w:hAnsi="宋体" w:eastAsia="宋体" w:cs="宋体"/>
          <w:spacing w:val="2"/>
          <w:sz w:val="24"/>
          <w:szCs w:val="24"/>
        </w:rPr>
        <w:t>㎡,地上一层，建筑</w:t>
      </w:r>
      <w:r>
        <w:rPr>
          <w:rFonts w:ascii="宋体" w:hAnsi="宋体" w:eastAsia="宋体" w:cs="宋体"/>
          <w:spacing w:val="1"/>
          <w:sz w:val="24"/>
          <w:szCs w:val="24"/>
        </w:rPr>
        <w:t>高度</w:t>
      </w:r>
      <w:r>
        <w:rPr>
          <w:rFonts w:hint="eastAsia" w:ascii="宋体" w:hAnsi="宋体" w:eastAsia="宋体" w:cs="宋体"/>
          <w:spacing w:val="1"/>
          <w:sz w:val="24"/>
          <w:szCs w:val="24"/>
        </w:rPr>
        <w:t>5-6</w:t>
      </w:r>
      <w:r>
        <w:rPr>
          <w:rFonts w:ascii="宋体" w:hAnsi="宋体" w:eastAsia="宋体" w:cs="宋体"/>
          <w:spacing w:val="1"/>
          <w:sz w:val="24"/>
          <w:szCs w:val="24"/>
        </w:rPr>
        <w:t>米。本项目采购具有</w:t>
      </w:r>
      <w:r>
        <w:rPr>
          <w:rFonts w:hint="eastAsia" w:ascii="宋体" w:hAnsi="宋体" w:cs="宋体"/>
          <w:spacing w:val="1"/>
          <w:sz w:val="24"/>
          <w:szCs w:val="24"/>
          <w:lang w:eastAsia="zh-CN"/>
        </w:rPr>
        <w:t>符合资质要求</w:t>
      </w:r>
      <w:r>
        <w:rPr>
          <w:rFonts w:ascii="宋体" w:hAnsi="宋体" w:eastAsia="宋体" w:cs="宋体"/>
          <w:spacing w:val="1"/>
          <w:sz w:val="24"/>
          <w:szCs w:val="24"/>
        </w:rPr>
        <w:t>的</w:t>
      </w:r>
      <w:r>
        <w:rPr>
          <w:rFonts w:hint="eastAsia" w:ascii="宋体" w:hAnsi="宋体" w:cs="宋体"/>
          <w:spacing w:val="1"/>
          <w:sz w:val="24"/>
          <w:szCs w:val="24"/>
          <w:lang w:eastAsia="zh-CN"/>
        </w:rPr>
        <w:t>施工企业</w:t>
      </w:r>
      <w:r>
        <w:rPr>
          <w:rFonts w:ascii="宋体" w:hAnsi="宋体" w:eastAsia="宋体" w:cs="宋体"/>
          <w:spacing w:val="1"/>
          <w:sz w:val="24"/>
          <w:szCs w:val="24"/>
        </w:rPr>
        <w:t>，</w:t>
      </w:r>
      <w:r>
        <w:rPr>
          <w:rFonts w:hint="eastAsia" w:ascii="宋体" w:hAnsi="宋体" w:cs="宋体"/>
          <w:spacing w:val="1"/>
          <w:sz w:val="24"/>
          <w:szCs w:val="24"/>
          <w:lang w:eastAsia="zh-CN"/>
        </w:rPr>
        <w:t>对锅炉房</w:t>
      </w:r>
      <w:r>
        <w:rPr>
          <w:rFonts w:ascii="宋体" w:hAnsi="宋体" w:eastAsia="宋体" w:cs="宋体"/>
          <w:spacing w:val="1"/>
          <w:sz w:val="24"/>
          <w:szCs w:val="24"/>
        </w:rPr>
        <w:t>整体</w:t>
      </w:r>
      <w:r>
        <w:rPr>
          <w:rFonts w:hint="eastAsia" w:ascii="宋体" w:hAnsi="宋体" w:cs="宋体"/>
          <w:spacing w:val="1"/>
          <w:sz w:val="24"/>
          <w:szCs w:val="24"/>
          <w:lang w:eastAsia="zh-CN"/>
        </w:rPr>
        <w:t>进行为主改造，锅炉房地面、墙体进行改造修缮，对设备进行更换，燃气设备、燃气管道、燃烧设备、电气设备、控制系统进行维修改造并进行锅炉报检、使用登记证办理、环评监测、管线无损监测等证书的办理。</w:t>
      </w:r>
    </w:p>
    <w:p>
      <w:pPr>
        <w:pStyle w:val="2"/>
        <w:numPr>
          <w:ilvl w:val="0"/>
          <w:numId w:val="0"/>
        </w:numPr>
        <w:spacing w:line="360" w:lineRule="auto"/>
        <w:ind w:left="15" w:leftChars="0" w:firstLine="491" w:firstLineChars="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建筑维修部分：锅炉房地面、墙面、锅炉房地面标识、目视化、垃圾清运等。</w:t>
      </w:r>
    </w:p>
    <w:p>
      <w:pPr>
        <w:numPr>
          <w:ilvl w:val="0"/>
          <w:numId w:val="0"/>
        </w:numPr>
        <w:spacing w:line="360" w:lineRule="auto"/>
        <w:ind w:left="15" w:leftChars="0" w:firstLine="491" w:firstLineChars="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电气仪表维修部分：锅炉房配电柜、控制柜、控制屏、自动化仪表、导热油流量计、锅炉一次仪表、动力电缆、仪表电缆、监控仪表、防爆穿线管、照明电路等。</w:t>
      </w:r>
    </w:p>
    <w:p>
      <w:pPr>
        <w:pStyle w:val="2"/>
        <w:numPr>
          <w:ilvl w:val="0"/>
          <w:numId w:val="0"/>
        </w:numPr>
        <w:spacing w:line="360" w:lineRule="auto"/>
        <w:ind w:left="15" w:leftChars="0" w:firstLine="491" w:firstLineChars="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燃气设施及管路维修部分：加装阻火器、流量计校验、管线刷漆、加装就地控制阀门、可燃气体报警系统、燃气管线吹扫、调压设施维护等及不符合《城镇燃气输配工程施工与验收规范》、《城镇燃气室内工程施工与质量验收规范》要求的管路进行整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（4）设备、电气安装：锅炉、管线安装、锅炉管线试压、管线保温、电气安装施工、烟囱吊装、高低位油槽、平台除锈漆等。</w:t>
      </w:r>
    </w:p>
    <w:p>
      <w:pPr>
        <w:pStyle w:val="42"/>
        <w:numPr>
          <w:ilvl w:val="0"/>
          <w:numId w:val="0"/>
        </w:numPr>
        <w:spacing w:beforeLines="0" w:afterLines="0" w:line="360" w:lineRule="auto"/>
        <w:ind w:left="15" w:leftChars="0" w:firstLine="491"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bidi="ar-SA"/>
        </w:rPr>
        <w:t>（5）</w:t>
      </w:r>
      <w:r>
        <w:rPr>
          <w:rFonts w:hint="eastAsia" w:ascii="仿宋" w:hAnsi="仿宋" w:eastAsia="仿宋" w:cs="仿宋"/>
          <w:b w:val="0"/>
          <w:bCs w:val="0"/>
          <w:sz w:val="28"/>
          <w:szCs w:val="28"/>
          <w:lang w:val="en-US" w:eastAsia="zh-CN"/>
        </w:rPr>
        <w:t>特种设备维修改造部分：</w:t>
      </w:r>
      <w:bookmarkStart w:id="73" w:name="_Toc46114991"/>
      <w:r>
        <w:rPr>
          <w:rFonts w:hint="eastAsia" w:ascii="仿宋" w:hAnsi="仿宋" w:eastAsia="仿宋" w:cs="仿宋"/>
          <w:sz w:val="28"/>
          <w:szCs w:val="28"/>
          <w:lang w:val="en-US" w:eastAsia="zh-CN"/>
        </w:rPr>
        <w:t>更换2300KW有机热载体锅炉（含一次仪表阀门、控制系统）1台，锅炉安装报检，办理使用登记证。更换超低氮燃烧器1台，不得采用全预混表面燃烧技术，氮氧化物排放≤30mg（锅炉满负荷运行时氮氧化物排放稳定达到26mg以下），锅炉排烟温度不得高于280℃。锅炉安装应充分考虑热效率有效利用，辅助值班房供暖措施。高位油箱和低位油箱利旧，补油泵、高温循环油泵利旧，进行维修保养，对其它附属设备进行维修改造，对不符合安装要求部分进行整改。</w:t>
      </w:r>
    </w:p>
    <w:p>
      <w:pPr>
        <w:pStyle w:val="2"/>
        <w:numPr>
          <w:ilvl w:val="0"/>
          <w:numId w:val="0"/>
        </w:numPr>
        <w:spacing w:line="360" w:lineRule="auto"/>
        <w:ind w:left="15" w:leftChars="0" w:firstLine="491" w:firstLineChars="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提供锅炉报检、使用登记证办理、环评监测、管线无损监测等证书</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（7）其它维修：设备标识、标牌、锅炉房管理制度牌等</w:t>
      </w:r>
    </w:p>
    <w:p>
      <w:pPr>
        <w:pStyle w:val="42"/>
        <w:numPr>
          <w:ilvl w:val="0"/>
          <w:numId w:val="0"/>
        </w:numPr>
        <w:spacing w:beforeLines="0" w:afterLines="0" w:line="360" w:lineRule="auto"/>
        <w:ind w:firstLine="281" w:firstLineChars="100"/>
        <w:rPr>
          <w:rFonts w:hint="eastAsia" w:ascii="宋体" w:hAnsi="宋体" w:eastAsia="宋体" w:cs="宋体"/>
          <w:b/>
          <w:bCs/>
          <w:sz w:val="28"/>
          <w:szCs w:val="24"/>
        </w:rPr>
      </w:pPr>
      <w:r>
        <w:rPr>
          <w:rFonts w:hint="eastAsia" w:ascii="宋体" w:hAnsi="宋体" w:eastAsia="宋体" w:cs="宋体"/>
          <w:b/>
          <w:bCs/>
          <w:sz w:val="28"/>
          <w:szCs w:val="24"/>
          <w:lang w:val="en-US" w:eastAsia="zh-CN"/>
        </w:rPr>
        <w:t>二、2300KW有机热载体</w:t>
      </w:r>
      <w:r>
        <w:rPr>
          <w:rFonts w:hint="eastAsia" w:ascii="宋体" w:hAnsi="宋体" w:eastAsia="宋体" w:cs="宋体"/>
          <w:b/>
          <w:bCs/>
          <w:sz w:val="28"/>
          <w:szCs w:val="24"/>
        </w:rPr>
        <w:t>锅炉技术参数</w:t>
      </w:r>
      <w:bookmarkEnd w:id="73"/>
    </w:p>
    <w:p>
      <w:pPr>
        <w:pStyle w:val="43"/>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锅炉生产厂商具备资质： </w:t>
      </w:r>
      <w:r>
        <w:rPr>
          <w:rFonts w:hint="eastAsia" w:ascii="宋体" w:hAnsi="宋体" w:eastAsia="宋体" w:cs="宋体"/>
          <w:sz w:val="24"/>
          <w:szCs w:val="24"/>
          <w:u w:val="single"/>
          <w:lang w:eastAsia="zh-CN"/>
        </w:rPr>
        <w:t>不低于</w:t>
      </w:r>
      <w:r>
        <w:rPr>
          <w:rFonts w:hint="eastAsia" w:ascii="宋体" w:hAnsi="宋体" w:cs="宋体"/>
          <w:sz w:val="24"/>
          <w:szCs w:val="24"/>
          <w:u w:val="single"/>
          <w:lang w:val="en-US" w:eastAsia="zh-CN"/>
        </w:rPr>
        <w:t>B</w:t>
      </w:r>
      <w:r>
        <w:rPr>
          <w:rFonts w:hint="eastAsia" w:ascii="宋体" w:hAnsi="宋体" w:eastAsia="宋体" w:cs="宋体"/>
          <w:sz w:val="24"/>
          <w:szCs w:val="24"/>
          <w:u w:val="single"/>
          <w:lang w:eastAsia="zh-CN"/>
        </w:rPr>
        <w:t>级锅炉制造资质</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锅炉额定热功率</w:t>
      </w:r>
      <w:r>
        <w:rPr>
          <w:rFonts w:hint="eastAsia" w:ascii="宋体" w:hAnsi="宋体" w:eastAsia="宋体" w:cs="宋体"/>
          <w:sz w:val="24"/>
          <w:szCs w:val="24"/>
        </w:rPr>
        <w:t>：</w:t>
      </w:r>
      <w:r>
        <w:rPr>
          <w:rFonts w:hint="eastAsia" w:ascii="宋体" w:hAnsi="宋体" w:cs="宋体"/>
          <w:sz w:val="24"/>
          <w:szCs w:val="24"/>
          <w:lang w:val="en-US" w:eastAsia="zh-CN"/>
        </w:rPr>
        <w:t xml:space="preserve">       </w:t>
      </w:r>
      <w:r>
        <w:rPr>
          <w:rFonts w:hint="eastAsia" w:ascii="宋体" w:hAnsi="宋体" w:eastAsia="宋体" w:cs="宋体"/>
          <w:sz w:val="24"/>
          <w:szCs w:val="24"/>
          <w:u w:val="single"/>
          <w:lang w:val="en-US" w:eastAsia="zh-CN"/>
        </w:rPr>
        <w:t xml:space="preserve"> 2300K</w:t>
      </w:r>
      <w:r>
        <w:rPr>
          <w:rFonts w:hint="eastAsia" w:ascii="宋体" w:hAnsi="宋体" w:eastAsia="宋体" w:cs="宋体"/>
          <w:sz w:val="24"/>
          <w:szCs w:val="24"/>
          <w:u w:val="single"/>
        </w:rPr>
        <w:t>W</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，超负荷运行能力</w:t>
      </w:r>
      <w:r>
        <w:rPr>
          <w:rFonts w:hint="eastAsia" w:ascii="宋体" w:hAnsi="宋体" w:eastAsia="宋体" w:cs="宋体"/>
          <w:sz w:val="24"/>
          <w:szCs w:val="24"/>
          <w:u w:val="single"/>
          <w:lang w:eastAsia="zh-CN"/>
        </w:rPr>
        <w:t>10%</w:t>
      </w:r>
    </w:p>
    <w:p>
      <w:pPr>
        <w:pStyle w:val="43"/>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锅炉燃料：             </w:t>
      </w:r>
      <w:r>
        <w:rPr>
          <w:rFonts w:hint="eastAsia" w:ascii="宋体" w:hAnsi="宋体" w:eastAsia="宋体" w:cs="宋体"/>
          <w:sz w:val="24"/>
          <w:szCs w:val="24"/>
          <w:u w:val="single"/>
          <w:lang w:eastAsia="zh-CN"/>
        </w:rPr>
        <w:t>天然气</w:t>
      </w:r>
      <w:r>
        <w:rPr>
          <w:rFonts w:hint="eastAsia" w:ascii="宋体" w:hAnsi="宋体" w:eastAsia="宋体" w:cs="宋体"/>
          <w:sz w:val="24"/>
          <w:szCs w:val="24"/>
          <w:lang w:eastAsia="zh-CN"/>
        </w:rPr>
        <w:t xml:space="preserve"> </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锅炉设计使用温度：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320</w:t>
      </w:r>
      <w:r>
        <w:rPr>
          <w:rFonts w:hint="eastAsia" w:ascii="宋体" w:hAnsi="宋体" w:eastAsia="宋体" w:cs="宋体"/>
          <w:sz w:val="24"/>
          <w:szCs w:val="24"/>
          <w:u w:val="single"/>
          <w:lang w:eastAsia="zh-CN"/>
        </w:rPr>
        <w:t>℃</w:t>
      </w:r>
    </w:p>
    <w:p>
      <w:pPr>
        <w:pStyle w:val="43"/>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 xml:space="preserve">额定工作压力P：       </w:t>
      </w:r>
      <w:r>
        <w:rPr>
          <w:rFonts w:hint="eastAsia" w:ascii="宋体" w:hAnsi="宋体" w:eastAsia="宋体" w:cs="宋体"/>
          <w:sz w:val="24"/>
          <w:szCs w:val="24"/>
          <w:u w:val="single"/>
          <w:lang w:val="en-US" w:eastAsia="zh-CN"/>
        </w:rPr>
        <w:t>0.8MPa</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锅炉结构:              </w:t>
      </w:r>
      <w:r>
        <w:rPr>
          <w:rFonts w:hint="eastAsia" w:ascii="宋体" w:hAnsi="宋体" w:eastAsia="宋体" w:cs="宋体"/>
          <w:sz w:val="24"/>
          <w:szCs w:val="24"/>
          <w:u w:val="single"/>
          <w:lang w:eastAsia="zh-CN"/>
        </w:rPr>
        <w:t>卧式内燃炉</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锅炉额定热效率：       </w:t>
      </w:r>
      <w:r>
        <w:rPr>
          <w:rFonts w:hint="eastAsia" w:ascii="宋体" w:hAnsi="宋体" w:eastAsia="宋体" w:cs="宋体"/>
          <w:color w:val="000000"/>
          <w:sz w:val="24"/>
          <w:szCs w:val="24"/>
          <w:u w:val="single"/>
          <w:lang w:eastAsia="zh-CN"/>
        </w:rPr>
        <w:t>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95</w:t>
      </w:r>
      <w:r>
        <w:rPr>
          <w:rFonts w:hint="eastAsia" w:ascii="宋体" w:hAnsi="宋体" w:eastAsia="宋体" w:cs="宋体"/>
          <w:sz w:val="24"/>
          <w:szCs w:val="24"/>
          <w:u w:val="single"/>
          <w:lang w:eastAsia="zh-CN"/>
        </w:rPr>
        <w:t>%</w:t>
      </w:r>
    </w:p>
    <w:p>
      <w:pPr>
        <w:pStyle w:val="43"/>
        <w:spacing w:line="360" w:lineRule="auto"/>
        <w:rPr>
          <w:rFonts w:hint="eastAsia" w:ascii="宋体" w:hAnsi="宋体" w:eastAsia="宋体" w:cs="宋体"/>
          <w:color w:val="000000"/>
          <w:sz w:val="24"/>
          <w:szCs w:val="24"/>
          <w:u w:val="single"/>
          <w:lang w:val="en-US" w:eastAsia="zh-CN"/>
        </w:rPr>
      </w:pPr>
      <w:r>
        <w:rPr>
          <w:rFonts w:hint="eastAsia" w:ascii="宋体" w:hAnsi="宋体" w:eastAsia="宋体" w:cs="宋体"/>
          <w:sz w:val="24"/>
          <w:szCs w:val="24"/>
          <w:lang w:eastAsia="zh-CN"/>
        </w:rPr>
        <w:t xml:space="preserve">配套空预器排烟温度：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150℃</w:t>
      </w:r>
    </w:p>
    <w:p>
      <w:pPr>
        <w:pStyle w:val="43"/>
        <w:spacing w:line="360" w:lineRule="auto"/>
        <w:rPr>
          <w:rFonts w:hint="eastAsia" w:ascii="宋体" w:hAnsi="宋体" w:eastAsia="宋体" w:cs="宋体"/>
          <w:color w:val="000000"/>
          <w:sz w:val="24"/>
          <w:szCs w:val="24"/>
          <w:u w:val="single"/>
          <w:lang w:val="en-US" w:eastAsia="zh-CN"/>
        </w:rPr>
      </w:pPr>
      <w:r>
        <w:rPr>
          <w:rFonts w:hint="eastAsia" w:ascii="宋体" w:hAnsi="宋体" w:eastAsia="宋体" w:cs="宋体"/>
          <w:sz w:val="24"/>
          <w:szCs w:val="24"/>
          <w:lang w:eastAsia="zh-CN"/>
        </w:rPr>
        <w:t xml:space="preserve">配套节能器排烟温度：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90℃</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锅炉炉膛型式：        </w:t>
      </w:r>
      <w:r>
        <w:rPr>
          <w:rFonts w:hint="eastAsia" w:ascii="宋体" w:hAnsi="宋体" w:eastAsia="宋体" w:cs="宋体"/>
          <w:sz w:val="24"/>
          <w:szCs w:val="24"/>
          <w:u w:val="single"/>
        </w:rPr>
        <w:t>三回程</w:t>
      </w:r>
      <w:r>
        <w:rPr>
          <w:rFonts w:hint="eastAsia" w:ascii="宋体" w:hAnsi="宋体" w:eastAsia="宋体" w:cs="宋体"/>
          <w:sz w:val="24"/>
          <w:szCs w:val="24"/>
          <w:u w:val="single"/>
          <w:lang w:eastAsia="zh-CN"/>
        </w:rPr>
        <w:t>圆盘管结构</w:t>
      </w:r>
    </w:p>
    <w:p>
      <w:pPr>
        <w:pStyle w:val="43"/>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锅炉炉胆型式：        </w:t>
      </w:r>
      <w:r>
        <w:rPr>
          <w:rFonts w:hint="eastAsia" w:ascii="宋体" w:hAnsi="宋体" w:cs="宋体"/>
          <w:color w:val="000000" w:themeColor="text1"/>
          <w:sz w:val="24"/>
          <w:szCs w:val="24"/>
          <w:u w:val="single"/>
          <w:lang w:eastAsia="zh-CN"/>
          <w14:textFill>
            <w14:solidFill>
              <w14:schemeClr w14:val="tx1"/>
            </w14:solidFill>
          </w14:textFill>
        </w:rPr>
        <w:t>锅炉专用</w:t>
      </w:r>
      <w:r>
        <w:rPr>
          <w:rFonts w:hint="eastAsia" w:ascii="宋体" w:hAnsi="宋体" w:eastAsia="宋体" w:cs="宋体"/>
          <w:color w:val="000000" w:themeColor="text1"/>
          <w:sz w:val="24"/>
          <w:szCs w:val="24"/>
          <w:u w:val="single"/>
          <w:lang w:eastAsia="zh-CN"/>
          <w14:textFill>
            <w14:solidFill>
              <w14:schemeClr w14:val="tx1"/>
            </w14:solidFill>
          </w14:textFill>
        </w:rPr>
        <w:t>管</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锅炉尺寸：            </w:t>
      </w:r>
      <w:r>
        <w:rPr>
          <w:rFonts w:hint="eastAsia" w:ascii="宋体" w:hAnsi="宋体" w:eastAsia="宋体" w:cs="宋体"/>
          <w:sz w:val="24"/>
          <w:szCs w:val="24"/>
          <w:u w:val="single"/>
          <w:lang w:eastAsia="zh-CN"/>
        </w:rPr>
        <w:t>长度</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5.5</w:t>
      </w:r>
      <w:r>
        <w:rPr>
          <w:rFonts w:hint="eastAsia" w:ascii="宋体" w:hAnsi="宋体" w:eastAsia="宋体" w:cs="宋体"/>
          <w:sz w:val="24"/>
          <w:szCs w:val="24"/>
          <w:u w:val="single"/>
          <w:lang w:eastAsia="zh-CN"/>
        </w:rPr>
        <w:t>m，宽度</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.6m，高度</w:t>
      </w:r>
      <w:r>
        <w:rPr>
          <w:rFonts w:hint="eastAsia" w:ascii="宋体" w:hAnsi="宋体" w:eastAsia="宋体" w:cs="宋体"/>
          <w:sz w:val="24"/>
          <w:szCs w:val="24"/>
          <w:u w:val="single"/>
          <w:lang w:val="en-US" w:eastAsia="zh-CN"/>
        </w:rPr>
        <w:t>2.5</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lang w:eastAsia="zh-CN"/>
        </w:rPr>
        <w:t>m（炉体）</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锅炉出烟方式：        </w:t>
      </w:r>
      <w:r>
        <w:rPr>
          <w:rFonts w:hint="eastAsia" w:ascii="宋体" w:hAnsi="宋体" w:eastAsia="宋体" w:cs="宋体"/>
          <w:sz w:val="24"/>
          <w:szCs w:val="24"/>
          <w:u w:val="single"/>
          <w:lang w:eastAsia="zh-CN"/>
        </w:rPr>
        <w:t>尾部排烟</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炉体：                </w:t>
      </w:r>
      <w:r>
        <w:rPr>
          <w:rFonts w:hint="eastAsia" w:ascii="宋体" w:hAnsi="宋体" w:eastAsia="宋体" w:cs="宋体"/>
          <w:sz w:val="24"/>
          <w:szCs w:val="24"/>
          <w:u w:val="single"/>
          <w:lang w:eastAsia="zh-CN"/>
        </w:rPr>
        <w:t>锅炉炉体应为整装式</w:t>
      </w:r>
    </w:p>
    <w:p>
      <w:pPr>
        <w:pStyle w:val="43"/>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 xml:space="preserve">锅炉装机容量：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56KW</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炉体保温：            </w:t>
      </w:r>
      <w:r>
        <w:rPr>
          <w:rFonts w:hint="eastAsia" w:ascii="宋体" w:hAnsi="宋体" w:eastAsia="宋体" w:cs="宋体"/>
          <w:sz w:val="24"/>
          <w:szCs w:val="24"/>
          <w:u w:val="single"/>
          <w:lang w:eastAsia="zh-CN"/>
        </w:rPr>
        <w:t>炉体外带保温层，保温层外表面温度（锅炉运行时）≤40℃</w:t>
      </w:r>
    </w:p>
    <w:p>
      <w:pPr>
        <w:pStyle w:val="43"/>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炉体外衣：            </w:t>
      </w:r>
      <w:r>
        <w:rPr>
          <w:rFonts w:hint="eastAsia" w:ascii="宋体" w:hAnsi="宋体" w:eastAsia="宋体" w:cs="宋体"/>
          <w:sz w:val="24"/>
          <w:szCs w:val="24"/>
          <w:u w:val="single"/>
          <w:lang w:eastAsia="zh-CN"/>
        </w:rPr>
        <w:t>炉体外衣为彩钢保温，厚度≮1.0mm</w:t>
      </w:r>
    </w:p>
    <w:p>
      <w:pPr>
        <w:pStyle w:val="44"/>
        <w:numPr>
          <w:ilvl w:val="0"/>
          <w:numId w:val="0"/>
        </w:numPr>
        <w:spacing w:line="360" w:lineRule="auto"/>
        <w:ind w:left="420"/>
        <w:outlineLvl w:val="9"/>
        <w:rPr>
          <w:rFonts w:hint="eastAsia" w:ascii="宋体" w:hAnsi="宋体" w:eastAsia="宋体" w:cs="宋体"/>
          <w:sz w:val="24"/>
          <w:szCs w:val="24"/>
        </w:rPr>
      </w:pPr>
      <w:r>
        <w:rPr>
          <w:rFonts w:hint="eastAsia" w:ascii="宋体" w:hAnsi="宋体" w:eastAsia="宋体" w:cs="宋体"/>
          <w:sz w:val="24"/>
          <w:szCs w:val="24"/>
        </w:rPr>
        <w:t xml:space="preserve">锅炉底座：            </w:t>
      </w:r>
      <w:r>
        <w:rPr>
          <w:rFonts w:hint="eastAsia" w:ascii="宋体" w:hAnsi="宋体" w:eastAsia="宋体" w:cs="宋体"/>
          <w:sz w:val="24"/>
          <w:szCs w:val="24"/>
          <w:u w:val="single"/>
        </w:rPr>
        <w:t>一体化撬装底座</w:t>
      </w:r>
    </w:p>
    <w:p>
      <w:pPr>
        <w:pStyle w:val="43"/>
        <w:spacing w:line="360" w:lineRule="auto"/>
        <w:rPr>
          <w:rFonts w:hint="eastAsia"/>
          <w:sz w:val="24"/>
          <w:szCs w:val="24"/>
          <w:lang w:eastAsia="zh-CN"/>
        </w:rPr>
      </w:pPr>
      <w:r>
        <w:rPr>
          <w:rFonts w:hint="eastAsia" w:ascii="宋体" w:hAnsi="宋体" w:eastAsia="宋体" w:cs="宋体"/>
          <w:color w:val="000000"/>
          <w:sz w:val="24"/>
          <w:szCs w:val="24"/>
          <w:lang w:eastAsia="zh-CN"/>
        </w:rPr>
        <w:t>本锅炉本体应采用机械化全自动焊接焊技术，所提供的锅炉设备应具备结构简单、运行安全平稳、操作维护方便、符合环保要求等特点</w:t>
      </w:r>
      <w:r>
        <w:rPr>
          <w:rFonts w:hint="eastAsia"/>
          <w:color w:val="000000"/>
          <w:sz w:val="24"/>
          <w:szCs w:val="24"/>
          <w:lang w:eastAsia="zh-CN"/>
        </w:rPr>
        <w:t>。</w:t>
      </w:r>
    </w:p>
    <w:p>
      <w:pPr>
        <w:pStyle w:val="42"/>
        <w:numPr>
          <w:ilvl w:val="0"/>
          <w:numId w:val="0"/>
        </w:numPr>
        <w:spacing w:beforeLines="0" w:afterLines="0" w:line="360" w:lineRule="auto"/>
        <w:ind w:leftChars="0"/>
        <w:rPr>
          <w:rFonts w:hint="eastAsia" w:ascii="宋体" w:hAnsi="宋体" w:eastAsia="宋体" w:cs="宋体"/>
          <w:b/>
          <w:bCs w:val="0"/>
          <w:sz w:val="28"/>
          <w:szCs w:val="24"/>
        </w:rPr>
      </w:pPr>
      <w:bookmarkStart w:id="74" w:name="_Toc46114992"/>
      <w:r>
        <w:rPr>
          <w:rFonts w:hint="eastAsia" w:ascii="宋体" w:hAnsi="宋体" w:eastAsia="宋体" w:cs="宋体"/>
          <w:b/>
          <w:bCs w:val="0"/>
          <w:sz w:val="28"/>
          <w:szCs w:val="24"/>
          <w:lang w:eastAsia="zh-CN"/>
        </w:rPr>
        <w:t>三、</w:t>
      </w:r>
      <w:r>
        <w:rPr>
          <w:rFonts w:hint="eastAsia" w:ascii="宋体" w:hAnsi="宋体" w:eastAsia="宋体" w:cs="宋体"/>
          <w:b/>
          <w:bCs w:val="0"/>
          <w:sz w:val="28"/>
          <w:szCs w:val="24"/>
        </w:rPr>
        <w:t>锅炉配套燃烧器（含鼓风机、控制系统）技术要求</w:t>
      </w:r>
      <w:bookmarkEnd w:id="74"/>
    </w:p>
    <w:p>
      <w:pPr>
        <w:pStyle w:val="43"/>
        <w:spacing w:line="360" w:lineRule="auto"/>
        <w:rPr>
          <w:rFonts w:hint="eastAsia" w:ascii="宋体" w:hAnsi="宋体" w:eastAsia="宋体" w:cs="宋体"/>
          <w:sz w:val="24"/>
          <w:szCs w:val="24"/>
        </w:rPr>
      </w:pPr>
      <w:r>
        <w:rPr>
          <w:rFonts w:hint="eastAsia" w:ascii="宋体" w:hAnsi="宋体" w:eastAsia="宋体" w:cs="宋体"/>
          <w:sz w:val="24"/>
          <w:szCs w:val="24"/>
        </w:rPr>
        <w:t>锅炉炉前</w:t>
      </w:r>
      <w:r>
        <w:rPr>
          <w:rFonts w:hint="eastAsia" w:ascii="宋体" w:hAnsi="宋体" w:eastAsia="宋体" w:cs="宋体"/>
          <w:sz w:val="24"/>
          <w:szCs w:val="24"/>
          <w:lang w:eastAsia="zh-CN"/>
        </w:rPr>
        <w:t>阀组进气</w:t>
      </w:r>
      <w:r>
        <w:rPr>
          <w:rFonts w:hint="eastAsia" w:ascii="宋体" w:hAnsi="宋体" w:eastAsia="宋体" w:cs="宋体"/>
          <w:sz w:val="24"/>
          <w:szCs w:val="24"/>
        </w:rPr>
        <w:t>压力：</w:t>
      </w:r>
      <w:r>
        <w:rPr>
          <w:rFonts w:hint="eastAsia" w:ascii="宋体" w:hAnsi="宋体" w:eastAsia="宋体" w:cs="宋体"/>
          <w:sz w:val="24"/>
          <w:szCs w:val="24"/>
          <w:lang w:eastAsia="zh-CN"/>
        </w:rPr>
        <w:t xml:space="preserve">  </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eastAsia="zh-CN"/>
        </w:rPr>
        <w:t>~1</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kPa</w:t>
      </w:r>
    </w:p>
    <w:p>
      <w:pPr>
        <w:pStyle w:val="43"/>
        <w:spacing w:line="360" w:lineRule="auto"/>
        <w:rPr>
          <w:rFonts w:hint="eastAsia" w:ascii="宋体" w:hAnsi="宋体" w:eastAsia="宋体" w:cs="宋体"/>
          <w:sz w:val="24"/>
          <w:szCs w:val="24"/>
          <w:u w:val="single"/>
          <w:vertAlign w:val="superscript"/>
          <w:lang w:eastAsia="zh-CN"/>
        </w:rPr>
      </w:pPr>
      <w:r>
        <w:rPr>
          <w:rFonts w:hint="eastAsia" w:ascii="宋体" w:hAnsi="宋体" w:eastAsia="宋体" w:cs="宋体"/>
          <w:sz w:val="24"/>
          <w:szCs w:val="24"/>
          <w:lang w:eastAsia="zh-CN"/>
        </w:rPr>
        <w:t xml:space="preserve">天然气低位热值：       </w:t>
      </w:r>
      <w:r>
        <w:rPr>
          <w:rFonts w:hint="eastAsia" w:ascii="宋体" w:hAnsi="宋体" w:eastAsia="宋体" w:cs="宋体"/>
          <w:sz w:val="24"/>
          <w:szCs w:val="24"/>
          <w:u w:val="single"/>
          <w:lang w:eastAsia="zh-CN"/>
        </w:rPr>
        <w:t>（20℃）38.54MJ/Nm</w:t>
      </w:r>
      <w:r>
        <w:rPr>
          <w:rFonts w:hint="eastAsia" w:ascii="宋体" w:hAnsi="宋体" w:eastAsia="宋体" w:cs="宋体"/>
          <w:sz w:val="24"/>
          <w:szCs w:val="24"/>
          <w:u w:val="single"/>
          <w:vertAlign w:val="superscript"/>
          <w:lang w:eastAsia="zh-CN"/>
        </w:rPr>
        <w:t>3</w:t>
      </w:r>
    </w:p>
    <w:p>
      <w:pPr>
        <w:pStyle w:val="43"/>
        <w:spacing w:line="360" w:lineRule="auto"/>
        <w:rPr>
          <w:rFonts w:hint="eastAsia" w:ascii="宋体" w:hAnsi="宋体" w:eastAsia="宋体" w:cs="宋体"/>
          <w:color w:val="000000"/>
          <w:sz w:val="24"/>
          <w:szCs w:val="24"/>
          <w:u w:val="single"/>
          <w:lang w:eastAsia="zh-CN"/>
        </w:rPr>
      </w:pPr>
      <w:r>
        <w:rPr>
          <w:rFonts w:hint="eastAsia" w:ascii="宋体" w:hAnsi="宋体" w:eastAsia="宋体" w:cs="宋体"/>
          <w:sz w:val="24"/>
          <w:szCs w:val="24"/>
          <w:lang w:eastAsia="zh-CN"/>
        </w:rPr>
        <w:t xml:space="preserve">燃烧器要求：       </w:t>
      </w:r>
      <w:r>
        <w:rPr>
          <w:rFonts w:hint="eastAsia" w:ascii="宋体" w:hAnsi="宋体" w:eastAsia="宋体" w:cs="宋体"/>
          <w:sz w:val="24"/>
          <w:szCs w:val="24"/>
          <w:u w:val="single"/>
          <w:lang w:eastAsia="zh-CN"/>
        </w:rPr>
        <w:t>超低氮燃烧</w:t>
      </w:r>
      <w:r>
        <w:rPr>
          <w:rFonts w:hint="eastAsia" w:ascii="宋体" w:hAnsi="宋体" w:eastAsia="宋体" w:cs="宋体"/>
          <w:sz w:val="24"/>
          <w:szCs w:val="24"/>
          <w:lang w:eastAsia="zh-CN"/>
        </w:rPr>
        <w:t>，要求</w:t>
      </w:r>
      <w:r>
        <w:rPr>
          <w:rFonts w:hint="eastAsia" w:ascii="宋体" w:hAnsi="宋体" w:eastAsia="宋体" w:cs="宋体"/>
          <w:color w:val="000000"/>
          <w:sz w:val="24"/>
          <w:szCs w:val="24"/>
        </w:rPr>
        <w:t>锅炉</w:t>
      </w:r>
      <w:r>
        <w:rPr>
          <w:rFonts w:hint="eastAsia" w:ascii="宋体" w:hAnsi="宋体" w:eastAsia="宋体" w:cs="宋体"/>
          <w:color w:val="000000"/>
          <w:sz w:val="24"/>
          <w:szCs w:val="24"/>
          <w:u w:val="single"/>
        </w:rPr>
        <w:t>烟尘排放量≤</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u w:val="single"/>
        </w:rPr>
        <w:t>0mg/Nm</w:t>
      </w:r>
      <w:r>
        <w:rPr>
          <w:rFonts w:hint="eastAsia" w:ascii="宋体" w:hAnsi="宋体" w:eastAsia="宋体" w:cs="宋体"/>
          <w:color w:val="000000"/>
          <w:sz w:val="24"/>
          <w:szCs w:val="24"/>
          <w:u w:val="single"/>
          <w:vertAlign w:val="superscript"/>
        </w:rPr>
        <w:t>3</w:t>
      </w:r>
      <w:r>
        <w:rPr>
          <w:rFonts w:hint="eastAsia" w:ascii="宋体" w:hAnsi="宋体" w:eastAsia="宋体" w:cs="宋体"/>
          <w:color w:val="000000"/>
          <w:sz w:val="24"/>
          <w:szCs w:val="24"/>
          <w:u w:val="single"/>
        </w:rPr>
        <w:t>，SO</w:t>
      </w:r>
      <w:r>
        <w:rPr>
          <w:rFonts w:hint="eastAsia" w:ascii="宋体" w:hAnsi="宋体" w:eastAsia="宋体" w:cs="宋体"/>
          <w:color w:val="000000"/>
          <w:sz w:val="24"/>
          <w:szCs w:val="24"/>
          <w:u w:val="single"/>
          <w:vertAlign w:val="subscript"/>
        </w:rPr>
        <w:t>2</w:t>
      </w:r>
      <w:r>
        <w:rPr>
          <w:rFonts w:hint="eastAsia" w:ascii="宋体" w:hAnsi="宋体" w:eastAsia="宋体" w:cs="宋体"/>
          <w:color w:val="000000"/>
          <w:sz w:val="24"/>
          <w:szCs w:val="24"/>
          <w:u w:val="single"/>
        </w:rPr>
        <w:t>排放≤</w:t>
      </w:r>
      <w:r>
        <w:rPr>
          <w:rFonts w:hint="eastAsia" w:ascii="宋体" w:hAnsi="宋体" w:eastAsia="宋体" w:cs="宋体"/>
          <w:color w:val="000000"/>
          <w:sz w:val="24"/>
          <w:szCs w:val="24"/>
          <w:u w:val="single"/>
          <w:lang w:eastAsia="zh-CN"/>
        </w:rPr>
        <w:t>20</w:t>
      </w:r>
      <w:r>
        <w:rPr>
          <w:rFonts w:hint="eastAsia" w:ascii="宋体" w:hAnsi="宋体" w:eastAsia="宋体" w:cs="宋体"/>
          <w:color w:val="000000"/>
          <w:sz w:val="24"/>
          <w:szCs w:val="24"/>
          <w:u w:val="single"/>
        </w:rPr>
        <w:t>mg/Nm</w:t>
      </w:r>
      <w:r>
        <w:rPr>
          <w:rFonts w:hint="eastAsia" w:ascii="宋体" w:hAnsi="宋体" w:eastAsia="宋体" w:cs="宋体"/>
          <w:color w:val="000000"/>
          <w:sz w:val="24"/>
          <w:szCs w:val="24"/>
          <w:u w:val="single"/>
          <w:vertAlign w:val="superscript"/>
        </w:rPr>
        <w:t>3</w:t>
      </w:r>
      <w:r>
        <w:rPr>
          <w:rFonts w:hint="eastAsia" w:ascii="宋体" w:hAnsi="宋体" w:eastAsia="宋体" w:cs="宋体"/>
          <w:color w:val="000000"/>
          <w:sz w:val="24"/>
          <w:szCs w:val="24"/>
          <w:u w:val="single"/>
        </w:rPr>
        <w:t>，NOx排放≤</w:t>
      </w:r>
      <w:r>
        <w:rPr>
          <w:rFonts w:hint="eastAsia" w:ascii="宋体" w:hAnsi="宋体" w:eastAsia="宋体" w:cs="宋体"/>
          <w:color w:val="000000"/>
          <w:sz w:val="24"/>
          <w:szCs w:val="24"/>
          <w:u w:val="single"/>
          <w:lang w:eastAsia="zh-CN"/>
        </w:rPr>
        <w:t>3</w:t>
      </w:r>
      <w:r>
        <w:rPr>
          <w:rFonts w:hint="eastAsia" w:ascii="宋体" w:hAnsi="宋体" w:eastAsia="宋体" w:cs="宋体"/>
          <w:color w:val="000000"/>
          <w:sz w:val="24"/>
          <w:szCs w:val="24"/>
          <w:u w:val="single"/>
        </w:rPr>
        <w:t>0mg/Nm</w:t>
      </w:r>
      <w:r>
        <w:rPr>
          <w:rFonts w:hint="eastAsia" w:ascii="宋体" w:hAnsi="宋体" w:eastAsia="宋体" w:cs="宋体"/>
          <w:color w:val="000000"/>
          <w:sz w:val="24"/>
          <w:szCs w:val="24"/>
          <w:u w:val="single"/>
          <w:vertAlign w:val="superscript"/>
        </w:rPr>
        <w:t>3</w:t>
      </w:r>
      <w:r>
        <w:rPr>
          <w:rFonts w:hint="eastAsia" w:ascii="宋体" w:hAnsi="宋体" w:eastAsia="宋体" w:cs="宋体"/>
          <w:color w:val="000000"/>
          <w:sz w:val="24"/>
          <w:szCs w:val="24"/>
        </w:rPr>
        <w:t>。</w:t>
      </w:r>
      <w:r>
        <w:rPr>
          <w:rFonts w:hint="eastAsia" w:ascii="宋体" w:hAnsi="宋体" w:cs="宋体"/>
          <w:color w:val="000000"/>
          <w:sz w:val="24"/>
          <w:szCs w:val="24"/>
          <w:lang w:eastAsia="zh-CN"/>
        </w:rPr>
        <w:t>（注：为提高锅炉运行安全和避免降低锅炉能效，</w:t>
      </w:r>
      <w:r>
        <w:rPr>
          <w:rFonts w:hint="eastAsia" w:ascii="宋体" w:hAnsi="宋体" w:cs="宋体"/>
          <w:color w:val="000000" w:themeColor="text1"/>
          <w:sz w:val="24"/>
          <w:szCs w:val="24"/>
          <w:lang w:eastAsia="zh-CN"/>
          <w14:textFill>
            <w14:solidFill>
              <w14:schemeClr w14:val="tx1"/>
            </w14:solidFill>
          </w14:textFill>
        </w:rPr>
        <w:t>不得采用全预混表面燃烧技术</w:t>
      </w:r>
      <w:r>
        <w:rPr>
          <w:rFonts w:hint="eastAsia" w:ascii="宋体" w:hAnsi="宋体" w:cs="宋体"/>
          <w:color w:val="000000"/>
          <w:sz w:val="24"/>
          <w:szCs w:val="24"/>
          <w:lang w:eastAsia="zh-CN"/>
        </w:rPr>
        <w:t>，锅炉全负荷运行时</w:t>
      </w:r>
      <w:r>
        <w:rPr>
          <w:rFonts w:hint="eastAsia" w:ascii="宋体" w:hAnsi="宋体" w:eastAsia="宋体" w:cs="宋体"/>
          <w:color w:val="000000"/>
          <w:sz w:val="24"/>
          <w:szCs w:val="24"/>
          <w:u w:val="single"/>
        </w:rPr>
        <w:t>NOx</w:t>
      </w:r>
      <w:r>
        <w:rPr>
          <w:rFonts w:hint="eastAsia" w:ascii="宋体" w:hAnsi="宋体" w:cs="宋体"/>
          <w:color w:val="000000"/>
          <w:sz w:val="24"/>
          <w:szCs w:val="24"/>
          <w:u w:val="none"/>
          <w:lang w:eastAsia="zh-CN"/>
        </w:rPr>
        <w:t>排放稳定达到</w:t>
      </w:r>
      <w:r>
        <w:rPr>
          <w:rFonts w:hint="eastAsia" w:ascii="宋体" w:hAnsi="宋体" w:cs="宋体"/>
          <w:color w:val="000000"/>
          <w:sz w:val="24"/>
          <w:szCs w:val="24"/>
          <w:u w:val="none"/>
          <w:lang w:val="en-US" w:eastAsia="zh-CN"/>
        </w:rPr>
        <w:t>26mg以下。</w:t>
      </w:r>
      <w:r>
        <w:rPr>
          <w:rFonts w:hint="eastAsia" w:ascii="宋体" w:hAnsi="宋体" w:cs="宋体"/>
          <w:color w:val="000000"/>
          <w:sz w:val="24"/>
          <w:szCs w:val="24"/>
          <w:lang w:eastAsia="zh-CN"/>
        </w:rPr>
        <w:t>）</w:t>
      </w:r>
    </w:p>
    <w:p>
      <w:pPr>
        <w:pStyle w:val="43"/>
        <w:spacing w:line="360" w:lineRule="auto"/>
        <w:rPr>
          <w:rFonts w:hint="eastAsia" w:ascii="宋体" w:hAnsi="宋体" w:eastAsia="宋体" w:cs="宋体"/>
          <w:color w:val="000000"/>
          <w:sz w:val="24"/>
          <w:szCs w:val="24"/>
          <w:lang w:eastAsia="zh-CN"/>
        </w:rPr>
      </w:pPr>
      <w:r>
        <w:rPr>
          <w:rFonts w:hint="eastAsia" w:ascii="宋体" w:hAnsi="宋体" w:eastAsia="宋体" w:cs="宋体"/>
          <w:sz w:val="24"/>
          <w:szCs w:val="24"/>
        </w:rPr>
        <w:t>燃烧器出力范围</w:t>
      </w:r>
      <w:r>
        <w:rPr>
          <w:rFonts w:hint="eastAsia" w:ascii="宋体" w:hAnsi="宋体" w:eastAsia="宋体" w:cs="宋体"/>
          <w:sz w:val="24"/>
          <w:szCs w:val="24"/>
          <w:lang w:eastAsia="zh-CN"/>
        </w:rPr>
        <w:t xml:space="preserve">：   </w:t>
      </w:r>
      <w:r>
        <w:rPr>
          <w:rFonts w:hint="eastAsia" w:ascii="宋体" w:hAnsi="宋体" w:cs="宋体"/>
          <w:color w:val="000000"/>
          <w:kern w:val="0"/>
          <w:sz w:val="24"/>
          <w:szCs w:val="24"/>
          <w:u w:val="single"/>
          <w:lang w:val="en-US" w:eastAsia="zh-CN"/>
        </w:rPr>
        <w:t>675</w:t>
      </w:r>
      <w:r>
        <w:rPr>
          <w:rFonts w:hint="eastAsia" w:ascii="宋体" w:hAnsi="宋体" w:eastAsia="宋体" w:cs="宋体"/>
          <w:color w:val="000000"/>
          <w:kern w:val="0"/>
          <w:sz w:val="24"/>
          <w:szCs w:val="24"/>
          <w:u w:val="single"/>
          <w:lang w:eastAsia="zh-CN"/>
        </w:rPr>
        <w:t>kW~</w:t>
      </w:r>
      <w:r>
        <w:rPr>
          <w:rFonts w:hint="eastAsia" w:ascii="宋体" w:hAnsi="宋体" w:cs="宋体"/>
          <w:color w:val="000000"/>
          <w:kern w:val="0"/>
          <w:sz w:val="24"/>
          <w:szCs w:val="24"/>
          <w:u w:val="single"/>
          <w:lang w:val="en-US" w:eastAsia="zh-CN"/>
        </w:rPr>
        <w:t>2700</w:t>
      </w:r>
      <w:r>
        <w:rPr>
          <w:rFonts w:hint="eastAsia" w:ascii="宋体" w:hAnsi="宋体" w:eastAsia="宋体" w:cs="宋体"/>
          <w:color w:val="000000"/>
          <w:kern w:val="0"/>
          <w:sz w:val="24"/>
          <w:szCs w:val="24"/>
          <w:u w:val="single"/>
          <w:lang w:eastAsia="zh-CN"/>
        </w:rPr>
        <w:t>kW。</w:t>
      </w:r>
    </w:p>
    <w:p>
      <w:pPr>
        <w:pStyle w:val="43"/>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锅炉燃烧</w:t>
      </w:r>
      <w:r>
        <w:rPr>
          <w:rFonts w:hint="eastAsia" w:ascii="宋体" w:hAnsi="宋体" w:eastAsia="宋体" w:cs="宋体"/>
          <w:color w:val="000000"/>
          <w:sz w:val="24"/>
          <w:szCs w:val="24"/>
          <w:lang w:eastAsia="zh-CN"/>
        </w:rPr>
        <w:t>应实现</w:t>
      </w:r>
      <w:r>
        <w:rPr>
          <w:rFonts w:hint="eastAsia" w:ascii="宋体" w:hAnsi="宋体" w:eastAsia="宋体" w:cs="宋体"/>
          <w:color w:val="000000"/>
          <w:sz w:val="24"/>
          <w:szCs w:val="24"/>
        </w:rPr>
        <w:t>全自动控制，</w:t>
      </w:r>
      <w:r>
        <w:rPr>
          <w:rFonts w:hint="eastAsia" w:ascii="宋体" w:hAnsi="宋体" w:eastAsia="宋体" w:cs="宋体"/>
          <w:color w:val="000000"/>
          <w:sz w:val="24"/>
          <w:szCs w:val="24"/>
          <w:lang w:eastAsia="zh-CN"/>
        </w:rPr>
        <w:t>要求锅炉配带控制柜1台</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lang w:eastAsia="zh-CN"/>
        </w:rPr>
        <w:t>可编程控制器</w:t>
      </w:r>
      <w:r>
        <w:rPr>
          <w:rFonts w:hint="eastAsia" w:ascii="宋体" w:hAnsi="宋体" w:eastAsia="宋体" w:cs="宋体"/>
          <w:b/>
          <w:bCs/>
          <w:color w:val="000000"/>
          <w:sz w:val="24"/>
          <w:szCs w:val="24"/>
          <w:lang w:eastAsia="zh-CN"/>
        </w:rPr>
        <w:t>（嵌入式</w:t>
      </w:r>
      <w:r>
        <w:rPr>
          <w:rFonts w:hint="eastAsia" w:ascii="宋体" w:hAnsi="宋体" w:eastAsia="宋体" w:cs="宋体"/>
          <w:b/>
          <w:bCs/>
          <w:color w:val="000000"/>
          <w:sz w:val="24"/>
          <w:szCs w:val="24"/>
        </w:rPr>
        <w:t>彩色触摸屏</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lang w:eastAsia="zh-CN"/>
        </w:rPr>
        <w:t>1套，控制柜通讯协议：</w:t>
      </w:r>
      <w:r>
        <w:rPr>
          <w:rFonts w:hint="eastAsia" w:ascii="宋体" w:hAnsi="宋体" w:eastAsia="宋体" w:cs="宋体"/>
          <w:sz w:val="24"/>
          <w:szCs w:val="24"/>
        </w:rPr>
        <w:t>预留485通讯接口</w:t>
      </w:r>
      <w:r>
        <w:rPr>
          <w:rFonts w:hint="eastAsia" w:ascii="宋体" w:hAnsi="宋体" w:eastAsia="宋体" w:cs="宋体"/>
          <w:sz w:val="24"/>
          <w:szCs w:val="24"/>
          <w:lang w:eastAsia="zh-CN"/>
        </w:rPr>
        <w:t>，</w:t>
      </w:r>
      <w:r>
        <w:rPr>
          <w:rFonts w:hint="eastAsia" w:ascii="宋体" w:hAnsi="宋体" w:eastAsia="宋体" w:cs="宋体"/>
          <w:color w:val="000000"/>
          <w:sz w:val="24"/>
          <w:szCs w:val="24"/>
          <w:lang w:eastAsia="zh-CN"/>
        </w:rPr>
        <w:t>实现但不低于下列自控内容</w:t>
      </w:r>
      <w:r>
        <w:rPr>
          <w:rFonts w:hint="eastAsia" w:ascii="宋体" w:hAnsi="宋体" w:eastAsia="宋体" w:cs="宋体"/>
          <w:color w:val="000000"/>
          <w:sz w:val="24"/>
          <w:szCs w:val="24"/>
        </w:rPr>
        <w:t>：</w:t>
      </w:r>
    </w:p>
    <w:p>
      <w:pPr>
        <w:pStyle w:val="6"/>
        <w:numPr>
          <w:ilvl w:val="0"/>
          <w:numId w:val="5"/>
        </w:numPr>
        <w:snapToGrid/>
        <w:ind w:left="0" w:leftChars="0" w:right="0" w:rightChars="0" w:firstLine="20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燃烧器</w:t>
      </w:r>
      <w:r>
        <w:rPr>
          <w:rFonts w:hint="eastAsia" w:ascii="宋体" w:hAnsi="宋体" w:eastAsia="宋体" w:cs="宋体"/>
          <w:sz w:val="24"/>
          <w:szCs w:val="24"/>
        </w:rPr>
        <w:t>全自动</w:t>
      </w:r>
      <w:r>
        <w:rPr>
          <w:rFonts w:hint="eastAsia" w:cs="宋体"/>
          <w:sz w:val="24"/>
          <w:szCs w:val="24"/>
          <w:lang w:eastAsia="zh-CN"/>
        </w:rPr>
        <w:t>电子比例调节</w:t>
      </w:r>
      <w:r>
        <w:rPr>
          <w:rFonts w:hint="eastAsia" w:ascii="宋体" w:hAnsi="宋体" w:eastAsia="宋体" w:cs="宋体"/>
          <w:sz w:val="24"/>
          <w:szCs w:val="24"/>
        </w:rPr>
        <w:t>运行</w:t>
      </w:r>
      <w:r>
        <w:rPr>
          <w:rFonts w:hint="eastAsia" w:ascii="宋体" w:hAnsi="宋体" w:eastAsia="宋体" w:cs="宋体"/>
          <w:sz w:val="24"/>
          <w:szCs w:val="24"/>
          <w:lang w:eastAsia="zh-CN"/>
        </w:rPr>
        <w:t>，调节比1:2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锅炉出</w:t>
      </w:r>
      <w:r>
        <w:rPr>
          <w:rFonts w:hint="eastAsia" w:cs="宋体"/>
          <w:color w:val="000000"/>
          <w:sz w:val="24"/>
          <w:szCs w:val="24"/>
          <w:lang w:eastAsia="zh-CN"/>
        </w:rPr>
        <w:t>口</w:t>
      </w:r>
      <w:r>
        <w:rPr>
          <w:rFonts w:hint="eastAsia" w:ascii="宋体" w:hAnsi="宋体" w:eastAsia="宋体" w:cs="宋体"/>
          <w:color w:val="000000"/>
          <w:sz w:val="24"/>
          <w:szCs w:val="24"/>
        </w:rPr>
        <w:t>温度控制火势大小；</w:t>
      </w:r>
    </w:p>
    <w:p>
      <w:pPr>
        <w:pStyle w:val="6"/>
        <w:numPr>
          <w:ilvl w:val="0"/>
          <w:numId w:val="5"/>
        </w:numPr>
        <w:snapToGrid/>
        <w:ind w:left="0" w:leftChars="0" w:right="0" w:rightChars="0" w:firstLine="20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风机变频控制与燃料供应自动匹配，实现</w:t>
      </w:r>
      <w:r>
        <w:rPr>
          <w:rFonts w:hint="eastAsia" w:ascii="宋体" w:hAnsi="宋体" w:eastAsia="宋体" w:cs="宋体"/>
          <w:color w:val="000000"/>
          <w:sz w:val="24"/>
          <w:szCs w:val="24"/>
          <w:lang w:eastAsia="zh-CN"/>
        </w:rPr>
        <w:t>超</w:t>
      </w:r>
      <w:r>
        <w:rPr>
          <w:rFonts w:hint="eastAsia" w:ascii="宋体" w:hAnsi="宋体" w:eastAsia="宋体" w:cs="宋体"/>
          <w:color w:val="000000"/>
          <w:sz w:val="24"/>
          <w:szCs w:val="24"/>
        </w:rPr>
        <w:t>低氮燃烧；</w:t>
      </w:r>
    </w:p>
    <w:p>
      <w:pPr>
        <w:pStyle w:val="6"/>
        <w:numPr>
          <w:ilvl w:val="0"/>
          <w:numId w:val="5"/>
        </w:numPr>
        <w:snapToGrid/>
        <w:ind w:left="0" w:leftChars="0" w:right="0" w:rightChars="0" w:firstLine="20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锅炉</w:t>
      </w:r>
      <w:r>
        <w:rPr>
          <w:rFonts w:hint="eastAsia" w:cs="宋体"/>
          <w:color w:val="000000"/>
          <w:sz w:val="24"/>
          <w:szCs w:val="24"/>
          <w:lang w:eastAsia="zh-CN"/>
        </w:rPr>
        <w:t>供油</w:t>
      </w:r>
      <w:r>
        <w:rPr>
          <w:rFonts w:hint="eastAsia" w:ascii="宋体" w:hAnsi="宋体" w:eastAsia="宋体" w:cs="宋体"/>
          <w:color w:val="000000"/>
          <w:sz w:val="24"/>
          <w:szCs w:val="24"/>
        </w:rPr>
        <w:t>温度超高报警并停炉；</w:t>
      </w:r>
    </w:p>
    <w:p>
      <w:pPr>
        <w:pStyle w:val="6"/>
        <w:numPr>
          <w:ilvl w:val="0"/>
          <w:numId w:val="5"/>
        </w:numPr>
        <w:snapToGrid/>
        <w:ind w:left="0" w:leftChars="0" w:right="0" w:rightChars="0" w:firstLine="200" w:firstLineChars="0"/>
        <w:rPr>
          <w:rFonts w:hint="eastAsia" w:ascii="宋体" w:hAnsi="宋体" w:eastAsia="宋体" w:cs="宋体"/>
          <w:color w:val="000000"/>
          <w:sz w:val="24"/>
          <w:szCs w:val="24"/>
        </w:rPr>
      </w:pPr>
      <w:r>
        <w:rPr>
          <w:rFonts w:hint="eastAsia" w:cs="宋体"/>
          <w:color w:val="000000"/>
          <w:sz w:val="24"/>
          <w:szCs w:val="24"/>
          <w:lang w:eastAsia="zh-CN"/>
        </w:rPr>
        <w:t>锅炉供油压力超高报警并停炉；</w:t>
      </w:r>
    </w:p>
    <w:p>
      <w:pPr>
        <w:pStyle w:val="6"/>
        <w:numPr>
          <w:ilvl w:val="0"/>
          <w:numId w:val="5"/>
        </w:numPr>
        <w:snapToGrid/>
        <w:spacing w:line="360" w:lineRule="auto"/>
        <w:ind w:left="0" w:leftChars="0" w:right="0" w:rightChars="0" w:firstLine="20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锅炉</w:t>
      </w:r>
      <w:r>
        <w:rPr>
          <w:rFonts w:hint="eastAsia" w:cs="宋体"/>
          <w:color w:val="000000"/>
          <w:sz w:val="24"/>
          <w:szCs w:val="24"/>
          <w:lang w:eastAsia="zh-CN"/>
        </w:rPr>
        <w:t>供油无流量或流量低于设定值</w:t>
      </w:r>
      <w:r>
        <w:rPr>
          <w:rFonts w:hint="eastAsia" w:ascii="宋体" w:hAnsi="宋体" w:eastAsia="宋体" w:cs="宋体"/>
          <w:color w:val="000000"/>
          <w:sz w:val="24"/>
          <w:szCs w:val="24"/>
        </w:rPr>
        <w:t>报警并停炉；</w:t>
      </w:r>
    </w:p>
    <w:p>
      <w:pPr>
        <w:pStyle w:val="6"/>
        <w:numPr>
          <w:ilvl w:val="0"/>
          <w:numId w:val="5"/>
        </w:numPr>
        <w:snapToGrid/>
        <w:spacing w:line="360" w:lineRule="auto"/>
        <w:ind w:left="0" w:leftChars="0" w:right="0" w:rightChars="0" w:firstLine="20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燃料气压力过低、超高、断气报警并停炉；</w:t>
      </w:r>
    </w:p>
    <w:p>
      <w:pPr>
        <w:pStyle w:val="12"/>
        <w:numPr>
          <w:ilvl w:val="0"/>
          <w:numId w:val="5"/>
        </w:numPr>
        <w:snapToGrid w:val="0"/>
        <w:spacing w:after="0" w:line="360" w:lineRule="auto"/>
        <w:ind w:left="0" w:firstLine="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燃烧器熄火、故障报警并切断燃气供应。</w:t>
      </w:r>
    </w:p>
    <w:p>
      <w:pPr>
        <w:pStyle w:val="12"/>
        <w:numPr>
          <w:ilvl w:val="0"/>
          <w:numId w:val="5"/>
        </w:numPr>
        <w:snapToGrid w:val="0"/>
        <w:spacing w:after="0" w:line="360" w:lineRule="auto"/>
        <w:ind w:left="0" w:firstLine="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自动点火程序控制；</w:t>
      </w:r>
    </w:p>
    <w:p>
      <w:pPr>
        <w:pStyle w:val="12"/>
        <w:numPr>
          <w:ilvl w:val="0"/>
          <w:numId w:val="5"/>
        </w:numPr>
        <w:snapToGrid w:val="0"/>
        <w:spacing w:after="0" w:line="360" w:lineRule="auto"/>
        <w:ind w:left="0" w:firstLine="200"/>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节能器</w:t>
      </w:r>
      <w:r>
        <w:rPr>
          <w:rFonts w:hint="eastAsia" w:ascii="宋体" w:hAnsi="宋体" w:eastAsia="宋体" w:cs="宋体"/>
          <w:color w:val="000000"/>
          <w:sz w:val="24"/>
          <w:szCs w:val="24"/>
        </w:rPr>
        <w:t>器进、出口烟气温度显示。</w:t>
      </w:r>
    </w:p>
    <w:p>
      <w:pPr>
        <w:pStyle w:val="12"/>
        <w:numPr>
          <w:ilvl w:val="0"/>
          <w:numId w:val="5"/>
        </w:numPr>
        <w:snapToGrid w:val="0"/>
        <w:spacing w:after="0" w:line="360" w:lineRule="auto"/>
        <w:ind w:left="0" w:firstLine="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定时功能；</w:t>
      </w:r>
    </w:p>
    <w:p>
      <w:pPr>
        <w:pStyle w:val="12"/>
        <w:numPr>
          <w:ilvl w:val="0"/>
          <w:numId w:val="5"/>
        </w:numPr>
        <w:snapToGrid w:val="0"/>
        <w:spacing w:after="0" w:line="360" w:lineRule="auto"/>
        <w:ind w:left="0" w:firstLine="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数据记录功能: 自动记录故障发生的时间及原因，统计系统、燃烧器、</w:t>
      </w:r>
      <w:r>
        <w:rPr>
          <w:rFonts w:hint="eastAsia" w:ascii="宋体" w:hAnsi="宋体" w:cs="宋体"/>
          <w:color w:val="000000"/>
          <w:sz w:val="24"/>
          <w:szCs w:val="24"/>
          <w:lang w:eastAsia="zh-CN"/>
        </w:rPr>
        <w:t>油</w:t>
      </w:r>
      <w:r>
        <w:rPr>
          <w:rFonts w:hint="eastAsia" w:ascii="宋体" w:hAnsi="宋体" w:eastAsia="宋体" w:cs="宋体"/>
          <w:color w:val="000000"/>
          <w:sz w:val="24"/>
          <w:szCs w:val="24"/>
        </w:rPr>
        <w:t>泵运行时间，自动记录系统操作记录。自动绘制运行过程中温度等参数变化曲线。</w:t>
      </w:r>
    </w:p>
    <w:p>
      <w:pPr>
        <w:pStyle w:val="43"/>
        <w:spacing w:line="360" w:lineRule="auto"/>
        <w:ind w:firstLine="200" w:firstLineChars="0"/>
        <w:rPr>
          <w:rFonts w:hint="eastAsia" w:ascii="宋体" w:hAnsi="宋体" w:eastAsia="宋体" w:cs="宋体"/>
          <w:sz w:val="24"/>
          <w:szCs w:val="24"/>
          <w:u w:val="single"/>
          <w:lang w:eastAsia="zh-CN"/>
        </w:rPr>
      </w:pPr>
      <w:r>
        <w:rPr>
          <w:rFonts w:hint="eastAsia" w:ascii="宋体" w:hAnsi="宋体" w:eastAsia="宋体" w:cs="宋体"/>
          <w:sz w:val="24"/>
          <w:szCs w:val="24"/>
        </w:rPr>
        <w:t>锅炉</w:t>
      </w:r>
      <w:r>
        <w:rPr>
          <w:rFonts w:hint="eastAsia" w:ascii="宋体" w:hAnsi="宋体" w:eastAsia="宋体" w:cs="宋体"/>
          <w:sz w:val="24"/>
          <w:szCs w:val="24"/>
          <w:lang w:eastAsia="zh-CN"/>
        </w:rPr>
        <w:t>达到</w:t>
      </w:r>
      <w:r>
        <w:rPr>
          <w:rFonts w:hint="eastAsia" w:ascii="宋体" w:hAnsi="宋体" w:eastAsia="宋体" w:cs="宋体"/>
          <w:sz w:val="24"/>
          <w:szCs w:val="24"/>
        </w:rPr>
        <w:t>额定负荷</w:t>
      </w:r>
      <w:r>
        <w:rPr>
          <w:rFonts w:hint="eastAsia" w:ascii="宋体" w:hAnsi="宋体" w:eastAsia="宋体" w:cs="宋体"/>
          <w:sz w:val="24"/>
          <w:szCs w:val="24"/>
          <w:lang w:eastAsia="zh-CN"/>
        </w:rPr>
        <w:t>时燃烧器</w:t>
      </w:r>
      <w:r>
        <w:rPr>
          <w:rFonts w:hint="eastAsia" w:ascii="宋体" w:hAnsi="宋体" w:eastAsia="宋体" w:cs="宋体"/>
          <w:sz w:val="24"/>
          <w:szCs w:val="24"/>
        </w:rPr>
        <w:t>运行噪声</w:t>
      </w:r>
      <w:r>
        <w:rPr>
          <w:rFonts w:hint="eastAsia" w:ascii="宋体" w:hAnsi="宋体" w:eastAsia="宋体" w:cs="宋体"/>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82</w:t>
      </w:r>
      <w:r>
        <w:rPr>
          <w:rFonts w:hint="eastAsia" w:ascii="宋体" w:hAnsi="宋体" w:eastAsia="宋体" w:cs="宋体"/>
          <w:sz w:val="24"/>
          <w:szCs w:val="24"/>
          <w:u w:val="single"/>
        </w:rPr>
        <w:t xml:space="preserve"> dB(A)</w:t>
      </w:r>
    </w:p>
    <w:p>
      <w:pPr>
        <w:pStyle w:val="43"/>
        <w:spacing w:line="360" w:lineRule="auto"/>
        <w:ind w:firstLine="200" w:firstLineChars="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要求运行负荷调节范围：  </w:t>
      </w:r>
      <w:r>
        <w:rPr>
          <w:rFonts w:hint="eastAsia" w:ascii="宋体" w:hAnsi="宋体" w:eastAsia="宋体" w:cs="宋体"/>
          <w:sz w:val="24"/>
          <w:szCs w:val="24"/>
          <w:u w:val="single"/>
          <w:lang w:eastAsia="zh-CN"/>
        </w:rPr>
        <w:t>最低负荷不大于30%额定热负荷，最高负荷不小于110%额定热负荷。</w:t>
      </w:r>
    </w:p>
    <w:p>
      <w:pPr>
        <w:numPr>
          <w:ilvl w:val="0"/>
          <w:numId w:val="0"/>
        </w:numPr>
        <w:spacing w:line="360" w:lineRule="auto"/>
        <w:rPr>
          <w:rFonts w:hint="eastAsia" w:ascii="宋体" w:hAnsi="宋体" w:cs="宋体"/>
          <w:sz w:val="24"/>
          <w:szCs w:val="32"/>
          <w:lang w:val="en-US" w:eastAsia="zh-CN"/>
        </w:rPr>
      </w:pPr>
    </w:p>
    <w:p/>
    <w:p>
      <w:pPr>
        <w:pStyle w:val="8"/>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color w:val="000000"/>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4AA13BE-F25A-4250-B69C-CB088941F552}"/>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B712FC3D-A25F-4BA3-81CB-5899AE5FC1E6}"/>
  </w:font>
  <w:font w:name="方正小标宋_GBK">
    <w:panose1 w:val="02000000000000000000"/>
    <w:charset w:val="86"/>
    <w:family w:val="auto"/>
    <w:pitch w:val="default"/>
    <w:sig w:usb0="A00002BF" w:usb1="38CF7CFA" w:usb2="00082016" w:usb3="00000000" w:csb0="00040001" w:csb1="00000000"/>
    <w:embedRegular r:id="rId3" w:fontKey="{31E8B7A3-1F32-41CA-AAF9-E695D2231EF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72576"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2576;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9"/>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7456"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41"/>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9024;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41"/>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6350" r="8890" b="635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1"/>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697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41"/>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848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1"/>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800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41"/>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1"/>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41"/>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6350" r="8890" b="635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5A0D"/>
    <w:multiLevelType w:val="singleLevel"/>
    <w:tmpl w:val="84805A0D"/>
    <w:lvl w:ilvl="0" w:tentative="0">
      <w:start w:val="1"/>
      <w:numFmt w:val="decimal"/>
      <w:lvlText w:val="(%1)"/>
      <w:lvlJc w:val="left"/>
      <w:pPr>
        <w:ind w:left="425" w:hanging="425"/>
      </w:pPr>
      <w:rPr>
        <w:rFonts w:hint="default"/>
      </w:rPr>
    </w:lvl>
  </w:abstractNum>
  <w:abstractNum w:abstractNumId="1">
    <w:nsid w:val="02B46955"/>
    <w:multiLevelType w:val="singleLevel"/>
    <w:tmpl w:val="02B46955"/>
    <w:lvl w:ilvl="0" w:tentative="0">
      <w:start w:val="1"/>
      <w:numFmt w:val="decimal"/>
      <w:lvlText w:val="%1、"/>
      <w:lvlJc w:val="left"/>
      <w:pPr>
        <w:ind w:left="420" w:hanging="420"/>
      </w:pPr>
    </w:lvl>
  </w:abstractNum>
  <w:abstractNum w:abstractNumId="2">
    <w:nsid w:val="31F135F5"/>
    <w:multiLevelType w:val="multilevel"/>
    <w:tmpl w:val="31F135F5"/>
    <w:lvl w:ilvl="0" w:tentative="0">
      <w:start w:val="1"/>
      <w:numFmt w:val="decimal"/>
      <w:pStyle w:val="42"/>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4"/>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7587AE7"/>
    <w:multiLevelType w:val="multilevel"/>
    <w:tmpl w:val="67587AE7"/>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A5BFB0F"/>
    <w:multiLevelType w:val="singleLevel"/>
    <w:tmpl w:val="7A5BFB0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2RiMmEwMjA5ZWU3MDEyMDI4MGJhYTgyM2Q0YTUifQ=="/>
  </w:docVars>
  <w:rsids>
    <w:rsidRoot w:val="377C5ABE"/>
    <w:rsid w:val="00A57814"/>
    <w:rsid w:val="00E86637"/>
    <w:rsid w:val="013C06BC"/>
    <w:rsid w:val="017064C1"/>
    <w:rsid w:val="02145EAB"/>
    <w:rsid w:val="02151639"/>
    <w:rsid w:val="024912E2"/>
    <w:rsid w:val="038036E6"/>
    <w:rsid w:val="08F700B0"/>
    <w:rsid w:val="092B473B"/>
    <w:rsid w:val="095C4B76"/>
    <w:rsid w:val="0ABF6C1F"/>
    <w:rsid w:val="0BE04A65"/>
    <w:rsid w:val="10786FCF"/>
    <w:rsid w:val="109F7838"/>
    <w:rsid w:val="127B4651"/>
    <w:rsid w:val="12CF062C"/>
    <w:rsid w:val="16D056D4"/>
    <w:rsid w:val="17471E3D"/>
    <w:rsid w:val="1B644C4C"/>
    <w:rsid w:val="1C643488"/>
    <w:rsid w:val="1E6A030A"/>
    <w:rsid w:val="1E845724"/>
    <w:rsid w:val="20F22F27"/>
    <w:rsid w:val="22912DA4"/>
    <w:rsid w:val="267164D3"/>
    <w:rsid w:val="26A25548"/>
    <w:rsid w:val="27535549"/>
    <w:rsid w:val="2BE1142E"/>
    <w:rsid w:val="2D495615"/>
    <w:rsid w:val="3073515D"/>
    <w:rsid w:val="31C4199F"/>
    <w:rsid w:val="377C5ABE"/>
    <w:rsid w:val="387D6CBA"/>
    <w:rsid w:val="3A1B2B99"/>
    <w:rsid w:val="3B897F4E"/>
    <w:rsid w:val="4163775B"/>
    <w:rsid w:val="42545136"/>
    <w:rsid w:val="44BC0EC5"/>
    <w:rsid w:val="4BAA77F5"/>
    <w:rsid w:val="4BBF129A"/>
    <w:rsid w:val="4BDB2578"/>
    <w:rsid w:val="4CA95767"/>
    <w:rsid w:val="4F3855EC"/>
    <w:rsid w:val="5186783B"/>
    <w:rsid w:val="56690BF1"/>
    <w:rsid w:val="598A62E5"/>
    <w:rsid w:val="59976BB1"/>
    <w:rsid w:val="59B958BE"/>
    <w:rsid w:val="5B571023"/>
    <w:rsid w:val="5C5468E9"/>
    <w:rsid w:val="5EE46CBD"/>
    <w:rsid w:val="5F453E9C"/>
    <w:rsid w:val="63E1627C"/>
    <w:rsid w:val="640D3093"/>
    <w:rsid w:val="64973E77"/>
    <w:rsid w:val="6709759A"/>
    <w:rsid w:val="6A3457B5"/>
    <w:rsid w:val="6A5F2BC3"/>
    <w:rsid w:val="6D8E2425"/>
    <w:rsid w:val="6EC4187A"/>
    <w:rsid w:val="714A6178"/>
    <w:rsid w:val="78B16BF6"/>
    <w:rsid w:val="79287BD4"/>
    <w:rsid w:val="7C8C1267"/>
    <w:rsid w:val="7ED67158"/>
    <w:rsid w:val="7F2B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7"/>
    <w:basedOn w:val="1"/>
    <w:next w:val="1"/>
    <w:qFormat/>
    <w:uiPriority w:val="99"/>
    <w:pPr>
      <w:keepNext/>
      <w:keepLines/>
      <w:spacing w:before="240" w:after="64" w:line="320" w:lineRule="auto"/>
      <w:outlineLvl w:val="6"/>
    </w:pPr>
    <w:rPr>
      <w:b/>
      <w:bCs/>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qFormat/>
    <w:uiPriority w:val="0"/>
    <w:pPr>
      <w:adjustRightInd/>
      <w:snapToGrid w:val="0"/>
      <w:spacing w:line="360" w:lineRule="auto"/>
      <w:ind w:left="239" w:leftChars="100" w:right="236" w:rightChars="99" w:firstLine="538" w:firstLineChars="200"/>
      <w:textAlignment w:val="auto"/>
    </w:pPr>
    <w:rPr>
      <w:rFonts w:ascii="宋体" w:hAnsi="宋体"/>
      <w:kern w:val="2"/>
      <w:sz w:val="24"/>
    </w:rPr>
  </w:style>
  <w:style w:type="paragraph" w:styleId="7">
    <w:name w:val="Body Text Indent"/>
    <w:basedOn w:val="1"/>
    <w:qFormat/>
    <w:uiPriority w:val="0"/>
    <w:pPr>
      <w:ind w:left="720"/>
    </w:pPr>
    <w:rPr>
      <w:rFonts w:ascii="宋体" w:hAnsi="宋体"/>
      <w:sz w:val="28"/>
    </w:rPr>
  </w:style>
  <w:style w:type="paragraph" w:styleId="8">
    <w:name w:val="Plain Text"/>
    <w:basedOn w:val="1"/>
    <w:qFormat/>
    <w:uiPriority w:val="0"/>
    <w:rPr>
      <w:rFonts w:ascii="宋体" w:hAnsi="Courier New"/>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Body Text 2"/>
    <w:basedOn w:val="1"/>
    <w:qFormat/>
    <w:uiPriority w:val="0"/>
    <w:pPr>
      <w:spacing w:after="120" w:line="480" w:lineRule="auto"/>
    </w:pPr>
  </w:style>
  <w:style w:type="paragraph" w:styleId="13">
    <w:name w:val="Normal (Web)"/>
    <w:basedOn w:val="1"/>
    <w:qFormat/>
    <w:uiPriority w:val="99"/>
    <w:rPr>
      <w:rFonts w:ascii="Times New Roman" w:hAnsi="Times New Roman"/>
      <w:sz w:val="24"/>
      <w:szCs w:val="24"/>
    </w:rPr>
  </w:style>
  <w:style w:type="paragraph" w:styleId="14">
    <w:name w:val="Body Text First Indent"/>
    <w:basedOn w:val="2"/>
    <w:next w:val="15"/>
    <w:qFormat/>
    <w:uiPriority w:val="0"/>
    <w:pPr>
      <w:ind w:firstLine="420" w:firstLineChars="100"/>
    </w:pPr>
    <w:rPr>
      <w:rFonts w:ascii="Calibri" w:hAnsi="Calibri"/>
    </w:rPr>
  </w:style>
  <w:style w:type="paragraph" w:styleId="15">
    <w:name w:val="Body Text First Indent 2"/>
    <w:basedOn w:val="7"/>
    <w:next w:val="14"/>
    <w:qFormat/>
    <w:uiPriority w:val="0"/>
    <w:pPr>
      <w:ind w:firstLine="420" w:firstLineChars="200"/>
    </w:pPr>
  </w:style>
  <w:style w:type="table" w:styleId="17">
    <w:name w:val="Table Grid"/>
    <w:basedOn w:val="16"/>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21">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2">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23">
    <w:name w:val="正文_1_0"/>
    <w:basedOn w:val="24"/>
    <w:next w:val="30"/>
    <w:qFormat/>
    <w:uiPriority w:val="0"/>
    <w:pPr>
      <w:widowControl w:val="0"/>
      <w:jc w:val="both"/>
    </w:pPr>
    <w:rPr>
      <w:kern w:val="2"/>
      <w:sz w:val="21"/>
      <w:szCs w:val="24"/>
      <w:lang w:val="en-US" w:eastAsia="zh-CN" w:bidi="ar-SA"/>
    </w:rPr>
  </w:style>
  <w:style w:type="paragraph" w:customStyle="1" w:styleId="24">
    <w:name w:val="正文_2_0_0"/>
    <w:basedOn w:val="25"/>
    <w:next w:val="26"/>
    <w:qFormat/>
    <w:uiPriority w:val="0"/>
    <w:pPr>
      <w:widowControl w:val="0"/>
      <w:jc w:val="both"/>
    </w:pPr>
    <w:rPr>
      <w:rFonts w:ascii="Calibri" w:hAnsi="Calibri"/>
      <w:kern w:val="2"/>
      <w:sz w:val="21"/>
      <w:szCs w:val="22"/>
      <w:lang w:val="en-US" w:eastAsia="zh-CN" w:bidi="ar-SA"/>
    </w:rPr>
  </w:style>
  <w:style w:type="paragraph" w:customStyle="1" w:styleId="25">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_0_1"/>
    <w:basedOn w:val="27"/>
    <w:qFormat/>
    <w:uiPriority w:val="0"/>
    <w:pPr>
      <w:spacing w:after="120"/>
    </w:pPr>
    <w:rPr>
      <w:rFonts w:ascii="Calibri" w:hAnsi="Calibri"/>
      <w:kern w:val="0"/>
      <w:sz w:val="20"/>
    </w:rPr>
  </w:style>
  <w:style w:type="paragraph" w:customStyle="1" w:styleId="27">
    <w:name w:val="正文_2_2"/>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首行缩进 2_0"/>
    <w:basedOn w:val="29"/>
    <w:qFormat/>
    <w:uiPriority w:val="0"/>
    <w:pPr>
      <w:ind w:firstLine="420" w:firstLineChars="200"/>
    </w:pPr>
  </w:style>
  <w:style w:type="paragraph" w:customStyle="1" w:styleId="29">
    <w:name w:val="正文文本缩进_0_1"/>
    <w:basedOn w:val="25"/>
    <w:qFormat/>
    <w:uiPriority w:val="0"/>
    <w:pPr>
      <w:spacing w:line="500" w:lineRule="exact"/>
      <w:ind w:left="1588" w:leftChars="832" w:firstLine="433" w:firstLineChars="196"/>
    </w:pPr>
    <w:rPr>
      <w:rFonts w:ascii="Calibri" w:hAnsi="Calibri" w:eastAsia="宋体"/>
      <w:sz w:val="24"/>
    </w:rPr>
  </w:style>
  <w:style w:type="paragraph" w:customStyle="1" w:styleId="30">
    <w:name w:val="正文缩进_0_0"/>
    <w:basedOn w:val="31"/>
    <w:qFormat/>
    <w:uiPriority w:val="0"/>
    <w:pPr>
      <w:ind w:firstLine="420" w:firstLineChars="200"/>
    </w:pPr>
    <w:rPr>
      <w:rFonts w:ascii="Calibri" w:hAnsi="Calibri"/>
      <w:szCs w:val="20"/>
    </w:rPr>
  </w:style>
  <w:style w:type="paragraph" w:customStyle="1" w:styleId="31">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34">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35">
    <w:name w:val="Other|1"/>
    <w:basedOn w:val="1"/>
    <w:qFormat/>
    <w:uiPriority w:val="0"/>
    <w:rPr>
      <w:rFonts w:ascii="宋体" w:hAnsi="宋体" w:eastAsia="宋体" w:cs="宋体"/>
      <w:lang w:val="zh-TW" w:eastAsia="zh-TW" w:bidi="zh-TW"/>
    </w:rPr>
  </w:style>
  <w:style w:type="paragraph" w:styleId="36">
    <w:name w:val="List Paragraph"/>
    <w:basedOn w:val="1"/>
    <w:unhideWhenUsed/>
    <w:qFormat/>
    <w:uiPriority w:val="99"/>
    <w:pPr>
      <w:ind w:firstLine="420" w:firstLineChars="200"/>
    </w:pPr>
  </w:style>
  <w:style w:type="paragraph" w:customStyle="1" w:styleId="37">
    <w:name w:val="Body text|4"/>
    <w:basedOn w:val="1"/>
    <w:qFormat/>
    <w:uiPriority w:val="0"/>
    <w:pPr>
      <w:spacing w:line="214" w:lineRule="auto"/>
      <w:ind w:hanging="1300"/>
    </w:pPr>
    <w:rPr>
      <w:b/>
      <w:bCs/>
      <w:sz w:val="20"/>
      <w:szCs w:val="20"/>
      <w:lang w:val="zh-CN"/>
    </w:rPr>
  </w:style>
  <w:style w:type="paragraph" w:customStyle="1" w:styleId="38">
    <w:name w:val="Table caption|1"/>
    <w:basedOn w:val="1"/>
    <w:qFormat/>
    <w:uiPriority w:val="0"/>
    <w:rPr>
      <w:rFonts w:ascii="宋体" w:hAnsi="宋体" w:eastAsia="宋体" w:cs="宋体"/>
      <w:b/>
      <w:bCs/>
      <w:lang w:val="zh-TW" w:eastAsia="zh-TW" w:bidi="zh-TW"/>
    </w:rPr>
  </w:style>
  <w:style w:type="paragraph" w:customStyle="1" w:styleId="39">
    <w:name w:val="Normal_11"/>
    <w:qFormat/>
    <w:uiPriority w:val="0"/>
    <w:rPr>
      <w:rFonts w:ascii="黑体" w:hAnsi="黑体" w:eastAsia="黑体" w:cs="Times New Roman"/>
      <w:b/>
      <w:sz w:val="32"/>
      <w:szCs w:val="24"/>
      <w:lang w:bidi="ar-SA"/>
    </w:rPr>
  </w:style>
  <w:style w:type="paragraph" w:customStyle="1" w:styleId="40">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Header or footer|1"/>
    <w:basedOn w:val="1"/>
    <w:qFormat/>
    <w:uiPriority w:val="0"/>
    <w:rPr>
      <w:rFonts w:ascii="宋体" w:hAnsi="宋体" w:eastAsia="宋体" w:cs="宋体"/>
      <w:color w:val="291B66"/>
      <w:sz w:val="22"/>
      <w:szCs w:val="22"/>
      <w:lang w:val="zh-TW" w:eastAsia="zh-TW" w:bidi="zh-TW"/>
    </w:rPr>
  </w:style>
  <w:style w:type="paragraph" w:customStyle="1" w:styleId="42">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bidi="ar-SA"/>
    </w:rPr>
  </w:style>
  <w:style w:type="paragraph" w:customStyle="1" w:styleId="43">
    <w:name w:val="1正文内容"/>
    <w:basedOn w:val="1"/>
    <w:qFormat/>
    <w:uiPriority w:val="0"/>
    <w:pPr>
      <w:snapToGrid w:val="0"/>
      <w:spacing w:line="300" w:lineRule="auto"/>
      <w:ind w:firstLine="420" w:firstLineChars="200"/>
      <w:jc w:val="left"/>
      <w:textAlignment w:val="auto"/>
    </w:pPr>
    <w:rPr>
      <w:kern w:val="2"/>
      <w:szCs w:val="24"/>
    </w:rPr>
  </w:style>
  <w:style w:type="paragraph" w:customStyle="1" w:styleId="44">
    <w:name w:val="二级条标题"/>
    <w:basedOn w:val="45"/>
    <w:next w:val="1"/>
    <w:qFormat/>
    <w:uiPriority w:val="0"/>
    <w:pPr>
      <w:numPr>
        <w:ilvl w:val="2"/>
        <w:numId w:val="1"/>
      </w:numPr>
      <w:spacing w:beforeLines="0" w:afterLines="0"/>
      <w:outlineLvl w:val="3"/>
    </w:pPr>
  </w:style>
  <w:style w:type="paragraph" w:customStyle="1" w:styleId="45">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bidi="ar-SA"/>
    </w:rPr>
  </w:style>
  <w:style w:type="paragraph" w:customStyle="1" w:styleId="4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21778</Words>
  <Characters>22906</Characters>
  <Lines>0</Lines>
  <Paragraphs>0</Paragraphs>
  <TotalTime>93</TotalTime>
  <ScaleCrop>false</ScaleCrop>
  <LinksUpToDate>false</LinksUpToDate>
  <CharactersWithSpaces>24434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2023-05-25T08:15:00Z</dcterms:created>
  <dc:creator>WPS_1611828923</dc:creator>
  <cp:lastModifiedBy>WPS_1611828923</cp:lastModifiedBy>
  <dcterms:modified xsi:type="dcterms:W3CDTF">2023-06-21T04:47:06Z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CD4BABD0BC8A4022A4EC1D1AF621D245_13</vt:lpwstr>
  </property>
</Properties>
</file>