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heme="minorEastAsia" w:hAnsiTheme="minorEastAsia"/>
        </w:rPr>
      </w:pPr>
      <w:bookmarkStart w:id="0" w:name="_Toc425869319"/>
      <w:r>
        <w:rPr>
          <w:rFonts w:hint="eastAsia" w:asciiTheme="minorEastAsia" w:hAnsiTheme="minorEastAsia"/>
          <w:sz w:val="22"/>
        </w:rPr>
        <w:t>采购项目编号：</w:t>
      </w:r>
      <w:r>
        <w:rPr>
          <w:rFonts w:hint="eastAsia" w:asciiTheme="minorEastAsia" w:hAnsiTheme="minorEastAsia"/>
          <w:sz w:val="22"/>
          <w:lang w:val="en-US" w:eastAsia="zh-CN"/>
        </w:rPr>
        <w:t>XJTX-CG-</w:t>
      </w:r>
      <w:r>
        <w:rPr>
          <w:rFonts w:hint="eastAsia"/>
          <w:lang w:val="en-US" w:eastAsia="zh-CN"/>
        </w:rPr>
        <w:t>2023-06-20</w:t>
      </w:r>
      <w:r>
        <w:rPr>
          <w:rFonts w:asciiTheme="minorEastAsia" w:hAnsiTheme="minorEastAsia"/>
        </w:rPr>
        <w:t xml:space="preserve"> </w:t>
      </w:r>
    </w:p>
    <w:p>
      <w:pPr>
        <w:wordWrap w:val="0"/>
        <w:jc w:val="right"/>
        <w:rPr>
          <w:rFonts w:asciiTheme="minorEastAsia" w:hAnsiTheme="minorEastAsia"/>
        </w:rPr>
      </w:pPr>
    </w:p>
    <w:p>
      <w:pPr>
        <w:jc w:val="center"/>
        <w:rPr>
          <w:rFonts w:asciiTheme="minorEastAsia" w:hAnsiTheme="minorEastAsia"/>
        </w:rPr>
      </w:pPr>
    </w:p>
    <w:p>
      <w:pPr>
        <w:jc w:val="center"/>
        <w:rPr>
          <w:rFonts w:asciiTheme="minorEastAsia" w:hAnsiTheme="minorEastAsia"/>
        </w:rPr>
      </w:pPr>
    </w:p>
    <w:p>
      <w:pPr>
        <w:jc w:val="center"/>
        <w:rPr>
          <w:rFonts w:asciiTheme="minorEastAsia" w:hAnsiTheme="minorEastAsia"/>
        </w:rPr>
      </w:pPr>
    </w:p>
    <w:p>
      <w:pPr>
        <w:rPr>
          <w:rFonts w:asciiTheme="minorEastAsia" w:hAnsiTheme="minorEastAsia"/>
        </w:rPr>
      </w:pPr>
    </w:p>
    <w:bookmarkEnd w:id="0"/>
    <w:p>
      <w:pPr>
        <w:adjustRightInd w:val="0"/>
        <w:snapToGrid w:val="0"/>
        <w:spacing w:line="480" w:lineRule="exact"/>
        <w:jc w:val="center"/>
        <w:rPr>
          <w:rFonts w:asciiTheme="minorEastAsia" w:hAnsiTheme="minorEastAsia"/>
          <w:b/>
          <w:bCs/>
        </w:rPr>
      </w:pPr>
      <w:r>
        <w:rPr>
          <w:rFonts w:hint="eastAsia" w:asciiTheme="minorEastAsia" w:hAnsiTheme="minorEastAsia"/>
          <w:bCs/>
          <w:sz w:val="48"/>
          <w:szCs w:val="48"/>
        </w:rPr>
        <w:t>竞争性谈判采购文件</w:t>
      </w:r>
    </w:p>
    <w:p>
      <w:pPr>
        <w:adjustRightInd w:val="0"/>
        <w:snapToGrid w:val="0"/>
        <w:spacing w:line="480" w:lineRule="exact"/>
        <w:jc w:val="center"/>
        <w:rPr>
          <w:rFonts w:asciiTheme="minorEastAsia" w:hAnsiTheme="minorEastAsia"/>
          <w:bCs/>
          <w:sz w:val="36"/>
          <w:szCs w:val="36"/>
        </w:rPr>
      </w:pPr>
      <w:r>
        <w:rPr>
          <w:rFonts w:hint="eastAsia" w:asciiTheme="minorEastAsia" w:hAnsiTheme="minorEastAsia"/>
          <w:bCs/>
          <w:sz w:val="36"/>
          <w:szCs w:val="36"/>
        </w:rPr>
        <w:t>（政府采购货物）</w:t>
      </w:r>
    </w:p>
    <w:p>
      <w:pPr>
        <w:rPr>
          <w:rFonts w:hint="eastAsia" w:asciiTheme="minorEastAsia" w:hAnsiTheme="minorEastAsia" w:eastAsiaTheme="minorEastAsia"/>
          <w:lang w:eastAsia="zh-CN"/>
        </w:rPr>
      </w:pPr>
      <w:r>
        <w:rPr>
          <w:rFonts w:hint="eastAsia" w:asciiTheme="minorEastAsia" w:hAnsiTheme="minorEastAsia"/>
          <w:bCs/>
          <w:kern w:val="0"/>
          <w:sz w:val="32"/>
          <w:szCs w:val="32"/>
        </w:rPr>
        <w:t>项目</w:t>
      </w:r>
      <w:r>
        <w:rPr>
          <w:rFonts w:hint="eastAsia" w:asciiTheme="minorEastAsia" w:hAnsiTheme="minorEastAsia"/>
          <w:bCs/>
          <w:sz w:val="32"/>
          <w:szCs w:val="32"/>
        </w:rPr>
        <w:t>名称：</w:t>
      </w:r>
      <w:r>
        <w:rPr>
          <w:rFonts w:hint="eastAsia" w:asciiTheme="minorEastAsia" w:hAnsiTheme="minorEastAsia"/>
          <w:bCs/>
          <w:sz w:val="32"/>
          <w:szCs w:val="32"/>
          <w:lang w:eastAsia="zh-CN"/>
        </w:rPr>
        <w:t>伊宁市解放路街道社区卫生服务中心医养结合能力提升项目设备</w:t>
      </w:r>
    </w:p>
    <w:p>
      <w:pPr>
        <w:adjustRightInd w:val="0"/>
        <w:snapToGrid w:val="0"/>
        <w:spacing w:line="480" w:lineRule="exact"/>
        <w:jc w:val="center"/>
        <w:rPr>
          <w:rFonts w:asciiTheme="minorEastAsia" w:hAnsiTheme="minorEastAsia"/>
          <w:bCs/>
          <w:sz w:val="32"/>
          <w:szCs w:val="32"/>
        </w:rPr>
      </w:pPr>
    </w:p>
    <w:p>
      <w:pPr>
        <w:rPr>
          <w:rFonts w:hint="eastAsia" w:asciiTheme="minorEastAsia" w:hAnsiTheme="minorEastAsia" w:eastAsiaTheme="minorEastAsia"/>
          <w:lang w:eastAsia="zh-CN"/>
        </w:rPr>
      </w:pPr>
      <w:r>
        <w:rPr>
          <w:rFonts w:hint="eastAsia" w:asciiTheme="minorEastAsia" w:hAnsiTheme="minorEastAsia"/>
          <w:bCs/>
          <w:sz w:val="32"/>
          <w:szCs w:val="32"/>
        </w:rPr>
        <w:t>采购人</w:t>
      </w:r>
      <w:r>
        <w:rPr>
          <w:rFonts w:asciiTheme="minorEastAsia" w:hAnsiTheme="minorEastAsia"/>
          <w:bCs/>
          <w:sz w:val="32"/>
          <w:szCs w:val="32"/>
        </w:rPr>
        <w:t>(</w:t>
      </w:r>
      <w:r>
        <w:rPr>
          <w:rFonts w:hint="eastAsia" w:asciiTheme="minorEastAsia" w:hAnsiTheme="minorEastAsia"/>
          <w:bCs/>
          <w:sz w:val="32"/>
          <w:szCs w:val="32"/>
        </w:rPr>
        <w:t>盖章</w:t>
      </w:r>
      <w:r>
        <w:rPr>
          <w:rFonts w:asciiTheme="minorEastAsia" w:hAnsiTheme="minorEastAsia"/>
          <w:bCs/>
          <w:sz w:val="32"/>
          <w:szCs w:val="32"/>
        </w:rPr>
        <w:t>)</w:t>
      </w:r>
      <w:r>
        <w:rPr>
          <w:rFonts w:hint="eastAsia" w:asciiTheme="minorEastAsia" w:hAnsiTheme="minorEastAsia"/>
          <w:bCs/>
          <w:sz w:val="32"/>
          <w:szCs w:val="32"/>
        </w:rPr>
        <w:t>：</w:t>
      </w:r>
      <w:r>
        <w:rPr>
          <w:rFonts w:hint="eastAsia" w:ascii="宋体" w:hAnsi="宋体"/>
          <w:bCs/>
          <w:kern w:val="0"/>
          <w:sz w:val="32"/>
          <w:szCs w:val="32"/>
          <w:lang w:eastAsia="zh-CN"/>
        </w:rPr>
        <w:t>伊宁市解放路街道社区卫生服务中心</w:t>
      </w:r>
    </w:p>
    <w:p>
      <w:pPr>
        <w:adjustRightInd w:val="0"/>
        <w:snapToGrid w:val="0"/>
        <w:spacing w:line="480" w:lineRule="exact"/>
        <w:jc w:val="center"/>
        <w:rPr>
          <w:rFonts w:asciiTheme="minorEastAsia" w:hAnsiTheme="minorEastAsia"/>
          <w:bCs/>
          <w:sz w:val="32"/>
          <w:szCs w:val="32"/>
        </w:rPr>
      </w:pPr>
    </w:p>
    <w:p>
      <w:pPr>
        <w:adjustRightInd w:val="0"/>
        <w:snapToGrid w:val="0"/>
        <w:spacing w:line="480" w:lineRule="exact"/>
        <w:rPr>
          <w:rFonts w:asciiTheme="minorEastAsia" w:hAnsiTheme="minorEastAsia"/>
          <w:bCs/>
          <w:sz w:val="32"/>
          <w:szCs w:val="32"/>
        </w:rPr>
      </w:pPr>
      <w:r>
        <w:rPr>
          <w:rFonts w:hint="eastAsia" w:asciiTheme="minorEastAsia" w:hAnsiTheme="minorEastAsia"/>
          <w:bCs/>
          <w:sz w:val="32"/>
          <w:szCs w:val="32"/>
        </w:rPr>
        <w:t>法定代表人</w:t>
      </w:r>
      <w:r>
        <w:rPr>
          <w:rFonts w:asciiTheme="minorEastAsia" w:hAnsiTheme="minorEastAsia"/>
          <w:bCs/>
          <w:sz w:val="32"/>
          <w:szCs w:val="32"/>
        </w:rPr>
        <w:t>(</w:t>
      </w:r>
      <w:r>
        <w:rPr>
          <w:rFonts w:hint="eastAsia" w:asciiTheme="minorEastAsia" w:hAnsiTheme="minorEastAsia"/>
          <w:bCs/>
          <w:sz w:val="32"/>
          <w:szCs w:val="32"/>
        </w:rPr>
        <w:t>盖章</w:t>
      </w:r>
      <w:r>
        <w:rPr>
          <w:rFonts w:asciiTheme="minorEastAsia" w:hAnsiTheme="minorEastAsia"/>
          <w:bCs/>
          <w:sz w:val="32"/>
          <w:szCs w:val="32"/>
        </w:rPr>
        <w:t>)</w:t>
      </w:r>
      <w:r>
        <w:rPr>
          <w:rFonts w:hint="eastAsia" w:asciiTheme="minorEastAsia" w:hAnsiTheme="minorEastAsia"/>
          <w:bCs/>
          <w:sz w:val="32"/>
          <w:szCs w:val="32"/>
        </w:rPr>
        <w:t>：</w:t>
      </w:r>
    </w:p>
    <w:p>
      <w:pPr>
        <w:adjustRightInd w:val="0"/>
        <w:snapToGrid w:val="0"/>
        <w:spacing w:line="480" w:lineRule="exact"/>
        <w:rPr>
          <w:rFonts w:asciiTheme="minorEastAsia" w:hAnsiTheme="minorEastAsia"/>
          <w:bCs/>
          <w:sz w:val="32"/>
          <w:szCs w:val="32"/>
        </w:rPr>
      </w:pPr>
    </w:p>
    <w:p>
      <w:pPr>
        <w:adjustRightInd w:val="0"/>
        <w:snapToGrid w:val="0"/>
        <w:spacing w:line="480" w:lineRule="exact"/>
        <w:rPr>
          <w:rFonts w:hint="eastAsia" w:asciiTheme="minorEastAsia" w:hAnsiTheme="minorEastAsia" w:eastAsiaTheme="minorEastAsia"/>
          <w:bCs/>
          <w:sz w:val="32"/>
          <w:szCs w:val="32"/>
          <w:lang w:eastAsia="zh-CN"/>
        </w:rPr>
      </w:pPr>
      <w:r>
        <w:rPr>
          <w:rFonts w:hint="eastAsia" w:asciiTheme="minorEastAsia" w:hAnsiTheme="minorEastAsia"/>
          <w:bCs/>
          <w:sz w:val="32"/>
          <w:szCs w:val="32"/>
        </w:rPr>
        <w:t>联系人：</w:t>
      </w:r>
      <w:r>
        <w:rPr>
          <w:rFonts w:hint="eastAsia" w:ascii="宋体" w:hAnsi="宋体"/>
          <w:bCs/>
          <w:sz w:val="32"/>
          <w:szCs w:val="32"/>
        </w:rPr>
        <w:t>刘</w:t>
      </w:r>
      <w:r>
        <w:rPr>
          <w:rFonts w:hint="eastAsia" w:ascii="宋体" w:hAnsi="宋体"/>
          <w:bCs/>
          <w:sz w:val="32"/>
          <w:szCs w:val="32"/>
          <w:lang w:val="en-US" w:eastAsia="zh-CN"/>
        </w:rPr>
        <w:t>主任</w:t>
      </w:r>
    </w:p>
    <w:p>
      <w:pPr>
        <w:adjustRightInd w:val="0"/>
        <w:snapToGrid w:val="0"/>
        <w:spacing w:line="480" w:lineRule="exact"/>
        <w:rPr>
          <w:rFonts w:hint="eastAsia" w:asciiTheme="minorEastAsia" w:hAnsiTheme="minorEastAsia" w:eastAsiaTheme="minorEastAsia"/>
          <w:bCs/>
          <w:sz w:val="32"/>
          <w:szCs w:val="32"/>
          <w:lang w:eastAsia="zh-CN"/>
        </w:rPr>
      </w:pPr>
      <w:r>
        <w:rPr>
          <w:rFonts w:hint="eastAsia" w:asciiTheme="minorEastAsia" w:hAnsiTheme="minorEastAsia"/>
          <w:bCs/>
          <w:sz w:val="32"/>
          <w:szCs w:val="32"/>
        </w:rPr>
        <w:t>电</w:t>
      </w:r>
      <w:r>
        <w:rPr>
          <w:rFonts w:hint="eastAsia" w:asciiTheme="minorEastAsia" w:hAnsiTheme="minorEastAsia"/>
          <w:bCs/>
          <w:sz w:val="32"/>
          <w:szCs w:val="32"/>
          <w:lang w:val="en-US" w:eastAsia="zh-CN"/>
        </w:rPr>
        <w:t xml:space="preserve">  </w:t>
      </w:r>
      <w:r>
        <w:rPr>
          <w:rFonts w:hint="eastAsia" w:asciiTheme="minorEastAsia" w:hAnsiTheme="minorEastAsia"/>
          <w:bCs/>
          <w:sz w:val="32"/>
          <w:szCs w:val="32"/>
        </w:rPr>
        <w:t>话：</w:t>
      </w:r>
      <w:r>
        <w:rPr>
          <w:rFonts w:hint="eastAsia" w:ascii="宋体" w:hAnsi="宋体"/>
          <w:bCs/>
          <w:sz w:val="32"/>
          <w:szCs w:val="32"/>
          <w:lang w:val="en-US" w:eastAsia="zh-CN"/>
        </w:rPr>
        <w:t>13319730392</w:t>
      </w:r>
    </w:p>
    <w:p>
      <w:pPr>
        <w:adjustRightInd w:val="0"/>
        <w:snapToGrid w:val="0"/>
        <w:spacing w:line="480" w:lineRule="exact"/>
        <w:rPr>
          <w:rFonts w:asciiTheme="minorEastAsia" w:hAnsiTheme="minorEastAsia"/>
          <w:bCs/>
          <w:kern w:val="0"/>
          <w:sz w:val="32"/>
          <w:szCs w:val="32"/>
        </w:rPr>
      </w:pPr>
      <w:r>
        <w:rPr>
          <w:rFonts w:asciiTheme="minorEastAsia" w:hAnsiTheme="minorEastAsia"/>
          <w:bCs/>
          <w:kern w:val="0"/>
          <w:sz w:val="32"/>
          <w:szCs w:val="32"/>
        </w:rPr>
        <w:t>———————————————————————————</w:t>
      </w:r>
    </w:p>
    <w:p>
      <w:pPr>
        <w:adjustRightInd w:val="0"/>
        <w:snapToGrid w:val="0"/>
        <w:spacing w:line="480" w:lineRule="exact"/>
        <w:rPr>
          <w:rFonts w:hint="eastAsia" w:asciiTheme="minorEastAsia" w:hAnsiTheme="minorEastAsia" w:eastAsiaTheme="minorEastAsia"/>
          <w:bCs/>
          <w:sz w:val="32"/>
          <w:szCs w:val="32"/>
          <w:lang w:eastAsia="zh-CN"/>
        </w:rPr>
      </w:pPr>
      <w:r>
        <w:rPr>
          <w:rFonts w:hint="eastAsia" w:asciiTheme="minorEastAsia" w:hAnsiTheme="minorEastAsia"/>
          <w:bCs/>
          <w:sz w:val="32"/>
          <w:szCs w:val="32"/>
        </w:rPr>
        <w:t>采购代理机构</w:t>
      </w:r>
      <w:r>
        <w:rPr>
          <w:rFonts w:asciiTheme="minorEastAsia" w:hAnsiTheme="minorEastAsia"/>
          <w:sz w:val="32"/>
          <w:szCs w:val="32"/>
        </w:rPr>
        <w:t>(</w:t>
      </w:r>
      <w:r>
        <w:rPr>
          <w:rFonts w:hint="eastAsia" w:asciiTheme="minorEastAsia" w:hAnsiTheme="minorEastAsia"/>
          <w:sz w:val="32"/>
          <w:szCs w:val="32"/>
        </w:rPr>
        <w:t>盖章</w:t>
      </w:r>
      <w:r>
        <w:rPr>
          <w:rFonts w:asciiTheme="minorEastAsia" w:hAnsiTheme="minorEastAsia"/>
          <w:sz w:val="32"/>
          <w:szCs w:val="32"/>
        </w:rPr>
        <w:t>)</w:t>
      </w:r>
      <w:r>
        <w:rPr>
          <w:rFonts w:hint="eastAsia" w:asciiTheme="minorEastAsia" w:hAnsiTheme="minorEastAsia"/>
          <w:bCs/>
          <w:sz w:val="32"/>
          <w:szCs w:val="32"/>
        </w:rPr>
        <w:t>：</w:t>
      </w:r>
      <w:r>
        <w:rPr>
          <w:rFonts w:hint="eastAsia" w:asciiTheme="minorEastAsia" w:hAnsiTheme="minorEastAsia"/>
          <w:bCs/>
          <w:sz w:val="32"/>
          <w:szCs w:val="32"/>
          <w:lang w:eastAsia="zh-CN"/>
        </w:rPr>
        <w:t>新疆泰旭工程管理咨询有限责任公司</w:t>
      </w:r>
    </w:p>
    <w:p>
      <w:pPr>
        <w:adjustRightInd w:val="0"/>
        <w:snapToGrid w:val="0"/>
        <w:spacing w:line="480" w:lineRule="exact"/>
        <w:jc w:val="center"/>
        <w:rPr>
          <w:rFonts w:asciiTheme="minorEastAsia" w:hAnsiTheme="minorEastAsia"/>
          <w:bCs/>
          <w:sz w:val="32"/>
          <w:szCs w:val="32"/>
        </w:rPr>
      </w:pPr>
    </w:p>
    <w:p>
      <w:pPr>
        <w:adjustRightInd w:val="0"/>
        <w:snapToGrid w:val="0"/>
        <w:spacing w:line="480" w:lineRule="exact"/>
        <w:rPr>
          <w:rFonts w:asciiTheme="minorEastAsia" w:hAnsiTheme="minorEastAsia"/>
          <w:bCs/>
          <w:sz w:val="32"/>
          <w:szCs w:val="32"/>
        </w:rPr>
      </w:pPr>
      <w:r>
        <w:rPr>
          <w:rFonts w:hint="eastAsia" w:asciiTheme="minorEastAsia" w:hAnsiTheme="minorEastAsia"/>
          <w:bCs/>
          <w:sz w:val="32"/>
          <w:szCs w:val="32"/>
        </w:rPr>
        <w:t>法定代表人</w:t>
      </w:r>
      <w:r>
        <w:rPr>
          <w:rFonts w:asciiTheme="minorEastAsia" w:hAnsiTheme="minorEastAsia"/>
          <w:bCs/>
          <w:sz w:val="32"/>
          <w:szCs w:val="32"/>
        </w:rPr>
        <w:t>(</w:t>
      </w:r>
      <w:r>
        <w:rPr>
          <w:rFonts w:hint="eastAsia" w:asciiTheme="minorEastAsia" w:hAnsiTheme="minorEastAsia"/>
          <w:bCs/>
          <w:sz w:val="32"/>
          <w:szCs w:val="32"/>
        </w:rPr>
        <w:t>盖章</w:t>
      </w:r>
      <w:r>
        <w:rPr>
          <w:rFonts w:asciiTheme="minorEastAsia" w:hAnsiTheme="minorEastAsia"/>
          <w:bCs/>
          <w:sz w:val="32"/>
          <w:szCs w:val="32"/>
        </w:rPr>
        <w:t>)</w:t>
      </w:r>
      <w:r>
        <w:rPr>
          <w:rFonts w:hint="eastAsia" w:asciiTheme="minorEastAsia" w:hAnsiTheme="minorEastAsia"/>
          <w:bCs/>
          <w:sz w:val="32"/>
          <w:szCs w:val="32"/>
        </w:rPr>
        <w:t xml:space="preserve">： </w:t>
      </w:r>
    </w:p>
    <w:p>
      <w:pPr>
        <w:adjustRightInd w:val="0"/>
        <w:snapToGrid w:val="0"/>
        <w:spacing w:line="480" w:lineRule="exact"/>
        <w:jc w:val="center"/>
        <w:rPr>
          <w:rFonts w:asciiTheme="minorEastAsia" w:hAnsiTheme="minorEastAsia"/>
          <w:bCs/>
          <w:sz w:val="32"/>
          <w:szCs w:val="32"/>
        </w:rPr>
      </w:pPr>
    </w:p>
    <w:p>
      <w:pPr>
        <w:adjustRightInd w:val="0"/>
        <w:snapToGrid w:val="0"/>
        <w:spacing w:line="480" w:lineRule="exact"/>
        <w:rPr>
          <w:rFonts w:hint="eastAsia" w:asciiTheme="minorEastAsia" w:hAnsiTheme="minorEastAsia" w:eastAsiaTheme="minorEastAsia"/>
          <w:bCs/>
          <w:sz w:val="32"/>
          <w:szCs w:val="32"/>
          <w:lang w:eastAsia="zh-CN"/>
        </w:rPr>
      </w:pPr>
      <w:r>
        <w:rPr>
          <w:rFonts w:hint="eastAsia" w:asciiTheme="minorEastAsia" w:hAnsiTheme="minorEastAsia"/>
          <w:bCs/>
          <w:sz w:val="32"/>
          <w:szCs w:val="32"/>
        </w:rPr>
        <w:t>联系人：</w:t>
      </w:r>
      <w:r>
        <w:rPr>
          <w:rFonts w:hint="eastAsia" w:asciiTheme="minorEastAsia" w:hAnsiTheme="minorEastAsia"/>
          <w:bCs/>
          <w:sz w:val="32"/>
          <w:szCs w:val="32"/>
          <w:lang w:eastAsia="zh-CN"/>
        </w:rPr>
        <w:t>罗敏娜</w:t>
      </w:r>
    </w:p>
    <w:p>
      <w:pPr>
        <w:adjustRightInd w:val="0"/>
        <w:snapToGrid w:val="0"/>
        <w:spacing w:line="480" w:lineRule="exact"/>
        <w:rPr>
          <w:rFonts w:asciiTheme="minorEastAsia" w:hAnsiTheme="minorEastAsia"/>
          <w:bCs/>
          <w:sz w:val="32"/>
          <w:szCs w:val="32"/>
        </w:rPr>
      </w:pPr>
    </w:p>
    <w:p>
      <w:pPr>
        <w:adjustRightInd w:val="0"/>
        <w:snapToGrid w:val="0"/>
        <w:spacing w:line="480" w:lineRule="exact"/>
        <w:rPr>
          <w:rFonts w:hint="eastAsia" w:asciiTheme="minorEastAsia" w:hAnsiTheme="minorEastAsia" w:eastAsiaTheme="minorEastAsia"/>
          <w:bCs/>
          <w:sz w:val="32"/>
          <w:szCs w:val="32"/>
          <w:lang w:eastAsia="zh-CN"/>
        </w:rPr>
      </w:pPr>
      <w:r>
        <w:rPr>
          <w:rFonts w:hint="eastAsia" w:asciiTheme="minorEastAsia" w:hAnsiTheme="minorEastAsia"/>
          <w:bCs/>
          <w:sz w:val="32"/>
          <w:szCs w:val="32"/>
        </w:rPr>
        <w:t>电话：</w:t>
      </w:r>
      <w:r>
        <w:rPr>
          <w:rFonts w:hint="eastAsia" w:asciiTheme="minorEastAsia" w:hAnsiTheme="minorEastAsia"/>
          <w:bCs/>
          <w:sz w:val="32"/>
          <w:szCs w:val="32"/>
          <w:lang w:eastAsia="zh-CN"/>
        </w:rPr>
        <w:t>13519989499</w:t>
      </w:r>
    </w:p>
    <w:p>
      <w:pPr>
        <w:adjustRightInd w:val="0"/>
        <w:snapToGrid w:val="0"/>
        <w:spacing w:line="480" w:lineRule="exact"/>
        <w:jc w:val="center"/>
        <w:rPr>
          <w:rFonts w:asciiTheme="minorEastAsia" w:hAnsiTheme="minorEastAsia"/>
          <w:bCs/>
          <w:sz w:val="32"/>
          <w:szCs w:val="32"/>
        </w:rPr>
      </w:pPr>
    </w:p>
    <w:p>
      <w:pPr>
        <w:adjustRightInd w:val="0"/>
        <w:snapToGrid w:val="0"/>
        <w:spacing w:line="480" w:lineRule="exact"/>
        <w:rPr>
          <w:rFonts w:hint="eastAsia" w:asciiTheme="minorEastAsia" w:hAnsiTheme="minorEastAsia" w:eastAsiaTheme="minorEastAsia"/>
          <w:bCs/>
          <w:sz w:val="32"/>
          <w:szCs w:val="32"/>
          <w:lang w:eastAsia="zh-CN"/>
        </w:rPr>
      </w:pPr>
      <w:r>
        <w:rPr>
          <w:rFonts w:hint="eastAsia" w:asciiTheme="minorEastAsia" w:hAnsiTheme="minorEastAsia"/>
          <w:bCs/>
          <w:sz w:val="32"/>
          <w:szCs w:val="32"/>
        </w:rPr>
        <w:t>详细地址：</w:t>
      </w:r>
      <w:r>
        <w:rPr>
          <w:rFonts w:hint="eastAsia" w:asciiTheme="minorEastAsia" w:hAnsiTheme="minorEastAsia"/>
          <w:bCs/>
          <w:sz w:val="32"/>
          <w:szCs w:val="32"/>
          <w:lang w:eastAsia="zh-CN"/>
        </w:rPr>
        <w:t>伊宁市金茂新天地B座1501室</w:t>
      </w:r>
    </w:p>
    <w:p>
      <w:pPr>
        <w:adjustRightInd w:val="0"/>
        <w:snapToGrid w:val="0"/>
        <w:spacing w:line="480" w:lineRule="exact"/>
        <w:rPr>
          <w:rFonts w:cs="宋体" w:asciiTheme="minorEastAsia" w:hAnsiTheme="minorEastAsia"/>
          <w:b/>
          <w:bCs/>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pPr>
        <w:jc w:val="center"/>
        <w:rPr>
          <w:rFonts w:asciiTheme="minorEastAsia" w:hAnsiTheme="minorEastAsia"/>
          <w:sz w:val="24"/>
          <w:szCs w:val="28"/>
        </w:rPr>
      </w:pPr>
      <w:r>
        <w:rPr>
          <w:rFonts w:hint="eastAsia" w:asciiTheme="minorEastAsia" w:hAnsiTheme="minorEastAsia"/>
          <w:sz w:val="24"/>
          <w:szCs w:val="28"/>
        </w:rPr>
        <w:t>目   录</w:t>
      </w:r>
    </w:p>
    <w:p>
      <w:pPr>
        <w:pStyle w:val="31"/>
        <w:tabs>
          <w:tab w:val="right" w:leader="dot" w:pos="8835"/>
        </w:tabs>
        <w:rPr>
          <w:rFonts w:asciiTheme="minorHAnsi" w:hAnsiTheme="minorHAnsi" w:eastAsiaTheme="minorEastAsia" w:cstheme="minorBidi"/>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TOC \o "1-3" \h \u </w:instrText>
      </w:r>
      <w:r>
        <w:rPr>
          <w:rFonts w:asciiTheme="minorEastAsia" w:hAnsiTheme="minorEastAsia" w:eastAsiaTheme="minorEastAsia"/>
          <w:sz w:val="24"/>
        </w:rPr>
        <w:fldChar w:fldCharType="separate"/>
      </w:r>
      <w:r>
        <w:fldChar w:fldCharType="begin"/>
      </w:r>
      <w:r>
        <w:instrText xml:space="preserve"> HYPERLINK \l "_Toc136609687" </w:instrText>
      </w:r>
      <w:r>
        <w:fldChar w:fldCharType="separate"/>
      </w:r>
      <w:r>
        <w:rPr>
          <w:rStyle w:val="58"/>
          <w:rFonts w:hint="eastAsia" w:cs="宋体" w:asciiTheme="minorEastAsia" w:hAnsiTheme="minorEastAsia"/>
          <w:b/>
          <w:color w:val="auto"/>
        </w:rPr>
        <w:t>供应商须知前附表</w:t>
      </w:r>
      <w:r>
        <w:tab/>
      </w:r>
      <w:r>
        <w:fldChar w:fldCharType="begin"/>
      </w:r>
      <w:r>
        <w:instrText xml:space="preserve"> PAGEREF _Toc136609687 \h </w:instrText>
      </w:r>
      <w:r>
        <w:fldChar w:fldCharType="separate"/>
      </w:r>
      <w:r>
        <w:t>7</w:t>
      </w:r>
      <w:r>
        <w:fldChar w:fldCharType="end"/>
      </w:r>
      <w:r>
        <w:fldChar w:fldCharType="end"/>
      </w:r>
    </w:p>
    <w:p>
      <w:pPr>
        <w:pStyle w:val="31"/>
        <w:tabs>
          <w:tab w:val="right" w:leader="dot" w:pos="8835"/>
        </w:tabs>
        <w:rPr>
          <w:rFonts w:asciiTheme="minorHAnsi" w:hAnsiTheme="minorHAnsi" w:eastAsiaTheme="minorEastAsia" w:cstheme="minorBidi"/>
          <w:szCs w:val="22"/>
        </w:rPr>
      </w:pPr>
      <w:r>
        <w:fldChar w:fldCharType="begin"/>
      </w:r>
      <w:r>
        <w:instrText xml:space="preserve"> HYPERLINK \l "_Toc136609688" </w:instrText>
      </w:r>
      <w:r>
        <w:fldChar w:fldCharType="separate"/>
      </w:r>
      <w:r>
        <w:rPr>
          <w:rStyle w:val="58"/>
          <w:rFonts w:hint="eastAsia" w:cs="宋体" w:asciiTheme="minorEastAsia" w:hAnsiTheme="minorEastAsia"/>
          <w:b/>
          <w:color w:val="auto"/>
        </w:rPr>
        <w:t>第一章</w:t>
      </w:r>
      <w:r>
        <w:rPr>
          <w:rStyle w:val="58"/>
          <w:rFonts w:cs="宋体" w:asciiTheme="minorEastAsia" w:hAnsiTheme="minorEastAsia"/>
          <w:b/>
          <w:color w:val="auto"/>
        </w:rPr>
        <w:t xml:space="preserve"> </w:t>
      </w:r>
      <w:r>
        <w:rPr>
          <w:rStyle w:val="58"/>
          <w:rFonts w:hint="eastAsia" w:cs="宋体" w:asciiTheme="minorEastAsia" w:hAnsiTheme="minorEastAsia"/>
          <w:b/>
          <w:color w:val="auto"/>
        </w:rPr>
        <w:t>供应商须知</w:t>
      </w:r>
      <w:r>
        <w:tab/>
      </w:r>
      <w:r>
        <w:fldChar w:fldCharType="begin"/>
      </w:r>
      <w:r>
        <w:instrText xml:space="preserve"> PAGEREF _Toc136609688 \h </w:instrText>
      </w:r>
      <w:r>
        <w:fldChar w:fldCharType="separate"/>
      </w:r>
      <w:r>
        <w:t>11</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"_Toc136609689" </w:instrText>
      </w:r>
      <w:r>
        <w:fldChar w:fldCharType="separate"/>
      </w:r>
      <w:r>
        <w:rPr>
          <w:rStyle w:val="58"/>
          <w:rFonts w:cs="宋体" w:asciiTheme="minorEastAsia" w:hAnsiTheme="minorEastAsia"/>
          <w:b/>
          <w:color w:val="auto"/>
        </w:rPr>
        <w:t>1</w:t>
      </w:r>
      <w:r>
        <w:rPr>
          <w:rStyle w:val="58"/>
          <w:rFonts w:hint="eastAsia" w:cs="宋体" w:asciiTheme="minorEastAsia" w:hAnsiTheme="minorEastAsia"/>
          <w:b/>
          <w:color w:val="auto"/>
        </w:rPr>
        <w:t>．总则</w:t>
      </w:r>
      <w:r>
        <w:tab/>
      </w:r>
      <w:r>
        <w:fldChar w:fldCharType="begin"/>
      </w:r>
      <w:r>
        <w:instrText xml:space="preserve"> PAGEREF _Toc136609689 \h </w:instrText>
      </w:r>
      <w:r>
        <w:fldChar w:fldCharType="separate"/>
      </w:r>
      <w:r>
        <w:t>11</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"_Toc136609690" </w:instrText>
      </w:r>
      <w:r>
        <w:fldChar w:fldCharType="separate"/>
      </w:r>
      <w:r>
        <w:rPr>
          <w:rStyle w:val="58"/>
          <w:rFonts w:cs="宋体" w:asciiTheme="minorEastAsia" w:hAnsiTheme="minorEastAsia"/>
          <w:b/>
          <w:color w:val="auto"/>
        </w:rPr>
        <w:t>2</w:t>
      </w:r>
      <w:r>
        <w:rPr>
          <w:rStyle w:val="58"/>
          <w:rFonts w:hint="eastAsia" w:cs="宋体" w:asciiTheme="minorEastAsia" w:hAnsiTheme="minorEastAsia"/>
          <w:b/>
          <w:color w:val="auto"/>
        </w:rPr>
        <w:t>．竞争性谈判文件</w:t>
      </w:r>
      <w:r>
        <w:tab/>
      </w:r>
      <w:r>
        <w:fldChar w:fldCharType="begin"/>
      </w:r>
      <w:r>
        <w:instrText xml:space="preserve"> PAGEREF _Toc136609690 \h </w:instrText>
      </w:r>
      <w:r>
        <w:fldChar w:fldCharType="separate"/>
      </w:r>
      <w:r>
        <w:t>14</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"_Toc136609691" </w:instrText>
      </w:r>
      <w:r>
        <w:fldChar w:fldCharType="separate"/>
      </w:r>
      <w:r>
        <w:rPr>
          <w:rStyle w:val="58"/>
          <w:rFonts w:cs="宋体" w:asciiTheme="minorEastAsia" w:hAnsiTheme="minorEastAsia"/>
          <w:b/>
          <w:color w:val="auto"/>
        </w:rPr>
        <w:t>3</w:t>
      </w:r>
      <w:r>
        <w:rPr>
          <w:rStyle w:val="58"/>
          <w:rFonts w:hint="eastAsia" w:cs="宋体" w:asciiTheme="minorEastAsia" w:hAnsiTheme="minorEastAsia"/>
          <w:b/>
          <w:color w:val="auto"/>
        </w:rPr>
        <w:t>．竞争性谈判响应文件</w:t>
      </w:r>
      <w:r>
        <w:tab/>
      </w:r>
      <w:r>
        <w:fldChar w:fldCharType="begin"/>
      </w:r>
      <w:r>
        <w:instrText xml:space="preserve"> PAGEREF _Toc136609691 \h </w:instrText>
      </w:r>
      <w:r>
        <w:fldChar w:fldCharType="separate"/>
      </w:r>
      <w:r>
        <w:t>15</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"_Toc136609692" </w:instrText>
      </w:r>
      <w:r>
        <w:fldChar w:fldCharType="separate"/>
      </w:r>
      <w:r>
        <w:rPr>
          <w:rStyle w:val="58"/>
          <w:rFonts w:cs="宋体" w:asciiTheme="minorEastAsia" w:hAnsiTheme="minorEastAsia"/>
          <w:b/>
          <w:color w:val="auto"/>
        </w:rPr>
        <w:t>4</w:t>
      </w:r>
      <w:r>
        <w:rPr>
          <w:rStyle w:val="58"/>
          <w:rFonts w:hint="eastAsia" w:cs="宋体" w:asciiTheme="minorEastAsia" w:hAnsiTheme="minorEastAsia"/>
          <w:b/>
          <w:color w:val="auto"/>
        </w:rPr>
        <w:t>．投标</w:t>
      </w:r>
      <w:r>
        <w:tab/>
      </w:r>
      <w:r>
        <w:fldChar w:fldCharType="begin"/>
      </w:r>
      <w:r>
        <w:instrText xml:space="preserve"> PAGEREF _Toc136609692 \h </w:instrText>
      </w:r>
      <w:r>
        <w:fldChar w:fldCharType="separate"/>
      </w:r>
      <w:r>
        <w:t>18</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"_Toc136609693" </w:instrText>
      </w:r>
      <w:r>
        <w:fldChar w:fldCharType="separate"/>
      </w:r>
      <w:r>
        <w:rPr>
          <w:rStyle w:val="58"/>
          <w:rFonts w:cs="宋体" w:asciiTheme="minorEastAsia" w:hAnsiTheme="minorEastAsia"/>
          <w:b/>
          <w:color w:val="auto"/>
        </w:rPr>
        <w:t>5</w:t>
      </w:r>
      <w:r>
        <w:rPr>
          <w:rStyle w:val="58"/>
          <w:rFonts w:hint="eastAsia" w:cs="宋体" w:asciiTheme="minorEastAsia" w:hAnsiTheme="minorEastAsia"/>
          <w:b/>
          <w:color w:val="auto"/>
        </w:rPr>
        <w:t>．开标</w:t>
      </w:r>
      <w:r>
        <w:tab/>
      </w:r>
      <w:r>
        <w:fldChar w:fldCharType="begin"/>
      </w:r>
      <w:r>
        <w:instrText xml:space="preserve"> PAGEREF _Toc136609693 \h </w:instrText>
      </w:r>
      <w:r>
        <w:fldChar w:fldCharType="separate"/>
      </w:r>
      <w:r>
        <w:t>18</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"_Toc136609694" </w:instrText>
      </w:r>
      <w:r>
        <w:fldChar w:fldCharType="separate"/>
      </w:r>
      <w:r>
        <w:rPr>
          <w:rStyle w:val="58"/>
          <w:rFonts w:cs="宋体" w:asciiTheme="minorEastAsia" w:hAnsiTheme="minorEastAsia"/>
          <w:b/>
          <w:color w:val="auto"/>
        </w:rPr>
        <w:t>6</w:t>
      </w:r>
      <w:r>
        <w:rPr>
          <w:rStyle w:val="58"/>
          <w:rFonts w:hint="eastAsia" w:cs="宋体" w:asciiTheme="minorEastAsia" w:hAnsiTheme="minorEastAsia"/>
          <w:b/>
          <w:color w:val="auto"/>
        </w:rPr>
        <w:t>．评标</w:t>
      </w:r>
      <w:r>
        <w:tab/>
      </w:r>
      <w:r>
        <w:fldChar w:fldCharType="begin"/>
      </w:r>
      <w:r>
        <w:instrText xml:space="preserve"> PAGEREF _Toc136609694 \h </w:instrText>
      </w:r>
      <w:r>
        <w:fldChar w:fldCharType="separate"/>
      </w:r>
      <w:r>
        <w:t>19</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"_Toc136609695" </w:instrText>
      </w:r>
      <w:r>
        <w:fldChar w:fldCharType="separate"/>
      </w:r>
      <w:r>
        <w:rPr>
          <w:rStyle w:val="58"/>
          <w:rFonts w:hint="eastAsia" w:cs="宋体" w:asciiTheme="minorEastAsia" w:hAnsiTheme="minorEastAsia"/>
          <w:b/>
          <w:color w:val="auto"/>
        </w:rPr>
        <w:t>7． 定标及合同授予</w:t>
      </w:r>
      <w:r>
        <w:tab/>
      </w:r>
      <w:r>
        <w:fldChar w:fldCharType="begin"/>
      </w:r>
      <w:r>
        <w:instrText xml:space="preserve"> PAGEREF _Toc136609695 \h </w:instrText>
      </w:r>
      <w:r>
        <w:fldChar w:fldCharType="separate"/>
      </w:r>
      <w:r>
        <w:t>19</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"_Toc136609696" </w:instrText>
      </w:r>
      <w:r>
        <w:fldChar w:fldCharType="separate"/>
      </w:r>
      <w:r>
        <w:rPr>
          <w:rStyle w:val="58"/>
          <w:rFonts w:cs="宋体" w:asciiTheme="minorEastAsia" w:hAnsiTheme="minorEastAsia"/>
          <w:b/>
          <w:color w:val="auto"/>
        </w:rPr>
        <w:t>8</w:t>
      </w:r>
      <w:r>
        <w:rPr>
          <w:rStyle w:val="58"/>
          <w:rFonts w:hint="eastAsia" w:cs="宋体" w:asciiTheme="minorEastAsia" w:hAnsiTheme="minorEastAsia"/>
          <w:b/>
          <w:color w:val="auto"/>
        </w:rPr>
        <w:t>．纪律和监督</w:t>
      </w:r>
      <w:r>
        <w:tab/>
      </w:r>
      <w:r>
        <w:fldChar w:fldCharType="begin"/>
      </w:r>
      <w:r>
        <w:instrText xml:space="preserve"> PAGEREF _Toc136609696 \h </w:instrText>
      </w:r>
      <w:r>
        <w:fldChar w:fldCharType="separate"/>
      </w:r>
      <w:r>
        <w:t>21</w:t>
      </w:r>
      <w:r>
        <w:fldChar w:fldCharType="end"/>
      </w:r>
      <w:r>
        <w:fldChar w:fldCharType="end"/>
      </w:r>
    </w:p>
    <w:p>
      <w:pPr>
        <w:pStyle w:val="31"/>
        <w:tabs>
          <w:tab w:val="right" w:leader="dot" w:pos="8835"/>
        </w:tabs>
        <w:rPr>
          <w:rFonts w:asciiTheme="minorHAnsi" w:hAnsiTheme="minorHAnsi" w:eastAsiaTheme="minorEastAsia" w:cstheme="minorBidi"/>
          <w:szCs w:val="22"/>
        </w:rPr>
      </w:pPr>
      <w:r>
        <w:fldChar w:fldCharType="begin"/>
      </w:r>
      <w:r>
        <w:instrText xml:space="preserve"> HYPERLINK \l "_Toc136609697" </w:instrText>
      </w:r>
      <w:r>
        <w:fldChar w:fldCharType="separate"/>
      </w:r>
      <w:r>
        <w:rPr>
          <w:rStyle w:val="58"/>
          <w:rFonts w:hint="eastAsia" w:cs="宋体" w:asciiTheme="minorEastAsia" w:hAnsiTheme="minorEastAsia"/>
          <w:b/>
          <w:color w:val="auto"/>
        </w:rPr>
        <w:t>第二章</w:t>
      </w:r>
      <w:r>
        <w:rPr>
          <w:rStyle w:val="58"/>
          <w:rFonts w:cs="宋体" w:asciiTheme="minorEastAsia" w:hAnsiTheme="minorEastAsia"/>
          <w:b/>
          <w:color w:val="auto"/>
        </w:rPr>
        <w:t xml:space="preserve"> </w:t>
      </w:r>
      <w:r>
        <w:rPr>
          <w:rStyle w:val="58"/>
          <w:rFonts w:hint="eastAsia" w:cs="宋体" w:asciiTheme="minorEastAsia" w:hAnsiTheme="minorEastAsia"/>
          <w:b/>
          <w:color w:val="auto"/>
        </w:rPr>
        <w:t>评标办法</w:t>
      </w:r>
      <w:r>
        <w:tab/>
      </w:r>
      <w:r>
        <w:fldChar w:fldCharType="begin"/>
      </w:r>
      <w:r>
        <w:instrText xml:space="preserve"> PAGEREF _Toc136609697 \h </w:instrText>
      </w:r>
      <w:r>
        <w:fldChar w:fldCharType="separate"/>
      </w:r>
      <w:r>
        <w:t>22</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"_Toc136609698" </w:instrText>
      </w:r>
      <w:r>
        <w:fldChar w:fldCharType="separate"/>
      </w:r>
      <w:r>
        <w:rPr>
          <w:rStyle w:val="58"/>
          <w:rFonts w:cs="宋体" w:asciiTheme="minorEastAsia" w:hAnsiTheme="minorEastAsia"/>
          <w:b/>
          <w:color w:val="auto"/>
        </w:rPr>
        <w:t xml:space="preserve">1. </w:t>
      </w:r>
      <w:r>
        <w:rPr>
          <w:rStyle w:val="58"/>
          <w:rFonts w:hint="eastAsia" w:cs="宋体" w:asciiTheme="minorEastAsia" w:hAnsiTheme="minorEastAsia"/>
          <w:b/>
          <w:color w:val="auto"/>
        </w:rPr>
        <w:t>评标方法</w:t>
      </w:r>
      <w:r>
        <w:tab/>
      </w:r>
      <w:r>
        <w:fldChar w:fldCharType="begin"/>
      </w:r>
      <w:r>
        <w:instrText xml:space="preserve"> PAGEREF _Toc136609698 \h </w:instrText>
      </w:r>
      <w:r>
        <w:fldChar w:fldCharType="separate"/>
      </w:r>
      <w:r>
        <w:t>23</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"_Toc136609699" </w:instrText>
      </w:r>
      <w:r>
        <w:fldChar w:fldCharType="separate"/>
      </w:r>
      <w:r>
        <w:rPr>
          <w:rStyle w:val="58"/>
          <w:rFonts w:cs="宋体" w:asciiTheme="minorEastAsia" w:hAnsiTheme="minorEastAsia"/>
          <w:b/>
          <w:color w:val="auto"/>
        </w:rPr>
        <w:t xml:space="preserve">2. </w:t>
      </w:r>
      <w:r>
        <w:rPr>
          <w:rStyle w:val="58"/>
          <w:rFonts w:hint="eastAsia" w:cs="宋体" w:asciiTheme="minorEastAsia" w:hAnsiTheme="minorEastAsia"/>
          <w:b/>
          <w:color w:val="auto"/>
        </w:rPr>
        <w:t>评审标准</w:t>
      </w:r>
      <w:r>
        <w:tab/>
      </w:r>
      <w:r>
        <w:fldChar w:fldCharType="begin"/>
      </w:r>
      <w:r>
        <w:instrText xml:space="preserve"> PAGEREF _Toc136609699 \h </w:instrText>
      </w:r>
      <w:r>
        <w:fldChar w:fldCharType="separate"/>
      </w:r>
      <w:r>
        <w:t>23</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"_Toc136609700" </w:instrText>
      </w:r>
      <w:r>
        <w:fldChar w:fldCharType="separate"/>
      </w:r>
      <w:r>
        <w:rPr>
          <w:rStyle w:val="58"/>
          <w:rFonts w:cs="宋体" w:asciiTheme="minorEastAsia" w:hAnsiTheme="minorEastAsia"/>
          <w:b/>
          <w:color w:val="auto"/>
        </w:rPr>
        <w:t xml:space="preserve">3. </w:t>
      </w:r>
      <w:r>
        <w:rPr>
          <w:rStyle w:val="58"/>
          <w:rFonts w:hint="eastAsia" w:cs="宋体" w:asciiTheme="minorEastAsia" w:hAnsiTheme="minorEastAsia"/>
          <w:b/>
          <w:color w:val="auto"/>
        </w:rPr>
        <w:t>评标程序</w:t>
      </w:r>
      <w:r>
        <w:tab/>
      </w:r>
      <w:r>
        <w:fldChar w:fldCharType="begin"/>
      </w:r>
      <w:r>
        <w:instrText xml:space="preserve"> PAGEREF _Toc136609700 \h </w:instrText>
      </w:r>
      <w:r>
        <w:fldChar w:fldCharType="separate"/>
      </w:r>
      <w:r>
        <w:t>23</w:t>
      </w:r>
      <w:r>
        <w:fldChar w:fldCharType="end"/>
      </w:r>
      <w:r>
        <w:fldChar w:fldCharType="end"/>
      </w:r>
    </w:p>
    <w:p>
      <w:pPr>
        <w:pStyle w:val="31"/>
        <w:tabs>
          <w:tab w:val="right" w:leader="dot" w:pos="8835"/>
        </w:tabs>
        <w:rPr>
          <w:rFonts w:asciiTheme="minorHAnsi" w:hAnsiTheme="minorHAnsi" w:eastAsiaTheme="minorEastAsia" w:cstheme="minorBidi"/>
          <w:szCs w:val="22"/>
        </w:rPr>
      </w:pPr>
      <w:r>
        <w:fldChar w:fldCharType="begin"/>
      </w:r>
      <w:r>
        <w:instrText xml:space="preserve"> HYPERLINK \l "_Toc136609701" </w:instrText>
      </w:r>
      <w:r>
        <w:fldChar w:fldCharType="separate"/>
      </w:r>
      <w:r>
        <w:rPr>
          <w:rStyle w:val="58"/>
          <w:rFonts w:hint="eastAsia" w:cs="宋体" w:asciiTheme="minorEastAsia" w:hAnsiTheme="minorEastAsia"/>
          <w:b/>
          <w:color w:val="auto"/>
        </w:rPr>
        <w:t>第三章</w:t>
      </w:r>
      <w:r>
        <w:rPr>
          <w:rStyle w:val="58"/>
          <w:rFonts w:cs="宋体" w:asciiTheme="minorEastAsia" w:hAnsiTheme="minorEastAsia"/>
          <w:b/>
          <w:color w:val="auto"/>
        </w:rPr>
        <w:t xml:space="preserve"> </w:t>
      </w:r>
      <w:r>
        <w:rPr>
          <w:rStyle w:val="58"/>
          <w:rFonts w:hint="eastAsia" w:cs="宋体" w:asciiTheme="minorEastAsia" w:hAnsiTheme="minorEastAsia"/>
          <w:b/>
          <w:color w:val="auto"/>
        </w:rPr>
        <w:t>合同条款及格式</w:t>
      </w:r>
      <w:r>
        <w:tab/>
      </w:r>
      <w:r>
        <w:fldChar w:fldCharType="begin"/>
      </w:r>
      <w:r>
        <w:instrText xml:space="preserve"> PAGEREF _Toc136609701 \h </w:instrText>
      </w:r>
      <w:r>
        <w:fldChar w:fldCharType="separate"/>
      </w:r>
      <w:r>
        <w:t>28</w:t>
      </w:r>
      <w:r>
        <w:fldChar w:fldCharType="end"/>
      </w:r>
      <w:r>
        <w:fldChar w:fldCharType="end"/>
      </w:r>
    </w:p>
    <w:p>
      <w:pPr>
        <w:pStyle w:val="31"/>
        <w:tabs>
          <w:tab w:val="right" w:leader="dot" w:pos="8835"/>
        </w:tabs>
        <w:rPr>
          <w:rFonts w:asciiTheme="minorHAnsi" w:hAnsiTheme="minorHAnsi" w:eastAsiaTheme="minorEastAsia" w:cstheme="minorBidi"/>
          <w:szCs w:val="22"/>
        </w:rPr>
      </w:pPr>
      <w:r>
        <w:fldChar w:fldCharType="begin"/>
      </w:r>
      <w:r>
        <w:instrText xml:space="preserve"> HYPERLINK \l "_Toc136609702" </w:instrText>
      </w:r>
      <w:r>
        <w:fldChar w:fldCharType="separate"/>
      </w:r>
      <w:r>
        <w:rPr>
          <w:rStyle w:val="58"/>
          <w:rFonts w:hint="eastAsia" w:cs="宋体" w:asciiTheme="minorEastAsia" w:hAnsiTheme="minorEastAsia"/>
          <w:b/>
          <w:color w:val="auto"/>
        </w:rPr>
        <w:t>（仅供参考，以采购人实际签订为准）</w:t>
      </w:r>
      <w:r>
        <w:tab/>
      </w:r>
      <w:r>
        <w:fldChar w:fldCharType="begin"/>
      </w:r>
      <w:r>
        <w:instrText xml:space="preserve"> PAGEREF _Toc136609702 \h </w:instrText>
      </w:r>
      <w:r>
        <w:fldChar w:fldCharType="separate"/>
      </w:r>
      <w:r>
        <w:t>28</w:t>
      </w:r>
      <w:r>
        <w:fldChar w:fldCharType="end"/>
      </w:r>
      <w:r>
        <w:fldChar w:fldCharType="end"/>
      </w:r>
    </w:p>
    <w:p>
      <w:pPr>
        <w:pStyle w:val="31"/>
        <w:tabs>
          <w:tab w:val="right" w:leader="dot" w:pos="8835"/>
        </w:tabs>
        <w:rPr>
          <w:rFonts w:asciiTheme="minorHAnsi" w:hAnsiTheme="minorHAnsi" w:eastAsiaTheme="minorEastAsia" w:cstheme="minorBidi"/>
          <w:szCs w:val="22"/>
        </w:rPr>
      </w:pPr>
      <w:r>
        <w:fldChar w:fldCharType="begin"/>
      </w:r>
      <w:r>
        <w:instrText xml:space="preserve"> HYPERLINK \l "_Toc136609703" </w:instrText>
      </w:r>
      <w:r>
        <w:fldChar w:fldCharType="separate"/>
      </w:r>
      <w:r>
        <w:rPr>
          <w:rStyle w:val="58"/>
          <w:rFonts w:hint="eastAsia" w:cs="Arial" w:asciiTheme="minorEastAsia" w:hAnsiTheme="minorEastAsia"/>
          <w:color w:val="auto"/>
          <w:kern w:val="0"/>
        </w:rPr>
        <w:t>★</w:t>
      </w:r>
      <w:r>
        <w:rPr>
          <w:rStyle w:val="58"/>
          <w:rFonts w:hint="eastAsia" w:cs="宋体" w:asciiTheme="minorEastAsia" w:hAnsiTheme="minorEastAsia"/>
          <w:b/>
          <w:color w:val="auto"/>
        </w:rPr>
        <w:t>第四章</w:t>
      </w:r>
      <w:r>
        <w:rPr>
          <w:rStyle w:val="58"/>
          <w:rFonts w:cs="宋体" w:asciiTheme="minorEastAsia" w:hAnsiTheme="minorEastAsia"/>
          <w:b/>
          <w:color w:val="auto"/>
        </w:rPr>
        <w:t xml:space="preserve"> </w:t>
      </w:r>
      <w:r>
        <w:rPr>
          <w:rStyle w:val="58"/>
          <w:rFonts w:hint="eastAsia" w:cs="宋体" w:asciiTheme="minorEastAsia" w:hAnsiTheme="minorEastAsia"/>
          <w:b/>
          <w:color w:val="auto"/>
        </w:rPr>
        <w:t>采购标准和要求</w:t>
      </w:r>
      <w:r>
        <w:tab/>
      </w:r>
      <w:r>
        <w:fldChar w:fldCharType="begin"/>
      </w:r>
      <w:r>
        <w:instrText xml:space="preserve"> PAGEREF _Toc136609703 \h </w:instrText>
      </w:r>
      <w:r>
        <w:fldChar w:fldCharType="separate"/>
      </w:r>
      <w:r>
        <w:t>35</w:t>
      </w:r>
      <w:r>
        <w:fldChar w:fldCharType="end"/>
      </w:r>
      <w:r>
        <w:fldChar w:fldCharType="end"/>
      </w:r>
    </w:p>
    <w:p>
      <w:pPr>
        <w:pStyle w:val="31"/>
        <w:tabs>
          <w:tab w:val="right" w:leader="dot" w:pos="8835"/>
        </w:tabs>
        <w:rPr>
          <w:rFonts w:asciiTheme="minorHAnsi" w:hAnsiTheme="minorHAnsi" w:eastAsiaTheme="minorEastAsia" w:cstheme="minorBidi"/>
          <w:szCs w:val="22"/>
        </w:rPr>
      </w:pPr>
      <w:r>
        <w:fldChar w:fldCharType="begin"/>
      </w:r>
      <w:r>
        <w:instrText xml:space="preserve"> HYPERLINK \l "_Toc136609704" </w:instrText>
      </w:r>
      <w:r>
        <w:fldChar w:fldCharType="separate"/>
      </w:r>
      <w:r>
        <w:rPr>
          <w:rStyle w:val="58"/>
          <w:rFonts w:hint="eastAsia" w:cs="宋体" w:asciiTheme="minorEastAsia" w:hAnsiTheme="minorEastAsia"/>
          <w:b/>
          <w:color w:val="auto"/>
        </w:rPr>
        <w:t>第五章</w:t>
      </w:r>
      <w:r>
        <w:rPr>
          <w:rStyle w:val="58"/>
          <w:rFonts w:cs="宋体" w:asciiTheme="minorEastAsia" w:hAnsiTheme="minorEastAsia"/>
          <w:b/>
          <w:color w:val="auto"/>
        </w:rPr>
        <w:t xml:space="preserve"> </w:t>
      </w:r>
      <w:r>
        <w:rPr>
          <w:rStyle w:val="58"/>
          <w:rFonts w:hint="eastAsia" w:cs="宋体" w:asciiTheme="minorEastAsia" w:hAnsiTheme="minorEastAsia"/>
          <w:b/>
          <w:color w:val="auto"/>
        </w:rPr>
        <w:t>竞争性谈判响应文件格式</w:t>
      </w:r>
      <w:r>
        <w:tab/>
      </w:r>
      <w:r>
        <w:fldChar w:fldCharType="begin"/>
      </w:r>
      <w:r>
        <w:instrText xml:space="preserve"> PAGEREF _Toc136609704 \h </w:instrText>
      </w:r>
      <w:r>
        <w:fldChar w:fldCharType="separate"/>
      </w:r>
      <w:r>
        <w:t>36</w:t>
      </w:r>
      <w:r>
        <w:fldChar w:fldCharType="end"/>
      </w:r>
      <w:r>
        <w:fldChar w:fldCharType="end"/>
      </w:r>
    </w:p>
    <w:p>
      <w:pPr>
        <w:pStyle w:val="38"/>
        <w:tabs>
          <w:tab w:val="right" w:leader="dot" w:pos="8835"/>
        </w:tabs>
        <w:rPr>
          <w:rFonts w:asciiTheme="minorHAnsi" w:hAnsiTheme="minorHAnsi" w:eastAsiaTheme="minorEastAsia" w:cstheme="minorBidi"/>
          <w:szCs w:val="22"/>
        </w:rPr>
      </w:pPr>
      <w:r>
        <w:fldChar w:fldCharType="begin"/>
      </w:r>
      <w:r>
        <w:instrText xml:space="preserve"> HYPERLINK \l "_Toc136609705" </w:instrText>
      </w:r>
      <w:r>
        <w:fldChar w:fldCharType="separate"/>
      </w:r>
      <w:r>
        <w:rPr>
          <w:rStyle w:val="58"/>
          <w:rFonts w:hint="eastAsia" w:cs="仿宋" w:asciiTheme="minorEastAsia" w:hAnsiTheme="minorEastAsia"/>
          <w:b/>
          <w:color w:val="auto"/>
        </w:rPr>
        <w:t>（第一部分）资格证明文件</w:t>
      </w:r>
      <w:r>
        <w:tab/>
      </w:r>
      <w:r>
        <w:fldChar w:fldCharType="begin"/>
      </w:r>
      <w:r>
        <w:instrText xml:space="preserve"> PAGEREF _Toc136609705 \h </w:instrText>
      </w:r>
      <w:r>
        <w:fldChar w:fldCharType="separate"/>
      </w:r>
      <w:r>
        <w:t>37</w:t>
      </w:r>
      <w:r>
        <w:fldChar w:fldCharType="end"/>
      </w:r>
      <w:r>
        <w:fldChar w:fldCharType="end"/>
      </w:r>
    </w:p>
    <w:p>
      <w:pPr>
        <w:pStyle w:val="38"/>
        <w:tabs>
          <w:tab w:val="right" w:leader="dot" w:pos="8835"/>
        </w:tabs>
        <w:rPr>
          <w:rFonts w:asciiTheme="minorHAnsi" w:hAnsiTheme="minorHAnsi" w:eastAsiaTheme="minorEastAsia" w:cstheme="minorBidi"/>
          <w:b/>
          <w:szCs w:val="22"/>
        </w:rPr>
      </w:pPr>
      <w:r>
        <w:fldChar w:fldCharType="begin"/>
      </w:r>
      <w:r>
        <w:instrText xml:space="preserve"> HYPERLINK \l "_Toc136609706" </w:instrText>
      </w:r>
      <w:r>
        <w:fldChar w:fldCharType="separate"/>
      </w:r>
      <w:r>
        <w:rPr>
          <w:rStyle w:val="58"/>
          <w:rFonts w:hint="eastAsia" w:cs="仿宋" w:asciiTheme="minorEastAsia" w:hAnsiTheme="minorEastAsia"/>
          <w:b/>
          <w:color w:val="auto"/>
        </w:rPr>
        <w:t>（第二部分）报价文件</w:t>
      </w:r>
      <w:r>
        <w:rPr>
          <w:b/>
        </w:rPr>
        <w:tab/>
      </w:r>
      <w:r>
        <w:rPr>
          <w:b/>
        </w:rPr>
        <w:fldChar w:fldCharType="begin"/>
      </w:r>
      <w:r>
        <w:rPr>
          <w:b/>
        </w:rPr>
        <w:instrText xml:space="preserve"> PAGEREF _Toc136609706 \h </w:instrText>
      </w:r>
      <w:r>
        <w:rPr>
          <w:b/>
        </w:rPr>
        <w:fldChar w:fldCharType="separate"/>
      </w:r>
      <w:r>
        <w:rPr>
          <w:b/>
        </w:rPr>
        <w:t>44</w:t>
      </w:r>
      <w:r>
        <w:rPr>
          <w:b/>
        </w:rPr>
        <w:fldChar w:fldCharType="end"/>
      </w:r>
      <w:r>
        <w:rPr>
          <w:b/>
        </w:rPr>
        <w:fldChar w:fldCharType="end"/>
      </w:r>
    </w:p>
    <w:p>
      <w:pPr>
        <w:pStyle w:val="38"/>
        <w:tabs>
          <w:tab w:val="right" w:leader="dot" w:pos="8835"/>
        </w:tabs>
        <w:rPr>
          <w:rFonts w:asciiTheme="minorHAnsi" w:hAnsiTheme="minorHAnsi" w:eastAsiaTheme="minorEastAsia" w:cstheme="minorBidi"/>
          <w:b/>
          <w:szCs w:val="22"/>
        </w:rPr>
      </w:pPr>
      <w:r>
        <w:fldChar w:fldCharType="begin"/>
      </w:r>
      <w:r>
        <w:instrText xml:space="preserve"> HYPERLINK \l "_Toc136609707" </w:instrText>
      </w:r>
      <w:r>
        <w:fldChar w:fldCharType="separate"/>
      </w:r>
      <w:r>
        <w:rPr>
          <w:rStyle w:val="58"/>
          <w:rFonts w:hint="eastAsia" w:cs="仿宋" w:asciiTheme="minorEastAsia" w:hAnsiTheme="minorEastAsia"/>
          <w:b/>
          <w:color w:val="auto"/>
        </w:rPr>
        <w:t>（第三部分）商务及技术部分</w:t>
      </w:r>
      <w:r>
        <w:rPr>
          <w:b/>
        </w:rPr>
        <w:tab/>
      </w:r>
      <w:r>
        <w:rPr>
          <w:b/>
        </w:rPr>
        <w:fldChar w:fldCharType="begin"/>
      </w:r>
      <w:r>
        <w:rPr>
          <w:b/>
        </w:rPr>
        <w:instrText xml:space="preserve"> PAGEREF _Toc136609707 \h </w:instrText>
      </w:r>
      <w:r>
        <w:rPr>
          <w:b/>
        </w:rPr>
        <w:fldChar w:fldCharType="separate"/>
      </w:r>
      <w:r>
        <w:rPr>
          <w:b/>
        </w:rPr>
        <w:t>46</w:t>
      </w:r>
      <w:r>
        <w:rPr>
          <w:b/>
        </w:rPr>
        <w:fldChar w:fldCharType="end"/>
      </w:r>
      <w:r>
        <w:rPr>
          <w:b/>
        </w:rP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"_Toc136609708" </w:instrText>
      </w:r>
      <w:r>
        <w:fldChar w:fldCharType="separate"/>
      </w:r>
      <w:r>
        <w:rPr>
          <w:rStyle w:val="58"/>
          <w:rFonts w:hint="eastAsia" w:cs="仿宋" w:asciiTheme="minorEastAsia" w:hAnsiTheme="minorEastAsia"/>
          <w:b/>
          <w:color w:val="auto"/>
          <w:lang w:bidi="ar"/>
        </w:rPr>
        <w:t>（一）投标函</w:t>
      </w:r>
      <w:r>
        <w:tab/>
      </w:r>
      <w:r>
        <w:fldChar w:fldCharType="begin"/>
      </w:r>
      <w:r>
        <w:instrText xml:space="preserve"> PAGEREF _Toc136609708 \h </w:instrText>
      </w:r>
      <w:r>
        <w:fldChar w:fldCharType="separate"/>
      </w:r>
      <w:r>
        <w:t>47</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"_Toc136609709" </w:instrText>
      </w:r>
      <w:r>
        <w:fldChar w:fldCharType="separate"/>
      </w:r>
      <w:r>
        <w:rPr>
          <w:rStyle w:val="58"/>
          <w:rFonts w:hint="eastAsia" w:cs="仿宋" w:asciiTheme="minorEastAsia" w:hAnsiTheme="minorEastAsia"/>
          <w:b/>
          <w:color w:val="auto"/>
          <w:lang w:bidi="ar"/>
        </w:rPr>
        <w:t>（二）法定代表人诚信投标承诺书</w:t>
      </w:r>
      <w:r>
        <w:tab/>
      </w:r>
      <w:r>
        <w:fldChar w:fldCharType="begin"/>
      </w:r>
      <w:r>
        <w:instrText xml:space="preserve"> PAGEREF _Toc136609709 \h </w:instrText>
      </w:r>
      <w:r>
        <w:fldChar w:fldCharType="separate"/>
      </w:r>
      <w:r>
        <w:t>49</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"_Toc136609710" </w:instrText>
      </w:r>
      <w:r>
        <w:fldChar w:fldCharType="separate"/>
      </w:r>
      <w:r>
        <w:rPr>
          <w:rStyle w:val="58"/>
          <w:rFonts w:hint="eastAsia" w:cs="仿宋" w:asciiTheme="minorEastAsia" w:hAnsiTheme="minorEastAsia"/>
          <w:b/>
          <w:color w:val="auto"/>
          <w:lang w:bidi="ar"/>
        </w:rPr>
        <w:t>（三）谈判保证金</w:t>
      </w:r>
      <w:r>
        <w:tab/>
      </w:r>
      <w:r>
        <w:fldChar w:fldCharType="begin"/>
      </w:r>
      <w:r>
        <w:instrText xml:space="preserve"> PAGEREF _Toc136609710 \h </w:instrText>
      </w:r>
      <w:r>
        <w:fldChar w:fldCharType="separate"/>
      </w:r>
      <w:r>
        <w:t>50</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"_Toc136609711" </w:instrText>
      </w:r>
      <w:r>
        <w:fldChar w:fldCharType="separate"/>
      </w:r>
      <w:r>
        <w:rPr>
          <w:rStyle w:val="58"/>
          <w:rFonts w:hint="eastAsia" w:cs="仿宋" w:asciiTheme="minorEastAsia" w:hAnsiTheme="minorEastAsia"/>
          <w:b/>
          <w:color w:val="auto"/>
          <w:lang w:bidi="ar"/>
        </w:rPr>
        <w:t>（四）项目团队成员一览表</w:t>
      </w:r>
      <w:r>
        <w:tab/>
      </w:r>
      <w:r>
        <w:fldChar w:fldCharType="begin"/>
      </w:r>
      <w:r>
        <w:instrText xml:space="preserve"> PAGEREF _Toc136609711 \h </w:instrText>
      </w:r>
      <w:r>
        <w:fldChar w:fldCharType="separate"/>
      </w:r>
      <w:r>
        <w:t>51</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"_Toc136609712" </w:instrText>
      </w:r>
      <w:r>
        <w:fldChar w:fldCharType="separate"/>
      </w:r>
      <w:r>
        <w:rPr>
          <w:rStyle w:val="58"/>
          <w:rFonts w:hint="eastAsia" w:cs="仿宋" w:asciiTheme="minorEastAsia" w:hAnsiTheme="minorEastAsia"/>
          <w:b/>
          <w:color w:val="auto"/>
        </w:rPr>
        <w:t>（五）组织架构方案</w:t>
      </w:r>
      <w:r>
        <w:tab/>
      </w:r>
      <w:r>
        <w:fldChar w:fldCharType="begin"/>
      </w:r>
      <w:r>
        <w:instrText xml:space="preserve"> PAGEREF _Toc136609712 \h </w:instrText>
      </w:r>
      <w:r>
        <w:fldChar w:fldCharType="separate"/>
      </w:r>
      <w:r>
        <w:t>54</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"_Toc136609713" </w:instrText>
      </w:r>
      <w:r>
        <w:fldChar w:fldCharType="separate"/>
      </w:r>
      <w:r>
        <w:rPr>
          <w:rStyle w:val="58"/>
          <w:rFonts w:hint="eastAsia" w:cs="仿宋" w:asciiTheme="minorEastAsia" w:hAnsiTheme="minorEastAsia"/>
          <w:b/>
          <w:color w:val="auto"/>
        </w:rPr>
        <w:t>（六）总体实施方案</w:t>
      </w:r>
      <w:r>
        <w:tab/>
      </w:r>
      <w:r>
        <w:fldChar w:fldCharType="begin"/>
      </w:r>
      <w:r>
        <w:instrText xml:space="preserve"> PAGEREF _Toc136609713 \h </w:instrText>
      </w:r>
      <w:r>
        <w:fldChar w:fldCharType="separate"/>
      </w:r>
      <w:r>
        <w:t>54</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"_Toc136609714" </w:instrText>
      </w:r>
      <w:r>
        <w:fldChar w:fldCharType="separate"/>
      </w:r>
      <w:r>
        <w:rPr>
          <w:rStyle w:val="58"/>
          <w:rFonts w:hint="eastAsia" w:cs="仿宋" w:asciiTheme="minorEastAsia" w:hAnsiTheme="minorEastAsia"/>
          <w:b/>
          <w:color w:val="auto"/>
        </w:rPr>
        <w:t>（七）质量保证措施</w:t>
      </w:r>
      <w:r>
        <w:tab/>
      </w:r>
      <w:r>
        <w:fldChar w:fldCharType="begin"/>
      </w:r>
      <w:r>
        <w:instrText xml:space="preserve"> PAGEREF _Toc136609714 \h </w:instrText>
      </w:r>
      <w:r>
        <w:fldChar w:fldCharType="separate"/>
      </w:r>
      <w:r>
        <w:t>54</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"_Toc136609715" </w:instrText>
      </w:r>
      <w:r>
        <w:fldChar w:fldCharType="separate"/>
      </w:r>
      <w:r>
        <w:rPr>
          <w:rStyle w:val="58"/>
          <w:rFonts w:hint="eastAsia" w:cs="仿宋" w:asciiTheme="minorEastAsia" w:hAnsiTheme="minorEastAsia"/>
          <w:b/>
          <w:color w:val="auto"/>
        </w:rPr>
        <w:t>（九）应急预备方案</w:t>
      </w:r>
      <w:r>
        <w:tab/>
      </w:r>
      <w:r>
        <w:fldChar w:fldCharType="begin"/>
      </w:r>
      <w:r>
        <w:instrText xml:space="preserve"> PAGEREF _Toc136609715 \h </w:instrText>
      </w:r>
      <w:r>
        <w:fldChar w:fldCharType="separate"/>
      </w:r>
      <w:r>
        <w:t>54</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"_Toc136609716" </w:instrText>
      </w:r>
      <w:r>
        <w:fldChar w:fldCharType="separate"/>
      </w:r>
      <w:r>
        <w:rPr>
          <w:rStyle w:val="58"/>
          <w:rFonts w:hint="eastAsia" w:cs="仿宋" w:asciiTheme="minorEastAsia" w:hAnsiTheme="minorEastAsia"/>
          <w:b/>
          <w:color w:val="auto"/>
        </w:rPr>
        <w:t>（十）配套售后服务方案</w:t>
      </w:r>
      <w:r>
        <w:tab/>
      </w:r>
      <w:r>
        <w:fldChar w:fldCharType="begin"/>
      </w:r>
      <w:r>
        <w:instrText xml:space="preserve"> PAGEREF _Toc136609716 \h </w:instrText>
      </w:r>
      <w:r>
        <w:fldChar w:fldCharType="separate"/>
      </w:r>
      <w:r>
        <w:t>55</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"_Toc136609717" </w:instrText>
      </w:r>
      <w:r>
        <w:fldChar w:fldCharType="separate"/>
      </w:r>
      <w:r>
        <w:rPr>
          <w:rStyle w:val="58"/>
          <w:rFonts w:hint="eastAsia" w:cs="仿宋" w:asciiTheme="minorEastAsia" w:hAnsiTheme="minorEastAsia"/>
          <w:b/>
          <w:color w:val="auto"/>
        </w:rPr>
        <w:t>（十一）商务条款偏离表</w:t>
      </w:r>
      <w:r>
        <w:tab/>
      </w:r>
      <w:r>
        <w:fldChar w:fldCharType="begin"/>
      </w:r>
      <w:r>
        <w:instrText xml:space="preserve"> PAGEREF _Toc136609717 \h </w:instrText>
      </w:r>
      <w:r>
        <w:fldChar w:fldCharType="separate"/>
      </w:r>
      <w:r>
        <w:t>56</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"_Toc136609718" </w:instrText>
      </w:r>
      <w:r>
        <w:fldChar w:fldCharType="separate"/>
      </w:r>
      <w:r>
        <w:rPr>
          <w:rStyle w:val="58"/>
          <w:rFonts w:hint="eastAsia" w:cs="仿宋" w:asciiTheme="minorEastAsia" w:hAnsiTheme="minorEastAsia"/>
          <w:b/>
          <w:color w:val="auto"/>
        </w:rPr>
        <w:t>（十二）技术（服务）条款偏离表</w:t>
      </w:r>
      <w:r>
        <w:tab/>
      </w:r>
      <w:r>
        <w:fldChar w:fldCharType="begin"/>
      </w:r>
      <w:r>
        <w:instrText xml:space="preserve"> PAGEREF _Toc136609718 \h </w:instrText>
      </w:r>
      <w:r>
        <w:fldChar w:fldCharType="separate"/>
      </w:r>
      <w:r>
        <w:t>57</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"_Toc136609719" </w:instrText>
      </w:r>
      <w:r>
        <w:fldChar w:fldCharType="separate"/>
      </w:r>
      <w:r>
        <w:rPr>
          <w:rStyle w:val="58"/>
          <w:rFonts w:hint="eastAsia" w:cs="仿宋" w:asciiTheme="minorEastAsia" w:hAnsiTheme="minorEastAsia"/>
          <w:b/>
          <w:color w:val="auto"/>
        </w:rPr>
        <w:t>（十三）供应商企业类型声明函</w:t>
      </w:r>
      <w:r>
        <w:tab/>
      </w:r>
      <w:r>
        <w:fldChar w:fldCharType="begin"/>
      </w:r>
      <w:r>
        <w:instrText xml:space="preserve"> PAGEREF _Toc136609719 \h </w:instrText>
      </w:r>
      <w:r>
        <w:fldChar w:fldCharType="separate"/>
      </w:r>
      <w:r>
        <w:t>58</w:t>
      </w:r>
      <w:r>
        <w:fldChar w:fldCharType="end"/>
      </w:r>
      <w:r>
        <w:fldChar w:fldCharType="end"/>
      </w:r>
    </w:p>
    <w:p>
      <w:pPr>
        <w:pStyle w:val="23"/>
        <w:tabs>
          <w:tab w:val="right" w:leader="dot" w:pos="8835"/>
        </w:tabs>
        <w:rPr>
          <w:rFonts w:asciiTheme="minorHAnsi" w:hAnsiTheme="minorHAnsi" w:eastAsiaTheme="minorEastAsia" w:cstheme="minorBidi"/>
          <w:szCs w:val="22"/>
        </w:rPr>
      </w:pPr>
      <w:r>
        <w:fldChar w:fldCharType="begin"/>
      </w:r>
      <w:r>
        <w:instrText xml:space="preserve"> HYPERLINK \l "_Toc136609720" </w:instrText>
      </w:r>
      <w:r>
        <w:fldChar w:fldCharType="separate"/>
      </w:r>
      <w:r>
        <w:rPr>
          <w:rStyle w:val="58"/>
          <w:rFonts w:hint="eastAsia" w:cs="仿宋" w:asciiTheme="minorEastAsia" w:hAnsiTheme="minorEastAsia"/>
          <w:b/>
          <w:color w:val="auto"/>
        </w:rPr>
        <w:t>（十四）供应商认为有必要提交的其他资料</w:t>
      </w:r>
      <w:r>
        <w:tab/>
      </w:r>
      <w:r>
        <w:fldChar w:fldCharType="begin"/>
      </w:r>
      <w:r>
        <w:instrText xml:space="preserve"> PAGEREF _Toc136609720 \h </w:instrText>
      </w:r>
      <w:r>
        <w:fldChar w:fldCharType="separate"/>
      </w:r>
      <w:r>
        <w:t>60</w:t>
      </w:r>
      <w:r>
        <w:fldChar w:fldCharType="end"/>
      </w:r>
      <w:r>
        <w:fldChar w:fldCharType="end"/>
      </w:r>
    </w:p>
    <w:p>
      <w:pPr>
        <w:jc w:val="center"/>
        <w:rPr>
          <w:rFonts w:asciiTheme="minorEastAsia" w:hAnsiTheme="minorEastAsia"/>
          <w:sz w:val="24"/>
          <w:szCs w:val="24"/>
        </w:rPr>
      </w:pPr>
      <w:r>
        <w:rPr>
          <w:rFonts w:asciiTheme="minorEastAsia" w:hAnsiTheme="minorEastAsia"/>
          <w:sz w:val="24"/>
          <w:szCs w:val="24"/>
        </w:rPr>
        <w:fldChar w:fldCharType="end"/>
      </w:r>
    </w:p>
    <w:p>
      <w:pPr>
        <w:pStyle w:val="19"/>
      </w:pPr>
      <w:r>
        <w:br w:type="page"/>
      </w:r>
    </w:p>
    <w:p>
      <w:pPr>
        <w:jc w:val="center"/>
        <w:rPr>
          <w:rFonts w:asciiTheme="minorEastAsia" w:hAnsiTheme="minorEastAsia"/>
        </w:rPr>
      </w:pPr>
      <w:r>
        <w:rPr>
          <w:rFonts w:hint="eastAsia" w:asciiTheme="minorEastAsia" w:hAnsiTheme="minorEastAsia"/>
          <w:b/>
          <w:sz w:val="28"/>
          <w:u w:val="single"/>
          <w:lang w:eastAsia="zh-CN"/>
        </w:rPr>
        <w:t>伊宁市解放路街道社区卫生服务中心医养结合能力提升项目设备</w:t>
      </w:r>
      <w:r>
        <w:rPr>
          <w:rFonts w:hint="eastAsia" w:asciiTheme="minorEastAsia" w:hAnsiTheme="minorEastAsia"/>
          <w:b/>
          <w:sz w:val="28"/>
          <w:u w:val="single"/>
        </w:rPr>
        <w:t>竞争性谈判</w:t>
      </w:r>
      <w:r>
        <w:rPr>
          <w:rFonts w:asciiTheme="minorEastAsia" w:hAnsiTheme="minorEastAsia"/>
          <w:b/>
          <w:sz w:val="28"/>
          <w:u w:val="single"/>
        </w:rPr>
        <w:t>公告</w:t>
      </w:r>
    </w:p>
    <w:p>
      <w:pPr>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u w:val="single"/>
          <w:lang w:eastAsia="zh-CN"/>
        </w:rPr>
        <w:t>伊宁市解放路街道社区卫生服务中心医养结合能力提升项目设备</w:t>
      </w:r>
      <w:r>
        <w:rPr>
          <w:rFonts w:hint="eastAsia" w:cs="宋体" w:asciiTheme="minorEastAsia" w:hAnsiTheme="minorEastAsia"/>
          <w:kern w:val="0"/>
          <w:sz w:val="24"/>
          <w:u w:val="single"/>
        </w:rPr>
        <w:t xml:space="preserve"> </w:t>
      </w:r>
      <w:r>
        <w:rPr>
          <w:rFonts w:asciiTheme="minorEastAsia" w:hAnsiTheme="minorEastAsia"/>
          <w:sz w:val="24"/>
          <w:szCs w:val="24"/>
        </w:rPr>
        <w:t>的潜在供应商应在供应商登录政采云平台https://www.zcygov.cn/在线申请（进入“项目采购”应用，在获取采购文件菜单中选择项目，申请获取采购文件）获取采购文件，并于</w:t>
      </w:r>
      <w:r>
        <w:rPr>
          <w:rFonts w:hint="eastAsia" w:asciiTheme="minorEastAsia" w:hAnsiTheme="minorEastAsia"/>
          <w:sz w:val="24"/>
          <w:szCs w:val="24"/>
          <w:u w:val="single"/>
        </w:rPr>
        <w:t xml:space="preserve">2023 </w:t>
      </w:r>
      <w:r>
        <w:rPr>
          <w:rFonts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7</w:t>
      </w:r>
      <w:r>
        <w:rPr>
          <w:rFonts w:hint="eastAsia" w:asciiTheme="minorEastAsia" w:hAnsiTheme="minorEastAsia"/>
          <w:sz w:val="24"/>
          <w:szCs w:val="24"/>
          <w:u w:val="single"/>
        </w:rPr>
        <w:t xml:space="preserve"> </w:t>
      </w:r>
      <w:r>
        <w:rPr>
          <w:rFonts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5 </w:t>
      </w:r>
      <w:r>
        <w:rPr>
          <w:rFonts w:asciiTheme="minorEastAsia" w:hAnsiTheme="minorEastAsia"/>
          <w:sz w:val="24"/>
          <w:szCs w:val="24"/>
        </w:rPr>
        <w:t>日</w:t>
      </w:r>
      <w:r>
        <w:rPr>
          <w:rFonts w:hint="eastAsia" w:asciiTheme="minorEastAsia" w:hAnsiTheme="minorEastAsia"/>
          <w:sz w:val="24"/>
          <w:szCs w:val="24"/>
          <w:u w:val="single"/>
        </w:rPr>
        <w:t>1</w:t>
      </w:r>
      <w:r>
        <w:rPr>
          <w:rFonts w:hint="eastAsia" w:asciiTheme="minorEastAsia" w:hAnsiTheme="minorEastAsia"/>
          <w:sz w:val="24"/>
          <w:szCs w:val="24"/>
          <w:u w:val="single"/>
          <w:lang w:val="en-US" w:eastAsia="zh-CN"/>
        </w:rPr>
        <w:t>6</w:t>
      </w:r>
      <w:r>
        <w:rPr>
          <w:rFonts w:hint="eastAsia" w:asciiTheme="minorEastAsia" w:hAnsiTheme="minorEastAsia"/>
          <w:sz w:val="24"/>
          <w:szCs w:val="24"/>
          <w:u w:val="single"/>
        </w:rPr>
        <w:t>:</w:t>
      </w:r>
      <w:r>
        <w:rPr>
          <w:rFonts w:hint="eastAsia" w:asciiTheme="minorEastAsia" w:hAnsiTheme="minorEastAsia"/>
          <w:sz w:val="24"/>
          <w:szCs w:val="24"/>
          <w:u w:val="single"/>
          <w:lang w:val="en-US" w:eastAsia="zh-CN"/>
        </w:rPr>
        <w:t>3</w:t>
      </w:r>
      <w:r>
        <w:rPr>
          <w:rFonts w:hint="eastAsia" w:asciiTheme="minorEastAsia" w:hAnsiTheme="minorEastAsia"/>
          <w:sz w:val="24"/>
          <w:szCs w:val="24"/>
          <w:u w:val="single"/>
        </w:rPr>
        <w:t>0</w:t>
      </w:r>
      <w:r>
        <w:rPr>
          <w:rFonts w:hint="eastAsia" w:asciiTheme="minorEastAsia" w:hAnsiTheme="minorEastAsia"/>
          <w:sz w:val="24"/>
          <w:szCs w:val="24"/>
          <w:u w:val="single"/>
          <w:lang w:eastAsia="zh-CN"/>
        </w:rPr>
        <w:t>（</w:t>
      </w:r>
      <w:r>
        <w:rPr>
          <w:rFonts w:asciiTheme="minorEastAsia" w:hAnsiTheme="minorEastAsia"/>
          <w:sz w:val="24"/>
          <w:szCs w:val="24"/>
        </w:rPr>
        <w:t>北京时间）前</w:t>
      </w:r>
      <w:r>
        <w:rPr>
          <w:rFonts w:hint="eastAsia" w:asciiTheme="minorEastAsia" w:hAnsiTheme="minorEastAsia"/>
          <w:sz w:val="24"/>
          <w:szCs w:val="24"/>
        </w:rPr>
        <w:t>提交响应</w:t>
      </w:r>
      <w:r>
        <w:rPr>
          <w:rFonts w:asciiTheme="minorEastAsia" w:hAnsiTheme="minorEastAsia"/>
          <w:sz w:val="24"/>
          <w:szCs w:val="24"/>
        </w:rPr>
        <w:t>文件。</w:t>
      </w:r>
    </w:p>
    <w:p>
      <w:pPr>
        <w:spacing w:line="360" w:lineRule="auto"/>
        <w:rPr>
          <w:rFonts w:asciiTheme="minorEastAsia" w:hAnsiTheme="minorEastAsia"/>
          <w:b/>
          <w:sz w:val="24"/>
          <w:szCs w:val="24"/>
        </w:rPr>
      </w:pPr>
      <w:r>
        <w:rPr>
          <w:rFonts w:hint="eastAsia" w:asciiTheme="minorEastAsia" w:hAnsiTheme="minorEastAsia"/>
          <w:b/>
          <w:sz w:val="24"/>
          <w:szCs w:val="24"/>
        </w:rPr>
        <w:t>一、项目基本情况</w:t>
      </w:r>
    </w:p>
    <w:p>
      <w:pPr>
        <w:spacing w:line="360" w:lineRule="auto"/>
        <w:rPr>
          <w:rFonts w:asciiTheme="minorEastAsia" w:hAnsiTheme="minorEastAsia"/>
          <w:sz w:val="24"/>
          <w:szCs w:val="24"/>
          <w:u w:val="single"/>
        </w:rPr>
      </w:pPr>
      <w:r>
        <w:rPr>
          <w:rFonts w:asciiTheme="minorEastAsia" w:hAnsiTheme="minorEastAsia"/>
          <w:sz w:val="24"/>
          <w:szCs w:val="24"/>
        </w:rPr>
        <w:t>项目编号：</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XJTX-CG-2023-06-20</w:t>
      </w:r>
      <w:r>
        <w:rPr>
          <w:rFonts w:hint="eastAsia" w:asciiTheme="minorEastAsia" w:hAnsiTheme="minorEastAsia"/>
          <w:sz w:val="24"/>
          <w:szCs w:val="24"/>
          <w:u w:val="single"/>
        </w:rPr>
        <w:t xml:space="preserve"> </w:t>
      </w:r>
    </w:p>
    <w:p>
      <w:pPr>
        <w:spacing w:line="360" w:lineRule="auto"/>
        <w:rPr>
          <w:rFonts w:hint="eastAsia" w:asciiTheme="minorEastAsia" w:hAnsiTheme="minorEastAsia" w:eastAsiaTheme="minorEastAsia"/>
          <w:sz w:val="24"/>
          <w:szCs w:val="24"/>
          <w:u w:val="single"/>
          <w:lang w:eastAsia="zh-CN"/>
        </w:rPr>
      </w:pPr>
      <w:r>
        <w:rPr>
          <w:rFonts w:asciiTheme="minorEastAsia" w:hAnsiTheme="minorEastAsia"/>
          <w:sz w:val="24"/>
          <w:szCs w:val="24"/>
        </w:rPr>
        <w:t>项目名称：</w:t>
      </w:r>
      <w:r>
        <w:rPr>
          <w:rFonts w:hint="eastAsia" w:asciiTheme="minorEastAsia" w:hAnsiTheme="minorEastAsia"/>
          <w:sz w:val="24"/>
          <w:szCs w:val="24"/>
          <w:u w:val="single"/>
          <w:lang w:eastAsia="zh-CN"/>
        </w:rPr>
        <w:t>伊宁市解放路街道社区卫生服务中心医养结合能力提升项目设备</w:t>
      </w:r>
    </w:p>
    <w:p>
      <w:pPr>
        <w:spacing w:line="360" w:lineRule="auto"/>
        <w:rPr>
          <w:rFonts w:asciiTheme="minorEastAsia" w:hAnsiTheme="minorEastAsia"/>
          <w:sz w:val="24"/>
          <w:szCs w:val="24"/>
        </w:rPr>
      </w:pPr>
      <w:r>
        <w:rPr>
          <w:rFonts w:asciiTheme="minorEastAsia" w:hAnsiTheme="minorEastAsia"/>
          <w:sz w:val="24"/>
          <w:szCs w:val="24"/>
        </w:rPr>
        <w:t>采购方式：</w:t>
      </w:r>
      <w:r>
        <w:rPr>
          <w:rFonts w:hint="eastAsia" w:asciiTheme="minorEastAsia" w:hAnsiTheme="minorEastAsia"/>
          <w:sz w:val="24"/>
          <w:szCs w:val="24"/>
          <w:u w:val="single"/>
        </w:rPr>
        <w:t>竞争性谈判</w:t>
      </w:r>
    </w:p>
    <w:p>
      <w:pPr>
        <w:spacing w:line="360" w:lineRule="auto"/>
        <w:rPr>
          <w:rFonts w:hint="default" w:asciiTheme="minorEastAsia" w:hAnsiTheme="minorEastAsia" w:eastAsiaTheme="minorEastAsia"/>
          <w:sz w:val="24"/>
          <w:szCs w:val="24"/>
          <w:u w:val="single"/>
          <w:lang w:val="en-US" w:eastAsia="zh-CN"/>
        </w:rPr>
      </w:pPr>
      <w:r>
        <w:rPr>
          <w:rFonts w:asciiTheme="minorEastAsia" w:hAnsiTheme="minorEastAsia"/>
          <w:sz w:val="24"/>
          <w:szCs w:val="24"/>
        </w:rPr>
        <w:t>预算金额（元）：</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780000.00</w:t>
      </w:r>
    </w:p>
    <w:p>
      <w:pPr>
        <w:spacing w:line="360" w:lineRule="auto"/>
        <w:rPr>
          <w:rFonts w:hint="default" w:asciiTheme="minorEastAsia" w:hAnsiTheme="minorEastAsia"/>
          <w:sz w:val="24"/>
          <w:szCs w:val="24"/>
          <w:highlight w:val="yellow"/>
          <w:u w:val="single"/>
          <w:lang w:val="en-US" w:eastAsia="zh-CN"/>
        </w:rPr>
      </w:pPr>
      <w:r>
        <w:rPr>
          <w:rFonts w:asciiTheme="minorEastAsia" w:hAnsiTheme="minorEastAsia"/>
          <w:sz w:val="24"/>
          <w:szCs w:val="24"/>
        </w:rPr>
        <w:t>最高限价（元）：</w:t>
      </w:r>
      <w:r>
        <w:rPr>
          <w:rFonts w:hint="eastAsia" w:asciiTheme="minorEastAsia" w:hAnsiTheme="minorEastAsia"/>
          <w:sz w:val="24"/>
          <w:szCs w:val="24"/>
          <w:u w:val="single"/>
          <w:lang w:val="en-US" w:eastAsia="zh-CN"/>
        </w:rPr>
        <w:t>778000.00</w:t>
      </w:r>
    </w:p>
    <w:p>
      <w:pPr>
        <w:spacing w:line="360" w:lineRule="auto"/>
        <w:rPr>
          <w:rFonts w:asciiTheme="minorEastAsia" w:hAnsiTheme="minorEastAsia"/>
          <w:sz w:val="24"/>
          <w:szCs w:val="24"/>
        </w:rPr>
      </w:pPr>
      <w:r>
        <w:rPr>
          <w:rFonts w:asciiTheme="minorEastAsia" w:hAnsiTheme="minorEastAsia"/>
          <w:sz w:val="24"/>
          <w:szCs w:val="24"/>
        </w:rPr>
        <w:t>采购需求：</w:t>
      </w:r>
      <w:r>
        <w:rPr>
          <w:rFonts w:hint="default" w:asciiTheme="minorEastAsia" w:hAnsiTheme="minorEastAsia"/>
          <w:sz w:val="24"/>
          <w:szCs w:val="24"/>
        </w:rPr>
        <w:t>生活护理设备、基本医疗设备、中医基础设备、康复设备、突发应急设备、安防设备等其他设备</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详见清单</w:t>
      </w:r>
      <w:r>
        <w:rPr>
          <w:rFonts w:hint="eastAsia" w:asciiTheme="minorEastAsia" w:hAnsiTheme="minorEastAsia"/>
          <w:sz w:val="24"/>
          <w:szCs w:val="24"/>
          <w:lang w:eastAsia="zh-CN"/>
        </w:rPr>
        <w:t>）</w:t>
      </w:r>
      <w:r>
        <w:rPr>
          <w:rFonts w:hint="default" w:asciiTheme="minorEastAsia" w:hAnsiTheme="minorEastAsia"/>
          <w:sz w:val="24"/>
          <w:szCs w:val="24"/>
        </w:rPr>
        <w:t>。</w:t>
      </w:r>
    </w:p>
    <w:p>
      <w:pPr>
        <w:pStyle w:val="19"/>
        <w:rPr>
          <w:rFonts w:hint="eastAsia" w:eastAsia="宋体" w:asciiTheme="minorEastAsia" w:hAnsiTheme="minorEastAsia"/>
          <w:szCs w:val="24"/>
          <w:u w:val="single"/>
          <w:lang w:eastAsia="zh-CN"/>
        </w:rPr>
      </w:pPr>
      <w:r>
        <w:rPr>
          <w:rFonts w:hint="eastAsia"/>
        </w:rPr>
        <w:t>标项名称：</w:t>
      </w:r>
      <w:r>
        <w:rPr>
          <w:rFonts w:hint="eastAsia" w:asciiTheme="minorEastAsia" w:hAnsiTheme="minorEastAsia"/>
          <w:szCs w:val="24"/>
          <w:u w:val="single"/>
          <w:lang w:eastAsia="zh-CN"/>
        </w:rPr>
        <w:t>伊宁市解放路街道社区卫生服务中心医养结合能力提升项目设备</w:t>
      </w:r>
    </w:p>
    <w:p>
      <w:pPr>
        <w:pStyle w:val="19"/>
      </w:pPr>
      <w:r>
        <w:rPr>
          <w:rFonts w:hint="eastAsia" w:asciiTheme="minorEastAsia" w:hAnsiTheme="minorEastAsia"/>
          <w:szCs w:val="24"/>
        </w:rPr>
        <w:t>数量：</w:t>
      </w:r>
      <w:r>
        <w:rPr>
          <w:rFonts w:hint="eastAsia" w:asciiTheme="minorEastAsia" w:hAnsiTheme="minorEastAsia"/>
          <w:szCs w:val="24"/>
          <w:u w:val="single"/>
        </w:rPr>
        <w:t>不限</w:t>
      </w:r>
    </w:p>
    <w:p>
      <w:pPr>
        <w:spacing w:line="360" w:lineRule="auto"/>
        <w:rPr>
          <w:rFonts w:hint="default" w:asciiTheme="minorEastAsia" w:hAnsiTheme="minorEastAsia" w:eastAsiaTheme="minorEastAsia"/>
          <w:sz w:val="24"/>
          <w:szCs w:val="24"/>
          <w:u w:val="single"/>
          <w:lang w:val="en-US" w:eastAsia="zh-CN"/>
        </w:rPr>
      </w:pPr>
      <w:r>
        <w:rPr>
          <w:rFonts w:asciiTheme="minorEastAsia" w:hAnsiTheme="minorEastAsia"/>
          <w:sz w:val="24"/>
          <w:szCs w:val="24"/>
        </w:rPr>
        <w:t>预算金额（元）</w:t>
      </w:r>
      <w:r>
        <w:rPr>
          <w:rFonts w:hint="eastAsia" w:asciiTheme="minorEastAsia" w:hAnsiTheme="minorEastAsia"/>
          <w:sz w:val="24"/>
          <w:szCs w:val="24"/>
        </w:rPr>
        <w:t>：</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780000.00</w:t>
      </w:r>
    </w:p>
    <w:p>
      <w:pPr>
        <w:pStyle w:val="19"/>
      </w:pPr>
      <w:r>
        <w:rPr>
          <w:rFonts w:hint="eastAsia"/>
        </w:rPr>
        <w:t>单位：</w:t>
      </w:r>
      <w:r>
        <w:rPr>
          <w:rFonts w:hint="eastAsia"/>
          <w:u w:val="single"/>
        </w:rPr>
        <w:t>批</w:t>
      </w:r>
    </w:p>
    <w:p>
      <w:pPr>
        <w:spacing w:line="360" w:lineRule="auto"/>
        <w:jc w:val="left"/>
        <w:rPr>
          <w:rFonts w:asciiTheme="minorEastAsia" w:hAnsiTheme="minorEastAsia"/>
          <w:sz w:val="24"/>
          <w:szCs w:val="24"/>
          <w:highlight w:val="yellow"/>
          <w:u w:val="single"/>
        </w:rPr>
      </w:pPr>
      <w:r>
        <w:rPr>
          <w:rFonts w:asciiTheme="minorEastAsia" w:hAnsiTheme="minorEastAsia"/>
          <w:sz w:val="24"/>
          <w:szCs w:val="24"/>
        </w:rPr>
        <w:t>简要规格描述或项目基本概况介绍、用途：</w:t>
      </w:r>
    </w:p>
    <w:p>
      <w:pPr>
        <w:spacing w:line="360" w:lineRule="auto"/>
        <w:rPr>
          <w:rFonts w:cs="宋体" w:asciiTheme="minorEastAsia" w:hAnsiTheme="minorEastAsia"/>
          <w:kern w:val="0"/>
          <w:sz w:val="24"/>
          <w:szCs w:val="24"/>
        </w:rPr>
      </w:pPr>
      <w:r>
        <w:rPr>
          <w:rFonts w:asciiTheme="minorEastAsia" w:hAnsiTheme="minorEastAsia"/>
          <w:sz w:val="24"/>
          <w:szCs w:val="24"/>
        </w:rPr>
        <w:t>合同履约期限</w:t>
      </w:r>
      <w:r>
        <w:rPr>
          <w:rFonts w:cs="宋体" w:asciiTheme="minorEastAsia" w:hAnsiTheme="minorEastAsia"/>
          <w:kern w:val="0"/>
          <w:sz w:val="24"/>
          <w:szCs w:val="24"/>
        </w:rPr>
        <w:t>：标项1</w:t>
      </w:r>
      <w:r>
        <w:rPr>
          <w:rFonts w:hint="eastAsia" w:cs="宋体" w:asciiTheme="minorEastAsia" w:hAnsiTheme="minorEastAsia"/>
          <w:kern w:val="0"/>
          <w:sz w:val="24"/>
          <w:szCs w:val="24"/>
        </w:rPr>
        <w:t>，</w:t>
      </w:r>
      <w:r>
        <w:rPr>
          <w:rFonts w:hint="eastAsia" w:ascii="宋体" w:hAnsi="宋体"/>
          <w:sz w:val="24"/>
          <w:szCs w:val="24"/>
          <w:u w:val="single"/>
        </w:rPr>
        <w:t>自合同签订之日起至质保服务期结束。</w:t>
      </w:r>
    </w:p>
    <w:p>
      <w:pPr>
        <w:pStyle w:val="19"/>
      </w:pPr>
      <w:r>
        <w:rPr>
          <w:rFonts w:hint="eastAsia"/>
        </w:rPr>
        <w:t>本项目（否）接受联合体投标。</w:t>
      </w:r>
    </w:p>
    <w:p>
      <w:pPr>
        <w:spacing w:line="360" w:lineRule="auto"/>
        <w:rPr>
          <w:rFonts w:asciiTheme="minorEastAsia" w:hAnsiTheme="minorEastAsia"/>
          <w:b/>
          <w:sz w:val="24"/>
          <w:szCs w:val="24"/>
        </w:rPr>
      </w:pPr>
      <w:r>
        <w:rPr>
          <w:rFonts w:hint="eastAsia" w:asciiTheme="minorEastAsia" w:hAnsiTheme="minorEastAsia"/>
          <w:b/>
          <w:sz w:val="24"/>
          <w:szCs w:val="24"/>
        </w:rPr>
        <w:t>二、申请人的资格要求：</w:t>
      </w:r>
    </w:p>
    <w:p>
      <w:pPr>
        <w:spacing w:line="360" w:lineRule="auto"/>
        <w:rPr>
          <w:rFonts w:asciiTheme="minorEastAsia" w:hAnsiTheme="minorEastAsia"/>
          <w:sz w:val="24"/>
          <w:szCs w:val="24"/>
        </w:rPr>
      </w:pPr>
      <w:r>
        <w:rPr>
          <w:rFonts w:asciiTheme="minorEastAsia" w:hAnsiTheme="minorEastAsia"/>
          <w:sz w:val="24"/>
          <w:szCs w:val="24"/>
        </w:rPr>
        <w:t>1.满足《中华人民共和国政府采购法》第二十二条规定；</w:t>
      </w:r>
    </w:p>
    <w:p>
      <w:pPr>
        <w:spacing w:line="360" w:lineRule="auto"/>
        <w:rPr>
          <w:rFonts w:asciiTheme="minorEastAsia" w:hAnsiTheme="minorEastAsia"/>
          <w:sz w:val="24"/>
          <w:szCs w:val="24"/>
        </w:rPr>
      </w:pPr>
      <w:r>
        <w:rPr>
          <w:rFonts w:asciiTheme="minorEastAsia" w:hAnsiTheme="minorEastAsia"/>
          <w:sz w:val="24"/>
          <w:szCs w:val="24"/>
        </w:rPr>
        <w:t>2.落实政府采购政策需满足的资格要求：</w:t>
      </w:r>
      <w:r>
        <w:rPr>
          <w:rFonts w:hint="eastAsia" w:asciiTheme="minorEastAsia" w:hAnsiTheme="minorEastAsia"/>
          <w:sz w:val="24"/>
          <w:szCs w:val="24"/>
        </w:rPr>
        <w:t>本项目为专门面向中小企业。</w:t>
      </w:r>
    </w:p>
    <w:p>
      <w:pPr>
        <w:spacing w:line="360" w:lineRule="auto"/>
        <w:rPr>
          <w:rFonts w:asciiTheme="minorEastAsia" w:hAnsiTheme="minorEastAsia"/>
          <w:sz w:val="24"/>
          <w:szCs w:val="24"/>
        </w:rPr>
      </w:pPr>
      <w:r>
        <w:rPr>
          <w:rFonts w:asciiTheme="minorEastAsia" w:hAnsiTheme="minorEastAsia"/>
          <w:sz w:val="24"/>
          <w:szCs w:val="24"/>
        </w:rPr>
        <w:t>3.本项目的特定资格要求：</w:t>
      </w:r>
    </w:p>
    <w:p>
      <w:pPr>
        <w:pStyle w:val="19"/>
        <w:rPr>
          <w:rFonts w:cs="宋体" w:asciiTheme="minorEastAsia" w:hAnsiTheme="minorEastAsia" w:eastAsiaTheme="minorEastAsia"/>
          <w:szCs w:val="24"/>
        </w:rPr>
      </w:pPr>
      <w:r>
        <w:rPr>
          <w:rFonts w:cs="宋体" w:asciiTheme="minorEastAsia" w:hAnsiTheme="minorEastAsia" w:eastAsiaTheme="minorEastAsia"/>
          <w:szCs w:val="24"/>
        </w:rPr>
        <w:t>【标项1】</w:t>
      </w:r>
    </w:p>
    <w:p>
      <w:pPr>
        <w:widowControl/>
        <w:spacing w:line="360" w:lineRule="auto"/>
        <w:jc w:val="left"/>
        <w:rPr>
          <w:rFonts w:cs="Arial" w:asciiTheme="minorEastAsia" w:hAnsiTheme="minorEastAsia"/>
          <w:sz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w:t>
      </w:r>
      <w:r>
        <w:rPr>
          <w:rFonts w:hint="eastAsia" w:asciiTheme="minorEastAsia" w:hAnsiTheme="minorEastAsia"/>
          <w:sz w:val="24"/>
        </w:rPr>
        <w:t>供应商须</w:t>
      </w:r>
      <w:r>
        <w:rPr>
          <w:rFonts w:asciiTheme="minorEastAsia" w:hAnsiTheme="minorEastAsia"/>
          <w:sz w:val="24"/>
        </w:rPr>
        <w:t>具有有效的营业执照</w:t>
      </w:r>
      <w:r>
        <w:rPr>
          <w:rFonts w:hint="eastAsia" w:asciiTheme="minorEastAsia" w:hAnsiTheme="minorEastAsia"/>
          <w:sz w:val="24"/>
        </w:rPr>
        <w:t>，</w:t>
      </w:r>
      <w:r>
        <w:rPr>
          <w:rFonts w:asciiTheme="minorEastAsia" w:hAnsiTheme="minorEastAsia"/>
          <w:sz w:val="24"/>
        </w:rPr>
        <w:t>具有独立订立合同的权利，能独立承担民事责任的能力；</w:t>
      </w:r>
    </w:p>
    <w:p>
      <w:pPr>
        <w:spacing w:line="360" w:lineRule="auto"/>
        <w:rPr>
          <w:rFonts w:cs="Arial" w:asciiTheme="minorEastAsia" w:hAnsiTheme="minorEastAsia"/>
          <w:sz w:val="24"/>
        </w:rPr>
      </w:pPr>
      <w:r>
        <w:rPr>
          <w:rFonts w:hint="eastAsia" w:asciiTheme="minorEastAsia" w:hAnsiTheme="minorEastAsia"/>
          <w:sz w:val="24"/>
          <w:szCs w:val="24"/>
        </w:rPr>
        <w:t>2）、</w:t>
      </w:r>
      <w:r>
        <w:rPr>
          <w:rFonts w:hint="eastAsia" w:cs="Arial" w:asciiTheme="minorEastAsia" w:hAnsiTheme="minorEastAsia"/>
          <w:sz w:val="24"/>
        </w:rPr>
        <w:t>供应商所投产品属于第二类医疗器械的，还需提供有效的行政主管部门颁发的医疗器械经营备案凭证（或医疗器械生产许可证或医疗器械经营许可证或其他医疗器械生产经营许可证明文件）；供应商所投产品属于第三类医疗器械的，还需提供有效的行政主管部门颁发的医疗器械生产许可证（或医疗器械经营许可证或其他医疗器械生产经营许可证明文件）；</w:t>
      </w:r>
    </w:p>
    <w:p>
      <w:pPr>
        <w:spacing w:line="360" w:lineRule="auto"/>
        <w:rPr>
          <w:rFonts w:asciiTheme="minorEastAsia" w:hAnsiTheme="minorEastAsia"/>
          <w:sz w:val="24"/>
          <w:szCs w:val="24"/>
        </w:rPr>
      </w:pPr>
      <w:r>
        <w:rPr>
          <w:rFonts w:hint="eastAsia" w:asciiTheme="minorEastAsia" w:hAnsiTheme="minorEastAsia"/>
          <w:sz w:val="24"/>
          <w:szCs w:val="24"/>
        </w:rPr>
        <w:t>3）、供应商须是在“信用中国”（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w:t>
      </w:r>
      <w:r>
        <w:rPr>
          <w:rFonts w:asciiTheme="minorEastAsia" w:hAnsiTheme="minorEastAsia"/>
          <w:sz w:val="24"/>
          <w:szCs w:val="24"/>
        </w:rPr>
        <w:t xml:space="preserve"> </w:t>
      </w:r>
    </w:p>
    <w:p>
      <w:pPr>
        <w:spacing w:line="360" w:lineRule="auto"/>
        <w:rPr>
          <w:rFonts w:asciiTheme="minorEastAsia" w:hAnsiTheme="minorEastAsia"/>
          <w:sz w:val="24"/>
          <w:szCs w:val="24"/>
        </w:rPr>
      </w:pPr>
      <w:r>
        <w:rPr>
          <w:rFonts w:hint="eastAsia" w:asciiTheme="minorEastAsia" w:hAnsiTheme="minorEastAsia"/>
          <w:sz w:val="24"/>
          <w:szCs w:val="24"/>
        </w:rPr>
        <w:t>4）、提供《中小企业声明函》。</w:t>
      </w:r>
    </w:p>
    <w:p>
      <w:pPr>
        <w:spacing w:line="360" w:lineRule="auto"/>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、其他说明：：①与采购人存在利害关系可能影响招标公正性的法人、其他组织或者个人，不得参加投标。②</w:t>
      </w:r>
      <w:r>
        <w:rPr>
          <w:rFonts w:hint="eastAsia" w:asciiTheme="minorEastAsia" w:hAnsiTheme="minorEastAsia"/>
          <w:sz w:val="24"/>
          <w:szCs w:val="24"/>
        </w:rPr>
        <w:t>单位负责人为同一人或者存在控股、管理关系的不同</w:t>
      </w:r>
      <w:r>
        <w:rPr>
          <w:rFonts w:hint="eastAsia" w:ascii="宋体" w:hAnsi="宋体" w:cs="Arial"/>
          <w:kern w:val="0"/>
          <w:sz w:val="24"/>
          <w:szCs w:val="24"/>
        </w:rPr>
        <w:t>供应商</w:t>
      </w:r>
      <w:r>
        <w:rPr>
          <w:rFonts w:hint="eastAsia" w:asciiTheme="minorEastAsia" w:hAnsiTheme="minorEastAsia"/>
          <w:sz w:val="24"/>
          <w:szCs w:val="24"/>
        </w:rPr>
        <w:t>，不得参加同一合同项下的政府采购活动。</w:t>
      </w:r>
      <w:r>
        <w:rPr>
          <w:rFonts w:asciiTheme="minorEastAsia" w:hAnsiTheme="minorEastAsia"/>
          <w:sz w:val="24"/>
          <w:szCs w:val="24"/>
        </w:rPr>
        <w:t>违反前两款规定的，相关投标均无效。</w:t>
      </w:r>
    </w:p>
    <w:p>
      <w:pPr>
        <w:spacing w:line="360" w:lineRule="auto"/>
        <w:rPr>
          <w:rFonts w:asciiTheme="minorEastAsia" w:hAnsiTheme="minorEastAsia"/>
          <w:sz w:val="24"/>
          <w:szCs w:val="24"/>
        </w:rPr>
      </w:pPr>
      <w:r>
        <w:rPr>
          <w:rFonts w:hint="eastAsia" w:asciiTheme="minorEastAsia" w:hAnsiTheme="minorEastAsia"/>
          <w:sz w:val="24"/>
          <w:szCs w:val="24"/>
        </w:rPr>
        <w:t>三、获取采购文件</w:t>
      </w:r>
    </w:p>
    <w:p>
      <w:pPr>
        <w:spacing w:line="360" w:lineRule="auto"/>
        <w:rPr>
          <w:rFonts w:asciiTheme="minorEastAsia" w:hAnsiTheme="minorEastAsia"/>
          <w:sz w:val="24"/>
          <w:szCs w:val="24"/>
        </w:rPr>
      </w:pPr>
      <w:r>
        <w:rPr>
          <w:rFonts w:asciiTheme="minorEastAsia" w:hAnsiTheme="minorEastAsia"/>
          <w:sz w:val="24"/>
          <w:szCs w:val="24"/>
        </w:rPr>
        <w:t>时间</w:t>
      </w:r>
      <w:r>
        <w:rPr>
          <w:rFonts w:hint="eastAsia" w:asciiTheme="minorEastAsia" w:hAnsiTheme="minorEastAsia"/>
          <w:sz w:val="24"/>
          <w:szCs w:val="24"/>
          <w:highlight w:val="yellow"/>
        </w:rPr>
        <w:t>：</w:t>
      </w: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6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27</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日至</w:t>
      </w: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7</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4</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日，</w:t>
      </w:r>
      <w:r>
        <w:rPr>
          <w:rFonts w:asciiTheme="minorEastAsia" w:hAnsiTheme="minorEastAsia"/>
          <w:sz w:val="24"/>
          <w:szCs w:val="24"/>
        </w:rPr>
        <w:t>每天上午10:00至1</w:t>
      </w:r>
      <w:r>
        <w:rPr>
          <w:rFonts w:hint="eastAsia" w:asciiTheme="minorEastAsia" w:hAnsiTheme="minorEastAsia"/>
          <w:sz w:val="24"/>
          <w:szCs w:val="24"/>
          <w:lang w:val="en-US" w:eastAsia="zh-CN"/>
        </w:rPr>
        <w:t>4</w:t>
      </w:r>
      <w:r>
        <w:rPr>
          <w:rFonts w:asciiTheme="minorEastAsia" w:hAnsiTheme="minorEastAsia"/>
          <w:sz w:val="24"/>
          <w:szCs w:val="24"/>
        </w:rPr>
        <w:t>:</w:t>
      </w:r>
      <w:r>
        <w:rPr>
          <w:rFonts w:hint="eastAsia" w:asciiTheme="minorEastAsia" w:hAnsiTheme="minorEastAsia"/>
          <w:sz w:val="24"/>
          <w:szCs w:val="24"/>
          <w:lang w:val="en-US" w:eastAsia="zh-CN"/>
        </w:rPr>
        <w:t>0</w:t>
      </w:r>
      <w:r>
        <w:rPr>
          <w:rFonts w:asciiTheme="minorEastAsia" w:hAnsiTheme="minorEastAsia"/>
          <w:sz w:val="24"/>
          <w:szCs w:val="24"/>
        </w:rPr>
        <w:t>0，下午1</w:t>
      </w:r>
      <w:r>
        <w:rPr>
          <w:rFonts w:hint="eastAsia" w:asciiTheme="minorEastAsia" w:hAnsiTheme="minorEastAsia"/>
          <w:sz w:val="24"/>
          <w:szCs w:val="24"/>
          <w:lang w:val="en-US" w:eastAsia="zh-CN"/>
        </w:rPr>
        <w:t>6</w:t>
      </w:r>
      <w:r>
        <w:rPr>
          <w:rFonts w:asciiTheme="minorEastAsia" w:hAnsiTheme="minorEastAsia"/>
          <w:sz w:val="24"/>
          <w:szCs w:val="24"/>
        </w:rPr>
        <w:t>:</w:t>
      </w:r>
      <w:r>
        <w:rPr>
          <w:rFonts w:hint="eastAsia" w:asciiTheme="minorEastAsia" w:hAnsiTheme="minorEastAsia"/>
          <w:sz w:val="24"/>
          <w:szCs w:val="24"/>
          <w:lang w:val="en-US" w:eastAsia="zh-CN"/>
        </w:rPr>
        <w:t>0</w:t>
      </w:r>
      <w:r>
        <w:rPr>
          <w:rFonts w:asciiTheme="minorEastAsia" w:hAnsiTheme="minorEastAsia"/>
          <w:sz w:val="24"/>
          <w:szCs w:val="24"/>
        </w:rPr>
        <w:t>0至</w:t>
      </w:r>
      <w:r>
        <w:rPr>
          <w:rFonts w:hint="eastAsia" w:asciiTheme="minorEastAsia" w:hAnsiTheme="minorEastAsia"/>
          <w:sz w:val="24"/>
          <w:szCs w:val="24"/>
          <w:lang w:val="en-US" w:eastAsia="zh-CN"/>
        </w:rPr>
        <w:t>20</w:t>
      </w:r>
      <w:r>
        <w:rPr>
          <w:rFonts w:asciiTheme="minorEastAsia" w:hAnsiTheme="minorEastAsia"/>
          <w:sz w:val="24"/>
          <w:szCs w:val="24"/>
        </w:rPr>
        <w:t>:00（北京时间，法定节假日除外）</w:t>
      </w:r>
    </w:p>
    <w:p>
      <w:pPr>
        <w:spacing w:line="360" w:lineRule="auto"/>
        <w:rPr>
          <w:rFonts w:asciiTheme="minorEastAsia" w:hAnsiTheme="minorEastAsia"/>
          <w:sz w:val="24"/>
          <w:szCs w:val="24"/>
        </w:rPr>
      </w:pPr>
      <w:r>
        <w:rPr>
          <w:rFonts w:asciiTheme="minorEastAsia" w:hAnsiTheme="minorEastAsia"/>
          <w:sz w:val="24"/>
          <w:szCs w:val="24"/>
        </w:rPr>
        <w:t>地点：</w:t>
      </w:r>
      <w:r>
        <w:rPr>
          <w:rFonts w:hint="eastAsia" w:asciiTheme="minorEastAsia" w:hAnsiTheme="minorEastAsia"/>
          <w:sz w:val="24"/>
          <w:szCs w:val="24"/>
        </w:rPr>
        <w:t>登陆政采云https://www.zcygov.cn/平台后进入“项目采购“应用，在获取文件菜单中选择项目，申请获取采购文件。</w:t>
      </w:r>
    </w:p>
    <w:p>
      <w:pPr>
        <w:spacing w:line="360" w:lineRule="auto"/>
        <w:rPr>
          <w:rFonts w:asciiTheme="minorEastAsia" w:hAnsiTheme="minorEastAsia"/>
          <w:sz w:val="24"/>
          <w:szCs w:val="24"/>
        </w:rPr>
      </w:pPr>
      <w:r>
        <w:rPr>
          <w:rFonts w:asciiTheme="minorEastAsia" w:hAnsiTheme="minorEastAsia"/>
          <w:sz w:val="24"/>
          <w:szCs w:val="24"/>
        </w:rPr>
        <w:t>方式：</w:t>
      </w:r>
      <w:r>
        <w:rPr>
          <w:rFonts w:hint="eastAsia" w:asciiTheme="minorEastAsia" w:hAnsiTheme="minorEastAsia"/>
          <w:sz w:val="24"/>
          <w:szCs w:val="24"/>
        </w:rPr>
        <w:t>供应商须办理CA数字证书，通过CA数字证书登陆政采云平台https://www.zcygov.cn/，进行下载采购文件。</w:t>
      </w:r>
    </w:p>
    <w:p>
      <w:pPr>
        <w:spacing w:line="360" w:lineRule="auto"/>
        <w:rPr>
          <w:rFonts w:asciiTheme="minorEastAsia" w:hAnsiTheme="minorEastAsia"/>
          <w:sz w:val="24"/>
          <w:szCs w:val="24"/>
        </w:rPr>
      </w:pPr>
      <w:r>
        <w:rPr>
          <w:rFonts w:asciiTheme="minorEastAsia" w:hAnsiTheme="minorEastAsia"/>
          <w:sz w:val="24"/>
          <w:szCs w:val="24"/>
        </w:rPr>
        <w:t>售价（元）：</w:t>
      </w:r>
      <w:r>
        <w:rPr>
          <w:rFonts w:hint="eastAsia" w:asciiTheme="minorEastAsia" w:hAnsiTheme="minorEastAsia"/>
          <w:sz w:val="24"/>
          <w:szCs w:val="24"/>
          <w:u w:val="single"/>
        </w:rPr>
        <w:t>0</w:t>
      </w:r>
    </w:p>
    <w:p>
      <w:pPr>
        <w:spacing w:line="360" w:lineRule="auto"/>
        <w:rPr>
          <w:rFonts w:asciiTheme="minorEastAsia" w:hAnsiTheme="minorEastAsia"/>
          <w:sz w:val="24"/>
          <w:szCs w:val="24"/>
        </w:rPr>
      </w:pPr>
      <w:r>
        <w:rPr>
          <w:rFonts w:hint="eastAsia" w:asciiTheme="minorEastAsia" w:hAnsiTheme="minorEastAsia"/>
          <w:sz w:val="24"/>
          <w:szCs w:val="24"/>
        </w:rPr>
        <w:t>四、响应文件提交</w:t>
      </w:r>
    </w:p>
    <w:p>
      <w:pPr>
        <w:spacing w:line="360" w:lineRule="auto"/>
        <w:rPr>
          <w:rFonts w:asciiTheme="minorEastAsia" w:hAnsiTheme="minorEastAsia"/>
          <w:sz w:val="24"/>
          <w:szCs w:val="24"/>
        </w:rPr>
      </w:pPr>
      <w:r>
        <w:rPr>
          <w:rFonts w:asciiTheme="minorEastAsia" w:hAnsiTheme="minorEastAsia"/>
          <w:sz w:val="24"/>
          <w:szCs w:val="24"/>
        </w:rPr>
        <w:t>截止时间：</w:t>
      </w: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7</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5</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日</w:t>
      </w:r>
      <w:r>
        <w:rPr>
          <w:rFonts w:asciiTheme="minorEastAsia" w:hAnsiTheme="minorEastAsia"/>
          <w:sz w:val="24"/>
          <w:szCs w:val="24"/>
          <w:highlight w:val="yellow"/>
          <w:u w:val="single"/>
        </w:rPr>
        <w:t>1</w:t>
      </w:r>
      <w:r>
        <w:rPr>
          <w:rFonts w:hint="eastAsia" w:asciiTheme="minorEastAsia" w:hAnsiTheme="minorEastAsia"/>
          <w:sz w:val="24"/>
          <w:szCs w:val="24"/>
          <w:highlight w:val="yellow"/>
          <w:u w:val="single"/>
          <w:lang w:val="en-US" w:eastAsia="zh-CN"/>
        </w:rPr>
        <w:t>6</w:t>
      </w:r>
      <w:r>
        <w:rPr>
          <w:rFonts w:asciiTheme="minorEastAsia" w:hAnsiTheme="minorEastAsia"/>
          <w:sz w:val="24"/>
          <w:szCs w:val="24"/>
          <w:highlight w:val="yellow"/>
          <w:u w:val="single"/>
        </w:rPr>
        <w:t>:</w:t>
      </w:r>
      <w:r>
        <w:rPr>
          <w:rFonts w:hint="eastAsia" w:asciiTheme="minorEastAsia" w:hAnsiTheme="minorEastAsia"/>
          <w:sz w:val="24"/>
          <w:szCs w:val="24"/>
          <w:highlight w:val="yellow"/>
          <w:u w:val="single"/>
          <w:lang w:val="en-US" w:eastAsia="zh-CN"/>
        </w:rPr>
        <w:t>3</w:t>
      </w:r>
      <w:r>
        <w:rPr>
          <w:rFonts w:asciiTheme="minorEastAsia" w:hAnsiTheme="minorEastAsia"/>
          <w:sz w:val="24"/>
          <w:szCs w:val="24"/>
          <w:highlight w:val="yellow"/>
          <w:u w:val="single"/>
        </w:rPr>
        <w:t>0</w:t>
      </w:r>
      <w:r>
        <w:rPr>
          <w:rFonts w:asciiTheme="minorEastAsia" w:hAnsiTheme="minorEastAsia"/>
          <w:sz w:val="24"/>
          <w:szCs w:val="24"/>
          <w:highlight w:val="yellow"/>
        </w:rPr>
        <w:t>（</w:t>
      </w:r>
      <w:r>
        <w:rPr>
          <w:rFonts w:asciiTheme="minorEastAsia" w:hAnsiTheme="minorEastAsia"/>
          <w:sz w:val="24"/>
          <w:szCs w:val="24"/>
        </w:rPr>
        <w:t>北京时间）</w:t>
      </w:r>
    </w:p>
    <w:p>
      <w:pPr>
        <w:spacing w:line="360" w:lineRule="auto"/>
        <w:rPr>
          <w:rFonts w:asciiTheme="minorEastAsia" w:hAnsiTheme="minorEastAsia"/>
          <w:sz w:val="24"/>
          <w:szCs w:val="24"/>
        </w:rPr>
      </w:pPr>
      <w:r>
        <w:rPr>
          <w:rFonts w:asciiTheme="minorEastAsia" w:hAnsiTheme="minorEastAsia"/>
          <w:sz w:val="24"/>
          <w:szCs w:val="24"/>
        </w:rPr>
        <w:t>地点：将响应文件上传至政采云平台https://www.zcygov.cn/对应位置（逾期未上传的或不符合规定的响应文件将被拒绝接收）。</w:t>
      </w:r>
    </w:p>
    <w:p>
      <w:pPr>
        <w:pStyle w:val="19"/>
        <w:rPr>
          <w:rFonts w:asciiTheme="minorEastAsia" w:hAnsiTheme="minorEastAsia" w:eastAsiaTheme="minorEastAsia" w:cstheme="minorBidi"/>
          <w:kern w:val="2"/>
          <w:szCs w:val="24"/>
        </w:rPr>
      </w:pPr>
      <w:r>
        <w:rPr>
          <w:rFonts w:hint="eastAsia" w:asciiTheme="minorEastAsia" w:hAnsiTheme="minorEastAsia" w:eastAsiaTheme="minorEastAsia" w:cstheme="minorBidi"/>
          <w:kern w:val="2"/>
          <w:szCs w:val="24"/>
        </w:rPr>
        <w:t>五、</w:t>
      </w:r>
      <w:r>
        <w:rPr>
          <w:rFonts w:asciiTheme="minorEastAsia" w:hAnsiTheme="minorEastAsia" w:eastAsiaTheme="minorEastAsia" w:cstheme="minorBidi"/>
          <w:kern w:val="2"/>
          <w:szCs w:val="24"/>
        </w:rPr>
        <w:t>响应文件开启</w:t>
      </w:r>
    </w:p>
    <w:p>
      <w:pPr>
        <w:spacing w:line="360" w:lineRule="auto"/>
        <w:rPr>
          <w:rFonts w:asciiTheme="minorEastAsia" w:hAnsiTheme="minorEastAsia"/>
          <w:sz w:val="24"/>
          <w:szCs w:val="24"/>
        </w:rPr>
      </w:pPr>
      <w:r>
        <w:rPr>
          <w:rFonts w:asciiTheme="minorEastAsia" w:hAnsiTheme="minorEastAsia"/>
          <w:sz w:val="24"/>
          <w:szCs w:val="24"/>
        </w:rPr>
        <w:t>开标时间：</w:t>
      </w: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7</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 xml:space="preserve">5 </w:t>
      </w:r>
      <w:r>
        <w:rPr>
          <w:rFonts w:asciiTheme="minorEastAsia" w:hAnsiTheme="minorEastAsia"/>
          <w:sz w:val="24"/>
          <w:szCs w:val="24"/>
          <w:highlight w:val="yellow"/>
        </w:rPr>
        <w:t>日</w:t>
      </w:r>
      <w:r>
        <w:rPr>
          <w:rFonts w:asciiTheme="minorEastAsia" w:hAnsiTheme="minorEastAsia"/>
          <w:sz w:val="24"/>
          <w:szCs w:val="24"/>
          <w:highlight w:val="yellow"/>
          <w:u w:val="single"/>
        </w:rPr>
        <w:t>1</w:t>
      </w:r>
      <w:r>
        <w:rPr>
          <w:rFonts w:hint="eastAsia" w:asciiTheme="minorEastAsia" w:hAnsiTheme="minorEastAsia"/>
          <w:sz w:val="24"/>
          <w:szCs w:val="24"/>
          <w:highlight w:val="yellow"/>
          <w:u w:val="single"/>
          <w:lang w:val="en-US" w:eastAsia="zh-CN"/>
        </w:rPr>
        <w:t>6</w:t>
      </w:r>
      <w:r>
        <w:rPr>
          <w:rFonts w:asciiTheme="minorEastAsia" w:hAnsiTheme="minorEastAsia"/>
          <w:sz w:val="24"/>
          <w:szCs w:val="24"/>
          <w:highlight w:val="yellow"/>
          <w:u w:val="single"/>
        </w:rPr>
        <w:t>:</w:t>
      </w:r>
      <w:r>
        <w:rPr>
          <w:rFonts w:hint="eastAsia" w:asciiTheme="minorEastAsia" w:hAnsiTheme="minorEastAsia"/>
          <w:sz w:val="24"/>
          <w:szCs w:val="24"/>
          <w:highlight w:val="yellow"/>
          <w:u w:val="single"/>
          <w:lang w:val="en-US" w:eastAsia="zh-CN"/>
        </w:rPr>
        <w:t>3</w:t>
      </w:r>
      <w:r>
        <w:rPr>
          <w:rFonts w:asciiTheme="minorEastAsia" w:hAnsiTheme="minorEastAsia"/>
          <w:sz w:val="24"/>
          <w:szCs w:val="24"/>
          <w:highlight w:val="yellow"/>
          <w:u w:val="single"/>
        </w:rPr>
        <w:t>0</w:t>
      </w:r>
      <w:r>
        <w:rPr>
          <w:rFonts w:asciiTheme="minorEastAsia" w:hAnsiTheme="minorEastAsia"/>
          <w:sz w:val="24"/>
          <w:szCs w:val="24"/>
        </w:rPr>
        <w:t>（北京时间）</w:t>
      </w:r>
    </w:p>
    <w:p>
      <w:pPr>
        <w:spacing w:line="360" w:lineRule="auto"/>
        <w:rPr>
          <w:rFonts w:asciiTheme="minorEastAsia" w:hAnsiTheme="minorEastAsia"/>
          <w:sz w:val="24"/>
          <w:szCs w:val="24"/>
        </w:rPr>
      </w:pPr>
      <w:r>
        <w:rPr>
          <w:rFonts w:asciiTheme="minorEastAsia" w:hAnsiTheme="minorEastAsia"/>
          <w:sz w:val="24"/>
          <w:szCs w:val="24"/>
        </w:rPr>
        <w:t>地点：</w:t>
      </w:r>
      <w:r>
        <w:rPr>
          <w:rFonts w:hint="eastAsia" w:asciiTheme="minorEastAsia" w:hAnsiTheme="minorEastAsia"/>
          <w:sz w:val="24"/>
          <w:szCs w:val="24"/>
        </w:rPr>
        <w:t>政采云网上不见面开标系统</w:t>
      </w:r>
      <w:r>
        <w:rPr>
          <w:rFonts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六、公告期限</w:t>
      </w:r>
    </w:p>
    <w:p>
      <w:pPr>
        <w:spacing w:line="360" w:lineRule="auto"/>
        <w:rPr>
          <w:rFonts w:asciiTheme="minorEastAsia" w:hAnsiTheme="minorEastAsia"/>
          <w:sz w:val="24"/>
          <w:szCs w:val="24"/>
        </w:rPr>
      </w:pPr>
      <w:r>
        <w:rPr>
          <w:rFonts w:asciiTheme="minorEastAsia" w:hAnsiTheme="minorEastAsia"/>
          <w:sz w:val="24"/>
          <w:szCs w:val="24"/>
        </w:rPr>
        <w:t>自本公告发布之日起</w:t>
      </w:r>
      <w:r>
        <w:rPr>
          <w:rFonts w:hint="eastAsia" w:asciiTheme="minorEastAsia" w:hAnsiTheme="minorEastAsia"/>
          <w:sz w:val="24"/>
          <w:szCs w:val="24"/>
          <w:u w:val="single"/>
        </w:rPr>
        <w:t>3</w:t>
      </w:r>
      <w:r>
        <w:rPr>
          <w:rFonts w:asciiTheme="minorEastAsia" w:hAnsiTheme="minorEastAsia"/>
          <w:sz w:val="24"/>
          <w:szCs w:val="24"/>
        </w:rPr>
        <w:t>个工作日。</w:t>
      </w:r>
    </w:p>
    <w:p>
      <w:pPr>
        <w:rPr>
          <w:rFonts w:asciiTheme="minorEastAsia" w:hAnsiTheme="minorEastAsia"/>
          <w:sz w:val="24"/>
          <w:szCs w:val="24"/>
        </w:rPr>
      </w:pPr>
      <w:r>
        <w:rPr>
          <w:rFonts w:hint="eastAsia" w:asciiTheme="minorEastAsia" w:hAnsiTheme="minorEastAsia"/>
          <w:sz w:val="24"/>
          <w:szCs w:val="24"/>
        </w:rPr>
        <w:t>七、其他补充事宜</w:t>
      </w:r>
    </w:p>
    <w:p>
      <w:pPr>
        <w:pStyle w:val="42"/>
        <w:spacing w:before="20" w:beforeAutospacing="0" w:after="20" w:afterAutospacing="0"/>
        <w:rPr>
          <w:rFonts w:asciiTheme="minorEastAsia" w:hAnsiTheme="minorEastAsia" w:eastAsiaTheme="minorEastAsia" w:cstheme="minorBidi"/>
          <w:kern w:val="2"/>
        </w:rPr>
      </w:pPr>
      <w:r>
        <w:rPr>
          <w:rFonts w:hint="eastAsia" w:asciiTheme="minorEastAsia" w:hAnsiTheme="minorEastAsia" w:eastAsiaTheme="minorEastAsia" w:cstheme="minorBidi"/>
          <w:kern w:val="2"/>
        </w:rPr>
        <w:t>（1）本项目采用全流程不见面电子开评标，供应商需要使用CA加密设备，供应商可通过新疆数字证书认证中心官网（https://www.xjca.com.cn/）或下载“新疆政务通”APP自行进行申领。</w:t>
      </w:r>
    </w:p>
    <w:p>
      <w:pPr>
        <w:pStyle w:val="42"/>
        <w:spacing w:before="20" w:beforeAutospacing="0" w:after="20" w:afterAutospacing="0"/>
        <w:rPr>
          <w:rFonts w:asciiTheme="minorEastAsia" w:hAnsiTheme="minorEastAsia" w:eastAsiaTheme="minorEastAsia" w:cstheme="minorBidi"/>
          <w:kern w:val="2"/>
        </w:rPr>
      </w:pPr>
      <w:r>
        <w:rPr>
          <w:rFonts w:hint="eastAsia" w:asciiTheme="minorEastAsia" w:hAnsiTheme="minorEastAsia" w:eastAsiaTheme="minorEastAsia" w:cstheme="minorBidi"/>
          <w:kern w:val="2"/>
        </w:rPr>
        <w:t>（2）本项目实行网上投标，采用加密电子投标响应文件(供应商须使用CA加密设备通过政采云电子投标客户端制作投标响应文件)。若供应商参与投标，自行承担投标一切费用。</w:t>
      </w:r>
    </w:p>
    <w:p>
      <w:pPr>
        <w:pStyle w:val="42"/>
        <w:spacing w:before="20" w:beforeAutospacing="0" w:after="20" w:afterAutospacing="0"/>
        <w:rPr>
          <w:rFonts w:asciiTheme="minorEastAsia" w:hAnsiTheme="minorEastAsia" w:eastAsiaTheme="minorEastAsia" w:cstheme="minorBidi"/>
          <w:kern w:val="2"/>
        </w:rPr>
      </w:pPr>
      <w:r>
        <w:rPr>
          <w:rFonts w:hint="eastAsia" w:asciiTheme="minorEastAsia" w:hAnsiTheme="minorEastAsia" w:eastAsiaTheme="minorEastAsia" w:cstheme="minorBidi"/>
          <w:kern w:val="2"/>
        </w:rPr>
        <w:t>（3）各</w:t>
      </w:r>
      <w:r>
        <w:rPr>
          <w:rFonts w:hint="eastAsia" w:cs="Arial"/>
        </w:rPr>
        <w:t>供应商</w:t>
      </w:r>
      <w:r>
        <w:rPr>
          <w:rFonts w:hint="eastAsia" w:asciiTheme="minorEastAsia" w:hAnsiTheme="minorEastAsia" w:eastAsiaTheme="minorEastAsia" w:cstheme="minorBidi"/>
          <w:kern w:val="2"/>
        </w:rPr>
        <w:t>在开标前应确保成为新疆政府采购网正式注册入库供应商，并完成CA数字证书申领。因未注册入库、未办理CA数字证书等原因造成无法投标或投标失败等后果由供应商自行承担。</w:t>
      </w:r>
    </w:p>
    <w:p>
      <w:pPr>
        <w:pStyle w:val="42"/>
        <w:spacing w:before="20" w:beforeAutospacing="0" w:after="20" w:afterAutospacing="0"/>
        <w:rPr>
          <w:rFonts w:asciiTheme="minorEastAsia" w:hAnsiTheme="minorEastAsia" w:eastAsiaTheme="minorEastAsia" w:cstheme="minorBidi"/>
          <w:kern w:val="2"/>
        </w:rPr>
      </w:pPr>
      <w:r>
        <w:rPr>
          <w:rFonts w:hint="eastAsia" w:asciiTheme="minorEastAsia" w:hAnsiTheme="minorEastAsia" w:eastAsiaTheme="minorEastAsia" w:cstheme="minorBidi"/>
          <w:kern w:val="2"/>
        </w:rPr>
        <w:t>（4）</w:t>
      </w:r>
      <w:r>
        <w:rPr>
          <w:rFonts w:hint="eastAsia" w:cs="Arial"/>
        </w:rPr>
        <w:t>供应商</w:t>
      </w:r>
      <w:r>
        <w:rPr>
          <w:rFonts w:hint="eastAsia" w:asciiTheme="minorEastAsia" w:hAnsiTheme="minorEastAsia" w:eastAsiaTheme="minorEastAsia" w:cstheme="minorBidi"/>
          <w:kern w:val="2"/>
        </w:rPr>
        <w:t>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pStyle w:val="42"/>
        <w:spacing w:before="20" w:beforeAutospacing="0" w:after="20" w:afterAutospacing="0"/>
        <w:rPr>
          <w:rFonts w:asciiTheme="minorEastAsia" w:hAnsiTheme="minorEastAsia" w:eastAsiaTheme="minorEastAsia" w:cstheme="minorBidi"/>
          <w:kern w:val="2"/>
        </w:rPr>
      </w:pPr>
      <w:r>
        <w:rPr>
          <w:rFonts w:hint="eastAsia" w:asciiTheme="minorEastAsia" w:hAnsiTheme="minorEastAsia" w:eastAsiaTheme="minorEastAsia" w:cstheme="minorBidi"/>
          <w:kern w:val="2"/>
        </w:rPr>
        <w:t>（5）</w:t>
      </w:r>
      <w:r>
        <w:rPr>
          <w:rFonts w:hint="eastAsia" w:cs="Arial"/>
        </w:rPr>
        <w:t>供应商</w:t>
      </w:r>
      <w:r>
        <w:rPr>
          <w:rFonts w:hint="eastAsia" w:asciiTheme="minorEastAsia" w:hAnsiTheme="minorEastAsia" w:eastAsiaTheme="minorEastAsia" w:cstheme="minorBidi"/>
          <w:kern w:val="2"/>
        </w:rPr>
        <w:t>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rPr>
          <w:rFonts w:asciiTheme="minorEastAsia" w:hAnsiTheme="minorEastAsia"/>
          <w:sz w:val="24"/>
          <w:szCs w:val="24"/>
        </w:rPr>
      </w:pPr>
      <w:r>
        <w:rPr>
          <w:rFonts w:hint="eastAsia" w:asciiTheme="minorEastAsia" w:hAnsiTheme="minorEastAsia"/>
          <w:sz w:val="24"/>
          <w:szCs w:val="24"/>
        </w:rPr>
        <w:t>（6）</w:t>
      </w:r>
      <w:r>
        <w:rPr>
          <w:rFonts w:hint="eastAsia" w:ascii="宋体" w:hAnsi="宋体" w:cs="Arial"/>
          <w:kern w:val="0"/>
          <w:sz w:val="24"/>
          <w:szCs w:val="24"/>
        </w:rPr>
        <w:t>供应商</w:t>
      </w:r>
      <w:r>
        <w:rPr>
          <w:rFonts w:hint="eastAsia" w:asciiTheme="minorEastAsia" w:hAnsiTheme="minorEastAsia"/>
          <w:sz w:val="24"/>
          <w:szCs w:val="24"/>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widowControl/>
        <w:jc w:val="left"/>
        <w:rPr>
          <w:rFonts w:cs="宋体" w:asciiTheme="minorEastAsia" w:hAnsiTheme="minorEastAsia"/>
          <w:b/>
          <w:kern w:val="0"/>
          <w:szCs w:val="24"/>
        </w:rPr>
      </w:pPr>
      <w:r>
        <w:rPr>
          <w:rFonts w:hint="eastAsia" w:cs="宋体" w:asciiTheme="minorEastAsia" w:hAnsiTheme="minorEastAsia"/>
          <w:b/>
          <w:kern w:val="0"/>
          <w:szCs w:val="24"/>
        </w:rPr>
        <w:t xml:space="preserve">特别提示： </w:t>
      </w:r>
    </w:p>
    <w:p>
      <w:pPr>
        <w:widowControl/>
        <w:jc w:val="left"/>
        <w:rPr>
          <w:rFonts w:cs="宋体" w:asciiTheme="minorEastAsia" w:hAnsiTheme="minorEastAsia"/>
          <w:b/>
          <w:kern w:val="0"/>
          <w:szCs w:val="24"/>
        </w:rPr>
      </w:pPr>
      <w:r>
        <w:rPr>
          <w:rFonts w:hint="eastAsia" w:cs="宋体" w:asciiTheme="minorEastAsia" w:hAnsiTheme="minorEastAsia"/>
          <w:b/>
          <w:kern w:val="0"/>
          <w:szCs w:val="24"/>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jc w:val="left"/>
        <w:rPr>
          <w:rFonts w:cs="宋体" w:asciiTheme="minorEastAsia" w:hAnsiTheme="minorEastAsia"/>
          <w:b/>
          <w:kern w:val="0"/>
          <w:szCs w:val="24"/>
        </w:rPr>
      </w:pPr>
      <w:r>
        <w:rPr>
          <w:rFonts w:hint="eastAsia" w:cs="宋体" w:asciiTheme="minorEastAsia" w:hAnsiTheme="minorEastAsia"/>
          <w:b/>
          <w:kern w:val="0"/>
          <w:szCs w:val="24"/>
        </w:rPr>
        <w:t xml:space="preserve">2、对于未预留份额专门面向中小企业的采购项目，以及预留份额项目中的非预留部分采购包，采购 </w:t>
      </w:r>
    </w:p>
    <w:p>
      <w:pPr>
        <w:widowControl/>
        <w:jc w:val="left"/>
        <w:rPr>
          <w:rFonts w:cs="宋体" w:asciiTheme="minorEastAsia" w:hAnsiTheme="minorEastAsia"/>
          <w:b/>
          <w:kern w:val="0"/>
          <w:szCs w:val="24"/>
        </w:rPr>
      </w:pPr>
      <w:r>
        <w:rPr>
          <w:rFonts w:hint="eastAsia" w:cs="宋体" w:asciiTheme="minorEastAsia" w:hAnsiTheme="minorEastAsia"/>
          <w:b/>
          <w:kern w:val="0"/>
          <w:szCs w:val="24"/>
        </w:rPr>
        <w:t xml:space="preserve">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widowControl/>
        <w:jc w:val="left"/>
        <w:rPr>
          <w:rFonts w:asciiTheme="minorEastAsia" w:hAnsiTheme="minorEastAsia"/>
          <w:b/>
        </w:rPr>
      </w:pPr>
      <w:r>
        <w:rPr>
          <w:rFonts w:hint="eastAsia" w:cs="宋体" w:asciiTheme="minorEastAsia" w:hAnsiTheme="minorEastAsia"/>
          <w:b/>
          <w:kern w:val="0"/>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rPr>
          <w:rFonts w:asciiTheme="minorEastAsia" w:hAnsiTheme="minorEastAsia"/>
          <w:sz w:val="24"/>
          <w:szCs w:val="24"/>
        </w:rPr>
      </w:pPr>
      <w:r>
        <w:rPr>
          <w:rFonts w:hint="eastAsia" w:asciiTheme="minorEastAsia" w:hAnsiTheme="minorEastAsia"/>
          <w:sz w:val="24"/>
          <w:szCs w:val="24"/>
        </w:rPr>
        <w:t>八、对本次采购提出询问，请按以下方式联系</w:t>
      </w:r>
    </w:p>
    <w:p>
      <w:pPr>
        <w:spacing w:line="360" w:lineRule="auto"/>
        <w:rPr>
          <w:rFonts w:asciiTheme="minorEastAsia" w:hAnsiTheme="minorEastAsia"/>
          <w:sz w:val="24"/>
          <w:szCs w:val="24"/>
        </w:rPr>
      </w:pPr>
      <w:r>
        <w:rPr>
          <w:rFonts w:asciiTheme="minorEastAsia" w:hAnsiTheme="minorEastAsia"/>
          <w:sz w:val="24"/>
          <w:szCs w:val="24"/>
        </w:rPr>
        <w:t>1.采购人信息</w:t>
      </w:r>
    </w:p>
    <w:p>
      <w:pPr>
        <w:spacing w:line="360" w:lineRule="auto"/>
        <w:rPr>
          <w:rFonts w:hint="eastAsia" w:asciiTheme="minorEastAsia" w:hAnsiTheme="minorEastAsia" w:eastAsiaTheme="minorEastAsia"/>
          <w:sz w:val="24"/>
          <w:szCs w:val="24"/>
          <w:lang w:eastAsia="zh-CN"/>
        </w:rPr>
      </w:pPr>
      <w:r>
        <w:rPr>
          <w:rFonts w:asciiTheme="minorEastAsia" w:hAnsiTheme="minorEastAsia"/>
          <w:sz w:val="24"/>
          <w:szCs w:val="24"/>
        </w:rPr>
        <w:t>名称：</w:t>
      </w:r>
      <w:r>
        <w:rPr>
          <w:rFonts w:hint="eastAsia" w:ascii="宋体" w:hAnsi="宋体"/>
          <w:sz w:val="24"/>
          <w:szCs w:val="24"/>
          <w:lang w:eastAsia="zh-CN"/>
        </w:rPr>
        <w:t>伊宁市解放路街道社区卫生服务中心</w:t>
      </w:r>
    </w:p>
    <w:p>
      <w:pPr>
        <w:spacing w:line="360" w:lineRule="auto"/>
        <w:rPr>
          <w:rFonts w:hint="eastAsia" w:asciiTheme="minorEastAsia" w:hAnsiTheme="minorEastAsia" w:eastAsiaTheme="minorEastAsia"/>
          <w:sz w:val="24"/>
          <w:szCs w:val="24"/>
          <w:u w:val="none"/>
          <w:lang w:eastAsia="zh-CN"/>
        </w:rPr>
      </w:pPr>
      <w:r>
        <w:rPr>
          <w:rFonts w:asciiTheme="minorEastAsia" w:hAnsiTheme="minorEastAsia"/>
          <w:sz w:val="24"/>
          <w:szCs w:val="24"/>
          <w:u w:val="none"/>
        </w:rPr>
        <w:t>地址：</w:t>
      </w:r>
      <w:r>
        <w:rPr>
          <w:rFonts w:hint="eastAsia" w:ascii="宋体" w:hAnsi="宋体"/>
          <w:sz w:val="24"/>
          <w:szCs w:val="24"/>
          <w:u w:val="none"/>
          <w:lang w:eastAsia="zh-CN"/>
        </w:rPr>
        <w:t>伊宁市解放路街道社区卫生服务中心</w:t>
      </w:r>
    </w:p>
    <w:p>
      <w:pPr>
        <w:spacing w:line="360" w:lineRule="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联系人：</w:t>
      </w:r>
      <w:r>
        <w:rPr>
          <w:rFonts w:hint="eastAsia" w:asciiTheme="minorEastAsia" w:hAnsiTheme="minorEastAsia"/>
          <w:sz w:val="24"/>
          <w:szCs w:val="24"/>
          <w:u w:val="none"/>
          <w:lang w:eastAsia="zh-CN"/>
        </w:rPr>
        <w:t>刘主任</w:t>
      </w:r>
      <w:r>
        <w:rPr>
          <w:rFonts w:hint="eastAsia" w:asciiTheme="minorEastAsia" w:hAnsiTheme="minorEastAsia"/>
          <w:sz w:val="24"/>
          <w:szCs w:val="24"/>
          <w:u w:val="none"/>
          <w:lang w:val="en-US" w:eastAsia="zh-CN"/>
        </w:rPr>
        <w:t xml:space="preserve">        </w:t>
      </w:r>
      <w:r>
        <w:rPr>
          <w:rFonts w:hint="eastAsia" w:ascii="宋体" w:hAnsi="宋体"/>
          <w:sz w:val="24"/>
          <w:szCs w:val="24"/>
          <w:u w:val="none"/>
          <w:lang w:val="en-US" w:eastAsia="zh-CN"/>
        </w:rPr>
        <w:t xml:space="preserve">  </w:t>
      </w:r>
      <w:r>
        <w:rPr>
          <w:rFonts w:hint="eastAsia" w:asciiTheme="minorEastAsia" w:hAnsiTheme="minorEastAsia"/>
          <w:sz w:val="24"/>
          <w:u w:val="none"/>
        </w:rPr>
        <w:t xml:space="preserve">   </w:t>
      </w:r>
      <w:r>
        <w:rPr>
          <w:rFonts w:asciiTheme="minorEastAsia" w:hAnsiTheme="minorEastAsia"/>
          <w:sz w:val="24"/>
          <w:szCs w:val="24"/>
          <w:u w:val="none"/>
        </w:rPr>
        <w:t>联系方式：</w:t>
      </w:r>
      <w:r>
        <w:rPr>
          <w:rFonts w:hint="eastAsia" w:asciiTheme="minorEastAsia" w:hAnsiTheme="minorEastAsia"/>
          <w:sz w:val="24"/>
          <w:szCs w:val="24"/>
          <w:u w:val="none"/>
          <w:lang w:val="en-US" w:eastAsia="zh-CN"/>
        </w:rPr>
        <w:t>13319730392</w:t>
      </w:r>
      <w:r>
        <w:rPr>
          <w:rFonts w:hint="eastAsia" w:ascii="宋体" w:hAnsi="宋体"/>
          <w:sz w:val="24"/>
          <w:szCs w:val="24"/>
          <w:u w:val="none"/>
          <w:lang w:val="en-US" w:eastAsia="zh-CN"/>
        </w:rPr>
        <w:t xml:space="preserve"> </w:t>
      </w:r>
    </w:p>
    <w:p>
      <w:pPr>
        <w:spacing w:line="360" w:lineRule="auto"/>
        <w:rPr>
          <w:rFonts w:asciiTheme="minorEastAsia" w:hAnsiTheme="minorEastAsia"/>
          <w:sz w:val="24"/>
          <w:szCs w:val="24"/>
          <w:u w:val="none"/>
        </w:rPr>
      </w:pPr>
      <w:r>
        <w:rPr>
          <w:rFonts w:asciiTheme="minorEastAsia" w:hAnsiTheme="minorEastAsia"/>
          <w:sz w:val="24"/>
          <w:szCs w:val="24"/>
          <w:u w:val="none"/>
        </w:rPr>
        <w:t>2.采购代理机构信息</w:t>
      </w:r>
    </w:p>
    <w:p>
      <w:pPr>
        <w:spacing w:line="360" w:lineRule="auto"/>
        <w:rPr>
          <w:rFonts w:hint="eastAsia" w:asciiTheme="minorEastAsia" w:hAnsiTheme="minorEastAsia" w:eastAsiaTheme="minorEastAsia"/>
          <w:sz w:val="24"/>
          <w:szCs w:val="24"/>
          <w:u w:val="none"/>
          <w:lang w:eastAsia="zh-CN"/>
        </w:rPr>
      </w:pPr>
      <w:r>
        <w:rPr>
          <w:rFonts w:asciiTheme="minorEastAsia" w:hAnsiTheme="minorEastAsia"/>
          <w:sz w:val="24"/>
          <w:szCs w:val="24"/>
          <w:u w:val="none"/>
        </w:rPr>
        <w:t>名称：</w:t>
      </w:r>
      <w:r>
        <w:rPr>
          <w:rFonts w:hint="eastAsia" w:asciiTheme="minorEastAsia" w:hAnsiTheme="minorEastAsia"/>
          <w:sz w:val="24"/>
          <w:szCs w:val="24"/>
          <w:u w:val="none"/>
          <w:lang w:eastAsia="zh-CN"/>
        </w:rPr>
        <w:t>新疆泰旭工程管理咨询有限责任公司</w:t>
      </w:r>
    </w:p>
    <w:p>
      <w:pPr>
        <w:spacing w:line="360" w:lineRule="auto"/>
        <w:rPr>
          <w:rFonts w:hint="default" w:asciiTheme="minorEastAsia" w:hAnsiTheme="minorEastAsia" w:eastAsiaTheme="minorEastAsia"/>
          <w:sz w:val="24"/>
          <w:szCs w:val="24"/>
          <w:u w:val="none"/>
          <w:lang w:val="en-US" w:eastAsia="zh-CN"/>
        </w:rPr>
      </w:pPr>
      <w:r>
        <w:rPr>
          <w:rFonts w:asciiTheme="minorEastAsia" w:hAnsiTheme="minorEastAsia"/>
          <w:sz w:val="24"/>
          <w:szCs w:val="24"/>
          <w:u w:val="none"/>
        </w:rPr>
        <w:t>地址：</w:t>
      </w:r>
      <w:r>
        <w:rPr>
          <w:rFonts w:hint="eastAsia" w:asciiTheme="minorEastAsia" w:hAnsiTheme="minorEastAsia"/>
          <w:sz w:val="24"/>
          <w:szCs w:val="24"/>
          <w:u w:val="none"/>
          <w:lang w:val="en-US" w:eastAsia="zh-CN"/>
        </w:rPr>
        <w:t>伊宁市金茂新天地B座1501室</w:t>
      </w:r>
    </w:p>
    <w:p>
      <w:pPr>
        <w:spacing w:line="360" w:lineRule="auto"/>
        <w:rPr>
          <w:rFonts w:asciiTheme="minorEastAsia" w:hAnsiTheme="minorEastAsia"/>
          <w:sz w:val="24"/>
          <w:szCs w:val="24"/>
          <w:u w:val="none"/>
        </w:rPr>
      </w:pPr>
      <w:r>
        <w:rPr>
          <w:rFonts w:asciiTheme="minorEastAsia" w:hAnsiTheme="minorEastAsia"/>
          <w:sz w:val="24"/>
          <w:szCs w:val="24"/>
          <w:u w:val="none"/>
        </w:rPr>
        <w:t>项目联系人：</w:t>
      </w:r>
      <w:r>
        <w:rPr>
          <w:rFonts w:hint="eastAsia" w:asciiTheme="minorEastAsia" w:hAnsiTheme="minorEastAsia"/>
          <w:sz w:val="24"/>
          <w:szCs w:val="24"/>
          <w:u w:val="none"/>
        </w:rPr>
        <w:t xml:space="preserve"> </w:t>
      </w:r>
      <w:r>
        <w:rPr>
          <w:rFonts w:hint="eastAsia" w:asciiTheme="minorEastAsia" w:hAnsiTheme="minorEastAsia"/>
          <w:sz w:val="24"/>
          <w:szCs w:val="24"/>
          <w:u w:val="none"/>
          <w:lang w:eastAsia="zh-CN"/>
        </w:rPr>
        <w:t>罗敏娜</w:t>
      </w:r>
      <w:r>
        <w:rPr>
          <w:rFonts w:hint="eastAsia" w:asciiTheme="minorEastAsia" w:hAnsiTheme="minorEastAsia"/>
          <w:sz w:val="24"/>
          <w:szCs w:val="24"/>
          <w:u w:val="none"/>
          <w:lang w:val="en-US" w:eastAsia="zh-CN"/>
        </w:rPr>
        <w:t xml:space="preserve">       </w:t>
      </w:r>
      <w:r>
        <w:rPr>
          <w:rFonts w:hint="eastAsia" w:asciiTheme="minorEastAsia" w:hAnsiTheme="minorEastAsia"/>
          <w:sz w:val="24"/>
          <w:szCs w:val="24"/>
          <w:u w:val="none"/>
        </w:rPr>
        <w:t xml:space="preserve"> </w:t>
      </w:r>
      <w:r>
        <w:rPr>
          <w:rFonts w:asciiTheme="minorEastAsia" w:hAnsiTheme="minorEastAsia"/>
          <w:sz w:val="24"/>
          <w:szCs w:val="24"/>
          <w:u w:val="none"/>
        </w:rPr>
        <w:t>联系方式：</w:t>
      </w:r>
      <w:r>
        <w:rPr>
          <w:rFonts w:hint="eastAsia" w:asciiTheme="minorEastAsia" w:hAnsiTheme="minorEastAsia"/>
          <w:sz w:val="24"/>
          <w:szCs w:val="24"/>
          <w:u w:val="none"/>
        </w:rPr>
        <w:t xml:space="preserve"> </w:t>
      </w:r>
      <w:r>
        <w:rPr>
          <w:rFonts w:hint="eastAsia" w:asciiTheme="minorEastAsia" w:hAnsiTheme="minorEastAsia"/>
          <w:sz w:val="24"/>
          <w:szCs w:val="24"/>
          <w:u w:val="none"/>
          <w:lang w:eastAsia="zh-CN"/>
        </w:rPr>
        <w:t>13519989499</w:t>
      </w:r>
      <w:r>
        <w:rPr>
          <w:rFonts w:hint="eastAsia" w:asciiTheme="minorEastAsia" w:hAnsiTheme="minorEastAsia"/>
          <w:sz w:val="24"/>
          <w:szCs w:val="24"/>
          <w:u w:val="none"/>
        </w:rPr>
        <w:t xml:space="preserve"> </w:t>
      </w:r>
    </w:p>
    <w:p>
      <w:pPr>
        <w:spacing w:line="360" w:lineRule="auto"/>
        <w:rPr>
          <w:rFonts w:hint="default" w:asciiTheme="minorEastAsia" w:hAnsiTheme="minorEastAsia" w:eastAsiaTheme="minorEastAsia"/>
          <w:sz w:val="24"/>
          <w:szCs w:val="24"/>
          <w:u w:val="none"/>
          <w:lang w:val="en-US" w:eastAsia="zh-CN"/>
        </w:rPr>
      </w:pPr>
      <w:r>
        <w:rPr>
          <w:rFonts w:hint="eastAsia" w:asciiTheme="minorEastAsia" w:hAnsiTheme="minorEastAsia"/>
          <w:sz w:val="24"/>
          <w:szCs w:val="24"/>
          <w:u w:val="none"/>
        </w:rPr>
        <w:t>3.财政监督电话：</w:t>
      </w:r>
      <w:r>
        <w:rPr>
          <w:rFonts w:hint="eastAsia" w:ascii="宋体" w:hAnsi="宋体"/>
          <w:sz w:val="24"/>
          <w:szCs w:val="24"/>
          <w:u w:val="none"/>
          <w:lang w:val="en-US" w:eastAsia="zh-CN"/>
        </w:rPr>
        <w:t xml:space="preserve">        </w:t>
      </w:r>
    </w:p>
    <w:p>
      <w:pPr>
        <w:spacing w:line="360" w:lineRule="auto"/>
        <w:jc w:val="right"/>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新疆泰旭工程管理咨询有限责任公司</w:t>
      </w:r>
    </w:p>
    <w:p>
      <w:pPr>
        <w:spacing w:line="360" w:lineRule="auto"/>
        <w:jc w:val="right"/>
        <w:rPr>
          <w:rFonts w:cs="宋体" w:asciiTheme="minorEastAsia" w:hAnsiTheme="minorEastAsia"/>
          <w:b/>
          <w:sz w:val="24"/>
          <w:szCs w:val="24"/>
        </w:rPr>
      </w:pP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6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27</w:t>
      </w:r>
      <w:r>
        <w:rPr>
          <w:rFonts w:asciiTheme="minorEastAsia" w:hAnsiTheme="minorEastAsia"/>
          <w:sz w:val="24"/>
          <w:szCs w:val="24"/>
          <w:highlight w:val="yellow"/>
        </w:rPr>
        <w:t>日</w:t>
      </w:r>
      <w:r>
        <w:rPr>
          <w:rFonts w:hint="eastAsia" w:cs="宋体" w:asciiTheme="minorEastAsia" w:hAnsiTheme="minorEastAsia"/>
          <w:b/>
          <w:sz w:val="24"/>
          <w:szCs w:val="24"/>
        </w:rPr>
        <w:br w:type="page"/>
      </w:r>
    </w:p>
    <w:p>
      <w:pPr>
        <w:spacing w:line="440" w:lineRule="exact"/>
        <w:jc w:val="center"/>
        <w:outlineLvl w:val="0"/>
        <w:rPr>
          <w:rFonts w:cs="宋体" w:asciiTheme="minorEastAsia" w:hAnsiTheme="minorEastAsia"/>
          <w:b/>
          <w:sz w:val="24"/>
          <w:szCs w:val="24"/>
        </w:rPr>
      </w:pPr>
      <w:bookmarkStart w:id="1" w:name="_Toc136609687"/>
      <w:r>
        <w:rPr>
          <w:rFonts w:hint="eastAsia" w:cs="宋体" w:asciiTheme="minorEastAsia" w:hAnsiTheme="minorEastAsia"/>
          <w:b/>
          <w:sz w:val="24"/>
          <w:szCs w:val="24"/>
        </w:rPr>
        <w:t>供应商须知前附表</w:t>
      </w:r>
      <w:bookmarkEnd w:id="1"/>
    </w:p>
    <w:tbl>
      <w:tblPr>
        <w:tblStyle w:val="49"/>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97"/>
        <w:gridCol w:w="1410"/>
        <w:gridCol w:w="7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cs="Times New Roman" w:asciiTheme="minorEastAsia" w:hAnsiTheme="minorEastAsia"/>
                <w:b/>
                <w:kern w:val="0"/>
                <w:sz w:val="24"/>
                <w:szCs w:val="24"/>
              </w:rPr>
            </w:pPr>
            <w:r>
              <w:rPr>
                <w:rFonts w:hint="eastAsia" w:cs="Times New Roman" w:asciiTheme="minorEastAsia" w:hAnsiTheme="minorEastAsia"/>
                <w:b/>
                <w:kern w:val="0"/>
                <w:sz w:val="24"/>
                <w:szCs w:val="24"/>
              </w:rPr>
              <w:t>项号</w:t>
            </w:r>
          </w:p>
        </w:tc>
        <w:tc>
          <w:tcPr>
            <w:tcW w:w="9046" w:type="dxa"/>
            <w:gridSpan w:val="2"/>
            <w:vAlign w:val="center"/>
          </w:tcPr>
          <w:p>
            <w:pPr>
              <w:jc w:val="center"/>
              <w:rPr>
                <w:rFonts w:cs="Times New Roman" w:asciiTheme="minorEastAsia" w:hAnsiTheme="minorEastAsia"/>
                <w:b/>
                <w:kern w:val="0"/>
                <w:sz w:val="24"/>
                <w:szCs w:val="24"/>
              </w:rPr>
            </w:pPr>
            <w:r>
              <w:rPr>
                <w:rFonts w:hint="eastAsia" w:cs="Times New Roman" w:asciiTheme="minorEastAsia" w:hAnsi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kern w:val="0"/>
                <w:sz w:val="24"/>
                <w:szCs w:val="24"/>
              </w:rPr>
            </w:pPr>
            <w:r>
              <w:rPr>
                <w:rFonts w:cs="Times New Roman" w:asciiTheme="minorEastAsia" w:hAnsiTheme="minorEastAsia"/>
                <w:kern w:val="0"/>
                <w:sz w:val="24"/>
                <w:szCs w:val="24"/>
              </w:rPr>
              <w:t>1</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项目名称</w:t>
            </w:r>
          </w:p>
        </w:tc>
        <w:tc>
          <w:tcPr>
            <w:tcW w:w="7636" w:type="dxa"/>
            <w:vAlign w:val="center"/>
          </w:tcPr>
          <w:p>
            <w:pPr>
              <w:keepNext/>
              <w:widowControl/>
              <w:jc w:val="left"/>
              <w:rPr>
                <w:rFonts w:hint="eastAsia" w:cs="Arial" w:asciiTheme="minorEastAsia" w:hAnsiTheme="minorEastAsia" w:eastAsiaTheme="minorEastAsia"/>
                <w:kern w:val="0"/>
                <w:sz w:val="24"/>
                <w:szCs w:val="24"/>
                <w:lang w:eastAsia="zh-CN"/>
              </w:rPr>
            </w:pPr>
            <w:r>
              <w:rPr>
                <w:rFonts w:hint="eastAsia" w:cs="Times New Roman" w:asciiTheme="minorEastAsia" w:hAnsiTheme="minorEastAsia"/>
                <w:sz w:val="24"/>
                <w:szCs w:val="24"/>
                <w:lang w:eastAsia="zh-CN"/>
              </w:rPr>
              <w:t>伊宁市解放路街道社区卫生服务中心医养结合能力提升项目设备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项目编号</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lang w:val="en-US" w:eastAsia="zh-CN"/>
              </w:rPr>
              <w:t>XJTX-CG-2023-06-20</w:t>
            </w:r>
            <w:r>
              <w:rPr>
                <w:rFonts w:hint="eastAsia" w:cs="Arial" w:asciiTheme="minorEastAsia" w:hAnsiTheme="minorEastAsia"/>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采购人</w:t>
            </w:r>
          </w:p>
        </w:tc>
        <w:tc>
          <w:tcPr>
            <w:tcW w:w="7636" w:type="dxa"/>
            <w:vAlign w:val="center"/>
          </w:tcPr>
          <w:p>
            <w:pPr>
              <w:keepNext/>
              <w:widowControl/>
              <w:jc w:val="left"/>
              <w:rPr>
                <w:rFonts w:hint="eastAsia" w:cs="Arial" w:asciiTheme="minorEastAsia" w:hAnsiTheme="minorEastAsia" w:eastAsiaTheme="minorEastAsia"/>
                <w:kern w:val="0"/>
                <w:sz w:val="24"/>
                <w:szCs w:val="24"/>
                <w:lang w:eastAsia="zh-CN"/>
              </w:rPr>
            </w:pPr>
            <w:r>
              <w:rPr>
                <w:rFonts w:hint="eastAsia" w:cs="Times New Roman" w:asciiTheme="minorEastAsia" w:hAnsiTheme="minorEastAsia"/>
                <w:sz w:val="24"/>
                <w:szCs w:val="24"/>
                <w:lang w:eastAsia="zh-CN"/>
              </w:rPr>
              <w:t>伊宁市解放路街道社区卫生服务中心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w:t>
            </w:r>
          </w:p>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代理机构</w:t>
            </w:r>
          </w:p>
        </w:tc>
        <w:tc>
          <w:tcPr>
            <w:tcW w:w="7636" w:type="dxa"/>
            <w:vAlign w:val="center"/>
          </w:tcPr>
          <w:p>
            <w:pPr>
              <w:keepNext/>
              <w:widowControl/>
              <w:jc w:val="left"/>
              <w:rPr>
                <w:rFonts w:hint="eastAsia" w:cs="Arial" w:asciiTheme="minorEastAsia" w:hAnsiTheme="minorEastAsia" w:eastAsiaTheme="minorEastAsia"/>
                <w:kern w:val="0"/>
                <w:sz w:val="24"/>
                <w:szCs w:val="24"/>
                <w:lang w:eastAsia="zh-CN"/>
              </w:rPr>
            </w:pPr>
            <w:r>
              <w:rPr>
                <w:rFonts w:hint="eastAsia" w:cs="Arial" w:asciiTheme="minorEastAsia" w:hAnsiTheme="minorEastAsia"/>
                <w:kern w:val="0"/>
                <w:sz w:val="24"/>
                <w:szCs w:val="24"/>
                <w:lang w:eastAsia="zh-CN"/>
              </w:rPr>
              <w:t>新疆泰旭工程管理咨询有限责任公司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★交货地点</w:t>
            </w:r>
          </w:p>
        </w:tc>
        <w:tc>
          <w:tcPr>
            <w:tcW w:w="7636" w:type="dxa"/>
            <w:vAlign w:val="center"/>
          </w:tcPr>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资金来源</w:t>
            </w:r>
          </w:p>
        </w:tc>
        <w:tc>
          <w:tcPr>
            <w:tcW w:w="7636" w:type="dxa"/>
            <w:vAlign w:val="center"/>
          </w:tcPr>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专项资金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w:t>
            </w:r>
          </w:p>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预算金额</w:t>
            </w:r>
          </w:p>
        </w:tc>
        <w:tc>
          <w:tcPr>
            <w:tcW w:w="7636" w:type="dxa"/>
            <w:vAlign w:val="center"/>
          </w:tcPr>
          <w:p>
            <w:pPr>
              <w:keepNext/>
              <w:widowControl/>
              <w:jc w:val="left"/>
              <w:rPr>
                <w:rFonts w:cs="Times New Roman" w:asciiTheme="minorEastAsia" w:hAnsiTheme="minorEastAsia"/>
                <w:kern w:val="0"/>
                <w:sz w:val="24"/>
                <w:szCs w:val="24"/>
              </w:rPr>
            </w:pPr>
            <w:r>
              <w:rPr>
                <w:rFonts w:hint="eastAsia" w:cs="Arial" w:asciiTheme="minorEastAsia" w:hAnsiTheme="minorEastAsia"/>
                <w:kern w:val="0"/>
                <w:sz w:val="24"/>
                <w:szCs w:val="24"/>
                <w:lang w:val="en-US" w:eastAsia="zh-CN"/>
              </w:rPr>
              <w:t>78</w:t>
            </w:r>
            <w:r>
              <w:rPr>
                <w:rFonts w:hint="eastAsia" w:cs="Arial" w:asciiTheme="minorEastAsia" w:hAnsiTheme="minorEastAsia"/>
                <w:kern w:val="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★采购最高限价</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highlight w:val="none"/>
                <w:lang w:val="en-US" w:eastAsia="zh-CN"/>
              </w:rPr>
              <w:t>77.8</w:t>
            </w:r>
            <w:r>
              <w:rPr>
                <w:rFonts w:hint="eastAsia" w:cs="Arial" w:asciiTheme="minorEastAsia" w:hAnsiTheme="minorEastAsia"/>
                <w:kern w:val="0"/>
                <w:sz w:val="24"/>
                <w:szCs w:val="24"/>
                <w:highlight w:val="none"/>
              </w:rPr>
              <w:t>万元；</w:t>
            </w:r>
            <w:r>
              <w:rPr>
                <w:rFonts w:hint="eastAsia" w:cs="Arial" w:asciiTheme="minorEastAsia" w:hAnsiTheme="minorEastAsia"/>
                <w:kern w:val="0"/>
                <w:sz w:val="24"/>
                <w:szCs w:val="24"/>
              </w:rPr>
              <w:t>供应商投标报价不得超此采购最高限价，否则，按废标处理。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w:t>
            </w:r>
            <w:r>
              <w:rPr>
                <w:rFonts w:hint="eastAsia" w:cs="宋体" w:asciiTheme="minorEastAsia" w:hAnsiTheme="minorEastAsia"/>
                <w:kern w:val="0"/>
                <w:sz w:val="24"/>
                <w:szCs w:val="24"/>
              </w:rPr>
              <w:t>供货周期</w:t>
            </w:r>
          </w:p>
        </w:tc>
        <w:tc>
          <w:tcPr>
            <w:tcW w:w="7636" w:type="dxa"/>
            <w:vAlign w:val="center"/>
          </w:tcPr>
          <w:p>
            <w:pPr>
              <w:keepNext/>
              <w:widowControl/>
              <w:jc w:val="left"/>
              <w:rPr>
                <w:rFonts w:cs="Arial" w:asciiTheme="minorEastAsia" w:hAnsiTheme="minorEastAsia"/>
                <w:kern w:val="0"/>
                <w:sz w:val="24"/>
                <w:szCs w:val="24"/>
                <w:u w:val="single"/>
              </w:rPr>
            </w:pPr>
            <w:r>
              <w:rPr>
                <w:rFonts w:hint="eastAsia" w:ascii="宋体" w:hAnsi="宋体" w:cs="宋体"/>
                <w:kern w:val="0"/>
                <w:sz w:val="24"/>
                <w:szCs w:val="24"/>
              </w:rPr>
              <w:t>自合同签订之日起</w:t>
            </w:r>
            <w:r>
              <w:rPr>
                <w:rFonts w:hint="eastAsia" w:ascii="宋体" w:hAnsi="宋体" w:cs="宋体"/>
                <w:kern w:val="0"/>
                <w:sz w:val="24"/>
                <w:szCs w:val="24"/>
                <w:u w:val="single"/>
              </w:rPr>
              <w:t xml:space="preserve"> 15 </w:t>
            </w:r>
            <w:r>
              <w:rPr>
                <w:rFonts w:hint="eastAsia" w:ascii="宋体" w:hAnsi="宋体" w:cs="宋体"/>
                <w:kern w:val="0"/>
                <w:sz w:val="24"/>
                <w:szCs w:val="24"/>
              </w:rPr>
              <w:t>日历日内完成</w:t>
            </w:r>
            <w:r>
              <w:rPr>
                <w:rFonts w:hint="eastAsia" w:ascii="宋体" w:hAnsi="宋体"/>
                <w:sz w:val="24"/>
                <w:szCs w:val="24"/>
              </w:rPr>
              <w:t>（期限内须完成设备材料的采购、安装、系统调试、检测、指导、人员培训等全部工作内容）。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w:t>
            </w:r>
            <w:r>
              <w:rPr>
                <w:rFonts w:hint="eastAsia" w:cs="宋体" w:asciiTheme="minorEastAsia" w:hAnsiTheme="minorEastAsia"/>
                <w:kern w:val="0"/>
                <w:sz w:val="24"/>
                <w:szCs w:val="24"/>
              </w:rPr>
              <w:t>质保期</w:t>
            </w:r>
          </w:p>
        </w:tc>
        <w:tc>
          <w:tcPr>
            <w:tcW w:w="7636" w:type="dxa"/>
            <w:vAlign w:val="center"/>
          </w:tcPr>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u w:val="single"/>
              </w:rPr>
              <w:t xml:space="preserve">2 </w:t>
            </w:r>
            <w:r>
              <w:rPr>
                <w:rFonts w:hint="eastAsia" w:cs="宋体" w:asciiTheme="minorEastAsia" w:hAnsiTheme="minorEastAsia"/>
                <w:kern w:val="0"/>
                <w:sz w:val="24"/>
                <w:szCs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宋体" w:asciiTheme="minorEastAsia" w:hAnsiTheme="minorEastAsia"/>
                <w:kern w:val="0"/>
                <w:sz w:val="24"/>
                <w:szCs w:val="24"/>
              </w:rPr>
            </w:pPr>
            <w:r>
              <w:rPr>
                <w:rFonts w:hint="eastAsia" w:ascii="宋体" w:hAnsi="宋体" w:cs="宋体"/>
                <w:kern w:val="0"/>
                <w:sz w:val="24"/>
                <w:szCs w:val="24"/>
              </w:rPr>
              <w:t>是否单一产品</w:t>
            </w:r>
          </w:p>
        </w:tc>
        <w:tc>
          <w:tcPr>
            <w:tcW w:w="7636" w:type="dxa"/>
            <w:vAlign w:val="center"/>
          </w:tcPr>
          <w:p>
            <w:pPr>
              <w:keepNext/>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★采购范围</w:t>
            </w:r>
          </w:p>
        </w:tc>
        <w:tc>
          <w:tcPr>
            <w:tcW w:w="7636" w:type="dxa"/>
            <w:vAlign w:val="center"/>
          </w:tcPr>
          <w:p>
            <w:pPr>
              <w:keepNext/>
              <w:widowControl/>
              <w:jc w:val="left"/>
              <w:rPr>
                <w:rFonts w:cs="Arial" w:asciiTheme="minorEastAsia" w:hAnsiTheme="minorEastAsia"/>
                <w:kern w:val="0"/>
                <w:sz w:val="24"/>
                <w:szCs w:val="24"/>
              </w:rPr>
            </w:pPr>
            <w:r>
              <w:rPr>
                <w:rFonts w:hint="eastAsia" w:cs="Times New Roman" w:asciiTheme="minorEastAsia" w:hAnsiTheme="minorEastAsia"/>
                <w:sz w:val="24"/>
                <w:szCs w:val="24"/>
                <w:lang w:eastAsia="zh-CN"/>
              </w:rPr>
              <w:t>伊宁市解放路街道社区卫生服务中心医养结合能力提升项目设备</w:t>
            </w:r>
            <w:r>
              <w:rPr>
                <w:rFonts w:hint="eastAsia" w:cs="Times New Roman" w:asciiTheme="minorEastAsia" w:hAnsiTheme="minorEastAsia"/>
                <w:sz w:val="24"/>
                <w:szCs w:val="24"/>
              </w:rPr>
              <w:t>采购</w:t>
            </w:r>
            <w:r>
              <w:rPr>
                <w:rFonts w:hint="eastAsia" w:cs="Arial" w:asciiTheme="minorEastAsia" w:hAnsiTheme="minorEastAsia"/>
                <w:kern w:val="0"/>
                <w:sz w:val="24"/>
                <w:szCs w:val="24"/>
              </w:rPr>
              <w:t>范围内所有</w:t>
            </w:r>
            <w:r>
              <w:rPr>
                <w:rFonts w:hint="eastAsia" w:cs="Times New Roman" w:asciiTheme="minorEastAsia" w:hAnsiTheme="minorEastAsia"/>
                <w:sz w:val="24"/>
                <w:szCs w:val="24"/>
              </w:rPr>
              <w:t>工作内容(包含后续检测、维保服务)。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采购方式</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rPr>
              <w:t>竞争性谈判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资格审查</w:t>
            </w:r>
          </w:p>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方式</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4</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评审办法</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kern w:val="0"/>
                <w:sz w:val="24"/>
                <w:szCs w:val="24"/>
              </w:rPr>
            </w:pP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成交方法</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rPr>
              <w:t>谈判小组推荐三名成交候选人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5</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供应商资格条件和能力</w:t>
            </w:r>
          </w:p>
        </w:tc>
        <w:tc>
          <w:tcPr>
            <w:tcW w:w="7636" w:type="dxa"/>
            <w:vAlign w:val="center"/>
          </w:tcPr>
          <w:p>
            <w:pPr>
              <w:rPr>
                <w:rFonts w:asciiTheme="minorEastAsia" w:hAnsiTheme="minorEastAsia"/>
                <w:sz w:val="24"/>
                <w:szCs w:val="24"/>
              </w:rPr>
            </w:pPr>
            <w:r>
              <w:rPr>
                <w:rFonts w:asciiTheme="minorEastAsia" w:hAnsiTheme="minorEastAsia"/>
                <w:sz w:val="24"/>
                <w:szCs w:val="24"/>
              </w:rPr>
              <w:t>1.满足《中华人民共和国政府采购法》第二十二条规定；</w:t>
            </w:r>
          </w:p>
          <w:p>
            <w:pPr>
              <w:rPr>
                <w:rFonts w:asciiTheme="minorEastAsia" w:hAnsiTheme="minorEastAsia"/>
                <w:sz w:val="24"/>
                <w:szCs w:val="24"/>
              </w:rPr>
            </w:pPr>
            <w:r>
              <w:rPr>
                <w:rFonts w:asciiTheme="minorEastAsia" w:hAnsiTheme="minorEastAsia"/>
                <w:sz w:val="24"/>
                <w:szCs w:val="24"/>
              </w:rPr>
              <w:t>2.落实政府采购政策需满足的资格要求：</w:t>
            </w:r>
            <w:r>
              <w:rPr>
                <w:rFonts w:hint="eastAsia" w:asciiTheme="minorEastAsia" w:hAnsiTheme="minorEastAsia"/>
                <w:sz w:val="24"/>
                <w:szCs w:val="24"/>
              </w:rPr>
              <w:t>本项目为专门面向中小企业。</w:t>
            </w:r>
          </w:p>
          <w:p>
            <w:pPr>
              <w:rPr>
                <w:rFonts w:asciiTheme="minorEastAsia" w:hAnsiTheme="minorEastAsia"/>
                <w:sz w:val="24"/>
                <w:szCs w:val="24"/>
              </w:rPr>
            </w:pPr>
            <w:r>
              <w:rPr>
                <w:rFonts w:asciiTheme="minorEastAsia" w:hAnsiTheme="minorEastAsia"/>
                <w:sz w:val="24"/>
                <w:szCs w:val="24"/>
              </w:rPr>
              <w:t>3.本项目的特定资格要求：</w:t>
            </w:r>
          </w:p>
          <w:p>
            <w:pPr>
              <w:widowControl/>
              <w:jc w:val="left"/>
              <w:rPr>
                <w:rFonts w:cs="Arial" w:asciiTheme="minorEastAsia" w:hAnsiTheme="minorEastAsia"/>
                <w:sz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w:t>
            </w:r>
            <w:r>
              <w:rPr>
                <w:rFonts w:hint="eastAsia" w:asciiTheme="minorEastAsia" w:hAnsiTheme="minorEastAsia"/>
                <w:sz w:val="24"/>
              </w:rPr>
              <w:t>供应商须</w:t>
            </w:r>
            <w:r>
              <w:rPr>
                <w:rFonts w:asciiTheme="minorEastAsia" w:hAnsiTheme="minorEastAsia"/>
                <w:sz w:val="24"/>
              </w:rPr>
              <w:t>具有有效的营业执照</w:t>
            </w:r>
            <w:r>
              <w:rPr>
                <w:rFonts w:hint="eastAsia" w:asciiTheme="minorEastAsia" w:hAnsiTheme="minorEastAsia"/>
                <w:sz w:val="24"/>
              </w:rPr>
              <w:t>,</w:t>
            </w:r>
            <w:r>
              <w:rPr>
                <w:rFonts w:asciiTheme="minorEastAsia" w:hAnsiTheme="minorEastAsia"/>
                <w:sz w:val="24"/>
              </w:rPr>
              <w:t>具有独立订立合同的权利，能独立承担民事责任的能力；</w:t>
            </w:r>
          </w:p>
          <w:p>
            <w:pPr>
              <w:rPr>
                <w:rFonts w:cs="Arial" w:asciiTheme="minorEastAsia" w:hAnsiTheme="minorEastAsia"/>
                <w:sz w:val="24"/>
                <w:highlight w:val="yellow"/>
              </w:rPr>
            </w:pPr>
            <w:r>
              <w:rPr>
                <w:rFonts w:hint="eastAsia" w:asciiTheme="minorEastAsia" w:hAnsiTheme="minorEastAsia"/>
                <w:sz w:val="24"/>
                <w:szCs w:val="24"/>
              </w:rPr>
              <w:t>2）</w:t>
            </w:r>
            <w:r>
              <w:rPr>
                <w:rFonts w:hint="eastAsia" w:asciiTheme="minorEastAsia" w:hAnsiTheme="minorEastAsia"/>
                <w:sz w:val="24"/>
                <w:szCs w:val="24"/>
                <w:highlight w:val="none"/>
              </w:rPr>
              <w:t>、</w:t>
            </w:r>
            <w:r>
              <w:rPr>
                <w:rFonts w:hint="eastAsia" w:cs="Arial" w:asciiTheme="minorEastAsia" w:hAnsiTheme="minorEastAsia"/>
                <w:sz w:val="24"/>
                <w:highlight w:val="none"/>
              </w:rPr>
              <w:t>供应商所投产品属于第二类医疗器械的，需提供有效的行政主管部门颁发的医疗器械经营备案凭证（或医疗器械生产许可证或医疗器械经营许可证或其他医疗器械生产经营许可证明文件）；供应商所投产品属于第三类医疗器械的，需提供有效的行政主管部门颁发的医疗器械生产许可证（或医疗器械经营许可证或其他医疗器械生产经营许可证明文件）；</w:t>
            </w:r>
          </w:p>
          <w:p>
            <w:pPr>
              <w:rPr>
                <w:rFonts w:asciiTheme="minorEastAsia" w:hAnsiTheme="minorEastAsia"/>
                <w:sz w:val="24"/>
                <w:szCs w:val="24"/>
              </w:rPr>
            </w:pPr>
            <w:r>
              <w:rPr>
                <w:rFonts w:hint="eastAsia" w:asciiTheme="minorEastAsia" w:hAnsiTheme="minorEastAsia"/>
                <w:sz w:val="24"/>
                <w:szCs w:val="24"/>
              </w:rPr>
              <w:t>3）、供应商须是在“信用中国”（</w:t>
            </w:r>
            <w:r>
              <w:rPr>
                <w:rFonts w:asciiTheme="minorEastAsia" w:hAnsiTheme="minorEastAsia"/>
                <w:sz w:val="24"/>
                <w:szCs w:val="24"/>
              </w:rPr>
              <w:t>www.creditchina.gov.cn</w:t>
            </w:r>
            <w:r>
              <w:rPr>
                <w:rFonts w:hint="eastAsia" w:asciiTheme="minorEastAsia" w:hAnsiTheme="minorEastAsia"/>
                <w:sz w:val="24"/>
                <w:szCs w:val="24"/>
              </w:rPr>
              <w:t>）和中国政府采购网（</w:t>
            </w:r>
            <w:r>
              <w:rPr>
                <w:rFonts w:asciiTheme="minorEastAsia" w:hAnsiTheme="minorEastAsia"/>
                <w:sz w:val="24"/>
                <w:szCs w:val="24"/>
              </w:rPr>
              <w:t>www.ccgp.gov.cn</w:t>
            </w:r>
            <w:r>
              <w:rPr>
                <w:rFonts w:hint="eastAsia" w:asciiTheme="minorEastAsia" w:hAnsiTheme="minorEastAsia"/>
                <w:sz w:val="24"/>
                <w:szCs w:val="24"/>
              </w:rPr>
              <w:t>）网站上未被列入失信被执行人、重大税收违法案件当事人名单以及政府采购严重违法失信行为记录名单；</w:t>
            </w:r>
            <w:r>
              <w:rPr>
                <w:rFonts w:asciiTheme="minorEastAsia" w:hAnsiTheme="minorEastAsia"/>
                <w:sz w:val="24"/>
                <w:szCs w:val="24"/>
              </w:rPr>
              <w:t xml:space="preserve"> </w:t>
            </w:r>
          </w:p>
          <w:p>
            <w:pPr>
              <w:rPr>
                <w:rFonts w:asciiTheme="minorEastAsia" w:hAnsiTheme="minorEastAsia"/>
                <w:sz w:val="24"/>
                <w:szCs w:val="24"/>
              </w:rPr>
            </w:pPr>
            <w:r>
              <w:rPr>
                <w:rFonts w:hint="eastAsia" w:asciiTheme="minorEastAsia" w:hAnsiTheme="minorEastAsia"/>
                <w:sz w:val="24"/>
                <w:szCs w:val="24"/>
              </w:rPr>
              <w:t>4）、提供《中小企业声明函》。</w:t>
            </w:r>
          </w:p>
          <w:p>
            <w:pPr>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、本采购项目</w:t>
            </w:r>
            <w:r>
              <w:rPr>
                <w:rFonts w:hint="eastAsia" w:asciiTheme="minorEastAsia" w:hAnsiTheme="minorEastAsia"/>
                <w:sz w:val="24"/>
                <w:szCs w:val="24"/>
              </w:rPr>
              <w:t>不允许</w:t>
            </w:r>
            <w:r>
              <w:rPr>
                <w:rFonts w:asciiTheme="minorEastAsia" w:hAnsiTheme="minorEastAsia"/>
                <w:sz w:val="24"/>
                <w:szCs w:val="24"/>
              </w:rPr>
              <w:t>联合体投标。</w:t>
            </w:r>
          </w:p>
          <w:p>
            <w:pPr>
              <w:rPr>
                <w:rFonts w:cs="Times New Roman" w:asciiTheme="minorEastAsia" w:hAnsiTheme="minorEastAsia"/>
                <w:szCs w:val="21"/>
              </w:rPr>
            </w:pPr>
            <w:r>
              <w:rPr>
                <w:rFonts w:hint="eastAsia" w:asciiTheme="minorEastAsia" w:hAnsiTheme="minorEastAsia"/>
                <w:sz w:val="24"/>
                <w:szCs w:val="24"/>
              </w:rPr>
              <w:t>6）</w:t>
            </w:r>
            <w:r>
              <w:rPr>
                <w:rFonts w:asciiTheme="minorEastAsia" w:hAnsiTheme="minorEastAsia"/>
                <w:sz w:val="24"/>
                <w:szCs w:val="24"/>
              </w:rPr>
              <w:t>、其他说明：①与采购人存在利害关系可能影响招标公正性的法人、其他组织或者个人，不得参加投标。②</w:t>
            </w:r>
            <w:r>
              <w:rPr>
                <w:rFonts w:hint="eastAsia" w:asciiTheme="minorEastAsia" w:hAnsiTheme="minorEastAsia"/>
                <w:sz w:val="24"/>
                <w:szCs w:val="24"/>
              </w:rPr>
              <w:t>单位负责人为同一人或者存在控股、管理关系的不同</w:t>
            </w:r>
            <w:r>
              <w:rPr>
                <w:rFonts w:hint="eastAsia" w:ascii="宋体" w:hAnsi="宋体" w:cs="Arial"/>
                <w:kern w:val="0"/>
                <w:sz w:val="24"/>
                <w:szCs w:val="24"/>
              </w:rPr>
              <w:t>供应商</w:t>
            </w:r>
            <w:r>
              <w:rPr>
                <w:rFonts w:hint="eastAsia" w:asciiTheme="minorEastAsia" w:hAnsiTheme="minorEastAsia"/>
                <w:sz w:val="24"/>
                <w:szCs w:val="24"/>
              </w:rPr>
              <w:t>，不得参加同一合同项下的政府采购活动。</w:t>
            </w:r>
            <w:r>
              <w:rPr>
                <w:rFonts w:asciiTheme="minorEastAsia" w:hAnsiTheme="minorEastAsia"/>
                <w:sz w:val="24"/>
                <w:szCs w:val="24"/>
              </w:rPr>
              <w:t>违反前两款规定的，相关投标均无效。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rPr>
              <w:t>6</w:t>
            </w:r>
          </w:p>
        </w:tc>
        <w:tc>
          <w:tcPr>
            <w:tcW w:w="1410" w:type="dxa"/>
            <w:vAlign w:val="center"/>
          </w:tcPr>
          <w:p>
            <w:pPr>
              <w:keepNext/>
              <w:widowControl/>
              <w:jc w:val="center"/>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竞争性谈判文件费</w:t>
            </w:r>
          </w:p>
        </w:tc>
        <w:tc>
          <w:tcPr>
            <w:tcW w:w="7636" w:type="dxa"/>
            <w:vAlign w:val="center"/>
          </w:tcPr>
          <w:p>
            <w:pPr>
              <w:keepNext/>
              <w:widowControl/>
              <w:jc w:val="left"/>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highlight w:val="none"/>
              </w:rPr>
            </w:pPr>
            <w:r>
              <w:rPr>
                <w:rFonts w:hint="eastAsia" w:cs="Times New Roman" w:asciiTheme="minorEastAsia" w:hAnsiTheme="minorEastAsia"/>
                <w:kern w:val="0"/>
                <w:sz w:val="24"/>
                <w:szCs w:val="24"/>
                <w:highlight w:val="none"/>
              </w:rPr>
              <w:t>7</w:t>
            </w:r>
          </w:p>
        </w:tc>
        <w:tc>
          <w:tcPr>
            <w:tcW w:w="1410" w:type="dxa"/>
            <w:vAlign w:val="center"/>
          </w:tcPr>
          <w:p>
            <w:pPr>
              <w:pStyle w:val="24"/>
              <w:jc w:val="left"/>
              <w:rPr>
                <w:rFonts w:hint="eastAsia" w:hAnsi="宋体"/>
                <w:sz w:val="24"/>
                <w:szCs w:val="24"/>
                <w:highlight w:val="none"/>
                <w:lang w:eastAsia="zh-CN"/>
              </w:rPr>
            </w:pPr>
            <w:r>
              <w:rPr>
                <w:rFonts w:hint="eastAsia" w:hAnsi="宋体"/>
                <w:sz w:val="24"/>
                <w:szCs w:val="24"/>
                <w:highlight w:val="none"/>
                <w:lang w:eastAsia="zh-CN"/>
              </w:rPr>
              <w:t>★谈判保证金</w:t>
            </w:r>
          </w:p>
        </w:tc>
        <w:tc>
          <w:tcPr>
            <w:tcW w:w="7636" w:type="dxa"/>
            <w:vAlign w:val="center"/>
          </w:tcPr>
          <w:p>
            <w:pPr>
              <w:pStyle w:val="24"/>
              <w:jc w:val="left"/>
              <w:rPr>
                <w:rFonts w:hint="eastAsia" w:hAnsi="宋体"/>
                <w:sz w:val="24"/>
                <w:szCs w:val="24"/>
                <w:highlight w:val="none"/>
                <w:lang w:eastAsia="zh-CN"/>
              </w:rPr>
            </w:pPr>
            <w:r>
              <w:rPr>
                <w:rFonts w:hint="eastAsia" w:hAnsi="宋体"/>
                <w:sz w:val="24"/>
                <w:szCs w:val="24"/>
                <w:highlight w:val="none"/>
                <w:lang w:eastAsia="zh-CN"/>
              </w:rPr>
              <w:t>要求提供。数额不得超过采购项目预算金额的2%，本项目的谈判保证金金额：</w:t>
            </w:r>
            <w:r>
              <w:rPr>
                <w:rFonts w:hint="eastAsia" w:hAnsi="宋体"/>
                <w:sz w:val="24"/>
                <w:szCs w:val="24"/>
                <w:highlight w:val="none"/>
                <w:lang w:val="en-US" w:eastAsia="zh-CN"/>
              </w:rPr>
              <w:t>15000元</w:t>
            </w:r>
            <w:r>
              <w:rPr>
                <w:rFonts w:hint="eastAsia" w:hAnsi="宋体"/>
                <w:sz w:val="24"/>
                <w:szCs w:val="24"/>
                <w:highlight w:val="none"/>
                <w:lang w:eastAsia="zh-CN"/>
              </w:rPr>
              <w:t>（ 壹万伍仟元整）</w:t>
            </w:r>
          </w:p>
          <w:p>
            <w:pPr>
              <w:pStyle w:val="24"/>
              <w:jc w:val="left"/>
              <w:rPr>
                <w:rFonts w:hint="eastAsia" w:hAnsi="宋体"/>
                <w:sz w:val="24"/>
                <w:szCs w:val="24"/>
                <w:highlight w:val="none"/>
                <w:lang w:eastAsia="zh-CN"/>
              </w:rPr>
            </w:pPr>
            <w:r>
              <w:rPr>
                <w:rFonts w:hint="eastAsia" w:hAnsi="宋体"/>
                <w:sz w:val="24"/>
                <w:szCs w:val="24"/>
                <w:highlight w:val="none"/>
                <w:lang w:eastAsia="zh-CN"/>
              </w:rPr>
              <w:t>账户名：新疆泰旭工程管理咨询有限责任公司</w:t>
            </w:r>
          </w:p>
          <w:p>
            <w:pPr>
              <w:pStyle w:val="24"/>
              <w:jc w:val="left"/>
              <w:rPr>
                <w:rFonts w:hint="eastAsia" w:hAnsi="宋体"/>
                <w:sz w:val="24"/>
                <w:szCs w:val="24"/>
                <w:highlight w:val="none"/>
                <w:lang w:eastAsia="zh-CN"/>
              </w:rPr>
            </w:pPr>
            <w:r>
              <w:rPr>
                <w:rFonts w:hint="eastAsia" w:hAnsi="宋体"/>
                <w:sz w:val="24"/>
                <w:szCs w:val="24"/>
                <w:highlight w:val="none"/>
                <w:lang w:eastAsia="zh-CN"/>
              </w:rPr>
              <w:t>开户行：</w:t>
            </w:r>
            <w:r>
              <w:rPr>
                <w:rFonts w:hint="eastAsia" w:hAnsi="宋体"/>
                <w:sz w:val="24"/>
                <w:szCs w:val="24"/>
                <w:highlight w:val="none"/>
                <w:lang w:val="en-US" w:eastAsia="zh-CN"/>
              </w:rPr>
              <w:t>新疆伊犁农村商业银行股份有限公司北京路支行</w:t>
            </w:r>
          </w:p>
          <w:p>
            <w:pPr>
              <w:pStyle w:val="24"/>
              <w:jc w:val="left"/>
              <w:rPr>
                <w:rFonts w:hint="eastAsia" w:hAnsi="宋体"/>
                <w:sz w:val="24"/>
                <w:szCs w:val="24"/>
                <w:highlight w:val="none"/>
                <w:lang w:val="en-US" w:eastAsia="zh-CN"/>
              </w:rPr>
            </w:pPr>
            <w:r>
              <w:rPr>
                <w:rFonts w:hint="eastAsia" w:hAnsi="宋体"/>
                <w:sz w:val="24"/>
                <w:szCs w:val="24"/>
                <w:highlight w:val="none"/>
                <w:lang w:eastAsia="zh-CN"/>
              </w:rPr>
              <w:t>行  号：</w:t>
            </w:r>
            <w:r>
              <w:rPr>
                <w:rFonts w:hint="eastAsia" w:hAnsi="宋体"/>
                <w:sz w:val="24"/>
                <w:szCs w:val="24"/>
                <w:highlight w:val="none"/>
                <w:lang w:val="en-US" w:eastAsia="zh-CN"/>
              </w:rPr>
              <w:t xml:space="preserve">402898000084 </w:t>
            </w:r>
          </w:p>
          <w:p>
            <w:pPr>
              <w:pStyle w:val="24"/>
              <w:jc w:val="left"/>
              <w:rPr>
                <w:rFonts w:hint="eastAsia" w:hAnsi="宋体"/>
                <w:sz w:val="24"/>
                <w:szCs w:val="24"/>
                <w:highlight w:val="none"/>
                <w:lang w:val="en-US" w:eastAsia="zh-CN"/>
              </w:rPr>
            </w:pPr>
            <w:r>
              <w:rPr>
                <w:rFonts w:hint="eastAsia" w:hAnsi="宋体"/>
                <w:sz w:val="24"/>
                <w:szCs w:val="24"/>
                <w:highlight w:val="none"/>
                <w:lang w:eastAsia="zh-CN"/>
              </w:rPr>
              <w:t>帐  号：812040212010114474768</w:t>
            </w:r>
            <w:r>
              <w:rPr>
                <w:rFonts w:hint="eastAsia" w:hAnsi="宋体"/>
                <w:sz w:val="24"/>
                <w:szCs w:val="24"/>
                <w:highlight w:val="none"/>
                <w:lang w:val="en-US" w:eastAsia="zh-CN"/>
              </w:rPr>
              <w:t xml:space="preserve"> </w:t>
            </w:r>
          </w:p>
          <w:p>
            <w:pPr>
              <w:pStyle w:val="24"/>
              <w:jc w:val="left"/>
              <w:rPr>
                <w:rFonts w:hint="eastAsia" w:hAnsi="宋体"/>
                <w:sz w:val="24"/>
                <w:szCs w:val="24"/>
                <w:highlight w:val="none"/>
                <w:lang w:eastAsia="zh-CN"/>
              </w:rPr>
            </w:pPr>
            <w:r>
              <w:rPr>
                <w:rFonts w:hint="eastAsia" w:hAnsi="宋体"/>
                <w:sz w:val="24"/>
                <w:szCs w:val="24"/>
                <w:highlight w:val="none"/>
                <w:lang w:eastAsia="zh-CN"/>
              </w:rPr>
              <w:t>谈判保证金缴纳形式：以非现金形式的电子保函缴纳或以电汇、网银等支付方式缴纳至采购代理机构指定账户。</w:t>
            </w:r>
          </w:p>
          <w:p>
            <w:pPr>
              <w:pStyle w:val="24"/>
              <w:jc w:val="left"/>
              <w:rPr>
                <w:rFonts w:hint="eastAsia" w:hAnsi="宋体"/>
                <w:sz w:val="24"/>
                <w:szCs w:val="24"/>
                <w:highlight w:val="none"/>
                <w:lang w:eastAsia="zh-CN"/>
              </w:rPr>
            </w:pPr>
            <w:r>
              <w:rPr>
                <w:rFonts w:hint="eastAsia" w:hAnsi="宋体"/>
                <w:sz w:val="24"/>
                <w:szCs w:val="24"/>
                <w:highlight w:val="none"/>
                <w:lang w:eastAsia="zh-CN"/>
              </w:rPr>
              <w:t>1、电汇、网银转账须知：缴纳时需在附加信息及用途栏内注明谈判保证金、项目名称（简称）；谈判保证金于响应文件递交截止时间前确认到账（供应商需自行评估因异地、跨行、公休日等因素造成的谈判保证金到账延迟风险，并承担相应责任。）</w:t>
            </w:r>
          </w:p>
          <w:p>
            <w:pPr>
              <w:pStyle w:val="24"/>
              <w:jc w:val="left"/>
              <w:rPr>
                <w:rFonts w:hint="eastAsia" w:hAnsi="宋体"/>
                <w:sz w:val="24"/>
                <w:szCs w:val="24"/>
                <w:highlight w:val="none"/>
                <w:lang w:eastAsia="zh-CN"/>
              </w:rPr>
            </w:pPr>
            <w:r>
              <w:rPr>
                <w:rFonts w:hint="eastAsia" w:hAnsi="宋体"/>
                <w:sz w:val="24"/>
                <w:szCs w:val="24"/>
                <w:highlight w:val="none"/>
                <w:lang w:eastAsia="zh-CN"/>
              </w:rPr>
              <w:t>2、政采云电子保函须知</w:t>
            </w:r>
          </w:p>
          <w:p>
            <w:pPr>
              <w:pStyle w:val="24"/>
              <w:jc w:val="left"/>
              <w:rPr>
                <w:rFonts w:hint="eastAsia" w:hAnsi="宋体"/>
                <w:sz w:val="24"/>
                <w:szCs w:val="24"/>
                <w:highlight w:val="none"/>
                <w:lang w:eastAsia="zh-CN"/>
              </w:rPr>
            </w:pPr>
            <w:r>
              <w:rPr>
                <w:rFonts w:hint="eastAsia" w:hAnsi="宋体"/>
                <w:sz w:val="24"/>
                <w:szCs w:val="24"/>
                <w:highlight w:val="none"/>
                <w:lang w:eastAsia="zh-CN"/>
              </w:rPr>
              <w:t>(1)本项目推荐使用政采云电子保函形式缴纳谈判保证金，在线完成保函的申请、审核、开票、出函等环节；</w:t>
            </w:r>
          </w:p>
          <w:p>
            <w:pPr>
              <w:pStyle w:val="24"/>
              <w:jc w:val="left"/>
              <w:rPr>
                <w:rFonts w:hint="eastAsia" w:hAnsi="宋体"/>
                <w:sz w:val="24"/>
                <w:szCs w:val="24"/>
                <w:highlight w:val="none"/>
                <w:lang w:eastAsia="zh-CN"/>
              </w:rPr>
            </w:pPr>
            <w:r>
              <w:rPr>
                <w:rFonts w:hint="eastAsia" w:hAnsi="宋体"/>
                <w:sz w:val="24"/>
                <w:szCs w:val="24"/>
                <w:highlight w:val="none"/>
                <w:lang w:eastAsia="zh-CN"/>
              </w:rPr>
              <w:t>(2)如采用政采云电子保函形式，可按照以下形式进行在线申请，电子保函申请链接（https://jinrong.zcygov.cn/finance/letter/produc</w:t>
            </w:r>
          </w:p>
          <w:p>
            <w:pPr>
              <w:pStyle w:val="24"/>
              <w:jc w:val="left"/>
              <w:rPr>
                <w:rFonts w:hint="eastAsia" w:hAnsi="宋体"/>
                <w:sz w:val="24"/>
                <w:szCs w:val="24"/>
                <w:highlight w:val="none"/>
                <w:lang w:eastAsia="zh-CN"/>
              </w:rPr>
            </w:pPr>
            <w:r>
              <w:rPr>
                <w:rFonts w:hint="eastAsia" w:hAnsi="宋体"/>
                <w:sz w:val="24"/>
                <w:szCs w:val="24"/>
                <w:highlight w:val="none"/>
                <w:lang w:eastAsia="zh-CN"/>
              </w:rPr>
              <w:t>t/detail?id=30&amp;source=41），如遇问题可拨打客服电话：95763</w:t>
            </w:r>
          </w:p>
          <w:p>
            <w:pPr>
              <w:pStyle w:val="24"/>
              <w:jc w:val="left"/>
              <w:rPr>
                <w:rFonts w:hint="eastAsia" w:hAnsi="宋体"/>
                <w:sz w:val="24"/>
                <w:szCs w:val="24"/>
                <w:highlight w:val="none"/>
                <w:lang w:eastAsia="zh-CN"/>
              </w:rPr>
            </w:pPr>
            <w:r>
              <w:rPr>
                <w:rFonts w:hint="eastAsia" w:hAnsi="宋体"/>
                <w:sz w:val="24"/>
                <w:szCs w:val="24"/>
                <w:highlight w:val="none"/>
                <w:lang w:eastAsia="zh-CN"/>
              </w:rPr>
              <w:t>若供应商未按照上述缴纳谈判保证金,响应文件将被拒绝评审。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8</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现场踏勘</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9</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采购答疑</w:t>
            </w:r>
          </w:p>
        </w:tc>
        <w:tc>
          <w:tcPr>
            <w:tcW w:w="7636" w:type="dxa"/>
            <w:vAlign w:val="center"/>
          </w:tcPr>
          <w:p>
            <w:pPr>
              <w:jc w:val="left"/>
              <w:rPr>
                <w:rFonts w:cs="Arial" w:asciiTheme="minorEastAsia" w:hAnsiTheme="minorEastAsia"/>
                <w:kern w:val="0"/>
                <w:sz w:val="24"/>
                <w:szCs w:val="24"/>
              </w:rPr>
            </w:pPr>
            <w:r>
              <w:rPr>
                <w:rFonts w:hint="eastAsia" w:cs="Arial" w:asciiTheme="minorEastAsia" w:hAnsiTheme="minorEastAsia"/>
                <w:kern w:val="0"/>
                <w:sz w:val="24"/>
                <w:szCs w:val="24"/>
              </w:rPr>
              <w:t>对竞争性谈判文件提出质疑的，应当在获取竞争性谈判文件或者竞争性谈判文件公告期限届满之日起7个工作日内一次性提出。</w:t>
            </w:r>
          </w:p>
          <w:p>
            <w:pPr>
              <w:ind w:firstLine="360" w:firstLineChars="150"/>
              <w:jc w:val="left"/>
              <w:rPr>
                <w:rFonts w:cs="Arial" w:asciiTheme="minorEastAsia" w:hAnsiTheme="minorEastAsia"/>
                <w:kern w:val="0"/>
                <w:sz w:val="24"/>
                <w:szCs w:val="24"/>
              </w:rPr>
            </w:pPr>
            <w:r>
              <w:rPr>
                <w:rFonts w:hint="eastAsia" w:cs="Arial" w:asciiTheme="minorEastAsia" w:hAnsiTheme="minorEastAsia"/>
                <w:kern w:val="0"/>
                <w:sz w:val="24"/>
                <w:szCs w:val="24"/>
              </w:rPr>
              <w:t>澄清修改内容可能影响竞争性谈判响应文件编制的，应当在提交首次响应文件截止之日3个工作日前，以书面形式通知所有获取竞争性谈判文件的潜在供应商，不足</w:t>
            </w:r>
            <w:r>
              <w:rPr>
                <w:rFonts w:cs="Arial" w:asciiTheme="minorEastAsia" w:hAnsiTheme="minorEastAsia"/>
                <w:kern w:val="0"/>
                <w:sz w:val="24"/>
                <w:szCs w:val="24"/>
              </w:rPr>
              <w:t>3</w:t>
            </w:r>
            <w:r>
              <w:rPr>
                <w:rFonts w:hint="eastAsia" w:cs="Arial" w:asciiTheme="minorEastAsia" w:hAnsiTheme="minorEastAsia"/>
                <w:kern w:val="0"/>
                <w:sz w:val="24"/>
                <w:szCs w:val="24"/>
              </w:rPr>
              <w:t>个工作日的，顺延提交首次响应文件截止之日。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10</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竞争性谈判响应文件</w:t>
            </w:r>
          </w:p>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份数</w:t>
            </w:r>
          </w:p>
        </w:tc>
        <w:tc>
          <w:tcPr>
            <w:tcW w:w="763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加密的电子响应文件在响应文件递交截止时间前通过CA在政采云平台上传，加密的电子响应文件为使用政采云电子投标客户端制作生成的加密版响应文件。供应商未按上述要求提供加密的电子响应文件的，将导致投标无效。</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（2）未加密的纸质版响应文件须在本项目成交通知书发出后3个工作日内提供。成交单位须提供纸质版响应文件正本 1 份，副本 2 份。</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说明：</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（1）未加密的纸质版响应文件应与加密的电子响应文件内容一致。</w:t>
            </w:r>
          </w:p>
          <w:p>
            <w:pPr>
              <w:jc w:val="left"/>
              <w:rPr>
                <w:rFonts w:hint="eastAsia" w:cs="Times New Roman" w:asciiTheme="minorEastAsia" w:hAnsiTheme="minorEastAsia" w:eastAsiaTheme="minorEastAsia"/>
                <w:kern w:val="0"/>
                <w:sz w:val="24"/>
                <w:szCs w:val="24"/>
                <w:lang w:eastAsia="zh-CN"/>
              </w:rPr>
            </w:pPr>
            <w:r>
              <w:rPr>
                <w:rFonts w:hint="eastAsia" w:ascii="宋体" w:hAnsi="宋体" w:cs="宋体"/>
                <w:kern w:val="0"/>
                <w:sz w:val="24"/>
                <w:szCs w:val="24"/>
              </w:rPr>
              <w:t>（2）纸质版响应文件递交或邮寄至：地址：</w:t>
            </w:r>
            <w:r>
              <w:rPr>
                <w:rFonts w:hint="eastAsia" w:ascii="宋体" w:hAnsi="宋体" w:cs="宋体"/>
                <w:kern w:val="0"/>
                <w:sz w:val="24"/>
                <w:szCs w:val="24"/>
                <w:lang w:val="en-US" w:eastAsia="zh-CN"/>
              </w:rPr>
              <w:t>伊宁市金茂新天地B座1501室</w:t>
            </w:r>
            <w:r>
              <w:rPr>
                <w:rFonts w:hint="eastAsia" w:ascii="宋体" w:hAnsi="宋体" w:cs="宋体"/>
                <w:kern w:val="0"/>
                <w:sz w:val="24"/>
                <w:szCs w:val="24"/>
              </w:rPr>
              <w:t>；收件人及联系电话：</w:t>
            </w:r>
            <w:r>
              <w:rPr>
                <w:rFonts w:hint="eastAsia" w:ascii="宋体" w:hAnsi="宋体" w:cs="宋体"/>
                <w:kern w:val="0"/>
                <w:sz w:val="24"/>
                <w:szCs w:val="24"/>
                <w:lang w:eastAsia="zh-CN"/>
              </w:rPr>
              <w:t>罗敏娜13519989499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竞争性谈判响应文件递交</w:t>
            </w:r>
          </w:p>
        </w:tc>
        <w:tc>
          <w:tcPr>
            <w:tcW w:w="7636"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截止时间：</w:t>
            </w: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7</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5</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日</w:t>
            </w:r>
            <w:r>
              <w:rPr>
                <w:rFonts w:hint="eastAsia" w:cs="宋体" w:asciiTheme="minorEastAsia" w:hAnsiTheme="minorEastAsia"/>
                <w:kern w:val="0"/>
                <w:sz w:val="24"/>
                <w:szCs w:val="24"/>
                <w:highlight w:val="yellow"/>
                <w:u w:val="single"/>
              </w:rPr>
              <w:t>1</w:t>
            </w:r>
            <w:r>
              <w:rPr>
                <w:rFonts w:hint="eastAsia" w:cs="宋体" w:asciiTheme="minorEastAsia" w:hAnsiTheme="minorEastAsia"/>
                <w:kern w:val="0"/>
                <w:sz w:val="24"/>
                <w:szCs w:val="24"/>
                <w:highlight w:val="yellow"/>
                <w:u w:val="single"/>
                <w:lang w:val="en-US" w:eastAsia="zh-CN"/>
              </w:rPr>
              <w:t>6</w:t>
            </w:r>
            <w:r>
              <w:rPr>
                <w:rFonts w:hint="eastAsia" w:cs="宋体" w:asciiTheme="minorEastAsia" w:hAnsiTheme="minorEastAsia"/>
                <w:kern w:val="0"/>
                <w:sz w:val="24"/>
                <w:szCs w:val="24"/>
                <w:highlight w:val="yellow"/>
              </w:rPr>
              <w:t>时</w:t>
            </w:r>
            <w:r>
              <w:rPr>
                <w:rFonts w:hint="eastAsia" w:cs="宋体" w:asciiTheme="minorEastAsia" w:hAnsiTheme="minorEastAsia"/>
                <w:kern w:val="0"/>
                <w:sz w:val="24"/>
                <w:szCs w:val="24"/>
                <w:highlight w:val="yellow"/>
                <w:u w:val="single"/>
                <w:lang w:val="en-US" w:eastAsia="zh-CN"/>
              </w:rPr>
              <w:t>3</w:t>
            </w:r>
            <w:r>
              <w:rPr>
                <w:rFonts w:hint="eastAsia" w:cs="宋体" w:asciiTheme="minorEastAsia" w:hAnsiTheme="minorEastAsia"/>
                <w:kern w:val="0"/>
                <w:sz w:val="24"/>
                <w:szCs w:val="24"/>
                <w:highlight w:val="yellow"/>
                <w:u w:val="single"/>
              </w:rPr>
              <w:t>0</w:t>
            </w:r>
            <w:r>
              <w:rPr>
                <w:rFonts w:hint="eastAsia" w:cs="宋体" w:asciiTheme="minorEastAsia" w:hAnsiTheme="minorEastAsia"/>
                <w:kern w:val="0"/>
                <w:sz w:val="24"/>
                <w:szCs w:val="24"/>
                <w:highlight w:val="yellow"/>
              </w:rPr>
              <w:t>分</w:t>
            </w:r>
            <w:r>
              <w:rPr>
                <w:rFonts w:hint="eastAsia" w:cs="宋体" w:asciiTheme="minorEastAsia" w:hAnsiTheme="minorEastAsia"/>
                <w:kern w:val="0"/>
                <w:sz w:val="24"/>
                <w:szCs w:val="24"/>
              </w:rPr>
              <w:t>（北京时间）</w:t>
            </w:r>
          </w:p>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递交地点：</w:t>
            </w:r>
            <w:r>
              <w:rPr>
                <w:rFonts w:hint="eastAsia" w:cs="宋体" w:asciiTheme="minorEastAsia" w:hAnsiTheme="minorEastAsia"/>
                <w:b/>
                <w:kern w:val="0"/>
                <w:sz w:val="24"/>
                <w:szCs w:val="24"/>
              </w:rPr>
              <w:t>政采云平台http://www.zcygov.cn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13</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开标</w:t>
            </w:r>
          </w:p>
        </w:tc>
        <w:tc>
          <w:tcPr>
            <w:tcW w:w="7636"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时间：</w:t>
            </w:r>
            <w:r>
              <w:rPr>
                <w:rFonts w:hint="eastAsia" w:asciiTheme="minorEastAsia" w:hAnsiTheme="minorEastAsia"/>
                <w:sz w:val="24"/>
                <w:szCs w:val="24"/>
                <w:highlight w:val="yellow"/>
                <w:u w:val="single"/>
              </w:rPr>
              <w:t xml:space="preserve">2023 </w:t>
            </w:r>
            <w:r>
              <w:rPr>
                <w:rFonts w:asciiTheme="minorEastAsia" w:hAnsiTheme="minorEastAsia"/>
                <w:sz w:val="24"/>
                <w:szCs w:val="24"/>
                <w:highlight w:val="yellow"/>
              </w:rPr>
              <w:t>年</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7</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月</w:t>
            </w:r>
            <w:r>
              <w:rPr>
                <w:rFonts w:hint="eastAsia" w:asciiTheme="minorEastAsia" w:hAnsiTheme="minorEastAsia"/>
                <w:sz w:val="24"/>
                <w:szCs w:val="24"/>
                <w:highlight w:val="yellow"/>
                <w:u w:val="single"/>
              </w:rPr>
              <w:t xml:space="preserve"> </w:t>
            </w:r>
            <w:r>
              <w:rPr>
                <w:rFonts w:hint="eastAsia" w:asciiTheme="minorEastAsia" w:hAnsiTheme="minorEastAsia"/>
                <w:sz w:val="24"/>
                <w:szCs w:val="24"/>
                <w:highlight w:val="yellow"/>
                <w:u w:val="single"/>
                <w:lang w:val="en-US" w:eastAsia="zh-CN"/>
              </w:rPr>
              <w:t>5</w:t>
            </w:r>
            <w:r>
              <w:rPr>
                <w:rFonts w:hint="eastAsia" w:asciiTheme="minorEastAsia" w:hAnsiTheme="minorEastAsia"/>
                <w:sz w:val="24"/>
                <w:szCs w:val="24"/>
                <w:highlight w:val="yellow"/>
                <w:u w:val="single"/>
              </w:rPr>
              <w:t xml:space="preserve"> </w:t>
            </w:r>
            <w:r>
              <w:rPr>
                <w:rFonts w:asciiTheme="minorEastAsia" w:hAnsiTheme="minorEastAsia"/>
                <w:sz w:val="24"/>
                <w:szCs w:val="24"/>
                <w:highlight w:val="yellow"/>
              </w:rPr>
              <w:t>日</w:t>
            </w:r>
            <w:r>
              <w:rPr>
                <w:rFonts w:hint="eastAsia" w:cs="宋体" w:asciiTheme="minorEastAsia" w:hAnsiTheme="minorEastAsia"/>
                <w:kern w:val="0"/>
                <w:sz w:val="24"/>
                <w:szCs w:val="24"/>
                <w:highlight w:val="yellow"/>
                <w:u w:val="single"/>
              </w:rPr>
              <w:t>1</w:t>
            </w:r>
            <w:r>
              <w:rPr>
                <w:rFonts w:hint="eastAsia" w:cs="宋体" w:asciiTheme="minorEastAsia" w:hAnsiTheme="minorEastAsia"/>
                <w:kern w:val="0"/>
                <w:sz w:val="24"/>
                <w:szCs w:val="24"/>
                <w:highlight w:val="yellow"/>
                <w:u w:val="single"/>
                <w:lang w:val="en-US" w:eastAsia="zh-CN"/>
              </w:rPr>
              <w:t>6</w:t>
            </w:r>
            <w:r>
              <w:rPr>
                <w:rFonts w:hint="eastAsia" w:cs="宋体" w:asciiTheme="minorEastAsia" w:hAnsiTheme="minorEastAsia"/>
                <w:kern w:val="0"/>
                <w:sz w:val="24"/>
                <w:szCs w:val="24"/>
                <w:highlight w:val="yellow"/>
              </w:rPr>
              <w:t>时</w:t>
            </w:r>
            <w:r>
              <w:rPr>
                <w:rFonts w:hint="eastAsia" w:cs="宋体" w:asciiTheme="minorEastAsia" w:hAnsiTheme="minorEastAsia"/>
                <w:kern w:val="0"/>
                <w:sz w:val="24"/>
                <w:szCs w:val="24"/>
                <w:highlight w:val="yellow"/>
                <w:u w:val="single"/>
                <w:lang w:val="en-US" w:eastAsia="zh-CN"/>
              </w:rPr>
              <w:t>3</w:t>
            </w:r>
            <w:r>
              <w:rPr>
                <w:rFonts w:hint="eastAsia" w:cs="宋体" w:asciiTheme="minorEastAsia" w:hAnsiTheme="minorEastAsia"/>
                <w:kern w:val="0"/>
                <w:sz w:val="24"/>
                <w:szCs w:val="24"/>
                <w:highlight w:val="yellow"/>
                <w:u w:val="single"/>
              </w:rPr>
              <w:t>0</w:t>
            </w:r>
            <w:r>
              <w:rPr>
                <w:rFonts w:hint="eastAsia" w:cs="宋体" w:asciiTheme="minorEastAsia" w:hAnsiTheme="minorEastAsia"/>
                <w:kern w:val="0"/>
                <w:sz w:val="24"/>
                <w:szCs w:val="24"/>
                <w:highlight w:val="yellow"/>
              </w:rPr>
              <w:t>分</w:t>
            </w:r>
            <w:r>
              <w:rPr>
                <w:rFonts w:hint="eastAsia" w:cs="宋体" w:asciiTheme="minorEastAsia" w:hAnsiTheme="minorEastAsia"/>
                <w:kern w:val="0"/>
                <w:sz w:val="24"/>
                <w:szCs w:val="24"/>
              </w:rPr>
              <w:t>（北京时间）</w:t>
            </w:r>
          </w:p>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地点</w:t>
            </w:r>
            <w:r>
              <w:rPr>
                <w:rFonts w:hint="eastAsia" w:eastAsia="宋体" w:cs="Times New Roman" w:asciiTheme="minorEastAsia" w:hAnsiTheme="minorEastAsia"/>
                <w:kern w:val="0"/>
                <w:sz w:val="24"/>
                <w:szCs w:val="24"/>
              </w:rPr>
              <w:t>：</w:t>
            </w:r>
            <w:r>
              <w:rPr>
                <w:rFonts w:hint="eastAsia" w:eastAsia="宋体" w:cs="Times New Roman" w:asciiTheme="minorEastAsia" w:hAnsiTheme="minorEastAsia"/>
                <w:b/>
                <w:kern w:val="0"/>
                <w:sz w:val="24"/>
                <w:szCs w:val="24"/>
              </w:rPr>
              <w:t>政采云网上不见面开标系统</w:t>
            </w:r>
          </w:p>
          <w:p>
            <w:pPr>
              <w:pStyle w:val="19"/>
              <w:rPr>
                <w:rFonts w:cs="Arial" w:asciiTheme="minorEastAsia" w:hAnsiTheme="minorEastAsia" w:eastAsiaTheme="minorEastAsia"/>
                <w:szCs w:val="24"/>
              </w:rPr>
            </w:pPr>
            <w:r>
              <w:rPr>
                <w:rFonts w:hint="eastAsia" w:cs="Arial" w:asciiTheme="minorEastAsia" w:hAnsiTheme="minorEastAsia" w:eastAsiaTheme="minorEastAsia"/>
                <w:szCs w:val="24"/>
              </w:rPr>
              <w:t>说明：</w:t>
            </w:r>
          </w:p>
          <w:p>
            <w:pPr>
              <w:pStyle w:val="302"/>
              <w:rPr>
                <w:rFonts w:cs="Arial" w:asciiTheme="minorEastAsia" w:hAnsiTheme="minorEastAsia" w:eastAsiaTheme="minorEastAsia"/>
                <w:lang w:eastAsia="zh-CN"/>
              </w:rPr>
            </w:pPr>
            <w:r>
              <w:rPr>
                <w:rFonts w:hint="eastAsia" w:cs="Arial" w:asciiTheme="minorEastAsia" w:hAnsiTheme="minorEastAsia" w:eastAsiaTheme="minorEastAsia"/>
                <w:sz w:val="24"/>
                <w:szCs w:val="24"/>
                <w:lang w:eastAsia="zh-CN"/>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w:t>
            </w:r>
            <w:r>
              <w:rPr>
                <w:rFonts w:hint="eastAsia" w:cs="Arial" w:asciiTheme="minorEastAsia" w:hAnsiTheme="minorEastAsia" w:eastAsiaTheme="minorEastAsia"/>
                <w:lang w:eastAsia="zh-CN"/>
              </w:rPr>
              <w:t>CA证书等所需的时间。因未注册入库、未办理CA数字证书等原因造成无法响应或响应失败等后果由供应商自行承担。</w:t>
            </w:r>
          </w:p>
          <w:p>
            <w:pPr>
              <w:pStyle w:val="302"/>
              <w:rPr>
                <w:rFonts w:cs="Arial" w:asciiTheme="minorEastAsia" w:hAnsiTheme="minorEastAsia" w:eastAsiaTheme="minorEastAsia"/>
                <w:lang w:eastAsia="zh-CN"/>
              </w:rPr>
            </w:pPr>
            <w:r>
              <w:rPr>
                <w:rFonts w:hint="eastAsia" w:cs="Arial" w:asciiTheme="minorEastAsia" w:hAnsiTheme="minorEastAsia" w:eastAsiaTheme="minorEastAsia"/>
                <w:lang w:eastAsia="zh-CN"/>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rPr>
                <w:rFonts w:cs="Arial" w:asciiTheme="minorEastAsia" w:hAnsiTheme="minorEastAsia"/>
                <w:kern w:val="0"/>
                <w:sz w:val="22"/>
              </w:rPr>
            </w:pPr>
            <w:r>
              <w:rPr>
                <w:rFonts w:hint="eastAsia" w:cs="Arial" w:asciiTheme="minorEastAsia" w:hAnsiTheme="minorEastAsia"/>
                <w:kern w:val="0"/>
                <w:sz w:val="22"/>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rPr>
                <w:rFonts w:cs="Arial" w:asciiTheme="minorEastAsia" w:hAnsiTheme="minorEastAsia"/>
                <w:kern w:val="0"/>
                <w:sz w:val="22"/>
              </w:rPr>
            </w:pPr>
            <w:r>
              <w:rPr>
                <w:rFonts w:hint="eastAsia" w:cs="Arial" w:asciiTheme="minorEastAsia" w:hAnsiTheme="minorEastAsia"/>
                <w:kern w:val="0"/>
                <w:sz w:val="22"/>
              </w:rPr>
              <w:t>4、参与竞争性谈判项目供应商，开标结束后，请及时进入“网上报价”页面（详见操作手册），等待最终报价通知。如未在系统提示的报价时限内报价，则视为上一轮报价为最终报价。</w:t>
            </w:r>
          </w:p>
          <w:p>
            <w:pPr>
              <w:pStyle w:val="19"/>
            </w:pPr>
            <w:r>
              <w:rPr>
                <w:rFonts w:hint="eastAsia" w:cs="Arial" w:asciiTheme="minorEastAsia" w:hAnsiTheme="minorEastAsia" w:eastAsiaTheme="minorEastAsia"/>
                <w:sz w:val="22"/>
                <w:szCs w:val="22"/>
                <w:lang w:eastAsia="en-US"/>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★投标有效期</w:t>
            </w:r>
          </w:p>
        </w:tc>
        <w:tc>
          <w:tcPr>
            <w:tcW w:w="7636" w:type="dxa"/>
            <w:vAlign w:val="center"/>
          </w:tcPr>
          <w:p>
            <w:pPr>
              <w:keepNext/>
              <w:widowControl/>
              <w:jc w:val="left"/>
              <w:rPr>
                <w:rFonts w:cs="Arial" w:asciiTheme="minorEastAsia" w:hAnsiTheme="minorEastAsia"/>
                <w:kern w:val="0"/>
                <w:sz w:val="24"/>
                <w:szCs w:val="24"/>
              </w:rPr>
            </w:pPr>
            <w:r>
              <w:rPr>
                <w:rFonts w:hint="eastAsia" w:cs="Arial" w:asciiTheme="minorEastAsia" w:hAnsiTheme="minorEastAsia"/>
                <w:kern w:val="0"/>
                <w:sz w:val="24"/>
                <w:szCs w:val="24"/>
              </w:rPr>
              <w:t>自投标截止之日90日历日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p>
        </w:tc>
        <w:tc>
          <w:tcPr>
            <w:tcW w:w="1410" w:type="dxa"/>
            <w:vAlign w:val="center"/>
          </w:tcPr>
          <w:p>
            <w:pPr>
              <w:jc w:val="center"/>
              <w:rPr>
                <w:rFonts w:cs="宋体" w:asciiTheme="minorEastAsia" w:hAnsiTheme="minorEastAsia"/>
                <w:kern w:val="0"/>
                <w:sz w:val="24"/>
                <w:szCs w:val="24"/>
              </w:rPr>
            </w:pPr>
            <w:r>
              <w:rPr>
                <w:rFonts w:hint="eastAsia" w:cs="宋体" w:asciiTheme="minorEastAsia" w:hAnsiTheme="minorEastAsia"/>
                <w:kern w:val="0"/>
                <w:sz w:val="24"/>
                <w:szCs w:val="24"/>
              </w:rPr>
              <w:t>竞争性谈判公告发布媒体</w:t>
            </w:r>
          </w:p>
        </w:tc>
        <w:tc>
          <w:tcPr>
            <w:tcW w:w="7636" w:type="dxa"/>
            <w:vAlign w:val="center"/>
          </w:tcPr>
          <w:p>
            <w:pPr>
              <w:rPr>
                <w:rFonts w:cs="宋体" w:asciiTheme="minorEastAsia" w:hAnsiTheme="minorEastAsia"/>
                <w:kern w:val="0"/>
                <w:sz w:val="24"/>
                <w:szCs w:val="24"/>
                <w:u w:val="single"/>
              </w:rPr>
            </w:pPr>
            <w:r>
              <w:rPr>
                <w:rFonts w:hint="eastAsia" w:cs="Arial" w:asciiTheme="minorEastAsia" w:hAnsiTheme="minorEastAsia"/>
                <w:kern w:val="0"/>
                <w:sz w:val="24"/>
                <w:szCs w:val="24"/>
              </w:rPr>
              <w:t>新疆政府采购网（</w:t>
            </w:r>
            <w:r>
              <w:rPr>
                <w:rFonts w:cs="Arial" w:asciiTheme="minorEastAsia" w:hAnsiTheme="minorEastAsia"/>
                <w:kern w:val="0"/>
                <w:sz w:val="24"/>
                <w:szCs w:val="24"/>
              </w:rPr>
              <w:t>http://www.ccgp-xinjiang.gov.cn/</w:t>
            </w:r>
            <w:r>
              <w:rPr>
                <w:rFonts w:hint="eastAsia" w:cs="Arial"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履约保证金</w:t>
            </w:r>
          </w:p>
        </w:tc>
        <w:tc>
          <w:tcPr>
            <w:tcW w:w="7636" w:type="dxa"/>
            <w:vAlign w:val="center"/>
          </w:tcPr>
          <w:p>
            <w:pPr>
              <w:keepNext/>
              <w:widowControl/>
              <w:ind w:firstLine="120" w:firstLineChars="50"/>
              <w:jc w:val="left"/>
              <w:rPr>
                <w:rFonts w:cs="Arial" w:asciiTheme="minorEastAsia" w:hAnsiTheme="minorEastAsia"/>
                <w:kern w:val="0"/>
                <w:sz w:val="24"/>
                <w:szCs w:val="24"/>
              </w:rPr>
            </w:pPr>
            <w:r>
              <w:rPr>
                <w:rFonts w:hint="eastAsia" w:cs="Arial" w:asciiTheme="minorEastAsia" w:hAnsiTheme="minorEastAsia"/>
                <w:kern w:val="0"/>
                <w:sz w:val="24"/>
                <w:szCs w:val="24"/>
                <w:highlight w:val="yellow"/>
              </w:rPr>
              <w:t>合同签订价款的10%或遵循甲方约定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所属行业</w:t>
            </w:r>
          </w:p>
        </w:tc>
        <w:tc>
          <w:tcPr>
            <w:tcW w:w="7636" w:type="dxa"/>
            <w:vAlign w:val="center"/>
          </w:tcPr>
          <w:p>
            <w:pPr>
              <w:keepNext/>
              <w:widowControl/>
              <w:jc w:val="left"/>
              <w:rPr>
                <w:rFonts w:cs="Arial" w:asciiTheme="minorEastAsia" w:hAnsiTheme="minorEastAsia"/>
                <w:b/>
                <w:kern w:val="0"/>
                <w:sz w:val="24"/>
                <w:szCs w:val="24"/>
              </w:rPr>
            </w:pPr>
            <w:r>
              <w:rPr>
                <w:rFonts w:hint="eastAsia" w:ascii="宋体" w:hAnsi="宋体" w:cs="宋体"/>
                <w:kern w:val="0"/>
                <w:sz w:val="24"/>
                <w:szCs w:val="24"/>
              </w:rPr>
              <w:t>本项目根据《关于印发中小企业划型标准规定的通知》工信部联企业【2011】300号文件，所属行业划分为</w:t>
            </w:r>
            <w:r>
              <w:rPr>
                <w:rFonts w:hint="eastAsia" w:ascii="宋体" w:hAnsi="宋体" w:cs="宋体"/>
                <w:kern w:val="0"/>
                <w:sz w:val="24"/>
                <w:szCs w:val="24"/>
                <w:u w:val="single"/>
              </w:rPr>
              <w:t xml:space="preserve"> </w:t>
            </w:r>
            <w:r>
              <w:rPr>
                <w:rFonts w:hint="eastAsia" w:ascii="宋体" w:hAnsi="宋体" w:cs="宋体"/>
                <w:b/>
                <w:kern w:val="0"/>
                <w:sz w:val="24"/>
                <w:szCs w:val="24"/>
                <w:u w:val="single"/>
              </w:rPr>
              <w:t>工业制造业。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p>
        </w:tc>
        <w:tc>
          <w:tcPr>
            <w:tcW w:w="1410" w:type="dxa"/>
            <w:vAlign w:val="center"/>
          </w:tcPr>
          <w:p>
            <w:pPr>
              <w:keepNext/>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代理服务费</w:t>
            </w:r>
          </w:p>
        </w:tc>
        <w:tc>
          <w:tcPr>
            <w:tcW w:w="7636" w:type="dxa"/>
            <w:vAlign w:val="center"/>
          </w:tcPr>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招标代理服务费的计算执行“《国家发展改革委关于进一步放开建设项目专业服务价格的通知》</w:t>
            </w:r>
            <w:r>
              <w:rPr>
                <w:rFonts w:cs="宋体" w:asciiTheme="minorEastAsia" w:hAnsiTheme="minorEastAsia"/>
                <w:kern w:val="0"/>
                <w:sz w:val="24"/>
                <w:szCs w:val="24"/>
              </w:rPr>
              <w:t xml:space="preserve">[2015] 299 </w:t>
            </w:r>
            <w:r>
              <w:rPr>
                <w:rFonts w:hint="eastAsia" w:cs="宋体" w:asciiTheme="minorEastAsia" w:hAnsiTheme="minorEastAsia"/>
                <w:kern w:val="0"/>
                <w:sz w:val="24"/>
                <w:szCs w:val="24"/>
              </w:rPr>
              <w:t>号文件”、“国家发展改革委办公厅关于招标代理服务收费有关问题的通知（发改价格</w:t>
            </w:r>
            <w:r>
              <w:rPr>
                <w:rFonts w:cs="宋体" w:asciiTheme="minorEastAsia" w:hAnsiTheme="minorEastAsia"/>
                <w:kern w:val="0"/>
                <w:sz w:val="24"/>
                <w:szCs w:val="24"/>
              </w:rPr>
              <w:t xml:space="preserve">[2011]534 </w:t>
            </w:r>
            <w:r>
              <w:rPr>
                <w:rFonts w:hint="eastAsia" w:cs="宋体" w:asciiTheme="minorEastAsia" w:hAnsiTheme="minorEastAsia"/>
                <w:kern w:val="0"/>
                <w:sz w:val="24"/>
                <w:szCs w:val="24"/>
              </w:rPr>
              <w:t>号）文件”及参照计价格</w:t>
            </w:r>
            <w:r>
              <w:rPr>
                <w:rFonts w:cs="宋体" w:asciiTheme="minorEastAsia" w:hAnsiTheme="minorEastAsia"/>
                <w:kern w:val="0"/>
                <w:sz w:val="24"/>
                <w:szCs w:val="24"/>
              </w:rPr>
              <w:t xml:space="preserve">[2002]1980 </w:t>
            </w:r>
            <w:r>
              <w:rPr>
                <w:rFonts w:hint="eastAsia" w:cs="宋体" w:asciiTheme="minorEastAsia" w:hAnsiTheme="minorEastAsia"/>
                <w:kern w:val="0"/>
                <w:sz w:val="24"/>
                <w:szCs w:val="24"/>
              </w:rPr>
              <w:t>号的规定：根据上述文件的规定，本次招标代理服务费由成交单位支付。招标代理费按</w:t>
            </w:r>
            <w:r>
              <w:rPr>
                <w:rFonts w:cs="宋体" w:asciiTheme="minorEastAsia" w:hAnsiTheme="minorEastAsia"/>
                <w:kern w:val="0"/>
                <w:sz w:val="24"/>
                <w:szCs w:val="24"/>
              </w:rPr>
              <w:t xml:space="preserve">[2002]1980 </w:t>
            </w:r>
            <w:r>
              <w:rPr>
                <w:rFonts w:hint="eastAsia" w:cs="宋体" w:asciiTheme="minorEastAsia" w:hAnsiTheme="minorEastAsia"/>
                <w:kern w:val="0"/>
                <w:sz w:val="24"/>
                <w:szCs w:val="24"/>
              </w:rPr>
              <w:t>号货物类收费标准计取。</w:t>
            </w:r>
          </w:p>
        </w:tc>
      </w:tr>
    </w:tbl>
    <w:p>
      <w:pPr>
        <w:spacing w:line="360" w:lineRule="auto"/>
        <w:jc w:val="center"/>
        <w:outlineLvl w:val="0"/>
        <w:rPr>
          <w:rFonts w:cs="宋体" w:asciiTheme="minorEastAsia" w:hAnsiTheme="minorEastAsia"/>
          <w:b/>
          <w:sz w:val="24"/>
          <w:szCs w:val="24"/>
        </w:rPr>
      </w:pPr>
      <w:bookmarkStart w:id="2" w:name="_BookMark_3"/>
      <w:bookmarkEnd w:id="2"/>
      <w:r>
        <w:rPr>
          <w:rFonts w:cs="Arial" w:asciiTheme="minorEastAsia" w:hAnsiTheme="minorEastAsia"/>
          <w:kern w:val="0"/>
          <w:sz w:val="24"/>
          <w:szCs w:val="24"/>
        </w:rPr>
        <w:br w:type="page"/>
      </w:r>
      <w:bookmarkStart w:id="3" w:name="_Toc136609688"/>
      <w:r>
        <w:rPr>
          <w:rFonts w:hint="eastAsia" w:cs="宋体" w:asciiTheme="minorEastAsia" w:hAnsiTheme="minorEastAsia"/>
          <w:b/>
          <w:sz w:val="24"/>
          <w:szCs w:val="24"/>
        </w:rPr>
        <w:t>第一章 供应商须知</w:t>
      </w:r>
      <w:bookmarkEnd w:id="3"/>
      <w:bookmarkStart w:id="4" w:name="_BookMark_2"/>
      <w:bookmarkEnd w:id="4"/>
    </w:p>
    <w:p>
      <w:pPr>
        <w:tabs>
          <w:tab w:val="center" w:pos="4832"/>
          <w:tab w:val="left" w:pos="7140"/>
        </w:tabs>
        <w:spacing w:line="360" w:lineRule="auto"/>
        <w:ind w:firstLine="472" w:firstLineChars="196"/>
        <w:jc w:val="left"/>
        <w:outlineLvl w:val="1"/>
        <w:rPr>
          <w:rFonts w:cs="宋体" w:asciiTheme="minorEastAsia" w:hAnsiTheme="minorEastAsia"/>
          <w:b/>
          <w:sz w:val="24"/>
          <w:szCs w:val="24"/>
        </w:rPr>
      </w:pPr>
      <w:bookmarkStart w:id="5" w:name="_Toc136609689"/>
      <w:r>
        <w:rPr>
          <w:rFonts w:cs="宋体" w:asciiTheme="minorEastAsia" w:hAnsiTheme="minorEastAsia"/>
          <w:b/>
          <w:sz w:val="24"/>
          <w:szCs w:val="24"/>
        </w:rPr>
        <w:t>1</w:t>
      </w:r>
      <w:r>
        <w:rPr>
          <w:rFonts w:hint="eastAsia" w:cs="宋体" w:asciiTheme="minorEastAsia" w:hAnsiTheme="minorEastAsia"/>
          <w:b/>
          <w:sz w:val="24"/>
          <w:szCs w:val="24"/>
        </w:rPr>
        <w:t>．总则</w:t>
      </w:r>
      <w:bookmarkEnd w:id="5"/>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1.1 </w:t>
      </w:r>
      <w:r>
        <w:rPr>
          <w:rFonts w:hint="eastAsia" w:cs="Arial" w:asciiTheme="minorEastAsia" w:hAnsiTheme="minorEastAsia"/>
          <w:kern w:val="0"/>
          <w:sz w:val="24"/>
          <w:szCs w:val="24"/>
        </w:rPr>
        <w:t>采购项目概况</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1.1.1</w:t>
      </w:r>
      <w:r>
        <w:rPr>
          <w:rFonts w:hint="eastAsia" w:cs="Arial" w:asciiTheme="minorEastAsia" w:hAnsiTheme="minorEastAsia"/>
          <w:kern w:val="0"/>
          <w:sz w:val="24"/>
          <w:szCs w:val="24"/>
        </w:rPr>
        <w:t>项目名称：见供应商须知前附表。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1.1.2</w:t>
      </w:r>
      <w:r>
        <w:rPr>
          <w:rFonts w:hint="eastAsia" w:cs="Arial" w:asciiTheme="minorEastAsia" w:hAnsiTheme="minorEastAsia"/>
          <w:kern w:val="0"/>
          <w:sz w:val="24"/>
          <w:szCs w:val="24"/>
        </w:rPr>
        <w:t>项目编号：见供应商须知前附表。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1.1.3</w:t>
      </w:r>
      <w:r>
        <w:rPr>
          <w:rFonts w:hint="eastAsia" w:cs="Arial" w:asciiTheme="minorEastAsia" w:hAnsiTheme="minorEastAsia"/>
          <w:kern w:val="0"/>
          <w:sz w:val="24"/>
          <w:szCs w:val="24"/>
        </w:rPr>
        <w:t>采购人：见供应商须知前附表。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1.1.4</w:t>
      </w:r>
      <w:r>
        <w:rPr>
          <w:rFonts w:hint="eastAsia" w:cs="Arial" w:asciiTheme="minorEastAsia" w:hAnsiTheme="minorEastAsia"/>
          <w:kern w:val="0"/>
          <w:sz w:val="24"/>
          <w:szCs w:val="24"/>
        </w:rPr>
        <w:t>采购代理机构：见供应商须知前附表。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1.1.5</w:t>
      </w:r>
      <w:r>
        <w:rPr>
          <w:rFonts w:hint="eastAsia" w:cs="Arial" w:asciiTheme="minorEastAsia" w:hAnsiTheme="minorEastAsia"/>
          <w:kern w:val="0"/>
          <w:sz w:val="24"/>
          <w:szCs w:val="24"/>
        </w:rPr>
        <w:t>交货地点：见供应商须知前附表。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1.1.6</w:t>
      </w:r>
      <w:r>
        <w:rPr>
          <w:rFonts w:hint="eastAsia" w:cs="Arial" w:asciiTheme="minorEastAsia" w:hAnsiTheme="minorEastAsia"/>
          <w:kern w:val="0"/>
          <w:sz w:val="24"/>
          <w:szCs w:val="24"/>
        </w:rPr>
        <w:t>资金来源：见供应商须知前附表。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1.1.7</w:t>
      </w:r>
      <w:r>
        <w:rPr>
          <w:rFonts w:hint="eastAsia" w:cs="Arial" w:asciiTheme="minorEastAsia" w:hAnsiTheme="minorEastAsia"/>
          <w:kern w:val="0"/>
          <w:sz w:val="24"/>
          <w:szCs w:val="24"/>
        </w:rPr>
        <w:t>采购预算金额：见供应商须知前附表。</w:t>
      </w:r>
    </w:p>
    <w:p>
      <w:pPr>
        <w:pStyle w:val="19"/>
        <w:ind w:firstLine="480" w:firstLineChars="200"/>
      </w:pPr>
      <w:r>
        <w:rPr>
          <w:rFonts w:cs="Arial" w:asciiTheme="minorEastAsia" w:hAnsiTheme="minorEastAsia"/>
          <w:szCs w:val="24"/>
        </w:rPr>
        <w:t>1.1.</w:t>
      </w:r>
      <w:r>
        <w:rPr>
          <w:rFonts w:hint="eastAsia" w:cs="Arial" w:asciiTheme="minorEastAsia" w:hAnsiTheme="minorEastAsia"/>
          <w:szCs w:val="24"/>
        </w:rPr>
        <w:t>8采购最高限价：见供应商须知前附表。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1.1.9</w:t>
      </w:r>
      <w:r>
        <w:rPr>
          <w:rFonts w:hint="eastAsia" w:cs="宋体" w:asciiTheme="minorEastAsia" w:hAnsiTheme="minorEastAsia"/>
          <w:kern w:val="0"/>
          <w:sz w:val="24"/>
          <w:szCs w:val="24"/>
        </w:rPr>
        <w:t>供货周期</w:t>
      </w:r>
      <w:r>
        <w:rPr>
          <w:rFonts w:hint="eastAsia" w:cs="Arial" w:asciiTheme="minorEastAsia" w:hAnsiTheme="minorEastAsia"/>
          <w:kern w:val="0"/>
          <w:sz w:val="24"/>
          <w:szCs w:val="24"/>
        </w:rPr>
        <w:t>：见供应商须知前附表。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1.1.10</w:t>
      </w:r>
      <w:r>
        <w:rPr>
          <w:rFonts w:hint="eastAsia" w:cs="宋体" w:asciiTheme="minorEastAsia" w:hAnsiTheme="minorEastAsia"/>
          <w:kern w:val="0"/>
          <w:sz w:val="24"/>
          <w:szCs w:val="24"/>
        </w:rPr>
        <w:t>质保期</w:t>
      </w:r>
      <w:r>
        <w:rPr>
          <w:rFonts w:hint="eastAsia" w:cs="Arial" w:asciiTheme="minorEastAsia" w:hAnsiTheme="minorEastAsia"/>
          <w:kern w:val="0"/>
          <w:sz w:val="24"/>
          <w:szCs w:val="24"/>
        </w:rPr>
        <w:t>：见供应商须知前附表。</w:t>
      </w:r>
    </w:p>
    <w:p>
      <w:pPr>
        <w:pStyle w:val="19"/>
        <w:ind w:firstLine="480" w:firstLineChars="200"/>
      </w:pPr>
      <w:r>
        <w:rPr>
          <w:rFonts w:hint="eastAsia" w:cs="Arial" w:asciiTheme="minorEastAsia" w:hAnsiTheme="minorEastAsia"/>
          <w:szCs w:val="24"/>
        </w:rPr>
        <w:t>1.1.11</w:t>
      </w:r>
      <w:r>
        <w:rPr>
          <w:rFonts w:hint="eastAsia" w:ascii="宋体" w:hAnsi="宋体" w:cs="宋体"/>
          <w:szCs w:val="24"/>
        </w:rPr>
        <w:t>是否单一产品</w:t>
      </w:r>
      <w:r>
        <w:rPr>
          <w:rFonts w:hint="eastAsia" w:cs="Arial" w:asciiTheme="minorEastAsia" w:hAnsiTheme="minorEastAsia"/>
          <w:szCs w:val="24"/>
        </w:rPr>
        <w:t>：见供应商须知前附表。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1.2</w:t>
      </w:r>
      <w:r>
        <w:rPr>
          <w:rFonts w:hint="eastAsia" w:cs="Arial" w:asciiTheme="minorEastAsia" w:hAnsiTheme="minorEastAsia"/>
          <w:kern w:val="0"/>
          <w:sz w:val="24"/>
          <w:szCs w:val="24"/>
        </w:rPr>
        <w:t xml:space="preserve"> 采购范围：见供应商须知前附表。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1.3 </w:t>
      </w:r>
      <w:r>
        <w:rPr>
          <w:rFonts w:hint="eastAsia" w:cs="Arial" w:asciiTheme="minorEastAsia" w:hAnsiTheme="minorEastAsia"/>
          <w:kern w:val="0"/>
          <w:sz w:val="24"/>
          <w:szCs w:val="24"/>
        </w:rPr>
        <w:t>采购方式和资格审查方式</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1.3.1 </w:t>
      </w:r>
      <w:r>
        <w:rPr>
          <w:rFonts w:hint="eastAsia" w:cs="Arial" w:asciiTheme="minorEastAsia" w:hAnsiTheme="minorEastAsia"/>
          <w:kern w:val="0"/>
          <w:sz w:val="24"/>
          <w:szCs w:val="24"/>
        </w:rPr>
        <w:t>采购方式：见供应商须知前附表。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1.3.2 </w:t>
      </w:r>
      <w:r>
        <w:rPr>
          <w:rFonts w:hint="eastAsia" w:cs="Arial" w:asciiTheme="minorEastAsia" w:hAnsiTheme="minorEastAsia"/>
          <w:kern w:val="0"/>
          <w:sz w:val="24"/>
          <w:szCs w:val="24"/>
        </w:rPr>
        <w:t>资格审查方式：见供应商须知前附表。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1.4 </w:t>
      </w:r>
      <w:r>
        <w:rPr>
          <w:rFonts w:hint="eastAsia" w:cs="Arial" w:asciiTheme="minorEastAsia" w:hAnsiTheme="minorEastAsia"/>
          <w:kern w:val="0"/>
          <w:sz w:val="24"/>
          <w:szCs w:val="24"/>
        </w:rPr>
        <w:t>评审办法及成交方法</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1.4.1 </w:t>
      </w:r>
      <w:r>
        <w:rPr>
          <w:rFonts w:hint="eastAsia" w:cs="Arial" w:asciiTheme="minorEastAsia" w:hAnsiTheme="minorEastAsia"/>
          <w:kern w:val="0"/>
          <w:sz w:val="24"/>
          <w:szCs w:val="24"/>
        </w:rPr>
        <w:t>评审办法：见供应商须知前附表。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1.4.2</w:t>
      </w:r>
      <w:r>
        <w:rPr>
          <w:rFonts w:hint="eastAsia" w:cs="Arial" w:asciiTheme="minorEastAsia" w:hAnsiTheme="minorEastAsia"/>
          <w:kern w:val="0"/>
          <w:sz w:val="24"/>
          <w:szCs w:val="24"/>
        </w:rPr>
        <w:t xml:space="preserve"> 成交方法：见供应商须知前附表。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1.5 </w:t>
      </w:r>
      <w:r>
        <w:rPr>
          <w:rFonts w:hint="eastAsia" w:cs="Arial" w:asciiTheme="minorEastAsia" w:hAnsiTheme="minorEastAsia"/>
          <w:kern w:val="0"/>
          <w:sz w:val="24"/>
          <w:szCs w:val="24"/>
        </w:rPr>
        <w:t>供应商资格条件和能力要求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1.5.1 </w:t>
      </w:r>
      <w:r>
        <w:rPr>
          <w:rFonts w:hint="eastAsia" w:cs="Arial" w:asciiTheme="minorEastAsia" w:hAnsiTheme="minorEastAsia"/>
          <w:kern w:val="0"/>
          <w:sz w:val="24"/>
          <w:szCs w:val="24"/>
        </w:rPr>
        <w:t>供应商应具备承担本采购项目的资格条件和能力，具体要求见供应商须知前附表。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1.5.2 </w:t>
      </w:r>
      <w:r>
        <w:rPr>
          <w:rFonts w:hint="eastAsia" w:cs="Arial" w:asciiTheme="minorEastAsia" w:hAnsiTheme="minorEastAsia"/>
          <w:kern w:val="0"/>
          <w:sz w:val="24"/>
          <w:szCs w:val="24"/>
        </w:rPr>
        <w:t>供应商不得存在下列情形之一，否则相关投标均应被否决：</w:t>
      </w:r>
    </w:p>
    <w:p>
      <w:pPr>
        <w:autoSpaceDE w:val="0"/>
        <w:autoSpaceDN w:val="0"/>
        <w:spacing w:line="360" w:lineRule="auto"/>
        <w:ind w:firstLine="480" w:firstLineChars="200"/>
        <w:jc w:val="left"/>
        <w:rPr>
          <w:rFonts w:asciiTheme="minorEastAsia" w:hAnsiTheme="minorEastAsia"/>
          <w:sz w:val="24"/>
          <w:szCs w:val="24"/>
        </w:rPr>
      </w:pPr>
      <w:bookmarkStart w:id="6" w:name="_BookMark_5"/>
      <w:bookmarkEnd w:id="6"/>
      <w:r>
        <w:rPr>
          <w:rFonts w:hint="eastAsia" w:cs="宋体" w:asciiTheme="minorEastAsia" w:hAnsiTheme="minorEastAsia"/>
          <w:kern w:val="0"/>
          <w:sz w:val="24"/>
          <w:szCs w:val="24"/>
        </w:rPr>
        <w:t>（</w:t>
      </w: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asciiTheme="minorEastAsia" w:hAnsiTheme="minorEastAsia"/>
          <w:sz w:val="24"/>
          <w:szCs w:val="24"/>
        </w:rPr>
        <w:t>与采购人存在利害关系可能影响招标公正性的法人、其他组织或者个人，不得参加投标。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2</w:t>
      </w:r>
      <w:r>
        <w:rPr>
          <w:rFonts w:hint="eastAsia" w:cs="宋体" w:asciiTheme="minorEastAsia" w:hAnsiTheme="minorEastAsia"/>
          <w:kern w:val="0"/>
          <w:sz w:val="24"/>
          <w:szCs w:val="24"/>
        </w:rPr>
        <w:t>）单位负责人为同一人或者存在控股、管理关系的不同供应商，不得参加同一合同项下的政府采购活动。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6费用承担</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1.6.1竞争性谈判文件费：见供应商须知前附表。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1.6.2供应商应承担其编制竞争性谈判响应文件与递交竞争性谈判响应文件所涉及的一切费用，无论投标结果如何，采购人及采购代理机构对上述费用不作任何补偿。采购代理费由成交人支付。</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7谈判保证金：见供应商须知前附表。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1.8踏勘现场</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供应商须知前附表规定组织踏勘现场的，采购人或采购代理机构按供应商须知前附表规定的时间、地点组织供应商踏勘项目现场。</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供应商踏勘现场发生的费用自理。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除采购人或采购代理机构的原因外，供应商自行负责在踏勘现场中所发生的人员伤亡和财产损失。</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.4 </w:t>
      </w:r>
      <w:r>
        <w:rPr>
          <w:rFonts w:hint="eastAsia" w:cs="Arial" w:asciiTheme="minorEastAsia" w:hAnsiTheme="minorEastAsia"/>
          <w:kern w:val="0"/>
          <w:sz w:val="24"/>
          <w:szCs w:val="24"/>
        </w:rPr>
        <w:t>采购人或采购代理机构在踏勘现场中介绍的项目有关情况，供应商在编制竞争性谈判响应文件时参考，采购人或采购代理机构不对供应商据此作出的判断和决策负责。</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9答疑会和澄清答疑要求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9</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供应商须知前附表规定召开答疑会的，采购人或采购代理机构按照供应商须知前附表规定的时间和地点召开答疑会，澄清供应商提出的问题。</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9</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供应商若有疑问，应按供应商须知前附表规定的时间、方式向采购人或采购代理机构提出，要求采购人对竞争性谈判文件予以澄清。</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9</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1.10竞争性谈判响应文件份数：见供应商须知前附表。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1.11竞争性谈判响应文件递交：见供应商须知前附表。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1.12开标：见供应商须知前附表。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1.13投标有效期：见供应商须知前附表。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1.14竞争性谈判公告发布媒体：见供应商须知前附表。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1.15履约保证金：见供应商须知前附表。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1.16保密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参与采购活动的各方应当对竞争性谈判文件和竞争性谈判响应文件中的商业和技术等秘密保密，否则应当承担相应的法律责任。</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17语言文字</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除专用术语外，与采购有关的语言均应当使用中文。必要时专用术语应附有中文注释。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18计量单位</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所有计量均采用中华人民共和国法定计量单位。</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19偏离</w:t>
      </w:r>
    </w:p>
    <w:p>
      <w:pPr>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19.1本条所称偏离为响应文件对竞争性谈判文件的偏离，即不满足、或不响应竞争性谈判文件的要求。偏离分为对竞争性谈判文件的实质性要求条款偏离和对竞争性谈判文件的一般商务和技术条款偏离。</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1.</w:t>
      </w:r>
      <w:r>
        <w:rPr>
          <w:rFonts w:hint="eastAsia" w:cs="Arial" w:asciiTheme="minorEastAsia" w:hAnsiTheme="minorEastAsia"/>
          <w:kern w:val="0"/>
          <w:sz w:val="24"/>
          <w:szCs w:val="24"/>
        </w:rPr>
        <w:t>19.2除法律、法规和规章规定外。竞争性谈判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竞争性谈判文件中的每一个条款及要求，因误读竞争性谈判文件而造成的后果，采购人概不负责。</w:t>
      </w:r>
    </w:p>
    <w:p>
      <w:pPr>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1.20政府采购政策的支持</w:t>
      </w:r>
    </w:p>
    <w:p>
      <w:pPr>
        <w:adjustRightInd w:val="0"/>
        <w:snapToGrid w:val="0"/>
        <w:spacing w:line="360" w:lineRule="auto"/>
        <w:ind w:firstLine="480" w:firstLineChars="200"/>
        <w:contextualSpacing/>
        <w:rPr>
          <w:rFonts w:cs="Arial" w:asciiTheme="minorEastAsia" w:hAnsiTheme="minorEastAsia"/>
          <w:kern w:val="0"/>
          <w:sz w:val="24"/>
          <w:szCs w:val="24"/>
        </w:rPr>
      </w:pPr>
      <w:r>
        <w:rPr>
          <w:rFonts w:hint="eastAsia" w:ascii="宋体" w:hAnsi="宋体"/>
          <w:sz w:val="24"/>
        </w:rPr>
        <w:t>依据①《政府采购促进中小企业发展暂行办法》（财库〔2020〕46号）及《关于进一步加大政府采购支持中小企业力度的通知》财库〔</w:t>
      </w:r>
      <w:r>
        <w:rPr>
          <w:rFonts w:ascii="宋体" w:hAnsi="宋体"/>
          <w:sz w:val="24"/>
        </w:rPr>
        <w:t>2022</w:t>
      </w:r>
      <w:r>
        <w:rPr>
          <w:rFonts w:hint="eastAsia" w:ascii="宋体" w:hAnsi="宋体"/>
          <w:sz w:val="24"/>
        </w:rPr>
        <w:t>〕</w:t>
      </w:r>
      <w:r>
        <w:rPr>
          <w:rFonts w:ascii="宋体" w:hAnsi="宋体"/>
          <w:sz w:val="24"/>
        </w:rPr>
        <w:t>19</w:t>
      </w:r>
      <w:r>
        <w:rPr>
          <w:rFonts w:hint="eastAsia" w:ascii="宋体" w:hAnsi="宋体"/>
          <w:sz w:val="24"/>
        </w:rPr>
        <w:t>号； ②《财政部、司法部关于政府采购支持监狱企业发展有关问题的通知》（财库〔2014〕68号）； ③《财政部、民政部、中国残疾人联合会关于促进残疾人就业政府采购政策的通知》财库〔2017〕141号。</w:t>
      </w:r>
      <w:r>
        <w:rPr>
          <w:rFonts w:hint="eastAsia" w:asciiTheme="minorEastAsia" w:hAnsiTheme="minorEastAsia"/>
          <w:sz w:val="24"/>
          <w:szCs w:val="24"/>
        </w:rPr>
        <w:t>本项目为专门面向中小企业。</w:t>
      </w:r>
      <w:r>
        <w:rPr>
          <w:rFonts w:cs="Arial" w:asciiTheme="minorEastAsia" w:hAnsiTheme="minorEastAsia"/>
          <w:kern w:val="0"/>
          <w:sz w:val="24"/>
          <w:szCs w:val="24"/>
        </w:rPr>
        <w:t>预算金额为：</w:t>
      </w:r>
      <w:r>
        <w:rPr>
          <w:rFonts w:hint="eastAsia" w:cs="Arial" w:asciiTheme="minorEastAsia" w:hAnsiTheme="minorEastAsia"/>
          <w:kern w:val="0"/>
          <w:sz w:val="24"/>
          <w:szCs w:val="24"/>
          <w:lang w:val="en-US" w:eastAsia="zh-CN"/>
        </w:rPr>
        <w:t>78</w:t>
      </w:r>
      <w:r>
        <w:rPr>
          <w:rFonts w:hint="eastAsia" w:cs="Arial" w:asciiTheme="minorEastAsia" w:hAnsiTheme="minorEastAsia"/>
          <w:kern w:val="0"/>
          <w:sz w:val="24"/>
          <w:szCs w:val="24"/>
        </w:rPr>
        <w:t>万元。</w:t>
      </w:r>
    </w:p>
    <w:p>
      <w:pPr>
        <w:adjustRightInd w:val="0"/>
        <w:snapToGrid w:val="0"/>
        <w:spacing w:line="360" w:lineRule="auto"/>
        <w:ind w:firstLine="480" w:firstLineChars="200"/>
        <w:contextualSpacing/>
        <w:rPr>
          <w:rFonts w:cs="Arial" w:asciiTheme="minorEastAsia" w:hAnsiTheme="minorEastAsia"/>
          <w:kern w:val="0"/>
          <w:sz w:val="24"/>
          <w:szCs w:val="24"/>
        </w:rPr>
      </w:pPr>
      <w:r>
        <w:rPr>
          <w:rFonts w:hint="eastAsia" w:cs="Arial" w:asciiTheme="minorEastAsia" w:hAnsiTheme="minorEastAsia"/>
          <w:kern w:val="0"/>
          <w:sz w:val="24"/>
          <w:szCs w:val="24"/>
        </w:rPr>
        <w:t>依据《新疆维吾尔自治区政府采购促进中小企业发展管理实施办法》规定享受扶持政策获得政府采购合同的，小微企业不得将合同分包给大中型企业，中型企业不得将合同分包给大型企业。</w:t>
      </w:r>
    </w:p>
    <w:p>
      <w:pPr>
        <w:pStyle w:val="19"/>
        <w:spacing w:line="360" w:lineRule="auto"/>
        <w:ind w:firstLine="480" w:firstLineChars="200"/>
        <w:rPr>
          <w:rFonts w:cs="Arial" w:asciiTheme="minorEastAsia" w:hAnsiTheme="minorEastAsia" w:eastAsiaTheme="minorEastAsia"/>
          <w:szCs w:val="24"/>
        </w:rPr>
      </w:pPr>
      <w:r>
        <w:rPr>
          <w:rFonts w:hint="eastAsia" w:cs="Arial" w:asciiTheme="minorEastAsia" w:hAnsiTheme="minorEastAsia" w:eastAsiaTheme="minorEastAsia"/>
          <w:szCs w:val="24"/>
        </w:rPr>
        <w:t>本项目对应的中小企业划分标准所属行业为：本项目根据《关于印发中小企业划型标准规定的通知》工信部联企业【2011】300号文件，所属行业划分为工业制造业。</w:t>
      </w:r>
    </w:p>
    <w:p>
      <w:pPr>
        <w:spacing w:line="360" w:lineRule="auto"/>
        <w:ind w:firstLine="480" w:firstLineChars="200"/>
      </w:pPr>
      <w:r>
        <w:rPr>
          <w:rFonts w:hint="eastAsia" w:cs="Arial" w:asciiTheme="minorEastAsia" w:hAnsiTheme="minorEastAsia"/>
          <w:kern w:val="0"/>
          <w:sz w:val="24"/>
          <w:szCs w:val="24"/>
        </w:rPr>
        <w:t>参照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号文）规定的品目范围</w:t>
      </w:r>
      <w:r>
        <w:rPr>
          <w:rFonts w:hint="eastAsia" w:ascii="宋体" w:hAnsi="宋体" w:eastAsia="宋体" w:cs="宋体"/>
          <w:sz w:val="24"/>
          <w:szCs w:val="24"/>
        </w:rPr>
        <w:t>内且符合标准（需提供证明材料），在投标报价时必须对此类产品单独分项报价，计算出小计及占合同包总金额的百分比，并提供属于品目内产品的证明资料，未单独分项报价且未提供属于品目内且符合标准产品的证明资料的不给予评审价格扣除。</w:t>
      </w:r>
      <w:r>
        <w:rPr>
          <w:rFonts w:hint="eastAsia" w:cs="Arial" w:asciiTheme="minorEastAsia" w:hAnsiTheme="minorEastAsia"/>
          <w:kern w:val="0"/>
          <w:sz w:val="24"/>
          <w:szCs w:val="24"/>
        </w:rPr>
        <w:t>本项目采购范围内产品不适用。</w:t>
      </w:r>
    </w:p>
    <w:p>
      <w:pPr>
        <w:tabs>
          <w:tab w:val="center" w:pos="4832"/>
          <w:tab w:val="left" w:pos="7140"/>
        </w:tabs>
        <w:spacing w:line="360" w:lineRule="auto"/>
        <w:ind w:firstLine="482" w:firstLineChars="200"/>
        <w:jc w:val="left"/>
        <w:outlineLvl w:val="1"/>
        <w:rPr>
          <w:rFonts w:cs="宋体" w:asciiTheme="minorEastAsia" w:hAnsiTheme="minorEastAsia"/>
          <w:b/>
          <w:sz w:val="24"/>
          <w:szCs w:val="24"/>
        </w:rPr>
      </w:pPr>
      <w:bookmarkStart w:id="7" w:name="_Toc136609690"/>
      <w:r>
        <w:rPr>
          <w:rFonts w:cs="宋体" w:asciiTheme="minorEastAsia" w:hAnsiTheme="minorEastAsia"/>
          <w:b/>
          <w:sz w:val="24"/>
          <w:szCs w:val="24"/>
        </w:rPr>
        <w:t>2</w:t>
      </w:r>
      <w:r>
        <w:rPr>
          <w:rFonts w:hint="eastAsia" w:cs="宋体" w:asciiTheme="minorEastAsia" w:hAnsiTheme="minorEastAsia"/>
          <w:b/>
          <w:sz w:val="24"/>
          <w:szCs w:val="24"/>
        </w:rPr>
        <w:t>．竞争性谈判文件</w:t>
      </w:r>
      <w:bookmarkEnd w:id="7"/>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2.1 </w:t>
      </w:r>
      <w:r>
        <w:rPr>
          <w:rFonts w:hint="eastAsia" w:cs="Arial" w:asciiTheme="minorEastAsia" w:hAnsiTheme="minorEastAsia"/>
          <w:kern w:val="0"/>
          <w:sz w:val="24"/>
          <w:szCs w:val="24"/>
        </w:rPr>
        <w:t>竞争性谈判文件的组成</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（1）竞争性谈判公告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（2）供应商须知；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（3）评标办法；</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（4）合同条款及格式；</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（5）服务标准和要求；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（6）竞争性谈判响应文件格式；</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根据本章第</w:t>
      </w:r>
      <w:r>
        <w:rPr>
          <w:rFonts w:cs="Arial" w:asciiTheme="minorEastAsia" w:hAnsiTheme="minorEastAsia"/>
          <w:kern w:val="0"/>
          <w:sz w:val="24"/>
          <w:szCs w:val="24"/>
        </w:rPr>
        <w:t>2.4</w:t>
      </w:r>
      <w:r>
        <w:rPr>
          <w:rFonts w:hint="eastAsia" w:cs="Arial" w:asciiTheme="minorEastAsia" w:hAnsiTheme="minorEastAsia"/>
          <w:kern w:val="0"/>
          <w:sz w:val="24"/>
          <w:szCs w:val="24"/>
        </w:rPr>
        <w:t>款和第</w:t>
      </w:r>
      <w:r>
        <w:rPr>
          <w:rFonts w:cs="Arial" w:asciiTheme="minorEastAsia" w:hAnsiTheme="minorEastAsia"/>
          <w:kern w:val="0"/>
          <w:sz w:val="24"/>
          <w:szCs w:val="24"/>
        </w:rPr>
        <w:t>2.5</w:t>
      </w:r>
      <w:r>
        <w:rPr>
          <w:rFonts w:hint="eastAsia" w:cs="Arial" w:asciiTheme="minorEastAsia" w:hAnsiTheme="minorEastAsia"/>
          <w:kern w:val="0"/>
          <w:sz w:val="24"/>
          <w:szCs w:val="24"/>
        </w:rPr>
        <w:t>款对竞争性谈判文件所作的澄清、修改，构成竞争性谈判文件的组成部分。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2竞争性谈判文件的获取</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凡有意参加并符合供应商须知前附表“供应商资格条件和能力”的供应商，均可登陆政采云https://www.zcygov.cn/平台后进入“项目采购“应用，在获取文件菜单中选择项目，申请获取采购文件。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3竞争性谈判文件的澄清</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3</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供应商应当仔细阅读和检查竞争性谈判文件的全部内容。如发现内容不全，应当及时向采购人提出，以便补齐。如有疑问，应当在供应商须知前附表规定的时间、方式向采购人提出，要求采购人对竞争性谈判文件予以澄清。</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3</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竞争性谈判文件的澄清将按照供应商须知前附表规定的时间、方式发布，但不指明澄清问题的来源。</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4竞争性谈判文件的修改</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竞争性谈判文件的修改将按照供应商须知前附表规定的时间、方式发布，但不指明澄清问题的来源。</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在供应商须知前附表规定的截止时间前，无论出于何种原因，采购代理机构和采购人可主动地或在解答潜在供应商提出的澄清问题时对竞争性谈判文件进行修改。</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竞争性谈判文件的修改部分是竞争性谈判文件的组成部分对供应商具有约束力。</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.4 </w:t>
      </w:r>
      <w:r>
        <w:rPr>
          <w:rFonts w:hint="eastAsia" w:cs="Arial" w:asciiTheme="minorEastAsia" w:hAnsiTheme="minorEastAsia"/>
          <w:kern w:val="0"/>
          <w:sz w:val="24"/>
          <w:szCs w:val="24"/>
        </w:rPr>
        <w:t>为使供应商准备投标时有充分时间对竞争性谈判文件的修改部分进行研究，采购人可适当顺延响应文件递交截止期。</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.5 </w:t>
      </w:r>
      <w:r>
        <w:rPr>
          <w:rFonts w:hint="eastAsia" w:cs="Arial" w:asciiTheme="minorEastAsia" w:hAnsiTheme="minorEastAsia"/>
          <w:kern w:val="0"/>
          <w:sz w:val="24"/>
          <w:szCs w:val="24"/>
        </w:rPr>
        <w:t>当采购人发放的竞争性谈判文件及竞争性谈判文件的答疑文件、修改文件、补充文件前后不一致，发生矛盾情况时，以最后发出的为准。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.6 </w:t>
      </w:r>
      <w:r>
        <w:rPr>
          <w:rFonts w:hint="eastAsia" w:cs="Arial" w:asciiTheme="minorEastAsia" w:hAnsiTheme="minorEastAsia"/>
          <w:kern w:val="0"/>
          <w:sz w:val="24"/>
          <w:szCs w:val="24"/>
        </w:rPr>
        <w:t>如果竞争性谈判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pPr>
        <w:tabs>
          <w:tab w:val="center" w:pos="4832"/>
          <w:tab w:val="left" w:pos="7140"/>
        </w:tabs>
        <w:spacing w:line="360" w:lineRule="auto"/>
        <w:ind w:firstLine="472" w:firstLineChars="196"/>
        <w:jc w:val="left"/>
        <w:outlineLvl w:val="1"/>
        <w:rPr>
          <w:rFonts w:cs="宋体" w:asciiTheme="minorEastAsia" w:hAnsiTheme="minorEastAsia"/>
          <w:b/>
          <w:sz w:val="24"/>
          <w:szCs w:val="24"/>
        </w:rPr>
      </w:pPr>
      <w:bookmarkStart w:id="8" w:name="_BookMark_6"/>
      <w:bookmarkEnd w:id="8"/>
      <w:bookmarkStart w:id="9" w:name="_Toc136609691"/>
      <w:r>
        <w:rPr>
          <w:rFonts w:cs="宋体" w:asciiTheme="minorEastAsia" w:hAnsiTheme="minorEastAsia"/>
          <w:b/>
          <w:sz w:val="24"/>
          <w:szCs w:val="24"/>
        </w:rPr>
        <w:t>3</w:t>
      </w:r>
      <w:r>
        <w:rPr>
          <w:rFonts w:hint="eastAsia" w:cs="宋体" w:asciiTheme="minorEastAsia" w:hAnsiTheme="minorEastAsia"/>
          <w:b/>
          <w:sz w:val="24"/>
          <w:szCs w:val="24"/>
        </w:rPr>
        <w:t>．竞争性谈判响应文件</w:t>
      </w:r>
      <w:bookmarkEnd w:id="9"/>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3.1.要求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3.1.1供应商应详细阅读竞争性谈判文件中的条款、格式、表示、条件和规范等所有内容，按竞争性谈判文件的要求提供电子响应文件，并保证所提供的全部材料的真实性，以使其投标对竞争性谈判文件做出实质性响应。否则，其投标可能被拒绝。</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3.1.2响应文件语言和度量单位</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1）响应文件及供应商和采购人就招标、投标交换的文件和往来信件，须以中文书写。供应商可提交其他语言的资料，但应附中文注释，在有差异时，以中文为主。</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2）除在竞争性谈判文件的技术规格中另有规定外，计量单位应使用中华人民共和国法定计量单位（国际单位制和国家选定的其它计量单位）。</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3.2.响应文件的组成</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1）响应文件组成内容详见响应文件格式</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2）所有资格证明文件，正本中的资格证明文件（如资质证书等）均须为加盖供应商公章的复印件或扫描件，以备开标时审查。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3）评审前，采购人或采购代理机构将根据供应商提供的资格证明文件对其进行资格审查。所有资格证明文件必须满足竞争性谈判文件的要求，否则将导致投标被否决。</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4）供应商可按竞争性谈判文件的范本格式中提供的响应文件格式填写响应文件；如提供的范本格式有不完善之处，请自行补充完善。</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3.3.符合竞争性谈判文件规定的证明文件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1）供应商提供的资格证明材料，须满足供应商须知前附表的要求。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2）供应商为联合体形式的，则应提交联合体各方的资格文件，否则将视为未实质性响应条款而被拒绝。</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3）供应商确保所提供货物（或服务），其质量满足中华人民共和国国家相关标准，使用的原辅材料要符合质量要求，拟投入的设备完好率足以胜任本项目的工作。</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4）供应商须提交证明拟供货物（或服务）符合竞争性谈判文件规定的技术响应文件，作为响应文件的一部分。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5）提供的货物（或服务）符合规定的相应技术标准、环保及节能标准等。</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6）对照采购人的采购内容及技术要求，逐条确定，指出所提供的货物（或服务）是否实质性响应竞争性谈判文件的要求，如有偏离，须填报偏离表。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投标价格</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成交后不予调整。</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4.2其报价须保证在投标有效期及交付期内固定不变。采购人不接受有任何选择性报价。</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4.3为了防止本次采购的投标报价过高，超出采购人为本次采购项目的资金支付能力，采购人依据主管部门的批复为本次采购项目的设定了采购最高限价，如果供应商的投标报价高于本标项的采购最高限价，其响应文件将被拒绝；如果所有供应商的投标报价均超出采购最高限价，采购人有权重新组织采购。</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4.4 谈判结束后，谈判小组可根据谈判情况，要求供应商进行第二次报价或多轮报价，并确定最终报价。最终报价是响应文件的有效组成部分。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4.5 参与竞争性谈判项目供应商，开标结束后，请及时进入“网上报价”页面（详见操作手册），等待最终报价通知。如未在系统提示的报价时限内报价，则视为上一轮报价为最终报价。</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4.6投标报价货币单位：人民币。</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w:t>
      </w:r>
      <w:r>
        <w:rPr>
          <w:rFonts w:cs="Arial" w:asciiTheme="minorEastAsia" w:hAnsiTheme="minorEastAsia"/>
          <w:kern w:val="0"/>
          <w:sz w:val="24"/>
          <w:szCs w:val="24"/>
        </w:rPr>
        <w:t>.</w:t>
      </w:r>
      <w:r>
        <w:rPr>
          <w:rFonts w:hint="eastAsia" w:cs="Arial" w:asciiTheme="minorEastAsia" w:hAnsiTheme="minorEastAsia"/>
          <w:kern w:val="0"/>
          <w:sz w:val="24"/>
          <w:szCs w:val="24"/>
        </w:rPr>
        <w:t>7</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供应商的投标价格不能超出本项目采购预算金额。</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3.5.响应文件的签署及规定</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3.5.1电子响应文件使用政采云平台响应文件制作工具以及谈判文件要求进行制作编制。响应文件制作时，按照谈判文件中明确的响应文件目录和格式进行编制，保证目录清晰、内容完整。</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3.5.2电子响应文件须使用供应商电子公章及法定代表人的电子签名。若无电子签章和签名，则视为无效响应。</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3.5.3电子招投标文件具有法律效力，与其他形式的招投标文件在内容和格式上等同，若响应文件与谈判文件要求不一致，其内容影响成交结果时，责任由供应商自行承担。供应商递交的电子响应文件因供应商自身原因而导致无法导入电子辅助评标系统，该响应文件视为无效响应文件，将导致其响应被拒绝。</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投标有效期</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在供应商须知前附表规定的投标有效期内，供应商不得要求撤销或修改其竞争性谈判响应文件。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出现特殊情况需要延长投标有效期的，采购人将通知所有供应商延长投标有效期。供应商同意延长的，应当相应延长其谈判保证金的有效期，但不得要求或被允许修改或撤销其竞争性谈判响应文件；供应商拒绝延长的，其投标失效，但供应商有权收回其谈判保证金。</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谈判保证金的有效期与投标有效期一致。</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谈判保证金</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供应商应于投标截止时间前按供应商须知前附表规定数额提交谈判保证金。未提交谈判保证金的，将被视为非响应性投标而予以拒绝。</w:t>
      </w:r>
    </w:p>
    <w:p>
      <w:pPr>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.2</w:t>
      </w:r>
      <w:r>
        <w:rPr>
          <w:rFonts w:hint="eastAsia" w:cs="Arial" w:asciiTheme="minorEastAsia" w:hAnsiTheme="minorEastAsia"/>
          <w:kern w:val="0"/>
          <w:sz w:val="24"/>
          <w:szCs w:val="24"/>
        </w:rPr>
        <w:t>谈判保证金是为了保护采购人免遭因供应商的行为而蒙受损失。采购人在因供应商的行为受到损害时可根据相关法律规定没收供应商的谈判保证金。</w:t>
      </w:r>
    </w:p>
    <w:p>
      <w:pPr>
        <w:autoSpaceDE w:val="0"/>
        <w:autoSpaceDN w:val="0"/>
        <w:adjustRightInd w:val="0"/>
        <w:spacing w:line="360" w:lineRule="auto"/>
        <w:ind w:firstLine="480" w:firstLineChars="200"/>
        <w:jc w:val="left"/>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w:t>
      </w:r>
      <w:r>
        <w:rPr>
          <w:rFonts w:hint="eastAsia" w:cs="Arial" w:asciiTheme="minorEastAsia" w:hAnsiTheme="minorEastAsia"/>
          <w:kern w:val="0"/>
          <w:sz w:val="24"/>
          <w:szCs w:val="24"/>
        </w:rPr>
        <w:t>3 供应商在投标截止时间前撤回已提交的响应文件的，采购人或者采购代理机构应当自收到供应商书面撤回通知之日起</w:t>
      </w:r>
      <w:r>
        <w:rPr>
          <w:rFonts w:cs="Arial" w:asciiTheme="minorEastAsia" w:hAnsiTheme="minorEastAsia"/>
          <w:kern w:val="0"/>
          <w:sz w:val="24"/>
          <w:szCs w:val="24"/>
        </w:rPr>
        <w:t>5</w:t>
      </w:r>
      <w:r>
        <w:rPr>
          <w:rFonts w:hint="eastAsia" w:cs="Arial" w:asciiTheme="minorEastAsia" w:hAnsiTheme="minorEastAsia"/>
          <w:kern w:val="0"/>
          <w:sz w:val="24"/>
          <w:szCs w:val="24"/>
        </w:rPr>
        <w:t>个工作日内，退还已收取的谈判保证金，但因供应商自身原因导致无法及时退还的除外。采购人或者采购代理机构应当自成交通知书发出之日起</w:t>
      </w:r>
      <w:r>
        <w:rPr>
          <w:rFonts w:cs="Arial" w:asciiTheme="minorEastAsia" w:hAnsiTheme="minorEastAsia"/>
          <w:kern w:val="0"/>
          <w:sz w:val="24"/>
          <w:szCs w:val="24"/>
        </w:rPr>
        <w:t>5</w:t>
      </w:r>
      <w:r>
        <w:rPr>
          <w:rFonts w:hint="eastAsia" w:cs="Arial" w:asciiTheme="minorEastAsia" w:hAnsiTheme="minorEastAsia"/>
          <w:kern w:val="0"/>
          <w:sz w:val="24"/>
          <w:szCs w:val="24"/>
        </w:rPr>
        <w:t>个工作日内退还未成交人的谈判保证金，自采购合同签订之日起</w:t>
      </w:r>
      <w:r>
        <w:rPr>
          <w:rFonts w:cs="Arial" w:asciiTheme="minorEastAsia" w:hAnsiTheme="minorEastAsia"/>
          <w:kern w:val="0"/>
          <w:sz w:val="24"/>
          <w:szCs w:val="24"/>
        </w:rPr>
        <w:t>5</w:t>
      </w:r>
      <w:r>
        <w:rPr>
          <w:rFonts w:hint="eastAsia" w:cs="Arial" w:asciiTheme="minorEastAsia" w:hAnsiTheme="minorEastAsia"/>
          <w:kern w:val="0"/>
          <w:sz w:val="24"/>
          <w:szCs w:val="24"/>
        </w:rPr>
        <w:t>个工作日内退还成交人的谈判保证金。</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w:t>
      </w:r>
      <w:r>
        <w:rPr>
          <w:rFonts w:hint="eastAsia" w:cs="Arial" w:asciiTheme="minorEastAsia" w:hAnsiTheme="minorEastAsia"/>
          <w:kern w:val="0"/>
          <w:sz w:val="24"/>
          <w:szCs w:val="24"/>
        </w:rPr>
        <w:t>4谈判保证金有效期与投标有效期一致。</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w:t>
      </w:r>
      <w:r>
        <w:rPr>
          <w:rFonts w:hint="eastAsia" w:cs="Arial" w:asciiTheme="minorEastAsia" w:hAnsiTheme="minorEastAsia"/>
          <w:kern w:val="0"/>
          <w:sz w:val="24"/>
          <w:szCs w:val="24"/>
        </w:rPr>
        <w:t>5有下列情形之一的，谈判保证金不予退还：</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1</w:t>
      </w:r>
      <w:r>
        <w:rPr>
          <w:rFonts w:hint="eastAsia" w:cs="Arial" w:asciiTheme="minorEastAsia" w:hAnsiTheme="minorEastAsia"/>
          <w:kern w:val="0"/>
          <w:sz w:val="24"/>
          <w:szCs w:val="24"/>
        </w:rPr>
        <w:t>）供应商在规定的投标有效期内撤销或修改其竞争性谈判响应文件的；</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2</w:t>
      </w:r>
      <w:r>
        <w:rPr>
          <w:rFonts w:hint="eastAsia" w:cs="Arial" w:asciiTheme="minorEastAsia" w:hAnsiTheme="minorEastAsia"/>
          <w:kern w:val="0"/>
          <w:sz w:val="24"/>
          <w:szCs w:val="24"/>
        </w:rPr>
        <w:t>）成交人在收到成交通知书后，无正当理由拒签合同协议书或在签订合同时提出附加条件或者更改合同实质性内容的；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3</w:t>
      </w:r>
      <w:r>
        <w:rPr>
          <w:rFonts w:hint="eastAsia" w:cs="Arial" w:asciiTheme="minorEastAsia" w:hAnsiTheme="minorEastAsia"/>
          <w:kern w:val="0"/>
          <w:sz w:val="24"/>
          <w:szCs w:val="24"/>
        </w:rPr>
        <w:t>）未按竞争性谈判文件规定提交履约保证金的。</w:t>
      </w:r>
    </w:p>
    <w:p>
      <w:pPr>
        <w:tabs>
          <w:tab w:val="center" w:pos="4832"/>
          <w:tab w:val="left" w:pos="7140"/>
        </w:tabs>
        <w:spacing w:line="360" w:lineRule="auto"/>
        <w:ind w:firstLine="472" w:firstLineChars="196"/>
        <w:jc w:val="left"/>
        <w:outlineLvl w:val="1"/>
        <w:rPr>
          <w:rFonts w:cs="宋体" w:asciiTheme="minorEastAsia" w:hAnsiTheme="minorEastAsia"/>
          <w:b/>
          <w:sz w:val="24"/>
          <w:szCs w:val="24"/>
        </w:rPr>
      </w:pPr>
      <w:bookmarkStart w:id="10" w:name="_BookMark_7"/>
      <w:bookmarkEnd w:id="10"/>
      <w:bookmarkStart w:id="11" w:name="_Toc136609692"/>
      <w:r>
        <w:rPr>
          <w:rFonts w:cs="宋体" w:asciiTheme="minorEastAsia" w:hAnsiTheme="minorEastAsia"/>
          <w:b/>
          <w:sz w:val="24"/>
          <w:szCs w:val="24"/>
        </w:rPr>
        <w:t>4</w:t>
      </w:r>
      <w:r>
        <w:rPr>
          <w:rFonts w:hint="eastAsia" w:cs="宋体" w:asciiTheme="minorEastAsia" w:hAnsiTheme="minorEastAsia"/>
          <w:b/>
          <w:sz w:val="24"/>
          <w:szCs w:val="24"/>
        </w:rPr>
        <w:t>．投标</w:t>
      </w:r>
      <w:bookmarkEnd w:id="11"/>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4.1 </w:t>
      </w:r>
      <w:r>
        <w:rPr>
          <w:rFonts w:hint="eastAsia" w:cs="Arial" w:asciiTheme="minorEastAsia" w:hAnsiTheme="minorEastAsia"/>
          <w:kern w:val="0"/>
          <w:sz w:val="24"/>
          <w:szCs w:val="24"/>
        </w:rPr>
        <w:t>竞争性谈判响应文件的密封</w:t>
      </w:r>
    </w:p>
    <w:p>
      <w:pPr>
        <w:autoSpaceDE w:val="0"/>
        <w:autoSpaceDN w:val="0"/>
        <w:spacing w:line="360" w:lineRule="auto"/>
        <w:ind w:firstLine="480" w:firstLineChars="200"/>
        <w:jc w:val="left"/>
        <w:rPr>
          <w:rFonts w:cs="Arial" w:asciiTheme="minorEastAsia" w:hAnsiTheme="minorEastAsia"/>
          <w:kern w:val="0"/>
          <w:sz w:val="24"/>
          <w:szCs w:val="24"/>
        </w:rPr>
      </w:pPr>
      <w:r>
        <w:rPr>
          <w:rFonts w:hint="eastAsia" w:ascii="宋体" w:hAnsi="宋体" w:cs="宋体"/>
          <w:kern w:val="0"/>
          <w:sz w:val="24"/>
          <w:szCs w:val="24"/>
        </w:rPr>
        <w:t>4.1.1响应文件的密封：</w:t>
      </w:r>
      <w:r>
        <w:rPr>
          <w:rFonts w:hint="eastAsia" w:cs="Arial" w:asciiTheme="minorEastAsia" w:hAnsiTheme="minorEastAsia"/>
          <w:kern w:val="0"/>
          <w:sz w:val="24"/>
          <w:szCs w:val="24"/>
        </w:rPr>
        <w:t>加密的电子响应文件（.jmbs格式）加密的电子响应文件（.jmbs格式）应在响应文件递交截止时间前通过政采云平台上传完成。</w:t>
      </w:r>
    </w:p>
    <w:p>
      <w:pPr>
        <w:autoSpaceDE w:val="0"/>
        <w:autoSpaceDN w:val="0"/>
        <w:spacing w:line="360" w:lineRule="auto"/>
        <w:ind w:firstLine="480" w:firstLineChars="200"/>
        <w:jc w:val="left"/>
        <w:rPr>
          <w:rFonts w:ascii="宋体" w:cs="宋体"/>
          <w:bCs/>
          <w:kern w:val="0"/>
          <w:sz w:val="24"/>
          <w:szCs w:val="24"/>
        </w:rPr>
      </w:pPr>
      <w:r>
        <w:rPr>
          <w:rFonts w:hint="eastAsia" w:ascii="宋体" w:hAnsi="宋体" w:cs="宋体"/>
          <w:bCs/>
          <w:kern w:val="0"/>
          <w:sz w:val="24"/>
          <w:szCs w:val="24"/>
        </w:rPr>
        <w:t>4.2 响应文件递交截止时间</w:t>
      </w:r>
    </w:p>
    <w:p>
      <w:pPr>
        <w:autoSpaceDE w:val="0"/>
        <w:autoSpaceDN w:val="0"/>
        <w:spacing w:line="360" w:lineRule="auto"/>
        <w:ind w:firstLine="480" w:firstLineChars="200"/>
        <w:jc w:val="left"/>
        <w:rPr>
          <w:rFonts w:ascii="宋体" w:cs="宋体"/>
          <w:bCs/>
          <w:kern w:val="0"/>
          <w:sz w:val="24"/>
          <w:szCs w:val="24"/>
        </w:rPr>
      </w:pPr>
      <w:r>
        <w:rPr>
          <w:rFonts w:hint="eastAsia" w:ascii="宋体" w:hAnsi="宋体" w:cs="宋体"/>
          <w:bCs/>
          <w:kern w:val="0"/>
          <w:sz w:val="24"/>
          <w:szCs w:val="24"/>
        </w:rPr>
        <w:t>4.2</w:t>
      </w:r>
      <w:r>
        <w:rPr>
          <w:rFonts w:ascii="宋体" w:hAnsi="宋体" w:cs="宋体"/>
          <w:bCs/>
          <w:kern w:val="0"/>
          <w:sz w:val="24"/>
          <w:szCs w:val="24"/>
        </w:rPr>
        <w:t xml:space="preserve">.1 </w:t>
      </w:r>
      <w:r>
        <w:rPr>
          <w:rFonts w:hint="eastAsia" w:ascii="宋体" w:hAnsi="宋体" w:cs="宋体"/>
          <w:bCs/>
          <w:kern w:val="0"/>
          <w:sz w:val="24"/>
          <w:szCs w:val="24"/>
        </w:rPr>
        <w:t>“电子加密响应文件”的递交截止时间及地点为竞争性谈判公告所规定的时间、地点，供应商将“电子加密响应文件”成功上传递交后，供应商可自行打印响应文件接收回执。任何单位和个人不得在开标前开启响应文件。逾期递交的响应文件，采购人、采购代理机构将予以拒收。</w:t>
      </w:r>
    </w:p>
    <w:p>
      <w:pPr>
        <w:autoSpaceDE w:val="0"/>
        <w:autoSpaceDN w:val="0"/>
        <w:spacing w:line="360" w:lineRule="auto"/>
        <w:ind w:firstLine="480" w:firstLineChars="200"/>
        <w:jc w:val="left"/>
        <w:rPr>
          <w:rFonts w:ascii="宋体" w:cs="宋体"/>
          <w:bCs/>
          <w:kern w:val="0"/>
          <w:sz w:val="24"/>
          <w:szCs w:val="24"/>
        </w:rPr>
      </w:pPr>
      <w:r>
        <w:rPr>
          <w:rFonts w:hint="eastAsia" w:ascii="宋体" w:hAnsi="宋体" w:cs="宋体"/>
          <w:bCs/>
          <w:kern w:val="0"/>
          <w:sz w:val="24"/>
          <w:szCs w:val="24"/>
        </w:rPr>
        <w:t>4.2</w:t>
      </w:r>
      <w:r>
        <w:rPr>
          <w:rFonts w:ascii="宋体" w:hAnsi="宋体" w:cs="宋体"/>
          <w:bCs/>
          <w:kern w:val="0"/>
          <w:sz w:val="24"/>
          <w:szCs w:val="24"/>
        </w:rPr>
        <w:t xml:space="preserve">.2 </w:t>
      </w:r>
      <w:r>
        <w:rPr>
          <w:rFonts w:hint="eastAsia" w:ascii="宋体" w:hAnsi="宋体" w:cs="宋体"/>
          <w:bCs/>
          <w:kern w:val="0"/>
          <w:sz w:val="24"/>
          <w:szCs w:val="24"/>
        </w:rPr>
        <w:t>出现因竞争性谈判文件的修改推迟投标截止时间时，则按采购人或者采购代理机构规定的顺延时间递交。</w:t>
      </w:r>
    </w:p>
    <w:p>
      <w:pPr>
        <w:autoSpaceDE w:val="0"/>
        <w:autoSpaceDN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4.3 响应文件的修改和撤回</w:t>
      </w:r>
    </w:p>
    <w:p>
      <w:pPr>
        <w:autoSpaceDE w:val="0"/>
        <w:autoSpaceDN w:val="0"/>
        <w:spacing w:line="360" w:lineRule="auto"/>
        <w:ind w:firstLine="480" w:firstLineChars="200"/>
        <w:jc w:val="left"/>
        <w:rPr>
          <w:rFonts w:ascii="宋体" w:hAnsi="宋体" w:cs="宋体"/>
          <w:bCs/>
          <w:kern w:val="0"/>
          <w:sz w:val="24"/>
          <w:szCs w:val="24"/>
        </w:rPr>
      </w:pPr>
      <w:bookmarkStart w:id="12" w:name="_BookMark_8"/>
      <w:bookmarkEnd w:id="12"/>
      <w:r>
        <w:rPr>
          <w:rFonts w:hint="eastAsia" w:ascii="宋体" w:hAnsi="宋体" w:cs="宋体"/>
          <w:bCs/>
          <w:kern w:val="0"/>
          <w:sz w:val="24"/>
          <w:szCs w:val="24"/>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autoSpaceDE w:val="0"/>
        <w:autoSpaceDN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4.3.2供应商不得在开标时间起至投标有效期期满前撤回响应文件。</w:t>
      </w:r>
    </w:p>
    <w:p>
      <w:pPr>
        <w:autoSpaceDE w:val="0"/>
        <w:autoSpaceDN w:val="0"/>
        <w:spacing w:line="360" w:lineRule="auto"/>
        <w:ind w:firstLine="482" w:firstLineChars="200"/>
        <w:jc w:val="left"/>
        <w:rPr>
          <w:rFonts w:hint="eastAsia" w:ascii="宋体" w:hAnsi="宋体" w:cs="宋体"/>
          <w:b/>
          <w:bCs w:val="0"/>
          <w:kern w:val="0"/>
          <w:sz w:val="24"/>
          <w:szCs w:val="24"/>
        </w:rPr>
      </w:pPr>
      <w:bookmarkStart w:id="13" w:name="_Toc136609693"/>
      <w:r>
        <w:rPr>
          <w:rFonts w:hint="eastAsia" w:ascii="宋体" w:hAnsi="宋体" w:cs="宋体"/>
          <w:b/>
          <w:bCs w:val="0"/>
          <w:kern w:val="0"/>
          <w:sz w:val="24"/>
          <w:szCs w:val="24"/>
        </w:rPr>
        <w:t>5．开标</w:t>
      </w:r>
      <w:bookmarkEnd w:id="13"/>
    </w:p>
    <w:p>
      <w:pPr>
        <w:autoSpaceDE w:val="0"/>
        <w:autoSpaceDN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5.1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autoSpaceDE w:val="0"/>
        <w:autoSpaceDN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autoSpaceDE w:val="0"/>
        <w:autoSpaceDN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5.3参与竞争性谈判项目供应商，开标结束后，请及时进入“网上报价”页面（详见操作手册），等待最终报价通知。如未在系统提示的报价时限内报价，则视为上一轮报价为最终报价。</w:t>
      </w:r>
    </w:p>
    <w:p>
      <w:pPr>
        <w:autoSpaceDE w:val="0"/>
        <w:autoSpaceDN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5.4 开标结束后由采购人或采购代理机构对供应商已解密的电子响应文件进行资格审查（详见资格审查标准）。</w:t>
      </w:r>
    </w:p>
    <w:p>
      <w:pPr>
        <w:autoSpaceDE w:val="0"/>
        <w:autoSpaceDN w:val="0"/>
        <w:spacing w:line="360" w:lineRule="auto"/>
        <w:ind w:firstLine="482" w:firstLineChars="200"/>
        <w:jc w:val="left"/>
        <w:rPr>
          <w:rFonts w:hint="eastAsia" w:ascii="宋体" w:hAnsi="宋体" w:cs="宋体"/>
          <w:b/>
          <w:bCs w:val="0"/>
          <w:kern w:val="0"/>
          <w:sz w:val="24"/>
          <w:szCs w:val="24"/>
        </w:rPr>
      </w:pPr>
      <w:bookmarkStart w:id="14" w:name="_BookMark_9"/>
      <w:bookmarkEnd w:id="14"/>
      <w:bookmarkStart w:id="15" w:name="_Toc136609694"/>
      <w:r>
        <w:rPr>
          <w:rFonts w:hint="eastAsia" w:ascii="宋体" w:hAnsi="宋体" w:cs="宋体"/>
          <w:b/>
          <w:bCs w:val="0"/>
          <w:kern w:val="0"/>
          <w:sz w:val="24"/>
          <w:szCs w:val="24"/>
        </w:rPr>
        <w:t>6．评标</w:t>
      </w:r>
      <w:bookmarkEnd w:id="15"/>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6.1 </w:t>
      </w:r>
      <w:r>
        <w:rPr>
          <w:rFonts w:hint="eastAsia" w:cs="Arial" w:asciiTheme="minorEastAsia" w:hAnsiTheme="minorEastAsia"/>
          <w:kern w:val="0"/>
          <w:sz w:val="24"/>
          <w:szCs w:val="24"/>
        </w:rPr>
        <w:t>谈判小组</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6.1.1 </w:t>
      </w:r>
      <w:r>
        <w:rPr>
          <w:rFonts w:hint="eastAsia" w:cs="Arial" w:asciiTheme="minorEastAsia" w:hAnsiTheme="minorEastAsia"/>
          <w:kern w:val="0"/>
          <w:sz w:val="24"/>
          <w:szCs w:val="24"/>
        </w:rPr>
        <w:t>评标由采购人按照《政府采购评审专家管理办法》财库〔2016〕198号，依法组建的谈判小组负责。谈判小组负责评标工作，并向采购人提交书面评标报告。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6.1.2 </w:t>
      </w:r>
      <w:r>
        <w:rPr>
          <w:rFonts w:hint="eastAsia" w:cs="Arial" w:asciiTheme="minorEastAsia" w:hAnsiTheme="minorEastAsia"/>
          <w:kern w:val="0"/>
          <w:sz w:val="24"/>
          <w:szCs w:val="24"/>
        </w:rPr>
        <w:t>谈判小组成员有下列情形之一的，应当回避：</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1</w:t>
      </w:r>
      <w:r>
        <w:rPr>
          <w:rFonts w:hint="eastAsia" w:cs="Arial" w:asciiTheme="minorEastAsia" w:hAnsiTheme="minorEastAsia"/>
          <w:kern w:val="0"/>
          <w:sz w:val="24"/>
          <w:szCs w:val="24"/>
        </w:rPr>
        <w:t>）参加采购活动前三年内,与供应商存在劳动关系,或者担任过供应商的董事、监事,或者是供应商的控股股东或实际控制人。</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2</w:t>
      </w:r>
      <w:r>
        <w:rPr>
          <w:rFonts w:hint="eastAsia" w:cs="Arial" w:asciiTheme="minorEastAsia" w:hAnsiTheme="minorEastAsia"/>
          <w:kern w:val="0"/>
          <w:sz w:val="24"/>
          <w:szCs w:val="24"/>
        </w:rPr>
        <w:t>）与供应商的法定代表人或者负责人有夫妻、直系血亲、三代以内旁系血亲或者近姻亲关系。</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3</w:t>
      </w:r>
      <w:r>
        <w:rPr>
          <w:rFonts w:hint="eastAsia" w:cs="Arial" w:asciiTheme="minorEastAsia" w:hAnsiTheme="minorEastAsia"/>
          <w:kern w:val="0"/>
          <w:sz w:val="24"/>
          <w:szCs w:val="24"/>
        </w:rPr>
        <w:t>）与供应商有其他可能影响政府采购活动公平、公正进行的关系。</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6.2 </w:t>
      </w:r>
      <w:r>
        <w:rPr>
          <w:rFonts w:hint="eastAsia" w:cs="Arial" w:asciiTheme="minorEastAsia" w:hAnsiTheme="minorEastAsia"/>
          <w:kern w:val="0"/>
          <w:sz w:val="24"/>
          <w:szCs w:val="24"/>
        </w:rPr>
        <w:t>评标原则</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评标活动遵循公平、公正、科学和择优的原则。</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6.3 </w:t>
      </w:r>
      <w:r>
        <w:rPr>
          <w:rFonts w:hint="eastAsia" w:cs="Arial" w:asciiTheme="minorEastAsia" w:hAnsiTheme="minorEastAsia"/>
          <w:kern w:val="0"/>
          <w:sz w:val="24"/>
          <w:szCs w:val="24"/>
        </w:rPr>
        <w:t>评标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谈判小组按照竞争性谈判文件中规定的方法、评审因素、标准和程序对竞争性谈判响应文件进行评审。</w:t>
      </w:r>
    </w:p>
    <w:p>
      <w:pPr>
        <w:numPr>
          <w:ilvl w:val="0"/>
          <w:numId w:val="1"/>
        </w:numPr>
        <w:tabs>
          <w:tab w:val="center" w:pos="4832"/>
          <w:tab w:val="left" w:pos="7140"/>
        </w:tabs>
        <w:spacing w:line="360" w:lineRule="auto"/>
        <w:ind w:firstLine="472" w:firstLineChars="196"/>
        <w:jc w:val="left"/>
        <w:outlineLvl w:val="1"/>
        <w:rPr>
          <w:rFonts w:cs="宋体" w:asciiTheme="minorEastAsia" w:hAnsiTheme="minorEastAsia"/>
          <w:b/>
          <w:sz w:val="24"/>
          <w:szCs w:val="24"/>
        </w:rPr>
      </w:pPr>
      <w:bookmarkStart w:id="16" w:name="_BookMark_10"/>
      <w:bookmarkEnd w:id="16"/>
      <w:bookmarkStart w:id="17" w:name="_Toc136609695"/>
      <w:r>
        <w:rPr>
          <w:rFonts w:hint="eastAsia" w:cs="宋体" w:asciiTheme="minorEastAsia" w:hAnsiTheme="minorEastAsia"/>
          <w:b/>
          <w:sz w:val="24"/>
          <w:szCs w:val="24"/>
        </w:rPr>
        <w:t>定标及合同授予</w:t>
      </w:r>
      <w:bookmarkEnd w:id="17"/>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7.1 </w:t>
      </w:r>
      <w:r>
        <w:rPr>
          <w:rFonts w:hint="eastAsia" w:cs="Arial" w:asciiTheme="minorEastAsia" w:hAnsiTheme="minorEastAsia"/>
          <w:kern w:val="0"/>
          <w:sz w:val="24"/>
          <w:szCs w:val="24"/>
        </w:rPr>
        <w:t>定标方法</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7.1.1 </w:t>
      </w:r>
      <w:r>
        <w:rPr>
          <w:rFonts w:hint="eastAsia" w:cs="Arial" w:asciiTheme="minorEastAsia" w:hAnsiTheme="minorEastAsia"/>
          <w:kern w:val="0"/>
          <w:sz w:val="24"/>
          <w:szCs w:val="24"/>
        </w:rPr>
        <w:t>评标活动遵循公平、公正、科学和择优的原则。谈判小组按照竞争性谈判文件中规定的方法、评审因素、标准和程序对竞争性谈判响应文件进行评审，并按供应商须知前附表的规定向采购人推荐成交候选人。采购人依据谈判小组推荐的成交候选人确定成交人。</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7.1.</w:t>
      </w:r>
      <w:r>
        <w:rPr>
          <w:rFonts w:hint="eastAsia" w:cs="Arial" w:asciiTheme="minorEastAsia" w:hAnsiTheme="minorEastAsia"/>
          <w:kern w:val="0"/>
          <w:sz w:val="24"/>
          <w:szCs w:val="24"/>
        </w:rPr>
        <w:t>2 采购人从成交候选人中确定出成交人的原则：采购人应当按投标报价由低到高顺序排列，投标报价相同的，谈判小组将按照</w:t>
      </w:r>
      <w:r>
        <w:rPr>
          <w:rFonts w:hint="eastAsia" w:ascii="宋体" w:hAnsi="宋体"/>
          <w:sz w:val="24"/>
          <w:szCs w:val="24"/>
        </w:rPr>
        <w:t>按技术指标优劣顺序确定。</w:t>
      </w:r>
      <w:r>
        <w:rPr>
          <w:rFonts w:hint="eastAsia" w:cs="Arial" w:asciiTheme="minorEastAsia" w:hAnsiTheme="minorEastAsia"/>
          <w:kern w:val="0"/>
          <w:sz w:val="24"/>
          <w:szCs w:val="24"/>
        </w:rPr>
        <w:t>响应文件满足采购文件全部实质性要求且投标报价最低的供应商为排名第一的成交候选人。</w:t>
      </w:r>
      <w:r>
        <w:rPr>
          <w:rFonts w:hint="eastAsia" w:ascii="宋体" w:hAnsi="宋体" w:eastAsia="宋体" w:cs="Arial"/>
          <w:kern w:val="0"/>
          <w:sz w:val="24"/>
          <w:szCs w:val="24"/>
        </w:rPr>
        <w:t>排名第一的成交候选人放弃成交、因不可抗力不能履行合同，不按照竞争性谈判文件要求提交履约保证金、或者被查实存在影响成交结果的违法行为等情形，不符合成交条件的，采购人可以按照谈判小组提出的成交候选人名单排名依次确定其他成交候选人为成交人。</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7.2 </w:t>
      </w:r>
      <w:r>
        <w:rPr>
          <w:rFonts w:hint="eastAsia" w:cs="Arial" w:asciiTheme="minorEastAsia" w:hAnsiTheme="minorEastAsia"/>
          <w:kern w:val="0"/>
          <w:sz w:val="24"/>
          <w:szCs w:val="24"/>
        </w:rPr>
        <w:t>成交结果公示</w:t>
      </w:r>
    </w:p>
    <w:p>
      <w:pPr>
        <w:spacing w:line="360" w:lineRule="auto"/>
        <w:ind w:firstLine="480" w:firstLineChars="200"/>
      </w:pPr>
      <w:r>
        <w:rPr>
          <w:rFonts w:hint="eastAsia" w:ascii="宋体" w:hAnsi="宋体"/>
          <w:sz w:val="24"/>
          <w:szCs w:val="24"/>
        </w:rPr>
        <w:t>成交供应商确定后</w:t>
      </w:r>
      <w:r>
        <w:rPr>
          <w:rFonts w:hint="eastAsia" w:cs="Arial" w:asciiTheme="minorEastAsia" w:hAnsiTheme="minorEastAsia"/>
          <w:kern w:val="0"/>
          <w:sz w:val="24"/>
          <w:szCs w:val="24"/>
        </w:rPr>
        <w:t>，成交结果的情况将在竞争性谈判公告发布的媒体上公示，公示期1个工作日。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7.3 </w:t>
      </w:r>
      <w:r>
        <w:rPr>
          <w:rFonts w:hint="eastAsia" w:cs="Arial" w:asciiTheme="minorEastAsia" w:hAnsiTheme="minorEastAsia"/>
          <w:kern w:val="0"/>
          <w:sz w:val="24"/>
          <w:szCs w:val="24"/>
        </w:rPr>
        <w:t>成交通知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成交结果发布同时，采购人向成交人发出成交通知书，并及时通知其它供应商成交结果。</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7.4 </w:t>
      </w:r>
      <w:r>
        <w:rPr>
          <w:rFonts w:hint="eastAsia" w:cs="Arial" w:asciiTheme="minorEastAsia" w:hAnsiTheme="minorEastAsia"/>
          <w:kern w:val="0"/>
          <w:sz w:val="24"/>
          <w:szCs w:val="24"/>
        </w:rPr>
        <w:t>履约保证金</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7.4.1 </w:t>
      </w:r>
      <w:r>
        <w:rPr>
          <w:rFonts w:hint="eastAsia" w:cs="Arial" w:asciiTheme="minorEastAsia" w:hAnsiTheme="minorEastAsia"/>
          <w:kern w:val="0"/>
          <w:sz w:val="24"/>
          <w:szCs w:val="24"/>
        </w:rPr>
        <w:t>在签订合同前，成交人应按供应商须知前附表规定的金额、形式向采购人提交履约保证金。联合体中标的，其履约保证金由牵头人提交，并应符合供应商须知前附表的规定。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7.4.2 </w:t>
      </w:r>
      <w:r>
        <w:rPr>
          <w:rFonts w:hint="eastAsia" w:cs="Arial" w:asciiTheme="minorEastAsia" w:hAnsiTheme="minorEastAsia"/>
          <w:kern w:val="0"/>
          <w:sz w:val="24"/>
          <w:szCs w:val="24"/>
        </w:rPr>
        <w:t>成交人不能按本章第</w:t>
      </w:r>
      <w:r>
        <w:rPr>
          <w:rFonts w:cs="Arial" w:asciiTheme="minorEastAsia" w:hAnsiTheme="minorEastAsia"/>
          <w:kern w:val="0"/>
          <w:sz w:val="24"/>
          <w:szCs w:val="24"/>
        </w:rPr>
        <w:t>7.4.1</w:t>
      </w:r>
      <w:r>
        <w:rPr>
          <w:rFonts w:hint="eastAsia" w:cs="Arial" w:asciiTheme="minorEastAsia" w:hAnsiTheme="minorEastAsia"/>
          <w:kern w:val="0"/>
          <w:sz w:val="24"/>
          <w:szCs w:val="24"/>
        </w:rPr>
        <w:t>款要求提交履约保证金的，视为放弃中标，其谈判保证金不予退还；给采购人造成的损失超过谈判保证金数额的，成交人还应当对超过部分予以赔偿。</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7.5 </w:t>
      </w:r>
      <w:r>
        <w:rPr>
          <w:rFonts w:hint="eastAsia" w:cs="Arial" w:asciiTheme="minorEastAsia" w:hAnsiTheme="minorEastAsia"/>
          <w:kern w:val="0"/>
          <w:sz w:val="24"/>
          <w:szCs w:val="24"/>
        </w:rPr>
        <w:t>签订合同</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7.5.1</w:t>
      </w:r>
      <w:r>
        <w:rPr>
          <w:rFonts w:hint="eastAsia" w:cs="Arial" w:asciiTheme="minorEastAsia" w:hAnsiTheme="minorEastAsia"/>
          <w:kern w:val="0"/>
          <w:sz w:val="24"/>
          <w:szCs w:val="24"/>
        </w:rPr>
        <w:t>采购人应当自成交通知书发出之日起30日内，按照竞争性谈判文件和成交人竞争性谈判响应文件的规定，与成交人签订书面合同。所签订的合同不得对竞争性谈判文件确定的事项和成交人竞争性谈判响应文件作实质性修改。采购人不得向成交人提出任何不合理的要求作为签订合同的条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7.5.2发出成交通知书后，采购人无正当理由拒签合同的，给成交人造成损失的，还应当赔偿成交人损失。</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7.5.</w:t>
      </w:r>
      <w:r>
        <w:rPr>
          <w:rFonts w:hint="eastAsia" w:cs="Arial" w:asciiTheme="minorEastAsia" w:hAnsiTheme="minorEastAsia"/>
          <w:kern w:val="0"/>
          <w:sz w:val="24"/>
          <w:szCs w:val="24"/>
        </w:rPr>
        <w:t>3 发出成交通知书后，成交人无正当理由拒签合同的，采购人取消其中标资格，其谈判保证金不予退还；给采购人造成的损失超过谈判保证金数额的，成交人还应当对超过部分予以赔偿。</w:t>
      </w:r>
    </w:p>
    <w:p>
      <w:pPr>
        <w:tabs>
          <w:tab w:val="center" w:pos="4832"/>
          <w:tab w:val="left" w:pos="7140"/>
        </w:tabs>
        <w:spacing w:line="360" w:lineRule="auto"/>
        <w:ind w:firstLine="472" w:firstLineChars="196"/>
        <w:jc w:val="left"/>
        <w:outlineLvl w:val="1"/>
        <w:rPr>
          <w:rFonts w:cs="宋体" w:asciiTheme="minorEastAsia" w:hAnsiTheme="minorEastAsia"/>
          <w:b/>
          <w:sz w:val="24"/>
          <w:szCs w:val="24"/>
        </w:rPr>
      </w:pPr>
      <w:bookmarkStart w:id="18" w:name="_BookMark_11"/>
      <w:bookmarkEnd w:id="18"/>
      <w:bookmarkStart w:id="19" w:name="_Toc136609696"/>
      <w:r>
        <w:rPr>
          <w:rFonts w:cs="宋体" w:asciiTheme="minorEastAsia" w:hAnsiTheme="minorEastAsia"/>
          <w:b/>
          <w:sz w:val="24"/>
          <w:szCs w:val="24"/>
        </w:rPr>
        <w:t>8</w:t>
      </w:r>
      <w:r>
        <w:rPr>
          <w:rFonts w:hint="eastAsia" w:cs="宋体" w:asciiTheme="minorEastAsia" w:hAnsiTheme="minorEastAsia"/>
          <w:b/>
          <w:sz w:val="24"/>
          <w:szCs w:val="24"/>
        </w:rPr>
        <w:t>．纪律和监督</w:t>
      </w:r>
      <w:bookmarkEnd w:id="19"/>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8.1 </w:t>
      </w:r>
      <w:r>
        <w:rPr>
          <w:rFonts w:hint="eastAsia" w:cs="Arial" w:asciiTheme="minorEastAsia" w:hAnsiTheme="minorEastAsia"/>
          <w:kern w:val="0"/>
          <w:sz w:val="24"/>
          <w:szCs w:val="24"/>
        </w:rPr>
        <w:t>对采购人的纪律要求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采购人不得泄漏采购活动中应当保密的情况和资料，不得与供应商串通损害国家利益、社会公共利益或者他人合法权益。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8.2 </w:t>
      </w:r>
      <w:r>
        <w:rPr>
          <w:rFonts w:hint="eastAsia" w:cs="Arial" w:asciiTheme="minorEastAsia" w:hAnsiTheme="minorEastAsia"/>
          <w:kern w:val="0"/>
          <w:sz w:val="24"/>
          <w:szCs w:val="24"/>
        </w:rPr>
        <w:t>对供应商的纪律要求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供应商不得相互串通投标或者与采购人串通投标，不得向采购人或者谈判小组成员行贿谋取中标，不得以他人名义投标或者以其他方式弄虚作假骗取中标；供应商不得以任何方式干扰、影响评标工作。</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8.3 </w:t>
      </w:r>
      <w:r>
        <w:rPr>
          <w:rFonts w:hint="eastAsia" w:cs="Arial" w:asciiTheme="minorEastAsia" w:hAnsiTheme="minorEastAsia"/>
          <w:kern w:val="0"/>
          <w:sz w:val="24"/>
          <w:szCs w:val="24"/>
        </w:rPr>
        <w:t>对谈判小组成员的纪律要求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谈判小组成员不得收受他人的财物或者其他好处，不得向他人透漏对竞争性谈判响应文件的评审和比较、成交候选人的推荐情况以及评标有关的其他情况。在评标活动中，谈判小组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8.4 </w:t>
      </w:r>
      <w:r>
        <w:rPr>
          <w:rFonts w:hint="eastAsia" w:cs="Arial" w:asciiTheme="minorEastAsia" w:hAnsiTheme="minorEastAsia"/>
          <w:kern w:val="0"/>
          <w:sz w:val="24"/>
          <w:szCs w:val="24"/>
        </w:rPr>
        <w:t>对与评标活动有关的工作人员的纪律要求</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与评标活动有关的工作人员不得收受他人的财物或者其他好处，不得向他人透漏对竞争性谈判响应文件的评审和比较、成交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8.5 </w:t>
      </w:r>
      <w:r>
        <w:rPr>
          <w:rFonts w:hint="eastAsia" w:cs="Arial" w:asciiTheme="minorEastAsia" w:hAnsiTheme="minorEastAsia"/>
          <w:kern w:val="0"/>
          <w:sz w:val="24"/>
          <w:szCs w:val="24"/>
        </w:rPr>
        <w:t>监督</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本项目的招标投标活动及其相关当事人应当接受有管辖权的监督部门依法实施的监督。</w:t>
      </w:r>
      <w:bookmarkStart w:id="20" w:name="_BookMark_12"/>
      <w:bookmarkEnd w:id="20"/>
    </w:p>
    <w:p>
      <w:pPr>
        <w:spacing w:line="360" w:lineRule="auto"/>
        <w:jc w:val="center"/>
        <w:outlineLvl w:val="0"/>
        <w:rPr>
          <w:rFonts w:cs="宋体" w:asciiTheme="minorEastAsia" w:hAnsiTheme="minorEastAsia"/>
          <w:b/>
          <w:sz w:val="24"/>
          <w:szCs w:val="24"/>
        </w:rPr>
      </w:pPr>
      <w:r>
        <w:rPr>
          <w:rFonts w:cs="Arial" w:asciiTheme="minorEastAsia" w:hAnsiTheme="minorEastAsia"/>
          <w:bCs/>
          <w:kern w:val="0"/>
          <w:sz w:val="24"/>
          <w:szCs w:val="24"/>
        </w:rPr>
        <w:br w:type="page"/>
      </w:r>
      <w:bookmarkStart w:id="21" w:name="_Toc136609697"/>
      <w:r>
        <w:rPr>
          <w:rFonts w:hint="eastAsia" w:cs="宋体" w:asciiTheme="minorEastAsia" w:hAnsiTheme="minorEastAsia"/>
          <w:b/>
          <w:sz w:val="24"/>
          <w:szCs w:val="24"/>
        </w:rPr>
        <w:t>第二章 评标办法</w:t>
      </w:r>
      <w:bookmarkEnd w:id="21"/>
    </w:p>
    <w:p>
      <w:pPr>
        <w:widowControl/>
        <w:shd w:val="clear" w:color="auto" w:fill="FFFFFF"/>
        <w:snapToGrid w:val="0"/>
        <w:spacing w:line="360" w:lineRule="auto"/>
        <w:jc w:val="center"/>
        <w:rPr>
          <w:rFonts w:cs="Arial" w:asciiTheme="minorEastAsia" w:hAnsiTheme="minorEastAsia"/>
          <w:b/>
          <w:kern w:val="0"/>
          <w:sz w:val="24"/>
          <w:szCs w:val="24"/>
        </w:rPr>
      </w:pPr>
      <w:bookmarkStart w:id="22" w:name="_BookMark_1"/>
      <w:bookmarkEnd w:id="22"/>
      <w:bookmarkStart w:id="23" w:name="_Toc501719166"/>
      <w:r>
        <w:rPr>
          <w:rFonts w:hint="eastAsia" w:cs="Arial" w:asciiTheme="minorEastAsia" w:hAnsiTheme="minorEastAsia"/>
          <w:b/>
          <w:kern w:val="0"/>
          <w:sz w:val="24"/>
          <w:szCs w:val="24"/>
        </w:rPr>
        <w:t>《资格审查标准》</w:t>
      </w:r>
      <w:bookmarkEnd w:id="23"/>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9"/>
        <w:gridCol w:w="8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hint="eastAsia" w:cs="Arial" w:asciiTheme="minorEastAsia" w:hAnsiTheme="minorEastAsia"/>
                <w:kern w:val="0"/>
                <w:sz w:val="24"/>
                <w:szCs w:val="21"/>
              </w:rPr>
              <w:t>序号</w:t>
            </w:r>
          </w:p>
        </w:tc>
        <w:tc>
          <w:tcPr>
            <w:tcW w:w="8456" w:type="dxa"/>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hint="eastAsia" w:cs="Arial" w:asciiTheme="minorEastAsia" w:hAnsiTheme="minorEastAsia"/>
                <w:kern w:val="0"/>
                <w:sz w:val="24"/>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cs="Arial" w:asciiTheme="minorEastAsia" w:hAnsiTheme="minorEastAsia"/>
                <w:kern w:val="0"/>
                <w:sz w:val="24"/>
                <w:szCs w:val="21"/>
              </w:rPr>
              <w:t>1</w:t>
            </w:r>
          </w:p>
        </w:tc>
        <w:tc>
          <w:tcPr>
            <w:tcW w:w="8456" w:type="dxa"/>
            <w:vAlign w:val="center"/>
          </w:tcPr>
          <w:p>
            <w:pPr>
              <w:widowControl/>
              <w:shd w:val="clear" w:color="auto" w:fill="FFFFFF"/>
              <w:snapToGrid w:val="0"/>
              <w:rPr>
                <w:rFonts w:cs="Arial" w:asciiTheme="minorEastAsia" w:hAnsiTheme="minorEastAsia"/>
                <w:kern w:val="0"/>
                <w:sz w:val="24"/>
                <w:szCs w:val="21"/>
              </w:rPr>
            </w:pPr>
            <w:r>
              <w:rPr>
                <w:rFonts w:cs="Arial" w:asciiTheme="minorEastAsia" w:hAnsiTheme="minorEastAsia"/>
                <w:kern w:val="0"/>
                <w:sz w:val="24"/>
                <w:szCs w:val="21"/>
              </w:rPr>
              <w:t>满足《中华人民共和国政府采购法》第二十二条规定；具有有效的营业执照</w:t>
            </w:r>
            <w:r>
              <w:rPr>
                <w:rFonts w:hint="eastAsia" w:cs="Arial" w:asciiTheme="minorEastAsia" w:hAnsiTheme="minorEastAsia"/>
                <w:kern w:val="0"/>
                <w:sz w:val="24"/>
                <w:szCs w:val="21"/>
              </w:rPr>
              <w:t>,</w:t>
            </w:r>
            <w:r>
              <w:rPr>
                <w:rFonts w:cs="Arial" w:asciiTheme="minorEastAsia" w:hAnsiTheme="minorEastAsia"/>
                <w:kern w:val="0"/>
                <w:sz w:val="24"/>
                <w:szCs w:val="21"/>
              </w:rPr>
              <w:t>具有独立订立合同的权利，能独立承担民事责任的能力；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cs="Arial" w:asciiTheme="minorEastAsia" w:hAnsiTheme="minorEastAsia"/>
                <w:kern w:val="0"/>
                <w:sz w:val="24"/>
                <w:szCs w:val="21"/>
              </w:rPr>
              <w:t>2</w:t>
            </w:r>
          </w:p>
        </w:tc>
        <w:tc>
          <w:tcPr>
            <w:tcW w:w="8456" w:type="dxa"/>
            <w:vAlign w:val="center"/>
          </w:tcPr>
          <w:p>
            <w:pPr>
              <w:widowControl/>
              <w:shd w:val="clear" w:color="auto" w:fill="FFFFFF"/>
              <w:snapToGrid w:val="0"/>
              <w:rPr>
                <w:rFonts w:cs="Arial" w:asciiTheme="minorEastAsia" w:hAnsiTheme="minorEastAsia"/>
                <w:kern w:val="0"/>
                <w:sz w:val="24"/>
                <w:szCs w:val="21"/>
              </w:rPr>
            </w:pPr>
            <w:r>
              <w:rPr>
                <w:rFonts w:hint="eastAsia" w:cs="Arial" w:asciiTheme="minorEastAsia" w:hAnsiTheme="minorEastAsia"/>
                <w:kern w:val="0"/>
                <w:sz w:val="24"/>
                <w:szCs w:val="21"/>
              </w:rPr>
              <w:t>供应商所投产品属于第二类医疗器械的，需提供有效的行政主管部门颁发的医疗器械经营备案凭证（或医疗器械生产许可证或医疗器械经营许可证或其他医疗器械生产经营许可证明文件）；供应商所投产品属于第三类医疗器械的，需提供有效的行政主管部门颁发的医疗器械生产许可证（或医疗器械经营许可证或其他医疗器械生产经营许可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hint="eastAsia" w:cs="Arial" w:asciiTheme="minorEastAsia" w:hAnsiTheme="minorEastAsia"/>
                <w:kern w:val="0"/>
                <w:sz w:val="24"/>
                <w:szCs w:val="21"/>
              </w:rPr>
              <w:t>3</w:t>
            </w:r>
          </w:p>
        </w:tc>
        <w:tc>
          <w:tcPr>
            <w:tcW w:w="8456" w:type="dxa"/>
            <w:tcMar>
              <w:top w:w="0" w:type="dxa"/>
              <w:left w:w="28" w:type="dxa"/>
              <w:bottom w:w="0" w:type="dxa"/>
              <w:right w:w="28" w:type="dxa"/>
            </w:tcMar>
            <w:vAlign w:val="center"/>
          </w:tcPr>
          <w:p>
            <w:pPr>
              <w:widowControl/>
              <w:shd w:val="clear" w:color="auto" w:fill="FFFFFF"/>
              <w:snapToGrid w:val="0"/>
              <w:rPr>
                <w:rFonts w:cs="Arial" w:asciiTheme="minorEastAsia" w:hAnsiTheme="minorEastAsia"/>
                <w:kern w:val="0"/>
                <w:sz w:val="24"/>
                <w:szCs w:val="21"/>
              </w:rPr>
            </w:pPr>
            <w:r>
              <w:rPr>
                <w:rFonts w:hint="eastAsia" w:cs="Arial" w:asciiTheme="minorEastAsia" w:hAnsiTheme="minorEastAsia"/>
                <w:kern w:val="0"/>
                <w:sz w:val="24"/>
                <w:szCs w:val="21"/>
              </w:rPr>
              <w:t>供应商须是在“信用中国”（</w:t>
            </w:r>
            <w:r>
              <w:rPr>
                <w:rFonts w:cs="Arial" w:asciiTheme="minorEastAsia" w:hAnsiTheme="minorEastAsia"/>
                <w:kern w:val="0"/>
                <w:sz w:val="24"/>
                <w:szCs w:val="21"/>
              </w:rPr>
              <w:t>www.creditchina.gov.cn</w:t>
            </w:r>
            <w:r>
              <w:rPr>
                <w:rFonts w:hint="eastAsia" w:cs="Arial" w:asciiTheme="minorEastAsia" w:hAnsiTheme="minorEastAsia"/>
                <w:kern w:val="0"/>
                <w:sz w:val="24"/>
                <w:szCs w:val="21"/>
              </w:rPr>
              <w:t>）和中国政府采购网（</w:t>
            </w:r>
            <w:r>
              <w:rPr>
                <w:rFonts w:cs="Arial" w:asciiTheme="minorEastAsia" w:hAnsiTheme="minorEastAsia"/>
                <w:kern w:val="0"/>
                <w:sz w:val="24"/>
                <w:szCs w:val="21"/>
              </w:rPr>
              <w:t>www.ccgp.gov.cn</w:t>
            </w:r>
            <w:r>
              <w:rPr>
                <w:rFonts w:hint="eastAsia" w:cs="Arial" w:asciiTheme="minorEastAsia" w:hAnsiTheme="minorEastAsia"/>
                <w:kern w:val="0"/>
                <w:sz w:val="24"/>
                <w:szCs w:val="21"/>
              </w:rPr>
              <w:t>）网站上未被列入失信被执行人、重大税收违法案件当事人名单以及政府采购严重违法失信行为记录名单；</w:t>
            </w:r>
            <w:r>
              <w:rPr>
                <w:rFonts w:cs="Arial" w:asciiTheme="minorEastAsia" w:hAnsiTheme="minorEastAsia"/>
                <w:kern w:val="0"/>
                <w:sz w:val="24"/>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hint="eastAsia" w:cs="Arial" w:asciiTheme="minorEastAsia" w:hAnsiTheme="minorEastAsia"/>
                <w:kern w:val="0"/>
                <w:sz w:val="24"/>
                <w:szCs w:val="21"/>
              </w:rPr>
              <w:t>4</w:t>
            </w:r>
          </w:p>
        </w:tc>
        <w:tc>
          <w:tcPr>
            <w:tcW w:w="8456" w:type="dxa"/>
            <w:tcMar>
              <w:top w:w="0" w:type="dxa"/>
              <w:left w:w="28" w:type="dxa"/>
              <w:bottom w:w="0" w:type="dxa"/>
              <w:right w:w="28" w:type="dxa"/>
            </w:tcMar>
            <w:vAlign w:val="center"/>
          </w:tcPr>
          <w:p>
            <w:pPr>
              <w:widowControl/>
              <w:shd w:val="clear" w:color="auto" w:fill="FFFFFF"/>
              <w:snapToGrid w:val="0"/>
              <w:rPr>
                <w:rFonts w:cs="Arial" w:asciiTheme="minorEastAsia" w:hAnsiTheme="minorEastAsia"/>
                <w:kern w:val="0"/>
                <w:sz w:val="24"/>
                <w:szCs w:val="21"/>
              </w:rPr>
            </w:pPr>
            <w:r>
              <w:rPr>
                <w:rFonts w:cs="Arial" w:asciiTheme="minorEastAsia" w:hAnsiTheme="minorEastAsia"/>
                <w:kern w:val="0"/>
                <w:sz w:val="24"/>
                <w:szCs w:val="21"/>
              </w:rPr>
              <w:t>其他说明：①与采购人存在利害关系可能影响招标公正性的法人、其他组织或者个人，不得参加投标。②</w:t>
            </w:r>
            <w:r>
              <w:rPr>
                <w:rFonts w:hint="eastAsia" w:cs="Arial" w:asciiTheme="minorEastAsia" w:hAnsiTheme="minorEastAsia"/>
                <w:kern w:val="0"/>
                <w:sz w:val="24"/>
                <w:szCs w:val="21"/>
              </w:rPr>
              <w:t>单位负责人为同一人或者存在控股、管理关系的不同供应商，不得参加同一合同项下的采购活动。</w:t>
            </w:r>
            <w:r>
              <w:rPr>
                <w:rFonts w:cs="Arial" w:asciiTheme="minorEastAsia" w:hAnsiTheme="minorEastAsia"/>
                <w:kern w:val="0"/>
                <w:sz w:val="24"/>
                <w:szCs w:val="21"/>
              </w:rPr>
              <w:t>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hint="eastAsia" w:cs="Arial" w:asciiTheme="minorEastAsia" w:hAnsiTheme="minorEastAsia"/>
                <w:kern w:val="0"/>
                <w:sz w:val="24"/>
                <w:szCs w:val="21"/>
              </w:rPr>
              <w:t>5</w:t>
            </w:r>
          </w:p>
        </w:tc>
        <w:tc>
          <w:tcPr>
            <w:tcW w:w="8456" w:type="dxa"/>
            <w:tcMar>
              <w:top w:w="0" w:type="dxa"/>
              <w:left w:w="28" w:type="dxa"/>
              <w:bottom w:w="0" w:type="dxa"/>
              <w:right w:w="28" w:type="dxa"/>
            </w:tcMar>
            <w:vAlign w:val="center"/>
          </w:tcPr>
          <w:p>
            <w:pPr>
              <w:widowControl/>
              <w:shd w:val="clear" w:color="auto" w:fill="FFFFFF"/>
              <w:snapToGrid w:val="0"/>
              <w:rPr>
                <w:rFonts w:cs="Arial" w:asciiTheme="minorEastAsia" w:hAnsiTheme="minorEastAsia"/>
                <w:kern w:val="0"/>
                <w:sz w:val="24"/>
                <w:szCs w:val="21"/>
              </w:rPr>
            </w:pPr>
            <w:r>
              <w:rPr>
                <w:rFonts w:hint="eastAsia" w:cs="Arial" w:asciiTheme="minorEastAsia" w:hAnsiTheme="minorEastAsia"/>
                <w:kern w:val="0"/>
                <w:sz w:val="24"/>
                <w:szCs w:val="21"/>
              </w:rPr>
              <w:t>谈判保证金是否按照采购文件要求缴纳。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cs="Arial" w:asciiTheme="minorEastAsia" w:hAnsiTheme="minorEastAsia"/>
                <w:kern w:val="0"/>
                <w:sz w:val="24"/>
                <w:szCs w:val="21"/>
              </w:rPr>
            </w:pPr>
            <w:r>
              <w:rPr>
                <w:rFonts w:hint="eastAsia" w:cs="Arial" w:asciiTheme="minorEastAsia" w:hAnsiTheme="minorEastAsia"/>
                <w:kern w:val="0"/>
                <w:sz w:val="24"/>
                <w:szCs w:val="21"/>
              </w:rPr>
              <w:t>6</w:t>
            </w:r>
          </w:p>
        </w:tc>
        <w:tc>
          <w:tcPr>
            <w:tcW w:w="8456" w:type="dxa"/>
            <w:tcMar>
              <w:top w:w="0" w:type="dxa"/>
              <w:left w:w="28" w:type="dxa"/>
              <w:bottom w:w="0" w:type="dxa"/>
              <w:right w:w="28" w:type="dxa"/>
            </w:tcMar>
            <w:vAlign w:val="center"/>
          </w:tcPr>
          <w:p>
            <w:pPr>
              <w:widowControl/>
              <w:shd w:val="clear" w:color="auto" w:fill="FFFFFF"/>
              <w:snapToGrid w:val="0"/>
              <w:rPr>
                <w:rFonts w:cs="Arial" w:asciiTheme="minorEastAsia" w:hAnsiTheme="minorEastAsia"/>
                <w:kern w:val="0"/>
                <w:sz w:val="24"/>
                <w:szCs w:val="21"/>
              </w:rPr>
            </w:pPr>
            <w:r>
              <w:rPr>
                <w:rFonts w:hint="eastAsia" w:cs="Arial" w:asciiTheme="minorEastAsia" w:hAnsiTheme="minorEastAsia"/>
                <w:kern w:val="0"/>
                <w:sz w:val="24"/>
                <w:szCs w:val="21"/>
              </w:rPr>
              <w:t>供应商</w:t>
            </w:r>
            <w:r>
              <w:rPr>
                <w:rFonts w:cs="Arial" w:asciiTheme="minorEastAsia" w:hAnsiTheme="minorEastAsia"/>
                <w:kern w:val="0"/>
                <w:sz w:val="24"/>
                <w:szCs w:val="21"/>
              </w:rPr>
              <w:t>所投产品</w:t>
            </w:r>
            <w:r>
              <w:rPr>
                <w:rFonts w:hint="eastAsia" w:cs="Arial" w:asciiTheme="minorEastAsia" w:hAnsiTheme="minorEastAsia"/>
                <w:kern w:val="0"/>
                <w:sz w:val="24"/>
                <w:szCs w:val="21"/>
              </w:rPr>
              <w:t>须是中小企业生产并且出具《中小企业声明函》。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9080" w:type="dxa"/>
            <w:gridSpan w:val="2"/>
            <w:tcMar>
              <w:top w:w="0" w:type="dxa"/>
              <w:left w:w="28" w:type="dxa"/>
              <w:bottom w:w="0" w:type="dxa"/>
              <w:right w:w="28" w:type="dxa"/>
            </w:tcMar>
            <w:vAlign w:val="center"/>
          </w:tcPr>
          <w:p>
            <w:pPr>
              <w:widowControl/>
              <w:shd w:val="clear" w:color="auto" w:fill="FFFFFF"/>
              <w:snapToGrid w:val="0"/>
              <w:spacing w:line="360" w:lineRule="auto"/>
              <w:rPr>
                <w:rFonts w:cs="Arial" w:asciiTheme="minorEastAsia" w:hAnsiTheme="minorEastAsia"/>
                <w:kern w:val="0"/>
                <w:sz w:val="24"/>
                <w:szCs w:val="21"/>
              </w:rPr>
            </w:pPr>
            <w:r>
              <w:rPr>
                <w:rFonts w:hint="eastAsia" w:cs="Arial" w:asciiTheme="minorEastAsia" w:hAnsiTheme="minorEastAsia"/>
                <w:kern w:val="0"/>
                <w:sz w:val="24"/>
                <w:szCs w:val="21"/>
                <w:highlight w:val="yellow"/>
              </w:rPr>
              <w:t>备注：如果资格评审中有一项不满足审查标准的，采购人将认定该供应商不通过资格审查，竞争性谈判响应文件将被拒绝评审。并且不允许供应商通过修改或撤销其不符合要求的差异或保留，使之成为具有响应性的投标。</w:t>
            </w:r>
          </w:p>
        </w:tc>
      </w:tr>
    </w:tbl>
    <w:p>
      <w:pPr>
        <w:pStyle w:val="19"/>
        <w:rPr>
          <w:rFonts w:asciiTheme="minorEastAsia" w:hAnsiTheme="minorEastAsia" w:eastAsiaTheme="minorEastAsia"/>
        </w:rPr>
      </w:pPr>
      <w:bookmarkStart w:id="24" w:name="_Toc501719167"/>
    </w:p>
    <w:p>
      <w:pPr>
        <w:jc w:val="center"/>
        <w:rPr>
          <w:rFonts w:cs="Arial" w:asciiTheme="minorEastAsia" w:hAnsiTheme="minorEastAsia"/>
          <w:b/>
          <w:kern w:val="0"/>
          <w:sz w:val="24"/>
          <w:szCs w:val="24"/>
        </w:rPr>
      </w:pPr>
      <w:r>
        <w:rPr>
          <w:rFonts w:hint="eastAsia" w:cs="Arial" w:asciiTheme="minorEastAsia" w:hAnsiTheme="minorEastAsia"/>
          <w:b/>
          <w:kern w:val="0"/>
          <w:sz w:val="24"/>
          <w:szCs w:val="24"/>
        </w:rPr>
        <w:t>《完备性及符合性审查标准》</w:t>
      </w:r>
      <w:bookmarkEnd w:id="24"/>
    </w:p>
    <w:tbl>
      <w:tblPr>
        <w:tblStyle w:val="4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33" w:type="dxa"/>
            <w:vMerge w:val="restart"/>
            <w:vAlign w:val="center"/>
          </w:tcPr>
          <w:p>
            <w:pPr>
              <w:autoSpaceDE w:val="0"/>
              <w:autoSpaceDN w:val="0"/>
              <w:adjustRightInd w:val="0"/>
              <w:jc w:val="center"/>
              <w:rPr>
                <w:rFonts w:cs="宋体" w:asciiTheme="minorEastAsia" w:hAnsiTheme="minorEastAsia"/>
                <w:kern w:val="0"/>
                <w:sz w:val="24"/>
                <w:szCs w:val="21"/>
              </w:rPr>
            </w:pPr>
            <w:r>
              <w:rPr>
                <w:rFonts w:hint="eastAsia" w:cs="宋体" w:asciiTheme="minorEastAsia" w:hAnsiTheme="minorEastAsia"/>
                <w:kern w:val="0"/>
                <w:sz w:val="24"/>
                <w:szCs w:val="21"/>
              </w:rPr>
              <w:t>序号</w:t>
            </w:r>
          </w:p>
        </w:tc>
        <w:tc>
          <w:tcPr>
            <w:tcW w:w="8406" w:type="dxa"/>
            <w:vMerge w:val="restart"/>
            <w:vAlign w:val="center"/>
          </w:tcPr>
          <w:p>
            <w:pPr>
              <w:autoSpaceDE w:val="0"/>
              <w:autoSpaceDN w:val="0"/>
              <w:adjustRightInd w:val="0"/>
              <w:jc w:val="center"/>
              <w:rPr>
                <w:rFonts w:cs="宋体" w:asciiTheme="minorEastAsia" w:hAnsiTheme="minorEastAsia"/>
                <w:kern w:val="0"/>
                <w:sz w:val="24"/>
                <w:szCs w:val="21"/>
              </w:rPr>
            </w:pPr>
            <w:r>
              <w:rPr>
                <w:rFonts w:hint="eastAsia" w:cs="宋体" w:asciiTheme="minorEastAsia" w:hAnsiTheme="minorEastAsia"/>
                <w:kern w:val="0"/>
                <w:sz w:val="24"/>
                <w:szCs w:val="21"/>
              </w:rPr>
              <w:t>响应文件符合性审查内容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jc w:val="center"/>
        </w:trPr>
        <w:tc>
          <w:tcPr>
            <w:tcW w:w="633" w:type="dxa"/>
            <w:vMerge w:val="continue"/>
            <w:vAlign w:val="center"/>
          </w:tcPr>
          <w:p>
            <w:pPr>
              <w:autoSpaceDE w:val="0"/>
              <w:autoSpaceDN w:val="0"/>
              <w:adjustRightInd w:val="0"/>
              <w:jc w:val="center"/>
              <w:rPr>
                <w:rFonts w:cs="宋体" w:asciiTheme="minorEastAsia" w:hAnsiTheme="minorEastAsia"/>
                <w:kern w:val="0"/>
                <w:sz w:val="24"/>
                <w:szCs w:val="21"/>
              </w:rPr>
            </w:pPr>
          </w:p>
        </w:tc>
        <w:tc>
          <w:tcPr>
            <w:tcW w:w="8406" w:type="dxa"/>
            <w:vMerge w:val="continue"/>
          </w:tcPr>
          <w:p>
            <w:pPr>
              <w:autoSpaceDE w:val="0"/>
              <w:autoSpaceDN w:val="0"/>
              <w:adjustRightInd w:val="0"/>
              <w:jc w:val="center"/>
              <w:rPr>
                <w:rFonts w:cs="宋体" w:asciiTheme="minorEastAsia" w:hAnsiTheme="minorEastAsia"/>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1</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凡竞争性谈判文件中要求盖章或签字处，是否按要求加盖单位公章、法定代表人或被授权委托人签字或盖章的。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2</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响应文件组成齐全完整，内容均按规定填写；响应文件的关键内容无字迹模糊、无法辨认的。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3</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响应文件是否实质上响应了竞争性谈判文件的要求。实质上响应的投标应该是与竞争性谈判文件要求的全部条款、条件等相符，没有重大偏离或保留的投标。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4</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一份响应文件应只有一个投标报价，在竞争性谈判文件没有规定的情况下，未提交选择性的报价。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5</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供应商的投标报价未超出相应采购标项的采购最高限价。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6</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响应文件载明的供货完成期限未超出竞争性谈判文件规定的期限。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7</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供应商未提出不同的验收、计量、支付办法。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8</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提供了信用记录查询资料，且信用记录满足本文件供应商须知前附表的规定；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9</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响应文件未附有采购人不能接受的附加条件的。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10</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不存在与其他供应商相互串通报价，或者与采购人串通投标的情形。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3" w:type="dxa"/>
            <w:vAlign w:val="center"/>
          </w:tcPr>
          <w:p>
            <w:pPr>
              <w:autoSpaceDE w:val="0"/>
              <w:autoSpaceDN w:val="0"/>
              <w:adjustRightInd w:val="0"/>
              <w:jc w:val="center"/>
              <w:rPr>
                <w:rFonts w:cs="宋体" w:asciiTheme="minorEastAsia" w:hAnsiTheme="minorEastAsia"/>
                <w:kern w:val="0"/>
                <w:sz w:val="24"/>
                <w:szCs w:val="21"/>
              </w:rPr>
            </w:pPr>
            <w:r>
              <w:rPr>
                <w:rFonts w:cs="宋体" w:asciiTheme="minorEastAsia" w:hAnsiTheme="minorEastAsia"/>
                <w:kern w:val="0"/>
                <w:sz w:val="24"/>
                <w:szCs w:val="21"/>
              </w:rPr>
              <w:t>11</w:t>
            </w:r>
          </w:p>
        </w:tc>
        <w:tc>
          <w:tcPr>
            <w:tcW w:w="8406" w:type="dxa"/>
          </w:tcPr>
          <w:p>
            <w:pPr>
              <w:autoSpaceDE w:val="0"/>
              <w:autoSpaceDN w:val="0"/>
              <w:adjustRightInd w:val="0"/>
              <w:jc w:val="left"/>
              <w:rPr>
                <w:rFonts w:cs="宋体" w:asciiTheme="minorEastAsia" w:hAnsiTheme="minorEastAsia"/>
                <w:kern w:val="0"/>
                <w:sz w:val="24"/>
                <w:szCs w:val="21"/>
              </w:rPr>
            </w:pPr>
            <w:r>
              <w:rPr>
                <w:rFonts w:hint="eastAsia" w:cs="宋体" w:asciiTheme="minorEastAsia" w:hAnsiTheme="minorEastAsia"/>
                <w:kern w:val="0"/>
                <w:sz w:val="24"/>
                <w:szCs w:val="21"/>
              </w:rPr>
              <w:t>法律、法规和竞争性谈判文件规定的其他无效情形。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39" w:type="dxa"/>
            <w:gridSpan w:val="2"/>
            <w:vAlign w:val="center"/>
          </w:tcPr>
          <w:p>
            <w:pPr>
              <w:autoSpaceDE w:val="0"/>
              <w:autoSpaceDN w:val="0"/>
              <w:adjustRightInd w:val="0"/>
              <w:jc w:val="left"/>
              <w:rPr>
                <w:rFonts w:cs="宋体" w:asciiTheme="minorEastAsia" w:hAnsiTheme="minorEastAsia"/>
                <w:kern w:val="0"/>
                <w:sz w:val="24"/>
                <w:szCs w:val="21"/>
              </w:rPr>
            </w:pPr>
            <w:r>
              <w:rPr>
                <w:rFonts w:hint="eastAsia" w:cs="Arial" w:asciiTheme="minorEastAsia" w:hAnsiTheme="minorEastAsia"/>
                <w:kern w:val="0"/>
                <w:sz w:val="24"/>
                <w:szCs w:val="21"/>
                <w:highlight w:val="yellow"/>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autoSpaceDE w:val="0"/>
        <w:autoSpaceDN w:val="0"/>
        <w:adjustRightInd w:val="0"/>
        <w:jc w:val="left"/>
        <w:rPr>
          <w:rFonts w:cs="宋体" w:asciiTheme="minorEastAsia" w:hAnsiTheme="minorEastAsia"/>
          <w:kern w:val="0"/>
          <w:sz w:val="24"/>
          <w:szCs w:val="24"/>
        </w:rPr>
      </w:pPr>
      <w:r>
        <w:rPr>
          <w:rFonts w:hint="eastAsia" w:cs="宋体" w:asciiTheme="minorEastAsia" w:hAnsiTheme="minorEastAsia"/>
          <w:kern w:val="0"/>
          <w:sz w:val="24"/>
          <w:szCs w:val="24"/>
        </w:rPr>
        <w:t>说明：</w:t>
      </w:r>
    </w:p>
    <w:p>
      <w:pPr>
        <w:autoSpaceDE w:val="0"/>
        <w:autoSpaceDN w:val="0"/>
        <w:adjustRightInd w:val="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1</w:t>
      </w:r>
      <w:r>
        <w:rPr>
          <w:rFonts w:hint="eastAsia" w:cs="宋体" w:asciiTheme="minorEastAsia" w:hAnsiTheme="minorEastAsia"/>
          <w:kern w:val="0"/>
          <w:sz w:val="24"/>
          <w:szCs w:val="24"/>
        </w:rPr>
        <w:t>）上述各项中用“√”表示通过，“×”表示不通过；</w:t>
      </w:r>
    </w:p>
    <w:p>
      <w:pPr>
        <w:autoSpaceDE w:val="0"/>
        <w:autoSpaceDN w:val="0"/>
        <w:adjustRightInd w:val="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2</w:t>
      </w:r>
      <w:r>
        <w:rPr>
          <w:rFonts w:hint="eastAsia" w:cs="宋体" w:asciiTheme="minorEastAsia" w:hAnsiTheme="minorEastAsia"/>
          <w:kern w:val="0"/>
          <w:sz w:val="24"/>
          <w:szCs w:val="24"/>
        </w:rPr>
        <w:t>）上述各项中如有一项为“×”，则结论为“×”，表示该响应文件中存在重大偏差，不能通过初步评审；评委对某一分项评审认为不合格时，必须要写明原因。</w:t>
      </w:r>
    </w:p>
    <w:p>
      <w:pPr>
        <w:autoSpaceDE w:val="0"/>
        <w:autoSpaceDN w:val="0"/>
        <w:adjustRightInd w:val="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3</w:t>
      </w:r>
      <w:r>
        <w:rPr>
          <w:rFonts w:hint="eastAsia" w:cs="宋体" w:asciiTheme="minorEastAsia" w:hAnsiTheme="minorEastAsia"/>
          <w:kern w:val="0"/>
          <w:sz w:val="24"/>
          <w:szCs w:val="24"/>
        </w:rPr>
        <w:t>）响应文件最终合格与否，以所有评委的评审意见中少数服从多数为原则定论。</w:t>
      </w:r>
    </w:p>
    <w:p>
      <w:pPr>
        <w:widowControl/>
        <w:shd w:val="clear" w:color="auto" w:fill="FFFFFF"/>
        <w:snapToGrid w:val="0"/>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4</w:t>
      </w:r>
      <w:r>
        <w:rPr>
          <w:rFonts w:hint="eastAsia" w:cs="宋体" w:asciiTheme="minorEastAsia" w:hAnsiTheme="minorEastAsia"/>
          <w:kern w:val="0"/>
          <w:sz w:val="24"/>
          <w:szCs w:val="24"/>
        </w:rPr>
        <w:t>）供应商请认真阅读和理解上述内容，避免响应文件中有违背上述审查标准之一的情况发生而造成投标被否决。</w:t>
      </w:r>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《投标品牌统计》</w:t>
      </w:r>
    </w:p>
    <w:tbl>
      <w:tblPr>
        <w:tblStyle w:val="48"/>
        <w:tblW w:w="0" w:type="auto"/>
        <w:jc w:val="center"/>
        <w:tblLayout w:type="fixed"/>
        <w:tblCellMar>
          <w:top w:w="0" w:type="dxa"/>
          <w:left w:w="0" w:type="dxa"/>
          <w:bottom w:w="0" w:type="dxa"/>
          <w:right w:w="0" w:type="dxa"/>
        </w:tblCellMar>
      </w:tblPr>
      <w:tblGrid>
        <w:gridCol w:w="621"/>
        <w:gridCol w:w="8556"/>
      </w:tblGrid>
      <w:tr>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统计内容</w:t>
            </w:r>
          </w:p>
        </w:tc>
      </w:tr>
      <w:tr>
        <w:tblPrEx>
          <w:tblCellMar>
            <w:top w:w="0" w:type="dxa"/>
            <w:left w:w="0" w:type="dxa"/>
            <w:bottom w:w="0" w:type="dxa"/>
            <w:right w:w="0" w:type="dxa"/>
          </w:tblCellMar>
        </w:tblPrEx>
        <w:trPr>
          <w:cantSplit/>
          <w:trHeight w:val="227"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供应商所报品牌（核心产品）</w:t>
            </w:r>
          </w:p>
        </w:tc>
      </w:tr>
      <w:tr>
        <w:tblPrEx>
          <w:tblCellMar>
            <w:top w:w="0" w:type="dxa"/>
            <w:left w:w="0" w:type="dxa"/>
            <w:bottom w:w="0" w:type="dxa"/>
            <w:right w:w="0" w:type="dxa"/>
          </w:tblCellMar>
        </w:tblPrEx>
        <w:trPr>
          <w:cantSplit/>
          <w:trHeight w:val="764"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highlight w:val="yellow"/>
              </w:rPr>
              <w:t>备注：如采购文件前附表中约定了单一产品或核心产品，则</w:t>
            </w:r>
            <w:r>
              <w:rPr>
                <w:rFonts w:ascii="宋体" w:hAnsi="宋体" w:cs="Arial"/>
                <w:kern w:val="0"/>
                <w:sz w:val="24"/>
                <w:szCs w:val="24"/>
                <w:highlight w:val="yellow"/>
              </w:rPr>
              <w:t>提供相同品牌产品且通过资格审查、</w:t>
            </w:r>
            <w:r>
              <w:rPr>
                <w:rFonts w:hint="eastAsia" w:ascii="宋体" w:hAnsi="宋体" w:cs="Arial"/>
                <w:kern w:val="0"/>
                <w:sz w:val="24"/>
                <w:szCs w:val="24"/>
                <w:highlight w:val="yellow"/>
              </w:rPr>
              <w:t>完备性及符合性审查</w:t>
            </w:r>
            <w:r>
              <w:rPr>
                <w:rFonts w:ascii="宋体" w:hAnsi="宋体" w:cs="Arial"/>
                <w:kern w:val="0"/>
                <w:sz w:val="24"/>
                <w:szCs w:val="24"/>
                <w:highlight w:val="yellow"/>
              </w:rPr>
              <w:t>的不同</w:t>
            </w:r>
            <w:r>
              <w:rPr>
                <w:rFonts w:hint="eastAsia" w:ascii="宋体" w:hAnsi="宋体" w:cs="Arial"/>
                <w:kern w:val="0"/>
                <w:sz w:val="24"/>
                <w:szCs w:val="24"/>
                <w:highlight w:val="yellow"/>
              </w:rPr>
              <w:t>供应商</w:t>
            </w:r>
            <w:r>
              <w:rPr>
                <w:rFonts w:ascii="宋体" w:hAnsi="宋体" w:cs="Arial"/>
                <w:kern w:val="0"/>
                <w:sz w:val="24"/>
                <w:szCs w:val="24"/>
                <w:highlight w:val="yellow"/>
              </w:rPr>
              <w:t>参加同一合同项下投标的，按一家</w:t>
            </w:r>
            <w:r>
              <w:rPr>
                <w:rFonts w:hint="eastAsia" w:ascii="宋体" w:hAnsi="宋体" w:cs="Arial"/>
                <w:kern w:val="0"/>
                <w:sz w:val="24"/>
                <w:szCs w:val="24"/>
                <w:highlight w:val="yellow"/>
              </w:rPr>
              <w:t>供应商</w:t>
            </w:r>
            <w:r>
              <w:rPr>
                <w:rFonts w:ascii="宋体" w:hAnsi="宋体" w:cs="Arial"/>
                <w:kern w:val="0"/>
                <w:sz w:val="24"/>
                <w:szCs w:val="24"/>
                <w:highlight w:val="yellow"/>
              </w:rPr>
              <w:t>计算</w:t>
            </w:r>
            <w:r>
              <w:rPr>
                <w:rFonts w:hint="eastAsia" w:ascii="宋体" w:hAnsi="宋体" w:cs="Arial"/>
                <w:kern w:val="0"/>
                <w:sz w:val="24"/>
                <w:szCs w:val="24"/>
                <w:highlight w:val="yellow"/>
              </w:rPr>
              <w:t>。</w:t>
            </w:r>
          </w:p>
        </w:tc>
      </w:tr>
    </w:tbl>
    <w:p>
      <w:pPr>
        <w:tabs>
          <w:tab w:val="center" w:pos="4832"/>
          <w:tab w:val="left" w:pos="7140"/>
        </w:tabs>
        <w:spacing w:line="360" w:lineRule="auto"/>
        <w:ind w:firstLine="472" w:firstLineChars="196"/>
        <w:jc w:val="left"/>
        <w:outlineLvl w:val="2"/>
        <w:rPr>
          <w:rFonts w:cs="宋体" w:asciiTheme="minorEastAsia" w:hAnsiTheme="minorEastAsia"/>
          <w:b/>
          <w:sz w:val="24"/>
          <w:szCs w:val="24"/>
        </w:rPr>
      </w:pPr>
      <w:bookmarkStart w:id="25" w:name="_Toc136609698"/>
      <w:r>
        <w:rPr>
          <w:rFonts w:cs="宋体" w:asciiTheme="minorEastAsia" w:hAnsiTheme="minorEastAsia"/>
          <w:b/>
          <w:sz w:val="24"/>
          <w:szCs w:val="24"/>
        </w:rPr>
        <w:t xml:space="preserve">1. </w:t>
      </w:r>
      <w:r>
        <w:rPr>
          <w:rFonts w:hint="eastAsia" w:cs="宋体" w:asciiTheme="minorEastAsia" w:hAnsiTheme="minorEastAsia"/>
          <w:b/>
          <w:sz w:val="24"/>
          <w:szCs w:val="24"/>
        </w:rPr>
        <w:t>评标方法</w:t>
      </w:r>
      <w:bookmarkEnd w:id="25"/>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本次评标采用竞争性谈判。谈判小组对满足竞争性谈判文件实质性要求的竞争性谈判响应文件，按照本节规定的评审标准进行评审。评标中各评委若发生意见分歧，以少数服从多数原则确定。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cs="宋体" w:asciiTheme="minorEastAsia" w:hAnsiTheme="minorEastAsia"/>
          <w:b/>
          <w:sz w:val="24"/>
          <w:szCs w:val="24"/>
        </w:rPr>
      </w:pPr>
      <w:bookmarkStart w:id="26" w:name="_Toc136609699"/>
      <w:r>
        <w:rPr>
          <w:rFonts w:cs="宋体" w:asciiTheme="minorEastAsia" w:hAnsiTheme="minorEastAsia"/>
          <w:b/>
          <w:sz w:val="24"/>
          <w:szCs w:val="24"/>
        </w:rPr>
        <w:t xml:space="preserve">2. </w:t>
      </w:r>
      <w:r>
        <w:rPr>
          <w:rFonts w:hint="eastAsia" w:cs="宋体" w:asciiTheme="minorEastAsia" w:hAnsiTheme="minorEastAsia"/>
          <w:b/>
          <w:sz w:val="24"/>
          <w:szCs w:val="24"/>
        </w:rPr>
        <w:t>评审标准</w:t>
      </w:r>
      <w:bookmarkEnd w:id="26"/>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1资格审查：评审因素和评审标准见《资格审查标准》。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2.</w:t>
      </w:r>
      <w:r>
        <w:rPr>
          <w:rFonts w:hint="eastAsia" w:cs="Arial" w:asciiTheme="minorEastAsia" w:hAnsiTheme="minorEastAsia"/>
          <w:kern w:val="0"/>
          <w:sz w:val="24"/>
          <w:szCs w:val="24"/>
        </w:rPr>
        <w:t>2完备性及符合性审查：评审因素和评审标准见《完备性及符合性审查标准》。</w:t>
      </w:r>
    </w:p>
    <w:p>
      <w:pPr>
        <w:pStyle w:val="19"/>
      </w:pPr>
      <w:r>
        <w:rPr>
          <w:rFonts w:hint="eastAsia"/>
        </w:rPr>
        <w:t xml:space="preserve">    </w:t>
      </w:r>
      <w:r>
        <w:rPr>
          <w:rFonts w:cs="Arial" w:asciiTheme="minorEastAsia" w:hAnsiTheme="minorEastAsia"/>
          <w:szCs w:val="24"/>
        </w:rPr>
        <w:t>2.</w:t>
      </w:r>
      <w:r>
        <w:rPr>
          <w:rFonts w:hint="eastAsia" w:cs="Arial" w:asciiTheme="minorEastAsia" w:hAnsiTheme="minorEastAsia"/>
          <w:szCs w:val="24"/>
        </w:rPr>
        <w:t>3投标品牌统计</w:t>
      </w:r>
    </w:p>
    <w:p>
      <w:pPr>
        <w:widowControl/>
        <w:shd w:val="clear" w:color="auto" w:fill="FFFFFF"/>
        <w:snapToGrid w:val="0"/>
        <w:spacing w:line="360" w:lineRule="auto"/>
        <w:ind w:firstLine="480" w:firstLineChars="200"/>
        <w:rPr>
          <w:rFonts w:ascii="宋体" w:cs="Arial"/>
          <w:kern w:val="0"/>
          <w:sz w:val="24"/>
          <w:szCs w:val="24"/>
        </w:rPr>
      </w:pPr>
      <w:r>
        <w:rPr>
          <w:rFonts w:hint="eastAsia" w:ascii="宋体" w:cs="Arial"/>
          <w:kern w:val="0"/>
          <w:sz w:val="24"/>
          <w:szCs w:val="24"/>
        </w:rPr>
        <w:t>评标委员会根据供应商所报</w:t>
      </w:r>
      <w:r>
        <w:rPr>
          <w:rFonts w:hint="eastAsia" w:ascii="宋体" w:hAnsi="宋体" w:cs="Arial"/>
          <w:kern w:val="0"/>
          <w:sz w:val="24"/>
          <w:szCs w:val="24"/>
        </w:rPr>
        <w:t>单一产品或核心产品</w:t>
      </w:r>
      <w:r>
        <w:rPr>
          <w:rFonts w:hint="eastAsia" w:ascii="宋体" w:cs="Arial"/>
          <w:kern w:val="0"/>
          <w:sz w:val="24"/>
          <w:szCs w:val="24"/>
        </w:rPr>
        <w:t>品牌统计计算供应商家数（提供相同品牌产品且通过资格审查，符合性审查的不同供应商参加同一合同项下的投标的，按一家供应商计算）。如供应商家数不足三家，则该项目按废标处理。</w:t>
      </w:r>
    </w:p>
    <w:p>
      <w:pPr>
        <w:tabs>
          <w:tab w:val="center" w:pos="4832"/>
          <w:tab w:val="left" w:pos="7140"/>
        </w:tabs>
        <w:spacing w:line="360" w:lineRule="auto"/>
        <w:ind w:firstLine="472" w:firstLineChars="196"/>
        <w:jc w:val="left"/>
        <w:outlineLvl w:val="2"/>
        <w:rPr>
          <w:rFonts w:cs="宋体" w:asciiTheme="minorEastAsia" w:hAnsiTheme="minorEastAsia"/>
          <w:b/>
          <w:sz w:val="24"/>
          <w:szCs w:val="24"/>
        </w:rPr>
      </w:pPr>
      <w:bookmarkStart w:id="27" w:name="_Toc136609700"/>
      <w:r>
        <w:rPr>
          <w:rFonts w:cs="宋体" w:asciiTheme="minorEastAsia" w:hAnsiTheme="minorEastAsia"/>
          <w:b/>
          <w:sz w:val="24"/>
          <w:szCs w:val="24"/>
        </w:rPr>
        <w:t xml:space="preserve">3. </w:t>
      </w:r>
      <w:r>
        <w:rPr>
          <w:rFonts w:hint="eastAsia" w:cs="宋体" w:asciiTheme="minorEastAsia" w:hAnsiTheme="minorEastAsia"/>
          <w:b/>
          <w:sz w:val="24"/>
          <w:szCs w:val="24"/>
        </w:rPr>
        <w:t>评标程序</w:t>
      </w:r>
      <w:bookmarkEnd w:id="27"/>
    </w:p>
    <w:p>
      <w:pPr>
        <w:pStyle w:val="71"/>
        <w:widowControl/>
        <w:numPr>
          <w:ilvl w:val="1"/>
          <w:numId w:val="2"/>
        </w:numPr>
        <w:shd w:val="clear" w:color="auto" w:fill="FFFFFF"/>
        <w:snapToGrid w:val="0"/>
        <w:spacing w:line="360" w:lineRule="auto"/>
        <w:ind w:firstLineChars="0"/>
        <w:rPr>
          <w:rFonts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基本程序</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评标活动将按以下步骤进行：</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（1）评标准备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（2）资格审查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（3）完备性及符合性审查</w:t>
      </w:r>
    </w:p>
    <w:p>
      <w:pPr>
        <w:pStyle w:val="19"/>
      </w:pPr>
      <w:r>
        <w:rPr>
          <w:rFonts w:hint="eastAsia"/>
        </w:rPr>
        <w:t xml:space="preserve">    </w:t>
      </w:r>
      <w:r>
        <w:rPr>
          <w:rFonts w:hint="eastAsia" w:cs="Arial" w:asciiTheme="minorEastAsia" w:hAnsiTheme="minorEastAsia"/>
          <w:szCs w:val="24"/>
        </w:rPr>
        <w:t>（4）投标品牌统计</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（5）谈判报价</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（6）推荐成交候选人及提交评标报告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3.2 </w:t>
      </w:r>
      <w:r>
        <w:rPr>
          <w:rFonts w:hint="eastAsia" w:cs="Arial" w:asciiTheme="minorEastAsia" w:hAnsiTheme="minorEastAsia"/>
          <w:kern w:val="0"/>
          <w:sz w:val="24"/>
          <w:szCs w:val="24"/>
        </w:rPr>
        <w:t>评标准备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3.2.1</w:t>
      </w:r>
      <w:r>
        <w:rPr>
          <w:rFonts w:hint="eastAsia" w:cs="Arial" w:asciiTheme="minorEastAsia" w:hAnsiTheme="minorEastAsia"/>
          <w:kern w:val="0"/>
          <w:sz w:val="24"/>
          <w:szCs w:val="24"/>
        </w:rPr>
        <w:t>谈判小组成员签到</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谈判小组成员到达评标现场时应当在签到表上签到以证明其出席。</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3.2.2 </w:t>
      </w:r>
      <w:r>
        <w:rPr>
          <w:rFonts w:hint="eastAsia" w:cs="Arial" w:asciiTheme="minorEastAsia" w:hAnsiTheme="minorEastAsia"/>
          <w:kern w:val="0"/>
          <w:sz w:val="24"/>
          <w:szCs w:val="24"/>
        </w:rPr>
        <w:t>谈判小组的分工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3.2.2.1</w:t>
      </w:r>
      <w:r>
        <w:rPr>
          <w:rFonts w:hint="eastAsia" w:cs="Arial" w:asciiTheme="minorEastAsia" w:hAnsiTheme="minorEastAsia"/>
          <w:kern w:val="0"/>
          <w:sz w:val="24"/>
          <w:szCs w:val="24"/>
        </w:rPr>
        <w:t>谈判小组首先推选一名谈判小组组长（非采购人代表担任）。谈判小组组长负责评标活动的组织领导工作。谈判小组组长与谈判小组其他成员具有同等的评标权力。</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3.2.2.2 </w:t>
      </w:r>
      <w:r>
        <w:rPr>
          <w:rFonts w:hint="eastAsia" w:cs="Arial" w:asciiTheme="minorEastAsia" w:hAnsiTheme="minorEastAsia"/>
          <w:kern w:val="0"/>
          <w:sz w:val="24"/>
          <w:szCs w:val="24"/>
        </w:rPr>
        <w:t>谈判小组组长除履行自己作为谈判小组成员独立评标的职责外，主要负责以下工作：</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1</w:t>
      </w:r>
      <w:r>
        <w:rPr>
          <w:rFonts w:hint="eastAsia" w:cs="Arial" w:asciiTheme="minorEastAsia" w:hAnsiTheme="minorEastAsia"/>
          <w:kern w:val="0"/>
          <w:sz w:val="24"/>
          <w:szCs w:val="24"/>
        </w:rPr>
        <w:t>）组织谈判小组成员学习竞争性谈判文件；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2</w:t>
      </w:r>
      <w:r>
        <w:rPr>
          <w:rFonts w:hint="eastAsia" w:cs="Arial" w:asciiTheme="minorEastAsia" w:hAnsiTheme="minorEastAsia"/>
          <w:kern w:val="0"/>
          <w:sz w:val="24"/>
          <w:szCs w:val="24"/>
        </w:rPr>
        <w:t>）汇总各谈判小组成员认为需要供应商澄清、说明或者补正的问题；</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3</w:t>
      </w:r>
      <w:r>
        <w:rPr>
          <w:rFonts w:hint="eastAsia" w:cs="Arial" w:asciiTheme="minorEastAsia" w:hAnsiTheme="minorEastAsia"/>
          <w:kern w:val="0"/>
          <w:sz w:val="24"/>
          <w:szCs w:val="24"/>
        </w:rPr>
        <w:t>）组织谈判小组对供应商质询并对供应商的答复进行评审；</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4</w:t>
      </w:r>
      <w:r>
        <w:rPr>
          <w:rFonts w:hint="eastAsia" w:cs="Arial" w:asciiTheme="minorEastAsia" w:hAnsiTheme="minorEastAsia"/>
          <w:kern w:val="0"/>
          <w:sz w:val="24"/>
          <w:szCs w:val="24"/>
        </w:rPr>
        <w:t>）对出现较大争议的事项进行书面记录；</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5</w:t>
      </w:r>
      <w:r>
        <w:rPr>
          <w:rFonts w:hint="eastAsia" w:cs="Arial" w:asciiTheme="minorEastAsia" w:hAnsiTheme="minorEastAsia"/>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6</w:t>
      </w:r>
      <w:r>
        <w:rPr>
          <w:rFonts w:hint="eastAsia" w:cs="Arial" w:asciiTheme="minorEastAsia" w:hAnsiTheme="minorEastAsia"/>
          <w:kern w:val="0"/>
          <w:sz w:val="24"/>
          <w:szCs w:val="24"/>
        </w:rPr>
        <w:t>）组织对评标结论进行复核确认；</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7</w:t>
      </w:r>
      <w:r>
        <w:rPr>
          <w:rFonts w:hint="eastAsia" w:cs="Arial" w:asciiTheme="minorEastAsia" w:hAnsiTheme="minorEastAsia"/>
          <w:kern w:val="0"/>
          <w:sz w:val="24"/>
          <w:szCs w:val="24"/>
        </w:rPr>
        <w:t>）组织编写评标报告。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3.2.3 </w:t>
      </w:r>
      <w:r>
        <w:rPr>
          <w:rFonts w:hint="eastAsia" w:cs="Arial" w:asciiTheme="minorEastAsia" w:hAnsiTheme="minorEastAsia"/>
          <w:kern w:val="0"/>
          <w:sz w:val="24"/>
          <w:szCs w:val="24"/>
        </w:rPr>
        <w:t>熟悉文件资料</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3.2.3.1 </w:t>
      </w:r>
      <w:r>
        <w:rPr>
          <w:rFonts w:hint="eastAsia" w:cs="Arial" w:asciiTheme="minorEastAsia" w:hAnsiTheme="minorEastAsia"/>
          <w:kern w:val="0"/>
          <w:sz w:val="24"/>
          <w:szCs w:val="24"/>
        </w:rPr>
        <w:t>谈判小组组长应当组织谈判小组成员认真研究竞争性谈判文件，了解和熟悉采购目的、采购范围、主要合同条件、服务标准和要求，掌握评标标准和方法，熟悉本章及附件中包括的评标表格的使用，如果本章及附件所附的表格不能满足评标所需时，谈判小组应当补充编制评标所需的表格。</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 xml:space="preserve">3.2.3.2 </w:t>
      </w:r>
      <w:r>
        <w:rPr>
          <w:rFonts w:hint="eastAsia" w:cs="Arial" w:asciiTheme="minorEastAsia" w:hAnsiTheme="minorEastAsia"/>
          <w:kern w:val="0"/>
          <w:sz w:val="24"/>
          <w:szCs w:val="24"/>
        </w:rPr>
        <w:t>采购人或采购代理机构应当向谈判小组提供评标所需的信息和数据，包括：</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1</w:t>
      </w:r>
      <w:r>
        <w:rPr>
          <w:rFonts w:hint="eastAsia" w:cs="Arial" w:asciiTheme="minorEastAsia" w:hAnsiTheme="minorEastAsia"/>
          <w:kern w:val="0"/>
          <w:sz w:val="24"/>
          <w:szCs w:val="24"/>
        </w:rPr>
        <w:t>）竞争性谈判文件及其澄清修改等竞争性谈判文件补充；</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2</w:t>
      </w:r>
      <w:r>
        <w:rPr>
          <w:rFonts w:hint="eastAsia" w:cs="Arial" w:asciiTheme="minorEastAsia" w:hAnsiTheme="minorEastAsia"/>
          <w:kern w:val="0"/>
          <w:sz w:val="24"/>
          <w:szCs w:val="24"/>
        </w:rPr>
        <w:t>）未在开标会上当场拒绝的各竞争性谈判响应文件；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3</w:t>
      </w:r>
      <w:r>
        <w:rPr>
          <w:rFonts w:hint="eastAsia" w:cs="Arial" w:asciiTheme="minorEastAsia" w:hAnsiTheme="minorEastAsia"/>
          <w:kern w:val="0"/>
          <w:sz w:val="24"/>
          <w:szCs w:val="24"/>
        </w:rPr>
        <w:t>）开标会记录；</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4</w:t>
      </w:r>
      <w:r>
        <w:rPr>
          <w:rFonts w:hint="eastAsia" w:cs="Arial" w:asciiTheme="minorEastAsia" w:hAnsiTheme="minorEastAsia"/>
          <w:kern w:val="0"/>
          <w:sz w:val="24"/>
          <w:szCs w:val="24"/>
        </w:rPr>
        <w:t>）评标表格；</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5</w:t>
      </w:r>
      <w:r>
        <w:rPr>
          <w:rFonts w:hint="eastAsia" w:cs="Arial" w:asciiTheme="minorEastAsia" w:hAnsiTheme="minorEastAsia"/>
          <w:kern w:val="0"/>
          <w:sz w:val="24"/>
          <w:szCs w:val="24"/>
        </w:rPr>
        <w:t>）其他信息和数据。</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3.3</w:t>
      </w:r>
      <w:r>
        <w:rPr>
          <w:rFonts w:hint="eastAsia" w:cs="Arial" w:asciiTheme="minorEastAsia" w:hAnsiTheme="minorEastAsia"/>
          <w:kern w:val="0"/>
          <w:sz w:val="24"/>
          <w:szCs w:val="24"/>
        </w:rPr>
        <w:t>资格审查（适用于资格后审）</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采购人会依据本章规定的评审因素和审查标准，对供应商的资格审查资料进行资格审查。资格审查有一项未通过审查标准，采购人将认定整个竞争性谈判响应文件不响应竞争性谈判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3.4完备性及符合性审查</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谈判小组依据本章规定的评审因素和评审标准，对供应商的竞争性谈判响应文件进行完备性及符合性审查。完备性及符合性审查有一项未通过评审标准，谈判小组将认定整个竞争性谈判响应文件不响应竞争性谈判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完备性及符合性审查条款是指对本采购项目产生了重大影响的重大偏差，而且纠正此类偏差将会对响应本次采购的其他供应商的竞争地位产生不公正的影响。</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4</w:t>
      </w:r>
      <w:r>
        <w:rPr>
          <w:rFonts w:cs="Arial" w:asciiTheme="minorEastAsia" w:hAnsiTheme="minorEastAsia"/>
          <w:kern w:val="0"/>
          <w:sz w:val="24"/>
          <w:szCs w:val="24"/>
        </w:rPr>
        <w:t>.3</w:t>
      </w:r>
      <w:r>
        <w:rPr>
          <w:rFonts w:hint="eastAsia" w:cs="Arial" w:asciiTheme="minorEastAsia" w:hAnsiTheme="minorEastAsia"/>
          <w:kern w:val="0"/>
          <w:sz w:val="24"/>
          <w:szCs w:val="24"/>
        </w:rPr>
        <w:t>细微偏差是指竞争性谈判响应文件在实质上响应竞争性谈判文件要求，但在个别地方存在疏漏或者提供了不完整的技术信息和数据等情况，并且补正这些遗漏和不完整不会对其他供应商造成不公平的结果。细微偏差不影响竞争性谈判响应文件的有效性，谈判小组可要求存在细微偏差的供应商予以补正。</w:t>
      </w:r>
    </w:p>
    <w:p>
      <w:pPr>
        <w:pStyle w:val="19"/>
        <w:spacing w:line="360" w:lineRule="auto"/>
        <w:ind w:firstLine="480" w:firstLineChars="200"/>
      </w:pPr>
      <w:r>
        <w:rPr>
          <w:rFonts w:cs="Arial" w:asciiTheme="minorEastAsia" w:hAnsiTheme="minorEastAsia"/>
          <w:szCs w:val="24"/>
        </w:rPr>
        <w:t>3.</w:t>
      </w:r>
      <w:r>
        <w:rPr>
          <w:rFonts w:hint="eastAsia" w:cs="Arial" w:asciiTheme="minorEastAsia" w:hAnsiTheme="minorEastAsia"/>
          <w:szCs w:val="24"/>
        </w:rPr>
        <w:t>5品牌统计：</w:t>
      </w:r>
      <w:r>
        <w:rPr>
          <w:rFonts w:ascii="宋体" w:hAnsi="宋体" w:cs="Arial"/>
          <w:szCs w:val="24"/>
        </w:rPr>
        <w:t>提供相同品牌产品且通过资格审查、</w:t>
      </w:r>
      <w:r>
        <w:rPr>
          <w:rFonts w:hint="eastAsia" w:ascii="宋体" w:hAnsi="宋体" w:cs="Arial"/>
          <w:szCs w:val="24"/>
        </w:rPr>
        <w:t>完备性及符合性审查</w:t>
      </w:r>
      <w:r>
        <w:rPr>
          <w:rFonts w:ascii="宋体" w:hAnsi="宋体" w:cs="Arial"/>
          <w:szCs w:val="24"/>
        </w:rPr>
        <w:t>的不同</w:t>
      </w:r>
      <w:r>
        <w:rPr>
          <w:rFonts w:hint="eastAsia" w:ascii="宋体" w:hAnsi="宋体" w:cs="Arial"/>
          <w:szCs w:val="24"/>
        </w:rPr>
        <w:t>供应商</w:t>
      </w:r>
      <w:r>
        <w:rPr>
          <w:rFonts w:ascii="宋体" w:hAnsi="宋体" w:cs="Arial"/>
          <w:szCs w:val="24"/>
        </w:rPr>
        <w:t>参加同一合同项下投标的，按一家</w:t>
      </w:r>
      <w:r>
        <w:rPr>
          <w:rFonts w:hint="eastAsia" w:ascii="宋体" w:hAnsi="宋体" w:cs="Arial"/>
          <w:szCs w:val="24"/>
        </w:rPr>
        <w:t>供应商</w:t>
      </w:r>
      <w:r>
        <w:rPr>
          <w:rFonts w:ascii="宋体" w:hAnsi="宋体" w:cs="Arial"/>
          <w:szCs w:val="24"/>
        </w:rPr>
        <w:t>计算</w:t>
      </w:r>
      <w:r>
        <w:rPr>
          <w:rFonts w:hint="eastAsia" w:ascii="宋体" w:hAnsi="宋体" w:cs="Arial"/>
          <w:szCs w:val="24"/>
        </w:rPr>
        <w:t>。</w:t>
      </w:r>
    </w:p>
    <w:p>
      <w:pPr>
        <w:widowControl/>
        <w:shd w:val="clear" w:color="auto" w:fill="FFFFFF"/>
        <w:snapToGrid w:val="0"/>
        <w:spacing w:line="360" w:lineRule="auto"/>
        <w:ind w:firstLine="480" w:firstLineChars="200"/>
        <w:rPr>
          <w:rFonts w:asciiTheme="minorEastAsia" w:hAnsiTheme="minorEastAsia"/>
        </w:rPr>
      </w:pPr>
      <w:r>
        <w:rPr>
          <w:rFonts w:cs="Arial" w:asciiTheme="minorEastAsia" w:hAnsiTheme="minorEastAsia"/>
          <w:kern w:val="0"/>
          <w:sz w:val="24"/>
          <w:szCs w:val="24"/>
        </w:rPr>
        <w:t>3.</w:t>
      </w:r>
      <w:r>
        <w:rPr>
          <w:rFonts w:hint="eastAsia" w:cs="Arial" w:asciiTheme="minorEastAsia" w:hAnsiTheme="minorEastAsia"/>
          <w:kern w:val="0"/>
          <w:sz w:val="24"/>
          <w:szCs w:val="24"/>
        </w:rPr>
        <w:t>6详细评审</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.1.</w:t>
      </w:r>
      <w:r>
        <w:rPr>
          <w:rFonts w:hint="eastAsia" w:cs="Arial" w:asciiTheme="minorEastAsia" w:hAnsiTheme="minorEastAsia"/>
          <w:kern w:val="0"/>
          <w:sz w:val="24"/>
          <w:szCs w:val="24"/>
        </w:rPr>
        <w:t>只有通过了资格审查、完备性及符合性审查且供应商不少于3个方可进入详细评审。谈判小组所有成员将对响应文件进行详细评审，并根据谈判文件规定的程序、评定成交的标准等事项与实质性响应采购文件的单一供应商分别进行谈判。</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 xml:space="preserve">.2 </w:t>
      </w:r>
      <w:r>
        <w:rPr>
          <w:rFonts w:hint="eastAsia" w:cs="Arial" w:asciiTheme="minorEastAsia" w:hAnsiTheme="minorEastAsia"/>
          <w:kern w:val="0"/>
          <w:sz w:val="24"/>
          <w:szCs w:val="24"/>
        </w:rPr>
        <w:t>澄清、说明和补正</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.2</w:t>
      </w:r>
      <w:r>
        <w:rPr>
          <w:rFonts w:hint="eastAsia" w:cs="Arial" w:asciiTheme="minorEastAsia" w:hAnsiTheme="minorEastAsia"/>
          <w:kern w:val="0"/>
          <w:sz w:val="24"/>
          <w:szCs w:val="24"/>
        </w:rPr>
        <w:t>.1在不改变供应商竞争性谈判响应文件实质性内容的前提下，谈判小组应当对竞争性谈判响应文件进行基础性数据分析和整理，从而发现并提取其中可能存在的对采购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.2</w:t>
      </w:r>
      <w:r>
        <w:rPr>
          <w:rFonts w:hint="eastAsia" w:cs="Arial" w:asciiTheme="minorEastAsia" w:hAnsiTheme="minorEastAsia"/>
          <w:kern w:val="0"/>
          <w:sz w:val="24"/>
          <w:szCs w:val="24"/>
        </w:rPr>
        <w:t>.2澄清、说明和补正内容不得改变竞争性谈判响应文件的实质性内容（算术性错误修正的除外）。供应商的书面澄清、说明和补正属于竞争性谈判响应文件的组成部分。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.2</w:t>
      </w:r>
      <w:r>
        <w:rPr>
          <w:rFonts w:hint="eastAsia" w:cs="Arial" w:asciiTheme="minorEastAsia" w:hAnsiTheme="minorEastAsia"/>
          <w:kern w:val="0"/>
          <w:sz w:val="24"/>
          <w:szCs w:val="24"/>
        </w:rPr>
        <w:t>.3谈判小组针对需要供应商对所提交竞争性谈判响应文件中不明确的内容进行书面澄清、说明或补正。澄清通知不得向供应商提出带有暗示性或诱导性问题，或向其明确竞争性谈判响应文件中的遗漏和错误。供应商接到谈判小组发出的书面澄清通知后，应按谈判小组的要求提供书面澄清资料，并在规定的时间递交到指定地点。谈判小组不接受供应商主动提出的澄清、说明或补正。</w:t>
      </w:r>
    </w:p>
    <w:p>
      <w:pPr>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.2</w:t>
      </w:r>
      <w:r>
        <w:rPr>
          <w:rFonts w:hint="eastAsia" w:cs="Arial" w:asciiTheme="minorEastAsia" w:hAnsiTheme="minorEastAsia"/>
          <w:kern w:val="0"/>
          <w:sz w:val="24"/>
          <w:szCs w:val="24"/>
        </w:rPr>
        <w:t>.4谈判小组对供应商提交的澄清、说明或补正有疑问的，可以要求供应商进一步澄清、说明或补正，直至满足谈判小组的要求。谈判结束后，谈判小组应当要求所有继续参加谈判的供应商在规定时间内提交最后报价，提交最后报价的供应商不少于3家。</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.3</w:t>
      </w:r>
      <w:r>
        <w:rPr>
          <w:rFonts w:hint="eastAsia" w:cs="Arial" w:asciiTheme="minorEastAsia" w:hAnsiTheme="minorEastAsia"/>
          <w:kern w:val="0"/>
          <w:sz w:val="24"/>
          <w:szCs w:val="24"/>
        </w:rPr>
        <w:t>算术错误修正：投标价格有算术错误的，谈判小组按以下原则对投标价格进行修正，修正的价格经供应商书面确认后具有约束力。供应商不接受修正价格的，其投标将被否决。</w:t>
      </w:r>
    </w:p>
    <w:p>
      <w:pPr>
        <w:autoSpaceDE w:val="0"/>
        <w:autoSpaceDN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a. </w:t>
      </w:r>
      <w:r>
        <w:rPr>
          <w:rFonts w:hint="eastAsia" w:cs="宋体" w:asciiTheme="minorEastAsia" w:hAnsiTheme="minorEastAsia"/>
          <w:kern w:val="0"/>
          <w:sz w:val="24"/>
          <w:szCs w:val="24"/>
        </w:rPr>
        <w:t>响应文件中开标一览表（报价表）内容与响应文件中相应内容不一致的，以开标一览表（报价表）为准；</w:t>
      </w:r>
    </w:p>
    <w:p>
      <w:pPr>
        <w:autoSpaceDE w:val="0"/>
        <w:autoSpaceDN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b. </w:t>
      </w:r>
      <w:r>
        <w:rPr>
          <w:rFonts w:hint="eastAsia" w:cs="宋体" w:asciiTheme="minorEastAsia" w:hAnsiTheme="minorEastAsia"/>
          <w:kern w:val="0"/>
          <w:sz w:val="24"/>
          <w:szCs w:val="24"/>
        </w:rPr>
        <w:t>大写金额和小写金额不一致的，以大写金额为准；</w:t>
      </w:r>
    </w:p>
    <w:p>
      <w:pPr>
        <w:autoSpaceDE w:val="0"/>
        <w:autoSpaceDN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c. </w:t>
      </w:r>
      <w:r>
        <w:rPr>
          <w:rFonts w:hint="eastAsia" w:cs="宋体" w:asciiTheme="minorEastAsia" w:hAnsiTheme="minorEastAsia"/>
          <w:kern w:val="0"/>
          <w:sz w:val="24"/>
          <w:szCs w:val="24"/>
        </w:rPr>
        <w:t>单价金额小数点或者百分比有明显错位的，以开标一览表的总价为准，并修改单价；</w:t>
      </w:r>
    </w:p>
    <w:p>
      <w:pPr>
        <w:autoSpaceDE w:val="0"/>
        <w:autoSpaceDN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d. </w:t>
      </w:r>
      <w:r>
        <w:rPr>
          <w:rFonts w:hint="eastAsia" w:cs="宋体" w:asciiTheme="minorEastAsia" w:hAnsiTheme="minorEastAsia"/>
          <w:kern w:val="0"/>
          <w:sz w:val="24"/>
          <w:szCs w:val="24"/>
        </w:rPr>
        <w:t>总价金额与按单价汇总金额不一致的，以单价金额计算结果为准。</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宋体" w:asciiTheme="minorEastAsia" w:hAnsiTheme="minorEastAsia"/>
          <w:kern w:val="0"/>
          <w:sz w:val="24"/>
          <w:szCs w:val="24"/>
        </w:rPr>
        <w:t>e. 同时出现两种以上不一致的，按照前款规定的顺序修正。修正后的最终投标报价若超过最高投标限价（如有），评审小组应当否决其投标。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6</w:t>
      </w:r>
      <w:r>
        <w:rPr>
          <w:rFonts w:cs="Arial" w:asciiTheme="minorEastAsia" w:hAnsiTheme="minorEastAsia"/>
          <w:kern w:val="0"/>
          <w:sz w:val="24"/>
          <w:szCs w:val="24"/>
        </w:rPr>
        <w:t>.</w:t>
      </w:r>
      <w:r>
        <w:rPr>
          <w:rFonts w:hint="eastAsia" w:cs="Arial" w:asciiTheme="minorEastAsia" w:hAnsiTheme="minorEastAsia"/>
          <w:kern w:val="0"/>
          <w:sz w:val="24"/>
          <w:szCs w:val="24"/>
        </w:rPr>
        <w:t>4</w:t>
      </w:r>
      <w:r>
        <w:rPr>
          <w:rFonts w:cs="Arial" w:asciiTheme="minorEastAsia" w:hAnsiTheme="minorEastAsia"/>
          <w:kern w:val="0"/>
          <w:sz w:val="24"/>
          <w:szCs w:val="24"/>
        </w:rPr>
        <w:t xml:space="preserve"> </w:t>
      </w:r>
      <w:r>
        <w:rPr>
          <w:rFonts w:hint="eastAsia" w:cs="Arial" w:asciiTheme="minorEastAsia" w:hAnsiTheme="minorEastAsia"/>
          <w:kern w:val="0"/>
          <w:sz w:val="24"/>
          <w:szCs w:val="24"/>
        </w:rPr>
        <w:t>谈判小组发现供应商的报价明显低于其他供应商投标价格，使得其投标价格可能低于其成本的，应当要求在合理时间内该供应商作出书面说明并提供相应的证明材料。供应商不能合理说明或者不能提供相应证明材料的，由谈判小组认定该供应商以低于成本报价竞标，否决其投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7推荐成交候选人及提交评标报告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.1</w:t>
      </w:r>
      <w:r>
        <w:rPr>
          <w:rFonts w:hint="eastAsia" w:cs="Arial" w:asciiTheme="minorEastAsia" w:hAnsiTheme="minorEastAsia"/>
          <w:kern w:val="0"/>
          <w:sz w:val="24"/>
          <w:szCs w:val="24"/>
        </w:rPr>
        <w:t>详细评审工作全部结束后，评审小组应当根据最终投标报价情况，按照供应商最终投标报价由低到高的顺序排列，依次推荐</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名成交候选人（同品牌的不同供应商的最终投标报价，以最终投标报价最低的参加评标，最终投标报价相同的，谈判小组将按照</w:t>
      </w:r>
      <w:r>
        <w:rPr>
          <w:rFonts w:hint="eastAsia" w:ascii="宋体" w:hAnsi="宋体"/>
          <w:sz w:val="24"/>
          <w:szCs w:val="24"/>
        </w:rPr>
        <w:t>按技术指标优劣顺序确定参加评标的供应商</w:t>
      </w:r>
      <w:r>
        <w:rPr>
          <w:rFonts w:hint="eastAsia" w:cs="Arial" w:asciiTheme="minorEastAsia" w:hAnsiTheme="minorEastAsia"/>
          <w:kern w:val="0"/>
          <w:sz w:val="24"/>
          <w:szCs w:val="24"/>
        </w:rPr>
        <w:t>，其他同品牌供应商不参与评标），并编写评审报告。供应商最终投标报价相同的，评审小组将按照</w:t>
      </w:r>
      <w:r>
        <w:rPr>
          <w:rFonts w:hint="eastAsia" w:ascii="宋体" w:hAnsi="宋体"/>
          <w:sz w:val="24"/>
          <w:szCs w:val="24"/>
        </w:rPr>
        <w:t>按技术指标优劣顺序排列</w:t>
      </w:r>
      <w:r>
        <w:rPr>
          <w:rFonts w:hint="eastAsia" w:cs="Arial" w:asciiTheme="minorEastAsia" w:hAnsiTheme="minorEastAsia"/>
          <w:kern w:val="0"/>
          <w:sz w:val="24"/>
          <w:szCs w:val="24"/>
        </w:rPr>
        <w:t>推荐。</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.2</w:t>
      </w:r>
      <w:r>
        <w:rPr>
          <w:rFonts w:hint="eastAsia" w:cs="Arial" w:asciiTheme="minorEastAsia" w:hAnsiTheme="minorEastAsia"/>
          <w:kern w:val="0"/>
          <w:sz w:val="24"/>
          <w:szCs w:val="24"/>
        </w:rPr>
        <w:t>当通过了资格审查、完备性及符合性审查后，供应商少于3个时，采购人应当依法重新采购。</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7</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谈判小组完成评标后，应当向采购人提交书面评标报告。</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8特殊情况的处置程序</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.1 </w:t>
      </w:r>
      <w:r>
        <w:rPr>
          <w:rFonts w:hint="eastAsia" w:cs="Arial" w:asciiTheme="minorEastAsia" w:hAnsiTheme="minorEastAsia"/>
          <w:kern w:val="0"/>
          <w:sz w:val="24"/>
          <w:szCs w:val="24"/>
        </w:rPr>
        <w:t>关于评标活动暂停</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谈判小组应当执行连续评标的原则，按评标办法中规定的程序、内容、方法、标准完成全部评标工作。只有发生不可抗力导致评标工作无法继续时，评标活动方可暂停。发生评标暂停情况时，应当封存全部竞争性谈判响应文件和评标记录，待不可抗力的影响结束且具备继续评标的条件时，由原谈判小组继续评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8</w:t>
      </w:r>
      <w:r>
        <w:rPr>
          <w:rFonts w:cs="Arial" w:asciiTheme="minorEastAsia" w:hAnsiTheme="minorEastAsia"/>
          <w:kern w:val="0"/>
          <w:sz w:val="24"/>
          <w:szCs w:val="24"/>
        </w:rPr>
        <w:t>.2</w:t>
      </w:r>
      <w:r>
        <w:rPr>
          <w:rFonts w:hint="eastAsia" w:cs="Arial" w:asciiTheme="minorEastAsia" w:hAnsiTheme="minorEastAsia"/>
          <w:kern w:val="0"/>
          <w:sz w:val="24"/>
          <w:szCs w:val="24"/>
        </w:rPr>
        <w:t>关于评标中途更换评委</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.2.1 </w:t>
      </w:r>
      <w:r>
        <w:rPr>
          <w:rFonts w:hint="eastAsia" w:cs="Arial" w:asciiTheme="minorEastAsia" w:hAnsiTheme="minorEastAsia"/>
          <w:kern w:val="0"/>
          <w:sz w:val="24"/>
          <w:szCs w:val="24"/>
        </w:rPr>
        <w:t>除非发生下列情况之一，谈判小组成员不得在评标中途更换：</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1</w:t>
      </w:r>
      <w:r>
        <w:rPr>
          <w:rFonts w:hint="eastAsia" w:cs="Arial" w:asciiTheme="minorEastAsia" w:hAnsiTheme="minorEastAsia"/>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w:t>
      </w:r>
      <w:r>
        <w:rPr>
          <w:rFonts w:cs="Arial" w:asciiTheme="minorEastAsia" w:hAnsiTheme="minorEastAsia"/>
          <w:kern w:val="0"/>
          <w:sz w:val="24"/>
          <w:szCs w:val="24"/>
        </w:rPr>
        <w:t>2</w:t>
      </w:r>
      <w:r>
        <w:rPr>
          <w:rFonts w:hint="eastAsia" w:cs="Arial" w:asciiTheme="minorEastAsia" w:hAnsiTheme="minorEastAsia"/>
          <w:kern w:val="0"/>
          <w:sz w:val="24"/>
          <w:szCs w:val="24"/>
        </w:rPr>
        <w:t>）根据法律法规规定，某个或某几个谈判小组成员需要回避。</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.2.2 </w:t>
      </w:r>
      <w:r>
        <w:rPr>
          <w:rFonts w:hint="eastAsia" w:cs="Arial" w:asciiTheme="minorEastAsia" w:hAnsiTheme="minorEastAsia"/>
          <w:kern w:val="0"/>
          <w:sz w:val="24"/>
          <w:szCs w:val="24"/>
        </w:rPr>
        <w:t>退出评标的谈判小组成员，其已完成的评标行为无效，由更换的评委进行评标。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cs="Arial" w:asciiTheme="minorEastAsia" w:hAnsiTheme="minorEastAsia"/>
          <w:kern w:val="0"/>
          <w:sz w:val="24"/>
          <w:szCs w:val="24"/>
        </w:rPr>
        <w:t>3.</w:t>
      </w:r>
      <w:r>
        <w:rPr>
          <w:rFonts w:hint="eastAsia" w:cs="Arial" w:asciiTheme="minorEastAsia" w:hAnsiTheme="minorEastAsia"/>
          <w:kern w:val="0"/>
          <w:sz w:val="24"/>
          <w:szCs w:val="24"/>
        </w:rPr>
        <w:t>8</w:t>
      </w:r>
      <w:r>
        <w:rPr>
          <w:rFonts w:cs="Arial" w:asciiTheme="minorEastAsia" w:hAnsiTheme="minorEastAsia"/>
          <w:kern w:val="0"/>
          <w:sz w:val="24"/>
          <w:szCs w:val="24"/>
        </w:rPr>
        <w:t xml:space="preserve">.3 </w:t>
      </w:r>
      <w:r>
        <w:rPr>
          <w:rFonts w:hint="eastAsia" w:cs="Arial" w:asciiTheme="minorEastAsia" w:hAnsiTheme="minorEastAsia"/>
          <w:kern w:val="0"/>
          <w:sz w:val="24"/>
          <w:szCs w:val="24"/>
        </w:rPr>
        <w:t>在评标环节中，需谈判小组就某项定性的评审结论做出表决的，由谈判小组全体成员按照少数服从多数的原则确定。</w:t>
      </w:r>
      <w:r>
        <w:rPr>
          <w:rFonts w:cs="Arial" w:asciiTheme="minorEastAsia" w:hAnsiTheme="minorEastAsia"/>
          <w:kern w:val="0"/>
          <w:sz w:val="24"/>
          <w:szCs w:val="24"/>
        </w:rPr>
        <w:br w:type="page"/>
      </w:r>
    </w:p>
    <w:p>
      <w:pPr>
        <w:spacing w:line="360" w:lineRule="auto"/>
        <w:jc w:val="center"/>
        <w:outlineLvl w:val="0"/>
        <w:rPr>
          <w:rFonts w:cs="宋体" w:asciiTheme="minorEastAsia" w:hAnsiTheme="minorEastAsia"/>
          <w:b/>
          <w:sz w:val="24"/>
          <w:szCs w:val="24"/>
        </w:rPr>
      </w:pPr>
      <w:bookmarkStart w:id="28" w:name="_Toc485312286"/>
      <w:bookmarkStart w:id="29" w:name="_Toc136609701"/>
      <w:r>
        <w:rPr>
          <w:rFonts w:hint="eastAsia" w:cs="宋体" w:asciiTheme="minorEastAsia" w:hAnsiTheme="minorEastAsia"/>
          <w:b/>
          <w:sz w:val="24"/>
          <w:szCs w:val="24"/>
        </w:rPr>
        <w:t>第三章 合同</w:t>
      </w:r>
      <w:bookmarkEnd w:id="28"/>
      <w:r>
        <w:rPr>
          <w:rFonts w:hint="eastAsia" w:cs="宋体" w:asciiTheme="minorEastAsia" w:hAnsiTheme="minorEastAsia"/>
          <w:b/>
          <w:sz w:val="24"/>
          <w:szCs w:val="24"/>
        </w:rPr>
        <w:t>条款及格式</w:t>
      </w:r>
      <w:bookmarkEnd w:id="29"/>
    </w:p>
    <w:p>
      <w:pPr>
        <w:spacing w:line="360" w:lineRule="auto"/>
        <w:jc w:val="center"/>
        <w:outlineLvl w:val="0"/>
        <w:rPr>
          <w:rFonts w:cs="宋体" w:asciiTheme="minorEastAsia" w:hAnsiTheme="minorEastAsia"/>
          <w:b/>
          <w:sz w:val="24"/>
          <w:szCs w:val="24"/>
        </w:rPr>
      </w:pPr>
      <w:bookmarkStart w:id="30" w:name="_Toc136609702"/>
      <w:r>
        <w:rPr>
          <w:rFonts w:hint="eastAsia" w:cs="宋体" w:asciiTheme="minorEastAsia" w:hAnsiTheme="minorEastAsia"/>
          <w:b/>
          <w:sz w:val="24"/>
          <w:szCs w:val="24"/>
        </w:rPr>
        <w:t>（仅供参考，以采购人实际签订为准）</w:t>
      </w:r>
      <w:bookmarkEnd w:id="30"/>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ind w:right="56"/>
        <w:jc w:val="center"/>
        <w:rPr>
          <w:rFonts w:asciiTheme="minorEastAsia" w:hAnsiTheme="minorEastAsia"/>
          <w:b/>
          <w:sz w:val="40"/>
          <w:szCs w:val="44"/>
        </w:rPr>
      </w:pPr>
      <w:r>
        <w:rPr>
          <w:rFonts w:hint="eastAsia" w:asciiTheme="minorEastAsia" w:hAnsiTheme="minorEastAsia"/>
          <w:b/>
          <w:sz w:val="40"/>
          <w:szCs w:val="44"/>
          <w:u w:val="single"/>
          <w:lang w:eastAsia="zh-CN"/>
        </w:rPr>
        <w:t>伊宁市解放路街道社区卫生服务中心</w:t>
      </w:r>
      <w:r>
        <w:rPr>
          <w:rFonts w:hint="eastAsia" w:asciiTheme="minorEastAsia" w:hAnsiTheme="minorEastAsia"/>
          <w:b/>
          <w:sz w:val="40"/>
          <w:szCs w:val="44"/>
          <w:u w:val="single"/>
        </w:rPr>
        <w:t xml:space="preserve">医疗设备   </w:t>
      </w:r>
      <w:r>
        <w:rPr>
          <w:rFonts w:hint="eastAsia" w:asciiTheme="minorEastAsia" w:hAnsiTheme="minorEastAsia"/>
          <w:b/>
          <w:sz w:val="40"/>
          <w:szCs w:val="44"/>
        </w:rPr>
        <w:t>采购</w:t>
      </w:r>
      <w:r>
        <w:rPr>
          <w:rFonts w:asciiTheme="minorEastAsia" w:hAnsiTheme="minorEastAsia"/>
          <w:b/>
          <w:sz w:val="40"/>
          <w:szCs w:val="44"/>
        </w:rPr>
        <w:t>合同</w:t>
      </w: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spacing w:line="500" w:lineRule="exact"/>
        <w:rPr>
          <w:rFonts w:asciiTheme="minorEastAsia" w:hAnsiTheme="minorEastAsia"/>
          <w:b/>
          <w:sz w:val="24"/>
          <w:szCs w:val="28"/>
          <w:u w:val="single"/>
        </w:rPr>
      </w:pPr>
      <w:r>
        <w:rPr>
          <w:rFonts w:hint="eastAsia" w:asciiTheme="minorEastAsia" w:hAnsiTheme="minorEastAsia"/>
          <w:b/>
          <w:sz w:val="24"/>
          <w:szCs w:val="28"/>
        </w:rPr>
        <w:t>　　　　　　</w:t>
      </w:r>
      <w:r>
        <w:rPr>
          <w:rFonts w:asciiTheme="minorEastAsia" w:hAnsiTheme="minorEastAsia"/>
          <w:b/>
          <w:sz w:val="24"/>
          <w:szCs w:val="28"/>
        </w:rPr>
        <w:t>甲方：</w:t>
      </w:r>
      <w:r>
        <w:rPr>
          <w:rFonts w:hint="eastAsia" w:asciiTheme="minorEastAsia" w:hAnsiTheme="minorEastAsia"/>
          <w:sz w:val="24"/>
          <w:szCs w:val="28"/>
          <w:u w:val="single"/>
        </w:rPr>
        <w:t xml:space="preserve">                    </w:t>
      </w:r>
    </w:p>
    <w:p>
      <w:pPr>
        <w:spacing w:line="500" w:lineRule="exact"/>
        <w:ind w:firstLine="1807" w:firstLineChars="750"/>
        <w:jc w:val="center"/>
        <w:rPr>
          <w:rFonts w:asciiTheme="minorEastAsia" w:hAnsiTheme="minorEastAsia"/>
          <w:b/>
          <w:sz w:val="24"/>
          <w:szCs w:val="28"/>
          <w:u w:val="single"/>
        </w:rPr>
      </w:pPr>
    </w:p>
    <w:p>
      <w:pPr>
        <w:spacing w:line="500" w:lineRule="exact"/>
        <w:rPr>
          <w:rFonts w:asciiTheme="minorEastAsia" w:hAnsiTheme="minorEastAsia"/>
          <w:b/>
          <w:sz w:val="24"/>
          <w:szCs w:val="28"/>
          <w:u w:val="single"/>
        </w:rPr>
      </w:pPr>
      <w:r>
        <w:rPr>
          <w:rFonts w:hint="eastAsia" w:asciiTheme="minorEastAsia" w:hAnsiTheme="minorEastAsia"/>
          <w:b/>
          <w:sz w:val="24"/>
          <w:szCs w:val="28"/>
        </w:rPr>
        <w:t>　　　　　　</w:t>
      </w:r>
      <w:r>
        <w:rPr>
          <w:rFonts w:asciiTheme="minorEastAsia" w:hAnsiTheme="minorEastAsia"/>
          <w:b/>
          <w:sz w:val="24"/>
          <w:szCs w:val="28"/>
        </w:rPr>
        <w:t>乙方：</w:t>
      </w:r>
      <w:r>
        <w:rPr>
          <w:rFonts w:hint="eastAsia" w:asciiTheme="minorEastAsia" w:hAnsiTheme="minorEastAsia"/>
          <w:sz w:val="24"/>
          <w:szCs w:val="28"/>
          <w:u w:val="single"/>
        </w:rPr>
        <w:t xml:space="preserve">                    </w:t>
      </w:r>
    </w:p>
    <w:p>
      <w:pPr>
        <w:spacing w:line="500" w:lineRule="exact"/>
        <w:ind w:firstLine="479" w:firstLineChars="149"/>
        <w:rPr>
          <w:rFonts w:asciiTheme="minorEastAsia" w:hAnsiTheme="minorEastAsia"/>
          <w:b/>
          <w:sz w:val="32"/>
          <w:szCs w:val="36"/>
        </w:rPr>
      </w:pPr>
    </w:p>
    <w:p>
      <w:pPr>
        <w:spacing w:line="500" w:lineRule="exact"/>
        <w:rPr>
          <w:rFonts w:asciiTheme="minorEastAsia" w:hAnsiTheme="minorEastAsia"/>
          <w:b/>
          <w:sz w:val="24"/>
          <w:szCs w:val="28"/>
        </w:rPr>
      </w:pPr>
      <w:r>
        <w:rPr>
          <w:rFonts w:hint="eastAsia" w:asciiTheme="minorEastAsia" w:hAnsiTheme="minorEastAsia"/>
          <w:b/>
          <w:sz w:val="24"/>
          <w:szCs w:val="28"/>
        </w:rPr>
        <w:t>　　　　　　　　　</w:t>
      </w:r>
      <w:r>
        <w:rPr>
          <w:rFonts w:asciiTheme="minorEastAsia" w:hAnsiTheme="minorEastAsia"/>
          <w:b/>
          <w:sz w:val="24"/>
          <w:szCs w:val="28"/>
        </w:rPr>
        <w:t>签订日期：</w:t>
      </w:r>
      <w:r>
        <w:rPr>
          <w:rFonts w:hint="eastAsia" w:asciiTheme="minorEastAsia" w:hAnsiTheme="minorEastAsia"/>
          <w:b/>
          <w:sz w:val="24"/>
          <w:szCs w:val="28"/>
        </w:rPr>
        <w:t xml:space="preserve">   </w:t>
      </w:r>
      <w:r>
        <w:rPr>
          <w:rFonts w:asciiTheme="minorEastAsia" w:hAnsiTheme="minorEastAsia"/>
          <w:b/>
          <w:sz w:val="24"/>
          <w:szCs w:val="28"/>
        </w:rPr>
        <w:t>年</w:t>
      </w:r>
      <w:r>
        <w:rPr>
          <w:rFonts w:hint="eastAsia" w:asciiTheme="minorEastAsia" w:hAnsiTheme="minorEastAsia"/>
          <w:b/>
          <w:sz w:val="24"/>
          <w:szCs w:val="28"/>
        </w:rPr>
        <w:t xml:space="preserve">   </w:t>
      </w:r>
      <w:r>
        <w:rPr>
          <w:rFonts w:asciiTheme="minorEastAsia" w:hAnsiTheme="minorEastAsia"/>
          <w:b/>
          <w:sz w:val="24"/>
          <w:szCs w:val="28"/>
        </w:rPr>
        <w:t>月</w:t>
      </w:r>
      <w:r>
        <w:rPr>
          <w:rFonts w:hint="eastAsia" w:asciiTheme="minorEastAsia" w:hAnsiTheme="minorEastAsia"/>
          <w:b/>
          <w:sz w:val="24"/>
          <w:szCs w:val="28"/>
        </w:rPr>
        <w:t xml:space="preserve">   </w:t>
      </w:r>
      <w:r>
        <w:rPr>
          <w:rFonts w:asciiTheme="minorEastAsia" w:hAnsiTheme="minorEastAsia"/>
          <w:b/>
          <w:sz w:val="24"/>
          <w:szCs w:val="28"/>
        </w:rPr>
        <w:t>日</w:t>
      </w:r>
    </w:p>
    <w:p>
      <w:pPr>
        <w:spacing w:line="500" w:lineRule="exact"/>
        <w:ind w:firstLine="2168" w:firstLineChars="900"/>
        <w:rPr>
          <w:rFonts w:asciiTheme="minorEastAsia" w:hAnsiTheme="minorEastAsia"/>
          <w:b/>
          <w:sz w:val="24"/>
          <w:szCs w:val="28"/>
        </w:rPr>
      </w:pPr>
      <w:r>
        <w:rPr>
          <w:rFonts w:asciiTheme="minorEastAsia" w:hAnsiTheme="minorEastAsia"/>
          <w:b/>
          <w:sz w:val="24"/>
          <w:szCs w:val="28"/>
        </w:rPr>
        <w:t>签订</w:t>
      </w:r>
      <w:r>
        <w:rPr>
          <w:rFonts w:hint="eastAsia" w:asciiTheme="minorEastAsia" w:hAnsiTheme="minorEastAsia"/>
          <w:b/>
          <w:sz w:val="24"/>
          <w:szCs w:val="28"/>
        </w:rPr>
        <w:t>地点：</w:t>
      </w:r>
      <w:r>
        <w:rPr>
          <w:rFonts w:asciiTheme="minorEastAsia" w:hAnsiTheme="minorEastAsia"/>
          <w:b/>
          <w:sz w:val="24"/>
          <w:szCs w:val="28"/>
        </w:rPr>
        <w:t xml:space="preserve"> </w:t>
      </w:r>
    </w:p>
    <w:p>
      <w:pPr>
        <w:spacing w:line="500" w:lineRule="exact"/>
        <w:rPr>
          <w:rFonts w:asciiTheme="minorEastAsia" w:hAnsiTheme="minorEastAsia"/>
          <w:b/>
          <w:sz w:val="24"/>
          <w:szCs w:val="28"/>
        </w:rPr>
      </w:pPr>
    </w:p>
    <w:p>
      <w:pPr>
        <w:rPr>
          <w:rFonts w:asciiTheme="minorEastAsia" w:hAnsiTheme="minorEastAsia"/>
          <w:b/>
          <w:sz w:val="28"/>
          <w:szCs w:val="32"/>
        </w:rPr>
      </w:pPr>
    </w:p>
    <w:p>
      <w:pPr>
        <w:widowControl/>
        <w:rPr>
          <w:rFonts w:asciiTheme="minorEastAsia" w:hAnsiTheme="minorEastAsia"/>
          <w:b/>
          <w:sz w:val="28"/>
          <w:szCs w:val="32"/>
        </w:rPr>
      </w:pPr>
      <w:r>
        <w:rPr>
          <w:rFonts w:asciiTheme="minorEastAsia" w:hAnsiTheme="minorEastAsia"/>
          <w:b/>
          <w:sz w:val="28"/>
          <w:szCs w:val="32"/>
        </w:rPr>
        <w:br w:type="page"/>
      </w:r>
    </w:p>
    <w:p>
      <w:pPr>
        <w:jc w:val="center"/>
        <w:rPr>
          <w:rFonts w:asciiTheme="minorEastAsia" w:hAnsiTheme="minorEastAsia"/>
          <w:b/>
          <w:bCs/>
          <w:sz w:val="40"/>
          <w:szCs w:val="44"/>
        </w:rPr>
      </w:pPr>
      <w:r>
        <w:rPr>
          <w:rFonts w:asciiTheme="minorEastAsia" w:hAnsiTheme="minorEastAsia"/>
          <w:b/>
          <w:bCs/>
          <w:sz w:val="40"/>
          <w:szCs w:val="44"/>
        </w:rPr>
        <w:t>采  购  合  同</w:t>
      </w:r>
    </w:p>
    <w:p>
      <w:pPr>
        <w:jc w:val="center"/>
        <w:rPr>
          <w:rFonts w:asciiTheme="minorEastAsia" w:hAnsiTheme="minorEastAsia"/>
          <w:b/>
          <w:bCs/>
          <w:sz w:val="40"/>
          <w:szCs w:val="44"/>
        </w:rPr>
      </w:pPr>
    </w:p>
    <w:p>
      <w:pPr>
        <w:rPr>
          <w:rFonts w:asciiTheme="minorEastAsia" w:hAnsiTheme="minorEastAsia"/>
          <w:sz w:val="24"/>
          <w:szCs w:val="28"/>
          <w:u w:val="single"/>
        </w:rPr>
      </w:pPr>
      <w:r>
        <w:rPr>
          <w:rFonts w:asciiTheme="minorEastAsia" w:hAnsiTheme="minorEastAsia"/>
          <w:sz w:val="24"/>
          <w:szCs w:val="28"/>
        </w:rPr>
        <w:t>需方（甲方）：</w:t>
      </w:r>
    </w:p>
    <w:p>
      <w:pPr>
        <w:rPr>
          <w:rFonts w:asciiTheme="minorEastAsia" w:hAnsiTheme="minorEastAsia"/>
          <w:sz w:val="24"/>
          <w:szCs w:val="28"/>
          <w:u w:val="single"/>
        </w:rPr>
      </w:pPr>
      <w:r>
        <w:rPr>
          <w:rFonts w:asciiTheme="minorEastAsia" w:hAnsiTheme="minorEastAsia"/>
          <w:sz w:val="24"/>
          <w:szCs w:val="28"/>
        </w:rPr>
        <w:t>供方（乙方）：</w:t>
      </w:r>
    </w:p>
    <w:p>
      <w:pPr>
        <w:ind w:firstLine="720" w:firstLineChars="300"/>
        <w:rPr>
          <w:rFonts w:asciiTheme="minorEastAsia" w:hAnsiTheme="minorEastAsia"/>
          <w:sz w:val="24"/>
          <w:szCs w:val="28"/>
        </w:rPr>
      </w:pPr>
      <w:r>
        <w:rPr>
          <w:rFonts w:asciiTheme="minorEastAsia" w:hAnsiTheme="minorEastAsia"/>
          <w:sz w:val="24"/>
          <w:szCs w:val="28"/>
        </w:rPr>
        <w:t>根据《中华人民共和国</w:t>
      </w:r>
      <w:r>
        <w:rPr>
          <w:rFonts w:hint="eastAsia" w:asciiTheme="minorEastAsia" w:hAnsiTheme="minorEastAsia"/>
          <w:sz w:val="24"/>
          <w:szCs w:val="28"/>
        </w:rPr>
        <w:t>民法典</w:t>
      </w:r>
      <w:r>
        <w:rPr>
          <w:rFonts w:asciiTheme="minorEastAsia" w:hAnsiTheme="minorEastAsia"/>
          <w:sz w:val="24"/>
          <w:szCs w:val="28"/>
        </w:rPr>
        <w:t>》，本着诚实信用，互惠互利原则，为确定双方的权力和义务</w:t>
      </w:r>
      <w:r>
        <w:rPr>
          <w:rFonts w:hint="eastAsia" w:asciiTheme="minorEastAsia" w:hAnsiTheme="minorEastAsia"/>
          <w:sz w:val="24"/>
          <w:szCs w:val="28"/>
        </w:rPr>
        <w:t>，为保护甲方的权益，乙方承诺，能够严格按照本合同的约定的数量、质量，向甲方提供合格产品，双方协商一致，</w:t>
      </w:r>
      <w:r>
        <w:rPr>
          <w:rFonts w:asciiTheme="minorEastAsia" w:hAnsiTheme="minorEastAsia"/>
          <w:sz w:val="24"/>
          <w:szCs w:val="28"/>
        </w:rPr>
        <w:t>现就有关事宜达成以下条款，双方共同遵守</w:t>
      </w:r>
      <w:r>
        <w:rPr>
          <w:rFonts w:hint="eastAsia" w:asciiTheme="minorEastAsia" w:hAnsiTheme="minorEastAsia"/>
          <w:sz w:val="24"/>
          <w:szCs w:val="28"/>
        </w:rPr>
        <w:t>。</w:t>
      </w:r>
    </w:p>
    <w:p>
      <w:pPr>
        <w:pStyle w:val="71"/>
        <w:numPr>
          <w:ilvl w:val="0"/>
          <w:numId w:val="3"/>
        </w:numPr>
        <w:ind w:firstLineChars="0"/>
        <w:jc w:val="left"/>
        <w:rPr>
          <w:rFonts w:asciiTheme="minorEastAsia" w:hAnsiTheme="minorEastAsia" w:eastAsiaTheme="minorEastAsia"/>
          <w:sz w:val="24"/>
          <w:szCs w:val="28"/>
        </w:rPr>
      </w:pPr>
      <w:r>
        <w:rPr>
          <w:rFonts w:asciiTheme="minorEastAsia" w:hAnsiTheme="minorEastAsia" w:eastAsiaTheme="minorEastAsia"/>
          <w:sz w:val="24"/>
          <w:szCs w:val="28"/>
        </w:rPr>
        <w:t>产品名称、型号、数量、单价及金额</w:t>
      </w:r>
    </w:p>
    <w:tbl>
      <w:tblPr>
        <w:tblStyle w:val="48"/>
        <w:tblW w:w="5445" w:type="pct"/>
        <w:jc w:val="center"/>
        <w:tblLayout w:type="fixed"/>
        <w:tblCellMar>
          <w:top w:w="0" w:type="dxa"/>
          <w:left w:w="108" w:type="dxa"/>
          <w:bottom w:w="0" w:type="dxa"/>
          <w:right w:w="108" w:type="dxa"/>
        </w:tblCellMar>
      </w:tblPr>
      <w:tblGrid>
        <w:gridCol w:w="1021"/>
        <w:gridCol w:w="1291"/>
        <w:gridCol w:w="1525"/>
        <w:gridCol w:w="955"/>
        <w:gridCol w:w="1393"/>
        <w:gridCol w:w="1385"/>
        <w:gridCol w:w="1231"/>
        <w:gridCol w:w="1066"/>
      </w:tblGrid>
      <w:tr>
        <w:tblPrEx>
          <w:tblCellMar>
            <w:top w:w="0" w:type="dxa"/>
            <w:left w:w="108" w:type="dxa"/>
            <w:bottom w:w="0" w:type="dxa"/>
            <w:right w:w="108" w:type="dxa"/>
          </w:tblCellMar>
        </w:tblPrEx>
        <w:trPr>
          <w:trHeight w:val="960" w:hRule="atLeast"/>
          <w:jc w:val="center"/>
        </w:trPr>
        <w:tc>
          <w:tcPr>
            <w:tcW w:w="517"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序号</w:t>
            </w:r>
          </w:p>
        </w:tc>
        <w:tc>
          <w:tcPr>
            <w:tcW w:w="65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产品名称</w:t>
            </w:r>
          </w:p>
        </w:tc>
        <w:tc>
          <w:tcPr>
            <w:tcW w:w="773"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规格</w:t>
            </w:r>
          </w:p>
        </w:tc>
        <w:tc>
          <w:tcPr>
            <w:tcW w:w="48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数量</w:t>
            </w:r>
          </w:p>
        </w:tc>
        <w:tc>
          <w:tcPr>
            <w:tcW w:w="706"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单价（单位：元）</w:t>
            </w:r>
          </w:p>
        </w:tc>
        <w:tc>
          <w:tcPr>
            <w:tcW w:w="702"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合价（单位：元）</w:t>
            </w:r>
          </w:p>
        </w:tc>
        <w:tc>
          <w:tcPr>
            <w:tcW w:w="62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生产商</w:t>
            </w:r>
          </w:p>
        </w:tc>
        <w:tc>
          <w:tcPr>
            <w:tcW w:w="54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备注</w:t>
            </w:r>
          </w:p>
        </w:tc>
      </w:tr>
      <w:tr>
        <w:tblPrEx>
          <w:tblCellMar>
            <w:top w:w="0" w:type="dxa"/>
            <w:left w:w="108" w:type="dxa"/>
            <w:bottom w:w="0" w:type="dxa"/>
            <w:right w:w="108" w:type="dxa"/>
          </w:tblCellMar>
        </w:tblPrEx>
        <w:trPr>
          <w:trHeight w:val="81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84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84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84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bl>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备注：产品须符合国家标准。</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二、</w:t>
      </w:r>
      <w:r>
        <w:rPr>
          <w:rFonts w:hint="eastAsia" w:asciiTheme="minorEastAsia" w:hAnsiTheme="minorEastAsia"/>
          <w:sz w:val="24"/>
          <w:szCs w:val="28"/>
        </w:rPr>
        <w:t>质量技术标准</w:t>
      </w:r>
      <w:r>
        <w:rPr>
          <w:rFonts w:asciiTheme="minorEastAsia" w:hAnsiTheme="minorEastAsia"/>
          <w:sz w:val="24"/>
          <w:szCs w:val="28"/>
        </w:rPr>
        <w:t xml:space="preserve">: </w:t>
      </w:r>
      <w:r>
        <w:rPr>
          <w:rFonts w:hint="eastAsia" w:asciiTheme="minorEastAsia" w:hAnsiTheme="minorEastAsia"/>
          <w:sz w:val="24"/>
          <w:szCs w:val="28"/>
        </w:rPr>
        <w:t>按照技术规范要求，乙方保证交付的产品符合质量标准规定，所提供产品如果出现（非人为及不可抗因素除外）质量问题，乙方按照国家“三包政策”承担质保责任。</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三、根据甲方需求，甲方购置</w:t>
      </w:r>
      <w:r>
        <w:rPr>
          <w:rFonts w:hint="eastAsia" w:asciiTheme="minorEastAsia" w:hAnsiTheme="minorEastAsia"/>
          <w:sz w:val="24"/>
          <w:szCs w:val="28"/>
        </w:rPr>
        <w:t>以上货物</w:t>
      </w:r>
      <w:r>
        <w:rPr>
          <w:rFonts w:asciiTheme="minorEastAsia" w:hAnsiTheme="minorEastAsia"/>
          <w:sz w:val="24"/>
          <w:szCs w:val="28"/>
        </w:rPr>
        <w:t>，合计金额为：</w:t>
      </w:r>
      <w:r>
        <w:rPr>
          <w:rFonts w:hint="eastAsia" w:cs="宋体" w:asciiTheme="minorEastAsia" w:hAnsiTheme="minorEastAsia"/>
          <w:sz w:val="24"/>
          <w:szCs w:val="28"/>
          <w:u w:val="single"/>
        </w:rPr>
        <w:t>¥</w:t>
      </w:r>
      <w:r>
        <w:rPr>
          <w:rFonts w:hint="eastAsia" w:asciiTheme="minorEastAsia" w:hAnsiTheme="minorEastAsia"/>
          <w:sz w:val="24"/>
          <w:szCs w:val="28"/>
          <w:u w:val="single"/>
        </w:rPr>
        <w:t xml:space="preserve">      </w:t>
      </w:r>
      <w:r>
        <w:rPr>
          <w:rFonts w:asciiTheme="minorEastAsia" w:hAnsiTheme="minorEastAsia"/>
          <w:sz w:val="24"/>
          <w:szCs w:val="28"/>
        </w:rPr>
        <w:t>元</w:t>
      </w:r>
      <w:r>
        <w:rPr>
          <w:rFonts w:asciiTheme="minorEastAsia" w:hAnsiTheme="minorEastAsia"/>
          <w:sz w:val="24"/>
          <w:szCs w:val="28"/>
          <w:u w:val="single"/>
        </w:rPr>
        <w:t>（大写：</w:t>
      </w:r>
      <w:r>
        <w:rPr>
          <w:rFonts w:hint="eastAsia" w:asciiTheme="minorEastAsia" w:hAnsiTheme="minorEastAsia"/>
          <w:sz w:val="24"/>
          <w:szCs w:val="28"/>
          <w:u w:val="single"/>
        </w:rPr>
        <w:t xml:space="preserve">                    </w:t>
      </w:r>
      <w:r>
        <w:rPr>
          <w:rFonts w:asciiTheme="minorEastAsia" w:hAnsiTheme="minorEastAsia"/>
          <w:sz w:val="24"/>
          <w:szCs w:val="28"/>
          <w:u w:val="single"/>
        </w:rPr>
        <w:t>元整）</w:t>
      </w:r>
      <w:r>
        <w:rPr>
          <w:rFonts w:asciiTheme="minorEastAsia" w:hAnsiTheme="minorEastAsia"/>
          <w:sz w:val="24"/>
          <w:szCs w:val="28"/>
        </w:rPr>
        <w:t>。合同金额</w:t>
      </w:r>
      <w:r>
        <w:rPr>
          <w:rFonts w:hint="eastAsia" w:ascii="宋体" w:hAnsi="宋体"/>
          <w:sz w:val="24"/>
          <w:szCs w:val="24"/>
        </w:rPr>
        <w:t>应包括：货物、外购件、外协件、配套件、备品备件、全套设备全部内容、专用工具、原材料及生产制造、检验、油漆、包装、专利费、保险、利税（各种税费）、管理、运输、装卸、运杂费、设备的安装调试（含辅材、开箱费）、疫情防控费、配合费、检验验收、技术资料（含中文与外文的翻译费）、售后服务、技术指导、维保、采购文件所要求的其它服务事项及与履行合同约定义务有关的全部费用。</w:t>
      </w:r>
    </w:p>
    <w:p>
      <w:pPr>
        <w:suppressAutoHyphens/>
        <w:topLinePunct/>
        <w:ind w:firstLine="480" w:firstLineChars="200"/>
        <w:rPr>
          <w:rFonts w:asciiTheme="minorEastAsia" w:hAnsiTheme="minorEastAsia"/>
          <w:sz w:val="24"/>
          <w:szCs w:val="28"/>
          <w:u w:val="single"/>
        </w:rPr>
      </w:pPr>
      <w:r>
        <w:rPr>
          <w:rFonts w:asciiTheme="minorEastAsia" w:hAnsiTheme="minorEastAsia"/>
          <w:sz w:val="24"/>
          <w:szCs w:val="28"/>
        </w:rPr>
        <w:t>四、</w:t>
      </w:r>
      <w:r>
        <w:rPr>
          <w:rFonts w:ascii="宋体" w:hAnsi="宋体"/>
          <w:sz w:val="24"/>
          <w:szCs w:val="24"/>
        </w:rPr>
        <w:t>合同履约期限</w:t>
      </w:r>
      <w:r>
        <w:rPr>
          <w:rFonts w:asciiTheme="minorEastAsia" w:hAnsiTheme="minorEastAsia"/>
          <w:sz w:val="24"/>
          <w:szCs w:val="28"/>
        </w:rPr>
        <w:t>：</w:t>
      </w:r>
      <w:r>
        <w:rPr>
          <w:rFonts w:hint="eastAsia" w:ascii="宋体" w:hAnsi="宋体"/>
          <w:sz w:val="24"/>
          <w:szCs w:val="24"/>
          <w:u w:val="single"/>
        </w:rPr>
        <w:t>自合同签订之日起至质保服务期结束。</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五、供货安装周期及供货地点：</w:t>
      </w:r>
      <w:r>
        <w:rPr>
          <w:rFonts w:hint="eastAsia" w:ascii="宋体" w:hAnsi="宋体" w:cs="宋体"/>
          <w:kern w:val="0"/>
          <w:sz w:val="24"/>
          <w:szCs w:val="24"/>
        </w:rPr>
        <w:t>自合同签订之日起</w:t>
      </w:r>
      <w:r>
        <w:rPr>
          <w:rFonts w:hint="eastAsia" w:ascii="宋体" w:hAnsi="宋体" w:cs="宋体"/>
          <w:kern w:val="0"/>
          <w:sz w:val="24"/>
          <w:szCs w:val="24"/>
          <w:u w:val="single"/>
        </w:rPr>
        <w:t xml:space="preserve">   </w:t>
      </w:r>
      <w:r>
        <w:rPr>
          <w:rFonts w:hint="eastAsia" w:ascii="宋体" w:hAnsi="宋体" w:cs="宋体"/>
          <w:kern w:val="0"/>
          <w:sz w:val="24"/>
          <w:szCs w:val="24"/>
        </w:rPr>
        <w:t>日历日内完成</w:t>
      </w:r>
      <w:r>
        <w:rPr>
          <w:rFonts w:hint="eastAsia" w:ascii="宋体" w:hAnsi="宋体"/>
          <w:sz w:val="24"/>
          <w:szCs w:val="24"/>
        </w:rPr>
        <w:t>（期限内须完成设备材料的采购、安装、系统调试、检测、指导、人员培训等全部工作内容）。</w:t>
      </w:r>
      <w:r>
        <w:rPr>
          <w:rFonts w:hint="eastAsia" w:asciiTheme="minorEastAsia" w:hAnsiTheme="minorEastAsia"/>
          <w:sz w:val="24"/>
          <w:szCs w:val="28"/>
        </w:rPr>
        <w:t>供货地点：由甲方指定地点交货</w:t>
      </w:r>
      <w:r>
        <w:rPr>
          <w:rFonts w:asciiTheme="minorEastAsia" w:hAnsiTheme="minorEastAsia"/>
          <w:sz w:val="24"/>
          <w:szCs w:val="28"/>
        </w:rPr>
        <w:t>。</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货物交付乙方承诺：</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1、乙方须保证该仓库内库存货物数量能够按照本合同约定的数量执行，或者仓库内库存货物足以履行本合同。</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2、乙方应确保货物质量必须符合质量标准规定， 因乙方提供的货物产生的任何质量纠纷和责任，均由乙方全部承担。</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3、乙方应确保按甲方要求向甲方指定的提货人交货，交货前所发生的一切费用含在合同价中。</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4、乙方确保货物到安装现场后，甲乙双方共同确认产品安装质量达到合同约定的标准。</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5、乙方应确保产品的安装，若因产品安装不当造成甲方货物损失，其损失费用（由甲方核算）、废品损失（含牵连报废损失）由乙方承担。</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六、相关标准</w:t>
      </w:r>
      <w:r>
        <w:rPr>
          <w:rFonts w:hint="eastAsia" w:asciiTheme="minorEastAsia" w:hAnsiTheme="minorEastAsia"/>
          <w:sz w:val="24"/>
          <w:szCs w:val="28"/>
        </w:rPr>
        <w:t>：</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1）包装标准、包装物的供应与回收：乙方应按相关标准及货物实际情况，采取相应措施对产品进行包装，确保产品安全无损的到达合同指定地点，包装物不计价。如产品在运输、装卸过程中出现损坏等质量问题，一律由乙方负责。</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2）验收标准、方法及提出异议期限：甲方对所供产品有权对实际交付产品的质量、品种、型号或规格、相关合同规定以及技术协议不符之处，可拒收不合格部分的货物并向乙方通过传真、电子邮件、电话等任一方式提出异议，乙方须在 2 日内整改，将符合要求的货物补送至甲方指定地点。</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七、付款方式：</w:t>
      </w:r>
    </w:p>
    <w:p>
      <w:pPr>
        <w:widowControl/>
        <w:ind w:firstLine="480" w:firstLineChars="200"/>
        <w:rPr>
          <w:rFonts w:asciiTheme="minorEastAsia" w:hAnsiTheme="minorEastAsia"/>
          <w:sz w:val="24"/>
          <w:szCs w:val="28"/>
        </w:rPr>
      </w:pPr>
      <w:r>
        <w:rPr>
          <w:rFonts w:asciiTheme="minorEastAsia" w:hAnsiTheme="minorEastAsia"/>
          <w:kern w:val="0"/>
          <w:sz w:val="24"/>
          <w:szCs w:val="28"/>
        </w:rPr>
        <w:t>1、本合同使用的货币种类为</w:t>
      </w:r>
      <w:r>
        <w:rPr>
          <w:rFonts w:asciiTheme="minorEastAsia" w:hAnsiTheme="minorEastAsia"/>
          <w:kern w:val="0"/>
          <w:sz w:val="24"/>
          <w:szCs w:val="28"/>
          <w:u w:val="single"/>
        </w:rPr>
        <w:t>人民币</w:t>
      </w:r>
      <w:r>
        <w:rPr>
          <w:rFonts w:asciiTheme="minorEastAsia" w:hAnsiTheme="minorEastAsia"/>
          <w:kern w:val="0"/>
          <w:sz w:val="24"/>
          <w:szCs w:val="28"/>
        </w:rPr>
        <w:t xml:space="preserve">。 </w:t>
      </w:r>
    </w:p>
    <w:p>
      <w:pPr>
        <w:widowControl/>
        <w:ind w:firstLine="482" w:firstLineChars="200"/>
        <w:rPr>
          <w:rFonts w:asciiTheme="minorEastAsia" w:hAnsiTheme="minorEastAsia"/>
          <w:b/>
          <w:kern w:val="0"/>
          <w:sz w:val="24"/>
          <w:szCs w:val="28"/>
          <w:highlight w:val="yellow"/>
        </w:rPr>
      </w:pPr>
      <w:r>
        <w:rPr>
          <w:rFonts w:asciiTheme="minorEastAsia" w:hAnsiTheme="minorEastAsia"/>
          <w:b/>
          <w:kern w:val="0"/>
          <w:sz w:val="24"/>
          <w:szCs w:val="28"/>
          <w:highlight w:val="yellow"/>
        </w:rPr>
        <w:t>2、</w:t>
      </w:r>
      <w:r>
        <w:rPr>
          <w:rFonts w:hint="eastAsia" w:ascii="宋体" w:hAnsi="宋体" w:cs="宋体"/>
          <w:b/>
          <w:kern w:val="0"/>
          <w:sz w:val="24"/>
          <w:szCs w:val="24"/>
          <w:highlight w:val="yellow"/>
        </w:rPr>
        <w:t>★</w:t>
      </w:r>
      <w:r>
        <w:rPr>
          <w:rFonts w:asciiTheme="minorEastAsia" w:hAnsiTheme="minorEastAsia"/>
          <w:b/>
          <w:kern w:val="0"/>
          <w:sz w:val="24"/>
          <w:szCs w:val="28"/>
          <w:highlight w:val="yellow"/>
        </w:rPr>
        <w:t xml:space="preserve">付款方式： </w:t>
      </w:r>
    </w:p>
    <w:p>
      <w:pPr>
        <w:widowControl/>
        <w:ind w:firstLine="482" w:firstLineChars="200"/>
        <w:rPr>
          <w:rFonts w:asciiTheme="minorEastAsia" w:hAnsiTheme="minorEastAsia"/>
          <w:b/>
          <w:kern w:val="0"/>
          <w:sz w:val="24"/>
          <w:szCs w:val="28"/>
          <w:highlight w:val="yellow"/>
          <w:u w:val="single"/>
        </w:rPr>
      </w:pPr>
      <w:r>
        <w:rPr>
          <w:rFonts w:hint="eastAsia" w:asciiTheme="minorEastAsia" w:hAnsiTheme="minorEastAsia"/>
          <w:b/>
          <w:kern w:val="0"/>
          <w:sz w:val="24"/>
          <w:szCs w:val="28"/>
          <w:highlight w:val="yellow"/>
          <w:u w:val="single"/>
        </w:rPr>
        <w:t>合同签订生效后，货到买方指定地点后支付合同价款的</w:t>
      </w:r>
      <w:r>
        <w:rPr>
          <w:rFonts w:hint="eastAsia" w:asciiTheme="minorEastAsia" w:hAnsiTheme="minorEastAsia"/>
          <w:b/>
          <w:kern w:val="0"/>
          <w:sz w:val="24"/>
          <w:szCs w:val="28"/>
          <w:highlight w:val="yellow"/>
          <w:u w:val="single"/>
          <w:lang w:val="en-US" w:eastAsia="zh-CN"/>
        </w:rPr>
        <w:t xml:space="preserve">   </w:t>
      </w:r>
      <w:r>
        <w:rPr>
          <w:rFonts w:hint="eastAsia" w:asciiTheme="minorEastAsia" w:hAnsiTheme="minorEastAsia"/>
          <w:b/>
          <w:kern w:val="0"/>
          <w:sz w:val="24"/>
          <w:szCs w:val="28"/>
          <w:highlight w:val="yellow"/>
          <w:u w:val="single"/>
        </w:rPr>
        <w:t>%，安装调试完毕，并验收合格后支付合同价款的</w:t>
      </w:r>
      <w:r>
        <w:rPr>
          <w:rFonts w:hint="eastAsia" w:asciiTheme="minorEastAsia" w:hAnsiTheme="minorEastAsia"/>
          <w:b/>
          <w:kern w:val="0"/>
          <w:sz w:val="24"/>
          <w:szCs w:val="28"/>
          <w:highlight w:val="yellow"/>
          <w:u w:val="single"/>
          <w:lang w:val="en-US" w:eastAsia="zh-CN"/>
        </w:rPr>
        <w:t xml:space="preserve">   </w:t>
      </w:r>
      <w:r>
        <w:rPr>
          <w:rFonts w:hint="eastAsia" w:asciiTheme="minorEastAsia" w:hAnsiTheme="minorEastAsia"/>
          <w:b/>
          <w:kern w:val="0"/>
          <w:sz w:val="24"/>
          <w:szCs w:val="28"/>
          <w:highlight w:val="yellow"/>
          <w:u w:val="single"/>
        </w:rPr>
        <w:t>%，正常使用2年后支付合同价款的</w:t>
      </w:r>
      <w:r>
        <w:rPr>
          <w:rFonts w:hint="eastAsia" w:asciiTheme="minorEastAsia" w:hAnsiTheme="minorEastAsia"/>
          <w:b/>
          <w:kern w:val="0"/>
          <w:sz w:val="24"/>
          <w:szCs w:val="28"/>
          <w:highlight w:val="yellow"/>
          <w:u w:val="single"/>
          <w:lang w:val="en-US" w:eastAsia="zh-CN"/>
        </w:rPr>
        <w:t xml:space="preserve">  </w:t>
      </w:r>
      <w:r>
        <w:rPr>
          <w:rFonts w:hint="eastAsia" w:asciiTheme="minorEastAsia" w:hAnsiTheme="minorEastAsia"/>
          <w:b/>
          <w:kern w:val="0"/>
          <w:sz w:val="24"/>
          <w:szCs w:val="28"/>
          <w:highlight w:val="yellow"/>
          <w:u w:val="single"/>
        </w:rPr>
        <w:t>%。</w:t>
      </w:r>
    </w:p>
    <w:p>
      <w:pPr>
        <w:widowControl/>
        <w:ind w:firstLine="482" w:firstLineChars="200"/>
        <w:rPr>
          <w:rFonts w:asciiTheme="minorEastAsia" w:hAnsiTheme="minorEastAsia"/>
          <w:b/>
          <w:sz w:val="24"/>
          <w:szCs w:val="28"/>
          <w:highlight w:val="yellow"/>
        </w:rPr>
      </w:pPr>
      <w:r>
        <w:rPr>
          <w:rFonts w:hint="eastAsia" w:asciiTheme="minorEastAsia" w:hAnsiTheme="minorEastAsia"/>
          <w:b/>
          <w:kern w:val="0"/>
          <w:sz w:val="24"/>
          <w:szCs w:val="28"/>
          <w:highlight w:val="yellow"/>
        </w:rPr>
        <w:t>备注：</w:t>
      </w:r>
      <w:r>
        <w:rPr>
          <w:rFonts w:hint="eastAsia" w:ascii="宋体" w:hAnsi="宋体" w:cs="仿宋"/>
          <w:b/>
          <w:sz w:val="24"/>
          <w:szCs w:val="24"/>
          <w:highlight w:val="yellow"/>
          <w:u w:val="single"/>
        </w:rPr>
        <w:t>支付费用时乙方应按甲方要求开具相应的增值税专用发票，以证明发票的真伪。否则，甲方有权拒绝付款并顺延付款时间。因乙方开具的发票不规范、不合法或涉嫌虚开发票引起税务问题的，乙方需依法向甲方重新开具发票，并向甲方承担赔偿责任，包括但不限于税款、滞纳金、罚款及相关损失等。不能因资金暂时不到位影响进度。</w:t>
      </w:r>
    </w:p>
    <w:p>
      <w:pPr>
        <w:numPr>
          <w:ilvl w:val="0"/>
          <w:numId w:val="4"/>
        </w:numPr>
        <w:suppressAutoHyphens/>
        <w:topLinePunct/>
        <w:ind w:firstLine="480" w:firstLineChars="200"/>
        <w:rPr>
          <w:rFonts w:asciiTheme="minorEastAsia" w:hAnsiTheme="minorEastAsia"/>
          <w:sz w:val="24"/>
          <w:szCs w:val="28"/>
        </w:rPr>
      </w:pPr>
      <w:r>
        <w:rPr>
          <w:rFonts w:asciiTheme="minorEastAsia" w:hAnsiTheme="minorEastAsia"/>
          <w:sz w:val="24"/>
          <w:szCs w:val="28"/>
        </w:rPr>
        <w:t>违约责任：</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1、如果乙方延迟交付产品，每逾期一日，按未交付货物金额的1%支付违约金，逾期超过</w:t>
      </w:r>
      <w:r>
        <w:rPr>
          <w:rFonts w:asciiTheme="minorEastAsia" w:hAnsiTheme="minorEastAsia"/>
          <w:sz w:val="24"/>
          <w:szCs w:val="28"/>
        </w:rPr>
        <w:t xml:space="preserve"> </w:t>
      </w:r>
      <w:r>
        <w:rPr>
          <w:rFonts w:hint="eastAsia" w:asciiTheme="minorEastAsia" w:hAnsiTheme="minorEastAsia"/>
          <w:sz w:val="24"/>
          <w:szCs w:val="28"/>
        </w:rPr>
        <w:t>15</w:t>
      </w:r>
      <w:r>
        <w:rPr>
          <w:rFonts w:asciiTheme="minorEastAsia" w:hAnsiTheme="minorEastAsia"/>
          <w:sz w:val="24"/>
          <w:szCs w:val="28"/>
        </w:rPr>
        <w:t xml:space="preserve"> </w:t>
      </w:r>
      <w:r>
        <w:rPr>
          <w:rFonts w:hint="eastAsia" w:asciiTheme="minorEastAsia" w:hAnsiTheme="minorEastAsia"/>
          <w:sz w:val="24"/>
          <w:szCs w:val="28"/>
        </w:rPr>
        <w:t>日的，甲方有权解除合同，同时乙方应向甲方支付总价款10%的违约金。</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2、</w:t>
      </w:r>
      <w:r>
        <w:rPr>
          <w:rFonts w:asciiTheme="minorEastAsia" w:hAnsiTheme="minorEastAsia"/>
          <w:sz w:val="24"/>
          <w:szCs w:val="28"/>
        </w:rPr>
        <w:t>乙方提供的货物质量不符合</w:t>
      </w:r>
      <w:r>
        <w:rPr>
          <w:rFonts w:hint="eastAsia" w:asciiTheme="minorEastAsia" w:hAnsiTheme="minorEastAsia"/>
          <w:sz w:val="24"/>
          <w:szCs w:val="28"/>
        </w:rPr>
        <w:t>国家标准、合同约定及甲方要求的，应向甲方支付总价款10%的违约金。如果违约金不足以弥补甲方损失的，乙方应当按照甲方实际损失予以赔偿。</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九、解决合同纠纷的方式：协商解决。若协商不成，应提交甲方所在地人民法院诉讼裁决。</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十、本合同为固定单价，</w:t>
      </w:r>
      <w:r>
        <w:rPr>
          <w:rFonts w:hint="eastAsia" w:cs="Arial Unicode MS" w:asciiTheme="minorEastAsia" w:hAnsiTheme="minorEastAsia"/>
          <w:sz w:val="24"/>
          <w:szCs w:val="28"/>
        </w:rPr>
        <w:t>除供货数量发生变化按实调整外其余不因任何因素调整和变更，供货数量根甲方需求以及市场供应的能力等因素进行调整，</w:t>
      </w:r>
      <w:r>
        <w:rPr>
          <w:rFonts w:asciiTheme="minorEastAsia" w:hAnsiTheme="minorEastAsia"/>
          <w:bCs/>
          <w:sz w:val="24"/>
          <w:szCs w:val="28"/>
        </w:rPr>
        <w:t>履约过程中，乙方任何形式的涨价要求皆视为供方单方面违约。</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十一、《产品质量安全承诺书》作为本合同附件，与合同具有同等效力，若违反，乙方需</w:t>
      </w:r>
      <w:r>
        <w:rPr>
          <w:rFonts w:hint="eastAsia" w:asciiTheme="minorEastAsia" w:hAnsiTheme="minorEastAsia"/>
          <w:bCs/>
          <w:sz w:val="24"/>
          <w:szCs w:val="28"/>
        </w:rPr>
        <w:t>按</w:t>
      </w:r>
      <w:r>
        <w:rPr>
          <w:rFonts w:asciiTheme="minorEastAsia" w:hAnsiTheme="minorEastAsia"/>
          <w:bCs/>
          <w:sz w:val="24"/>
          <w:szCs w:val="28"/>
        </w:rPr>
        <w:t>《产品质量安全承诺书》</w:t>
      </w:r>
      <w:r>
        <w:rPr>
          <w:rFonts w:hint="eastAsia" w:asciiTheme="minorEastAsia" w:hAnsiTheme="minorEastAsia"/>
          <w:bCs/>
          <w:sz w:val="24"/>
          <w:szCs w:val="28"/>
        </w:rPr>
        <w:t>的金额</w:t>
      </w:r>
      <w:r>
        <w:rPr>
          <w:rFonts w:asciiTheme="minorEastAsia" w:hAnsiTheme="minorEastAsia"/>
          <w:bCs/>
          <w:sz w:val="24"/>
          <w:szCs w:val="28"/>
        </w:rPr>
        <w:t>承担违约责任。</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十二、</w:t>
      </w:r>
      <w:r>
        <w:rPr>
          <w:rFonts w:asciiTheme="minorEastAsia" w:hAnsiTheme="minorEastAsia"/>
          <w:bCs/>
          <w:kern w:val="0"/>
          <w:sz w:val="24"/>
          <w:szCs w:val="28"/>
        </w:rPr>
        <w:t>本合同自双方盖章之日起生效。</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十三、其它约定事项:</w:t>
      </w:r>
    </w:p>
    <w:p>
      <w:pPr>
        <w:suppressAutoHyphens/>
        <w:topLinePunct/>
        <w:ind w:right="-292" w:rightChars="-139" w:firstLine="480" w:firstLineChars="200"/>
        <w:rPr>
          <w:rFonts w:asciiTheme="minorEastAsia" w:hAnsiTheme="minorEastAsia"/>
          <w:bCs/>
          <w:sz w:val="24"/>
          <w:szCs w:val="28"/>
        </w:rPr>
      </w:pPr>
      <w:r>
        <w:rPr>
          <w:rFonts w:asciiTheme="minorEastAsia" w:hAnsiTheme="minorEastAsia"/>
          <w:bCs/>
          <w:sz w:val="24"/>
          <w:szCs w:val="28"/>
        </w:rPr>
        <w:t>本合同如有未尽事宜应协商解决。</w:t>
      </w:r>
      <w:r>
        <w:rPr>
          <w:rFonts w:hint="eastAsia" w:asciiTheme="minorEastAsia" w:hAnsiTheme="minorEastAsia"/>
          <w:bCs/>
          <w:sz w:val="24"/>
          <w:szCs w:val="28"/>
        </w:rPr>
        <w:t>甲乙</w:t>
      </w:r>
      <w:r>
        <w:rPr>
          <w:rFonts w:asciiTheme="minorEastAsia" w:hAnsiTheme="minorEastAsia"/>
          <w:bCs/>
          <w:sz w:val="24"/>
          <w:szCs w:val="28"/>
        </w:rPr>
        <w:t>双方应自觉遵守本协议一切规定，在本合同履行过程中发生争议，双方通过友好协商解决。</w:t>
      </w:r>
      <w:r>
        <w:rPr>
          <w:rFonts w:hint="eastAsia" w:asciiTheme="minorEastAsia" w:hAnsiTheme="minorEastAsia"/>
          <w:bCs/>
          <w:sz w:val="24"/>
          <w:szCs w:val="28"/>
        </w:rPr>
        <w:t>协商不成的，在甲方所在地提起诉讼。</w:t>
      </w:r>
    </w:p>
    <w:p>
      <w:pPr>
        <w:numPr>
          <w:ilvl w:val="0"/>
          <w:numId w:val="5"/>
        </w:numPr>
        <w:suppressAutoHyphens/>
        <w:topLinePunct/>
        <w:ind w:right="-292" w:rightChars="-139" w:firstLine="480" w:firstLineChars="200"/>
        <w:jc w:val="left"/>
        <w:rPr>
          <w:rFonts w:asciiTheme="minorEastAsia" w:hAnsiTheme="minorEastAsia"/>
          <w:bCs/>
          <w:sz w:val="24"/>
          <w:szCs w:val="28"/>
        </w:rPr>
      </w:pPr>
      <w:r>
        <w:rPr>
          <w:rFonts w:asciiTheme="minorEastAsia" w:hAnsiTheme="minorEastAsia"/>
          <w:bCs/>
          <w:sz w:val="24"/>
          <w:szCs w:val="28"/>
        </w:rPr>
        <w:t>本合同一式八份，经</w:t>
      </w:r>
      <w:r>
        <w:rPr>
          <w:rFonts w:hint="eastAsia" w:asciiTheme="minorEastAsia" w:hAnsiTheme="minorEastAsia"/>
          <w:bCs/>
          <w:sz w:val="24"/>
          <w:szCs w:val="28"/>
        </w:rPr>
        <w:t>甲乙</w:t>
      </w:r>
      <w:r>
        <w:rPr>
          <w:rFonts w:asciiTheme="minorEastAsia" w:hAnsiTheme="minorEastAsia"/>
          <w:bCs/>
          <w:sz w:val="24"/>
          <w:szCs w:val="28"/>
        </w:rPr>
        <w:t>双方同意盖章签署后生效，甲方执</w:t>
      </w:r>
      <w:r>
        <w:rPr>
          <w:rFonts w:hint="eastAsia" w:asciiTheme="minorEastAsia" w:hAnsiTheme="minorEastAsia"/>
          <w:bCs/>
          <w:sz w:val="24"/>
          <w:szCs w:val="28"/>
        </w:rPr>
        <w:t>六</w:t>
      </w:r>
      <w:r>
        <w:rPr>
          <w:rFonts w:asciiTheme="minorEastAsia" w:hAnsiTheme="minorEastAsia"/>
          <w:bCs/>
          <w:sz w:val="24"/>
          <w:szCs w:val="28"/>
        </w:rPr>
        <w:t>份，乙方执</w:t>
      </w:r>
      <w:r>
        <w:rPr>
          <w:rFonts w:hint="eastAsia" w:asciiTheme="minorEastAsia" w:hAnsiTheme="minorEastAsia"/>
          <w:bCs/>
          <w:sz w:val="24"/>
          <w:szCs w:val="28"/>
        </w:rPr>
        <w:t>两</w:t>
      </w:r>
      <w:r>
        <w:rPr>
          <w:rFonts w:asciiTheme="minorEastAsia" w:hAnsiTheme="minorEastAsia"/>
          <w:bCs/>
          <w:sz w:val="24"/>
          <w:szCs w:val="28"/>
        </w:rPr>
        <w:t>份。</w:t>
      </w:r>
    </w:p>
    <w:p>
      <w:pPr>
        <w:suppressAutoHyphens/>
        <w:topLinePunct/>
        <w:ind w:left="480" w:right="-292" w:rightChars="-139"/>
        <w:jc w:val="left"/>
        <w:rPr>
          <w:rFonts w:asciiTheme="minorEastAsia" w:hAnsiTheme="minorEastAsia"/>
          <w:bCs/>
          <w:sz w:val="24"/>
          <w:szCs w:val="28"/>
        </w:rPr>
      </w:pPr>
      <w:r>
        <w:rPr>
          <w:rFonts w:hint="eastAsia" w:asciiTheme="minorEastAsia" w:hAnsiTheme="minorEastAsia"/>
          <w:bCs/>
          <w:sz w:val="24"/>
          <w:szCs w:val="28"/>
        </w:rPr>
        <w:t>合同附件：1）廉政责任书</w:t>
      </w:r>
    </w:p>
    <w:p>
      <w:pPr>
        <w:suppressAutoHyphens/>
        <w:topLinePunct/>
        <w:ind w:left="480" w:right="-292" w:rightChars="-139" w:firstLine="1200" w:firstLineChars="500"/>
        <w:jc w:val="left"/>
        <w:rPr>
          <w:rFonts w:asciiTheme="minorEastAsia" w:hAnsiTheme="minorEastAsia"/>
          <w:bCs/>
          <w:sz w:val="24"/>
          <w:szCs w:val="28"/>
        </w:rPr>
      </w:pPr>
      <w:r>
        <w:rPr>
          <w:rFonts w:hint="eastAsia" w:asciiTheme="minorEastAsia" w:hAnsiTheme="minorEastAsia"/>
          <w:bCs/>
          <w:sz w:val="24"/>
          <w:szCs w:val="28"/>
        </w:rPr>
        <w:t>2）产品质量安全承诺书</w:t>
      </w:r>
    </w:p>
    <w:p>
      <w:pPr>
        <w:ind w:firstLine="1680" w:firstLineChars="700"/>
        <w:rPr>
          <w:rFonts w:asciiTheme="minorEastAsia" w:hAnsiTheme="minorEastAsia"/>
          <w:bCs/>
          <w:sz w:val="24"/>
          <w:szCs w:val="28"/>
        </w:rPr>
      </w:pPr>
      <w:r>
        <w:rPr>
          <w:rFonts w:hint="eastAsia" w:asciiTheme="minorEastAsia" w:hAnsiTheme="minorEastAsia"/>
          <w:bCs/>
          <w:sz w:val="24"/>
          <w:szCs w:val="28"/>
        </w:rPr>
        <w:t>3）设备的配置清单</w:t>
      </w:r>
    </w:p>
    <w:p>
      <w:pPr>
        <w:suppressAutoHyphens/>
        <w:topLinePunct/>
        <w:ind w:left="480" w:right="-292" w:rightChars="-139" w:firstLine="1200" w:firstLineChars="500"/>
        <w:jc w:val="left"/>
        <w:rPr>
          <w:rFonts w:asciiTheme="minorEastAsia" w:hAnsiTheme="minorEastAsia"/>
          <w:bCs/>
          <w:sz w:val="24"/>
          <w:szCs w:val="28"/>
        </w:rPr>
      </w:pPr>
    </w:p>
    <w:p>
      <w:pPr>
        <w:suppressAutoHyphens/>
        <w:topLinePunct/>
        <w:ind w:right="-292" w:rightChars="-139"/>
        <w:rPr>
          <w:rFonts w:asciiTheme="minorEastAsia" w:hAnsiTheme="minorEastAsia"/>
          <w:sz w:val="24"/>
          <w:szCs w:val="28"/>
        </w:rPr>
      </w:pPr>
      <w:r>
        <w:rPr>
          <w:rFonts w:asciiTheme="minorEastAsia" w:hAnsiTheme="minorEastAsia"/>
          <w:sz w:val="24"/>
          <w:szCs w:val="28"/>
        </w:rPr>
        <w:t>需方（甲方）                  供方（乙方）：</w:t>
      </w:r>
    </w:p>
    <w:p>
      <w:pPr>
        <w:suppressAutoHyphens/>
        <w:topLinePunct/>
        <w:ind w:right="-292" w:rightChars="-139"/>
        <w:rPr>
          <w:rFonts w:asciiTheme="minorEastAsia" w:hAnsiTheme="minorEastAsia"/>
          <w:sz w:val="24"/>
          <w:szCs w:val="28"/>
        </w:rPr>
      </w:pPr>
      <w:r>
        <w:rPr>
          <w:rFonts w:asciiTheme="minorEastAsia" w:hAnsiTheme="minorEastAsia"/>
          <w:sz w:val="24"/>
          <w:szCs w:val="28"/>
        </w:rPr>
        <w:t xml:space="preserve">公司：                        公司： </w:t>
      </w:r>
    </w:p>
    <w:p>
      <w:pPr>
        <w:suppressAutoHyphens/>
        <w:topLinePunct/>
        <w:ind w:right="-292" w:rightChars="-139"/>
        <w:rPr>
          <w:rFonts w:asciiTheme="minorEastAsia" w:hAnsiTheme="minorEastAsia"/>
          <w:sz w:val="24"/>
          <w:szCs w:val="28"/>
        </w:rPr>
      </w:pPr>
      <w:r>
        <w:rPr>
          <w:rFonts w:asciiTheme="minorEastAsia" w:hAnsiTheme="minorEastAsia"/>
          <w:sz w:val="24"/>
          <w:szCs w:val="28"/>
        </w:rPr>
        <w:t xml:space="preserve">地址：                        地址： </w:t>
      </w:r>
    </w:p>
    <w:p>
      <w:pPr>
        <w:suppressAutoHyphens/>
        <w:topLinePunct/>
        <w:ind w:right="-292" w:rightChars="-139"/>
        <w:rPr>
          <w:rFonts w:asciiTheme="minorEastAsia" w:hAnsiTheme="minorEastAsia"/>
          <w:sz w:val="24"/>
          <w:szCs w:val="28"/>
        </w:rPr>
      </w:pPr>
      <w:r>
        <w:rPr>
          <w:rFonts w:asciiTheme="minorEastAsia" w:hAnsiTheme="minorEastAsia"/>
          <w:sz w:val="24"/>
          <w:szCs w:val="28"/>
        </w:rPr>
        <w:t xml:space="preserve">法定代表人:                   法定代表人： </w:t>
      </w:r>
    </w:p>
    <w:p>
      <w:pPr>
        <w:suppressAutoHyphens/>
        <w:topLinePunct/>
        <w:ind w:right="-292" w:rightChars="-139"/>
        <w:rPr>
          <w:rFonts w:asciiTheme="minorEastAsia" w:hAnsiTheme="minorEastAsia"/>
          <w:sz w:val="24"/>
          <w:szCs w:val="28"/>
        </w:rPr>
      </w:pPr>
      <w:r>
        <w:rPr>
          <w:rFonts w:asciiTheme="minorEastAsia" w:hAnsiTheme="minorEastAsia"/>
          <w:sz w:val="24"/>
          <w:szCs w:val="28"/>
        </w:rPr>
        <w:t>委托代理人:                   委托代理人：</w:t>
      </w:r>
    </w:p>
    <w:p>
      <w:pPr>
        <w:suppressAutoHyphens/>
        <w:topLinePunct/>
        <w:ind w:right="-292" w:rightChars="-139"/>
        <w:rPr>
          <w:rFonts w:asciiTheme="minorEastAsia" w:hAnsiTheme="minorEastAsia"/>
          <w:sz w:val="24"/>
          <w:szCs w:val="28"/>
        </w:rPr>
      </w:pPr>
      <w:r>
        <w:rPr>
          <w:rFonts w:asciiTheme="minorEastAsia" w:hAnsiTheme="minorEastAsia"/>
          <w:sz w:val="24"/>
          <w:szCs w:val="28"/>
        </w:rPr>
        <w:t>联系电话：                    联系电话：</w:t>
      </w:r>
    </w:p>
    <w:p>
      <w:pPr>
        <w:suppressAutoHyphens/>
        <w:topLinePunct/>
        <w:ind w:right="-292" w:rightChars="-139"/>
        <w:rPr>
          <w:rFonts w:asciiTheme="minorEastAsia" w:hAnsiTheme="minorEastAsia"/>
          <w:sz w:val="24"/>
          <w:szCs w:val="28"/>
        </w:rPr>
      </w:pPr>
      <w:r>
        <w:rPr>
          <w:rFonts w:hint="eastAsia" w:asciiTheme="minorEastAsia" w:hAnsiTheme="minorEastAsia"/>
          <w:sz w:val="24"/>
          <w:szCs w:val="28"/>
        </w:rPr>
        <w:t>盖</w:t>
      </w:r>
      <w:r>
        <w:rPr>
          <w:rFonts w:asciiTheme="minorEastAsia" w:hAnsiTheme="minorEastAsia"/>
          <w:sz w:val="24"/>
          <w:szCs w:val="28"/>
        </w:rPr>
        <w:t xml:space="preserve">　章：                      </w:t>
      </w:r>
      <w:r>
        <w:rPr>
          <w:rFonts w:hint="eastAsia" w:asciiTheme="minorEastAsia" w:hAnsiTheme="minorEastAsia"/>
          <w:sz w:val="24"/>
          <w:szCs w:val="28"/>
        </w:rPr>
        <w:t>盖</w:t>
      </w:r>
      <w:r>
        <w:rPr>
          <w:rFonts w:asciiTheme="minorEastAsia" w:hAnsiTheme="minorEastAsia"/>
          <w:sz w:val="24"/>
          <w:szCs w:val="28"/>
        </w:rPr>
        <w:t>　章：</w:t>
      </w:r>
    </w:p>
    <w:p>
      <w:pPr>
        <w:suppressAutoHyphens/>
        <w:topLinePunct/>
        <w:rPr>
          <w:rFonts w:asciiTheme="minorEastAsia" w:hAnsiTheme="minorEastAsia"/>
          <w:sz w:val="24"/>
          <w:szCs w:val="28"/>
        </w:rPr>
      </w:pPr>
    </w:p>
    <w:p>
      <w:pPr>
        <w:suppressAutoHyphens/>
        <w:topLinePunct/>
        <w:ind w:firstLine="2640" w:firstLineChars="1100"/>
        <w:rPr>
          <w:rFonts w:asciiTheme="minorEastAsia" w:hAnsiTheme="minorEastAsia"/>
          <w:sz w:val="24"/>
          <w:szCs w:val="28"/>
        </w:rPr>
      </w:pPr>
      <w:r>
        <w:rPr>
          <w:rFonts w:asciiTheme="minorEastAsia" w:hAnsiTheme="minorEastAsia"/>
          <w:sz w:val="24"/>
          <w:szCs w:val="28"/>
        </w:rPr>
        <w:t>签</w:t>
      </w:r>
      <w:r>
        <w:rPr>
          <w:rFonts w:hint="eastAsia" w:asciiTheme="minorEastAsia" w:hAnsiTheme="minorEastAsia"/>
          <w:sz w:val="24"/>
          <w:szCs w:val="28"/>
        </w:rPr>
        <w:t>订</w:t>
      </w:r>
      <w:r>
        <w:rPr>
          <w:rFonts w:asciiTheme="minorEastAsia" w:hAnsiTheme="minorEastAsia"/>
          <w:sz w:val="24"/>
          <w:szCs w:val="28"/>
        </w:rPr>
        <w:t>日期：</w:t>
      </w:r>
      <w:r>
        <w:rPr>
          <w:rFonts w:hint="eastAsia" w:asciiTheme="minorEastAsia" w:hAnsiTheme="minorEastAsia"/>
          <w:sz w:val="24"/>
          <w:szCs w:val="28"/>
        </w:rPr>
        <w:t xml:space="preserve">  </w:t>
      </w:r>
      <w:r>
        <w:rPr>
          <w:rFonts w:asciiTheme="minorEastAsia" w:hAnsiTheme="minorEastAsia"/>
          <w:sz w:val="24"/>
          <w:szCs w:val="28"/>
        </w:rPr>
        <w:t>年</w:t>
      </w:r>
      <w:r>
        <w:rPr>
          <w:rFonts w:hint="eastAsia" w:asciiTheme="minorEastAsia" w:hAnsiTheme="minorEastAsia"/>
          <w:sz w:val="24"/>
          <w:szCs w:val="28"/>
        </w:rPr>
        <w:t xml:space="preserve">   </w:t>
      </w:r>
      <w:r>
        <w:rPr>
          <w:rFonts w:asciiTheme="minorEastAsia" w:hAnsiTheme="minorEastAsia"/>
          <w:sz w:val="24"/>
          <w:szCs w:val="28"/>
        </w:rPr>
        <w:t>月</w:t>
      </w:r>
      <w:r>
        <w:rPr>
          <w:rFonts w:hint="eastAsia" w:asciiTheme="minorEastAsia" w:hAnsiTheme="minorEastAsia"/>
          <w:sz w:val="24"/>
          <w:szCs w:val="28"/>
        </w:rPr>
        <w:t xml:space="preserve">   </w:t>
      </w:r>
      <w:r>
        <w:rPr>
          <w:rFonts w:asciiTheme="minorEastAsia" w:hAnsiTheme="minorEastAsia"/>
          <w:sz w:val="24"/>
          <w:szCs w:val="28"/>
        </w:rPr>
        <w:t>日</w:t>
      </w:r>
    </w:p>
    <w:p>
      <w:pPr>
        <w:suppressAutoHyphens/>
        <w:topLinePunct/>
        <w:ind w:firstLine="2640" w:firstLineChars="1100"/>
        <w:rPr>
          <w:rFonts w:asciiTheme="minorEastAsia" w:hAnsiTheme="minorEastAsia"/>
          <w:sz w:val="24"/>
          <w:szCs w:val="28"/>
        </w:rPr>
      </w:pPr>
    </w:p>
    <w:p>
      <w:pPr>
        <w:widowControl/>
        <w:jc w:val="left"/>
        <w:rPr>
          <w:rFonts w:asciiTheme="minorEastAsia" w:hAnsiTheme="minorEastAsia"/>
          <w:sz w:val="24"/>
          <w:szCs w:val="28"/>
        </w:rPr>
      </w:pPr>
      <w:r>
        <w:rPr>
          <w:rFonts w:asciiTheme="minorEastAsia" w:hAnsiTheme="minorEastAsia"/>
          <w:sz w:val="24"/>
          <w:szCs w:val="28"/>
        </w:rPr>
        <w:br w:type="page"/>
      </w:r>
    </w:p>
    <w:p>
      <w:pPr>
        <w:suppressAutoHyphens/>
        <w:topLinePunct/>
        <w:jc w:val="left"/>
        <w:rPr>
          <w:rFonts w:asciiTheme="minorEastAsia" w:hAnsiTheme="minorEastAsia"/>
          <w:bCs/>
          <w:sz w:val="24"/>
          <w:szCs w:val="28"/>
        </w:rPr>
      </w:pPr>
      <w:r>
        <w:rPr>
          <w:rFonts w:hint="eastAsia" w:asciiTheme="minorEastAsia" w:hAnsiTheme="minorEastAsia"/>
          <w:bCs/>
          <w:sz w:val="24"/>
          <w:szCs w:val="28"/>
        </w:rPr>
        <w:t>附件一：</w:t>
      </w:r>
    </w:p>
    <w:p>
      <w:pPr>
        <w:suppressAutoHyphens/>
        <w:topLinePunct/>
        <w:jc w:val="center"/>
        <w:rPr>
          <w:rFonts w:asciiTheme="minorEastAsia" w:hAnsiTheme="minorEastAsia"/>
          <w:bCs/>
          <w:sz w:val="24"/>
          <w:szCs w:val="28"/>
        </w:rPr>
      </w:pPr>
      <w:r>
        <w:rPr>
          <w:rFonts w:hint="eastAsia" w:asciiTheme="minorEastAsia" w:hAnsiTheme="minorEastAsia"/>
          <w:bCs/>
          <w:sz w:val="24"/>
          <w:szCs w:val="28"/>
        </w:rPr>
        <w:t>廉政责任书</w:t>
      </w:r>
    </w:p>
    <w:p>
      <w:pPr>
        <w:suppressAutoHyphens/>
        <w:topLinePunct/>
        <w:rPr>
          <w:rFonts w:asciiTheme="minorEastAsia" w:hAnsiTheme="minorEastAsia"/>
          <w:bCs/>
          <w:sz w:val="24"/>
          <w:szCs w:val="28"/>
          <w:u w:val="single"/>
        </w:rPr>
      </w:pPr>
      <w:r>
        <w:rPr>
          <w:rFonts w:hint="eastAsia" w:asciiTheme="minorEastAsia" w:hAnsiTheme="minorEastAsia"/>
          <w:bCs/>
          <w:sz w:val="24"/>
          <w:szCs w:val="28"/>
        </w:rPr>
        <w:t xml:space="preserve">甲方（全称）： </w:t>
      </w:r>
      <w:r>
        <w:rPr>
          <w:rFonts w:hint="eastAsia" w:asciiTheme="minorEastAsia" w:hAnsiTheme="minorEastAsia"/>
          <w:bCs/>
          <w:sz w:val="24"/>
          <w:szCs w:val="28"/>
          <w:u w:val="single"/>
        </w:rPr>
        <w:t xml:space="preserve">                               </w:t>
      </w:r>
    </w:p>
    <w:p>
      <w:pPr>
        <w:rPr>
          <w:rFonts w:asciiTheme="minorEastAsia" w:hAnsiTheme="minorEastAsia"/>
          <w:bCs/>
          <w:sz w:val="24"/>
          <w:szCs w:val="28"/>
          <w:u w:val="single"/>
        </w:rPr>
      </w:pPr>
      <w:r>
        <w:rPr>
          <w:rFonts w:hint="eastAsia" w:asciiTheme="minorEastAsia" w:hAnsiTheme="minorEastAsia"/>
          <w:bCs/>
          <w:sz w:val="24"/>
          <w:szCs w:val="28"/>
        </w:rPr>
        <w:t>乙方（全称）：</w:t>
      </w:r>
      <w:r>
        <w:rPr>
          <w:rFonts w:hint="eastAsia" w:asciiTheme="minorEastAsia" w:hAnsiTheme="minorEastAsia"/>
          <w:bCs/>
          <w:sz w:val="24"/>
          <w:szCs w:val="28"/>
          <w:u w:val="single"/>
        </w:rPr>
        <w:t xml:space="preserve">                                 </w:t>
      </w:r>
    </w:p>
    <w:p>
      <w:pPr>
        <w:ind w:firstLine="480" w:firstLineChars="200"/>
        <w:rPr>
          <w:rFonts w:asciiTheme="minorEastAsia" w:hAnsiTheme="minorEastAsia"/>
          <w:bCs/>
          <w:sz w:val="24"/>
          <w:szCs w:val="28"/>
        </w:rPr>
      </w:pPr>
      <w:r>
        <w:rPr>
          <w:rFonts w:hint="eastAsia" w:asciiTheme="minorEastAsia" w:hAnsiTheme="minorEastAsia"/>
          <w:bCs/>
          <w:sz w:val="24"/>
          <w:szCs w:val="28"/>
        </w:rPr>
        <w:t>为加强项目履行过程中的廉政建设，规范项目甲乙双方的各项活动，防止发生各种谋取不正当利益的违法违纪行为，保护国家、集体和当事人的合法权益，根据国家有关的法律法规和廉政建设责任制规定，特订立本廉政责任书。</w:t>
      </w:r>
    </w:p>
    <w:p>
      <w:pPr>
        <w:rPr>
          <w:rFonts w:asciiTheme="minorEastAsia" w:hAnsiTheme="minorEastAsia"/>
          <w:bCs/>
          <w:sz w:val="24"/>
          <w:szCs w:val="28"/>
        </w:rPr>
      </w:pPr>
      <w:r>
        <w:rPr>
          <w:rFonts w:hint="eastAsia" w:asciiTheme="minorEastAsia" w:hAnsiTheme="minorEastAsia"/>
          <w:bCs/>
          <w:sz w:val="24"/>
          <w:szCs w:val="28"/>
        </w:rPr>
        <w:t>一、甲方承诺</w:t>
      </w:r>
    </w:p>
    <w:p>
      <w:pPr>
        <w:rPr>
          <w:rFonts w:asciiTheme="minorEastAsia" w:hAnsiTheme="minorEastAsia"/>
          <w:bCs/>
          <w:sz w:val="24"/>
          <w:szCs w:val="28"/>
        </w:rPr>
      </w:pPr>
      <w:r>
        <w:rPr>
          <w:rFonts w:hint="eastAsia" w:asciiTheme="minorEastAsia" w:hAnsiTheme="minorEastAsia"/>
          <w:bCs/>
          <w:sz w:val="24"/>
          <w:szCs w:val="28"/>
        </w:rPr>
        <w:t>1、严格遵守国家关于市场准入、市场活动等有关法律法规相关政策，以及廉政建设的各项规定。</w:t>
      </w:r>
    </w:p>
    <w:p>
      <w:pPr>
        <w:rPr>
          <w:rFonts w:asciiTheme="minorEastAsia" w:hAnsiTheme="minorEastAsia"/>
          <w:bCs/>
          <w:sz w:val="24"/>
          <w:szCs w:val="28"/>
        </w:rPr>
      </w:pPr>
      <w:r>
        <w:rPr>
          <w:rFonts w:hint="eastAsia" w:asciiTheme="minorEastAsia" w:hAnsiTheme="minorEastAsia"/>
          <w:bCs/>
          <w:sz w:val="24"/>
          <w:szCs w:val="28"/>
        </w:rPr>
        <w:t>2、严格执行双方合同文件，自觉按合同办事。</w:t>
      </w:r>
    </w:p>
    <w:p>
      <w:pPr>
        <w:rPr>
          <w:rFonts w:asciiTheme="minorEastAsia" w:hAnsiTheme="minorEastAsia"/>
          <w:bCs/>
          <w:sz w:val="24"/>
          <w:szCs w:val="28"/>
        </w:rPr>
      </w:pPr>
      <w:r>
        <w:rPr>
          <w:rFonts w:hint="eastAsia" w:asciiTheme="minorEastAsia" w:hAnsiTheme="minorEastAsia"/>
          <w:bCs/>
          <w:sz w:val="24"/>
          <w:szCs w:val="28"/>
        </w:rPr>
        <w:t>3、业务活动必须坚持公开、公平、公正、诚信、透明的原则（除法律法规另有规定者外），不得为获取不正当的利益，损害国家、集体和对方的利益，不得违反市场活动的管理、规章制度。</w:t>
      </w:r>
    </w:p>
    <w:p>
      <w:pPr>
        <w:rPr>
          <w:rFonts w:asciiTheme="minorEastAsia" w:hAnsiTheme="minorEastAsia"/>
          <w:bCs/>
          <w:sz w:val="24"/>
          <w:szCs w:val="28"/>
        </w:rPr>
      </w:pPr>
      <w:r>
        <w:rPr>
          <w:rFonts w:hint="eastAsia" w:asciiTheme="minorEastAsia" w:hAnsiTheme="minorEastAsia"/>
          <w:bCs/>
          <w:sz w:val="24"/>
          <w:szCs w:val="28"/>
        </w:rPr>
        <w:t>4、发现对方在业务活动中有违规、违纪、违法行为的，应及时提醒对方。情节严重的，应主动按规定向其上级主管部门或纪检监察、司法等有关部门举报。</w:t>
      </w:r>
    </w:p>
    <w:p>
      <w:pPr>
        <w:rPr>
          <w:rFonts w:asciiTheme="minorEastAsia" w:hAnsiTheme="minorEastAsia"/>
          <w:bCs/>
          <w:sz w:val="24"/>
          <w:szCs w:val="28"/>
        </w:rPr>
      </w:pPr>
      <w:r>
        <w:rPr>
          <w:rFonts w:hint="eastAsia" w:asciiTheme="minorEastAsia" w:hAnsiTheme="minorEastAsia"/>
          <w:bCs/>
          <w:sz w:val="24"/>
          <w:szCs w:val="28"/>
        </w:rPr>
        <w:t>5、不利用工作之便接受乙方赠送的礼品、礼金、各种有价证券及其他支付凭证等。</w:t>
      </w:r>
    </w:p>
    <w:p>
      <w:pPr>
        <w:rPr>
          <w:rFonts w:asciiTheme="minorEastAsia" w:hAnsiTheme="minorEastAsia"/>
          <w:bCs/>
          <w:sz w:val="24"/>
          <w:szCs w:val="28"/>
        </w:rPr>
      </w:pPr>
      <w:r>
        <w:rPr>
          <w:rFonts w:hint="eastAsia" w:asciiTheme="minorEastAsia" w:hAnsiTheme="minorEastAsia"/>
          <w:bCs/>
          <w:sz w:val="24"/>
          <w:szCs w:val="28"/>
        </w:rPr>
        <w:t>6、不利用工作之便接受乙方提供的通讯工具、交通工具和高档办公用品等。</w:t>
      </w:r>
    </w:p>
    <w:p>
      <w:pPr>
        <w:rPr>
          <w:rFonts w:asciiTheme="minorEastAsia" w:hAnsiTheme="minorEastAsia"/>
          <w:bCs/>
          <w:sz w:val="24"/>
          <w:szCs w:val="28"/>
        </w:rPr>
      </w:pPr>
      <w:r>
        <w:rPr>
          <w:rFonts w:hint="eastAsia" w:asciiTheme="minorEastAsia" w:hAnsiTheme="minorEastAsia"/>
          <w:bCs/>
          <w:sz w:val="24"/>
          <w:szCs w:val="28"/>
        </w:rPr>
        <w:t>7、不利用工作之便向材料生产厂家和供应商（甲方负责采购的除外）索要礼品、礼金、各种有价证券及其他支付凭证等。</w:t>
      </w:r>
    </w:p>
    <w:p>
      <w:pPr>
        <w:rPr>
          <w:rFonts w:asciiTheme="minorEastAsia" w:hAnsiTheme="minorEastAsia"/>
          <w:bCs/>
          <w:sz w:val="24"/>
          <w:szCs w:val="28"/>
        </w:rPr>
      </w:pPr>
      <w:r>
        <w:rPr>
          <w:rFonts w:hint="eastAsia" w:asciiTheme="minorEastAsia" w:hAnsiTheme="minorEastAsia"/>
          <w:bCs/>
          <w:sz w:val="24"/>
          <w:szCs w:val="28"/>
        </w:rPr>
        <w:t>8、不在乙方报销任何应由甲方或个人支付的费用等。</w:t>
      </w:r>
    </w:p>
    <w:p>
      <w:pPr>
        <w:rPr>
          <w:rFonts w:asciiTheme="minorEastAsia" w:hAnsiTheme="minorEastAsia"/>
          <w:bCs/>
          <w:sz w:val="24"/>
          <w:szCs w:val="28"/>
        </w:rPr>
      </w:pPr>
      <w:r>
        <w:rPr>
          <w:rFonts w:hint="eastAsia" w:asciiTheme="minorEastAsia" w:hAnsiTheme="minorEastAsia"/>
          <w:bCs/>
          <w:sz w:val="24"/>
          <w:szCs w:val="28"/>
        </w:rPr>
        <w:t>9、不参加由乙方提供的高档宴请、娱乐、旅游等消费活动。</w:t>
      </w:r>
    </w:p>
    <w:p>
      <w:pPr>
        <w:rPr>
          <w:rFonts w:asciiTheme="minorEastAsia" w:hAnsiTheme="minorEastAsia"/>
          <w:bCs/>
          <w:sz w:val="24"/>
          <w:szCs w:val="28"/>
        </w:rPr>
      </w:pPr>
      <w:r>
        <w:rPr>
          <w:rFonts w:hint="eastAsia" w:asciiTheme="minorEastAsia" w:hAnsiTheme="minorEastAsia"/>
          <w:bCs/>
          <w:sz w:val="24"/>
          <w:szCs w:val="28"/>
        </w:rPr>
        <w:t>二、乙方承诺</w:t>
      </w:r>
    </w:p>
    <w:p>
      <w:pPr>
        <w:rPr>
          <w:rFonts w:asciiTheme="minorEastAsia" w:hAnsiTheme="minorEastAsia"/>
          <w:bCs/>
          <w:sz w:val="24"/>
          <w:szCs w:val="28"/>
        </w:rPr>
      </w:pPr>
      <w:r>
        <w:rPr>
          <w:rFonts w:hint="eastAsia" w:asciiTheme="minorEastAsia" w:hAnsiTheme="minorEastAsia"/>
          <w:bCs/>
          <w:sz w:val="24"/>
          <w:szCs w:val="28"/>
        </w:rPr>
        <w:t>1、不以任何名义向甲方人员赠送钱物、有价证券、好处费等。</w:t>
      </w:r>
    </w:p>
    <w:p>
      <w:pPr>
        <w:rPr>
          <w:rFonts w:asciiTheme="minorEastAsia" w:hAnsiTheme="minorEastAsia"/>
          <w:bCs/>
          <w:sz w:val="24"/>
          <w:szCs w:val="28"/>
        </w:rPr>
      </w:pPr>
      <w:r>
        <w:rPr>
          <w:rFonts w:hint="eastAsia" w:asciiTheme="minorEastAsia" w:hAnsiTheme="minorEastAsia"/>
          <w:bCs/>
          <w:sz w:val="24"/>
          <w:szCs w:val="28"/>
        </w:rPr>
        <w:t>2、不以任何名义为甲方及其工作人员报销应由甲方单位或个人支付的任何费用。</w:t>
      </w:r>
    </w:p>
    <w:p>
      <w:pPr>
        <w:rPr>
          <w:rFonts w:asciiTheme="minorEastAsia" w:hAnsiTheme="minorEastAsia"/>
          <w:bCs/>
          <w:sz w:val="24"/>
          <w:szCs w:val="28"/>
        </w:rPr>
      </w:pPr>
      <w:r>
        <w:rPr>
          <w:rFonts w:hint="eastAsia" w:asciiTheme="minorEastAsia" w:hAnsiTheme="minorEastAsia"/>
          <w:bCs/>
          <w:sz w:val="24"/>
          <w:szCs w:val="28"/>
        </w:rPr>
        <w:t>3、严格履行合同，不出现擅自更改质量或使用不符合国家标准的劣质材料等违背合同的行为。</w:t>
      </w:r>
    </w:p>
    <w:p>
      <w:pPr>
        <w:rPr>
          <w:rFonts w:asciiTheme="minorEastAsia" w:hAnsiTheme="minorEastAsia"/>
          <w:bCs/>
          <w:sz w:val="24"/>
          <w:szCs w:val="28"/>
        </w:rPr>
      </w:pPr>
      <w:r>
        <w:rPr>
          <w:rFonts w:hint="eastAsia" w:asciiTheme="minorEastAsia" w:hAnsiTheme="minorEastAsia"/>
          <w:bCs/>
          <w:sz w:val="24"/>
          <w:szCs w:val="28"/>
        </w:rPr>
        <w:t>4、疫情期间，乙方不得哄抬物价损害甲方利益。</w:t>
      </w:r>
    </w:p>
    <w:p>
      <w:pPr>
        <w:rPr>
          <w:rFonts w:asciiTheme="minorEastAsia" w:hAnsiTheme="minorEastAsia"/>
          <w:bCs/>
          <w:sz w:val="24"/>
          <w:szCs w:val="28"/>
        </w:rPr>
      </w:pPr>
      <w:r>
        <w:rPr>
          <w:rFonts w:hint="eastAsia" w:asciiTheme="minorEastAsia" w:hAnsiTheme="minorEastAsia"/>
          <w:bCs/>
          <w:sz w:val="24"/>
          <w:szCs w:val="28"/>
        </w:rPr>
        <w:t>三、甲乙双方共同承诺</w:t>
      </w:r>
    </w:p>
    <w:p>
      <w:pPr>
        <w:rPr>
          <w:rFonts w:asciiTheme="minorEastAsia" w:hAnsiTheme="minorEastAsia"/>
          <w:bCs/>
          <w:sz w:val="24"/>
          <w:szCs w:val="28"/>
        </w:rPr>
      </w:pPr>
      <w:r>
        <w:rPr>
          <w:rFonts w:hint="eastAsia" w:asciiTheme="minorEastAsia" w:hAnsiTheme="minorEastAsia"/>
          <w:bCs/>
          <w:sz w:val="24"/>
          <w:szCs w:val="28"/>
        </w:rPr>
        <w:t>1、不以任何名义互相宴请。</w:t>
      </w:r>
    </w:p>
    <w:p>
      <w:pPr>
        <w:rPr>
          <w:rFonts w:asciiTheme="minorEastAsia" w:hAnsiTheme="minorEastAsia"/>
          <w:bCs/>
          <w:sz w:val="24"/>
          <w:szCs w:val="28"/>
        </w:rPr>
      </w:pPr>
      <w:r>
        <w:rPr>
          <w:rFonts w:hint="eastAsia" w:asciiTheme="minorEastAsia" w:hAnsiTheme="minorEastAsia"/>
          <w:bCs/>
          <w:sz w:val="24"/>
          <w:szCs w:val="28"/>
        </w:rPr>
        <w:t>2、分别对双方所属人员经常进行法制教育和廉政教育。</w:t>
      </w:r>
    </w:p>
    <w:p>
      <w:pPr>
        <w:rPr>
          <w:rFonts w:asciiTheme="minorEastAsia" w:hAnsiTheme="minorEastAsia"/>
          <w:bCs/>
          <w:sz w:val="24"/>
          <w:szCs w:val="28"/>
        </w:rPr>
      </w:pPr>
      <w:r>
        <w:rPr>
          <w:rFonts w:hint="eastAsia" w:asciiTheme="minorEastAsia" w:hAnsiTheme="minorEastAsia"/>
          <w:bCs/>
          <w:sz w:val="24"/>
          <w:szCs w:val="28"/>
        </w:rPr>
        <w:t>3、互相监督，发现重大违规违纪现象时，可向双方监察部门举报。</w:t>
      </w:r>
    </w:p>
    <w:p>
      <w:pPr>
        <w:rPr>
          <w:rFonts w:asciiTheme="minorEastAsia" w:hAnsiTheme="minorEastAsia"/>
          <w:bCs/>
          <w:sz w:val="24"/>
          <w:szCs w:val="28"/>
        </w:rPr>
      </w:pPr>
      <w:r>
        <w:rPr>
          <w:rFonts w:hint="eastAsia" w:asciiTheme="minorEastAsia" w:hAnsiTheme="minorEastAsia"/>
          <w:bCs/>
          <w:sz w:val="24"/>
          <w:szCs w:val="28"/>
        </w:rPr>
        <w:t>四、违约承诺</w:t>
      </w:r>
    </w:p>
    <w:p>
      <w:pPr>
        <w:rPr>
          <w:rFonts w:asciiTheme="minorEastAsia" w:hAnsiTheme="minorEastAsia"/>
          <w:bCs/>
          <w:sz w:val="24"/>
          <w:szCs w:val="28"/>
        </w:rPr>
      </w:pPr>
      <w:r>
        <w:rPr>
          <w:rFonts w:hint="eastAsia" w:asciiTheme="minorEastAsia" w:hAnsiTheme="minorEastAsia"/>
          <w:bCs/>
          <w:sz w:val="24"/>
          <w:szCs w:val="28"/>
        </w:rPr>
        <w:t>1、如甲方人员涉及本责任违约，责任人应按照党纪政纪和廉政的有关规定严肃处理，甲方并向合同乙方通报处理结果。</w:t>
      </w:r>
    </w:p>
    <w:p>
      <w:pPr>
        <w:rPr>
          <w:rFonts w:asciiTheme="minorEastAsia" w:hAnsiTheme="minorEastAsia"/>
          <w:bCs/>
          <w:sz w:val="24"/>
          <w:szCs w:val="28"/>
        </w:rPr>
      </w:pPr>
      <w:r>
        <w:rPr>
          <w:rFonts w:hint="eastAsia" w:asciiTheme="minorEastAsia" w:hAnsiTheme="minorEastAsia"/>
          <w:bCs/>
          <w:sz w:val="24"/>
          <w:szCs w:val="28"/>
        </w:rPr>
        <w:t>2、如乙方涉及本责任违约，并影响对项目的执行，甲方将视违约情节轻重，对乙方采取警告、中止执行合同、宣告合同无效等处理措施。</w:t>
      </w:r>
    </w:p>
    <w:p>
      <w:pPr>
        <w:rPr>
          <w:rFonts w:asciiTheme="minorEastAsia" w:hAnsiTheme="minorEastAsia"/>
          <w:bCs/>
          <w:sz w:val="24"/>
          <w:szCs w:val="28"/>
        </w:rPr>
      </w:pPr>
      <w:r>
        <w:rPr>
          <w:rFonts w:hint="eastAsia" w:asciiTheme="minorEastAsia" w:hAnsiTheme="minorEastAsia"/>
          <w:bCs/>
          <w:sz w:val="24"/>
          <w:szCs w:val="28"/>
        </w:rPr>
        <w:t>五、甲方、甲方监察部门约请乙方监察部门对本责任的履行情况进行监督检查。</w:t>
      </w:r>
    </w:p>
    <w:p>
      <w:pPr>
        <w:rPr>
          <w:rFonts w:asciiTheme="minorEastAsia" w:hAnsiTheme="minorEastAsia"/>
          <w:bCs/>
          <w:sz w:val="24"/>
          <w:szCs w:val="28"/>
        </w:rPr>
      </w:pPr>
      <w:r>
        <w:rPr>
          <w:rFonts w:hint="eastAsia" w:asciiTheme="minorEastAsia" w:hAnsiTheme="minorEastAsia"/>
          <w:bCs/>
          <w:sz w:val="24"/>
          <w:szCs w:val="28"/>
        </w:rPr>
        <w:t>六、本责任随合同文件一并发行，随项目合同一并签订。</w:t>
      </w:r>
    </w:p>
    <w:p>
      <w:pPr>
        <w:rPr>
          <w:rFonts w:asciiTheme="minorEastAsia" w:hAnsiTheme="minorEastAsia"/>
          <w:bCs/>
          <w:sz w:val="24"/>
          <w:szCs w:val="28"/>
        </w:rPr>
      </w:pPr>
      <w:r>
        <w:rPr>
          <w:rFonts w:hint="eastAsia" w:asciiTheme="minorEastAsia" w:hAnsiTheme="minorEastAsia"/>
          <w:bCs/>
          <w:sz w:val="24"/>
          <w:szCs w:val="28"/>
        </w:rPr>
        <w:t>七、本责任有效时间随项目商务合同的有效时间。</w:t>
      </w:r>
    </w:p>
    <w:p>
      <w:pPr>
        <w:rPr>
          <w:rFonts w:asciiTheme="minorEastAsia" w:hAnsiTheme="minorEastAsia"/>
          <w:bCs/>
          <w:sz w:val="24"/>
          <w:szCs w:val="28"/>
        </w:rPr>
      </w:pPr>
      <w:r>
        <w:rPr>
          <w:rFonts w:hint="eastAsia" w:asciiTheme="minorEastAsia" w:hAnsiTheme="minorEastAsia"/>
          <w:bCs/>
          <w:sz w:val="24"/>
          <w:szCs w:val="28"/>
        </w:rPr>
        <w:t>八、本责任内容双方应公示于各自项目工作部显著位置。</w:t>
      </w:r>
    </w:p>
    <w:p>
      <w:pPr>
        <w:rPr>
          <w:rFonts w:asciiTheme="minorEastAsia" w:hAnsiTheme="minorEastAsia"/>
          <w:bCs/>
          <w:sz w:val="24"/>
          <w:szCs w:val="28"/>
        </w:rPr>
      </w:pPr>
    </w:p>
    <w:p>
      <w:pPr>
        <w:rPr>
          <w:rFonts w:asciiTheme="minorEastAsia" w:hAnsiTheme="minorEastAsia"/>
          <w:bCs/>
          <w:sz w:val="24"/>
          <w:szCs w:val="28"/>
        </w:rPr>
      </w:pP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甲方： (公章)                    乙方： (公章)</w:t>
      </w: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地 址：                             地 址：</w:t>
      </w: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法定代表人：                      法定代表人：</w:t>
      </w: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签约地：</w:t>
      </w:r>
      <w:r>
        <w:rPr>
          <w:rFonts w:asciiTheme="minorEastAsia" w:hAnsiTheme="minorEastAsia"/>
          <w:bCs/>
          <w:sz w:val="24"/>
          <w:szCs w:val="28"/>
        </w:rPr>
        <w:t xml:space="preserve"> </w:t>
      </w:r>
    </w:p>
    <w:p>
      <w:pPr>
        <w:rPr>
          <w:rFonts w:asciiTheme="minorEastAsia" w:hAnsiTheme="minorEastAsia"/>
          <w:bCs/>
          <w:sz w:val="24"/>
          <w:szCs w:val="28"/>
        </w:rPr>
      </w:pPr>
      <w:r>
        <w:rPr>
          <w:rFonts w:hint="eastAsia" w:asciiTheme="minorEastAsia" w:hAnsiTheme="minorEastAsia"/>
          <w:bCs/>
          <w:sz w:val="24"/>
          <w:szCs w:val="28"/>
        </w:rPr>
        <w:t>合同签订日期：   年   月   日</w:t>
      </w:r>
    </w:p>
    <w:p>
      <w:pPr>
        <w:suppressAutoHyphens/>
        <w:topLinePunct/>
        <w:jc w:val="center"/>
        <w:rPr>
          <w:rFonts w:asciiTheme="minorEastAsia" w:hAnsiTheme="minorEastAsia"/>
          <w:bCs/>
          <w:sz w:val="24"/>
          <w:szCs w:val="28"/>
        </w:rPr>
      </w:pPr>
    </w:p>
    <w:p>
      <w:pPr>
        <w:suppressAutoHyphens/>
        <w:topLinePunct/>
        <w:jc w:val="center"/>
        <w:rPr>
          <w:rFonts w:asciiTheme="minorEastAsia" w:hAnsiTheme="minorEastAsia"/>
          <w:bCs/>
          <w:sz w:val="24"/>
          <w:szCs w:val="28"/>
        </w:rPr>
      </w:pPr>
    </w:p>
    <w:p>
      <w:pPr>
        <w:suppressAutoHyphens/>
        <w:topLinePunct/>
        <w:jc w:val="center"/>
        <w:rPr>
          <w:rFonts w:asciiTheme="minorEastAsia" w:hAnsiTheme="minorEastAsia"/>
          <w:bCs/>
          <w:sz w:val="24"/>
          <w:szCs w:val="28"/>
        </w:rPr>
      </w:pPr>
    </w:p>
    <w:p>
      <w:pPr>
        <w:suppressAutoHyphens/>
        <w:topLinePunct/>
        <w:ind w:firstLine="2640" w:firstLineChars="1100"/>
        <w:rPr>
          <w:rFonts w:asciiTheme="minorEastAsia" w:hAnsiTheme="minorEastAsia"/>
          <w:sz w:val="24"/>
          <w:szCs w:val="28"/>
        </w:rPr>
      </w:pPr>
    </w:p>
    <w:p>
      <w:pPr>
        <w:suppressAutoHyphens/>
        <w:topLinePunct/>
        <w:jc w:val="center"/>
        <w:rPr>
          <w:rFonts w:asciiTheme="minorEastAsia" w:hAnsiTheme="minorEastAsia"/>
          <w:bCs/>
          <w:sz w:val="24"/>
          <w:szCs w:val="28"/>
        </w:rPr>
      </w:pPr>
    </w:p>
    <w:p>
      <w:pPr>
        <w:widowControl/>
        <w:jc w:val="left"/>
        <w:rPr>
          <w:rFonts w:asciiTheme="minorEastAsia" w:hAnsiTheme="minorEastAsia"/>
          <w:bCs/>
          <w:sz w:val="24"/>
          <w:szCs w:val="28"/>
        </w:rPr>
      </w:pPr>
      <w:r>
        <w:rPr>
          <w:rFonts w:asciiTheme="minorEastAsia" w:hAnsiTheme="minorEastAsia"/>
          <w:bCs/>
          <w:sz w:val="24"/>
          <w:szCs w:val="28"/>
        </w:rPr>
        <w:br w:type="page"/>
      </w:r>
    </w:p>
    <w:p>
      <w:pPr>
        <w:suppressAutoHyphens/>
        <w:topLinePunct/>
        <w:rPr>
          <w:rFonts w:asciiTheme="minorEastAsia" w:hAnsiTheme="minorEastAsia"/>
          <w:bCs/>
          <w:sz w:val="24"/>
          <w:szCs w:val="28"/>
        </w:rPr>
      </w:pPr>
      <w:r>
        <w:rPr>
          <w:rFonts w:hint="eastAsia" w:asciiTheme="minorEastAsia" w:hAnsiTheme="minorEastAsia"/>
          <w:bCs/>
          <w:sz w:val="24"/>
          <w:szCs w:val="28"/>
        </w:rPr>
        <w:t>附件二：</w:t>
      </w:r>
    </w:p>
    <w:p>
      <w:pPr>
        <w:suppressAutoHyphens/>
        <w:topLinePunct/>
        <w:jc w:val="center"/>
        <w:rPr>
          <w:rFonts w:asciiTheme="minorEastAsia" w:hAnsiTheme="minorEastAsia"/>
          <w:bCs/>
          <w:sz w:val="24"/>
          <w:szCs w:val="28"/>
        </w:rPr>
      </w:pPr>
      <w:r>
        <w:rPr>
          <w:rFonts w:hint="eastAsia" w:asciiTheme="minorEastAsia" w:hAnsiTheme="minorEastAsia"/>
          <w:bCs/>
          <w:sz w:val="24"/>
          <w:szCs w:val="28"/>
        </w:rPr>
        <w:t>产品质量安全承诺书</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为保证产品质量，明确购销双方产品质量责任，确保产品质量合格，我方承诺如下：</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1、我方所提供的产品已经过我方完整的测试、检验、包装等流程后方可出货，出货产品需符合要求，并保持完整的检验记录随时接受查验。</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2、我方应在产品的包装物上施加标识，标识应清楚地标示产品的名称、型号规格、包装数量、生产日期、生产批号、制造商的名称及检验状态等信息。</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3、我方应对交付的产品进行统一、合理的包装，包装应能保证产品在运输过程中以及贵院在合理的周转过程中不易损坏。</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4、产品检验由贵院根据有效的质量技术标准在本项目现场进行，发现不合格项目即为不合格。</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5、我方接到贵院通报其所提供的产品出现质量问题的信息后，应于24小时内答复并作出临时应对措施，满足贵院的返工、及更换不良品等要求。若我方没有按时答复或处理，则视为我方认同贵院的判定并同意贵院代为处理，相关处理费用由我方承担。</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6、贵院有权退回所有属于我方责任的不合格产品，且我方应及时到贵院处确认并领回，并承担搬用费、装车费、往返运费及包装费，超过3天我方仍未前来处理的不合格品，贵院有权就地处理。</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7、因我方提供产品的质量或因安装不当，造成贵院货物损失的，其损失费用（由贵院核算）、废品损失（含牵连报废损失），由我方承担。</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8、我方保证提供合格、符合合同约定的产品，不符合要求的产品无条件运出甲方指定收货地点。</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9、如果我方违约，我方以不低于合同总金额的双倍作为赔偿金，若给贵院造成的损失超过该赔偿金，贵院有权按实际损失抵扣。</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10、因我方提供的产品出现质量问题造成第三方投诉并被第三方索赔时，贵院有权要求我方承担贵院以及第三方相应的经济损失。</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特此承诺！</w:t>
      </w:r>
    </w:p>
    <w:p>
      <w:pPr>
        <w:pStyle w:val="42"/>
        <w:spacing w:before="0" w:beforeAutospacing="0" w:after="0" w:afterAutospacing="0"/>
        <w:ind w:firstLine="420"/>
        <w:jc w:val="both"/>
        <w:rPr>
          <w:rFonts w:cs="Times New Roman" w:asciiTheme="minorEastAsia" w:hAnsiTheme="minorEastAsia" w:eastAsiaTheme="minorEastAsia"/>
          <w:bCs/>
          <w:kern w:val="2"/>
          <w:szCs w:val="28"/>
        </w:rPr>
      </w:pPr>
    </w:p>
    <w:p>
      <w:r>
        <w:rPr>
          <w:rFonts w:hint="eastAsia" w:asciiTheme="minorEastAsia" w:hAnsiTheme="minorEastAsia"/>
          <w:bCs/>
          <w:sz w:val="24"/>
          <w:szCs w:val="28"/>
        </w:rPr>
        <w:t xml:space="preserve">承诺人：  </w:t>
      </w:r>
      <w:r>
        <w:rPr>
          <w:rFonts w:hint="eastAsia" w:asciiTheme="minorEastAsia" w:hAnsiTheme="minorEastAsia"/>
          <w:bCs/>
          <w:szCs w:val="28"/>
        </w:rPr>
        <w:t xml:space="preserve">                      </w:t>
      </w: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rPr>
          <w:rFonts w:cs="宋体" w:asciiTheme="minorEastAsia" w:hAnsiTheme="minorEastAsia"/>
          <w:b/>
          <w:sz w:val="24"/>
          <w:szCs w:val="24"/>
        </w:rPr>
      </w:pPr>
      <w:r>
        <w:rPr>
          <w:rFonts w:hint="eastAsia" w:cs="宋体" w:asciiTheme="minorEastAsia" w:hAnsiTheme="minorEastAsia"/>
          <w:b/>
          <w:sz w:val="24"/>
          <w:szCs w:val="24"/>
        </w:rPr>
        <w:br w:type="page"/>
      </w:r>
    </w:p>
    <w:p>
      <w:pPr>
        <w:spacing w:line="440" w:lineRule="exact"/>
        <w:jc w:val="center"/>
        <w:outlineLvl w:val="0"/>
        <w:rPr>
          <w:rFonts w:cs="宋体" w:asciiTheme="minorEastAsia" w:hAnsiTheme="minorEastAsia"/>
          <w:b/>
          <w:sz w:val="24"/>
          <w:szCs w:val="24"/>
        </w:rPr>
      </w:pPr>
      <w:bookmarkStart w:id="31" w:name="_Toc136609703"/>
      <w:r>
        <w:rPr>
          <w:rFonts w:hint="eastAsia" w:cs="宋体" w:asciiTheme="minorEastAsia" w:hAnsiTheme="minorEastAsia"/>
          <w:b/>
          <w:sz w:val="24"/>
          <w:szCs w:val="24"/>
        </w:rPr>
        <w:t>第四章 采购标准和要求</w:t>
      </w:r>
      <w:bookmarkEnd w:id="31"/>
      <w:bookmarkStart w:id="32" w:name="_Toc138638510"/>
      <w:bookmarkEnd w:id="32"/>
      <w:bookmarkStart w:id="33" w:name="_Toc138639145"/>
      <w:bookmarkEnd w:id="33"/>
      <w:bookmarkStart w:id="34" w:name="_Toc138638509"/>
      <w:bookmarkEnd w:id="34"/>
      <w:bookmarkStart w:id="35" w:name="_Toc138638702"/>
      <w:bookmarkEnd w:id="35"/>
      <w:bookmarkStart w:id="36" w:name="_Toc138638907"/>
      <w:bookmarkEnd w:id="36"/>
      <w:bookmarkStart w:id="37" w:name="_Toc138638719"/>
      <w:bookmarkEnd w:id="37"/>
      <w:bookmarkStart w:id="38" w:name="_Toc138638538"/>
      <w:bookmarkEnd w:id="38"/>
      <w:bookmarkStart w:id="39" w:name="_Toc138638718"/>
      <w:bookmarkEnd w:id="39"/>
      <w:bookmarkStart w:id="40" w:name="_Toc138638773"/>
      <w:bookmarkEnd w:id="40"/>
      <w:bookmarkStart w:id="41" w:name="_Toc138638884"/>
      <w:bookmarkEnd w:id="41"/>
      <w:bookmarkStart w:id="42" w:name="_Toc138638534"/>
      <w:bookmarkEnd w:id="42"/>
      <w:bookmarkStart w:id="43" w:name="_Toc138638535"/>
      <w:bookmarkEnd w:id="43"/>
      <w:bookmarkStart w:id="44" w:name="_Toc138638910"/>
      <w:bookmarkEnd w:id="44"/>
      <w:bookmarkStart w:id="45" w:name="_Toc138639091"/>
      <w:bookmarkEnd w:id="45"/>
      <w:bookmarkStart w:id="46" w:name="_Toc138639074"/>
      <w:bookmarkEnd w:id="46"/>
      <w:bookmarkStart w:id="47" w:name="_合同文件的组成及解释顺序"/>
      <w:bookmarkEnd w:id="47"/>
      <w:bookmarkStart w:id="48" w:name="_Toc138639090"/>
      <w:bookmarkEnd w:id="48"/>
      <w:bookmarkStart w:id="49" w:name="_Toc138638906"/>
      <w:bookmarkEnd w:id="49"/>
      <w:bookmarkStart w:id="50" w:name="_Toc138638883"/>
      <w:bookmarkEnd w:id="50"/>
    </w:p>
    <w:p>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伊宁市解放路社区卫生服务中心医疗设备需求</w:t>
      </w:r>
      <w:r>
        <w:rPr>
          <w:rFonts w:hint="eastAsia" w:ascii="仿宋" w:hAnsi="仿宋" w:eastAsia="仿宋" w:cs="仿宋"/>
          <w:b/>
          <w:bCs/>
          <w:color w:val="auto"/>
          <w:sz w:val="28"/>
          <w:szCs w:val="28"/>
          <w:highlight w:val="none"/>
          <w:lang w:val="en-US" w:eastAsia="zh-CN"/>
        </w:rPr>
        <w:t>及参数</w:t>
      </w:r>
    </w:p>
    <w:tbl>
      <w:tblPr>
        <w:tblStyle w:val="48"/>
        <w:tblW w:w="7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06"/>
        <w:gridCol w:w="3281"/>
        <w:gridCol w:w="102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rPr>
              <w:t>序号</w:t>
            </w:r>
          </w:p>
        </w:tc>
        <w:tc>
          <w:tcPr>
            <w:tcW w:w="3281" w:type="dxa"/>
            <w:noWrap w:val="0"/>
            <w:vAlign w:val="center"/>
          </w:tcPr>
          <w:p>
            <w:pPr>
              <w:widowControl/>
              <w:shd w:val="clear" w:color="auto" w:fill="auto"/>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rPr>
              <w:t>货物名称</w:t>
            </w:r>
          </w:p>
        </w:tc>
        <w:tc>
          <w:tcPr>
            <w:tcW w:w="1027" w:type="dxa"/>
            <w:noWrap w:val="0"/>
            <w:vAlign w:val="center"/>
          </w:tcPr>
          <w:p>
            <w:pPr>
              <w:widowControl/>
              <w:shd w:val="clear" w:color="auto" w:fill="auto"/>
              <w:jc w:val="center"/>
              <w:textAlignment w:val="center"/>
              <w:rPr>
                <w:rFonts w:hint="eastAsia" w:ascii="仿宋" w:hAnsi="仿宋" w:eastAsia="仿宋" w:cs="仿宋"/>
                <w:b/>
                <w:i w:val="0"/>
                <w:color w:val="auto"/>
                <w:sz w:val="21"/>
                <w:szCs w:val="21"/>
                <w:highlight w:val="none"/>
                <w:u w:val="none"/>
              </w:rPr>
            </w:pPr>
            <w:r>
              <w:rPr>
                <w:rFonts w:hint="eastAsia" w:ascii="仿宋" w:hAnsi="仿宋" w:eastAsia="仿宋" w:cs="仿宋"/>
                <w:b/>
                <w:i w:val="0"/>
                <w:color w:val="auto"/>
                <w:kern w:val="0"/>
                <w:sz w:val="21"/>
                <w:szCs w:val="21"/>
                <w:highlight w:val="none"/>
                <w:u w:val="none"/>
                <w:lang w:val="en-US" w:eastAsia="zh-CN"/>
              </w:rPr>
              <w:t>数量</w:t>
            </w:r>
          </w:p>
        </w:tc>
        <w:tc>
          <w:tcPr>
            <w:tcW w:w="1070" w:type="dxa"/>
            <w:noWrap w:val="0"/>
            <w:vAlign w:val="center"/>
          </w:tcPr>
          <w:p>
            <w:pPr>
              <w:widowControl/>
              <w:shd w:val="clear" w:color="auto" w:fill="auto"/>
              <w:jc w:val="center"/>
              <w:textAlignment w:val="center"/>
              <w:rPr>
                <w:rFonts w:hint="eastAsia" w:ascii="仿宋" w:hAnsi="仿宋" w:eastAsia="仿宋" w:cs="仿宋"/>
                <w:b/>
                <w:i w:val="0"/>
                <w:color w:val="auto"/>
                <w:sz w:val="21"/>
                <w:szCs w:val="21"/>
                <w:highlight w:val="none"/>
                <w:u w:val="none"/>
                <w:lang w:eastAsia="zh-CN"/>
              </w:rPr>
            </w:pPr>
            <w:r>
              <w:rPr>
                <w:rFonts w:hint="eastAsia" w:ascii="仿宋" w:hAnsi="仿宋" w:eastAsia="仿宋" w:cs="仿宋"/>
                <w:b/>
                <w:i w:val="0"/>
                <w:color w:val="auto"/>
                <w:sz w:val="21"/>
                <w:szCs w:val="21"/>
                <w:highlight w:val="none"/>
                <w:u w:val="no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气垫床</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2</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电热保温餐车</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3</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饮水机</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4</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轮椅</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2</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5</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洗衣机</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6</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防跌倒病床</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7</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24小时动态心电图</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8</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24小时动态血压检测仪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9</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制氧机</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10</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心电监护仪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11</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超声波体重身高测量仪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12</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动态血糖检测仪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13</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中医体质辨识仪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14</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电脑恒温电蜡疗仪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15</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红外线治疗仪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16</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深层肌肉按摩器</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17</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颈腰椎治疗多功能牵引床</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18</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语言吞咽治疗仪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3"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19</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分指板</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20</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主被动训练器</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bidi="ar-SA"/>
              </w:rPr>
            </w:pPr>
            <w:r>
              <w:rPr>
                <w:rFonts w:hint="eastAsia" w:ascii="仿宋" w:hAnsi="仿宋" w:eastAsia="仿宋" w:cs="仿宋"/>
                <w:b w:val="0"/>
                <w:bCs w:val="0"/>
                <w:i w:val="0"/>
                <w:color w:val="auto"/>
                <w:kern w:val="0"/>
                <w:sz w:val="21"/>
                <w:szCs w:val="21"/>
                <w:highlight w:val="none"/>
                <w:u w:val="none"/>
                <w:lang w:val="en-US" w:eastAsia="zh-CN"/>
              </w:rPr>
              <w:t>21</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低频神经和肌肉电刺激仪</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bidi="ar-SA"/>
              </w:rPr>
            </w:pPr>
            <w:r>
              <w:rPr>
                <w:rFonts w:hint="eastAsia" w:ascii="仿宋" w:hAnsi="仿宋" w:eastAsia="仿宋" w:cs="仿宋"/>
                <w:b w:val="0"/>
                <w:bCs w:val="0"/>
                <w:i w:val="0"/>
                <w:color w:val="auto"/>
                <w:kern w:val="0"/>
                <w:sz w:val="21"/>
                <w:szCs w:val="21"/>
                <w:highlight w:val="none"/>
                <w:u w:val="none"/>
                <w:lang w:val="en-US" w:eastAsia="zh-CN" w:bidi="ar-SA"/>
              </w:rPr>
              <w:t>22</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急救保健箱</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4"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23</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骨折固定装置</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000000" w:themeColor="text1"/>
                <w:kern w:val="0"/>
                <w:sz w:val="21"/>
                <w:szCs w:val="21"/>
                <w:highlight w:val="none"/>
                <w:u w:val="none"/>
                <w:lang w:val="en-US" w:eastAsia="zh-CN"/>
                <w14:textFill>
                  <w14:solidFill>
                    <w14:schemeClr w14:val="tx1"/>
                  </w14:solidFill>
                </w14:textFill>
              </w:rPr>
            </w:pPr>
            <w:r>
              <w:rPr>
                <w:rFonts w:hint="eastAsia" w:ascii="仿宋" w:hAnsi="仿宋" w:eastAsia="仿宋" w:cs="仿宋"/>
                <w:b w:val="0"/>
                <w:bCs w:val="0"/>
                <w:i w:val="0"/>
                <w:color w:val="000000" w:themeColor="text1"/>
                <w:kern w:val="0"/>
                <w:sz w:val="21"/>
                <w:szCs w:val="21"/>
                <w:highlight w:val="none"/>
                <w:u w:val="none"/>
                <w:lang w:val="en-US" w:eastAsia="zh-CN"/>
                <w14:textFill>
                  <w14:solidFill>
                    <w14:schemeClr w14:val="tx1"/>
                  </w14:solidFill>
                </w14:textFill>
              </w:rPr>
              <w:t>24</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监控设备</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2"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25</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定位设备</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26</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电脑</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5</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27</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笔记本电脑</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28</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电视机</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eastAsia"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29</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打印机</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06" w:type="dxa"/>
            <w:noWrap w:val="0"/>
            <w:vAlign w:val="center"/>
          </w:tcPr>
          <w:p>
            <w:pPr>
              <w:widowControl/>
              <w:shd w:val="clear" w:color="auto" w:fill="auto"/>
              <w:jc w:val="center"/>
              <w:textAlignment w:val="center"/>
              <w:rPr>
                <w:rFonts w:hint="default" w:ascii="仿宋" w:hAnsi="仿宋" w:eastAsia="仿宋" w:cs="仿宋"/>
                <w:b w:val="0"/>
                <w:bCs w:val="0"/>
                <w:i w:val="0"/>
                <w:color w:val="auto"/>
                <w:kern w:val="0"/>
                <w:sz w:val="21"/>
                <w:szCs w:val="21"/>
                <w:highlight w:val="none"/>
                <w:u w:val="none"/>
                <w:lang w:val="en-US" w:eastAsia="zh-CN"/>
              </w:rPr>
            </w:pPr>
            <w:r>
              <w:rPr>
                <w:rFonts w:hint="eastAsia" w:ascii="仿宋" w:hAnsi="仿宋" w:eastAsia="仿宋" w:cs="仿宋"/>
                <w:b w:val="0"/>
                <w:bCs w:val="0"/>
                <w:i w:val="0"/>
                <w:color w:val="auto"/>
                <w:kern w:val="0"/>
                <w:sz w:val="21"/>
                <w:szCs w:val="21"/>
                <w:highlight w:val="none"/>
                <w:u w:val="none"/>
                <w:lang w:val="en-US" w:eastAsia="zh-CN"/>
              </w:rPr>
              <w:t>30</w:t>
            </w:r>
          </w:p>
        </w:tc>
        <w:tc>
          <w:tcPr>
            <w:tcW w:w="328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微波炉</w:t>
            </w:r>
          </w:p>
        </w:tc>
        <w:tc>
          <w:tcPr>
            <w:tcW w:w="1027"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07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284" w:type="dxa"/>
            <w:gridSpan w:val="4"/>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pPr>
        <w:rPr>
          <w:rFonts w:hint="eastAsia" w:ascii="仿宋" w:hAnsi="仿宋" w:eastAsia="仿宋" w:cs="仿宋"/>
          <w:sz w:val="21"/>
          <w:szCs w:val="21"/>
          <w:lang w:val="en-US" w:eastAsia="zh-CN"/>
        </w:rPr>
      </w:pP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一、气垫床</w:t>
      </w:r>
    </w:p>
    <w:p>
      <w:pPr>
        <w:rPr>
          <w:rFonts w:hint="eastAsia" w:ascii="仿宋" w:hAnsi="仿宋" w:eastAsia="仿宋" w:cs="仿宋"/>
          <w:color w:val="FF0000"/>
          <w:sz w:val="21"/>
          <w:szCs w:val="21"/>
          <w:lang w:val="en-US" w:eastAsia="zh-CN"/>
        </w:rPr>
      </w:pP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*1.床垫尺寸：≥180（L）*80（W）*8（H）cm； </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 xml:space="preserve">2.气泵电源电压：AC220V±10%; </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*3.气泵功率：≥6W；</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 xml:space="preserve">*4.气泵输出流量：≥5L/min； </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 xml:space="preserve">*5.气泵输出气压：≥12kPa； </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 xml:space="preserve">6.气泵频率：50Hz±1Hz； </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 xml:space="preserve">*7.气泵噪音：≤45dB； </w:t>
      </w:r>
      <w:r>
        <w:rPr>
          <w:rFonts w:hint="eastAsia" w:ascii="仿宋" w:hAnsi="仿宋" w:eastAsia="仿宋" w:cs="仿宋"/>
          <w:color w:val="000000" w:themeColor="text1"/>
          <w:sz w:val="21"/>
          <w:szCs w:val="21"/>
          <w:lang w:val="en-US" w:eastAsia="zh-CN"/>
          <w14:textFill>
            <w14:solidFill>
              <w14:schemeClr w14:val="tx1"/>
            </w14:solidFill>
          </w14:textFill>
        </w:rPr>
        <w:br w:type="textWrapping"/>
      </w:r>
      <w:r>
        <w:rPr>
          <w:rFonts w:hint="eastAsia" w:ascii="仿宋" w:hAnsi="仿宋" w:eastAsia="仿宋" w:cs="仿宋"/>
          <w:color w:val="000000" w:themeColor="text1"/>
          <w:sz w:val="21"/>
          <w:szCs w:val="21"/>
          <w:lang w:val="en-US" w:eastAsia="zh-CN"/>
          <w14:textFill>
            <w14:solidFill>
              <w14:schemeClr w14:val="tx1"/>
            </w14:solidFill>
          </w14:textFill>
        </w:rPr>
        <w:t>8.气泵交替（t）：12min±1min</w:t>
      </w:r>
    </w:p>
    <w:p>
      <w:pPr>
        <w:rPr>
          <w:rFonts w:hint="eastAsia" w:ascii="仿宋" w:hAnsi="仿宋" w:eastAsia="仿宋" w:cs="仿宋"/>
          <w:sz w:val="21"/>
          <w:szCs w:val="21"/>
          <w:lang w:val="en-US" w:eastAsia="zh-CN"/>
        </w:rPr>
      </w:pPr>
      <w:r>
        <w:rPr>
          <w:rFonts w:hint="eastAsia" w:ascii="仿宋" w:hAnsi="仿宋" w:eastAsia="仿宋" w:cs="仿宋"/>
          <w:color w:val="000000" w:themeColor="text1"/>
          <w:sz w:val="21"/>
          <w:szCs w:val="21"/>
          <w:lang w:val="en-US" w:eastAsia="zh-CN"/>
          <w14:textFill>
            <w14:solidFill>
              <w14:schemeClr w14:val="tx1"/>
            </w14:solidFill>
          </w14:textFill>
        </w:rPr>
        <w:t>9.工作制：连续运行。</w:t>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二、电热保温餐车</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1.电压：220V</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2.输出气压：≤20Kpa</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3.蒸饭时间：45min</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4.功率：KW</w:t>
      </w: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三、饮水机</w:t>
      </w:r>
    </w:p>
    <w:p>
      <w:pPr>
        <w:rPr>
          <w:rFonts w:hint="eastAsia" w:ascii="仿宋" w:hAnsi="仿宋" w:eastAsia="仿宋" w:cs="仿宋"/>
          <w:color w:val="000000" w:themeColor="text1"/>
          <w:sz w:val="21"/>
          <w:szCs w:val="21"/>
          <w:lang w:val="en-US" w:eastAsia="zh-CN"/>
          <w14:textFill>
            <w14:solidFill>
              <w14:schemeClr w14:val="tx1"/>
            </w14:solidFill>
          </w14:textFill>
        </w:rPr>
      </w:pP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1.功率：≥2KW</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2.电源：22V  50HZ</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3.过滤：内置10寸Ro400+6G压力桶</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4.供水量：开水 ≥40L/小时</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5.出水口：1开1纯</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6.使用压：0.1-0.6（Mpa）</w:t>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四、轮椅</w:t>
      </w:r>
    </w:p>
    <w:p>
      <w:pPr>
        <w:rPr>
          <w:rFonts w:hint="eastAsia" w:ascii="仿宋" w:hAnsi="仿宋" w:eastAsia="仿宋" w:cs="仿宋"/>
          <w:sz w:val="21"/>
          <w:szCs w:val="21"/>
          <w:lang w:val="en-US" w:eastAsia="zh-CN"/>
        </w:rPr>
      </w:pPr>
    </w:p>
    <w:p>
      <w:p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1.靠背高度：≥90CM</w:t>
      </w:r>
    </w:p>
    <w:p>
      <w:pPr>
        <w:rPr>
          <w:rFonts w:hint="default"/>
          <w:lang w:val="en-US" w:eastAsia="zh-CN"/>
        </w:rPr>
      </w:pPr>
      <w:r>
        <w:rPr>
          <w:rFonts w:hint="eastAsia" w:ascii="仿宋" w:hAnsi="仿宋" w:eastAsia="仿宋" w:cs="仿宋"/>
          <w:sz w:val="21"/>
          <w:szCs w:val="21"/>
          <w:lang w:val="en-US" w:eastAsia="zh-CN"/>
        </w:rPr>
        <w:t>2.座椅高度：≥40CM</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3.座椅材质：帆布</w:t>
      </w:r>
    </w:p>
    <w:p>
      <w:pPr>
        <w:rPr>
          <w:rFonts w:hint="eastAsia"/>
          <w:lang w:val="en-US" w:eastAsia="zh-CN"/>
        </w:rPr>
      </w:pPr>
      <w:r>
        <w:rPr>
          <w:rFonts w:hint="eastAsia" w:ascii="仿宋" w:hAnsi="仿宋" w:eastAsia="仿宋" w:cs="仿宋"/>
          <w:sz w:val="21"/>
          <w:szCs w:val="21"/>
          <w:lang w:val="en-US" w:eastAsia="zh-CN"/>
        </w:rPr>
        <w:t>4.座椅尺寸：≥45CM</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5.框架材质：不锈钢</w:t>
      </w:r>
    </w:p>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五、洗衣机</w:t>
      </w:r>
    </w:p>
    <w:p>
      <w:pPr>
        <w:rPr>
          <w:rFonts w:hint="eastAsia" w:ascii="仿宋" w:hAnsi="仿宋" w:eastAsia="仿宋" w:cs="仿宋"/>
          <w:color w:val="000000" w:themeColor="text1"/>
          <w:sz w:val="21"/>
          <w:szCs w:val="21"/>
          <w:lang w:val="en-US" w:eastAsia="zh-CN"/>
          <w14:textFill>
            <w14:solidFill>
              <w14:schemeClr w14:val="tx1"/>
            </w14:solidFill>
          </w14:textFill>
        </w:rPr>
      </w:pPr>
    </w:p>
    <w:p>
      <w:pPr>
        <w:numPr>
          <w:ilvl w:val="0"/>
          <w:numId w:val="0"/>
        </w:num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lang w:val="en-US" w:eastAsia="zh-CN"/>
          <w14:textFill>
            <w14:solidFill>
              <w14:schemeClr w14:val="tx1"/>
            </w14:solidFill>
          </w14:textFill>
        </w:rPr>
        <w:t>电源：220V-/50HZ</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2.进水水压：（0.03-1.0）MPa</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3.额定洗涤容量：≥8kg</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4.额定脱水容量：≥8kg</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5.额定烘干容量：≥5kg</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6.甩干转速：＞1000转/分</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7.洗涤噪音：≤55dB（A计权）</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8.脱水噪音：≤70dB（A计权）</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9.能效等级：1级</w:t>
      </w:r>
    </w:p>
    <w:p>
      <w:pPr>
        <w:numPr>
          <w:ilvl w:val="0"/>
          <w:numId w:val="0"/>
        </w:numP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10.洗净比：≥1.03</w:t>
      </w:r>
    </w:p>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br w:type="page"/>
      </w:r>
      <w:r>
        <w:rPr>
          <w:rFonts w:hint="eastAsia" w:ascii="仿宋" w:hAnsi="仿宋" w:eastAsia="仿宋" w:cs="仿宋"/>
          <w:color w:val="000000" w:themeColor="text1"/>
          <w:sz w:val="28"/>
          <w:szCs w:val="28"/>
          <w:lang w:val="en-US" w:eastAsia="zh-CN"/>
          <w14:textFill>
            <w14:solidFill>
              <w14:schemeClr w14:val="tx1"/>
            </w14:solidFill>
          </w14:textFill>
        </w:rPr>
        <w:t>六、防跌倒病床</w:t>
      </w:r>
    </w:p>
    <w:p>
      <w:pPr>
        <w:rPr>
          <w:rFonts w:hint="eastAsia" w:ascii="仿宋" w:hAnsi="仿宋" w:eastAsia="仿宋" w:cs="仿宋"/>
          <w:color w:val="000000" w:themeColor="text1"/>
          <w:sz w:val="21"/>
          <w:szCs w:val="21"/>
          <w14:textFill>
            <w14:solidFill>
              <w14:schemeClr w14:val="tx1"/>
            </w14:solidFill>
          </w14:textFill>
        </w:rPr>
      </w:pPr>
    </w:p>
    <w:p>
      <w:pPr>
        <w:numPr>
          <w:ilvl w:val="0"/>
          <w:numId w:val="0"/>
        </w:num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规格：</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21</w:t>
      </w:r>
      <w:r>
        <w:rPr>
          <w:rFonts w:hint="eastAsia" w:ascii="仿宋" w:hAnsi="仿宋" w:eastAsia="仿宋" w:cs="仿宋"/>
          <w:color w:val="000000" w:themeColor="text1"/>
          <w:sz w:val="21"/>
          <w:szCs w:val="21"/>
          <w:lang w:val="en-US" w:eastAsia="zh-CN"/>
          <w14:textFill>
            <w14:solidFill>
              <w14:schemeClr w14:val="tx1"/>
            </w14:solidFill>
          </w14:textFill>
        </w:rPr>
        <w:t>60</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1000</w:t>
      </w:r>
      <w:r>
        <w:rPr>
          <w:rFonts w:hint="eastAsia" w:ascii="仿宋" w:hAnsi="仿宋" w:eastAsia="仿宋" w:cs="仿宋"/>
          <w:color w:val="000000" w:themeColor="text1"/>
          <w:sz w:val="21"/>
          <w:szCs w:val="21"/>
          <w14:textFill>
            <w14:solidFill>
              <w14:schemeClr w14:val="tx1"/>
            </w14:solidFill>
          </w14:textFill>
        </w:rPr>
        <w:t>×5</w:t>
      </w:r>
      <w:r>
        <w:rPr>
          <w:rFonts w:hint="eastAsia" w:ascii="仿宋" w:hAnsi="仿宋" w:eastAsia="仿宋" w:cs="仿宋"/>
          <w:color w:val="000000" w:themeColor="text1"/>
          <w:sz w:val="21"/>
          <w:szCs w:val="21"/>
          <w:lang w:val="en-US" w:eastAsia="zh-CN"/>
          <w14:textFill>
            <w14:solidFill>
              <w14:schemeClr w14:val="tx1"/>
            </w14:solidFill>
          </w14:textFill>
        </w:rPr>
        <w:t>20</w:t>
      </w:r>
      <w:r>
        <w:rPr>
          <w:rFonts w:hint="eastAsia" w:ascii="仿宋" w:hAnsi="仿宋" w:eastAsia="仿宋" w:cs="仿宋"/>
          <w:color w:val="000000" w:themeColor="text1"/>
          <w:sz w:val="21"/>
          <w:szCs w:val="21"/>
          <w14:textFill>
            <w14:solidFill>
              <w14:schemeClr w14:val="tx1"/>
            </w14:solidFill>
          </w14:textFill>
        </w:rPr>
        <w:t>mm</w:t>
      </w:r>
    </w:p>
    <w:p>
      <w:pPr>
        <w:numPr>
          <w:ilvl w:val="0"/>
          <w:numId w:val="0"/>
        </w:num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2、升降功能：</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①背部升降：升降角度</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80</w:t>
      </w:r>
      <w:r>
        <w:rPr>
          <w:rFonts w:hint="eastAsia" w:ascii="仿宋" w:hAnsi="仿宋" w:eastAsia="仿宋" w:cs="仿宋"/>
          <w:color w:val="000000" w:themeColor="text1"/>
          <w:sz w:val="21"/>
          <w:szCs w:val="21"/>
          <w14:textFill>
            <w14:solidFill>
              <w14:schemeClr w14:val="tx1"/>
            </w14:solidFill>
          </w14:textFill>
        </w:rPr>
        <w:t>º</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②腿部升降：升降角度</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50</w:t>
      </w:r>
      <w:r>
        <w:rPr>
          <w:rFonts w:hint="eastAsia" w:ascii="仿宋" w:hAnsi="仿宋" w:eastAsia="仿宋" w:cs="仿宋"/>
          <w:color w:val="000000" w:themeColor="text1"/>
          <w:sz w:val="21"/>
          <w:szCs w:val="21"/>
          <w14:textFill>
            <w14:solidFill>
              <w14:schemeClr w14:val="tx1"/>
            </w14:solidFill>
          </w14:textFill>
        </w:rPr>
        <w:t>º</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 xml:space="preserve">3、床面板：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①床面板采用优质冷轧板材整版一次性液压拉伸成型，钢板厚度≥1.</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 xml:space="preserve">mm，表面光滑无毛刺。四块床面板大小规格完全符合人身体结构，造型合理科学，整版一次性拉伸多孔无焊接成型，床面整体有凹型面板结构，带防滑孔，易清洗，强度高、透气性好；床板四周和中间两条加强筋采用 </w:t>
      </w:r>
      <w:r>
        <w:rPr>
          <w:rFonts w:hint="eastAsia" w:ascii="仿宋" w:hAnsi="仿宋" w:eastAsia="仿宋" w:cs="仿宋"/>
          <w:color w:val="000000" w:themeColor="text1"/>
          <w:sz w:val="21"/>
          <w:szCs w:val="21"/>
          <w:lang w:val="en-US" w:eastAsia="zh-CN"/>
          <w14:textFill>
            <w14:solidFill>
              <w14:schemeClr w14:val="tx1"/>
            </w14:solidFill>
          </w14:textFill>
        </w:rPr>
        <w:t>20</w:t>
      </w:r>
      <w:r>
        <w:rPr>
          <w:rFonts w:hint="eastAsia" w:ascii="仿宋" w:hAnsi="仿宋" w:eastAsia="仿宋" w:cs="仿宋"/>
          <w:color w:val="000000" w:themeColor="text1"/>
          <w:sz w:val="21"/>
          <w:szCs w:val="21"/>
          <w14:textFill>
            <w14:solidFill>
              <w14:schemeClr w14:val="tx1"/>
            </w14:solidFill>
          </w14:textFill>
        </w:rPr>
        <w:t>×2</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 xml:space="preserve">≥1.0mm矩管焊接，增加承载力。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②病床背板和腿板升降部位均采用固定式双支撑转轴结构，支撑板厚度≥</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mm支撑管轴φ≥3</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mm，厚度≥2mm。避免使用过程中受力导致升降支撑跑偏位移损坏床板，双支撑有效将病员的重量均匀地分部在床梁上，最大限度减少螺杆受力，有效延长螺杆及病床使用寿命。</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③床板链接采用钢质铰链，单片厚度≥</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 xml:space="preserve">mm。耐磨，运作无噪音，防折断。 </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 xml:space="preserve">4、床身主要部件： </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①床框采用 </w:t>
      </w:r>
      <w:r>
        <w:rPr>
          <w:rFonts w:hint="eastAsia" w:ascii="仿宋" w:hAnsi="仿宋" w:eastAsia="仿宋" w:cs="仿宋"/>
          <w:color w:val="000000" w:themeColor="text1"/>
          <w:sz w:val="21"/>
          <w:szCs w:val="21"/>
          <w:lang w:val="en-US" w:eastAsia="zh-CN"/>
          <w14:textFill>
            <w14:solidFill>
              <w14:schemeClr w14:val="tx1"/>
            </w14:solidFill>
          </w14:textFill>
        </w:rPr>
        <w:t>30</w:t>
      </w:r>
      <w:r>
        <w:rPr>
          <w:rFonts w:hint="eastAsia" w:ascii="仿宋" w:hAnsi="仿宋" w:eastAsia="仿宋" w:cs="仿宋"/>
          <w:color w:val="000000" w:themeColor="text1"/>
          <w:sz w:val="21"/>
          <w:szCs w:val="21"/>
          <w14:textFill>
            <w14:solidFill>
              <w14:schemeClr w14:val="tx1"/>
            </w14:solidFill>
          </w14:textFill>
        </w:rPr>
        <w:t>mm×</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 xml:space="preserve">0mm≥1.5mm 优质碳钢矩管； </w:t>
      </w:r>
    </w:p>
    <w:p>
      <w:pPr>
        <w:ind w:firstLine="210" w:firstLineChars="100"/>
        <w:rPr>
          <w:rFonts w:hint="eastAsia" w:ascii="仿宋" w:hAnsi="仿宋" w:eastAsia="仿宋" w:cs="仿宋"/>
          <w:color w:val="000000" w:themeColor="text1"/>
          <w:sz w:val="21"/>
          <w:szCs w:val="21"/>
          <w:highlight w:val="red"/>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②床框四角带输液架插座。 </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5、护栏：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①电泳铝合金折叠护栏，规格：</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14</w:t>
      </w:r>
      <w:r>
        <w:rPr>
          <w:rFonts w:hint="eastAsia" w:ascii="仿宋" w:hAnsi="仿宋" w:eastAsia="仿宋" w:cs="仿宋"/>
          <w:color w:val="000000" w:themeColor="text1"/>
          <w:sz w:val="21"/>
          <w:szCs w:val="21"/>
          <w:lang w:val="en-US" w:eastAsia="zh-CN"/>
          <w14:textFill>
            <w14:solidFill>
              <w14:schemeClr w14:val="tx1"/>
            </w14:solidFill>
          </w14:textFill>
        </w:rPr>
        <w:t>50</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40</w:t>
      </w:r>
      <w:r>
        <w:rPr>
          <w:rFonts w:hint="eastAsia" w:ascii="仿宋" w:hAnsi="仿宋" w:eastAsia="仿宋" w:cs="仿宋"/>
          <w:color w:val="000000" w:themeColor="text1"/>
          <w:sz w:val="21"/>
          <w:szCs w:val="21"/>
          <w14:textFill>
            <w14:solidFill>
              <w14:schemeClr w14:val="tx1"/>
            </w14:solidFill>
          </w14:textFill>
        </w:rPr>
        <w:t>0mm，上下金属基座连接处采用双重固定结构，金属基座厚度≥</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mm冷轧钢板冲压成型彻底根除护栏在高频率使用下出现的松垮、歪斜、断裂等频繁坏损现象，铝合金型材连接，使用方便，稳定可靠。</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②高强度铸铝模具成型枪把手内置隐藏式锁紧机构，强度高安全可靠。</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③加厚 D 形铝合金护手，铝型材料厚≥1.</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mm表面硬化处理，下座横管为</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25</w:t>
      </w: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mm方管，所有转动部件外均罩有ABS装饰盖，护栏整体造型更为美观、大方。</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④护栏升起后护栏上缘距离床面高度≥3</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0mm，方便在护栏上放置餐桌就餐和有效防治患者发生坠床风险。</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⑤护栏折叠方向受拉力≥7</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0N。</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6、床头床尾板：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①高强度工程塑料吹塑成型，表面光洁</w:t>
      </w:r>
      <w:r>
        <w:rPr>
          <w:rFonts w:hint="eastAsia" w:ascii="仿宋" w:hAnsi="仿宋" w:eastAsia="仿宋" w:cs="仿宋"/>
          <w:color w:val="000000" w:themeColor="text1"/>
          <w:kern w:val="0"/>
          <w:sz w:val="21"/>
          <w:szCs w:val="21"/>
          <w14:textFill>
            <w14:solidFill>
              <w14:schemeClr w14:val="tx1"/>
            </w14:solidFill>
          </w14:textFill>
        </w:rPr>
        <w:t>色调柔和</w:t>
      </w:r>
      <w:r>
        <w:rPr>
          <w:rFonts w:hint="eastAsia" w:ascii="仿宋" w:hAnsi="仿宋" w:eastAsia="仿宋" w:cs="仿宋"/>
          <w:color w:val="000000" w:themeColor="text1"/>
          <w:sz w:val="21"/>
          <w:szCs w:val="21"/>
          <w14:textFill>
            <w14:solidFill>
              <w14:schemeClr w14:val="tx1"/>
            </w14:solidFill>
          </w14:textFill>
        </w:rPr>
        <w:t xml:space="preserve">，便于清洁；四周均有防撞包角，以保护病床及医院设施。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②采用挂式结构，可快速拆卸床头便于抢救治疗，</w:t>
      </w:r>
      <w:r>
        <w:rPr>
          <w:rFonts w:hint="eastAsia" w:ascii="仿宋" w:hAnsi="仿宋" w:eastAsia="仿宋" w:cs="仿宋"/>
          <w:color w:val="000000" w:themeColor="text1"/>
          <w:kern w:val="0"/>
          <w:sz w:val="21"/>
          <w:szCs w:val="21"/>
          <w14:textFill>
            <w14:solidFill>
              <w14:schemeClr w14:val="tx1"/>
            </w14:solidFill>
          </w14:textFill>
        </w:rPr>
        <w:t>带锁紧装置，互换性强，</w:t>
      </w:r>
      <w:r>
        <w:rPr>
          <w:rFonts w:hint="eastAsia" w:ascii="仿宋" w:hAnsi="仿宋" w:eastAsia="仿宋" w:cs="仿宋"/>
          <w:color w:val="000000" w:themeColor="text1"/>
          <w:sz w:val="21"/>
          <w:szCs w:val="21"/>
          <w14:textFill>
            <w14:solidFill>
              <w14:schemeClr w14:val="tx1"/>
            </w14:solidFill>
          </w14:textFill>
        </w:rPr>
        <w:t>非中空设计，强度高，稳定性强，床头推手位受力强度≥4</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 xml:space="preserve">0N； </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③床尾板带一次成型</w:t>
      </w:r>
      <w:r>
        <w:rPr>
          <w:rFonts w:hint="eastAsia" w:ascii="仿宋" w:hAnsi="仿宋" w:eastAsia="仿宋" w:cs="仿宋"/>
          <w:color w:val="000000" w:themeColor="text1"/>
          <w:kern w:val="0"/>
          <w:sz w:val="21"/>
          <w:szCs w:val="21"/>
          <w14:textFill>
            <w14:solidFill>
              <w14:schemeClr w14:val="tx1"/>
            </w14:solidFill>
          </w14:textFill>
        </w:rPr>
        <w:t>透明</w:t>
      </w:r>
      <w:r>
        <w:rPr>
          <w:rFonts w:hint="eastAsia" w:ascii="仿宋" w:hAnsi="仿宋" w:eastAsia="仿宋" w:cs="仿宋"/>
          <w:color w:val="000000" w:themeColor="text1"/>
          <w:sz w:val="21"/>
          <w:szCs w:val="21"/>
          <w14:textFill>
            <w14:solidFill>
              <w14:schemeClr w14:val="tx1"/>
            </w14:solidFill>
          </w14:textFill>
        </w:rPr>
        <w:t>亚克力材料</w:t>
      </w:r>
      <w:r>
        <w:rPr>
          <w:rFonts w:hint="eastAsia" w:ascii="仿宋" w:hAnsi="仿宋" w:eastAsia="仿宋" w:cs="仿宋"/>
          <w:color w:val="000000" w:themeColor="text1"/>
          <w:kern w:val="0"/>
          <w:sz w:val="21"/>
          <w:szCs w:val="21"/>
          <w14:textFill>
            <w14:solidFill>
              <w14:schemeClr w14:val="tx1"/>
            </w14:solidFill>
          </w14:textFill>
        </w:rPr>
        <w:t>床位牌</w:t>
      </w:r>
      <w:r>
        <w:rPr>
          <w:rFonts w:hint="eastAsia" w:ascii="仿宋" w:hAnsi="仿宋" w:eastAsia="仿宋" w:cs="仿宋"/>
          <w:color w:val="000000" w:themeColor="text1"/>
          <w:sz w:val="21"/>
          <w:szCs w:val="21"/>
          <w14:textFill>
            <w14:solidFill>
              <w14:schemeClr w14:val="tx1"/>
            </w14:solidFill>
          </w14:textFill>
        </w:rPr>
        <w:t>卡座。</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④床头床尾中间装饰板采取一次性注塑成型，内外装饰板对扣式防脱落结构原理连接非胶粘不粘胶宝丽板防止气泡开胶。</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7、床架加工：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①整体床架采用优质冷轧型材，经机械手自动焊接成型，确保整个床体结实、牢固，运行平稳。然后采用环保静电喷涂设备进行环氧树脂粉沫</w:t>
      </w:r>
      <w:r>
        <w:rPr>
          <w:rFonts w:hint="eastAsia" w:ascii="仿宋" w:hAnsi="仿宋" w:eastAsia="仿宋" w:cs="仿宋"/>
          <w:color w:val="000000" w:themeColor="text1"/>
          <w:kern w:val="0"/>
          <w:sz w:val="21"/>
          <w:szCs w:val="21"/>
          <w14:textFill>
            <w14:solidFill>
              <w14:schemeClr w14:val="tx1"/>
            </w14:solidFill>
          </w14:textFill>
        </w:rPr>
        <w:t>喷涂</w:t>
      </w:r>
      <w:r>
        <w:rPr>
          <w:rFonts w:hint="eastAsia" w:ascii="仿宋" w:hAnsi="仿宋" w:eastAsia="仿宋" w:cs="仿宋"/>
          <w:color w:val="000000" w:themeColor="text1"/>
          <w:sz w:val="21"/>
          <w:szCs w:val="21"/>
          <w14:textFill>
            <w14:solidFill>
              <w14:schemeClr w14:val="tx1"/>
            </w14:solidFill>
          </w14:textFill>
        </w:rPr>
        <w:t xml:space="preserve">，涂层均匀，具有抗菌，抗酸碱、耐腐蚀、耐褪色等特性。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②喷塑前床体采用新配方环保节能高效表面除油除锈新工艺，产品在长期使用过程中不会因为其他原因而导致生锈。 </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8、传动装置： </w:t>
      </w:r>
    </w:p>
    <w:p>
      <w:pPr>
        <w:ind w:left="218" w:leftChars="10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①丝杆采用 45#钢滚丝挤压成型，螺母采用合金铝制作；丝杆具备双向过摇打滑装置；延长其使用寿命；丝杆弹盒为刚件，折叠摇手采用 45#钢和丝杆连接采用钢制万向节连接。 </w:t>
      </w:r>
    </w:p>
    <w:p>
      <w:pPr>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②手摇床丝杆有双向过盈保护装置，丝杆采用机器一次性冷挤压成型。 </w:t>
      </w:r>
    </w:p>
    <w:p>
      <w:p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9、杂物架：采用 10*20≥0.8mm 矩管和床脚框架整体焊接成型。 </w:t>
      </w:r>
    </w:p>
    <w:p>
      <w:pPr>
        <w:ind w:left="220" w:hanging="210" w:hanging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10、床脚：采用 50×50≥1.</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mm 优质冷轧型材弯管焊接成型，采用</w:t>
      </w:r>
      <w:r>
        <w:rPr>
          <w:rFonts w:hint="eastAsia" w:ascii="仿宋" w:hAnsi="仿宋" w:eastAsia="仿宋" w:cs="仿宋"/>
          <w:color w:val="000000" w:themeColor="text1"/>
          <w:sz w:val="21"/>
          <w:szCs w:val="21"/>
          <w:lang w:val="en-US" w:eastAsia="zh-CN"/>
          <w14:textFill>
            <w14:solidFill>
              <w14:schemeClr w14:val="tx1"/>
            </w14:solidFill>
          </w14:textFill>
        </w:rPr>
        <w:t>3.5</w:t>
      </w:r>
      <w:r>
        <w:rPr>
          <w:rFonts w:hint="eastAsia" w:ascii="仿宋" w:hAnsi="仿宋" w:eastAsia="仿宋" w:cs="仿宋"/>
          <w:color w:val="000000" w:themeColor="text1"/>
          <w:sz w:val="21"/>
          <w:szCs w:val="21"/>
          <w14:textFill>
            <w14:solidFill>
              <w14:schemeClr w14:val="tx1"/>
            </w14:solidFill>
          </w14:textFill>
        </w:rPr>
        <w:t>寸全包防缠绕静音脚轮。</w:t>
      </w:r>
    </w:p>
    <w:p>
      <w:pPr>
        <w:ind w:left="220" w:hanging="210" w:hanging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11、病床可选配引流勾，不锈钢伸缩式输液杆，ABS餐桌板。</w:t>
      </w:r>
    </w:p>
    <w:p>
      <w:pPr>
        <w:numPr>
          <w:ilvl w:val="0"/>
          <w:numId w:val="0"/>
        </w:numP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12、床面动态载荷≥2</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0KG，有效载荷≥</w:t>
      </w:r>
      <w:r>
        <w:rPr>
          <w:rFonts w:hint="eastAsia" w:ascii="仿宋" w:hAnsi="仿宋" w:eastAsia="仿宋" w:cs="仿宋"/>
          <w:color w:val="000000" w:themeColor="text1"/>
          <w:sz w:val="21"/>
          <w:szCs w:val="21"/>
          <w:lang w:val="en-US" w:eastAsia="zh-CN"/>
          <w14:textFill>
            <w14:solidFill>
              <w14:schemeClr w14:val="tx1"/>
            </w14:solidFill>
          </w14:textFill>
        </w:rPr>
        <w:t>360</w:t>
      </w:r>
      <w:r>
        <w:rPr>
          <w:rFonts w:hint="eastAsia" w:ascii="仿宋" w:hAnsi="仿宋" w:eastAsia="仿宋" w:cs="仿宋"/>
          <w:color w:val="000000" w:themeColor="text1"/>
          <w:sz w:val="21"/>
          <w:szCs w:val="21"/>
          <w14:textFill>
            <w14:solidFill>
              <w14:schemeClr w14:val="tx1"/>
            </w14:solidFill>
          </w14:textFill>
        </w:rPr>
        <w:t>KG。</w:t>
      </w:r>
    </w:p>
    <w:p>
      <w:pPr>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sz w:val="21"/>
          <w:szCs w:val="21"/>
          <w:lang w:val="en-US" w:eastAsia="zh-CN"/>
        </w:rPr>
        <w:br w:type="page"/>
      </w:r>
      <w:r>
        <w:rPr>
          <w:rFonts w:hint="eastAsia" w:ascii="仿宋" w:hAnsi="仿宋" w:eastAsia="仿宋" w:cs="仿宋"/>
          <w:color w:val="000000" w:themeColor="text1"/>
          <w:sz w:val="28"/>
          <w:szCs w:val="28"/>
          <w:lang w:val="en-US" w:eastAsia="zh-CN"/>
          <w14:textFill>
            <w14:solidFill>
              <w14:schemeClr w14:val="tx1"/>
            </w14:solidFill>
          </w14:textFill>
        </w:rPr>
        <w:t>七、动态心电</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1、计算机：知名品牌，双核或以上处理器不低于奔IV3.0,内存2G，硬盘500G，Windows2000/XP操作系统；显示器：</w:t>
      </w:r>
      <w:r>
        <w:rPr>
          <w:rFonts w:hint="eastAsia" w:ascii="仿宋" w:hAnsi="仿宋" w:eastAsia="仿宋" w:cs="仿宋"/>
          <w:color w:val="000000" w:themeColor="text1"/>
          <w:sz w:val="21"/>
          <w:szCs w:val="21"/>
          <w:lang w:val="en-US" w:eastAsia="zh-CN"/>
          <w14:textFill>
            <w14:solidFill>
              <w14:schemeClr w14:val="tx1"/>
            </w14:solidFill>
          </w14:textFill>
        </w:rPr>
        <w:t>≥16</w:t>
      </w:r>
      <w:r>
        <w:rPr>
          <w:rFonts w:hint="eastAsia" w:ascii="仿宋" w:hAnsi="仿宋" w:eastAsia="仿宋" w:cs="仿宋"/>
          <w:color w:val="000000" w:themeColor="text1"/>
          <w:sz w:val="21"/>
          <w:szCs w:val="21"/>
          <w14:textFill>
            <w14:solidFill>
              <w14:schemeClr w14:val="tx1"/>
            </w14:solidFill>
          </w14:textFill>
        </w:rPr>
        <w:t>寸液晶。</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2、打印机：国际或国内知名品牌，激光打印机。</w:t>
      </w:r>
    </w:p>
    <w:p>
      <w:pPr>
        <w:pStyle w:val="42"/>
        <w:widowControl/>
        <w:spacing w:line="23" w:lineRule="atLeas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3、记录器技术参数：</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1）导联数目：12导联/3导联二合一，自动识别导联线类型，实现12导联和3导联两种记录模式。一个记录盒标准配置一副12导联线和一副3导联线。</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2）数字式无压缩记录，12导联模式可提供1-</w:t>
      </w: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天三种记录时间选择，3导联模式可选1-</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天连续记录，均通过记录盒设置。</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3）采样频率</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102</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点/秒，提供检测报告证明。</w:t>
      </w:r>
    </w:p>
    <w:p>
      <w:pPr>
        <w:pStyle w:val="42"/>
        <w:widowControl/>
        <w:spacing w:line="23" w:lineRule="atLeast"/>
        <w:ind w:firstLine="420" w:firstLineChars="20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4）频率响应：</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0.</w:t>
      </w:r>
      <w:r>
        <w:rPr>
          <w:rFonts w:hint="eastAsia" w:ascii="仿宋" w:hAnsi="仿宋" w:eastAsia="仿宋" w:cs="仿宋"/>
          <w:color w:val="000000" w:themeColor="text1"/>
          <w:sz w:val="21"/>
          <w:szCs w:val="21"/>
          <w:lang w:val="en-US" w:eastAsia="zh-CN"/>
          <w14:textFill>
            <w14:solidFill>
              <w14:schemeClr w14:val="tx1"/>
            </w14:solidFill>
          </w14:textFill>
        </w:rPr>
        <w:t>08</w:t>
      </w:r>
      <w:r>
        <w:rPr>
          <w:rFonts w:hint="eastAsia" w:ascii="仿宋" w:hAnsi="仿宋" w:eastAsia="仿宋" w:cs="仿宋"/>
          <w:color w:val="000000" w:themeColor="text1"/>
          <w:sz w:val="21"/>
          <w:szCs w:val="21"/>
          <w14:textFill>
            <w14:solidFill>
              <w14:schemeClr w14:val="tx1"/>
            </w14:solidFill>
          </w14:textFill>
        </w:rPr>
        <w:t>—6</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Hz，提供检测报告证明。</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5）共模抑制比</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80dB，提供检测报告证明。</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6）16位A/D转换精度，通过软件可放大看到高质量的心电图波形。需提供检测报告证明。</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7）记录器具有独立起搏检测通道，12导联和3导联模式均自动识别和记录起搏信号，无需设置起搏开关。记录器屏幕可显示起搏脉冲。</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8）LCD液晶显示波形、文字和各种提示信息，记录过程中能够随时查看心电图波形，提供记录时间和心电波形之间的任意切换。</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9）自动检测电池电量、导联线连接、闪存卡等，提示电池电量不足，导联线干扰和闪存卡不良等报警提示，蜂鸣器可选择关闭。</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10）具有数据保护功能，对未经分析的数据提供删除提示，防止错误删除病人数据。</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11）存储介质：采用通用型SD存储卡，存储容量</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GB。</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12）电源：1节7号电池。</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13）重量</w:t>
      </w: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50克（含电池）。</w:t>
      </w:r>
    </w:p>
    <w:p>
      <w:pPr>
        <w:pStyle w:val="42"/>
        <w:widowControl/>
        <w:spacing w:line="23" w:lineRule="atLeas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4、分析软件功能：</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1）中文操作界面，兼容3导/12导数据分析。</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2）软件可根据病例建立时间或者病例类型建立文件夹分类管理，方便查询统计；</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3）可人工设定分析开始和终止时间，提供分析参数的重新设置，根据不同的临床需求可以进行分析功能的场景设置，以便实现分析的流程化。</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4）真正的12通道同步分析，可任意选择主通道和辅助通道分析设置。</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5）采用多级模板分析技术，提供总模板、二级子模板和心搏三级分析和编辑功能。总模板包含房早、交界性早搏、室早、正常、房性逸搏、交界性逸搏、室性逸搏、伪差、未知等类型，提供模板合并和拆分功能。必须具有伪差自动识别，将伪差与未知心搏分类统计。</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6）提供心搏叠加显示窗口，可以将总模板内心搏列队显示，互相对比，对归类错误的心搏一目了然，同时提供对心搏叠加显示窗的心搏提供重新归类的编辑功能。</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7）提供反混淆（DEMIX）心搏叠加分析功能，提供1000/2000等多心搏叠加显示和分析，</w:t>
      </w:r>
    </w:p>
    <w:p>
      <w:pPr>
        <w:pStyle w:val="42"/>
        <w:widowControl/>
        <w:spacing w:line="23" w:lineRule="atLeas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对自动归类错误以及疑难的心搏提供很好的判断工具。</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8）具有心率变异性(HRV)分析功能，包括时域，频域分析和LORENZE散点图分析；提供5分钟、24小时心率变异性分析数据及图表。</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9）独有的房颤、房扑自动分析功能。独创心搏能量谱技术及P波瀑布图显示分析技术，可显示P波带、QRS波群带、T波带。房颤和房扑分开统计，提供独立的房颤、房扑分析报告。</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提供独立起搏脉冲显示通道，自动标注起搏类型，医生快速识别和分析起搏器功能。软件自动归类统计起搏心搏类型，自动分析夺获失败、感知不良、感知过度等起搏异常事件。适用AAI、VVI、DDD、DDDR等多种类型起搏器，提供独立分析报告。</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11）独立的12导联ST扫描分析功能，提供独立的分析报告，自动分析抬高和压低类型，提供心肌缺血总负荷。提供ST段重新扫描功能，对24小时内任意导联任意时间段心电图重新扫描分析ST段，重置参数和基线参照点，提供更准确的ST段分析结果。</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12）心率震荡（HRT）分析功能。</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13）具有心向量和心室晚电位分析功能，能够提供每分钟心向量和24小时心向量值，他提供心向量动画播放功能。</w:t>
      </w:r>
    </w:p>
    <w:p>
      <w:pPr>
        <w:pStyle w:val="42"/>
        <w:widowControl/>
        <w:spacing w:line="23" w:lineRule="atLeast"/>
        <w:ind w:firstLine="491" w:firstLineChars="23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14）具有T波电交替分析功能。</w:t>
      </w:r>
    </w:p>
    <w:p>
      <w:pPr>
        <w:pStyle w:val="42"/>
        <w:widowControl/>
        <w:spacing w:line="23" w:lineRule="atLeast"/>
        <w:ind w:firstLine="491" w:firstLineChars="234"/>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15）具有睡眠呼吸暂停综合征分析功能。</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16）具有心率减速力DC和DRs分析功能。</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17）具有散点图反向编辑心搏类型功能且可以从模版或任意子模板进入散点图编辑。散点图选取方式可以方框拉选或用鼠标任意圈取，人性化设计。</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18）具有网络化功能，提供独立的客户端和服务器软件，网络管理软件与心电图分析软件分开，方便病例管理和分析，实现医院内部或与其他医院远程应用。</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19）网络版软件需能够兼容各种品牌心电图机、实现动态血压、心电工作站、运动平板等心脏电生理设备的统一管理。</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20）方便导出心电图间期等参数，方便临床研究数据后处理。</w:t>
      </w:r>
    </w:p>
    <w:p>
      <w:pPr>
        <w:pStyle w:val="42"/>
        <w:widowControl/>
        <w:spacing w:line="23" w:lineRule="atLeas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5、制造厂家资质要求</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1）通过ISO9001、ISO13485质量管理体系认证、动态心电图分析系统通过CE认证。</w:t>
      </w:r>
    </w:p>
    <w:p>
      <w:pPr>
        <w:pStyle w:val="42"/>
        <w:widowControl/>
        <w:spacing w:line="23" w:lineRule="atLeast"/>
        <w:ind w:firstLine="420" w:firstLineChars="2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2）提供动态心电产品计量证书。</w:t>
      </w:r>
    </w:p>
    <w:p>
      <w:pPr>
        <w:numPr>
          <w:ilvl w:val="0"/>
          <w:numId w:val="0"/>
        </w:num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3）软件具有软件登记证书和软件著作权登记证书。</w:t>
      </w:r>
    </w:p>
    <w:p>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八、动态血压</w:t>
      </w:r>
    </w:p>
    <w:p>
      <w:pPr>
        <w:spacing w:line="360" w:lineRule="auto"/>
        <w:rPr>
          <w:rFonts w:hint="eastAsia" w:ascii="仿宋" w:hAnsi="仿宋" w:eastAsia="仿宋" w:cs="仿宋"/>
          <w:b/>
          <w:bCs/>
          <w:sz w:val="21"/>
          <w:szCs w:val="21"/>
          <w:lang w:eastAsia="zh-CN"/>
        </w:rPr>
      </w:pPr>
    </w:p>
    <w:p>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eastAsia="zh-CN"/>
        </w:rPr>
        <w:t>一</w:t>
      </w:r>
      <w:r>
        <w:rPr>
          <w:rFonts w:hint="eastAsia" w:ascii="仿宋" w:hAnsi="仿宋" w:eastAsia="仿宋" w:cs="仿宋"/>
          <w:b/>
          <w:bCs/>
          <w:sz w:val="21"/>
          <w:szCs w:val="21"/>
        </w:rPr>
        <w:t>、动态血压技术参数要求</w:t>
      </w:r>
    </w:p>
    <w:p>
      <w:pPr>
        <w:spacing w:line="360" w:lineRule="auto"/>
        <w:ind w:firstLine="105" w:firstLineChars="50"/>
        <w:rPr>
          <w:rFonts w:hint="eastAsia" w:ascii="仿宋" w:hAnsi="仿宋" w:eastAsia="仿宋" w:cs="仿宋"/>
          <w:sz w:val="21"/>
          <w:szCs w:val="21"/>
        </w:rPr>
      </w:pPr>
      <w:r>
        <w:rPr>
          <w:rFonts w:hint="eastAsia" w:ascii="仿宋" w:hAnsi="仿宋" w:eastAsia="仿宋" w:cs="仿宋"/>
          <w:sz w:val="21"/>
          <w:szCs w:val="21"/>
        </w:rPr>
        <w:t>1、品牌：</w:t>
      </w:r>
      <w:r>
        <w:rPr>
          <w:rFonts w:hint="eastAsia" w:ascii="仿宋" w:hAnsi="仿宋" w:eastAsia="仿宋" w:cs="仿宋"/>
          <w:sz w:val="21"/>
          <w:szCs w:val="21"/>
          <w:lang w:eastAsia="zh-CN"/>
        </w:rPr>
        <w:t>国产品牌</w:t>
      </w:r>
    </w:p>
    <w:p>
      <w:pPr>
        <w:spacing w:line="360" w:lineRule="auto"/>
        <w:ind w:firstLine="105" w:firstLineChars="50"/>
        <w:rPr>
          <w:rFonts w:hint="eastAsia" w:ascii="仿宋" w:hAnsi="仿宋" w:eastAsia="仿宋" w:cs="仿宋"/>
          <w:color w:val="000000"/>
          <w:sz w:val="21"/>
          <w:szCs w:val="21"/>
        </w:rPr>
      </w:pPr>
      <w:r>
        <w:rPr>
          <w:rFonts w:hint="eastAsia" w:ascii="仿宋" w:hAnsi="仿宋" w:eastAsia="仿宋" w:cs="仿宋"/>
          <w:color w:val="000000"/>
          <w:sz w:val="21"/>
          <w:szCs w:val="21"/>
        </w:rPr>
        <w:t>2、测量方法：振荡示波法</w:t>
      </w:r>
    </w:p>
    <w:p>
      <w:pPr>
        <w:spacing w:line="360" w:lineRule="auto"/>
        <w:ind w:firstLine="105" w:firstLineChars="50"/>
        <w:rPr>
          <w:rFonts w:hint="eastAsia" w:ascii="仿宋" w:hAnsi="仿宋" w:eastAsia="仿宋" w:cs="仿宋"/>
          <w:color w:val="auto"/>
          <w:sz w:val="21"/>
          <w:szCs w:val="21"/>
        </w:rPr>
      </w:pPr>
      <w:r>
        <w:rPr>
          <w:rFonts w:hint="eastAsia" w:ascii="仿宋" w:hAnsi="仿宋" w:eastAsia="仿宋" w:cs="仿宋"/>
          <w:color w:val="auto"/>
          <w:sz w:val="21"/>
          <w:szCs w:val="21"/>
        </w:rPr>
        <w:t xml:space="preserve">3、测量精度: </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3mmHg</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4、测量范围：收缩压：</w:t>
      </w:r>
      <w:r>
        <w:rPr>
          <w:rFonts w:hint="eastAsia" w:ascii="仿宋" w:hAnsi="仿宋" w:eastAsia="仿宋" w:cs="仿宋"/>
          <w:color w:val="auto"/>
          <w:sz w:val="21"/>
          <w:szCs w:val="21"/>
          <w:lang w:val="en-US" w:eastAsia="zh-CN"/>
        </w:rPr>
        <w:t>70</w:t>
      </w: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0mmHg</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舒张压：</w:t>
      </w: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200</w:t>
      </w:r>
      <w:r>
        <w:rPr>
          <w:rFonts w:hint="eastAsia" w:ascii="仿宋" w:hAnsi="仿宋" w:eastAsia="仿宋" w:cs="仿宋"/>
          <w:color w:val="auto"/>
          <w:sz w:val="21"/>
          <w:szCs w:val="21"/>
        </w:rPr>
        <w:t>mmHg</w:t>
      </w:r>
    </w:p>
    <w:p>
      <w:pPr>
        <w:spacing w:line="36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心  率：</w:t>
      </w:r>
      <w:r>
        <w:rPr>
          <w:rFonts w:hint="eastAsia" w:ascii="仿宋" w:hAnsi="仿宋" w:eastAsia="仿宋" w:cs="仿宋"/>
          <w:color w:val="auto"/>
          <w:sz w:val="21"/>
          <w:szCs w:val="21"/>
          <w:lang w:val="en-US" w:eastAsia="zh-CN"/>
        </w:rPr>
        <w:t>50</w:t>
      </w:r>
      <w:r>
        <w:rPr>
          <w:rFonts w:hint="eastAsia" w:ascii="仿宋" w:hAnsi="仿宋" w:eastAsia="仿宋" w:cs="仿宋"/>
          <w:color w:val="auto"/>
          <w:sz w:val="21"/>
          <w:szCs w:val="21"/>
        </w:rPr>
        <w:t>-200bpm</w:t>
      </w:r>
    </w:p>
    <w:p>
      <w:pPr>
        <w:numPr>
          <w:ilvl w:val="0"/>
          <w:numId w:val="6"/>
        </w:numPr>
        <w:spacing w:line="360" w:lineRule="auto"/>
        <w:ind w:firstLine="105" w:firstLineChars="50"/>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记录时间：支持</w:t>
      </w:r>
      <w:r>
        <w:rPr>
          <w:rFonts w:hint="eastAsia" w:ascii="仿宋" w:hAnsi="仿宋" w:eastAsia="仿宋" w:cs="仿宋"/>
          <w:color w:val="000000"/>
          <w:sz w:val="21"/>
          <w:szCs w:val="21"/>
          <w:lang w:val="en-US" w:eastAsia="zh-CN"/>
        </w:rPr>
        <w:t>1-3天血压监测，记录天数可通过软件进行设置。</w:t>
      </w:r>
    </w:p>
    <w:p>
      <w:pPr>
        <w:numPr>
          <w:ilvl w:val="0"/>
          <w:numId w:val="6"/>
        </w:numPr>
        <w:spacing w:line="360" w:lineRule="auto"/>
        <w:ind w:firstLine="105" w:firstLineChars="50"/>
        <w:rPr>
          <w:rFonts w:hint="eastAsia" w:ascii="仿宋" w:hAnsi="仿宋" w:eastAsia="仿宋" w:cs="仿宋"/>
          <w:color w:val="000000"/>
          <w:sz w:val="21"/>
          <w:szCs w:val="21"/>
        </w:rPr>
      </w:pPr>
      <w:r>
        <w:rPr>
          <w:rFonts w:hint="eastAsia" w:ascii="仿宋" w:hAnsi="仿宋" w:eastAsia="仿宋" w:cs="仿宋"/>
          <w:color w:val="000000"/>
          <w:sz w:val="21"/>
          <w:szCs w:val="21"/>
        </w:rPr>
        <w:t>测量</w:t>
      </w:r>
      <w:r>
        <w:rPr>
          <w:rFonts w:hint="eastAsia" w:ascii="仿宋" w:hAnsi="仿宋" w:eastAsia="仿宋" w:cs="仿宋"/>
          <w:color w:val="000000"/>
          <w:sz w:val="21"/>
          <w:szCs w:val="21"/>
          <w:lang w:eastAsia="zh-CN"/>
        </w:rPr>
        <w:t>方案</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支持睡眠</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清醒及自定义</w:t>
      </w:r>
      <w:r>
        <w:rPr>
          <w:rFonts w:hint="eastAsia" w:ascii="仿宋" w:hAnsi="仿宋" w:eastAsia="仿宋" w:cs="仿宋"/>
          <w:color w:val="000000"/>
          <w:sz w:val="21"/>
          <w:szCs w:val="21"/>
        </w:rPr>
        <w:t>特殊时间段</w:t>
      </w:r>
      <w:r>
        <w:rPr>
          <w:rFonts w:hint="eastAsia" w:ascii="仿宋" w:hAnsi="仿宋" w:eastAsia="仿宋" w:cs="仿宋"/>
          <w:color w:val="000000"/>
          <w:sz w:val="21"/>
          <w:szCs w:val="21"/>
          <w:lang w:eastAsia="zh-CN"/>
        </w:rPr>
        <w:t>设置，任意设置时段起止时间。</w:t>
      </w:r>
    </w:p>
    <w:p>
      <w:pPr>
        <w:numPr>
          <w:ilvl w:val="0"/>
          <w:numId w:val="0"/>
        </w:num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 xml:space="preserve"> 7、</w:t>
      </w:r>
      <w:r>
        <w:rPr>
          <w:rFonts w:hint="eastAsia" w:ascii="仿宋" w:hAnsi="仿宋" w:eastAsia="仿宋" w:cs="仿宋"/>
          <w:color w:val="000000"/>
          <w:sz w:val="21"/>
          <w:szCs w:val="21"/>
        </w:rPr>
        <w:t>测量间隔：</w:t>
      </w:r>
      <w:r>
        <w:rPr>
          <w:rFonts w:hint="eastAsia" w:ascii="仿宋" w:hAnsi="仿宋" w:eastAsia="仿宋" w:cs="仿宋"/>
          <w:color w:val="000000"/>
          <w:sz w:val="21"/>
          <w:szCs w:val="21"/>
          <w:lang w:eastAsia="zh-CN"/>
        </w:rPr>
        <w:t>支持</w:t>
      </w:r>
      <w:r>
        <w:rPr>
          <w:rFonts w:hint="eastAsia" w:ascii="仿宋" w:hAnsi="仿宋" w:eastAsia="仿宋" w:cs="仿宋"/>
          <w:color w:val="000000"/>
          <w:sz w:val="21"/>
          <w:szCs w:val="21"/>
        </w:rPr>
        <w:t>5、10、12、15、20、30、60、</w:t>
      </w:r>
      <w:r>
        <w:rPr>
          <w:rFonts w:hint="eastAsia" w:ascii="仿宋" w:hAnsi="仿宋" w:eastAsia="仿宋" w:cs="仿宋"/>
          <w:color w:val="000000"/>
          <w:sz w:val="21"/>
          <w:szCs w:val="21"/>
          <w:lang w:val="en-US" w:eastAsia="zh-CN"/>
        </w:rPr>
        <w:t>90、</w:t>
      </w:r>
      <w:r>
        <w:rPr>
          <w:rFonts w:hint="eastAsia" w:ascii="仿宋" w:hAnsi="仿宋" w:eastAsia="仿宋" w:cs="仿宋"/>
          <w:color w:val="000000"/>
          <w:sz w:val="21"/>
          <w:szCs w:val="21"/>
        </w:rPr>
        <w:t>120分钟等多种时间间隔选择。</w:t>
      </w:r>
    </w:p>
    <w:p>
      <w:pPr>
        <w:spacing w:line="360" w:lineRule="auto"/>
        <w:rPr>
          <w:rFonts w:hint="eastAsia" w:ascii="仿宋" w:hAnsi="仿宋" w:eastAsia="仿宋" w:cs="仿宋"/>
          <w:color w:val="000000"/>
          <w:sz w:val="21"/>
          <w:szCs w:val="21"/>
        </w:rPr>
      </w:pPr>
      <w:r>
        <w:rPr>
          <w:rFonts w:hint="eastAsia" w:ascii="仿宋" w:hAnsi="仿宋" w:eastAsia="仿宋" w:cs="仿宋"/>
          <w:sz w:val="21"/>
          <w:szCs w:val="21"/>
          <w:lang w:val="en-US" w:eastAsia="zh-CN"/>
        </w:rPr>
        <w:t>*</w:t>
      </w: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监测仪自带体位记录功能，能够记录患者站立、躺位、静止、运动状态。</w:t>
      </w:r>
    </w:p>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 xml:space="preserve"> 9</w:t>
      </w:r>
      <w:r>
        <w:rPr>
          <w:rFonts w:hint="eastAsia" w:ascii="仿宋" w:hAnsi="仿宋" w:eastAsia="仿宋" w:cs="仿宋"/>
          <w:color w:val="000000"/>
          <w:sz w:val="21"/>
          <w:szCs w:val="21"/>
        </w:rPr>
        <w:t>、液晶显示屏可显示收缩压、舒张压和心率，同时液晶屏上面提供电池电量查看。</w:t>
      </w:r>
    </w:p>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支持自动重测功能</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测量失败后</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分钟内自动重测</w:t>
      </w:r>
      <w:r>
        <w:rPr>
          <w:rFonts w:hint="eastAsia" w:ascii="仿宋" w:hAnsi="仿宋" w:eastAsia="仿宋" w:cs="仿宋"/>
          <w:color w:val="000000"/>
          <w:sz w:val="21"/>
          <w:szCs w:val="21"/>
          <w:lang w:eastAsia="zh-CN"/>
        </w:rPr>
        <w:t>保证有效测量次数</w:t>
      </w:r>
      <w:r>
        <w:rPr>
          <w:rFonts w:hint="eastAsia" w:ascii="仿宋" w:hAnsi="仿宋" w:eastAsia="仿宋" w:cs="仿宋"/>
          <w:color w:val="000000"/>
          <w:sz w:val="21"/>
          <w:szCs w:val="21"/>
        </w:rPr>
        <w:t>；</w:t>
      </w:r>
    </w:p>
    <w:p>
      <w:pPr>
        <w:spacing w:line="360" w:lineRule="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11</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支持</w:t>
      </w:r>
      <w:r>
        <w:rPr>
          <w:rFonts w:hint="eastAsia" w:ascii="仿宋" w:hAnsi="仿宋" w:eastAsia="仿宋" w:cs="仿宋"/>
          <w:color w:val="000000"/>
          <w:sz w:val="21"/>
          <w:szCs w:val="21"/>
        </w:rPr>
        <w:t>手动测量模式，同时可以通过软件设置关闭手动测量功能</w:t>
      </w:r>
      <w:r>
        <w:rPr>
          <w:rFonts w:hint="eastAsia" w:ascii="仿宋" w:hAnsi="仿宋" w:eastAsia="仿宋" w:cs="仿宋"/>
          <w:color w:val="000000"/>
          <w:sz w:val="21"/>
          <w:szCs w:val="21"/>
          <w:lang w:eastAsia="zh-CN"/>
        </w:rPr>
        <w:t>防止患者误操作</w:t>
      </w:r>
      <w:r>
        <w:rPr>
          <w:rFonts w:hint="eastAsia" w:ascii="仿宋" w:hAnsi="仿宋" w:eastAsia="仿宋" w:cs="仿宋"/>
          <w:color w:val="000000"/>
          <w:sz w:val="21"/>
          <w:szCs w:val="21"/>
        </w:rPr>
        <w:t>。</w:t>
      </w:r>
    </w:p>
    <w:p>
      <w:pPr>
        <w:spacing w:line="360" w:lineRule="auto"/>
        <w:rPr>
          <w:rFonts w:hint="eastAsia" w:ascii="仿宋" w:hAnsi="仿宋" w:eastAsia="仿宋" w:cs="仿宋"/>
          <w:color w:val="000000"/>
          <w:sz w:val="21"/>
          <w:szCs w:val="21"/>
        </w:rPr>
      </w:pPr>
      <w:r>
        <w:rPr>
          <w:rFonts w:hint="eastAsia" w:ascii="仿宋" w:hAnsi="仿宋" w:eastAsia="仿宋" w:cs="仿宋"/>
          <w:sz w:val="21"/>
          <w:szCs w:val="21"/>
          <w:lang w:val="en-US" w:eastAsia="zh-CN"/>
        </w:rPr>
        <w:t>*</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电池：</w:t>
      </w:r>
      <w:r>
        <w:rPr>
          <w:rFonts w:hint="eastAsia" w:ascii="仿宋" w:hAnsi="仿宋" w:eastAsia="仿宋" w:cs="仿宋"/>
          <w:color w:val="000000"/>
          <w:sz w:val="21"/>
          <w:szCs w:val="21"/>
        </w:rPr>
        <w:t>2节5号</w:t>
      </w:r>
      <w:r>
        <w:rPr>
          <w:rFonts w:hint="eastAsia" w:ascii="仿宋" w:hAnsi="仿宋" w:eastAsia="仿宋" w:cs="仿宋"/>
          <w:color w:val="000000"/>
          <w:sz w:val="21"/>
          <w:szCs w:val="21"/>
          <w:lang w:eastAsia="zh-CN"/>
        </w:rPr>
        <w:t>碱性</w:t>
      </w:r>
      <w:r>
        <w:rPr>
          <w:rFonts w:hint="eastAsia" w:ascii="仿宋" w:hAnsi="仿宋" w:eastAsia="仿宋" w:cs="仿宋"/>
          <w:color w:val="000000"/>
          <w:sz w:val="21"/>
          <w:szCs w:val="21"/>
        </w:rPr>
        <w:t>电池，</w:t>
      </w:r>
      <w:r>
        <w:rPr>
          <w:rFonts w:hint="eastAsia" w:ascii="仿宋" w:hAnsi="仿宋" w:eastAsia="仿宋" w:cs="仿宋"/>
          <w:color w:val="000000"/>
          <w:sz w:val="21"/>
          <w:szCs w:val="21"/>
          <w:lang w:eastAsia="zh-CN"/>
        </w:rPr>
        <w:t>市场通用采购，无需厂家定制</w:t>
      </w:r>
      <w:r>
        <w:rPr>
          <w:rFonts w:hint="eastAsia" w:ascii="仿宋" w:hAnsi="仿宋" w:eastAsia="仿宋" w:cs="仿宋"/>
          <w:color w:val="000000"/>
          <w:sz w:val="21"/>
          <w:szCs w:val="21"/>
        </w:rPr>
        <w:t>。</w:t>
      </w:r>
    </w:p>
    <w:p>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w:t>
      </w: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eastAsia="zh-CN"/>
        </w:rPr>
        <w:t>数据传输：手机通用的</w:t>
      </w:r>
      <w:r>
        <w:rPr>
          <w:rFonts w:hint="eastAsia" w:ascii="仿宋" w:hAnsi="仿宋" w:eastAsia="仿宋" w:cs="仿宋"/>
          <w:sz w:val="21"/>
          <w:szCs w:val="21"/>
        </w:rPr>
        <w:t>USB数据线</w:t>
      </w:r>
      <w:r>
        <w:rPr>
          <w:rFonts w:hint="eastAsia" w:ascii="仿宋" w:hAnsi="仿宋" w:eastAsia="仿宋" w:cs="仿宋"/>
          <w:sz w:val="21"/>
          <w:szCs w:val="21"/>
          <w:lang w:eastAsia="zh-CN"/>
        </w:rPr>
        <w:t>传输，支持选配蓝牙通讯方式</w:t>
      </w:r>
      <w:r>
        <w:rPr>
          <w:rFonts w:hint="eastAsia" w:ascii="仿宋" w:hAnsi="仿宋" w:eastAsia="仿宋" w:cs="仿宋"/>
          <w:sz w:val="21"/>
          <w:szCs w:val="21"/>
        </w:rPr>
        <w:t>。</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14、记录器小巧，重量≤180克，操作简单，采用单键操作。</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15、纯棉袖带设计，有防滑金属环固定，支持左右手测量，内囊可换洗。</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16、软件默认中文操作界面，支持Windows XP、Win7、Win10等多种操作系统。</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17、软件支持24小时、48小时、72小时血压数据分析。</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*18、软件提供体位标记功能，每次测量数据包含患者测量时体位和运动状态，辅助分析。</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19、软件支持动态血压报告自动分析结论，可基于各种分析标准设置自动分析策略。</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*20、软件支持RPP、血压变异性系数、僵硬指数、晨峰指数等高级分析指标。</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*21、软件支持错误值自动剔除、设定范围筛选显示和统计、血压对照分析等功能。</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22、软件提供汇总报告、数据表、小时统计、趋势图、离散图、直方图、饼状图等报告。</w:t>
      </w:r>
    </w:p>
    <w:p>
      <w:pPr>
        <w:spacing w:line="360" w:lineRule="auto"/>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sz w:val="21"/>
          <w:szCs w:val="21"/>
          <w:lang w:val="en-US" w:eastAsia="zh-CN"/>
        </w:rPr>
        <w:t xml:space="preserve"> 23、软件支持</w:t>
      </w:r>
      <w:r>
        <w:rPr>
          <w:rFonts w:hint="eastAsia" w:ascii="仿宋" w:hAnsi="仿宋" w:eastAsia="仿宋" w:cs="仿宋"/>
          <w:i w:val="0"/>
          <w:color w:val="000000"/>
          <w:kern w:val="0"/>
          <w:sz w:val="21"/>
          <w:szCs w:val="21"/>
          <w:u w:val="none"/>
          <w:lang w:val="en-US" w:eastAsia="zh-CN" w:bidi="ar"/>
        </w:rPr>
        <w:t>多种常用（大医院推荐）的报告模板可选，支持报告自定义功能。</w:t>
      </w:r>
    </w:p>
    <w:p>
      <w:pPr>
        <w:spacing w:line="360" w:lineRule="auto"/>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 24、软件支持数据导出及联网功能，血压数据可接入第三信息管理系统，方便远程应用。</w:t>
      </w:r>
    </w:p>
    <w:p>
      <w:pPr>
        <w:spacing w:line="360" w:lineRule="auto"/>
        <w:rPr>
          <w:rFonts w:hint="eastAsia" w:ascii="仿宋" w:hAnsi="仿宋" w:eastAsia="仿宋" w:cs="仿宋"/>
          <w:sz w:val="21"/>
          <w:szCs w:val="21"/>
          <w:lang w:val="en-US" w:eastAsia="zh-CN"/>
        </w:rPr>
      </w:pP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制造商资质要求</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企业通过ISO9001、ISO13485质量管理体系认证；</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 企业具有国家级高新技术企业证书；</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 投标产品通过CE认证；</w:t>
      </w:r>
    </w:p>
    <w:p>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 投标产品具有著作权登记证书；</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 投标产品具有产品计量证书。</w:t>
      </w: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九、制氧机</w:t>
      </w:r>
    </w:p>
    <w:p>
      <w:pPr>
        <w:rPr>
          <w:rFonts w:hint="eastAsia" w:ascii="仿宋" w:hAnsi="仿宋" w:eastAsia="仿宋" w:cs="仿宋"/>
          <w:color w:val="FF0000"/>
          <w:sz w:val="21"/>
          <w:szCs w:val="21"/>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*1.氧气浓度%（V/V）：≥90</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*2.氧气流量检测范围（L/min）：0-5</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*3.标称氧产量（L/min）：5</w:t>
      </w:r>
    </w:p>
    <w:p>
      <w:pPr>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color w:val="auto"/>
          <w:sz w:val="21"/>
          <w:szCs w:val="21"/>
          <w:lang w:val="en-US" w:eastAsia="zh-CN"/>
        </w:rPr>
        <w:t>4.压力输出（Mpa）：≤0.05-0.1</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*5.噪音（A）：≤45dB</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*6.输入功率（VA）：≤520</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*7.重量（kg）：≤17</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产品优势：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1、高氧浓度稳定连续供养，采用法国进口锂型分子筛，集成高效吸附器，提高工作效率，供氧稳定，氧浓度可达93%±3更高效。</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2、压缩机进排气智能消音，集成最新研发进排气消音技术，低于50分贝降噪静音，相当于低声交谈的音量，吸氧更舒心。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3、一机两用吸氧雾化双功能，本机可吸氧，可雾化双功能，在家就能做雾化治疗，经济划算，更方便。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4、深层过滤氧气更纯净，集成的HEPA中效过滤器，杜绝大颗粒灰尘、细菌及空气悬浮颗粒进入机器，输出氧气，更纯净。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5、智能报警系统杜绝危险，进口芯片主板，LCD背光液晶显示，各项数据指标清晰显示，实现氧浓度实时监测、压缩机工作</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异常报警，更安全.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6、智能遥控一键定时，智能红外无线遥控，专为老人免起设计，工作时长一键设定，远程操控，更便捷。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7、轻盈便携移动不烦心，采用大提手设计，配合可旋转脚轮，方便移动，搬运更省力。</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十、心电监护</w:t>
      </w:r>
    </w:p>
    <w:p>
      <w:pPr>
        <w:pStyle w:val="71"/>
        <w:pageBreakBefore w:val="0"/>
        <w:numPr>
          <w:ilvl w:val="0"/>
          <w:numId w:val="0"/>
        </w:numPr>
        <w:kinsoku/>
        <w:wordWrap/>
        <w:overflowPunct/>
        <w:topLinePunct w:val="0"/>
        <w:autoSpaceDE w:val="0"/>
        <w:autoSpaceDN w:val="0"/>
        <w:bidi w:val="0"/>
        <w:adjustRightInd w:val="0"/>
        <w:spacing w:line="360" w:lineRule="auto"/>
        <w:ind w:leftChars="0"/>
        <w:jc w:val="left"/>
        <w:textAlignment w:val="auto"/>
        <w:rPr>
          <w:rFonts w:hint="eastAsia" w:ascii="仿宋" w:hAnsi="仿宋" w:eastAsia="仿宋" w:cs="仿宋"/>
          <w:b/>
          <w:color w:val="auto"/>
          <w:kern w:val="0"/>
          <w:sz w:val="21"/>
          <w:szCs w:val="21"/>
          <w:lang w:val="en-US" w:eastAsia="zh-CN"/>
        </w:rPr>
      </w:pPr>
    </w:p>
    <w:p>
      <w:pPr>
        <w:pStyle w:val="71"/>
        <w:pageBreakBefore w:val="0"/>
        <w:numPr>
          <w:ilvl w:val="0"/>
          <w:numId w:val="0"/>
        </w:numPr>
        <w:kinsoku/>
        <w:wordWrap/>
        <w:overflowPunct/>
        <w:topLinePunct w:val="0"/>
        <w:autoSpaceDE w:val="0"/>
        <w:autoSpaceDN w:val="0"/>
        <w:bidi w:val="0"/>
        <w:adjustRightInd w:val="0"/>
        <w:spacing w:line="360" w:lineRule="auto"/>
        <w:ind w:leftChars="0"/>
        <w:jc w:val="left"/>
        <w:textAlignment w:val="auto"/>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1.</w:t>
      </w:r>
      <w:r>
        <w:rPr>
          <w:rFonts w:hint="eastAsia" w:ascii="仿宋" w:hAnsi="仿宋" w:eastAsia="仿宋" w:cs="仿宋"/>
          <w:b/>
          <w:color w:val="auto"/>
          <w:kern w:val="0"/>
          <w:sz w:val="21"/>
          <w:szCs w:val="21"/>
        </w:rPr>
        <w:t>整机要求</w:t>
      </w:r>
    </w:p>
    <w:p>
      <w:pPr>
        <w:pStyle w:val="71"/>
        <w:pageBreakBefore w:val="0"/>
        <w:numPr>
          <w:ilvl w:val="1"/>
          <w:numId w:val="0"/>
        </w:numPr>
        <w:kinsoku/>
        <w:wordWrap/>
        <w:overflowPunct/>
        <w:topLinePunct w:val="0"/>
        <w:autoSpaceDE w:val="0"/>
        <w:autoSpaceDN w:val="0"/>
        <w:bidi w:val="0"/>
        <w:adjustRightInd w:val="0"/>
        <w:spacing w:line="360" w:lineRule="auto"/>
        <w:ind w:left="720" w:leftChars="0" w:hanging="72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1.1、</w:t>
      </w:r>
      <w:r>
        <w:rPr>
          <w:rFonts w:hint="eastAsia" w:ascii="仿宋" w:hAnsi="仿宋" w:eastAsia="仿宋" w:cs="仿宋"/>
          <w:color w:val="auto"/>
          <w:sz w:val="21"/>
          <w:szCs w:val="21"/>
        </w:rPr>
        <w:t>便携一体式监护仪, 整机无风扇设计，降低环境噪音干扰</w:t>
      </w:r>
      <w:r>
        <w:rPr>
          <w:rFonts w:hint="eastAsia" w:ascii="仿宋" w:hAnsi="仿宋" w:eastAsia="仿宋" w:cs="仿宋"/>
          <w:color w:val="auto"/>
          <w:sz w:val="21"/>
          <w:szCs w:val="21"/>
          <w:lang w:eastAsia="zh-CN"/>
        </w:rPr>
        <w:t>。</w:t>
      </w:r>
    </w:p>
    <w:p>
      <w:pPr>
        <w:pStyle w:val="71"/>
        <w:pageBreakBefore w:val="0"/>
        <w:numPr>
          <w:ilvl w:val="1"/>
          <w:numId w:val="0"/>
        </w:numPr>
        <w:kinsoku/>
        <w:wordWrap/>
        <w:overflowPunct/>
        <w:topLinePunct w:val="0"/>
        <w:autoSpaceDE w:val="0"/>
        <w:autoSpaceDN w:val="0"/>
        <w:bidi w:val="0"/>
        <w:adjustRightInd w:val="0"/>
        <w:spacing w:line="360" w:lineRule="auto"/>
        <w:ind w:left="720" w:leftChars="0" w:hanging="72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1.2、</w:t>
      </w:r>
      <w:r>
        <w:rPr>
          <w:rFonts w:hint="eastAsia" w:ascii="仿宋" w:hAnsi="仿宋" w:eastAsia="仿宋" w:cs="仿宋"/>
          <w:sz w:val="21"/>
          <w:szCs w:val="21"/>
          <w:u w:val="single"/>
        </w:rPr>
        <w:t>▲</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寸彩色LED背光液晶显示屏，彩色高分辨率≥800*600，≥</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通道波形显示。</w:t>
      </w:r>
    </w:p>
    <w:p>
      <w:pPr>
        <w:pStyle w:val="71"/>
        <w:pageBreakBefore w:val="0"/>
        <w:numPr>
          <w:ilvl w:val="1"/>
          <w:numId w:val="0"/>
        </w:numPr>
        <w:kinsoku/>
        <w:wordWrap/>
        <w:overflowPunct/>
        <w:topLinePunct w:val="0"/>
        <w:bidi w:val="0"/>
        <w:spacing w:line="360" w:lineRule="auto"/>
        <w:ind w:left="720" w:leftChars="0" w:right="-512" w:rightChars="-244" w:hanging="720" w:firstLineChars="0"/>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FF0000"/>
          <w:kern w:val="2"/>
          <w:sz w:val="21"/>
          <w:szCs w:val="21"/>
          <w:lang w:val="en-US" w:eastAsia="zh-CN" w:bidi="ar-SA"/>
        </w:rPr>
        <w:t>1</w:t>
      </w: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 w:val="21"/>
          <w:szCs w:val="21"/>
        </w:rPr>
        <w:t>标配锂电池，工作时间≥</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小时，可选配大容量锂电池，工作时间≥</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小时。</w:t>
      </w:r>
    </w:p>
    <w:p>
      <w:pPr>
        <w:pStyle w:val="71"/>
        <w:pageBreakBefore w:val="0"/>
        <w:numPr>
          <w:ilvl w:val="1"/>
          <w:numId w:val="0"/>
        </w:numPr>
        <w:kinsoku/>
        <w:wordWrap/>
        <w:overflowPunct/>
        <w:topLinePunct w:val="0"/>
        <w:bidi w:val="0"/>
        <w:spacing w:line="360" w:lineRule="auto"/>
        <w:ind w:left="720" w:leftChars="0" w:right="-512" w:rightChars="-244" w:hanging="720" w:firstLineChars="0"/>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1.4、</w:t>
      </w:r>
      <w:r>
        <w:rPr>
          <w:rFonts w:hint="eastAsia" w:ascii="仿宋" w:hAnsi="仿宋" w:eastAsia="仿宋" w:cs="仿宋"/>
          <w:color w:val="auto"/>
          <w:sz w:val="21"/>
          <w:szCs w:val="21"/>
        </w:rPr>
        <w:t>安全规格：ECG, TEMP, SpO2 , NIBP监测参数抗电击程度为防除颤CF型。</w:t>
      </w:r>
    </w:p>
    <w:p>
      <w:pPr>
        <w:pStyle w:val="71"/>
        <w:pageBreakBefore w:val="0"/>
        <w:numPr>
          <w:ilvl w:val="1"/>
          <w:numId w:val="0"/>
        </w:numPr>
        <w:kinsoku/>
        <w:wordWrap/>
        <w:overflowPunct/>
        <w:topLinePunct w:val="0"/>
        <w:bidi w:val="0"/>
        <w:spacing w:line="360" w:lineRule="auto"/>
        <w:ind w:left="720" w:leftChars="0" w:right="-512" w:rightChars="-244" w:hanging="720" w:firstLineChars="0"/>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1.5、</w:t>
      </w:r>
      <w:r>
        <w:rPr>
          <w:rFonts w:hint="eastAsia" w:ascii="仿宋" w:hAnsi="仿宋" w:eastAsia="仿宋" w:cs="仿宋"/>
          <w:color w:val="auto"/>
          <w:sz w:val="21"/>
          <w:szCs w:val="21"/>
        </w:rPr>
        <w:t>监护仪设计使用年限≥10年，提供机器标贴证明材料。</w:t>
      </w:r>
    </w:p>
    <w:p>
      <w:pPr>
        <w:pStyle w:val="71"/>
        <w:pageBreakBefore w:val="0"/>
        <w:numPr>
          <w:ilvl w:val="1"/>
          <w:numId w:val="0"/>
        </w:numPr>
        <w:kinsoku/>
        <w:wordWrap/>
        <w:overflowPunct/>
        <w:topLinePunct w:val="0"/>
        <w:bidi w:val="0"/>
        <w:spacing w:line="360" w:lineRule="auto"/>
        <w:ind w:left="720" w:leftChars="0" w:right="-512" w:rightChars="-244" w:hanging="720" w:firstLineChars="0"/>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1.6、</w:t>
      </w:r>
      <w:r>
        <w:rPr>
          <w:rFonts w:hint="eastAsia" w:ascii="仿宋" w:hAnsi="仿宋" w:eastAsia="仿宋" w:cs="仿宋"/>
          <w:color w:val="auto"/>
          <w:sz w:val="21"/>
          <w:szCs w:val="21"/>
        </w:rPr>
        <w:t>主机防水等级≥IPX1，支持0.75米抗跌落，提供说明书或彩页证明文件。</w:t>
      </w:r>
    </w:p>
    <w:p>
      <w:pPr>
        <w:pStyle w:val="71"/>
        <w:pageBreakBefore w:val="0"/>
        <w:numPr>
          <w:ilvl w:val="1"/>
          <w:numId w:val="0"/>
        </w:numPr>
        <w:kinsoku/>
        <w:wordWrap/>
        <w:overflowPunct/>
        <w:topLinePunct w:val="0"/>
        <w:autoSpaceDE w:val="0"/>
        <w:autoSpaceDN w:val="0"/>
        <w:bidi w:val="0"/>
        <w:adjustRightInd w:val="0"/>
        <w:spacing w:line="360" w:lineRule="auto"/>
        <w:ind w:left="720" w:leftChars="0" w:hanging="72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1.7、</w:t>
      </w:r>
      <w:r>
        <w:rPr>
          <w:rFonts w:hint="eastAsia" w:ascii="仿宋" w:hAnsi="仿宋" w:eastAsia="仿宋" w:cs="仿宋"/>
          <w:color w:val="auto"/>
          <w:sz w:val="21"/>
          <w:szCs w:val="21"/>
        </w:rPr>
        <w:t>监护仪主机工作温度环境范围：0</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40°C。</w:t>
      </w:r>
    </w:p>
    <w:p>
      <w:pPr>
        <w:pStyle w:val="71"/>
        <w:pageBreakBefore w:val="0"/>
        <w:numPr>
          <w:ilvl w:val="1"/>
          <w:numId w:val="0"/>
        </w:numPr>
        <w:kinsoku/>
        <w:wordWrap/>
        <w:overflowPunct/>
        <w:topLinePunct w:val="0"/>
        <w:autoSpaceDE w:val="0"/>
        <w:autoSpaceDN w:val="0"/>
        <w:bidi w:val="0"/>
        <w:adjustRightInd w:val="0"/>
        <w:spacing w:line="360" w:lineRule="auto"/>
        <w:ind w:left="720" w:leftChars="0" w:hanging="72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1.8、</w:t>
      </w:r>
      <w:r>
        <w:rPr>
          <w:rFonts w:hint="eastAsia" w:ascii="仿宋" w:hAnsi="仿宋" w:eastAsia="仿宋" w:cs="仿宋"/>
          <w:color w:val="auto"/>
          <w:sz w:val="21"/>
          <w:szCs w:val="21"/>
        </w:rPr>
        <w:t>监护仪主机工作湿度环境范围；15</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95%。</w:t>
      </w:r>
    </w:p>
    <w:p>
      <w:pPr>
        <w:pStyle w:val="71"/>
        <w:pageBreakBefore w:val="0"/>
        <w:numPr>
          <w:ilvl w:val="0"/>
          <w:numId w:val="0"/>
        </w:numPr>
        <w:kinsoku/>
        <w:wordWrap/>
        <w:overflowPunct/>
        <w:topLinePunct w:val="0"/>
        <w:autoSpaceDE w:val="0"/>
        <w:autoSpaceDN w:val="0"/>
        <w:bidi w:val="0"/>
        <w:adjustRightInd w:val="0"/>
        <w:spacing w:line="360" w:lineRule="auto"/>
        <w:ind w:leftChars="0"/>
        <w:jc w:val="left"/>
        <w:textAlignment w:val="auto"/>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lang w:val="en-US" w:eastAsia="zh-CN"/>
        </w:rPr>
        <w:t>2.</w:t>
      </w:r>
      <w:r>
        <w:rPr>
          <w:rFonts w:hint="eastAsia" w:ascii="仿宋" w:hAnsi="仿宋" w:eastAsia="仿宋" w:cs="仿宋"/>
          <w:b/>
          <w:color w:val="auto"/>
          <w:kern w:val="0"/>
          <w:sz w:val="21"/>
          <w:szCs w:val="21"/>
        </w:rPr>
        <w:t>监测参数</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2.1、</w:t>
      </w:r>
      <w:r>
        <w:rPr>
          <w:rFonts w:hint="eastAsia" w:ascii="仿宋" w:hAnsi="仿宋" w:eastAsia="仿宋" w:cs="仿宋"/>
          <w:color w:val="auto"/>
          <w:sz w:val="21"/>
          <w:szCs w:val="21"/>
        </w:rPr>
        <w:t>标准配置可监测心电，呼吸，无创血压，血氧饱和度，脉搏和体温，适用于成人、小儿和新生儿。</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2.2、</w:t>
      </w:r>
      <w:r>
        <w:rPr>
          <w:rFonts w:hint="eastAsia" w:ascii="仿宋" w:hAnsi="仿宋" w:eastAsia="仿宋" w:cs="仿宋"/>
          <w:color w:val="auto"/>
          <w:sz w:val="21"/>
          <w:szCs w:val="21"/>
        </w:rPr>
        <w:t>采用ECG多导同步分析专利技术，保证心电监护的优异性，提供彩页或说明书证明文件。</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2.3、</w:t>
      </w:r>
      <w:r>
        <w:rPr>
          <w:rFonts w:hint="eastAsia" w:ascii="仿宋" w:hAnsi="仿宋" w:eastAsia="仿宋" w:cs="仿宋"/>
          <w:color w:val="auto"/>
          <w:sz w:val="21"/>
          <w:szCs w:val="21"/>
        </w:rPr>
        <w:t>心电波形速度支持6.25、12.5、25和50mm/s不少于4种选择。</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2.4、</w:t>
      </w:r>
      <w:r>
        <w:rPr>
          <w:rFonts w:hint="eastAsia" w:ascii="仿宋" w:hAnsi="仿宋" w:eastAsia="仿宋" w:cs="仿宋"/>
          <w:color w:val="auto"/>
          <w:sz w:val="21"/>
          <w:szCs w:val="21"/>
        </w:rPr>
        <w:t>具备智能导联脱落监测功能，个别导联脱落的情况下仍能保持监护。</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2.5、</w:t>
      </w:r>
      <w:r>
        <w:rPr>
          <w:rFonts w:hint="eastAsia" w:ascii="仿宋" w:hAnsi="仿宋" w:eastAsia="仿宋" w:cs="仿宋"/>
          <w:color w:val="auto"/>
          <w:sz w:val="21"/>
          <w:szCs w:val="21"/>
        </w:rPr>
        <w:t>提供心率变化统计界面，包括患者平均心率、夜间平均心率、白天平均心率、最快心率和最慢心率等，直观快速了解过去24小时患者的心率变化和心率分布情况。</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2.6、</w:t>
      </w:r>
      <w:r>
        <w:rPr>
          <w:rFonts w:hint="eastAsia" w:ascii="仿宋" w:hAnsi="仿宋" w:eastAsia="仿宋" w:cs="仿宋"/>
          <w:color w:val="auto"/>
          <w:sz w:val="21"/>
          <w:szCs w:val="21"/>
        </w:rPr>
        <w:t>提供SpO2和PR的实时监测，适用于成人，小儿和新生儿。来自SpO2的PR测量范围：20-250。</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2.7、</w:t>
      </w:r>
      <w:r>
        <w:rPr>
          <w:rFonts w:hint="eastAsia" w:ascii="仿宋" w:hAnsi="仿宋" w:eastAsia="仿宋" w:cs="仿宋"/>
          <w:color w:val="auto"/>
          <w:sz w:val="21"/>
          <w:szCs w:val="21"/>
        </w:rPr>
        <w:t>血氧监测时标配支持PI血氧灌注指数的监测，有效反映血氧灌注情况，PI测量范围：0.05%-20%，分辨率</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0.01%。</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2.8、</w:t>
      </w:r>
      <w:r>
        <w:rPr>
          <w:rFonts w:hint="eastAsia" w:ascii="仿宋" w:hAnsi="仿宋" w:eastAsia="仿宋" w:cs="仿宋"/>
          <w:color w:val="auto"/>
          <w:sz w:val="21"/>
          <w:szCs w:val="21"/>
        </w:rPr>
        <w:t>无创血压支持手动、连续、自动和序列测量模式，支持整点测量，提供说明书或检验报告证明。</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2.9、</w:t>
      </w:r>
      <w:r>
        <w:rPr>
          <w:rFonts w:hint="eastAsia" w:ascii="仿宋" w:hAnsi="仿宋" w:eastAsia="仿宋" w:cs="仿宋"/>
          <w:color w:val="auto"/>
          <w:sz w:val="21"/>
          <w:szCs w:val="21"/>
        </w:rPr>
        <w:t>配置无创血压测量，适用于成人，小儿和新生儿。无创血压成人测量范围：收缩压30</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290mmH。</w:t>
      </w:r>
    </w:p>
    <w:p>
      <w:pPr>
        <w:pStyle w:val="71"/>
        <w:pageBreakBefore w:val="0"/>
        <w:numPr>
          <w:ilvl w:val="1"/>
          <w:numId w:val="0"/>
        </w:numPr>
        <w:kinsoku/>
        <w:wordWrap/>
        <w:overflowPunct/>
        <w:topLinePunct w:val="0"/>
        <w:autoSpaceDE w:val="0"/>
        <w:autoSpaceDN w:val="0"/>
        <w:bidi w:val="0"/>
        <w:adjustRightInd w:val="0"/>
        <w:spacing w:line="360" w:lineRule="auto"/>
        <w:jc w:val="left"/>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2.10、</w:t>
      </w:r>
      <w:r>
        <w:rPr>
          <w:rFonts w:hint="eastAsia" w:ascii="仿宋" w:hAnsi="仿宋" w:eastAsia="仿宋" w:cs="仿宋"/>
          <w:color w:val="auto"/>
          <w:sz w:val="21"/>
          <w:szCs w:val="21"/>
        </w:rPr>
        <w:t>提供动态血压分析界面，包括平均血压、白天平均血压、夜间平均血压、最高血压、最低血压和正常血压比例等，直观快速了解过去24小时患者血压变化和分布情况。</w:t>
      </w:r>
    </w:p>
    <w:p>
      <w:pPr>
        <w:pStyle w:val="71"/>
        <w:pageBreakBefore w:val="0"/>
        <w:numPr>
          <w:ilvl w:val="0"/>
          <w:numId w:val="0"/>
        </w:numPr>
        <w:kinsoku/>
        <w:wordWrap/>
        <w:overflowPunct/>
        <w:topLinePunct w:val="0"/>
        <w:bidi w:val="0"/>
        <w:spacing w:line="360" w:lineRule="auto"/>
        <w:ind w:leftChars="0" w:right="-512" w:rightChars="-244"/>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3.</w:t>
      </w:r>
      <w:r>
        <w:rPr>
          <w:rFonts w:hint="eastAsia" w:ascii="仿宋" w:hAnsi="仿宋" w:eastAsia="仿宋" w:cs="仿宋"/>
          <w:b/>
          <w:color w:val="auto"/>
          <w:sz w:val="21"/>
          <w:szCs w:val="21"/>
        </w:rPr>
        <w:t>系统功能</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3.1、</w:t>
      </w:r>
      <w:r>
        <w:rPr>
          <w:rFonts w:hint="eastAsia" w:ascii="仿宋" w:hAnsi="仿宋" w:eastAsia="仿宋" w:cs="仿宋"/>
          <w:color w:val="auto"/>
          <w:sz w:val="21"/>
          <w:szCs w:val="21"/>
        </w:rPr>
        <w:t>具有三级声光报警，参数报警级别可调。</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3.2、</w:t>
      </w:r>
      <w:r>
        <w:rPr>
          <w:rFonts w:hint="eastAsia" w:ascii="仿宋" w:hAnsi="仿宋" w:eastAsia="仿宋" w:cs="仿宋"/>
          <w:color w:val="auto"/>
          <w:sz w:val="21"/>
          <w:szCs w:val="21"/>
        </w:rPr>
        <w:t>支持所有监测参数报警限一键自动设置功能，满足医护团队快速管理患者报警需求，产品用户手册提供报警限自动设置规则，提供说明书或检验报告证明。</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FF0000"/>
          <w:kern w:val="2"/>
          <w:sz w:val="21"/>
          <w:szCs w:val="21"/>
          <w:lang w:val="en-US" w:eastAsia="zh-CN" w:bidi="ar-SA"/>
        </w:rPr>
        <w:t>3</w:t>
      </w: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 w:val="21"/>
          <w:szCs w:val="21"/>
        </w:rPr>
        <w:t>可升级存储卡，支持≥1</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00小时趋势数据的存储与回顾功能，≥1</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00条报警事件以及每条报警事件至少能够存储30秒三道相关波形和报警触发时所有测量参数值，提供说明书或检验报告证明文件。</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3.4、</w:t>
      </w:r>
      <w:r>
        <w:rPr>
          <w:rFonts w:hint="eastAsia" w:ascii="仿宋" w:hAnsi="仿宋" w:eastAsia="仿宋" w:cs="仿宋"/>
          <w:color w:val="auto"/>
          <w:sz w:val="21"/>
          <w:szCs w:val="21"/>
        </w:rPr>
        <w:t>具备监护模式、待机模式，演示模式、隐私模式和夜间模式不少于5种工作模式。</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3.5、</w:t>
      </w:r>
      <w:r>
        <w:rPr>
          <w:rFonts w:hint="eastAsia" w:ascii="仿宋" w:hAnsi="仿宋" w:eastAsia="仿宋" w:cs="仿宋"/>
          <w:color w:val="auto"/>
          <w:sz w:val="21"/>
          <w:szCs w:val="21"/>
        </w:rPr>
        <w:t>具备趋势共存界面、呼吸氧合图界面，大字体显示界面，及标准显示界面等多种显示界面。</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3.6、</w:t>
      </w:r>
      <w:r>
        <w:rPr>
          <w:rFonts w:hint="eastAsia" w:ascii="仿宋" w:hAnsi="仿宋" w:eastAsia="仿宋" w:cs="仿宋"/>
          <w:color w:val="auto"/>
          <w:sz w:val="21"/>
          <w:szCs w:val="21"/>
        </w:rPr>
        <w:t>支持RJ45接口进行有线网络通信，和除颤监护仪一起联网通信到中心监护系统。</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3.7、</w:t>
      </w:r>
      <w:r>
        <w:rPr>
          <w:rFonts w:hint="eastAsia" w:ascii="仿宋" w:hAnsi="仿宋" w:eastAsia="仿宋" w:cs="仿宋"/>
          <w:color w:val="auto"/>
          <w:sz w:val="21"/>
          <w:szCs w:val="21"/>
        </w:rPr>
        <w:t>支持监护仪的系统日志向U盘设备的导出功能，日志包括：系统状态、异常和技术报警等，满足设备管理的日常维护需求。</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3.8、</w:t>
      </w:r>
      <w:r>
        <w:rPr>
          <w:rFonts w:hint="eastAsia" w:ascii="仿宋" w:hAnsi="仿宋" w:eastAsia="仿宋" w:cs="仿宋"/>
          <w:color w:val="auto"/>
          <w:sz w:val="21"/>
          <w:szCs w:val="21"/>
        </w:rPr>
        <w:t>主机集成附件收纳槽，支持将心电、血氧和无创血压等导联线附件进行收纳放置，方便监护仪设备的高效管理和转移。</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3.9、</w:t>
      </w:r>
      <w:r>
        <w:rPr>
          <w:rFonts w:hint="eastAsia" w:ascii="仿宋" w:hAnsi="仿宋" w:eastAsia="仿宋" w:cs="仿宋"/>
          <w:color w:val="auto"/>
          <w:sz w:val="21"/>
          <w:szCs w:val="21"/>
        </w:rPr>
        <w:t>心电、血氧、血压附件兼容同品牌其他所有在线系列监护仪，提供机器接口证明文件。</w:t>
      </w:r>
    </w:p>
    <w:p>
      <w:pPr>
        <w:pStyle w:val="71"/>
        <w:pageBreakBefore w:val="0"/>
        <w:numPr>
          <w:ilvl w:val="1"/>
          <w:numId w:val="0"/>
        </w:numPr>
        <w:kinsoku/>
        <w:wordWrap/>
        <w:overflowPunct/>
        <w:topLinePunct w:val="0"/>
        <w:bidi w:val="0"/>
        <w:spacing w:line="360" w:lineRule="auto"/>
        <w:ind w:right="-512" w:rightChars="-244"/>
        <w:textAlignment w:val="auto"/>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3.10、</w:t>
      </w:r>
      <w:r>
        <w:rPr>
          <w:rFonts w:hint="eastAsia" w:ascii="仿宋" w:hAnsi="仿宋" w:eastAsia="仿宋" w:cs="仿宋"/>
          <w:color w:val="auto"/>
          <w:sz w:val="21"/>
          <w:szCs w:val="21"/>
        </w:rPr>
        <w:t>可升级内置记录仪，提供说明书或检验报告证明。</w:t>
      </w:r>
    </w:p>
    <w:p>
      <w:pPr>
        <w:rPr>
          <w:rFonts w:hint="eastAsia" w:ascii="仿宋" w:hAnsi="仿宋" w:eastAsia="仿宋" w:cs="仿宋"/>
          <w:sz w:val="21"/>
          <w:szCs w:val="21"/>
          <w:lang w:val="en-US" w:eastAsia="zh-CN"/>
        </w:rPr>
      </w:pPr>
      <w:r>
        <w:rPr>
          <w:rFonts w:hint="eastAsia" w:ascii="仿宋" w:hAnsi="仿宋" w:eastAsia="仿宋" w:cs="仿宋"/>
          <w:color w:val="auto"/>
          <w:kern w:val="2"/>
          <w:sz w:val="21"/>
          <w:szCs w:val="21"/>
          <w:lang w:val="en-US" w:eastAsia="zh-CN" w:bidi="ar-SA"/>
        </w:rPr>
        <w:t>3.11、</w:t>
      </w:r>
      <w:r>
        <w:rPr>
          <w:rFonts w:hint="eastAsia" w:ascii="仿宋" w:hAnsi="仿宋" w:eastAsia="仿宋" w:cs="仿宋"/>
          <w:color w:val="auto"/>
          <w:sz w:val="21"/>
          <w:szCs w:val="21"/>
        </w:rPr>
        <w:t>支持它床观察，可同时监视≥10它床的报警信息。</w:t>
      </w: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十一、超声波体重身高测量仪</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1、具备ISO9001质量体系认证，二类医疗器械备案，高新技术企业证书。</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2、身高测量方式: 超声波测距(美国原装探头并实现温差补偿)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3、体重测量方式:精密平衡梁式压力传感器称重（具有偏心负载功能，灵敏度高，线性好，测量快速精准，耐疲劳，寿命长）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4、体型:国际通用体格指数(BMI)</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5、显示方式:1英寸大LED显示屏，显示屏能同时显示身高、体重、BMI体格指数、体型（偏瘦、正常、偏胖、肥胖）</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6、测量范围: 身高测量范围：60-200cm 分度值0.1cm</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体重测量范围：8-200kg  分度值0.1kg</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*7、测量速度：≥460次/小时</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8、HW-700型有带打印功能和不带打印功能两种                                       </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9、语音提示:有语音自动播报测量结果</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10、数据传输：标准RS232通讯接口可对接单位体检系统，测量数据上传，传输数据性能稳定，免费提供串口协议。</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11、材质结构：测量、显示一体化，模具一次成型的铝合金机身，称重秤盘采用冷板冲压成型（非铸铁），表面静电喷塑，抗氧化，防磨损，底盘非铸铁，结实耐用。</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*12、电源电压:交流（照明电）：≤120V-240V,≤50HZ</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直流（蓄电池）：≤15V±10％</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13、平均功率：15Ｗ</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14、工作环境：环境温度：－１０℃～＋４０℃</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15、整机重量: ≤20kg</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十二、动态血糖检测仪</w:t>
      </w:r>
    </w:p>
    <w:p>
      <w:pPr>
        <w:numPr>
          <w:ilvl w:val="0"/>
          <w:numId w:val="0"/>
        </w:numPr>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一、</w:t>
      </w:r>
      <w:r>
        <w:rPr>
          <w:rFonts w:hint="eastAsia" w:ascii="仿宋" w:hAnsi="仿宋" w:eastAsia="仿宋" w:cs="仿宋"/>
          <w:b/>
          <w:bCs w:val="0"/>
          <w:sz w:val="24"/>
          <w:szCs w:val="24"/>
        </w:rPr>
        <w:t>发射器</w:t>
      </w:r>
    </w:p>
    <w:p>
      <w:pPr>
        <w:numPr>
          <w:ilvl w:val="0"/>
          <w:numId w:val="0"/>
        </w:numPr>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分体</w:t>
      </w:r>
      <w:r>
        <w:rPr>
          <w:rFonts w:hint="eastAsia" w:ascii="仿宋" w:hAnsi="仿宋" w:eastAsia="仿宋" w:cs="仿宋"/>
          <w:b w:val="0"/>
          <w:bCs/>
          <w:sz w:val="24"/>
          <w:szCs w:val="24"/>
          <w:lang w:eastAsia="zh-CN"/>
        </w:rPr>
        <w:t>型</w:t>
      </w:r>
      <w:r>
        <w:rPr>
          <w:rFonts w:hint="eastAsia" w:ascii="仿宋" w:hAnsi="仿宋" w:eastAsia="仿宋" w:cs="仿宋"/>
          <w:b w:val="0"/>
          <w:bCs/>
          <w:sz w:val="24"/>
          <w:szCs w:val="24"/>
        </w:rPr>
        <w:t>可更复使用信号发射器</w:t>
      </w:r>
      <w:r>
        <w:rPr>
          <w:rFonts w:hint="eastAsia" w:ascii="仿宋" w:hAnsi="仿宋" w:eastAsia="仿宋" w:cs="仿宋"/>
          <w:b w:val="0"/>
          <w:bCs/>
          <w:sz w:val="24"/>
          <w:szCs w:val="24"/>
          <w:lang w:val="en-US" w:eastAsia="zh-CN" w:bidi="en-US"/>
        </w:rPr>
        <w:t>，</w:t>
      </w:r>
      <w:r>
        <w:rPr>
          <w:rFonts w:hint="eastAsia" w:ascii="仿宋" w:hAnsi="仿宋" w:eastAsia="仿宋" w:cs="仿宋"/>
          <w:b w:val="0"/>
          <w:bCs/>
          <w:sz w:val="24"/>
          <w:szCs w:val="24"/>
        </w:rPr>
        <w:t>无需充</w:t>
      </w:r>
      <w:r>
        <w:rPr>
          <w:rFonts w:hint="eastAsia" w:ascii="仿宋" w:hAnsi="仿宋" w:eastAsia="仿宋" w:cs="仿宋"/>
          <w:b w:val="0"/>
          <w:bCs/>
          <w:sz w:val="24"/>
          <w:szCs w:val="24"/>
          <w:lang w:eastAsia="zh-CN"/>
        </w:rPr>
        <w:t>电</w:t>
      </w:r>
      <w:r>
        <w:rPr>
          <w:rFonts w:hint="eastAsia" w:ascii="仿宋" w:hAnsi="仿宋" w:eastAsia="仿宋" w:cs="仿宋"/>
          <w:b w:val="0"/>
          <w:bCs/>
          <w:sz w:val="24"/>
          <w:szCs w:val="24"/>
          <w:lang w:val="en-US" w:eastAsia="zh-CN" w:bidi="en-US"/>
        </w:rPr>
        <w:t>，</w:t>
      </w:r>
      <w:r>
        <w:rPr>
          <w:rFonts w:hint="eastAsia" w:ascii="仿宋" w:hAnsi="仿宋" w:eastAsia="仿宋" w:cs="仿宋"/>
          <w:b w:val="0"/>
          <w:bCs/>
          <w:sz w:val="24"/>
          <w:szCs w:val="24"/>
          <w:lang w:val="zh-CN" w:eastAsia="zh-CN" w:bidi="zh-CN"/>
        </w:rPr>
        <w:t>椭圆</w:t>
      </w:r>
    </w:p>
    <w:p>
      <w:pPr>
        <w:numPr>
          <w:ilvl w:val="0"/>
          <w:numId w:val="0"/>
        </w:numPr>
        <w:rPr>
          <w:rFonts w:hint="eastAsia" w:ascii="仿宋" w:hAnsi="仿宋" w:eastAsia="仿宋" w:cs="仿宋"/>
          <w:b w:val="0"/>
          <w:bCs/>
          <w:sz w:val="24"/>
          <w:szCs w:val="24"/>
          <w:lang w:val="en-US" w:eastAsia="zh-CN" w:bidi="en-US"/>
        </w:rPr>
      </w:pPr>
      <w:r>
        <w:rPr>
          <w:rFonts w:hint="eastAsia" w:ascii="仿宋" w:hAnsi="仿宋" w:eastAsia="仿宋" w:cs="仿宋"/>
          <w:b w:val="0"/>
          <w:bCs/>
          <w:sz w:val="24"/>
          <w:szCs w:val="24"/>
          <w:lang w:val="en-US" w:eastAsia="zh-CN" w:bidi="en-US"/>
        </w:rPr>
        <w:t>2.规格：</w:t>
      </w:r>
      <w:r>
        <w:rPr>
          <w:rFonts w:hint="eastAsia" w:ascii="仿宋" w:hAnsi="仿宋" w:eastAsia="仿宋" w:cs="仿宋"/>
          <w:b w:val="0"/>
          <w:bCs/>
          <w:sz w:val="24"/>
          <w:szCs w:val="24"/>
          <w:lang w:val="en-US" w:eastAsia="en-US" w:bidi="en-US"/>
        </w:rPr>
        <w:t>35*24*8mm</w:t>
      </w:r>
      <w:r>
        <w:rPr>
          <w:rFonts w:hint="eastAsia" w:ascii="仿宋" w:hAnsi="仿宋" w:eastAsia="仿宋" w:cs="仿宋"/>
          <w:b w:val="0"/>
          <w:bCs/>
          <w:sz w:val="24"/>
          <w:szCs w:val="24"/>
          <w:lang w:val="en-US" w:eastAsia="zh-CN" w:bidi="en-US"/>
        </w:rPr>
        <w:t>，</w:t>
      </w:r>
      <w:r>
        <w:rPr>
          <w:rFonts w:hint="eastAsia" w:ascii="仿宋" w:hAnsi="仿宋" w:eastAsia="仿宋" w:cs="仿宋"/>
          <w:b w:val="0"/>
          <w:bCs/>
          <w:sz w:val="24"/>
          <w:szCs w:val="24"/>
          <w:lang w:val="en-US" w:eastAsia="en-US" w:bidi="en-US"/>
        </w:rPr>
        <w:t>7g</w:t>
      </w:r>
    </w:p>
    <w:p>
      <w:pPr>
        <w:numPr>
          <w:ilvl w:val="0"/>
          <w:numId w:val="0"/>
        </w:numPr>
        <w:rPr>
          <w:rFonts w:hint="eastAsia" w:ascii="仿宋" w:hAnsi="仿宋" w:eastAsia="仿宋" w:cs="仿宋"/>
          <w:b w:val="0"/>
          <w:bCs/>
          <w:sz w:val="24"/>
          <w:szCs w:val="24"/>
          <w:lang w:val="en-US" w:eastAsia="zh-CN" w:bidi="en-US"/>
        </w:rPr>
      </w:pPr>
      <w:r>
        <w:rPr>
          <w:rFonts w:hint="eastAsia" w:ascii="仿宋" w:hAnsi="仿宋" w:eastAsia="仿宋" w:cs="仿宋"/>
          <w:b w:val="0"/>
          <w:bCs/>
          <w:sz w:val="24"/>
          <w:szCs w:val="24"/>
          <w:lang w:val="en-US" w:eastAsia="zh-CN" w:bidi="en-US"/>
        </w:rPr>
        <w:t>3.传输方式：蓝牙/无线传输，具有NFC传输</w:t>
      </w:r>
    </w:p>
    <w:p>
      <w:pPr>
        <w:numPr>
          <w:ilvl w:val="0"/>
          <w:numId w:val="0"/>
        </w:numP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bidi="en-US"/>
        </w:rPr>
        <w:t>4.存储温度：</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20~60℃</w:t>
      </w:r>
      <w:r>
        <w:rPr>
          <w:rFonts w:hint="eastAsia" w:ascii="仿宋" w:hAnsi="仿宋" w:eastAsia="仿宋" w:cs="仿宋"/>
          <w:b w:val="0"/>
          <w:bCs/>
          <w:sz w:val="24"/>
          <w:szCs w:val="24"/>
          <w:lang w:eastAsia="zh-CN"/>
        </w:rPr>
        <w:t>。</w:t>
      </w:r>
    </w:p>
    <w:p>
      <w:pPr>
        <w:numPr>
          <w:ilvl w:val="0"/>
          <w:numId w:val="0"/>
        </w:numP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5.数据传输方式：主动传输</w:t>
      </w:r>
    </w:p>
    <w:p>
      <w:pPr>
        <w:numPr>
          <w:ilvl w:val="0"/>
          <w:numId w:val="0"/>
        </w:numPr>
        <w:rPr>
          <w:rFonts w:hint="eastAsia" w:ascii="仿宋" w:hAnsi="仿宋" w:eastAsia="仿宋" w:cs="仿宋"/>
          <w:b w:val="0"/>
          <w:bCs/>
          <w:w w:val="115"/>
          <w:sz w:val="24"/>
          <w:szCs w:val="24"/>
        </w:rPr>
      </w:pPr>
      <w:r>
        <w:rPr>
          <w:rFonts w:hint="eastAsia" w:ascii="仿宋" w:hAnsi="仿宋" w:eastAsia="仿宋" w:cs="仿宋"/>
          <w:b w:val="0"/>
          <w:bCs/>
          <w:sz w:val="24"/>
          <w:szCs w:val="24"/>
          <w:lang w:val="en-US" w:eastAsia="zh-CN"/>
        </w:rPr>
        <w:t>6.操作温度：</w:t>
      </w:r>
      <w:r>
        <w:rPr>
          <w:rFonts w:hint="eastAsia" w:ascii="仿宋" w:hAnsi="仿宋" w:eastAsia="仿宋" w:cs="仿宋"/>
          <w:b w:val="0"/>
          <w:bCs/>
          <w:w w:val="115"/>
          <w:sz w:val="24"/>
          <w:szCs w:val="24"/>
        </w:rPr>
        <w:t>5-40℃（41-104℉）</w:t>
      </w:r>
    </w:p>
    <w:p>
      <w:pPr>
        <w:numPr>
          <w:ilvl w:val="0"/>
          <w:numId w:val="0"/>
        </w:numPr>
        <w:rPr>
          <w:rFonts w:hint="eastAsia" w:ascii="仿宋" w:hAnsi="仿宋" w:eastAsia="仿宋" w:cs="仿宋"/>
          <w:b w:val="0"/>
          <w:bCs/>
          <w:sz w:val="24"/>
          <w:szCs w:val="24"/>
        </w:rPr>
      </w:pPr>
      <w:r>
        <w:rPr>
          <w:rFonts w:hint="eastAsia" w:ascii="仿宋" w:hAnsi="仿宋" w:eastAsia="仿宋" w:cs="仿宋"/>
          <w:b w:val="0"/>
          <w:bCs/>
          <w:w w:val="115"/>
          <w:sz w:val="24"/>
          <w:szCs w:val="24"/>
          <w:lang w:val="en-US" w:eastAsia="zh-CN"/>
        </w:rPr>
        <w:t>7.防水等级：</w:t>
      </w:r>
      <w:r>
        <w:rPr>
          <w:rFonts w:hint="eastAsia" w:ascii="仿宋" w:hAnsi="仿宋" w:eastAsia="仿宋" w:cs="仿宋"/>
          <w:b w:val="0"/>
          <w:bCs/>
          <w:w w:val="109"/>
          <w:sz w:val="24"/>
          <w:szCs w:val="24"/>
        </w:rPr>
        <w:t>I</w:t>
      </w:r>
      <w:r>
        <w:rPr>
          <w:rFonts w:hint="eastAsia" w:ascii="仿宋" w:hAnsi="仿宋" w:eastAsia="仿宋" w:cs="仿宋"/>
          <w:b w:val="0"/>
          <w:bCs/>
          <w:spacing w:val="-6"/>
          <w:w w:val="109"/>
          <w:sz w:val="24"/>
          <w:szCs w:val="24"/>
        </w:rPr>
        <w:t>P</w:t>
      </w:r>
      <w:r>
        <w:rPr>
          <w:rFonts w:hint="eastAsia" w:ascii="仿宋" w:hAnsi="仿宋" w:eastAsia="仿宋" w:cs="仿宋"/>
          <w:b w:val="0"/>
          <w:bCs/>
          <w:w w:val="83"/>
          <w:sz w:val="24"/>
          <w:szCs w:val="24"/>
        </w:rPr>
        <w:t>X</w:t>
      </w:r>
      <w:r>
        <w:rPr>
          <w:rFonts w:hint="eastAsia" w:ascii="仿宋" w:hAnsi="仿宋" w:eastAsia="仿宋" w:cs="仿宋"/>
          <w:b w:val="0"/>
          <w:bCs/>
          <w:spacing w:val="-93"/>
          <w:w w:val="116"/>
          <w:sz w:val="24"/>
          <w:szCs w:val="24"/>
        </w:rPr>
        <w:t>7</w:t>
      </w:r>
      <w:r>
        <w:rPr>
          <w:rFonts w:hint="eastAsia" w:ascii="仿宋" w:hAnsi="仿宋" w:eastAsia="仿宋" w:cs="仿宋"/>
          <w:b w:val="0"/>
          <w:bCs/>
          <w:spacing w:val="-8"/>
          <w:sz w:val="24"/>
          <w:szCs w:val="24"/>
        </w:rPr>
        <w:t>（</w:t>
      </w:r>
      <w:r>
        <w:rPr>
          <w:rFonts w:hint="eastAsia" w:ascii="仿宋" w:hAnsi="仿宋" w:eastAsia="仿宋" w:cs="仿宋"/>
          <w:b w:val="0"/>
          <w:bCs/>
          <w:spacing w:val="-1"/>
          <w:sz w:val="24"/>
          <w:szCs w:val="24"/>
        </w:rPr>
        <w:t>与传感器联合使用</w:t>
      </w:r>
      <w:r>
        <w:rPr>
          <w:rFonts w:hint="eastAsia" w:ascii="仿宋" w:hAnsi="仿宋" w:eastAsia="仿宋" w:cs="仿宋"/>
          <w:b w:val="0"/>
          <w:bCs/>
          <w:sz w:val="24"/>
          <w:szCs w:val="24"/>
        </w:rPr>
        <w:t>）</w:t>
      </w:r>
    </w:p>
    <w:p>
      <w:pPr>
        <w:numPr>
          <w:ilvl w:val="0"/>
          <w:numId w:val="0"/>
        </w:numP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eastAsia="zh-CN"/>
        </w:rPr>
        <w:t>8.使用期限：4年</w:t>
      </w:r>
    </w:p>
    <w:p>
      <w:pPr>
        <w:pStyle w:val="322"/>
        <w:numPr>
          <w:ilvl w:val="0"/>
          <w:numId w:val="0"/>
        </w:numPr>
        <w:ind w:leftChars="0"/>
        <w:jc w:val="left"/>
        <w:rPr>
          <w:rFonts w:hint="eastAsia" w:ascii="仿宋" w:hAnsi="仿宋" w:eastAsia="仿宋" w:cs="仿宋"/>
          <w:b/>
          <w:bCs/>
          <w:sz w:val="24"/>
          <w:szCs w:val="24"/>
          <w:lang w:val="en-US" w:eastAsia="zh-CN"/>
        </w:rPr>
      </w:pPr>
    </w:p>
    <w:p>
      <w:pPr>
        <w:pStyle w:val="322"/>
        <w:numPr>
          <w:ilvl w:val="0"/>
          <w:numId w:val="0"/>
        </w:numPr>
        <w:ind w:left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二、传感器</w:t>
      </w:r>
    </w:p>
    <w:p>
      <w:pPr>
        <w:pStyle w:val="322"/>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包</w:t>
      </w:r>
      <w:r>
        <w:rPr>
          <w:rFonts w:hint="eastAsia" w:ascii="仿宋" w:hAnsi="仿宋" w:eastAsia="仿宋" w:cs="仿宋"/>
          <w:sz w:val="24"/>
          <w:szCs w:val="24"/>
        </w:rPr>
        <w:t>含敷贴器，一次性使用无菌产品，含不可充电电池</w:t>
      </w:r>
    </w:p>
    <w:p>
      <w:pPr>
        <w:numPr>
          <w:ilvl w:val="0"/>
          <w:numId w:val="0"/>
        </w:numPr>
        <w:rPr>
          <w:rFonts w:hint="eastAsia" w:ascii="仿宋" w:hAnsi="仿宋" w:eastAsia="仿宋" w:cs="仿宋"/>
          <w:b w:val="0"/>
          <w:bCs/>
          <w:sz w:val="24"/>
          <w:szCs w:val="24"/>
          <w:lang w:val="en-US" w:eastAsia="zh-CN" w:bidi="en-US"/>
        </w:rPr>
      </w:pPr>
      <w:r>
        <w:rPr>
          <w:rFonts w:hint="eastAsia" w:ascii="仿宋" w:hAnsi="仿宋" w:eastAsia="仿宋" w:cs="仿宋"/>
          <w:b w:val="0"/>
          <w:bCs/>
          <w:sz w:val="24"/>
          <w:szCs w:val="24"/>
          <w:lang w:val="en-US" w:eastAsia="zh-CN" w:bidi="en-US"/>
        </w:rPr>
        <w:t>2.规格：</w:t>
      </w:r>
      <w:r>
        <w:rPr>
          <w:rFonts w:hint="eastAsia" w:ascii="仿宋" w:hAnsi="仿宋" w:eastAsia="仿宋" w:cs="仿宋"/>
          <w:b w:val="0"/>
          <w:bCs/>
          <w:sz w:val="24"/>
          <w:szCs w:val="24"/>
          <w:lang w:val="en-US" w:eastAsia="en-US" w:bidi="en-US"/>
        </w:rPr>
        <w:t>35*24*8mm</w:t>
      </w:r>
      <w:r>
        <w:rPr>
          <w:rFonts w:hint="eastAsia" w:ascii="仿宋" w:hAnsi="仿宋" w:eastAsia="仿宋" w:cs="仿宋"/>
          <w:b w:val="0"/>
          <w:bCs/>
          <w:sz w:val="24"/>
          <w:szCs w:val="24"/>
          <w:lang w:val="en-US" w:eastAsia="zh-CN" w:bidi="en-US"/>
        </w:rPr>
        <w:t>，</w:t>
      </w:r>
      <w:r>
        <w:rPr>
          <w:rFonts w:hint="eastAsia" w:ascii="仿宋" w:hAnsi="仿宋" w:eastAsia="仿宋" w:cs="仿宋"/>
          <w:b w:val="0"/>
          <w:bCs/>
          <w:sz w:val="24"/>
          <w:szCs w:val="24"/>
          <w:lang w:val="en-US" w:eastAsia="en-US" w:bidi="en-US"/>
        </w:rPr>
        <w:t>7g</w:t>
      </w:r>
    </w:p>
    <w:p>
      <w:pPr>
        <w:pStyle w:val="322"/>
        <w:numPr>
          <w:ilvl w:val="0"/>
          <w:numId w:val="0"/>
        </w:numPr>
        <w:ind w:leftChars="0"/>
        <w:jc w:val="left"/>
        <w:rPr>
          <w:rFonts w:hint="eastAsia" w:ascii="仿宋" w:hAnsi="仿宋" w:eastAsia="仿宋" w:cs="仿宋"/>
          <w:sz w:val="24"/>
          <w:szCs w:val="24"/>
          <w:lang w:val="en-US" w:eastAsia="en-US" w:bidi="en-US"/>
        </w:rPr>
      </w:pPr>
      <w:r>
        <w:rPr>
          <w:rFonts w:hint="eastAsia" w:ascii="仿宋" w:hAnsi="仿宋" w:eastAsia="仿宋" w:cs="仿宋"/>
          <w:sz w:val="24"/>
          <w:szCs w:val="24"/>
          <w:lang w:val="en-US" w:eastAsia="zh-CN" w:bidi="en-US"/>
        </w:rPr>
        <w:t>3.针头：</w:t>
      </w:r>
      <w:r>
        <w:rPr>
          <w:rFonts w:hint="eastAsia" w:ascii="仿宋" w:hAnsi="仿宋" w:eastAsia="仿宋" w:cs="仿宋"/>
          <w:sz w:val="24"/>
          <w:szCs w:val="24"/>
        </w:rPr>
        <w:t>1根软针，</w:t>
      </w:r>
      <w:r>
        <w:rPr>
          <w:rFonts w:hint="eastAsia" w:ascii="仿宋" w:hAnsi="仿宋" w:eastAsia="仿宋" w:cs="仿宋"/>
          <w:sz w:val="24"/>
          <w:szCs w:val="24"/>
          <w:lang w:val="en-US" w:eastAsia="en-US" w:bidi="en-US"/>
        </w:rPr>
        <w:t>6mm</w:t>
      </w:r>
    </w:p>
    <w:p>
      <w:pPr>
        <w:pStyle w:val="322"/>
        <w:numPr>
          <w:ilvl w:val="0"/>
          <w:numId w:val="0"/>
        </w:numPr>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bidi="en-US"/>
        </w:rPr>
        <w:t>4.植入成功率：</w:t>
      </w:r>
      <w:r>
        <w:rPr>
          <w:rFonts w:hint="eastAsia" w:ascii="仿宋" w:hAnsi="仿宋" w:eastAsia="仿宋" w:cs="仿宋"/>
          <w:sz w:val="24"/>
          <w:szCs w:val="24"/>
        </w:rPr>
        <w:t>&gt;99.5%</w:t>
      </w:r>
    </w:p>
    <w:p>
      <w:pPr>
        <w:pStyle w:val="322"/>
        <w:numPr>
          <w:ilvl w:val="0"/>
          <w:numId w:val="0"/>
        </w:numPr>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5.皮肤剌激发生率＜10%</w:t>
      </w:r>
    </w:p>
    <w:p>
      <w:pPr>
        <w:pStyle w:val="322"/>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6.存储温度：</w:t>
      </w:r>
      <w:r>
        <w:rPr>
          <w:rFonts w:hint="eastAsia" w:ascii="仿宋" w:hAnsi="仿宋" w:eastAsia="仿宋" w:cs="仿宋"/>
          <w:sz w:val="24"/>
          <w:szCs w:val="24"/>
          <w:lang w:eastAsia="zh-CN"/>
        </w:rPr>
        <w:t>4</w:t>
      </w:r>
      <w:r>
        <w:rPr>
          <w:rFonts w:hint="eastAsia" w:ascii="仿宋" w:hAnsi="仿宋" w:eastAsia="仿宋" w:cs="仿宋"/>
          <w:sz w:val="24"/>
          <w:szCs w:val="24"/>
        </w:rPr>
        <w:t>~30℃</w:t>
      </w:r>
    </w:p>
    <w:p>
      <w:pPr>
        <w:numPr>
          <w:ilvl w:val="0"/>
          <w:numId w:val="0"/>
        </w:numPr>
        <w:rPr>
          <w:rFonts w:hint="eastAsia" w:ascii="仿宋" w:hAnsi="仿宋" w:eastAsia="仿宋" w:cs="仿宋"/>
          <w:sz w:val="24"/>
          <w:szCs w:val="24"/>
          <w:lang w:eastAsia="zh-CN"/>
        </w:rPr>
      </w:pPr>
      <w:r>
        <w:rPr>
          <w:rFonts w:hint="eastAsia" w:ascii="仿宋" w:hAnsi="仿宋" w:eastAsia="仿宋" w:cs="仿宋"/>
          <w:b w:val="0"/>
          <w:bCs/>
          <w:sz w:val="24"/>
          <w:szCs w:val="24"/>
          <w:lang w:val="en-US" w:eastAsia="zh-CN"/>
        </w:rPr>
        <w:t>7.操作温度：</w:t>
      </w:r>
      <w:r>
        <w:rPr>
          <w:rFonts w:hint="eastAsia" w:ascii="仿宋" w:hAnsi="仿宋" w:eastAsia="仿宋" w:cs="仿宋"/>
          <w:b w:val="0"/>
          <w:bCs/>
          <w:w w:val="115"/>
          <w:sz w:val="24"/>
          <w:szCs w:val="24"/>
        </w:rPr>
        <w:t>5-40℃（41-104℉）</w:t>
      </w:r>
    </w:p>
    <w:p>
      <w:pPr>
        <w:pStyle w:val="322"/>
        <w:numPr>
          <w:ilvl w:val="0"/>
          <w:numId w:val="0"/>
        </w:numPr>
        <w:ind w:left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8.防水等级</w:t>
      </w:r>
      <w:r>
        <w:rPr>
          <w:rFonts w:hint="eastAsia" w:ascii="仿宋" w:hAnsi="仿宋" w:eastAsia="仿宋" w:cs="仿宋"/>
          <w:w w:val="109"/>
          <w:sz w:val="24"/>
          <w:szCs w:val="24"/>
        </w:rPr>
        <w:t>I</w:t>
      </w:r>
      <w:r>
        <w:rPr>
          <w:rFonts w:hint="eastAsia" w:ascii="仿宋" w:hAnsi="仿宋" w:eastAsia="仿宋" w:cs="仿宋"/>
          <w:spacing w:val="-6"/>
          <w:w w:val="109"/>
          <w:sz w:val="24"/>
          <w:szCs w:val="24"/>
        </w:rPr>
        <w:t>P</w:t>
      </w:r>
      <w:r>
        <w:rPr>
          <w:rFonts w:hint="eastAsia" w:ascii="仿宋" w:hAnsi="仿宋" w:eastAsia="仿宋" w:cs="仿宋"/>
          <w:w w:val="83"/>
          <w:sz w:val="24"/>
          <w:szCs w:val="24"/>
        </w:rPr>
        <w:t>X</w:t>
      </w:r>
      <w:r>
        <w:rPr>
          <w:rFonts w:hint="eastAsia" w:ascii="仿宋" w:hAnsi="仿宋" w:eastAsia="仿宋" w:cs="仿宋"/>
          <w:spacing w:val="-8"/>
          <w:sz w:val="24"/>
          <w:szCs w:val="24"/>
        </w:rPr>
        <w:t>（</w:t>
      </w:r>
      <w:r>
        <w:rPr>
          <w:rFonts w:hint="eastAsia" w:ascii="仿宋" w:hAnsi="仿宋" w:eastAsia="仿宋" w:cs="仿宋"/>
          <w:spacing w:val="-1"/>
          <w:sz w:val="24"/>
          <w:szCs w:val="24"/>
        </w:rPr>
        <w:t>与传感器联合使用</w:t>
      </w:r>
      <w:r>
        <w:rPr>
          <w:rFonts w:hint="eastAsia" w:ascii="仿宋" w:hAnsi="仿宋" w:eastAsia="仿宋" w:cs="仿宋"/>
          <w:sz w:val="24"/>
          <w:szCs w:val="24"/>
        </w:rPr>
        <w:t>）</w:t>
      </w:r>
    </w:p>
    <w:p>
      <w:pPr>
        <w:pStyle w:val="322"/>
        <w:numPr>
          <w:ilvl w:val="0"/>
          <w:numId w:val="0"/>
        </w:numPr>
        <w:ind w:leftChars="0"/>
        <w:jc w:val="left"/>
        <w:rPr>
          <w:rFonts w:hint="eastAsia" w:ascii="仿宋" w:hAnsi="仿宋" w:eastAsia="仿宋" w:cs="仿宋"/>
          <w:b/>
          <w:bCs/>
          <w:w w:val="105"/>
          <w:sz w:val="24"/>
          <w:szCs w:val="24"/>
          <w:lang w:val="en-US" w:eastAsia="zh-CN" w:bidi="zh-CN"/>
        </w:rPr>
      </w:pPr>
      <w:r>
        <w:rPr>
          <w:rFonts w:hint="eastAsia" w:ascii="仿宋" w:hAnsi="仿宋" w:eastAsia="仿宋" w:cs="仿宋"/>
          <w:b w:val="0"/>
          <w:bCs/>
          <w:sz w:val="24"/>
          <w:szCs w:val="24"/>
          <w:lang w:val="en-US" w:eastAsia="zh-CN"/>
        </w:rPr>
        <w:t>9.使用期限：</w:t>
      </w:r>
      <w:r>
        <w:rPr>
          <w:rFonts w:hint="eastAsia" w:ascii="仿宋" w:hAnsi="仿宋" w:eastAsia="仿宋" w:cs="仿宋"/>
          <w:w w:val="105"/>
          <w:sz w:val="24"/>
          <w:szCs w:val="24"/>
          <w:lang w:val="en-US" w:eastAsia="zh-CN" w:bidi="zh-CN"/>
        </w:rPr>
        <w:t>7天、10天、14天，货架寿命：1年</w:t>
      </w:r>
    </w:p>
    <w:p>
      <w:pPr>
        <w:pStyle w:val="322"/>
        <w:numPr>
          <w:ilvl w:val="0"/>
          <w:numId w:val="0"/>
        </w:numPr>
        <w:ind w:leftChars="0"/>
        <w:jc w:val="left"/>
        <w:rPr>
          <w:rFonts w:hint="eastAsia" w:ascii="仿宋" w:hAnsi="仿宋" w:eastAsia="仿宋" w:cs="仿宋"/>
          <w:b/>
          <w:bCs/>
          <w:w w:val="105"/>
          <w:sz w:val="24"/>
          <w:szCs w:val="24"/>
          <w:lang w:val="en-US" w:eastAsia="zh-CN" w:bidi="zh-CN"/>
        </w:rPr>
      </w:pPr>
    </w:p>
    <w:p>
      <w:pPr>
        <w:pStyle w:val="322"/>
        <w:numPr>
          <w:ilvl w:val="0"/>
          <w:numId w:val="0"/>
        </w:numPr>
        <w:ind w:leftChars="0"/>
        <w:jc w:val="left"/>
        <w:rPr>
          <w:rFonts w:hint="eastAsia" w:ascii="仿宋" w:hAnsi="仿宋" w:eastAsia="仿宋" w:cs="仿宋"/>
          <w:b/>
          <w:bCs/>
          <w:sz w:val="24"/>
          <w:szCs w:val="24"/>
          <w:lang w:val="en-US" w:eastAsia="zh-CN"/>
        </w:rPr>
      </w:pPr>
    </w:p>
    <w:p>
      <w:pPr>
        <w:pStyle w:val="322"/>
        <w:numPr>
          <w:ilvl w:val="0"/>
          <w:numId w:val="0"/>
        </w:num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三.其他</w:t>
      </w:r>
    </w:p>
    <w:p>
      <w:pPr>
        <w:pStyle w:val="322"/>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1.MARD：~9.1%</w:t>
      </w:r>
    </w:p>
    <w:p>
      <w:pPr>
        <w:pStyle w:val="322"/>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2.是否校准：免校准</w:t>
      </w:r>
    </w:p>
    <w:p>
      <w:pPr>
        <w:pStyle w:val="322"/>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3.技术方式：采用</w:t>
      </w:r>
      <w:r>
        <w:rPr>
          <w:rFonts w:hint="eastAsia" w:ascii="仿宋" w:hAnsi="仿宋" w:eastAsia="仿宋" w:cs="仿宋"/>
          <w:sz w:val="24"/>
          <w:szCs w:val="24"/>
        </w:rPr>
        <w:t>0.3mmMEMS电极</w:t>
      </w:r>
      <w:r>
        <w:rPr>
          <w:rFonts w:hint="eastAsia" w:ascii="仿宋" w:hAnsi="仿宋" w:eastAsia="仿宋" w:cs="仿宋"/>
          <w:sz w:val="24"/>
          <w:szCs w:val="24"/>
          <w:lang w:val="en-US" w:eastAsia="zh-CN"/>
        </w:rPr>
        <w:t>/葡萄糖氧化酶技术</w:t>
      </w:r>
    </w:p>
    <w:p>
      <w:pPr>
        <w:pStyle w:val="322"/>
        <w:numPr>
          <w:ilvl w:val="0"/>
          <w:numId w:val="0"/>
        </w:numPr>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高低血糖预测报警准确率</w:t>
      </w:r>
      <w:r>
        <w:rPr>
          <w:rFonts w:hint="eastAsia" w:ascii="仿宋" w:hAnsi="仿宋" w:eastAsia="仿宋" w:cs="仿宋"/>
          <w:sz w:val="24"/>
          <w:szCs w:val="24"/>
          <w:lang w:eastAsia="zh-CN"/>
        </w:rPr>
        <w:t>：</w:t>
      </w:r>
      <w:r>
        <w:rPr>
          <w:rFonts w:hint="eastAsia" w:ascii="仿宋" w:hAnsi="仿宋" w:eastAsia="仿宋" w:cs="仿宋"/>
          <w:sz w:val="24"/>
          <w:szCs w:val="24"/>
        </w:rPr>
        <w:t>低血糖报警成功率&gt;95%，高血糖报警成功率＞</w:t>
      </w:r>
      <w:r>
        <w:rPr>
          <w:rFonts w:hint="eastAsia" w:ascii="仿宋" w:hAnsi="仿宋" w:eastAsia="仿宋" w:cs="仿宋"/>
          <w:sz w:val="24"/>
          <w:szCs w:val="24"/>
          <w:lang w:eastAsia="zh-CN"/>
        </w:rPr>
        <w:t>9</w:t>
      </w:r>
      <w:r>
        <w:rPr>
          <w:rFonts w:hint="eastAsia" w:ascii="仿宋" w:hAnsi="仿宋" w:eastAsia="仿宋" w:cs="仿宋"/>
          <w:sz w:val="24"/>
          <w:szCs w:val="24"/>
        </w:rPr>
        <w:t>0%</w:t>
      </w:r>
    </w:p>
    <w:p>
      <w:pPr>
        <w:pStyle w:val="322"/>
        <w:numPr>
          <w:ilvl w:val="0"/>
          <w:numId w:val="0"/>
        </w:numPr>
        <w:jc w:val="left"/>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rPr>
        <w:t>5.存储湿度：</w:t>
      </w:r>
      <w:r>
        <w:rPr>
          <w:rFonts w:hint="eastAsia" w:ascii="仿宋" w:hAnsi="仿宋" w:eastAsia="仿宋" w:cs="仿宋"/>
          <w:sz w:val="24"/>
          <w:szCs w:val="24"/>
        </w:rPr>
        <w:t xml:space="preserve">5-95% </w:t>
      </w:r>
      <w:r>
        <w:rPr>
          <w:rFonts w:hint="eastAsia" w:ascii="仿宋" w:hAnsi="仿宋" w:eastAsia="仿宋" w:cs="仿宋"/>
          <w:sz w:val="24"/>
          <w:szCs w:val="24"/>
          <w:lang w:val="en-US" w:eastAsia="en-US" w:bidi="en-US"/>
        </w:rPr>
        <w:t>RH</w:t>
      </w:r>
      <w:r>
        <w:rPr>
          <w:rFonts w:hint="eastAsia" w:ascii="仿宋" w:hAnsi="仿宋" w:eastAsia="仿宋" w:cs="仿宋"/>
          <w:sz w:val="24"/>
          <w:szCs w:val="24"/>
          <w:lang w:val="en-US" w:eastAsia="zh-CN" w:bidi="en-US"/>
        </w:rPr>
        <w:t>（不冷凝）</w:t>
      </w:r>
    </w:p>
    <w:p>
      <w:pPr>
        <w:pStyle w:val="322"/>
        <w:numPr>
          <w:ilvl w:val="0"/>
          <w:numId w:val="0"/>
        </w:numPr>
        <w:jc w:val="left"/>
        <w:rPr>
          <w:rFonts w:hint="eastAsia" w:ascii="仿宋" w:hAnsi="仿宋" w:eastAsia="仿宋" w:cs="仿宋"/>
          <w:w w:val="120"/>
          <w:sz w:val="24"/>
          <w:szCs w:val="24"/>
        </w:rPr>
      </w:pPr>
      <w:r>
        <w:rPr>
          <w:rFonts w:hint="eastAsia" w:ascii="仿宋" w:hAnsi="仿宋" w:eastAsia="仿宋" w:cs="仿宋"/>
          <w:sz w:val="24"/>
          <w:szCs w:val="24"/>
          <w:lang w:val="en-US" w:eastAsia="zh-CN" w:bidi="en-US"/>
        </w:rPr>
        <w:t>6.</w:t>
      </w:r>
      <w:r>
        <w:rPr>
          <w:rFonts w:hint="eastAsia" w:ascii="仿宋" w:hAnsi="仿宋" w:eastAsia="仿宋" w:cs="仿宋"/>
          <w:bCs/>
          <w:sz w:val="24"/>
          <w:szCs w:val="24"/>
        </w:rPr>
        <w:t>监测范围</w:t>
      </w:r>
      <w:r>
        <w:rPr>
          <w:rFonts w:hint="eastAsia" w:ascii="仿宋" w:hAnsi="仿宋" w:eastAsia="仿宋" w:cs="仿宋"/>
          <w:bCs/>
          <w:sz w:val="24"/>
          <w:szCs w:val="24"/>
          <w:lang w:eastAsia="zh-CN"/>
        </w:rPr>
        <w:t>：</w:t>
      </w:r>
      <w:r>
        <w:rPr>
          <w:rFonts w:hint="eastAsia" w:ascii="仿宋" w:hAnsi="仿宋" w:eastAsia="仿宋" w:cs="仿宋"/>
          <w:w w:val="120"/>
          <w:sz w:val="24"/>
          <w:szCs w:val="24"/>
        </w:rPr>
        <w:t>2.0mmol/L-25.0mmol/L(36-450mg/</w:t>
      </w:r>
      <w:r>
        <w:rPr>
          <w:rFonts w:hint="eastAsia" w:ascii="仿宋" w:hAnsi="仿宋" w:eastAsia="仿宋" w:cs="仿宋"/>
          <w:w w:val="120"/>
          <w:sz w:val="24"/>
          <w:szCs w:val="24"/>
          <w:lang w:eastAsia="zh-CN"/>
        </w:rPr>
        <w:t>d</w:t>
      </w:r>
      <w:r>
        <w:rPr>
          <w:rFonts w:hint="eastAsia" w:ascii="仿宋" w:hAnsi="仿宋" w:eastAsia="仿宋" w:cs="仿宋"/>
          <w:w w:val="120"/>
          <w:sz w:val="24"/>
          <w:szCs w:val="24"/>
          <w:lang w:val="en-US" w:eastAsia="zh-CN"/>
        </w:rPr>
        <w:t>L</w:t>
      </w:r>
      <w:r>
        <w:rPr>
          <w:rFonts w:hint="eastAsia" w:ascii="仿宋" w:hAnsi="仿宋" w:eastAsia="仿宋" w:cs="仿宋"/>
          <w:w w:val="120"/>
          <w:sz w:val="24"/>
          <w:szCs w:val="24"/>
        </w:rPr>
        <w:t>)</w:t>
      </w:r>
    </w:p>
    <w:p>
      <w:pPr>
        <w:pStyle w:val="322"/>
        <w:numPr>
          <w:ilvl w:val="0"/>
          <w:numId w:val="0"/>
        </w:numPr>
        <w:jc w:val="left"/>
        <w:rPr>
          <w:rFonts w:hint="eastAsia" w:ascii="仿宋" w:hAnsi="仿宋" w:eastAsia="仿宋" w:cs="仿宋"/>
          <w:sz w:val="24"/>
          <w:szCs w:val="24"/>
          <w:lang w:val="en-US" w:eastAsia="zh-CN"/>
        </w:rPr>
      </w:pPr>
      <w:r>
        <w:rPr>
          <w:rFonts w:hint="eastAsia" w:ascii="仿宋" w:hAnsi="仿宋" w:eastAsia="仿宋" w:cs="仿宋"/>
          <w:w w:val="120"/>
          <w:sz w:val="24"/>
          <w:szCs w:val="24"/>
          <w:lang w:val="en-US" w:eastAsia="zh-CN"/>
        </w:rPr>
        <w:t>7.</w:t>
      </w:r>
      <w:r>
        <w:rPr>
          <w:rFonts w:hint="eastAsia" w:ascii="仿宋" w:hAnsi="仿宋" w:eastAsia="仿宋" w:cs="仿宋"/>
          <w:bCs/>
          <w:sz w:val="24"/>
          <w:szCs w:val="24"/>
        </w:rPr>
        <w:t>报警设置</w:t>
      </w:r>
      <w:r>
        <w:rPr>
          <w:rFonts w:hint="eastAsia" w:ascii="仿宋" w:hAnsi="仿宋" w:eastAsia="仿宋" w:cs="仿宋"/>
          <w:bCs/>
          <w:sz w:val="24"/>
          <w:szCs w:val="24"/>
          <w:lang w:eastAsia="zh-CN"/>
        </w:rPr>
        <w:t>：</w:t>
      </w:r>
      <w:r>
        <w:rPr>
          <w:rFonts w:hint="eastAsia" w:ascii="仿宋" w:hAnsi="仿宋" w:eastAsia="仿宋" w:cs="仿宋"/>
          <w:sz w:val="24"/>
          <w:szCs w:val="24"/>
        </w:rPr>
        <w:t>多种报警方式，可亮灯、震动、声音、屏幕提示，高低血糖预警</w:t>
      </w:r>
    </w:p>
    <w:p>
      <w:pPr>
        <w:pStyle w:val="322"/>
        <w:widowControl w:val="0"/>
        <w:numPr>
          <w:ilvl w:val="0"/>
          <w:numId w:val="0"/>
        </w:numPr>
        <w:tabs>
          <w:tab w:val="left" w:pos="312"/>
        </w:tabs>
        <w:jc w:val="left"/>
        <w:rPr>
          <w:rFonts w:hint="default" w:ascii="微软雅黑" w:hAnsi="微软雅黑" w:eastAsia="微软雅黑" w:cs="微软雅黑"/>
          <w:sz w:val="24"/>
          <w:szCs w:val="24"/>
          <w:lang w:val="en-US" w:eastAsia="zh-CN"/>
        </w:rPr>
      </w:pPr>
    </w:p>
    <w:p>
      <w:pPr>
        <w:rPr>
          <w:rFonts w:hint="eastAsia" w:ascii="仿宋" w:hAnsi="仿宋" w:eastAsia="仿宋" w:cs="仿宋"/>
          <w:sz w:val="21"/>
          <w:szCs w:val="21"/>
          <w:lang w:val="en-US" w:eastAsia="zh-CN"/>
        </w:rPr>
      </w:pP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8"/>
          <w:szCs w:val="28"/>
          <w:lang w:val="en-US" w:eastAsia="zh-CN"/>
        </w:rPr>
      </w:pP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十三、中医体质辨识仪</w:t>
      </w: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1、配置：</w:t>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1、仪器内置于豪华铝塑手提箱内方便携带。</w:t>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2、仪器配置win10操作系统，10.1英寸可触摸液晶屏和高清摄像头。仪器可连结打印机方便打印检测报告。</w:t>
      </w:r>
    </w:p>
    <w:p>
      <w:pPr>
        <w:rPr>
          <w:rFonts w:hint="eastAsia" w:ascii="仿宋" w:hAnsi="仿宋" w:eastAsia="仿宋" w:cs="仿宋"/>
          <w:color w:val="auto"/>
          <w:sz w:val="24"/>
          <w:szCs w:val="24"/>
        </w:rPr>
      </w:pPr>
      <w:r>
        <w:rPr>
          <w:rFonts w:hint="eastAsia" w:ascii="仿宋" w:hAnsi="仿宋" w:eastAsia="仿宋" w:cs="仿宋"/>
          <w:sz w:val="24"/>
          <w:szCs w:val="24"/>
          <w:lang w:val="en-US" w:eastAsia="zh-CN"/>
        </w:rPr>
        <w:t>*</w:t>
      </w:r>
      <w:r>
        <w:rPr>
          <w:rFonts w:hint="eastAsia" w:ascii="仿宋" w:hAnsi="仿宋" w:eastAsia="仿宋" w:cs="仿宋"/>
          <w:color w:val="FF0000"/>
          <w:sz w:val="24"/>
          <w:szCs w:val="24"/>
          <w:lang w:val="en-US"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3、仪器</w:t>
      </w:r>
      <w:r>
        <w:rPr>
          <w:rFonts w:hint="eastAsia" w:ascii="仿宋" w:hAnsi="仿宋" w:eastAsia="仿宋" w:cs="仿宋"/>
          <w:color w:val="auto"/>
          <w:sz w:val="24"/>
          <w:szCs w:val="24"/>
          <w:lang w:val="en-US" w:eastAsia="zh-CN"/>
        </w:rPr>
        <w:t>最少配置2</w:t>
      </w:r>
      <w:r>
        <w:rPr>
          <w:rFonts w:hint="eastAsia" w:ascii="仿宋" w:hAnsi="仿宋" w:eastAsia="仿宋" w:cs="仿宋"/>
          <w:color w:val="auto"/>
          <w:sz w:val="24"/>
          <w:szCs w:val="24"/>
        </w:rPr>
        <w:t>个标准USB接口，箱内内置键盘及1个无线鼠标方便携带。</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4、专用身份证识别器(读取身份证信息操作更快捷)</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特点</w:t>
      </w:r>
      <w:r>
        <w:rPr>
          <w:rFonts w:hint="eastAsia" w:ascii="仿宋" w:hAnsi="仿宋" w:eastAsia="仿宋" w:cs="仿宋"/>
          <w:color w:val="auto"/>
          <w:sz w:val="24"/>
          <w:szCs w:val="24"/>
          <w:lang w:eastAsia="zh-CN"/>
        </w:rPr>
        <w:t>：</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1、仪器配置win10操作系统，10.1英寸可触摸液晶屏，操作简便，</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2、根据《国家基本公共卫生服务技术规范》编制而成，自动生成体质报告及建议。</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3、首个采用</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种分类判定划分方法，让结果更加准确。</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4、根据测试结果给予全套治疗保健方案，包括：饮食调理，药物调理，运动调理及食疗食谱等针对性指导。</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5、提供个人测试结果长期比较方案，让个人对治疗方案进行判定。</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6.身份证识别录入系统简便快捷.</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7、打印报告全彩显示测试结果，中医</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种体质类型柱状图显示，简洁易懂。</w:t>
      </w:r>
    </w:p>
    <w:p>
      <w:pPr>
        <w:tabs>
          <w:tab w:val="left" w:pos="720"/>
        </w:tabs>
        <w:spacing w:line="360" w:lineRule="auto"/>
        <w:rPr>
          <w:rFonts w:hint="eastAsia" w:ascii="仿宋" w:hAnsi="仿宋" w:eastAsia="仿宋" w:cs="仿宋"/>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8、精神状态评价及抑郁程度分析功能：简易精神状态测评量表（MMSE）、老年抑郁</w:t>
      </w:r>
      <w:r>
        <w:rPr>
          <w:rFonts w:hint="eastAsia" w:ascii="仿宋" w:hAnsi="仿宋" w:eastAsia="仿宋" w:cs="仿宋"/>
          <w:sz w:val="24"/>
          <w:szCs w:val="24"/>
        </w:rPr>
        <w:t>量表（GDS)）等</w:t>
      </w:r>
    </w:p>
    <w:p>
      <w:pPr>
        <w:tabs>
          <w:tab w:val="left" w:pos="720"/>
        </w:tabs>
        <w:spacing w:line="360" w:lineRule="auto"/>
        <w:rPr>
          <w:rFonts w:hint="eastAsia" w:ascii="仿宋" w:hAnsi="仿宋" w:eastAsia="仿宋" w:cs="仿宋"/>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9</w:t>
      </w:r>
      <w:r>
        <w:rPr>
          <w:rFonts w:hint="eastAsia" w:ascii="仿宋" w:hAnsi="仿宋" w:eastAsia="仿宋" w:cs="仿宋"/>
          <w:sz w:val="24"/>
          <w:szCs w:val="24"/>
        </w:rPr>
        <w:t>、仪器具有五态人格评定量表。</w:t>
      </w:r>
    </w:p>
    <w:p>
      <w:pPr>
        <w:tabs>
          <w:tab w:val="left" w:pos="72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10、仪器具有三套辨识系统：儿童中医体质辨识，中医药体质辨识系统（全年龄段）和老年人中医药健康管理系统（中老年人）</w:t>
      </w:r>
    </w:p>
    <w:p>
      <w:pPr>
        <w:tabs>
          <w:tab w:val="left" w:pos="72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11、具有儿童体质辨识功能。针对0-6岁的儿童，根椐年龄不同，软件可自动生成提供儿童中医饮食调养、起居活动指导等。</w:t>
      </w:r>
    </w:p>
    <w:p>
      <w:pPr>
        <w:tabs>
          <w:tab w:val="left" w:pos="72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12、针对孕产妇，提供孕前、产前、产后三个不同阶段的调养指导方案。</w:t>
      </w:r>
    </w:p>
    <w:p>
      <w:pPr>
        <w:tabs>
          <w:tab w:val="left" w:pos="72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13、针对慢病（高血压、糖尿病），软件有相关的慢病调养指导方案。</w:t>
      </w:r>
    </w:p>
    <w:p>
      <w:pPr>
        <w:tabs>
          <w:tab w:val="left" w:pos="720"/>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14、具有最新版中国居民膳食营养指导</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15、可联网，采集管理备份人群健康数据。</w:t>
      </w:r>
      <w:r>
        <w:rPr>
          <w:rFonts w:hint="eastAsia" w:ascii="仿宋" w:hAnsi="仿宋" w:eastAsia="仿宋" w:cs="仿宋"/>
          <w:sz w:val="24"/>
          <w:szCs w:val="24"/>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十四、电脑恒温电蜡疗仪</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产品参数</w:t>
      </w:r>
    </w:p>
    <w:p>
      <w:pPr>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color w:val="FF0000"/>
          <w:sz w:val="21"/>
          <w:szCs w:val="21"/>
          <w:lang w:val="en-US" w:eastAsia="zh-CN"/>
        </w:rPr>
        <w:t>1、</w:t>
      </w:r>
      <w:r>
        <w:rPr>
          <w:rFonts w:hint="eastAsia" w:ascii="仿宋" w:hAnsi="仿宋" w:eastAsia="仿宋" w:cs="仿宋"/>
          <w:color w:val="auto"/>
          <w:sz w:val="21"/>
          <w:szCs w:val="21"/>
          <w:lang w:val="en-US" w:eastAsia="zh-CN"/>
        </w:rPr>
        <w:t>交流电压不得小于220V，频率50Hz；</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*2、设备最大功率：≥2700VA</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*3、设定温度范围：5～99℃可调。</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*a)浸蜡温度设定范围：5～57℃可调；</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*b)熔蜡温度设定范围：60℃～99℃可调；</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*c)恒温箱温度范围：50℃～80℃可调；</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d)温度保护：双重温度保护，并有声音提示。</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*4、熔蜡箱容积：≥140L；</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*5、石蜡熔点：50～55℃；</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6、蜡饼数：共计12层，4盘递增，最多可出大中小蜡饼18块。</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▲9、断电记忆：蜡疗仪断电半小时内，再上电，恒温功能可记忆；制饼时化蜡状态可记忆。</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10、制蜡工作程序：</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a）有自动、手动两种工作程序；</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b）自动工作程序下，根据外界温度，自动选择外界温度较高模式和外界温度较低模式。手动工作程序下，可自行选择外界温度较高模式和外界温度较低模式。</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11、石蜡过滤装置：双重过滤方式：侧滤，滤网规格≥50目。</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12、饼厚度：</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*a)蜡饼厚度分3级可调；</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*b)1级，蜡饼平均厚度≥8mm；</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*c)2级，蜡饼平均厚度≥13mm；</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*d)3级，蜡饼平均厚度≥18mm。</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13、制蜡工作模式：</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a)正常制蜡：机器按照熔蜡、排蜡、成饼顺序自动工作；</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b)预约制蜡：机器按照预约的时间完成制饼模式；</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c)快速制蜡：在熔蜡箱有足够蜡液的情况下选择此模式。</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产品优势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1、三种制饼模式，满足不同情况需求；</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2、预约制饼：自动开机工作、不用人值守，自动完成制饼制作；</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3、一键锁屏：参数设置完成开始制饼可一键锁屏、避免无关人员误操作，而且具有屏幕亮度自动变暗（在正常制蜡、快速制蜡模式下无操作三分钟之后）、屏幕息屏（在预约制蜡模式下无操作三分钟之后）；</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4、8寸液晶触摸屏，高清显示，操作界面友好，简单易懂，一键启动制蜡模式；</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5、语音播报功能；</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6、观察窗尺寸：最小不得低于高650×宽200（mm）；</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7、恒温箱内设有照明，可方便观察蜡饼情况；</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8、提示功能：故障自检报警功能，并附有错误代码提示。完成工作声光报警功能。</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*9、结构材料：模块式框架结构，304+冷板喷塑；操作台面采用SUS304不锈钢材质，做喷砂、无指纹处理。</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10、加热材料：高技术节能型加热材料（外热式熔蜡方式）</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11、温控输出：控制系统AC24V安全电压</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12、一键恢复出厂设置、准确控制蜡饼厚度、智能防堵设计</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13、全自动：“一键”即可自动完成制饼并保持蜡饼恒温储存，无需人工动手。</w:t>
      </w:r>
    </w:p>
    <w:p>
      <w:pPr>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14</w:t>
      </w:r>
      <w:r>
        <w:rPr>
          <w:rFonts w:hint="eastAsia" w:ascii="仿宋" w:hAnsi="仿宋" w:eastAsia="仿宋" w:cs="仿宋"/>
          <w:color w:val="auto"/>
          <w:sz w:val="21"/>
          <w:szCs w:val="21"/>
          <w:lang w:val="en-US" w:eastAsia="zh-CN"/>
        </w:rPr>
        <w:t>、平台式外观：设备自带较低平台，操作更加简便、舒心；</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*15、小体积大容积：融蜡槽≥140L，恒温箱≥184L；</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*16、多种专利技术：设备≥6种专利支持保护；</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17、控制模式：双重PWM制饼控制系统，应对不同温度季节，自动切换，制饼温度更精确，设备工作更节约；</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18、消毒过滤：双重自动消毒模式（紫外线+高温），多重自动过滤功能；</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*19、安全防护：超流保护、超漏保护、温度保护、超温保护、电控超压保护5重电气安全保护功能。</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*20、蜡液注盘时间：≤1.5min</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21、制饼时间：最短1～2小时。</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22、出蜡系统：三组独立出蜡系统。</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*23、蜡盘尺寸：≤480×400×21mm；</w:t>
      </w:r>
    </w:p>
    <w:p>
      <w:pP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*24、带有薄膜切割器，多种蜡盘，可制作多种尺寸蜡饼（具有专</w:t>
      </w:r>
      <w:r>
        <w:rPr>
          <w:rFonts w:hint="eastAsia" w:ascii="仿宋" w:hAnsi="仿宋" w:eastAsia="仿宋" w:cs="仿宋"/>
          <w:sz w:val="21"/>
          <w:szCs w:val="21"/>
          <w:lang w:val="en-US" w:eastAsia="zh-CN"/>
        </w:rPr>
        <w:t>利证明）</w:t>
      </w: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十五、红外线治疗仪</w:t>
      </w:r>
    </w:p>
    <w:p>
      <w:pPr>
        <w:pStyle w:val="4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right="0" w:rightChars="0"/>
        <w:jc w:val="left"/>
        <w:rPr>
          <w:rFonts w:hint="eastAsia" w:ascii="仿宋" w:hAnsi="仿宋" w:eastAsia="仿宋" w:cs="仿宋"/>
          <w:b w:val="0"/>
          <w:bCs w:val="0"/>
          <w:i w:val="0"/>
          <w:iCs w:val="0"/>
          <w:caps w:val="0"/>
          <w:color w:val="4D4D4D"/>
          <w:spacing w:val="0"/>
          <w:sz w:val="21"/>
          <w:szCs w:val="21"/>
          <w:shd w:val="clear" w:color="auto" w:fill="FFFFFF"/>
          <w:lang w:val="en-US" w:eastAsia="zh-CN"/>
        </w:rPr>
      </w:pPr>
    </w:p>
    <w:p>
      <w:pPr>
        <w:pStyle w:val="4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right="0" w:rightChars="0"/>
        <w:jc w:val="left"/>
        <w:rPr>
          <w:rFonts w:hint="eastAsia" w:ascii="仿宋" w:hAnsi="仿宋" w:eastAsia="仿宋" w:cs="仿宋"/>
          <w:b w:val="0"/>
          <w:bCs w:val="0"/>
          <w:i w:val="0"/>
          <w:iCs w:val="0"/>
          <w:caps w:val="0"/>
          <w:color w:val="4D4D4D"/>
          <w:spacing w:val="0"/>
          <w:sz w:val="21"/>
          <w:szCs w:val="21"/>
          <w:shd w:val="clear" w:color="auto" w:fill="FFFFFF"/>
          <w:lang w:val="en-US" w:eastAsia="zh-CN"/>
        </w:rPr>
      </w:pPr>
      <w:r>
        <w:rPr>
          <w:rFonts w:hint="eastAsia" w:ascii="仿宋" w:hAnsi="仿宋" w:eastAsia="仿宋" w:cs="仿宋"/>
          <w:b w:val="0"/>
          <w:bCs w:val="0"/>
          <w:i w:val="0"/>
          <w:iCs w:val="0"/>
          <w:caps w:val="0"/>
          <w:color w:val="4D4D4D"/>
          <w:spacing w:val="0"/>
          <w:sz w:val="21"/>
          <w:szCs w:val="21"/>
          <w:shd w:val="clear" w:color="auto" w:fill="FFFFFF"/>
          <w:lang w:val="en-US" w:eastAsia="zh-CN"/>
        </w:rPr>
        <w:t>1、</w:t>
      </w:r>
      <w:r>
        <w:rPr>
          <w:rFonts w:hint="eastAsia" w:ascii="仿宋" w:hAnsi="仿宋" w:eastAsia="仿宋" w:cs="仿宋"/>
          <w:b w:val="0"/>
          <w:bCs w:val="0"/>
          <w:i w:val="0"/>
          <w:iCs w:val="0"/>
          <w:caps w:val="0"/>
          <w:color w:val="4D4D4D"/>
          <w:spacing w:val="0"/>
          <w:sz w:val="21"/>
          <w:szCs w:val="21"/>
          <w:shd w:val="clear" w:color="auto" w:fill="FFFFFF"/>
        </w:rPr>
        <w:t>产品名称：</w:t>
      </w:r>
      <w:r>
        <w:rPr>
          <w:rFonts w:hint="eastAsia" w:ascii="仿宋" w:hAnsi="仿宋" w:eastAsia="仿宋" w:cs="仿宋"/>
          <w:b w:val="0"/>
          <w:bCs w:val="0"/>
          <w:i w:val="0"/>
          <w:iCs w:val="0"/>
          <w:caps w:val="0"/>
          <w:color w:val="4D4D4D"/>
          <w:spacing w:val="0"/>
          <w:sz w:val="21"/>
          <w:szCs w:val="21"/>
          <w:shd w:val="clear" w:color="auto" w:fill="FFFFFF"/>
          <w:lang w:eastAsia="zh-CN"/>
        </w:rPr>
        <w:t>红外线治疗仪</w:t>
      </w:r>
    </w:p>
    <w:p>
      <w:pPr>
        <w:pStyle w:val="4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Chars="0" w:right="0" w:rightChars="0"/>
        <w:jc w:val="left"/>
        <w:rPr>
          <w:rFonts w:hint="eastAsia" w:ascii="仿宋" w:hAnsi="仿宋" w:eastAsia="仿宋" w:cs="仿宋"/>
          <w:b w:val="0"/>
          <w:bCs w:val="0"/>
          <w:i w:val="0"/>
          <w:iCs w:val="0"/>
          <w:caps w:val="0"/>
          <w:color w:val="4D4D4D"/>
          <w:spacing w:val="0"/>
          <w:sz w:val="21"/>
          <w:szCs w:val="21"/>
        </w:rPr>
      </w:pPr>
      <w:r>
        <w:rPr>
          <w:rFonts w:hint="eastAsia" w:ascii="仿宋" w:hAnsi="仿宋" w:eastAsia="仿宋" w:cs="仿宋"/>
          <w:b w:val="0"/>
          <w:bCs w:val="0"/>
          <w:i w:val="0"/>
          <w:iCs w:val="0"/>
          <w:caps w:val="0"/>
          <w:color w:val="4D4D4D"/>
          <w:spacing w:val="0"/>
          <w:sz w:val="21"/>
          <w:szCs w:val="21"/>
          <w:shd w:val="clear" w:color="auto" w:fill="FFFFFF"/>
          <w:lang w:val="en-US" w:eastAsia="zh-CN"/>
        </w:rPr>
        <w:t>2、</w:t>
      </w:r>
      <w:r>
        <w:rPr>
          <w:rFonts w:hint="eastAsia" w:ascii="仿宋" w:hAnsi="仿宋" w:eastAsia="仿宋" w:cs="仿宋"/>
          <w:b w:val="0"/>
          <w:bCs w:val="0"/>
          <w:i w:val="0"/>
          <w:iCs w:val="0"/>
          <w:caps w:val="0"/>
          <w:color w:val="4D4D4D"/>
          <w:spacing w:val="0"/>
          <w:sz w:val="21"/>
          <w:szCs w:val="21"/>
          <w:shd w:val="clear" w:color="auto" w:fill="FFFFFF"/>
        </w:rPr>
        <w:t>产品描述：立式大头</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right="0" w:firstLine="0"/>
        <w:jc w:val="left"/>
        <w:rPr>
          <w:rFonts w:hint="eastAsia" w:ascii="仿宋" w:hAnsi="仿宋" w:eastAsia="仿宋" w:cs="仿宋"/>
          <w:b w:val="0"/>
          <w:bCs w:val="0"/>
          <w:i w:val="0"/>
          <w:iCs w:val="0"/>
          <w:caps w:val="0"/>
          <w:color w:val="4D4D4D"/>
          <w:spacing w:val="0"/>
          <w:sz w:val="21"/>
          <w:szCs w:val="21"/>
        </w:rPr>
      </w:pPr>
      <w:r>
        <w:rPr>
          <w:rFonts w:hint="eastAsia" w:ascii="仿宋" w:hAnsi="仿宋" w:eastAsia="仿宋" w:cs="仿宋"/>
          <w:b w:val="0"/>
          <w:bCs w:val="0"/>
          <w:i w:val="0"/>
          <w:iCs w:val="0"/>
          <w:caps w:val="0"/>
          <w:color w:val="4D4D4D"/>
          <w:spacing w:val="0"/>
          <w:sz w:val="21"/>
          <w:szCs w:val="21"/>
          <w:shd w:val="clear" w:color="auto" w:fill="FFFFFF"/>
          <w:lang w:val="en-US" w:eastAsia="zh-CN"/>
        </w:rPr>
        <w:t>3、</w:t>
      </w:r>
      <w:r>
        <w:rPr>
          <w:rFonts w:hint="eastAsia" w:ascii="仿宋" w:hAnsi="仿宋" w:eastAsia="仿宋" w:cs="仿宋"/>
          <w:b w:val="0"/>
          <w:bCs w:val="0"/>
          <w:i w:val="0"/>
          <w:iCs w:val="0"/>
          <w:caps w:val="0"/>
          <w:color w:val="4D4D4D"/>
          <w:spacing w:val="0"/>
          <w:sz w:val="21"/>
          <w:szCs w:val="21"/>
          <w:shd w:val="clear" w:color="auto" w:fill="FFFFFF"/>
        </w:rPr>
        <w:t>定时方式：机械定时</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right="0" w:firstLine="0"/>
        <w:rPr>
          <w:rFonts w:hint="eastAsia" w:ascii="仿宋" w:hAnsi="仿宋" w:eastAsia="仿宋" w:cs="仿宋"/>
          <w:b w:val="0"/>
          <w:bCs w:val="0"/>
          <w:i w:val="0"/>
          <w:iCs w:val="0"/>
          <w:caps w:val="0"/>
          <w:color w:val="auto"/>
          <w:spacing w:val="0"/>
          <w:sz w:val="21"/>
          <w:szCs w:val="21"/>
        </w:rPr>
      </w:pPr>
      <w:r>
        <w:rPr>
          <w:rStyle w:val="51"/>
          <w:rFonts w:hint="eastAsia" w:ascii="仿宋" w:hAnsi="仿宋" w:eastAsia="仿宋" w:cs="仿宋"/>
          <w:b w:val="0"/>
          <w:bCs w:val="0"/>
          <w:i w:val="0"/>
          <w:iCs w:val="0"/>
          <w:caps w:val="0"/>
          <w:color w:val="000000"/>
          <w:spacing w:val="0"/>
          <w:sz w:val="21"/>
          <w:szCs w:val="21"/>
          <w:shd w:val="clear" w:color="auto" w:fill="FFFFFF"/>
          <w:lang w:eastAsia="zh-CN"/>
        </w:rPr>
        <w:t>二、</w:t>
      </w:r>
      <w:r>
        <w:rPr>
          <w:rStyle w:val="51"/>
          <w:rFonts w:hint="eastAsia" w:ascii="仿宋" w:hAnsi="仿宋" w:eastAsia="仿宋" w:cs="仿宋"/>
          <w:b w:val="0"/>
          <w:bCs w:val="0"/>
          <w:i w:val="0"/>
          <w:iCs w:val="0"/>
          <w:caps w:val="0"/>
          <w:color w:val="auto"/>
          <w:spacing w:val="0"/>
          <w:sz w:val="21"/>
          <w:szCs w:val="21"/>
          <w:shd w:val="clear" w:color="auto" w:fill="FFFFFF"/>
          <w:lang w:eastAsia="zh-CN"/>
        </w:rPr>
        <w:t>主要技术参数</w:t>
      </w:r>
      <w:r>
        <w:rPr>
          <w:rFonts w:hint="eastAsia" w:ascii="仿宋" w:hAnsi="仿宋" w:eastAsia="仿宋" w:cs="仿宋"/>
          <w:b w:val="0"/>
          <w:bCs w:val="0"/>
          <w:i w:val="0"/>
          <w:iCs w:val="0"/>
          <w:caps w:val="0"/>
          <w:color w:val="auto"/>
          <w:spacing w:val="0"/>
          <w:sz w:val="21"/>
          <w:szCs w:val="21"/>
          <w:shd w:val="clear" w:color="auto" w:fill="FFFFFF"/>
        </w:rPr>
        <w:br w:type="textWrapping"/>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w:t>
      </w:r>
      <w:r>
        <w:rPr>
          <w:rFonts w:hint="eastAsia" w:ascii="仿宋" w:hAnsi="仿宋" w:eastAsia="仿宋" w:cs="仿宋"/>
          <w:b w:val="0"/>
          <w:bCs w:val="0"/>
          <w:i w:val="0"/>
          <w:iCs w:val="0"/>
          <w:caps w:val="0"/>
          <w:color w:val="auto"/>
          <w:spacing w:val="0"/>
          <w:sz w:val="21"/>
          <w:szCs w:val="21"/>
          <w:shd w:val="clear" w:color="auto" w:fill="FFFFFF"/>
        </w:rPr>
        <w:t>电源输入：AC</w:t>
      </w:r>
      <w:r>
        <w:rPr>
          <w:rFonts w:hint="eastAsia" w:ascii="仿宋" w:hAnsi="仿宋" w:eastAsia="仿宋" w:cs="仿宋"/>
          <w:b w:val="0"/>
          <w:bCs w:val="0"/>
          <w:i w:val="0"/>
          <w:iCs w:val="0"/>
          <w:caps w:val="0"/>
          <w:color w:val="auto"/>
          <w:spacing w:val="0"/>
          <w:sz w:val="21"/>
          <w:szCs w:val="21"/>
          <w:shd w:val="clear" w:color="auto" w:fill="FFFFFF"/>
          <w:lang w:val="en-US" w:eastAsia="zh-CN"/>
        </w:rPr>
        <w:t>≥</w:t>
      </w:r>
      <w:r>
        <w:rPr>
          <w:rFonts w:hint="eastAsia" w:ascii="仿宋" w:hAnsi="仿宋" w:eastAsia="仿宋" w:cs="仿宋"/>
          <w:b w:val="0"/>
          <w:bCs w:val="0"/>
          <w:i w:val="0"/>
          <w:iCs w:val="0"/>
          <w:caps w:val="0"/>
          <w:color w:val="auto"/>
          <w:spacing w:val="0"/>
          <w:sz w:val="21"/>
          <w:szCs w:val="21"/>
          <w:shd w:val="clear" w:color="auto" w:fill="FFFFFF"/>
        </w:rPr>
        <w:t>2</w:t>
      </w:r>
      <w:r>
        <w:rPr>
          <w:rFonts w:hint="eastAsia" w:ascii="仿宋" w:hAnsi="仿宋" w:eastAsia="仿宋" w:cs="仿宋"/>
          <w:b w:val="0"/>
          <w:bCs w:val="0"/>
          <w:i w:val="0"/>
          <w:iCs w:val="0"/>
          <w:caps w:val="0"/>
          <w:color w:val="auto"/>
          <w:spacing w:val="0"/>
          <w:sz w:val="21"/>
          <w:szCs w:val="21"/>
          <w:shd w:val="clear" w:color="auto" w:fill="FFFFFF"/>
          <w:lang w:val="en-US" w:eastAsia="zh-CN"/>
        </w:rPr>
        <w:t>6</w:t>
      </w:r>
      <w:r>
        <w:rPr>
          <w:rFonts w:hint="eastAsia" w:ascii="仿宋" w:hAnsi="仿宋" w:eastAsia="仿宋" w:cs="仿宋"/>
          <w:b w:val="0"/>
          <w:bCs w:val="0"/>
          <w:i w:val="0"/>
          <w:iCs w:val="0"/>
          <w:caps w:val="0"/>
          <w:color w:val="auto"/>
          <w:spacing w:val="0"/>
          <w:sz w:val="21"/>
          <w:szCs w:val="21"/>
          <w:shd w:val="clear" w:color="auto" w:fill="FFFFFF"/>
        </w:rPr>
        <w:t>0V </w:t>
      </w:r>
      <w:r>
        <w:rPr>
          <w:rFonts w:hint="eastAsia" w:ascii="仿宋" w:hAnsi="仿宋" w:eastAsia="仿宋" w:cs="仿宋"/>
          <w:b w:val="0"/>
          <w:bCs w:val="0"/>
          <w:i w:val="0"/>
          <w:iCs w:val="0"/>
          <w:caps w:val="0"/>
          <w:color w:val="auto"/>
          <w:spacing w:val="0"/>
          <w:sz w:val="21"/>
          <w:szCs w:val="21"/>
          <w:shd w:val="clear" w:color="auto" w:fill="FFFFFF"/>
          <w:lang w:val="en-US" w:eastAsia="zh-CN"/>
        </w:rPr>
        <w:t>≥60</w:t>
      </w:r>
      <w:r>
        <w:rPr>
          <w:rFonts w:hint="eastAsia" w:ascii="仿宋" w:hAnsi="仿宋" w:eastAsia="仿宋" w:cs="仿宋"/>
          <w:b w:val="0"/>
          <w:bCs w:val="0"/>
          <w:i w:val="0"/>
          <w:iCs w:val="0"/>
          <w:caps w:val="0"/>
          <w:color w:val="auto"/>
          <w:spacing w:val="0"/>
          <w:sz w:val="21"/>
          <w:szCs w:val="21"/>
          <w:shd w:val="clear" w:color="auto" w:fill="FFFFFF"/>
        </w:rPr>
        <w:t>Hz</w:t>
      </w:r>
      <w:r>
        <w:rPr>
          <w:rFonts w:hint="eastAsia" w:ascii="仿宋" w:hAnsi="仿宋" w:eastAsia="仿宋" w:cs="仿宋"/>
          <w:b w:val="0"/>
          <w:bCs w:val="0"/>
          <w:i w:val="0"/>
          <w:iCs w:val="0"/>
          <w:caps w:val="0"/>
          <w:color w:val="auto"/>
          <w:spacing w:val="0"/>
          <w:sz w:val="21"/>
          <w:szCs w:val="21"/>
          <w:shd w:val="clear" w:color="auto" w:fill="FFFFFF"/>
        </w:rPr>
        <w:br w:type="textWrapping"/>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2.</w:t>
      </w:r>
      <w:r>
        <w:rPr>
          <w:rFonts w:hint="eastAsia" w:ascii="仿宋" w:hAnsi="仿宋" w:eastAsia="仿宋" w:cs="仿宋"/>
          <w:b w:val="0"/>
          <w:bCs w:val="0"/>
          <w:i w:val="0"/>
          <w:iCs w:val="0"/>
          <w:caps w:val="0"/>
          <w:color w:val="auto"/>
          <w:spacing w:val="0"/>
          <w:sz w:val="21"/>
          <w:szCs w:val="21"/>
          <w:shd w:val="clear" w:color="auto" w:fill="FFFFFF"/>
        </w:rPr>
        <w:t>功  率：</w:t>
      </w:r>
      <w:r>
        <w:rPr>
          <w:rFonts w:hint="eastAsia" w:ascii="仿宋" w:hAnsi="仿宋" w:eastAsia="仿宋" w:cs="仿宋"/>
          <w:b w:val="0"/>
          <w:bCs w:val="0"/>
          <w:i w:val="0"/>
          <w:iCs w:val="0"/>
          <w:caps w:val="0"/>
          <w:color w:val="auto"/>
          <w:spacing w:val="0"/>
          <w:sz w:val="21"/>
          <w:szCs w:val="21"/>
          <w:shd w:val="clear" w:color="auto" w:fill="FFFFFF"/>
          <w:lang w:val="en-US" w:eastAsia="zh-CN"/>
        </w:rPr>
        <w:t>≤</w:t>
      </w:r>
      <w:r>
        <w:rPr>
          <w:rFonts w:hint="eastAsia" w:ascii="仿宋" w:hAnsi="仿宋" w:eastAsia="仿宋" w:cs="仿宋"/>
          <w:b w:val="0"/>
          <w:bCs w:val="0"/>
          <w:i w:val="0"/>
          <w:iCs w:val="0"/>
          <w:caps w:val="0"/>
          <w:color w:val="auto"/>
          <w:spacing w:val="0"/>
          <w:sz w:val="21"/>
          <w:szCs w:val="21"/>
          <w:shd w:val="clear" w:color="auto" w:fill="FFFFFF"/>
        </w:rPr>
        <w:t>2</w:t>
      </w:r>
      <w:r>
        <w:rPr>
          <w:rFonts w:hint="eastAsia" w:ascii="仿宋" w:hAnsi="仿宋" w:eastAsia="仿宋" w:cs="仿宋"/>
          <w:b w:val="0"/>
          <w:bCs w:val="0"/>
          <w:i w:val="0"/>
          <w:iCs w:val="0"/>
          <w:caps w:val="0"/>
          <w:color w:val="auto"/>
          <w:spacing w:val="0"/>
          <w:sz w:val="21"/>
          <w:szCs w:val="21"/>
          <w:shd w:val="clear" w:color="auto" w:fill="FFFFFF"/>
          <w:lang w:val="en-US" w:eastAsia="zh-CN"/>
        </w:rPr>
        <w:t>6</w:t>
      </w:r>
      <w:r>
        <w:rPr>
          <w:rFonts w:hint="eastAsia" w:ascii="仿宋" w:hAnsi="仿宋" w:eastAsia="仿宋" w:cs="仿宋"/>
          <w:b w:val="0"/>
          <w:bCs w:val="0"/>
          <w:i w:val="0"/>
          <w:iCs w:val="0"/>
          <w:caps w:val="0"/>
          <w:color w:val="auto"/>
          <w:spacing w:val="0"/>
          <w:sz w:val="21"/>
          <w:szCs w:val="21"/>
          <w:shd w:val="clear" w:color="auto" w:fill="FFFFFF"/>
        </w:rPr>
        <w:t>0W</w:t>
      </w:r>
      <w:r>
        <w:rPr>
          <w:rFonts w:hint="eastAsia" w:ascii="仿宋" w:hAnsi="仿宋" w:eastAsia="仿宋" w:cs="仿宋"/>
          <w:b w:val="0"/>
          <w:bCs w:val="0"/>
          <w:i w:val="0"/>
          <w:iCs w:val="0"/>
          <w:caps w:val="0"/>
          <w:color w:val="auto"/>
          <w:spacing w:val="0"/>
          <w:sz w:val="21"/>
          <w:szCs w:val="21"/>
          <w:shd w:val="clear" w:color="auto" w:fill="FFFFFF"/>
        </w:rPr>
        <w:br w:type="textWrapping"/>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w:t>
      </w:r>
      <w:r>
        <w:rPr>
          <w:rFonts w:hint="eastAsia" w:ascii="仿宋" w:hAnsi="仿宋" w:eastAsia="仿宋" w:cs="仿宋"/>
          <w:b w:val="0"/>
          <w:bCs w:val="0"/>
          <w:i w:val="0"/>
          <w:iCs w:val="0"/>
          <w:caps w:val="0"/>
          <w:color w:val="auto"/>
          <w:spacing w:val="0"/>
          <w:sz w:val="21"/>
          <w:szCs w:val="21"/>
          <w:shd w:val="clear" w:color="auto" w:fill="FFFFFF"/>
        </w:rPr>
        <w:t>波普范围</w:t>
      </w:r>
      <w:r>
        <w:rPr>
          <w:rFonts w:hint="eastAsia" w:ascii="仿宋" w:hAnsi="仿宋" w:eastAsia="仿宋" w:cs="仿宋"/>
          <w:b w:val="0"/>
          <w:bCs w:val="0"/>
          <w:i w:val="0"/>
          <w:iCs w:val="0"/>
          <w:caps w:val="0"/>
          <w:color w:val="auto"/>
          <w:spacing w:val="0"/>
          <w:sz w:val="21"/>
          <w:szCs w:val="21"/>
          <w:shd w:val="clear" w:color="auto" w:fill="FFFFFF"/>
          <w:lang w:eastAsia="zh-CN"/>
        </w:rPr>
        <w:t>：</w:t>
      </w:r>
      <w:r>
        <w:rPr>
          <w:rFonts w:hint="eastAsia" w:ascii="仿宋" w:hAnsi="仿宋" w:eastAsia="仿宋" w:cs="仿宋"/>
          <w:b w:val="0"/>
          <w:bCs w:val="0"/>
          <w:i w:val="0"/>
          <w:iCs w:val="0"/>
          <w:caps w:val="0"/>
          <w:color w:val="auto"/>
          <w:spacing w:val="0"/>
          <w:sz w:val="21"/>
          <w:szCs w:val="21"/>
          <w:shd w:val="clear" w:color="auto" w:fill="FFFFFF"/>
          <w:lang w:val="en-US" w:eastAsia="zh-CN"/>
        </w:rPr>
        <w:t>5</w:t>
      </w:r>
      <w:r>
        <w:rPr>
          <w:rFonts w:hint="eastAsia" w:ascii="仿宋" w:hAnsi="仿宋" w:eastAsia="仿宋" w:cs="仿宋"/>
          <w:b w:val="0"/>
          <w:bCs w:val="0"/>
          <w:i w:val="0"/>
          <w:iCs w:val="0"/>
          <w:caps w:val="0"/>
          <w:color w:val="auto"/>
          <w:spacing w:val="0"/>
          <w:sz w:val="21"/>
          <w:szCs w:val="21"/>
          <w:shd w:val="clear" w:color="auto" w:fill="FFFFFF"/>
        </w:rPr>
        <w:t>-</w:t>
      </w:r>
      <w:r>
        <w:rPr>
          <w:rFonts w:hint="eastAsia" w:ascii="仿宋" w:hAnsi="仿宋" w:eastAsia="仿宋" w:cs="仿宋"/>
          <w:b w:val="0"/>
          <w:bCs w:val="0"/>
          <w:i w:val="0"/>
          <w:iCs w:val="0"/>
          <w:caps w:val="0"/>
          <w:color w:val="auto"/>
          <w:spacing w:val="0"/>
          <w:sz w:val="21"/>
          <w:szCs w:val="21"/>
          <w:shd w:val="clear" w:color="auto" w:fill="FFFFFF"/>
          <w:lang w:val="en-US" w:eastAsia="zh-CN"/>
        </w:rPr>
        <w:t>30</w:t>
      </w:r>
      <w:r>
        <w:rPr>
          <w:rFonts w:hint="eastAsia" w:ascii="仿宋" w:hAnsi="仿宋" w:eastAsia="仿宋" w:cs="仿宋"/>
          <w:b w:val="0"/>
          <w:bCs w:val="0"/>
          <w:i w:val="0"/>
          <w:iCs w:val="0"/>
          <w:caps w:val="0"/>
          <w:color w:val="auto"/>
          <w:spacing w:val="0"/>
          <w:sz w:val="21"/>
          <w:szCs w:val="21"/>
          <w:shd w:val="clear" w:color="auto" w:fill="FFFFFF"/>
        </w:rPr>
        <w:t>微米</w:t>
      </w:r>
      <w:r>
        <w:rPr>
          <w:rFonts w:hint="eastAsia" w:ascii="仿宋" w:hAnsi="仿宋" w:eastAsia="仿宋" w:cs="仿宋"/>
          <w:b w:val="0"/>
          <w:bCs w:val="0"/>
          <w:i w:val="0"/>
          <w:iCs w:val="0"/>
          <w:caps w:val="0"/>
          <w:color w:val="auto"/>
          <w:spacing w:val="0"/>
          <w:sz w:val="21"/>
          <w:szCs w:val="21"/>
          <w:shd w:val="clear" w:color="auto" w:fill="FFFFFF"/>
        </w:rPr>
        <w:br w:type="textWrapping"/>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w:t>
      </w:r>
      <w:r>
        <w:rPr>
          <w:rFonts w:hint="eastAsia" w:ascii="仿宋" w:hAnsi="仿宋" w:eastAsia="仿宋" w:cs="仿宋"/>
          <w:b w:val="0"/>
          <w:bCs w:val="0"/>
          <w:i w:val="0"/>
          <w:iCs w:val="0"/>
          <w:caps w:val="0"/>
          <w:color w:val="auto"/>
          <w:spacing w:val="0"/>
          <w:sz w:val="21"/>
          <w:szCs w:val="21"/>
          <w:shd w:val="clear" w:color="auto" w:fill="FFFFFF"/>
        </w:rPr>
        <w:t>机械定时范围：0-60分钟</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right="0" w:firstLine="0"/>
        <w:rPr>
          <w:rFonts w:hint="eastAsia" w:ascii="仿宋" w:hAnsi="仿宋" w:eastAsia="仿宋" w:cs="仿宋"/>
          <w:b w:val="0"/>
          <w:bCs w:val="0"/>
          <w:i w:val="0"/>
          <w:iCs w:val="0"/>
          <w:caps w:val="0"/>
          <w:color w:val="auto"/>
          <w:spacing w:val="0"/>
          <w:sz w:val="21"/>
          <w:szCs w:val="21"/>
          <w:shd w:val="clear" w:color="auto" w:fill="FFFFFF"/>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5.</w:t>
      </w:r>
      <w:r>
        <w:rPr>
          <w:rFonts w:hint="eastAsia" w:ascii="仿宋" w:hAnsi="仿宋" w:eastAsia="仿宋" w:cs="仿宋"/>
          <w:b w:val="0"/>
          <w:bCs w:val="0"/>
          <w:i w:val="0"/>
          <w:iCs w:val="0"/>
          <w:caps w:val="0"/>
          <w:color w:val="auto"/>
          <w:spacing w:val="0"/>
          <w:sz w:val="21"/>
          <w:szCs w:val="21"/>
          <w:shd w:val="clear" w:color="auto" w:fill="FFFFFF"/>
        </w:rPr>
        <w:t>治疗板有效使用期限：</w:t>
      </w:r>
      <w:r>
        <w:rPr>
          <w:rFonts w:hint="eastAsia" w:ascii="仿宋" w:hAnsi="仿宋" w:eastAsia="仿宋" w:cs="仿宋"/>
          <w:b w:val="0"/>
          <w:bCs w:val="0"/>
          <w:i w:val="0"/>
          <w:iCs w:val="0"/>
          <w:caps w:val="0"/>
          <w:color w:val="auto"/>
          <w:spacing w:val="0"/>
          <w:sz w:val="21"/>
          <w:szCs w:val="21"/>
          <w:shd w:val="clear" w:color="auto" w:fill="FFFFFF"/>
          <w:lang w:val="en-US" w:eastAsia="zh-CN"/>
        </w:rPr>
        <w:t>8</w:t>
      </w:r>
      <w:r>
        <w:rPr>
          <w:rFonts w:hint="eastAsia" w:ascii="仿宋" w:hAnsi="仿宋" w:eastAsia="仿宋" w:cs="仿宋"/>
          <w:b w:val="0"/>
          <w:bCs w:val="0"/>
          <w:i w:val="0"/>
          <w:iCs w:val="0"/>
          <w:caps w:val="0"/>
          <w:color w:val="auto"/>
          <w:spacing w:val="0"/>
          <w:sz w:val="21"/>
          <w:szCs w:val="21"/>
          <w:shd w:val="clear" w:color="auto" w:fill="FFFFFF"/>
        </w:rPr>
        <w:t>00小时（到期可更换治疗板）</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right="0" w:firstLine="0"/>
        <w:rPr>
          <w:rFonts w:hint="eastAsia" w:ascii="仿宋" w:hAnsi="仿宋" w:eastAsia="仿宋" w:cs="仿宋"/>
          <w:b w:val="0"/>
          <w:bCs w:val="0"/>
          <w:i w:val="0"/>
          <w:iCs w:val="0"/>
          <w:caps w:val="0"/>
          <w:color w:val="auto"/>
          <w:spacing w:val="0"/>
          <w:sz w:val="21"/>
          <w:szCs w:val="21"/>
          <w:shd w:val="clear" w:color="auto" w:fill="FFFFFF"/>
          <w:lang w:eastAsia="zh-CN"/>
        </w:rPr>
      </w:pPr>
    </w:p>
    <w:p>
      <w:pPr>
        <w:pStyle w:val="4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leftChars="0" w:right="0" w:rightChars="0" w:firstLine="0" w:firstLineChars="0"/>
        <w:rPr>
          <w:rFonts w:hint="eastAsia" w:ascii="仿宋" w:hAnsi="仿宋" w:eastAsia="仿宋" w:cs="仿宋"/>
          <w:b w:val="0"/>
          <w:bCs w:val="0"/>
          <w:i w:val="0"/>
          <w:iCs w:val="0"/>
          <w:caps w:val="0"/>
          <w:color w:val="auto"/>
          <w:spacing w:val="0"/>
          <w:sz w:val="21"/>
          <w:szCs w:val="21"/>
          <w:shd w:val="clear" w:color="auto" w:fill="FFFFFF"/>
          <w:lang w:eastAsia="zh-CN"/>
        </w:rPr>
      </w:pPr>
      <w:r>
        <w:rPr>
          <w:rFonts w:hint="eastAsia" w:ascii="仿宋" w:hAnsi="仿宋" w:eastAsia="仿宋" w:cs="仿宋"/>
          <w:b w:val="0"/>
          <w:bCs w:val="0"/>
          <w:i w:val="0"/>
          <w:iCs w:val="0"/>
          <w:caps w:val="0"/>
          <w:color w:val="auto"/>
          <w:spacing w:val="0"/>
          <w:kern w:val="2"/>
          <w:sz w:val="21"/>
          <w:szCs w:val="21"/>
          <w:shd w:val="clear" w:fill="FFFFFF"/>
          <w:lang w:val="en-US" w:eastAsia="zh-CN" w:bidi="ar-SA"/>
        </w:rPr>
        <w:t>一、</w:t>
      </w:r>
      <w:r>
        <w:rPr>
          <w:rFonts w:hint="eastAsia" w:ascii="仿宋" w:hAnsi="仿宋" w:eastAsia="仿宋" w:cs="仿宋"/>
          <w:b w:val="0"/>
          <w:bCs w:val="0"/>
          <w:i w:val="0"/>
          <w:iCs w:val="0"/>
          <w:caps w:val="0"/>
          <w:color w:val="auto"/>
          <w:spacing w:val="0"/>
          <w:sz w:val="21"/>
          <w:szCs w:val="21"/>
          <w:shd w:val="clear" w:color="auto" w:fill="FFFFFF"/>
          <w:lang w:eastAsia="zh-CN"/>
        </w:rPr>
        <w:t>质量优势</w:t>
      </w:r>
    </w:p>
    <w:p>
      <w:pPr>
        <w:pStyle w:val="4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Chars="0" w:right="0" w:rightChars="0"/>
        <w:rPr>
          <w:rFonts w:hint="eastAsia" w:ascii="仿宋" w:hAnsi="仿宋" w:eastAsia="仿宋" w:cs="仿宋"/>
          <w:b w:val="0"/>
          <w:bCs w:val="0"/>
          <w:i w:val="0"/>
          <w:iCs w:val="0"/>
          <w:caps w:val="0"/>
          <w:color w:val="4D4D4D"/>
          <w:spacing w:val="0"/>
          <w:sz w:val="21"/>
          <w:szCs w:val="21"/>
        </w:rPr>
      </w:pPr>
      <w:r>
        <w:rPr>
          <w:rFonts w:hint="eastAsia" w:ascii="仿宋" w:hAnsi="仿宋" w:eastAsia="仿宋" w:cs="仿宋"/>
          <w:b w:val="0"/>
          <w:bCs w:val="0"/>
          <w:i w:val="0"/>
          <w:iCs w:val="0"/>
          <w:caps w:val="0"/>
          <w:color w:val="4D4D4D"/>
          <w:spacing w:val="0"/>
          <w:sz w:val="21"/>
          <w:szCs w:val="21"/>
          <w:shd w:val="clear" w:color="auto" w:fill="FFFFFF"/>
        </w:rPr>
        <w:t>1、治疗板与加热器之间使用的是8mm厚的陶瓷绝缘板。</w:t>
      </w:r>
      <w:r>
        <w:rPr>
          <w:rFonts w:hint="eastAsia" w:ascii="仿宋" w:hAnsi="仿宋" w:eastAsia="仿宋" w:cs="仿宋"/>
          <w:b w:val="0"/>
          <w:bCs w:val="0"/>
          <w:i w:val="0"/>
          <w:iCs w:val="0"/>
          <w:caps w:val="0"/>
          <w:color w:val="4D4D4D"/>
          <w:spacing w:val="0"/>
          <w:sz w:val="21"/>
          <w:szCs w:val="21"/>
          <w:shd w:val="clear" w:color="auto" w:fill="FFFFFF"/>
        </w:rPr>
        <w:br w:type="textWrapping"/>
      </w:r>
      <w:r>
        <w:rPr>
          <w:rFonts w:hint="eastAsia" w:ascii="仿宋" w:hAnsi="仿宋" w:eastAsia="仿宋" w:cs="仿宋"/>
          <w:b w:val="0"/>
          <w:bCs w:val="0"/>
          <w:i w:val="0"/>
          <w:iCs w:val="0"/>
          <w:caps w:val="0"/>
          <w:color w:val="4D4D4D"/>
          <w:spacing w:val="0"/>
          <w:sz w:val="21"/>
          <w:szCs w:val="21"/>
          <w:shd w:val="clear" w:color="auto" w:fill="FFFFFF"/>
        </w:rPr>
        <w:t>2、电源线穿过方管处设有过线保护套：防止了电线被割断的危险。</w:t>
      </w:r>
      <w:r>
        <w:rPr>
          <w:rFonts w:hint="eastAsia" w:ascii="仿宋" w:hAnsi="仿宋" w:eastAsia="仿宋" w:cs="仿宋"/>
          <w:b w:val="0"/>
          <w:bCs w:val="0"/>
          <w:i w:val="0"/>
          <w:iCs w:val="0"/>
          <w:caps w:val="0"/>
          <w:color w:val="4D4D4D"/>
          <w:spacing w:val="0"/>
          <w:sz w:val="21"/>
          <w:szCs w:val="21"/>
          <w:shd w:val="clear" w:color="auto" w:fill="FFFFFF"/>
        </w:rPr>
        <w:br w:type="textWrapping"/>
      </w:r>
      <w:r>
        <w:rPr>
          <w:rFonts w:hint="eastAsia" w:ascii="仿宋" w:hAnsi="仿宋" w:eastAsia="仿宋" w:cs="仿宋"/>
          <w:b w:val="0"/>
          <w:bCs w:val="0"/>
          <w:i w:val="0"/>
          <w:iCs w:val="0"/>
          <w:caps w:val="0"/>
          <w:color w:val="4D4D4D"/>
          <w:spacing w:val="0"/>
          <w:sz w:val="21"/>
          <w:szCs w:val="21"/>
          <w:shd w:val="clear" w:color="auto" w:fill="FFFFFF"/>
        </w:rPr>
        <w:t>3、电源盒上设置了电源开关：插座和开关的双重保护。</w:t>
      </w:r>
      <w:r>
        <w:rPr>
          <w:rFonts w:hint="eastAsia" w:ascii="仿宋" w:hAnsi="仿宋" w:eastAsia="仿宋" w:cs="仿宋"/>
          <w:b w:val="0"/>
          <w:bCs w:val="0"/>
          <w:i w:val="0"/>
          <w:iCs w:val="0"/>
          <w:caps w:val="0"/>
          <w:color w:val="4D4D4D"/>
          <w:spacing w:val="0"/>
          <w:sz w:val="21"/>
          <w:szCs w:val="21"/>
          <w:shd w:val="clear" w:color="auto" w:fill="FFFFFF"/>
        </w:rPr>
        <w:br w:type="textWrapping"/>
      </w:r>
      <w:r>
        <w:rPr>
          <w:rFonts w:hint="eastAsia" w:ascii="仿宋" w:hAnsi="仿宋" w:eastAsia="仿宋" w:cs="仿宋"/>
          <w:b w:val="0"/>
          <w:bCs w:val="0"/>
          <w:i w:val="0"/>
          <w:iCs w:val="0"/>
          <w:caps w:val="0"/>
          <w:color w:val="4D4D4D"/>
          <w:spacing w:val="0"/>
          <w:sz w:val="21"/>
          <w:szCs w:val="21"/>
          <w:shd w:val="clear" w:color="auto" w:fill="FFFFFF"/>
        </w:rPr>
        <w:t>4、设置了防倾倒开关：当治疗器倾倒时电源自动断电，当治疗器立起来时电源恢复通电。</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right="0" w:firstLine="0"/>
        <w:rPr>
          <w:rFonts w:hint="eastAsia" w:ascii="仿宋" w:hAnsi="仿宋" w:eastAsia="仿宋" w:cs="仿宋"/>
          <w:b w:val="0"/>
          <w:bCs w:val="0"/>
          <w:i w:val="0"/>
          <w:iCs w:val="0"/>
          <w:caps w:val="0"/>
          <w:color w:val="4D4D4D"/>
          <w:spacing w:val="0"/>
          <w:sz w:val="21"/>
          <w:szCs w:val="21"/>
          <w:shd w:val="clear" w:color="auto" w:fill="FFFFFF"/>
        </w:rPr>
      </w:pPr>
      <w:r>
        <w:rPr>
          <w:rFonts w:hint="eastAsia" w:ascii="仿宋" w:hAnsi="仿宋" w:eastAsia="仿宋" w:cs="仿宋"/>
          <w:b w:val="0"/>
          <w:bCs w:val="0"/>
          <w:i w:val="0"/>
          <w:iCs w:val="0"/>
          <w:caps w:val="0"/>
          <w:color w:val="4D4D4D"/>
          <w:spacing w:val="0"/>
          <w:sz w:val="21"/>
          <w:szCs w:val="21"/>
          <w:shd w:val="clear" w:color="auto" w:fill="FFFFFF"/>
        </w:rPr>
        <w:t>5、产品包装美观、外用缠绕膜包裹：保护包装箱的清洁和完整。</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left="0" w:right="0" w:firstLine="0"/>
        <w:rPr>
          <w:rFonts w:hint="eastAsia" w:ascii="仿宋" w:hAnsi="仿宋" w:eastAsia="仿宋" w:cs="仿宋"/>
          <w:b w:val="0"/>
          <w:bCs w:val="0"/>
          <w:i w:val="0"/>
          <w:iCs w:val="0"/>
          <w:caps w:val="0"/>
          <w:color w:val="4D4D4D"/>
          <w:spacing w:val="0"/>
          <w:sz w:val="21"/>
          <w:szCs w:val="21"/>
        </w:rPr>
      </w:pPr>
      <w:r>
        <w:rPr>
          <w:rFonts w:hint="eastAsia" w:ascii="仿宋" w:hAnsi="仿宋" w:eastAsia="仿宋" w:cs="仿宋"/>
          <w:i w:val="0"/>
          <w:iCs w:val="0"/>
          <w:caps w:val="0"/>
          <w:color w:val="606266"/>
          <w:spacing w:val="0"/>
          <w:sz w:val="21"/>
          <w:szCs w:val="21"/>
          <w:shd w:val="clear" w:color="auto" w:fill="F8F8F8"/>
        </w:rPr>
        <w:t>治疗仪主要由照射头（灯座、红外线灯泡、内罩和防护网罩）、支臂、立柱(若适用则分为固定式和升降式)、控制盒（定时器、控制电路和防倾倒装置）、底座（若适用）、脚架（若适用）组成。</w:t>
      </w:r>
    </w:p>
    <w:p>
      <w:pPr>
        <w:shd w:val="clea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十六、深层肌肉按摩器</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技术参数</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1、电压：a.c.220V</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2、频率：50Hz</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3、耗电量：150W</w:t>
      </w:r>
      <w:r>
        <w:rPr>
          <w:rFonts w:hint="eastAsia" w:ascii="仿宋" w:hAnsi="仿宋" w:eastAsia="仿宋" w:cs="仿宋"/>
          <w:sz w:val="21"/>
          <w:szCs w:val="21"/>
          <w:lang w:val="en-US" w:eastAsia="zh-CN"/>
        </w:rPr>
        <w:tab/>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4、重量：18Kg</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*5、输出转速：4200RPM</w:t>
      </w:r>
      <w:r>
        <w:rPr>
          <w:rFonts w:hint="eastAsia" w:ascii="仿宋" w:hAnsi="仿宋" w:eastAsia="仿宋" w:cs="仿宋"/>
          <w:sz w:val="21"/>
          <w:szCs w:val="21"/>
          <w:lang w:val="en-US" w:eastAsia="zh-CN"/>
        </w:rPr>
        <w:tab/>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*6、涂药器：7个</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7、震感强烈，有助于血液循环，清除体内有毒垃圾减少肌肉痉挛，特别对于肌肉收缩及促进脂肪吸收有显著效果。配备多个涂药器，适合身体多个部位按摩治疗。</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*8、生产厂家通过环境管理体系和职业健康安全管理体系认证</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9、生产厂家具备高新技术企业证书</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10、生产厂家荣获省长质量奖</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11、生产厂家为全国守台同重信用企业</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12、为了避免知识产权纠纷,生产厂家通过知识产权管理体系认证</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13、生产厂家为国家级绿色工厂、智慧健康养老示范企业</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产品优势：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1、推车式设计</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2、配备7款治疗头，适用于身体不同部位。</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3、具有3种自动模式和手动模式。</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4、转速可达4200转/分钟。</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5、强度0-7档可调。</w:t>
      </w:r>
      <w:r>
        <w:rPr>
          <w:rFonts w:hint="eastAsia" w:ascii="仿宋" w:hAnsi="仿宋" w:eastAsia="仿宋" w:cs="仿宋"/>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十七、颈腰椎治疗多功能牵引床</w:t>
      </w:r>
    </w:p>
    <w:p>
      <w:pPr>
        <w:spacing w:line="240" w:lineRule="auto"/>
        <w:rPr>
          <w:rFonts w:hint="eastAsia" w:ascii="仿宋" w:hAnsi="仿宋" w:eastAsia="仿宋" w:cs="仿宋"/>
          <w:b/>
          <w:color w:val="auto"/>
          <w:sz w:val="21"/>
          <w:szCs w:val="21"/>
          <w:highlight w:val="none"/>
          <w:lang w:val="en-US" w:eastAsia="zh-CN"/>
        </w:rPr>
      </w:pPr>
    </w:p>
    <w:p>
      <w:pPr>
        <w:spacing w:line="24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一、</w:t>
      </w:r>
      <w:r>
        <w:rPr>
          <w:rFonts w:hint="eastAsia" w:ascii="仿宋" w:hAnsi="仿宋" w:eastAsia="仿宋" w:cs="仿宋"/>
          <w:b/>
          <w:color w:val="auto"/>
          <w:sz w:val="21"/>
          <w:szCs w:val="21"/>
          <w:highlight w:val="none"/>
        </w:rPr>
        <w:t>技术参数：</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1、电源：</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220V   50Hz</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2、额定输入功率：</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80VA</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3、腰椎牵引行程：0～200mm</w:t>
      </w:r>
    </w:p>
    <w:p>
      <w:pPr>
        <w:spacing w:line="240" w:lineRule="auto"/>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4、腰椎牵引总时间：0～99min范围内设定，级差1min，允差不大于30s</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5、腰椎牵引力：0～990N</w:t>
      </w:r>
      <w:r>
        <w:rPr>
          <w:rFonts w:hint="eastAsia" w:ascii="仿宋" w:hAnsi="仿宋" w:eastAsia="仿宋" w:cs="仿宋"/>
          <w:color w:val="auto"/>
          <w:sz w:val="21"/>
          <w:szCs w:val="21"/>
          <w:highlight w:val="none"/>
          <w:lang w:val="en-US" w:eastAsia="zh-CN"/>
        </w:rPr>
        <w:t>范围内可调，级差10N，实际输出的牵引力与预置值的偏差不大于：牵引力不大于200N时，允差：±10％或±10N取大值；牵引力大于200N时，允差：±20％或±50N取小值</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6、牵引时间：0～9min围内设定，级差1min，误差不大于30s</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7、间歇时间：0～9min围内设定，级差1min，误差不大于30s</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8、颈椎牵引力：0～300N</w:t>
      </w:r>
      <w:r>
        <w:rPr>
          <w:rFonts w:hint="eastAsia" w:ascii="仿宋" w:hAnsi="仿宋" w:eastAsia="仿宋" w:cs="仿宋"/>
          <w:color w:val="auto"/>
          <w:sz w:val="21"/>
          <w:szCs w:val="21"/>
          <w:highlight w:val="none"/>
          <w:lang w:val="en-US" w:eastAsia="zh-CN"/>
        </w:rPr>
        <w:t>范围内可调，级差10N，实际输出的牵引力与预置值的偏差不大于：牵引力不大于200N时，允差：±10％或±10N取大值；牵引力大于200N时，允差：±20％或±50N取小值</w:t>
      </w:r>
    </w:p>
    <w:p>
      <w:pPr>
        <w:spacing w:line="240" w:lineRule="auto"/>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9、颈椎牵引行程：0～300mm</w:t>
      </w:r>
      <w:r>
        <w:rPr>
          <w:rFonts w:hint="eastAsia" w:ascii="仿宋" w:hAnsi="仿宋" w:eastAsia="仿宋" w:cs="仿宋"/>
          <w:color w:val="auto"/>
          <w:sz w:val="21"/>
          <w:szCs w:val="21"/>
          <w:highlight w:val="none"/>
          <w:lang w:eastAsia="zh-CN"/>
        </w:rPr>
        <w:t>，允差</w:t>
      </w:r>
      <w:r>
        <w:rPr>
          <w:rFonts w:hint="eastAsia" w:ascii="仿宋" w:hAnsi="仿宋" w:eastAsia="仿宋" w:cs="仿宋"/>
          <w:color w:val="auto"/>
          <w:sz w:val="21"/>
          <w:szCs w:val="21"/>
          <w:highlight w:val="none"/>
          <w:lang w:val="en-US" w:eastAsia="zh-CN"/>
        </w:rPr>
        <w:t>±10mm</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10、成角动作范围：0～+30°</w:t>
      </w:r>
      <w:r>
        <w:rPr>
          <w:rFonts w:hint="eastAsia" w:ascii="仿宋" w:hAnsi="仿宋" w:eastAsia="仿宋" w:cs="仿宋"/>
          <w:color w:val="auto"/>
          <w:sz w:val="21"/>
          <w:szCs w:val="21"/>
          <w:highlight w:val="none"/>
          <w:lang w:eastAsia="zh-CN"/>
        </w:rPr>
        <w:t>，允差</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成角零位误差不大于±1°，上成角保持稳定。</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11、牵引床加热功能：床面工作温度45℃，允差±3℃。</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12、微电脑控制腰椎牵引；</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highlight w:val="none"/>
        </w:rPr>
        <w:t>13、双机双人电动控制颈椎或腰椎牵引，可以同时进行颈腰椎牵引，互不影响；</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highlight w:val="none"/>
        </w:rPr>
        <w:t>14、</w:t>
      </w:r>
      <w:r>
        <w:rPr>
          <w:rFonts w:hint="eastAsia" w:ascii="仿宋" w:hAnsi="仿宋" w:eastAsia="仿宋" w:cs="仿宋"/>
          <w:color w:val="auto"/>
          <w:sz w:val="21"/>
          <w:szCs w:val="21"/>
          <w:highlight w:val="none"/>
          <w:lang w:val="en-US" w:eastAsia="zh-CN"/>
        </w:rPr>
        <w:t>牵引床腰椎牵引</w:t>
      </w:r>
      <w:r>
        <w:rPr>
          <w:rFonts w:hint="eastAsia" w:ascii="仿宋" w:hAnsi="仿宋" w:eastAsia="仿宋" w:cs="仿宋"/>
          <w:color w:val="auto"/>
          <w:sz w:val="21"/>
          <w:szCs w:val="21"/>
          <w:highlight w:val="none"/>
        </w:rPr>
        <w:t>牵引模式</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种，牵引力自动补偿功能；</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15、20种治疗方案存储并读取；</w:t>
      </w:r>
    </w:p>
    <w:p>
      <w:pPr>
        <w:spacing w:line="240" w:lineRule="auto"/>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多种安全设计（最大牵引力990N，患者应急复位线控手柄开关、医务人员操作急退键）；</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br w:type="page"/>
      </w:r>
    </w:p>
    <w:p>
      <w:p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十八、语言吞咽治疗仪</w:t>
      </w:r>
    </w:p>
    <w:p>
      <w:pPr>
        <w:spacing w:line="560" w:lineRule="exact"/>
        <w:rPr>
          <w:rFonts w:hint="eastAsia" w:ascii="仿宋" w:hAnsi="仿宋" w:eastAsia="仿宋" w:cs="仿宋"/>
          <w:b/>
          <w:color w:val="000000"/>
          <w:sz w:val="21"/>
          <w:szCs w:val="21"/>
          <w:lang w:val="en-US" w:eastAsia="zh-CN"/>
        </w:rPr>
      </w:pPr>
    </w:p>
    <w:p>
      <w:pPr>
        <w:spacing w:line="560" w:lineRule="exact"/>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lang w:val="en-US" w:eastAsia="zh-CN"/>
        </w:rPr>
        <w:t>一、</w:t>
      </w:r>
      <w:r>
        <w:rPr>
          <w:rFonts w:hint="eastAsia" w:ascii="仿宋" w:hAnsi="仿宋" w:eastAsia="仿宋" w:cs="仿宋"/>
          <w:b/>
          <w:color w:val="000000"/>
          <w:sz w:val="21"/>
          <w:szCs w:val="21"/>
        </w:rPr>
        <w:t>技术参数</w:t>
      </w:r>
      <w:r>
        <w:rPr>
          <w:rFonts w:hint="eastAsia" w:ascii="仿宋" w:hAnsi="仿宋" w:eastAsia="仿宋" w:cs="仿宋"/>
          <w:b/>
          <w:color w:val="000000"/>
          <w:sz w:val="21"/>
          <w:szCs w:val="21"/>
          <w:lang w:eastAsia="zh-CN"/>
        </w:rPr>
        <w:t>：</w:t>
      </w:r>
    </w:p>
    <w:p>
      <w:p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治疗模式：连续脉冲治疗模式</w:t>
      </w:r>
    </w:p>
    <w:p>
      <w:pPr>
        <w:spacing w:line="46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*2.GAME模式具有力量训练、耐力训练、协调性训练三种主动肌电反馈训练程序，并在软件程序上有显示</w:t>
      </w:r>
    </w:p>
    <w:p>
      <w:p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独创设计的电极分离技术</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更加方便临床操作性，节省换电极时间。</w:t>
      </w:r>
    </w:p>
    <w:p>
      <w:pPr>
        <w:spacing w:line="46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4.s</w:t>
      </w:r>
      <w:r>
        <w:rPr>
          <w:rFonts w:hint="eastAsia" w:ascii="仿宋" w:hAnsi="仿宋" w:eastAsia="仿宋" w:cs="仿宋"/>
          <w:color w:val="000000"/>
          <w:sz w:val="21"/>
          <w:szCs w:val="21"/>
        </w:rPr>
        <w:t>EMG和NMES模式使用1电极电缆</w:t>
      </w:r>
      <w:r>
        <w:rPr>
          <w:rFonts w:hint="eastAsia" w:ascii="仿宋" w:hAnsi="仿宋" w:eastAsia="仿宋" w:cs="仿宋"/>
          <w:color w:val="000000"/>
          <w:sz w:val="21"/>
          <w:szCs w:val="21"/>
          <w:lang w:eastAsia="zh-CN"/>
        </w:rPr>
        <w:t>。</w:t>
      </w:r>
    </w:p>
    <w:p>
      <w:pPr>
        <w:numPr>
          <w:ilvl w:val="0"/>
          <w:numId w:val="0"/>
        </w:num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低电</w:t>
      </w:r>
      <w:r>
        <w:rPr>
          <w:rFonts w:hint="eastAsia" w:ascii="仿宋" w:hAnsi="仿宋" w:eastAsia="仿宋" w:cs="仿宋"/>
          <w:color w:val="000000"/>
          <w:sz w:val="21"/>
          <w:szCs w:val="21"/>
          <w:lang w:val="en-US" w:eastAsia="zh-CN"/>
        </w:rPr>
        <w:t>量</w:t>
      </w:r>
      <w:r>
        <w:rPr>
          <w:rFonts w:hint="eastAsia" w:ascii="仿宋" w:hAnsi="仿宋" w:eastAsia="仿宋" w:cs="仿宋"/>
          <w:color w:val="000000"/>
          <w:sz w:val="21"/>
          <w:szCs w:val="21"/>
        </w:rPr>
        <w:t>报警提示功能</w:t>
      </w:r>
    </w:p>
    <w:p>
      <w:pPr>
        <w:numPr>
          <w:ilvl w:val="0"/>
          <w:numId w:val="0"/>
        </w:num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lang w:eastAsia="zh-CN"/>
        </w:rPr>
        <w:t>具有输出保护功能，任何单一组件具有短路保护（电极脱路或未连接电极具有提示）</w:t>
      </w:r>
    </w:p>
    <w:p>
      <w:p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输出波形：</w:t>
      </w:r>
      <w:r>
        <w:rPr>
          <w:rFonts w:hint="eastAsia" w:ascii="仿宋" w:hAnsi="仿宋" w:eastAsia="仿宋" w:cs="仿宋"/>
          <w:color w:val="000000"/>
          <w:sz w:val="21"/>
          <w:szCs w:val="21"/>
          <w:lang w:val="en-US" w:eastAsia="zh-CN"/>
        </w:rPr>
        <w:t>双向方波</w:t>
      </w:r>
    </w:p>
    <w:p>
      <w:p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充电式锂离子聚合电池+微型USB充电端口</w:t>
      </w:r>
    </w:p>
    <w:p>
      <w:p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w:t>
      </w:r>
      <w:r>
        <w:rPr>
          <w:rFonts w:hint="eastAsia" w:ascii="仿宋" w:hAnsi="仿宋" w:eastAsia="仿宋" w:cs="仿宋"/>
          <w:color w:val="000000"/>
          <w:sz w:val="21"/>
          <w:szCs w:val="21"/>
          <w:lang w:eastAsia="zh-CN"/>
        </w:rPr>
        <w:t>软件控制</w:t>
      </w:r>
      <w:r>
        <w:rPr>
          <w:rFonts w:hint="eastAsia" w:ascii="仿宋" w:hAnsi="仿宋" w:eastAsia="仿宋" w:cs="仿宋"/>
          <w:color w:val="000000"/>
          <w:sz w:val="21"/>
          <w:szCs w:val="21"/>
        </w:rPr>
        <w:t>程序具有数据存储功能</w:t>
      </w:r>
    </w:p>
    <w:p>
      <w:pPr>
        <w:spacing w:line="46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lang w:eastAsia="zh-CN"/>
        </w:rPr>
        <w:t>主机</w:t>
      </w:r>
      <w:r>
        <w:rPr>
          <w:rFonts w:hint="eastAsia" w:ascii="仿宋" w:hAnsi="仿宋" w:eastAsia="仿宋" w:cs="仿宋"/>
          <w:color w:val="000000"/>
          <w:sz w:val="21"/>
          <w:szCs w:val="21"/>
        </w:rPr>
        <w:t>仪器中储存的数据信息可通过蓝牙</w:t>
      </w:r>
      <w:r>
        <w:rPr>
          <w:rFonts w:hint="eastAsia" w:ascii="仿宋" w:hAnsi="仿宋" w:eastAsia="仿宋" w:cs="仿宋"/>
          <w:color w:val="000000"/>
          <w:sz w:val="21"/>
          <w:szCs w:val="21"/>
          <w:lang w:eastAsia="zh-CN"/>
        </w:rPr>
        <w:t>传输</w:t>
      </w:r>
      <w:r>
        <w:rPr>
          <w:rFonts w:hint="eastAsia" w:ascii="仿宋" w:hAnsi="仿宋" w:eastAsia="仿宋" w:cs="仿宋"/>
          <w:color w:val="000000"/>
          <w:sz w:val="21"/>
          <w:szCs w:val="21"/>
        </w:rPr>
        <w:t>下载到iPad上</w:t>
      </w:r>
    </w:p>
    <w:p>
      <w:pPr>
        <w:spacing w:line="46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11.最大使用电流限制保护功能：主机以及软件程序均具有电流安全保护程序，软件程序可控制主机进行二次电流限制保护。防止患者不慎触碰电流调节程序，增大电流到最大限制电流，主机提示电流已达到最大。</w:t>
      </w:r>
    </w:p>
    <w:p>
      <w:pPr>
        <w:spacing w:line="460" w:lineRule="exact"/>
        <w:rPr>
          <w:rFonts w:hint="eastAsia" w:ascii="仿宋" w:hAnsi="仿宋" w:eastAsia="仿宋" w:cs="仿宋"/>
          <w:color w:val="auto"/>
          <w:sz w:val="21"/>
          <w:szCs w:val="21"/>
        </w:rPr>
      </w:pPr>
      <w:r>
        <w:rPr>
          <w:rFonts w:hint="eastAsia" w:ascii="仿宋" w:hAnsi="仿宋" w:eastAsia="仿宋" w:cs="仿宋"/>
          <w:color w:val="000000"/>
          <w:sz w:val="21"/>
          <w:szCs w:val="21"/>
          <w:lang w:val="en-US" w:eastAsia="zh-CN"/>
        </w:rPr>
        <w:t>12.反馈阈值：1</w:t>
      </w:r>
      <w:r>
        <w:rPr>
          <w:rFonts w:hint="eastAsia" w:ascii="仿宋" w:hAnsi="仿宋" w:eastAsia="仿宋" w:cs="仿宋"/>
          <w:color w:val="000000"/>
          <w:sz w:val="21"/>
          <w:szCs w:val="21"/>
        </w:rPr>
        <w:t>0</w:t>
      </w:r>
      <w:r>
        <w:rPr>
          <w:rFonts w:hint="eastAsia" w:ascii="仿宋" w:hAnsi="仿宋" w:eastAsia="仿宋" w:cs="仿宋"/>
          <w:color w:val="000000"/>
          <w:sz w:val="21"/>
          <w:szCs w:val="21"/>
          <w:lang w:val="en-US" w:eastAsia="zh-CN"/>
        </w:rPr>
        <w:t>μ</w:t>
      </w:r>
      <w:r>
        <w:rPr>
          <w:rFonts w:hint="eastAsia" w:ascii="仿宋" w:hAnsi="仿宋" w:eastAsia="仿宋" w:cs="仿宋"/>
          <w:color w:val="000000"/>
          <w:sz w:val="21"/>
          <w:szCs w:val="21"/>
        </w:rPr>
        <w:t>V～</w:t>
      </w:r>
      <w:r>
        <w:rPr>
          <w:rFonts w:hint="eastAsia" w:ascii="仿宋" w:hAnsi="仿宋" w:eastAsia="仿宋" w:cs="仿宋"/>
          <w:color w:val="000000"/>
          <w:sz w:val="21"/>
          <w:szCs w:val="21"/>
          <w:lang w:val="en-US" w:eastAsia="zh-CN"/>
        </w:rPr>
        <w:t>1000μ</w:t>
      </w:r>
      <w:r>
        <w:rPr>
          <w:rFonts w:hint="eastAsia" w:ascii="仿宋" w:hAnsi="仿宋" w:eastAsia="仿宋" w:cs="仿宋"/>
          <w:color w:val="000000"/>
          <w:sz w:val="21"/>
          <w:szCs w:val="21"/>
        </w:rPr>
        <w:t>V</w:t>
      </w:r>
      <w:r>
        <w:rPr>
          <w:rFonts w:hint="eastAsia" w:ascii="仿宋" w:hAnsi="仿宋" w:eastAsia="仿宋" w:cs="仿宋"/>
          <w:color w:val="000000"/>
          <w:sz w:val="21"/>
          <w:szCs w:val="21"/>
        </w:rPr>
        <w:br w:type="textWrapping"/>
      </w:r>
      <w:r>
        <w:rPr>
          <w:rFonts w:hint="eastAsia" w:ascii="仿宋" w:hAnsi="仿宋" w:eastAsia="仿宋" w:cs="仿宋"/>
          <w:sz w:val="21"/>
          <w:szCs w:val="21"/>
          <w:lang w:val="en-US" w:eastAsia="zh-CN"/>
        </w:rPr>
        <w:t>*</w:t>
      </w: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分辨率(测量灵敏度)：</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μV</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14.</w:t>
      </w:r>
      <w:r>
        <w:rPr>
          <w:rFonts w:hint="eastAsia" w:ascii="仿宋" w:hAnsi="仿宋" w:eastAsia="仿宋" w:cs="仿宋"/>
          <w:color w:val="auto"/>
          <w:sz w:val="21"/>
          <w:szCs w:val="21"/>
        </w:rPr>
        <w:t>通频带：通频带应不窄于20Hz～500Hz(-3dB)</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rPr>
        <w:t>电源：电压</w:t>
      </w:r>
      <w:r>
        <w:rPr>
          <w:rFonts w:hint="eastAsia" w:ascii="仿宋" w:hAnsi="仿宋" w:eastAsia="仿宋" w:cs="仿宋"/>
          <w:color w:val="auto"/>
          <w:sz w:val="21"/>
          <w:szCs w:val="21"/>
          <w:lang w:val="en-US" w:eastAsia="zh-CN"/>
        </w:rPr>
        <w:t>d.c.8.0</w:t>
      </w:r>
      <w:r>
        <w:rPr>
          <w:rFonts w:hint="eastAsia" w:ascii="仿宋" w:hAnsi="仿宋" w:eastAsia="仿宋" w:cs="仿宋"/>
          <w:color w:val="auto"/>
          <w:sz w:val="21"/>
          <w:szCs w:val="21"/>
        </w:rPr>
        <w:t>V</w:t>
      </w:r>
      <w:r>
        <w:rPr>
          <w:rFonts w:hint="eastAsia" w:ascii="仿宋" w:hAnsi="仿宋" w:eastAsia="仿宋" w:cs="仿宋"/>
          <w:color w:val="auto"/>
          <w:sz w:val="21"/>
          <w:szCs w:val="21"/>
          <w:lang w:val="en-US" w:eastAsia="zh-CN"/>
          <w:eastAsianLayout w:id="73" w:combine="1"/>
        </w:rPr>
        <w:t>-5% +10%</w:t>
      </w:r>
      <w:r>
        <w:rPr>
          <w:rFonts w:hint="eastAsia" w:ascii="仿宋" w:hAnsi="仿宋" w:eastAsia="仿宋" w:cs="仿宋"/>
          <w:color w:val="auto"/>
          <w:sz w:val="21"/>
          <w:szCs w:val="21"/>
        </w:rPr>
        <w:t>，容量650mAh</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rPr>
        <w:t>安全等级：内部供电BF类型</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17.</w:t>
      </w:r>
      <w:r>
        <w:rPr>
          <w:rFonts w:hint="eastAsia" w:ascii="仿宋" w:hAnsi="仿宋" w:eastAsia="仿宋" w:cs="仿宋"/>
          <w:color w:val="auto"/>
          <w:sz w:val="21"/>
          <w:szCs w:val="21"/>
        </w:rPr>
        <w:t>保护类型：II</w:t>
      </w:r>
      <w:r>
        <w:rPr>
          <w:rFonts w:hint="eastAsia" w:ascii="仿宋" w:hAnsi="仿宋" w:eastAsia="仿宋" w:cs="仿宋"/>
          <w:color w:val="auto"/>
          <w:sz w:val="21"/>
          <w:szCs w:val="21"/>
          <w:lang w:val="en-US" w:eastAsia="zh-CN"/>
        </w:rPr>
        <w:t>类</w:t>
      </w:r>
      <w:r>
        <w:rPr>
          <w:rFonts w:hint="eastAsia" w:ascii="仿宋" w:hAnsi="仿宋" w:eastAsia="仿宋" w:cs="仿宋"/>
          <w:color w:val="auto"/>
          <w:sz w:val="21"/>
          <w:szCs w:val="21"/>
        </w:rPr>
        <w:t>仪器</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18.</w:t>
      </w:r>
      <w:r>
        <w:rPr>
          <w:rFonts w:hint="eastAsia" w:ascii="仿宋" w:hAnsi="仿宋" w:eastAsia="仿宋" w:cs="仿宋"/>
          <w:color w:val="auto"/>
          <w:sz w:val="21"/>
          <w:szCs w:val="21"/>
        </w:rPr>
        <w:t>工作电流：</w:t>
      </w:r>
      <w:r>
        <w:rPr>
          <w:rFonts w:hint="eastAsia" w:ascii="仿宋" w:hAnsi="仿宋" w:eastAsia="仿宋" w:cs="仿宋"/>
          <w:color w:val="auto"/>
          <w:sz w:val="21"/>
          <w:szCs w:val="21"/>
          <w:lang w:val="en-US" w:eastAsia="zh-CN"/>
        </w:rPr>
        <w:t>0-6</w:t>
      </w:r>
      <w:r>
        <w:rPr>
          <w:rFonts w:hint="eastAsia" w:ascii="仿宋" w:hAnsi="仿宋" w:eastAsia="仿宋" w:cs="仿宋"/>
          <w:color w:val="auto"/>
          <w:sz w:val="21"/>
          <w:szCs w:val="21"/>
        </w:rPr>
        <w:t>0mA</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*19.</w:t>
      </w:r>
      <w:r>
        <w:rPr>
          <w:rFonts w:hint="eastAsia" w:ascii="仿宋" w:hAnsi="仿宋" w:eastAsia="仿宋" w:cs="仿宋"/>
          <w:color w:val="auto"/>
          <w:sz w:val="21"/>
          <w:szCs w:val="21"/>
        </w:rPr>
        <w:t>频率：</w:t>
      </w: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Hz～100Hz可调。</w:t>
      </w:r>
    </w:p>
    <w:p>
      <w:pPr>
        <w:spacing w:line="46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脉冲宽度：</w:t>
      </w:r>
      <w:r>
        <w:rPr>
          <w:rFonts w:hint="eastAsia" w:ascii="仿宋" w:hAnsi="仿宋" w:eastAsia="仿宋" w:cs="仿宋"/>
          <w:color w:val="auto"/>
          <w:sz w:val="21"/>
          <w:szCs w:val="21"/>
          <w:lang w:val="en-US" w:eastAsia="zh-CN"/>
        </w:rPr>
        <w:t>200</w:t>
      </w:r>
      <w:r>
        <w:rPr>
          <w:rFonts w:hint="eastAsia" w:ascii="仿宋" w:hAnsi="仿宋" w:eastAsia="仿宋" w:cs="仿宋"/>
          <w:color w:val="auto"/>
          <w:sz w:val="21"/>
          <w:szCs w:val="21"/>
        </w:rPr>
        <w:t>μs，允差±10%</w:t>
      </w:r>
    </w:p>
    <w:p>
      <w:pPr>
        <w:numPr>
          <w:ilvl w:val="0"/>
          <w:numId w:val="0"/>
        </w:numPr>
        <w:spacing w:line="276" w:lineRule="auto"/>
        <w:jc w:val="left"/>
        <w:rPr>
          <w:rFonts w:hint="eastAsia" w:ascii="仿宋" w:hAnsi="仿宋" w:eastAsia="仿宋" w:cs="仿宋"/>
          <w:bCs/>
          <w:color w:val="auto"/>
          <w:sz w:val="21"/>
          <w:szCs w:val="21"/>
        </w:rPr>
      </w:pPr>
      <w:r>
        <w:rPr>
          <w:rFonts w:hint="eastAsia" w:ascii="仿宋" w:hAnsi="仿宋" w:eastAsia="仿宋" w:cs="仿宋"/>
          <w:color w:val="auto"/>
          <w:sz w:val="21"/>
          <w:szCs w:val="21"/>
          <w:lang w:val="en-US" w:eastAsia="zh-CN"/>
        </w:rPr>
        <w:t>21.</w:t>
      </w:r>
      <w:r>
        <w:rPr>
          <w:rFonts w:hint="eastAsia" w:ascii="仿宋" w:hAnsi="仿宋" w:eastAsia="仿宋" w:cs="仿宋"/>
          <w:color w:val="auto"/>
          <w:sz w:val="21"/>
          <w:szCs w:val="21"/>
        </w:rPr>
        <w:t>脉冲强度：幅度0～60mA可调</w:t>
      </w:r>
      <w:r>
        <w:rPr>
          <w:rFonts w:hint="eastAsia" w:ascii="仿宋" w:hAnsi="仿宋" w:eastAsia="仿宋" w:cs="仿宋"/>
          <w:bCs/>
          <w:color w:val="auto"/>
          <w:sz w:val="21"/>
          <w:szCs w:val="21"/>
        </w:rPr>
        <w:t>；</w:t>
      </w:r>
    </w:p>
    <w:p>
      <w:pPr>
        <w:numPr>
          <w:ilvl w:val="0"/>
          <w:numId w:val="0"/>
        </w:numPr>
        <w:spacing w:line="276"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*22.</w:t>
      </w:r>
      <w:r>
        <w:rPr>
          <w:rFonts w:hint="eastAsia" w:ascii="仿宋" w:hAnsi="仿宋" w:eastAsia="仿宋" w:cs="仿宋"/>
          <w:color w:val="000000"/>
          <w:sz w:val="21"/>
          <w:szCs w:val="21"/>
        </w:rPr>
        <w:t>输出强度：</w:t>
      </w:r>
    </w:p>
    <w:p>
      <w:pPr>
        <w:numPr>
          <w:ilvl w:val="0"/>
          <w:numId w:val="0"/>
        </w:numPr>
        <w:spacing w:line="276"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0-5mA时，强度增量为1mA；</w:t>
      </w:r>
    </w:p>
    <w:p>
      <w:pPr>
        <w:spacing w:line="276"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5-21mA时，强度增量为0.5mA；</w:t>
      </w:r>
    </w:p>
    <w:p>
      <w:pPr>
        <w:spacing w:line="276" w:lineRule="auto"/>
        <w:ind w:firstLine="420" w:firstLineChars="200"/>
        <w:jc w:val="left"/>
        <w:rPr>
          <w:rFonts w:hint="eastAsia" w:ascii="仿宋" w:hAnsi="仿宋" w:eastAsia="仿宋" w:cs="仿宋"/>
          <w:color w:val="000000"/>
          <w:sz w:val="21"/>
          <w:szCs w:val="21"/>
        </w:rPr>
      </w:pPr>
      <w:r>
        <w:rPr>
          <w:rFonts w:hint="eastAsia" w:ascii="仿宋" w:hAnsi="仿宋" w:eastAsia="仿宋" w:cs="仿宋"/>
          <w:color w:val="000000"/>
          <w:sz w:val="21"/>
          <w:szCs w:val="21"/>
        </w:rPr>
        <w:t>21mA以上时，强度增量为0.1mA。</w:t>
      </w:r>
    </w:p>
    <w:p>
      <w:pPr>
        <w:spacing w:line="560" w:lineRule="exact"/>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二、产品优势：</w:t>
      </w:r>
    </w:p>
    <w:p>
      <w:pPr>
        <w:spacing w:line="46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、独有蓝牙4.0技术输出程序</w:t>
      </w:r>
      <w:r>
        <w:rPr>
          <w:rFonts w:hint="eastAsia" w:ascii="仿宋" w:hAnsi="仿宋" w:eastAsia="仿宋" w:cs="仿宋"/>
          <w:color w:val="000000"/>
          <w:sz w:val="21"/>
          <w:szCs w:val="21"/>
          <w:lang w:eastAsia="zh-CN"/>
        </w:rPr>
        <w:t>，主机与软件系统通过蓝牙无线连接，信号稳定</w:t>
      </w:r>
    </w:p>
    <w:p>
      <w:pPr>
        <w:spacing w:line="46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2、GAME模式具有力量训练、耐力训练、协调性训练三种主动肌电反馈训练程序，并在软件程序上有显示</w:t>
      </w:r>
    </w:p>
    <w:p>
      <w:pPr>
        <w:spacing w:line="46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可平板控制。</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十九、分指板</w:t>
      </w:r>
    </w:p>
    <w:p>
      <w:pPr>
        <w:rPr>
          <w:rFonts w:hint="eastAsia" w:ascii="仿宋" w:hAnsi="仿宋" w:eastAsia="仿宋" w:cs="仿宋"/>
          <w:color w:val="auto"/>
          <w:sz w:val="21"/>
          <w:szCs w:val="21"/>
          <w:lang w:val="en-US" w:eastAsia="zh-CN"/>
        </w:rPr>
      </w:pP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*1、规格尺寸（长宽高mm）：大≥22.2×22.2×3</w:t>
      </w:r>
    </w:p>
    <w:p>
      <w:pPr>
        <w:ind w:firstLine="2730" w:firstLineChars="13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中≥20.6×20.6×2.7  </w:t>
      </w:r>
    </w:p>
    <w:p>
      <w:pPr>
        <w:ind w:firstLine="2730" w:firstLineChars="13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小≥19.2×19.2×2.7</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三种规格可任选其一</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*2、分指板间距离（cm）：大≥2.6  中≥2.25  小≥1.6</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*3、质量：≤0.5kg</w:t>
      </w:r>
    </w:p>
    <w:p>
      <w:pP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4、用途：用于防止和矫正手指屈肌痉挛或挛缩畸形</w:t>
      </w:r>
      <w:r>
        <w:rPr>
          <w:rFonts w:hint="eastAsia" w:ascii="仿宋" w:hAnsi="仿宋" w:eastAsia="仿宋" w:cs="仿宋"/>
          <w:color w:val="auto"/>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二十、主被动训练器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bCs/>
          <w:sz w:val="21"/>
          <w:szCs w:val="21"/>
        </w:rPr>
      </w:pPr>
      <w:r>
        <w:rPr>
          <w:rFonts w:hint="eastAsia" w:ascii="仿宋" w:hAnsi="仿宋" w:eastAsia="仿宋" w:cs="仿宋"/>
          <w:b/>
          <w:bCs/>
          <w:sz w:val="21"/>
          <w:szCs w:val="21"/>
          <w:lang w:val="en-US" w:eastAsia="zh-CN"/>
        </w:rPr>
        <w:t>一、技术</w:t>
      </w:r>
      <w:r>
        <w:rPr>
          <w:rFonts w:hint="eastAsia" w:ascii="仿宋" w:hAnsi="仿宋" w:eastAsia="仿宋" w:cs="仿宋"/>
          <w:b/>
          <w:bCs/>
          <w:sz w:val="21"/>
          <w:szCs w:val="21"/>
        </w:rPr>
        <w:t>参数</w:t>
      </w:r>
    </w:p>
    <w:p>
      <w:pPr>
        <w:spacing w:line="240" w:lineRule="auto"/>
        <w:ind w:left="480" w:hanging="420" w:hanging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1、工作环境：</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a）环境温度范围：5℃～40℃；</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b）环境湿度范围：</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90</w:t>
      </w:r>
      <w:r>
        <w:rPr>
          <w:rFonts w:hint="eastAsia" w:ascii="仿宋" w:hAnsi="仿宋" w:eastAsia="仿宋" w:cs="仿宋"/>
          <w:sz w:val="21"/>
          <w:szCs w:val="21"/>
          <w:highlight w:val="none"/>
        </w:rPr>
        <w:t>％</w:t>
      </w:r>
      <w:r>
        <w:rPr>
          <w:rFonts w:hint="eastAsia" w:ascii="仿宋" w:hAnsi="仿宋" w:eastAsia="仿宋" w:cs="仿宋"/>
          <w:sz w:val="21"/>
          <w:szCs w:val="21"/>
          <w:highlight w:val="none"/>
          <w:lang w:eastAsia="zh-CN"/>
        </w:rPr>
        <w:t>；</w:t>
      </w:r>
    </w:p>
    <w:p>
      <w:pPr>
        <w:spacing w:line="24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c)大气压力范围：700hPa~1060hPa；</w:t>
      </w:r>
    </w:p>
    <w:p>
      <w:pPr>
        <w:spacing w:line="240" w:lineRule="auto"/>
        <w:ind w:firstLine="420" w:firstLineChars="20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d)</w:t>
      </w:r>
      <w:r>
        <w:rPr>
          <w:rFonts w:hint="eastAsia" w:ascii="仿宋" w:hAnsi="仿宋" w:eastAsia="仿宋" w:cs="仿宋"/>
          <w:sz w:val="21"/>
          <w:szCs w:val="21"/>
          <w:highlight w:val="none"/>
        </w:rPr>
        <w:t>电源：</w:t>
      </w:r>
      <w:r>
        <w:rPr>
          <w:rFonts w:hint="eastAsia" w:ascii="仿宋" w:hAnsi="仿宋" w:eastAsia="仿宋" w:cs="仿宋"/>
          <w:sz w:val="21"/>
          <w:szCs w:val="21"/>
          <w:highlight w:val="none"/>
          <w:lang w:eastAsia="zh-CN"/>
        </w:rPr>
        <w:t>额定电压</w:t>
      </w:r>
      <w:r>
        <w:rPr>
          <w:rFonts w:hint="eastAsia" w:ascii="仿宋" w:hAnsi="仿宋" w:eastAsia="仿宋" w:cs="仿宋"/>
          <w:sz w:val="21"/>
          <w:szCs w:val="21"/>
          <w:highlight w:val="none"/>
          <w:lang w:val="en-US" w:eastAsia="zh-CN"/>
        </w:rPr>
        <w:t>a.c.</w:t>
      </w:r>
      <w:r>
        <w:rPr>
          <w:rFonts w:hint="eastAsia" w:ascii="仿宋" w:hAnsi="仿宋" w:eastAsia="仿宋" w:cs="仿宋"/>
          <w:sz w:val="21"/>
          <w:szCs w:val="21"/>
          <w:highlight w:val="none"/>
        </w:rPr>
        <w:t>220V</w:t>
      </w:r>
      <w:r>
        <w:rPr>
          <w:rFonts w:hint="eastAsia" w:ascii="仿宋" w:hAnsi="仿宋" w:eastAsia="仿宋" w:cs="仿宋"/>
          <w:sz w:val="21"/>
          <w:szCs w:val="21"/>
          <w:highlight w:val="none"/>
          <w:lang w:eastAsia="zh-CN"/>
        </w:rPr>
        <w:t>，额定</w:t>
      </w:r>
      <w:r>
        <w:rPr>
          <w:rFonts w:hint="eastAsia" w:ascii="仿宋" w:hAnsi="仿宋" w:eastAsia="仿宋" w:cs="仿宋"/>
          <w:sz w:val="21"/>
          <w:szCs w:val="21"/>
          <w:highlight w:val="none"/>
        </w:rPr>
        <w:t>频率50Hz</w:t>
      </w:r>
      <w:r>
        <w:rPr>
          <w:rFonts w:hint="eastAsia" w:ascii="仿宋" w:hAnsi="仿宋" w:eastAsia="仿宋" w:cs="仿宋"/>
          <w:sz w:val="21"/>
          <w:szCs w:val="21"/>
          <w:highlight w:val="none"/>
          <w:lang w:eastAsia="zh-CN"/>
        </w:rPr>
        <w:t>。</w:t>
      </w:r>
    </w:p>
    <w:p>
      <w:pPr>
        <w:spacing w:line="24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e)</w:t>
      </w:r>
      <w:r>
        <w:rPr>
          <w:rFonts w:hint="eastAsia" w:ascii="仿宋" w:hAnsi="仿宋" w:eastAsia="仿宋" w:cs="仿宋"/>
          <w:sz w:val="21"/>
          <w:szCs w:val="21"/>
          <w:highlight w:val="none"/>
        </w:rPr>
        <w:t>额定输入功率：80VA</w:t>
      </w:r>
      <w:r>
        <w:rPr>
          <w:rFonts w:hint="eastAsia" w:ascii="仿宋" w:hAnsi="仿宋" w:eastAsia="仿宋" w:cs="仿宋"/>
          <w:sz w:val="21"/>
          <w:szCs w:val="21"/>
          <w:highlight w:val="none"/>
          <w:lang w:eastAsia="zh-CN"/>
        </w:rPr>
        <w:t>。</w:t>
      </w:r>
    </w:p>
    <w:p>
      <w:pPr>
        <w:spacing w:line="24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val="en-US" w:eastAsia="zh-CN"/>
        </w:rPr>
        <w:t>*</w:t>
      </w:r>
      <w:r>
        <w:rPr>
          <w:rFonts w:hint="eastAsia" w:ascii="仿宋" w:hAnsi="仿宋" w:eastAsia="仿宋" w:cs="仿宋"/>
          <w:sz w:val="21"/>
          <w:szCs w:val="21"/>
          <w:highlight w:val="none"/>
          <w:lang w:val="en-US" w:eastAsia="zh-CN"/>
        </w:rPr>
        <w:t>2、显示方式：≥6英寸液晶</w:t>
      </w:r>
      <w:r>
        <w:rPr>
          <w:rFonts w:hint="eastAsia" w:ascii="仿宋" w:hAnsi="仿宋" w:eastAsia="仿宋" w:cs="仿宋"/>
          <w:sz w:val="21"/>
          <w:szCs w:val="21"/>
          <w:highlight w:val="none"/>
        </w:rPr>
        <w:t>触摸屏</w:t>
      </w:r>
      <w:r>
        <w:rPr>
          <w:rFonts w:hint="eastAsia" w:ascii="仿宋" w:hAnsi="仿宋" w:eastAsia="仿宋" w:cs="仿宋"/>
          <w:sz w:val="21"/>
          <w:szCs w:val="21"/>
          <w:highlight w:val="none"/>
          <w:lang w:eastAsia="zh-CN"/>
        </w:rPr>
        <w:t>。</w:t>
      </w:r>
    </w:p>
    <w:p>
      <w:pPr>
        <w:spacing w:line="24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val="en-US"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color w:val="000000"/>
          <w:sz w:val="21"/>
          <w:szCs w:val="21"/>
          <w:highlight w:val="none"/>
          <w:lang w:val="en-US" w:eastAsia="zh-CN"/>
        </w:rPr>
        <w:t>屏幕水平方向0°～180°可调，允差±10%；上肢训练部分水平方向0°～180°可调,允差±10%；</w:t>
      </w:r>
      <w:r>
        <w:rPr>
          <w:rFonts w:hint="eastAsia" w:ascii="仿宋" w:hAnsi="仿宋" w:eastAsia="仿宋" w:cs="仿宋"/>
          <w:sz w:val="21"/>
          <w:szCs w:val="21"/>
          <w:highlight w:val="none"/>
        </w:rPr>
        <w:t>产品立杆伸缩调节</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可调节范围0～100mm,允差±10%</w:t>
      </w:r>
      <w:r>
        <w:rPr>
          <w:rFonts w:hint="eastAsia" w:ascii="仿宋" w:hAnsi="仿宋" w:eastAsia="仿宋" w:cs="仿宋"/>
          <w:sz w:val="21"/>
          <w:szCs w:val="21"/>
          <w:highlight w:val="none"/>
          <w:lang w:eastAsia="zh-CN"/>
        </w:rPr>
        <w:t>。</w:t>
      </w:r>
    </w:p>
    <w:p>
      <w:pPr>
        <w:spacing w:line="240" w:lineRule="auto"/>
        <w:rPr>
          <w:rFonts w:hint="eastAsia" w:ascii="仿宋" w:hAnsi="仿宋" w:eastAsia="仿宋" w:cs="仿宋"/>
          <w:sz w:val="21"/>
          <w:szCs w:val="21"/>
          <w:highlight w:val="none"/>
          <w:lang w:eastAsia="zh-CN"/>
        </w:rPr>
      </w:pPr>
      <w:r>
        <w:rPr>
          <w:rFonts w:hint="eastAsia" w:ascii="仿宋" w:hAnsi="仿宋" w:eastAsia="仿宋" w:cs="仿宋"/>
          <w:sz w:val="21"/>
          <w:szCs w:val="21"/>
          <w:lang w:val="en-US"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主动模式</w:t>
      </w:r>
      <w:r>
        <w:rPr>
          <w:rFonts w:hint="eastAsia" w:ascii="仿宋" w:hAnsi="仿宋" w:eastAsia="仿宋" w:cs="仿宋"/>
          <w:sz w:val="21"/>
          <w:szCs w:val="21"/>
          <w:highlight w:val="none"/>
          <w:lang w:eastAsia="zh-CN"/>
        </w:rPr>
        <w:t>：</w:t>
      </w:r>
    </w:p>
    <w:p>
      <w:pPr>
        <w:spacing w:line="24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提供力矩（主动阻力矩），1Nm～15Nm，允差±5%,分15档设定，步进为1Nm；初始设定为1档，每档递增1Nm；在训练过程中显示屏会显示当前的速度，训练时间和阻力；训练结束后，训练结果会在屏幕上显示。</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被动模式</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　　</w:t>
      </w:r>
      <w:r>
        <w:rPr>
          <w:rFonts w:hint="eastAsia" w:ascii="仿宋" w:hAnsi="仿宋" w:eastAsia="仿宋" w:cs="仿宋"/>
          <w:sz w:val="21"/>
          <w:szCs w:val="21"/>
          <w:highlight w:val="none"/>
        </w:rPr>
        <w:t>a）训练时间可调，调节范围：1min～60min，允差±30s，步进为1min，默认20min；</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　　</w:t>
      </w:r>
      <w:r>
        <w:rPr>
          <w:rFonts w:hint="eastAsia" w:ascii="仿宋" w:hAnsi="仿宋" w:eastAsia="仿宋" w:cs="仿宋"/>
          <w:sz w:val="21"/>
          <w:szCs w:val="21"/>
          <w:highlight w:val="none"/>
        </w:rPr>
        <w:t>b)训练速度可调，调节范围：5rpm～55rpm，允差±5rpm，步进1rpm，默认20rpm；</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　　</w:t>
      </w:r>
      <w:r>
        <w:rPr>
          <w:rFonts w:hint="eastAsia" w:ascii="仿宋" w:hAnsi="仿宋" w:eastAsia="仿宋" w:cs="仿宋"/>
          <w:sz w:val="21"/>
          <w:szCs w:val="21"/>
          <w:highlight w:val="none"/>
        </w:rPr>
        <w:t>c)运动方向可调，有正和逆两种运动方向，在训练过程中可以改变方向；</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　　</w:t>
      </w:r>
      <w:r>
        <w:rPr>
          <w:rFonts w:hint="eastAsia" w:ascii="仿宋" w:hAnsi="仿宋" w:eastAsia="仿宋" w:cs="仿宋"/>
          <w:sz w:val="21"/>
          <w:szCs w:val="21"/>
          <w:highlight w:val="none"/>
        </w:rPr>
        <w:t>d)电机输出分为高、中、低3档（允差±20%）：</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　　</w:t>
      </w:r>
      <w:r>
        <w:rPr>
          <w:rFonts w:hint="eastAsia" w:ascii="仿宋" w:hAnsi="仿宋" w:eastAsia="仿宋" w:cs="仿宋"/>
          <w:sz w:val="21"/>
          <w:szCs w:val="21"/>
          <w:highlight w:val="none"/>
        </w:rPr>
        <w:t>e)痉挛功能可选择开启和关闭，痉挛次数训练结束后会在屏幕上显示；</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　　</w:t>
      </w:r>
      <w:r>
        <w:rPr>
          <w:rFonts w:hint="eastAsia" w:ascii="仿宋" w:hAnsi="仿宋" w:eastAsia="仿宋" w:cs="仿宋"/>
          <w:sz w:val="21"/>
          <w:szCs w:val="21"/>
          <w:highlight w:val="none"/>
        </w:rPr>
        <w:t>f)痉挛后方向可调，其方向为固向和变向；固向是痉挛后，旋转方向都与原方向一致；变向是痉挛后，旋转方向都与原方向相反。</w:t>
      </w:r>
    </w:p>
    <w:p>
      <w:pPr>
        <w:spacing w:line="24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6、训练结果</w:t>
      </w:r>
      <w:r>
        <w:rPr>
          <w:rFonts w:hint="eastAsia" w:ascii="仿宋" w:hAnsi="仿宋" w:eastAsia="仿宋" w:cs="仿宋"/>
          <w:sz w:val="21"/>
          <w:szCs w:val="21"/>
          <w:highlight w:val="none"/>
        </w:rPr>
        <w:t>显示</w:t>
      </w:r>
    </w:p>
    <w:p>
      <w:pPr>
        <w:spacing w:line="240" w:lineRule="auto"/>
        <w:ind w:firstLine="42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训练结束时，显示屏会显示锻炼时间，主动时间，左平衡比例、右平衡比例、被动时间、痉挛次数、卡路里、距离。</w:t>
      </w:r>
    </w:p>
    <w:p>
      <w:pPr>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训练仪工作噪音≤60dB（A）。</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二十一、低频神经和肌肉电刺激仪</w:t>
      </w:r>
    </w:p>
    <w:p>
      <w:pPr>
        <w:spacing w:line="240" w:lineRule="auto"/>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一、</w:t>
      </w:r>
      <w:r>
        <w:rPr>
          <w:rFonts w:hint="eastAsia" w:ascii="仿宋" w:hAnsi="仿宋" w:eastAsia="仿宋" w:cs="仿宋"/>
          <w:b/>
          <w:bCs/>
          <w:color w:val="auto"/>
          <w:sz w:val="21"/>
          <w:szCs w:val="21"/>
        </w:rPr>
        <w:t>技术参数：</w:t>
      </w:r>
    </w:p>
    <w:p>
      <w:pPr>
        <w:spacing w:line="24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额定</w:t>
      </w:r>
      <w:r>
        <w:rPr>
          <w:rFonts w:hint="eastAsia" w:ascii="仿宋" w:hAnsi="仿宋" w:eastAsia="仿宋" w:cs="仿宋"/>
          <w:color w:val="auto"/>
          <w:sz w:val="21"/>
          <w:szCs w:val="21"/>
        </w:rPr>
        <w:t>电压</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220V，</w:t>
      </w:r>
      <w:r>
        <w:rPr>
          <w:rFonts w:hint="eastAsia" w:ascii="仿宋" w:hAnsi="仿宋" w:eastAsia="仿宋" w:cs="仿宋"/>
          <w:color w:val="auto"/>
          <w:sz w:val="21"/>
          <w:szCs w:val="21"/>
          <w:lang w:val="en-US" w:eastAsia="zh-CN"/>
        </w:rPr>
        <w:t>额定</w:t>
      </w:r>
      <w:r>
        <w:rPr>
          <w:rFonts w:hint="eastAsia" w:ascii="仿宋" w:hAnsi="仿宋" w:eastAsia="仿宋" w:cs="仿宋"/>
          <w:color w:val="auto"/>
          <w:sz w:val="21"/>
          <w:szCs w:val="21"/>
        </w:rPr>
        <w:t>频率</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50Hz</w:t>
      </w:r>
      <w:r>
        <w:rPr>
          <w:rFonts w:hint="eastAsia" w:ascii="仿宋" w:hAnsi="仿宋" w:eastAsia="仿宋" w:cs="仿宋"/>
          <w:color w:val="auto"/>
          <w:sz w:val="21"/>
          <w:szCs w:val="21"/>
          <w:lang w:eastAsia="zh-CN"/>
        </w:rPr>
        <w:t>。</w:t>
      </w:r>
    </w:p>
    <w:p>
      <w:pPr>
        <w:spacing w:line="24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2、额定输入功率：</w:t>
      </w:r>
      <w:r>
        <w:rPr>
          <w:rFonts w:hint="eastAsia" w:ascii="仿宋" w:hAnsi="仿宋" w:eastAsia="仿宋" w:cs="仿宋"/>
          <w:color w:val="auto"/>
          <w:sz w:val="21"/>
          <w:szCs w:val="21"/>
          <w:lang w:val="en-US" w:eastAsia="zh-CN"/>
        </w:rPr>
        <w:t>≥35</w:t>
      </w:r>
      <w:r>
        <w:rPr>
          <w:rFonts w:hint="eastAsia" w:ascii="仿宋" w:hAnsi="仿宋" w:eastAsia="仿宋" w:cs="仿宋"/>
          <w:color w:val="auto"/>
          <w:sz w:val="21"/>
          <w:szCs w:val="21"/>
        </w:rPr>
        <w:t>VA</w:t>
      </w:r>
      <w:r>
        <w:rPr>
          <w:rFonts w:hint="eastAsia" w:ascii="仿宋" w:hAnsi="仿宋" w:eastAsia="仿宋" w:cs="仿宋"/>
          <w:color w:val="auto"/>
          <w:sz w:val="21"/>
          <w:szCs w:val="21"/>
          <w:lang w:eastAsia="zh-CN"/>
        </w:rPr>
        <w:t>。</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3、脉冲频率：</w:t>
      </w:r>
    </w:p>
    <w:p>
      <w:pPr>
        <w:spacing w:line="240" w:lineRule="auto"/>
        <w:ind w:firstLine="420" w:firstLineChars="200"/>
        <w:rPr>
          <w:rFonts w:hint="eastAsia" w:ascii="仿宋" w:hAnsi="仿宋" w:eastAsia="仿宋" w:cs="仿宋"/>
          <w:color w:val="auto"/>
          <w:sz w:val="21"/>
          <w:szCs w:val="21"/>
        </w:rPr>
      </w:pPr>
      <w:bookmarkStart w:id="51" w:name="OLE_LINK2"/>
      <w:r>
        <w:rPr>
          <w:rFonts w:hint="eastAsia" w:ascii="仿宋" w:hAnsi="仿宋" w:eastAsia="仿宋" w:cs="仿宋"/>
          <w:color w:val="auto"/>
          <w:sz w:val="21"/>
          <w:szCs w:val="21"/>
        </w:rPr>
        <w:t>第Ⅰ档（完全失神经）：输出脉冲频率为500Hz，调制波频率为0.5Hz～10Hz，步进为0.5Hz，允差±15%；</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第Ⅱ档（部分失神经）：输出脉冲频率为0.5Hz～10Hz，步进为0.5Hz，允差±15%。</w:t>
      </w:r>
      <w:bookmarkEnd w:id="51"/>
    </w:p>
    <w:p>
      <w:pPr>
        <w:spacing w:line="240" w:lineRule="auto"/>
        <w:rPr>
          <w:rFonts w:hint="eastAsia" w:ascii="仿宋" w:hAnsi="仿宋" w:eastAsia="仿宋" w:cs="仿宋"/>
          <w:color w:val="auto"/>
          <w:sz w:val="21"/>
          <w:szCs w:val="21"/>
        </w:rPr>
      </w:pPr>
      <w:r>
        <w:rPr>
          <w:rFonts w:hint="eastAsia" w:ascii="仿宋" w:hAnsi="仿宋" w:eastAsia="仿宋" w:cs="仿宋"/>
          <w:sz w:val="21"/>
          <w:szCs w:val="21"/>
          <w:lang w:val="en-US" w:eastAsia="zh-CN"/>
        </w:rPr>
        <w:t>*</w:t>
      </w:r>
      <w:r>
        <w:rPr>
          <w:rFonts w:hint="eastAsia" w:ascii="仿宋" w:hAnsi="仿宋" w:eastAsia="仿宋" w:cs="仿宋"/>
          <w:color w:val="auto"/>
          <w:sz w:val="21"/>
          <w:szCs w:val="21"/>
        </w:rPr>
        <w:t>4、脉冲宽度：</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第Ⅰ档（完全失神经）：脉冲宽度由5个1ms组成，调制波宽度为10ms，允差±30%；</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第Ⅱ档（部分失神经）：脉冲宽度为10ms，允差±30%。</w:t>
      </w:r>
    </w:p>
    <w:p>
      <w:pPr>
        <w:spacing w:line="24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5、刺激仪在500Ω的负载电阻下，幅值最大50V</w:t>
      </w:r>
      <w:r>
        <w:rPr>
          <w:rFonts w:hint="eastAsia" w:ascii="仿宋" w:hAnsi="仿宋" w:eastAsia="仿宋" w:cs="仿宋"/>
          <w:color w:val="auto"/>
          <w:sz w:val="21"/>
          <w:szCs w:val="21"/>
          <w:lang w:val="en-US" w:eastAsia="zh-CN"/>
        </w:rPr>
        <w:t>(峰值电流≤100mA)</w:t>
      </w:r>
      <w:r>
        <w:rPr>
          <w:rFonts w:hint="eastAsia" w:ascii="仿宋" w:hAnsi="仿宋" w:eastAsia="仿宋" w:cs="仿宋"/>
          <w:color w:val="auto"/>
          <w:sz w:val="21"/>
          <w:szCs w:val="21"/>
        </w:rPr>
        <w:t>，允差±15%</w:t>
      </w:r>
      <w:r>
        <w:rPr>
          <w:rFonts w:hint="eastAsia" w:ascii="仿宋" w:hAnsi="仿宋" w:eastAsia="仿宋" w:cs="仿宋"/>
          <w:color w:val="auto"/>
          <w:sz w:val="21"/>
          <w:szCs w:val="21"/>
          <w:lang w:eastAsia="zh-CN"/>
        </w:rPr>
        <w:t>。</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治疗时间：5min、10min、15min、20min、25min、30min分六档可调，每档时间允差±10</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，刺激仪治疗时间结束有蜂鸣器提示声，并停止输出。</w:t>
      </w:r>
    </w:p>
    <w:p>
      <w:pPr>
        <w:spacing w:line="240" w:lineRule="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输出波形：双向不对称方波</w:t>
      </w:r>
      <w:r>
        <w:rPr>
          <w:rFonts w:hint="eastAsia" w:ascii="仿宋" w:hAnsi="仿宋" w:eastAsia="仿宋" w:cs="仿宋"/>
          <w:color w:val="auto"/>
          <w:sz w:val="21"/>
          <w:szCs w:val="21"/>
          <w:lang w:eastAsia="zh-CN"/>
        </w:rPr>
        <w:t>。</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、三通道脉冲输出（每个通道分两路输出）</w:t>
      </w:r>
    </w:p>
    <w:p>
      <w:pPr>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9、输出端开路时，输出峰值电压应不大于500V。</w:t>
      </w:r>
    </w:p>
    <w:p>
      <w:pPr>
        <w:spacing w:line="24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10、单个脉冲最大输出能量不超过300mJ。</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11、刺激仪输出控制都调至最大，将输出端开路运行10min，再短路运行5min，在此试验之后，刺激仪必须符合各项参数。</w:t>
      </w:r>
    </w:p>
    <w:p>
      <w:pPr>
        <w:keepNext w:val="0"/>
        <w:keepLines w:val="0"/>
        <w:pageBreakBefore w:val="0"/>
        <w:kinsoku/>
        <w:wordWrap/>
        <w:overflowPunct/>
        <w:topLinePunct w:val="0"/>
        <w:bidi w:val="0"/>
        <w:adjustRightInd/>
        <w:snapToGrid/>
        <w:spacing w:line="240" w:lineRule="auto"/>
        <w:jc w:val="left"/>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w:t>
      </w:r>
      <w:r>
        <w:rPr>
          <w:rFonts w:hint="eastAsia" w:ascii="仿宋" w:hAnsi="仿宋" w:eastAsia="仿宋" w:cs="仿宋"/>
          <w:color w:val="auto"/>
          <w:sz w:val="21"/>
          <w:szCs w:val="21"/>
          <w:lang w:val="en-US" w:eastAsia="zh-CN"/>
        </w:rPr>
        <w:t>12、电极片具有一类医疗器械备案凭证</w:t>
      </w:r>
      <w:r>
        <w:rPr>
          <w:rFonts w:hint="eastAsia" w:ascii="仿宋" w:hAnsi="仿宋" w:eastAsia="仿宋" w:cs="仿宋"/>
          <w:color w:val="auto"/>
          <w:sz w:val="21"/>
          <w:szCs w:val="21"/>
        </w:rPr>
        <w:t>。</w:t>
      </w:r>
    </w:p>
    <w:p>
      <w:pPr>
        <w:spacing w:line="240" w:lineRule="auto"/>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val="en-US" w:eastAsia="zh-CN"/>
        </w:rPr>
        <w:t>二、</w:t>
      </w:r>
      <w:r>
        <w:rPr>
          <w:rFonts w:hint="eastAsia" w:ascii="仿宋" w:hAnsi="仿宋" w:eastAsia="仿宋" w:cs="仿宋"/>
          <w:b/>
          <w:color w:val="auto"/>
          <w:sz w:val="21"/>
          <w:szCs w:val="21"/>
          <w:lang w:eastAsia="zh-CN"/>
        </w:rPr>
        <w:t>产品优势</w:t>
      </w:r>
    </w:p>
    <w:p>
      <w:pPr>
        <w:pStyle w:val="229"/>
        <w:numPr>
          <w:ilvl w:val="0"/>
          <w:numId w:val="0"/>
        </w:numPr>
        <w:tabs>
          <w:tab w:val="center" w:pos="4201"/>
          <w:tab w:val="right" w:leader="dot" w:pos="9298"/>
        </w:tabs>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1、操作显示面板为钢化玻璃+弹簧触摸按键+数码管显示，整体外观及参数显示清晰、简洁；</w:t>
      </w:r>
    </w:p>
    <w:p>
      <w:pPr>
        <w:pStyle w:val="229"/>
        <w:numPr>
          <w:ilvl w:val="0"/>
          <w:numId w:val="0"/>
        </w:numPr>
        <w:tabs>
          <w:tab w:val="center" w:pos="4201"/>
          <w:tab w:val="right" w:leader="dot" w:pos="9298"/>
        </w:tabs>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2、参数调节的量化更精准，更容易控制；</w:t>
      </w:r>
    </w:p>
    <w:p>
      <w:pPr>
        <w:pStyle w:val="229"/>
        <w:numPr>
          <w:ilvl w:val="0"/>
          <w:numId w:val="0"/>
        </w:numPr>
        <w:tabs>
          <w:tab w:val="center" w:pos="4201"/>
          <w:tab w:val="right" w:leader="dot" w:pos="9298"/>
        </w:tabs>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3、每路参数独立可调，可满足不同病人或同一病人不同部位对治疗参数的个异化设置的需求；</w:t>
      </w:r>
    </w:p>
    <w:p>
      <w:pPr>
        <w:pStyle w:val="229"/>
        <w:numPr>
          <w:ilvl w:val="0"/>
          <w:numId w:val="0"/>
        </w:numPr>
        <w:tabs>
          <w:tab w:val="center" w:pos="4201"/>
          <w:tab w:val="right" w:leader="dot" w:pos="9298"/>
        </w:tabs>
        <w:spacing w:line="240" w:lineRule="auto"/>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w:t>
      </w:r>
      <w:r>
        <w:rPr>
          <w:rFonts w:hint="eastAsia" w:ascii="仿宋" w:hAnsi="仿宋" w:eastAsia="仿宋" w:cs="仿宋"/>
          <w:color w:val="auto"/>
          <w:kern w:val="2"/>
          <w:sz w:val="21"/>
          <w:szCs w:val="21"/>
          <w:lang w:val="en-US" w:eastAsia="zh-CN" w:bidi="ar-SA"/>
        </w:rPr>
        <w:t>4、开/短路保护功能：输出通道发生开路或者短路，对应通道有声光提示并停止输出，对患者和操作者起到保护作用，同时对问题排查更加直接，节省操作者问题排查时间。</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二十二、急救保健箱</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特    点：该系列急救箱具有体积小、重量轻、结构紧凑、布局合理、携带方便等特点，各种物品均有固定位置，开箱可见，取装方便。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箱内装有小型医用供氧器、常用诊断用具、急救药品（自备）、器械与器材。各种物品均属定型标准产品。</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急救保健箱内科型：≤43.5×35.5×18cm</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*外箱材质：铝合金</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内置：</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1、供氧器        1台</w:t>
      </w:r>
    </w:p>
    <w:p>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2、吸氧管        1根</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3、</w:t>
      </w:r>
      <w:r>
        <w:rPr>
          <w:rFonts w:hint="eastAsia" w:ascii="仿宋" w:hAnsi="仿宋" w:eastAsia="仿宋" w:cs="仿宋"/>
        </w:rPr>
        <w:t>加湿器</w:t>
      </w:r>
      <w:r>
        <w:rPr>
          <w:rFonts w:hint="eastAsia" w:ascii="仿宋" w:hAnsi="仿宋" w:eastAsia="仿宋" w:cs="仿宋"/>
          <w:lang w:val="en-US" w:eastAsia="zh-CN"/>
        </w:rPr>
        <w:t xml:space="preserve">        1台</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4、氧桥          1个</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5、专用扳手      1把</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6、血压表        1个</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7、听诊器        1个</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8、体温计        1个</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9、金属压舌板    1个</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10、笔式手电筒   1个</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11、手术剪       1把</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12、敷料镊       1把</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13、针灸针       1套</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14、三角巾急救包（压缩灭菌）1包</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15、绷带         2条</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16、胶布         1卷</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17、棉签         2包</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18、止血带       1根</w:t>
      </w:r>
    </w:p>
    <w:p>
      <w:pPr>
        <w:numPr>
          <w:ilvl w:val="0"/>
          <w:numId w:val="0"/>
        </w:numPr>
        <w:ind w:leftChars="0"/>
        <w:rPr>
          <w:rFonts w:hint="eastAsia" w:ascii="仿宋" w:hAnsi="仿宋" w:eastAsia="仿宋" w:cs="仿宋"/>
          <w:lang w:val="en-US" w:eastAsia="zh-CN"/>
        </w:rPr>
      </w:pPr>
      <w:r>
        <w:rPr>
          <w:rFonts w:hint="eastAsia" w:ascii="仿宋" w:hAnsi="仿宋" w:eastAsia="仿宋" w:cs="仿宋"/>
          <w:lang w:val="en-US" w:eastAsia="zh-CN"/>
        </w:rPr>
        <w:t>19、创可贴       4个</w:t>
      </w:r>
    </w:p>
    <w:p>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lang w:val="en-US" w:eastAsia="zh-CN"/>
        </w:rPr>
        <w:t>20、酒精棉球     1包</w:t>
      </w: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二十三、骨折固定装置</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1.肋骨固定带M-2XL，材质透气布料＋2个钢板 </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2.手指夹板短、中、长材质是海绵和铝合金板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3.肘关节固定带L，材质透气布料+钢板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4.肩部固定带左和右材质是棉布加钢板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5.颈托材质高分子海绵，大腿至小腿的固定支具透气布料+钢板</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6.踝骨固定带材质透气布料+钢板，髋关节固定支具材质棉布+塑料+铝合金。</w:t>
      </w: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二十四、监控设备</w:t>
      </w:r>
    </w:p>
    <w:p>
      <w:pPr>
        <w:numPr>
          <w:ilvl w:val="0"/>
          <w:numId w:val="7"/>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视频输入：720p/960P/3MP/4mp/5mp，交换机：8口交换机。</w:t>
      </w:r>
    </w:p>
    <w:p>
      <w:pPr>
        <w:numPr>
          <w:ilvl w:val="0"/>
          <w:numId w:val="7"/>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输出：1路，HDMI接口：分辨率：4K/30HZ。</w:t>
      </w:r>
    </w:p>
    <w:p>
      <w:pPr>
        <w:numPr>
          <w:ilvl w:val="0"/>
          <w:numId w:val="7"/>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视频接口：5个视频接口。</w:t>
      </w:r>
    </w:p>
    <w:p>
      <w:pPr>
        <w:numPr>
          <w:ilvl w:val="0"/>
          <w:numId w:val="7"/>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配置组成：硬盘录像机，摄像机，支架，电源，硬盘，显示器，网线，电源线。</w:t>
      </w:r>
    </w:p>
    <w:p>
      <w:pPr>
        <w:numPr>
          <w:ilvl w:val="0"/>
          <w:numId w:val="7"/>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电源：DC12W,功率：3w。</w:t>
      </w:r>
    </w:p>
    <w:p>
      <w:pPr>
        <w:numPr>
          <w:ilvl w:val="0"/>
          <w:numId w:val="7"/>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安装方式：壁装。</w:t>
      </w: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二十五、定位设备</w:t>
      </w:r>
    </w:p>
    <w:p>
      <w:pPr>
        <w:rPr>
          <w:rFonts w:hint="eastAsia" w:ascii="仿宋" w:hAnsi="仿宋" w:eastAsia="仿宋" w:cs="仿宋"/>
          <w:sz w:val="21"/>
          <w:szCs w:val="21"/>
          <w:lang w:val="en-US" w:eastAsia="zh-CN"/>
        </w:rPr>
      </w:pPr>
    </w:p>
    <w:p>
      <w:pPr>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人</w:t>
      </w:r>
      <w:r>
        <w:rPr>
          <w:rFonts w:hint="eastAsia" w:ascii="仿宋" w:hAnsi="仿宋" w:eastAsia="仿宋" w:cs="仿宋"/>
          <w:color w:val="auto"/>
          <w:sz w:val="21"/>
          <w:szCs w:val="21"/>
          <w:lang w:val="en-US" w:eastAsia="zh-CN"/>
        </w:rPr>
        <w:t>员定位卡</w:t>
      </w:r>
    </w:p>
    <w:p>
      <w:pPr>
        <w:numPr>
          <w:ilvl w:val="0"/>
          <w:numId w:val="0"/>
        </w:num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 w:val="21"/>
          <w:szCs w:val="21"/>
          <w:lang w:val="en-US" w:eastAsia="zh-CN"/>
        </w:rPr>
        <w:t>可调的识别距离:≥0～80米</w:t>
      </w:r>
    </w:p>
    <w:p>
      <w:pPr>
        <w:numPr>
          <w:ilvl w:val="0"/>
          <w:numId w:val="0"/>
        </w:num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w:t>
      </w:r>
      <w:r>
        <w:rPr>
          <w:rFonts w:hint="eastAsia" w:ascii="仿宋" w:hAnsi="仿宋" w:eastAsia="仿宋" w:cs="仿宋"/>
          <w:color w:val="auto"/>
          <w:kern w:val="2"/>
          <w:sz w:val="21"/>
          <w:szCs w:val="21"/>
          <w:lang w:val="en-US" w:eastAsia="zh-CN" w:bidi="ar-SA"/>
        </w:rPr>
        <w:t>2.全向识别:≥180公里/小时识速度</w:t>
      </w:r>
    </w:p>
    <w:p>
      <w:pPr>
        <w:numPr>
          <w:ilvl w:val="0"/>
          <w:numId w:val="0"/>
        </w:num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w:t>
      </w:r>
      <w:r>
        <w:rPr>
          <w:rFonts w:hint="eastAsia" w:ascii="仿宋" w:hAnsi="仿宋" w:eastAsia="仿宋" w:cs="仿宋"/>
          <w:color w:val="auto"/>
          <w:kern w:val="2"/>
          <w:sz w:val="21"/>
          <w:szCs w:val="21"/>
          <w:lang w:val="en-US" w:eastAsia="zh-CN" w:bidi="ar-SA"/>
        </w:rPr>
        <w:t>3.识别能力：≥180张/秒的防冲突性能</w:t>
      </w:r>
    </w:p>
    <w:p>
      <w:pPr>
        <w:numPr>
          <w:ilvl w:val="0"/>
          <w:numId w:val="0"/>
        </w:num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4.频段：2.45GHz/125KHz/13.56MHz（可选配置）</w:t>
      </w:r>
    </w:p>
    <w:p>
      <w:pPr>
        <w:numPr>
          <w:ilvl w:val="0"/>
          <w:numId w:val="0"/>
        </w:num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5.频道隔离技术，多个设备互不干扰</w:t>
      </w:r>
    </w:p>
    <w:p>
      <w:pPr>
        <w:numPr>
          <w:ilvl w:val="0"/>
          <w:numId w:val="0"/>
        </w:num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6.加密计算与安全认证，防止链路侦测</w:t>
      </w:r>
    </w:p>
    <w:p>
      <w:pPr>
        <w:numPr>
          <w:ilvl w:val="0"/>
          <w:numId w:val="0"/>
        </w:numP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7.内置报警按钮功能（可选）</w:t>
      </w:r>
    </w:p>
    <w:p>
      <w:pPr>
        <w:numPr>
          <w:ilvl w:val="0"/>
          <w:numId w:val="0"/>
        </w:numPr>
        <w:rPr>
          <w:rFonts w:hint="default"/>
          <w:color w:val="auto"/>
          <w:lang w:val="en-US" w:eastAsia="zh-CN"/>
        </w:rPr>
      </w:pPr>
      <w:r>
        <w:rPr>
          <w:rFonts w:hint="eastAsia" w:ascii="仿宋" w:hAnsi="仿宋" w:eastAsia="仿宋" w:cs="仿宋"/>
          <w:color w:val="auto"/>
          <w:kern w:val="2"/>
          <w:sz w:val="21"/>
          <w:szCs w:val="21"/>
          <w:lang w:val="en-US" w:eastAsia="zh-CN" w:bidi="ar-SA"/>
        </w:rPr>
        <w:t>8.电池（软包/纽扣，可选)</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*9.电池工作时间≥2年</w:t>
      </w:r>
      <w:r>
        <w:rPr>
          <w:rFonts w:hint="eastAsia" w:ascii="仿宋" w:hAnsi="仿宋" w:eastAsia="仿宋" w:cs="仿宋"/>
          <w:color w:val="auto"/>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二十六、电脑</w:t>
      </w:r>
    </w:p>
    <w:p>
      <w:pPr>
        <w:rPr>
          <w:rFonts w:hint="eastAsia" w:ascii="仿宋" w:hAnsi="仿宋" w:eastAsia="仿宋" w:cs="仿宋"/>
          <w:sz w:val="21"/>
          <w:szCs w:val="21"/>
          <w:lang w:val="en-US" w:eastAsia="zh-CN"/>
        </w:rPr>
      </w:pP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1.商品毛重：10.0kg</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2.屏幕尺寸：21.5寸显示器</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3.支持IPv6：支持IPv6</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4.系统：Windows 10</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5.机箱大小：10-20L</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6.处理器：intel i3</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7.优选服务：上门服务，三年质保，7*24H咨询</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8.硬盘容量：1TB HDD</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9.内存容量：4GB</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10.显卡型号：集成显卡</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11.类型：整套</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12.特性：拆机保修</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二十七、笔记本电脑</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1.笔记本电脑MateBook D14 全面屏14英寸轻薄商务办公手提本 D14银 i5 16G+512G集显2022款</w:t>
      </w:r>
    </w:p>
    <w:p>
      <w:pPr>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color w:val="auto"/>
          <w:sz w:val="21"/>
          <w:szCs w:val="21"/>
          <w:lang w:val="en-US" w:eastAsia="zh-CN"/>
        </w:rPr>
        <w:t>.商品毛重：2.0kg</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*3.屏幕色域：≥100%sRGB</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4.类型：轻薄笔记本</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5.系统：Windows 11 带Office</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*6.厚度：≤15.1-18.0mm</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7.机身材质：金属</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8.显卡芯片供应商：Intel</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9.屏幕比例：16:9</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10.系列：华为 - MateBookD</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*11.支持IPv6：支持IPv6</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12.处理器：intel i5</w:t>
      </w:r>
    </w:p>
    <w:p>
      <w:pP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13.屏幕刷新率：60Hz</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14.内存容量：16GB</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15.特性：PCI-E高速固态硬盘，指纹识别，快速充电</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16.显卡型号：intel 集成显卡</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17.优选服务：两年质保</w:t>
      </w:r>
    </w:p>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18.固态硬盘（SSD）：512GB</w:t>
      </w: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1"/>
          <w:szCs w:val="21"/>
          <w:lang w:val="en-US" w:eastAsia="zh-CN"/>
        </w:rPr>
      </w:pPr>
      <w:r>
        <w:rPr>
          <w:rFonts w:hint="eastAsia" w:ascii="仿宋" w:hAnsi="仿宋" w:eastAsia="仿宋" w:cs="仿宋"/>
          <w:sz w:val="28"/>
          <w:szCs w:val="28"/>
          <w:lang w:val="en-US" w:eastAsia="zh-CN"/>
        </w:rPr>
        <w:t>二十八、电视机</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一、</w:t>
      </w:r>
      <w:r>
        <w:rPr>
          <w:rFonts w:hint="eastAsia" w:ascii="仿宋" w:hAnsi="仿宋" w:eastAsia="仿宋" w:cs="仿宋"/>
          <w:sz w:val="21"/>
          <w:szCs w:val="21"/>
          <w:lang w:val="en-US" w:eastAsia="zh-CN"/>
        </w:rPr>
        <w:t>主体参数：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1.触摸屏：非触摸屏</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2.显示类型：LED显示</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二、显示参数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1.色域标准：BT.709</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2.对比度：4000:1</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3.色域值：95%</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4.屏幕尺寸：43英寸</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5.屏幕分辨率：16:9</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6.亮度：200-300尼特</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7.支持格式（高清）：1080P/1080i/720P</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三、核心参数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1.运行内存/RAM：1GB</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2.CPU架构：四核A53</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3.背光方式：直下式/DLED</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4.WIFI频段：2.4G</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5.存储内存：8GB</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四、音频参数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1.音响功率：20W</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2.发声单元：1个</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五、外观设计参数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1.屏占比：97%＞N≥95%</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2.底座材质：塑料</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3.单屏重量：5.5kg</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4.边框材质：金属</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5.安装孔距：200*200mm</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六、端口参数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1.HDMI（ARC）接口：有</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2.DP接口：无</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3.同轴音频输出：支持</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4.USB 2.0接口：1个 </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5.HDMI2.0接口：1个</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6.数字RF接口：支持</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7.模拟RF接口：支持</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七、功耗参数</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1.电源功率：75W</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2.待机功率：0.5W</w:t>
      </w:r>
    </w:p>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3.工作电压:220V</w:t>
      </w:r>
      <w:r>
        <w:rPr>
          <w:rFonts w:hint="eastAsia" w:ascii="仿宋" w:hAnsi="仿宋" w:eastAsia="仿宋" w:cs="仿宋"/>
          <w:sz w:val="21"/>
          <w:szCs w:val="21"/>
          <w:lang w:val="en-US" w:eastAsia="zh-CN"/>
        </w:rPr>
        <w:br w:type="page"/>
      </w:r>
    </w:p>
    <w:p>
      <w:pPr>
        <w:numPr>
          <w:ilvl w:val="0"/>
          <w:numId w:val="0"/>
        </w:num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二十九、打印机</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1、产品类型：彩色激光打印机</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2、双面打印：手动双面打印</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3、处理器：400MHz</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4、标配内存：不得小于64M</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color w:val="auto"/>
          <w:sz w:val="21"/>
          <w:szCs w:val="21"/>
          <w:lang w:val="en-US" w:eastAsia="zh-CN"/>
        </w:rPr>
        <w:t>接口类型：USB 2.0接口</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*6、纸张输出容量:≤40页</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*7、纸张输入容量：纸盒≥120页</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一、打印参数：</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*1、预热时间：≤40秒</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2、打印语言：SPL</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3、首页输出时间：黑白12.4秒（就绪），彩色25.3秒（就绪）；黑白13秒（睡眠），彩色26秒（睡眠）</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*4、黑白打印速度：≤20ppm（ISO，Letter），18ppm（ISO，A4）</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*5、彩色打印速度：≤5ppm</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6、最大打印幅面：A4,上下左右边距：5mm</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7、打印分辨率：600×600dpi</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*8、最大月打印量：≥18000页/月</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二、耗材参数</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1、打印介质：普通纸，轻量纸，重型纸，超重型纸，彩色纸，预打印纸，再生纸</w:t>
      </w:r>
      <w:r>
        <w:rPr>
          <w:rFonts w:hint="eastAsia" w:ascii="仿宋" w:hAnsi="仿宋" w:eastAsia="仿宋" w:cs="仿宋"/>
          <w:sz w:val="21"/>
          <w:szCs w:val="21"/>
          <w:lang w:val="en-US" w:eastAsia="zh-CN"/>
        </w:rPr>
        <w:t>，标签纸，证券纸，光面纸</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2、介质尺寸：A4，A5，A6，B5(JIS)，Oficio 216x340 ，自定义：76×148.5-216×356mm</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3、介质重量：60-220g/㎡</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4、耗材型号：鼓粉分离</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三、功耗参数</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1、电源：AC220-240V</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2、功率：有效打印：282W，就绪：27W，睡眠：1.0W，手动关闭：0.2W</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四、其它参数</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1、适用平台：Windows 7/8/8.1/10 (32/64bit)，Windows 2012 Server/2016 Server</w:t>
      </w:r>
    </w:p>
    <w:p>
      <w:pPr>
        <w:pStyle w:val="17"/>
        <w:keepNext w:val="0"/>
        <w:keepLines w:val="0"/>
        <w:pageBreakBefore w:val="0"/>
        <w:widowControl w:val="0"/>
        <w:kinsoku/>
        <w:wordWrap/>
        <w:overflowPunct/>
        <w:topLinePunct w:val="0"/>
        <w:autoSpaceDE/>
        <w:autoSpaceDN/>
        <w:bidi w:val="0"/>
        <w:adjustRightInd/>
        <w:snapToGrid/>
        <w:spacing w:before="0" w:line="120" w:lineRule="auto"/>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2、其它性能：手动双面打印，书册打印，多页合并打印，跳过空白页，电子配页，海报打印，水印，允许使用各种尺寸和类型的纸张</w:t>
      </w:r>
    </w:p>
    <w:p>
      <w:pPr>
        <w:bidi w:val="0"/>
        <w:rPr>
          <w:rFonts w:hint="default"/>
          <w:lang w:val="en-US" w:eastAsia="zh-CN"/>
        </w:rPr>
      </w:pPr>
    </w:p>
    <w:p>
      <w:pPr>
        <w:numPr>
          <w:ilvl w:val="0"/>
          <w:numId w:val="0"/>
        </w:numPr>
        <w:jc w:val="center"/>
        <w:rPr>
          <w:rFonts w:hint="eastAsia" w:ascii="仿宋" w:hAnsi="仿宋" w:eastAsia="仿宋" w:cs="仿宋"/>
          <w:sz w:val="28"/>
          <w:szCs w:val="28"/>
          <w:lang w:val="en-US" w:eastAsia="zh-CN"/>
        </w:rPr>
      </w:pPr>
      <w:r>
        <w:rPr>
          <w:rFonts w:hint="eastAsia"/>
          <w:lang w:val="en-US" w:eastAsia="zh-CN"/>
        </w:rPr>
        <w:tab/>
      </w:r>
      <w:r>
        <w:rPr>
          <w:rFonts w:hint="eastAsia" w:ascii="仿宋" w:hAnsi="仿宋" w:eastAsia="仿宋" w:cs="仿宋"/>
          <w:sz w:val="28"/>
          <w:szCs w:val="28"/>
          <w:lang w:val="en-US" w:eastAsia="zh-CN"/>
        </w:rPr>
        <w:t>三十、</w:t>
      </w: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微波炉</w:t>
      </w:r>
    </w:p>
    <w:p>
      <w:pPr>
        <w:numPr>
          <w:ilvl w:val="0"/>
          <w:numId w:val="8"/>
        </w:numPr>
        <w:tabs>
          <w:tab w:val="left" w:pos="2744"/>
        </w:tabs>
        <w:bidi w:val="0"/>
        <w:ind w:left="420" w:leftChars="0" w:firstLineChars="0"/>
        <w:jc w:val="left"/>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sz w:val="21"/>
          <w:szCs w:val="21"/>
          <w:lang w:val="en-US" w:eastAsia="zh-CN"/>
        </w:rPr>
        <w:t>9000W速热</w:t>
      </w:r>
    </w:p>
    <w:p>
      <w:pPr>
        <w:pStyle w:val="2"/>
        <w:numPr>
          <w:ilvl w:val="0"/>
          <w:numId w:val="8"/>
        </w:numPr>
        <w:ind w:left="420" w:leftChars="0" w:firstLine="0" w:firstLine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≥23L平板易清洁快速解冻</w:t>
      </w:r>
    </w:p>
    <w:p>
      <w:pPr>
        <w:pStyle w:val="3"/>
        <w:numPr>
          <w:ilvl w:val="0"/>
          <w:numId w:val="8"/>
        </w:numPr>
        <w:ind w:left="42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PV变频速热</w:t>
      </w:r>
    </w:p>
    <w:p>
      <w:pPr>
        <w:adjustRightInd w:val="0"/>
        <w:snapToGrid w:val="0"/>
        <w:ind w:right="105" w:rightChars="50"/>
        <w:jc w:val="left"/>
        <w:rPr>
          <w:rFonts w:ascii="宋体" w:hAnsi="宋体"/>
          <w:sz w:val="24"/>
          <w:szCs w:val="24"/>
        </w:rPr>
      </w:pPr>
      <w:r>
        <w:rPr>
          <w:rFonts w:hint="eastAsia" w:ascii="宋体" w:hAnsi="宋体"/>
          <w:sz w:val="24"/>
          <w:szCs w:val="24"/>
        </w:rPr>
        <w:t xml:space="preserve"> </w:t>
      </w:r>
    </w:p>
    <w:p>
      <w:pPr>
        <w:adjustRightInd w:val="0"/>
        <w:snapToGrid w:val="0"/>
        <w:ind w:right="105" w:rightChars="50"/>
        <w:jc w:val="left"/>
        <w:rPr>
          <w:rFonts w:ascii="宋体" w:hAnsi="宋体"/>
          <w:sz w:val="24"/>
          <w:szCs w:val="24"/>
        </w:rPr>
      </w:pPr>
      <w:r>
        <w:rPr>
          <w:rFonts w:hint="eastAsia" w:ascii="宋体" w:hAnsi="宋体"/>
          <w:sz w:val="24"/>
          <w:szCs w:val="24"/>
        </w:rPr>
        <w:t xml:space="preserve"> </w:t>
      </w:r>
    </w:p>
    <w:p>
      <w:pPr>
        <w:adjustRightInd w:val="0"/>
        <w:snapToGrid w:val="0"/>
        <w:ind w:right="105" w:rightChars="50"/>
        <w:jc w:val="left"/>
        <w:rPr>
          <w:rFonts w:ascii="宋体" w:hAnsi="宋体"/>
          <w:sz w:val="24"/>
          <w:szCs w:val="24"/>
        </w:rPr>
      </w:pPr>
      <w:r>
        <w:rPr>
          <w:rFonts w:hint="eastAsia" w:ascii="宋体" w:hAnsi="宋体"/>
          <w:sz w:val="24"/>
          <w:szCs w:val="24"/>
        </w:rPr>
        <w:t xml:space="preserve"> </w:t>
      </w:r>
    </w:p>
    <w:p>
      <w:pPr>
        <w:adjustRightInd w:val="0"/>
        <w:snapToGrid w:val="0"/>
        <w:ind w:right="105" w:rightChars="50"/>
        <w:jc w:val="left"/>
        <w:rPr>
          <w:rFonts w:ascii="宋体" w:hAnsi="宋体"/>
          <w:sz w:val="24"/>
          <w:szCs w:val="24"/>
        </w:rPr>
      </w:pPr>
      <w:r>
        <w:rPr>
          <w:rFonts w:hint="eastAsia" w:ascii="宋体" w:hAnsi="宋体"/>
          <w:sz w:val="24"/>
          <w:szCs w:val="24"/>
        </w:rPr>
        <w:t xml:space="preserve"> </w:t>
      </w:r>
    </w:p>
    <w:p>
      <w:pPr>
        <w:adjustRightInd w:val="0"/>
        <w:snapToGrid w:val="0"/>
        <w:ind w:right="105" w:rightChars="50"/>
        <w:jc w:val="left"/>
        <w:rPr>
          <w:rFonts w:ascii="宋体" w:hAnsi="宋体"/>
          <w:sz w:val="24"/>
          <w:szCs w:val="24"/>
        </w:rPr>
      </w:pPr>
      <w:r>
        <w:rPr>
          <w:rFonts w:hint="eastAsia" w:ascii="宋体" w:hAnsi="宋体"/>
          <w:sz w:val="24"/>
          <w:szCs w:val="24"/>
        </w:rPr>
        <w:t xml:space="preserve"> </w:t>
      </w:r>
    </w:p>
    <w:p>
      <w:pPr>
        <w:jc w:val="center"/>
        <w:outlineLvl w:val="0"/>
        <w:rPr>
          <w:rFonts w:cs="宋体" w:asciiTheme="minorEastAsia" w:hAnsiTheme="minorEastAsia"/>
          <w:b/>
          <w:sz w:val="24"/>
          <w:szCs w:val="24"/>
        </w:rPr>
      </w:pPr>
      <w:bookmarkStart w:id="52" w:name="_Toc136609704"/>
      <w:r>
        <w:rPr>
          <w:rFonts w:hint="eastAsia" w:cs="宋体" w:asciiTheme="minorEastAsia" w:hAnsiTheme="minorEastAsia"/>
          <w:b/>
          <w:sz w:val="24"/>
          <w:szCs w:val="24"/>
        </w:rPr>
        <w:t>第五章 竞争性谈判响应文件格式</w:t>
      </w:r>
      <w:bookmarkEnd w:id="52"/>
    </w:p>
    <w:p>
      <w:pPr>
        <w:rPr>
          <w:rFonts w:cs="宋体" w:asciiTheme="minorEastAsia" w:hAnsiTheme="minorEastAsia"/>
          <w:b/>
          <w:sz w:val="24"/>
          <w:szCs w:val="24"/>
        </w:rPr>
      </w:pPr>
    </w:p>
    <w:p>
      <w:pPr>
        <w:rPr>
          <w:rFonts w:cs="宋体" w:asciiTheme="minorEastAsia" w:hAnsiTheme="minorEastAsia"/>
          <w:b/>
          <w:sz w:val="24"/>
          <w:szCs w:val="24"/>
        </w:rPr>
      </w:pPr>
    </w:p>
    <w:p>
      <w:pPr>
        <w:rPr>
          <w:rFonts w:cs="宋体" w:asciiTheme="minorEastAsia" w:hAnsiTheme="minorEastAsia"/>
          <w:sz w:val="24"/>
          <w:szCs w:val="24"/>
          <w:u w:val="single"/>
        </w:rPr>
      </w:pPr>
      <w:r>
        <w:rPr>
          <w:rFonts w:hint="eastAsia" w:cs="宋体" w:asciiTheme="minorEastAsia" w:hAnsiTheme="minorEastAsia"/>
          <w:sz w:val="24"/>
          <w:szCs w:val="24"/>
          <w:u w:val="single"/>
        </w:rPr>
        <w:t>竞争性谈判响应文件封面示例</w:t>
      </w:r>
    </w:p>
    <w:p>
      <w:pPr>
        <w:spacing w:line="720" w:lineRule="auto"/>
        <w:ind w:right="315"/>
        <w:jc w:val="right"/>
        <w:rPr>
          <w:rFonts w:cs="宋体" w:asciiTheme="minorEastAsia" w:hAnsiTheme="minorEastAsia"/>
          <w:b/>
          <w:sz w:val="24"/>
          <w:szCs w:val="24"/>
          <w:bdr w:val="single" w:color="auto" w:sz="4" w:space="0"/>
        </w:rPr>
      </w:pPr>
    </w:p>
    <w:p>
      <w:pPr>
        <w:autoSpaceDE w:val="0"/>
        <w:autoSpaceDN w:val="0"/>
        <w:adjustRightInd w:val="0"/>
        <w:spacing w:line="360" w:lineRule="auto"/>
        <w:jc w:val="center"/>
        <w:rPr>
          <w:rFonts w:cs="宋体" w:asciiTheme="minorEastAsia" w:hAnsiTheme="minorEastAsia"/>
          <w:kern w:val="0"/>
          <w:sz w:val="32"/>
          <w:szCs w:val="32"/>
          <w:u w:val="single"/>
        </w:rPr>
      </w:pPr>
      <w:r>
        <w:rPr>
          <w:rFonts w:hint="eastAsia" w:cs="宋体" w:asciiTheme="minorEastAsia" w:hAnsiTheme="minorEastAsia"/>
          <w:kern w:val="0"/>
          <w:sz w:val="32"/>
          <w:szCs w:val="32"/>
          <w:u w:val="single"/>
        </w:rPr>
        <w:t>项目名称：</w:t>
      </w:r>
    </w:p>
    <w:p>
      <w:pPr>
        <w:autoSpaceDE w:val="0"/>
        <w:autoSpaceDN w:val="0"/>
        <w:adjustRightInd w:val="0"/>
        <w:spacing w:line="360" w:lineRule="auto"/>
        <w:jc w:val="center"/>
        <w:rPr>
          <w:rFonts w:cs="宋体" w:asciiTheme="minorEastAsia" w:hAnsiTheme="minorEastAsia"/>
          <w:kern w:val="0"/>
          <w:sz w:val="24"/>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r>
        <w:rPr>
          <w:rFonts w:hint="eastAsia" w:cs="宋体" w:asciiTheme="minorEastAsia" w:hAnsiTheme="minorEastAsia"/>
          <w:kern w:val="0"/>
          <w:sz w:val="32"/>
          <w:szCs w:val="32"/>
        </w:rPr>
        <w:t>竞争性谈判响应文件</w:t>
      </w: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项目编号：</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采购人：</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供应商：</w:t>
      </w:r>
      <w:r>
        <w:rPr>
          <w:rFonts w:hint="eastAsia" w:cs="宋体" w:asciiTheme="minorEastAsia" w:hAnsiTheme="minorEastAsia"/>
          <w:kern w:val="0"/>
          <w:sz w:val="24"/>
          <w:szCs w:val="24"/>
          <w:u w:val="single"/>
        </w:rPr>
        <w:t>（全称）（盖章）</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w:t>
      </w:r>
      <w:r>
        <w:rPr>
          <w:rFonts w:hint="eastAsia" w:cs="宋体" w:asciiTheme="minorEastAsia" w:hAnsiTheme="minorEastAsia"/>
          <w:kern w:val="0"/>
          <w:sz w:val="24"/>
          <w:szCs w:val="24"/>
          <w:u w:val="single"/>
        </w:rPr>
        <w:t>（盖章）</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单位地址：</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联系人：</w:t>
      </w: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联系电话：</w:t>
      </w:r>
    </w:p>
    <w:p>
      <w:pPr>
        <w:autoSpaceDE w:val="0"/>
        <w:autoSpaceDN w:val="0"/>
        <w:adjustRightInd w:val="0"/>
        <w:spacing w:line="360" w:lineRule="auto"/>
        <w:jc w:val="center"/>
        <w:rPr>
          <w:rFonts w:cs="宋体" w:asciiTheme="minorEastAsia" w:hAnsiTheme="minorEastAsia"/>
          <w:kern w:val="0"/>
          <w:sz w:val="24"/>
          <w:szCs w:val="24"/>
        </w:rPr>
      </w:pP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年</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月</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w:t>
      </w:r>
    </w:p>
    <w:p>
      <w:pPr>
        <w:pStyle w:val="310"/>
        <w:ind w:firstLine="482"/>
        <w:jc w:val="center"/>
        <w:rPr>
          <w:rFonts w:hint="default" w:ascii="仿宋" w:hAnsi="仿宋" w:eastAsia="仿宋" w:cs="仿宋"/>
          <w:b/>
          <w:color w:val="auto"/>
          <w:sz w:val="32"/>
          <w:szCs w:val="32"/>
          <w:lang w:eastAsia="zh-CN"/>
        </w:rPr>
      </w:pPr>
      <w:r>
        <w:rPr>
          <w:rFonts w:cs="宋体" w:asciiTheme="minorEastAsia" w:hAnsiTheme="minorEastAsia"/>
          <w:b/>
          <w:color w:val="auto"/>
          <w:szCs w:val="24"/>
          <w:lang w:eastAsia="zh-CN"/>
        </w:rPr>
        <w:br w:type="page"/>
      </w:r>
    </w:p>
    <w:p>
      <w:pPr>
        <w:spacing w:before="120" w:after="120" w:line="360" w:lineRule="auto"/>
        <w:ind w:firstLine="643"/>
        <w:jc w:val="left"/>
        <w:outlineLvl w:val="1"/>
        <w:rPr>
          <w:rFonts w:cs="仿宋" w:asciiTheme="minorEastAsia" w:hAnsiTheme="minorEastAsia"/>
          <w:sz w:val="24"/>
          <w:szCs w:val="24"/>
        </w:rPr>
      </w:pPr>
      <w:bookmarkStart w:id="53" w:name="_Toc19188"/>
      <w:bookmarkStart w:id="54" w:name="_Toc83546621"/>
      <w:bookmarkStart w:id="55" w:name="_Toc136609705"/>
      <w:bookmarkStart w:id="56" w:name="_Toc21563"/>
      <w:bookmarkStart w:id="57" w:name="_Toc22554395"/>
      <w:r>
        <w:rPr>
          <w:rFonts w:hint="eastAsia" w:cs="仿宋" w:asciiTheme="minorEastAsia" w:hAnsiTheme="minorEastAsia"/>
          <w:b/>
          <w:sz w:val="24"/>
          <w:szCs w:val="24"/>
        </w:rPr>
        <w:t>（第一部分）资格证明文件</w:t>
      </w:r>
      <w:bookmarkEnd w:id="53"/>
      <w:bookmarkEnd w:id="54"/>
      <w:bookmarkEnd w:id="55"/>
      <w:bookmarkEnd w:id="56"/>
    </w:p>
    <w:p>
      <w:pPr>
        <w:spacing w:line="360" w:lineRule="auto"/>
        <w:ind w:firstLine="480"/>
        <w:rPr>
          <w:rFonts w:cs="仿宋" w:asciiTheme="minorEastAsia" w:hAnsiTheme="minorEastAsia"/>
          <w:sz w:val="24"/>
          <w:szCs w:val="24"/>
        </w:rPr>
      </w:pPr>
      <w:r>
        <w:rPr>
          <w:rFonts w:hint="eastAsia" w:ascii="宋体" w:hAnsi="宋体" w:cs="Arial"/>
          <w:kern w:val="0"/>
          <w:sz w:val="24"/>
          <w:szCs w:val="24"/>
        </w:rPr>
        <w:t>供应商</w:t>
      </w:r>
      <w:r>
        <w:rPr>
          <w:rFonts w:hint="eastAsia" w:cs="仿宋" w:asciiTheme="minorEastAsia" w:hAnsiTheme="minorEastAsia"/>
          <w:sz w:val="24"/>
          <w:szCs w:val="24"/>
        </w:rPr>
        <w:t>应按下列顺序排序资格审查文件：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（一）投标单位营业执照（电子文件）；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（二）提供法定代表人身份证明或法定代表人授权委托书；（电子文件）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（三）供应商所投产品属于第二类或第三类医疗器械的，还需提供有效的行政主管部门颁发的医疗器械经营备案凭证（或医疗器械生产许可证或医疗器械经营许可证）；（电子文件）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（四）有良好的商业信誉和健全的财务会计制度的相关证明材料（电子文件）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（五）履行合同所必需的设备和专业技术能力的书面声明（电子文件）；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（六）依法缴纳税收和社会保障资金的良好记录的证明材料；（电子文件）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（七）政府采购活动前三年内，在经营活动中没有重大违法记录的书面声明（电子文件）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（八）供应商无关联关系书面声明函（电子文件）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（九）《中小企业声明函》（电子文件）</w:t>
      </w: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spacing w:line="360" w:lineRule="auto"/>
        <w:ind w:firstLine="480"/>
        <w:rPr>
          <w:rFonts w:cs="仿宋" w:asciiTheme="minorEastAsia" w:hAnsiTheme="minorEastAsia"/>
          <w:sz w:val="24"/>
          <w:szCs w:val="24"/>
        </w:rPr>
      </w:pPr>
    </w:p>
    <w:p>
      <w:pPr>
        <w:spacing w:line="360" w:lineRule="auto"/>
        <w:jc w:val="center"/>
        <w:rPr>
          <w:rFonts w:cs="仿宋" w:asciiTheme="minorEastAsia" w:hAnsiTheme="minorEastAsia"/>
          <w:b/>
          <w:sz w:val="24"/>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pStyle w:val="3"/>
        <w:spacing w:line="360" w:lineRule="auto"/>
        <w:ind w:firstLine="482"/>
        <w:rPr>
          <w:rFonts w:cs="仿宋" w:asciiTheme="minorEastAsia" w:hAnsiTheme="minorEastAsia" w:eastAsiaTheme="minorEastAsia"/>
          <w:b/>
          <w:szCs w:val="24"/>
        </w:rPr>
      </w:pPr>
    </w:p>
    <w:p>
      <w:pPr>
        <w:spacing w:line="360" w:lineRule="auto"/>
        <w:rPr>
          <w:rFonts w:asciiTheme="minorEastAsia" w:hAnsiTheme="minorEastAsia"/>
          <w:sz w:val="24"/>
          <w:szCs w:val="24"/>
        </w:rPr>
      </w:pPr>
    </w:p>
    <w:p>
      <w:pPr>
        <w:spacing w:line="360" w:lineRule="auto"/>
        <w:rPr>
          <w:rFonts w:cs="仿宋" w:asciiTheme="minorEastAsia" w:hAnsiTheme="minorEastAsia"/>
          <w:b/>
          <w:sz w:val="24"/>
          <w:szCs w:val="24"/>
        </w:rPr>
      </w:pPr>
    </w:p>
    <w:p>
      <w:pPr>
        <w:pStyle w:val="3"/>
        <w:spacing w:line="360" w:lineRule="auto"/>
        <w:ind w:firstLine="482"/>
        <w:rPr>
          <w:rFonts w:cs="仿宋" w:asciiTheme="minorEastAsia" w:hAnsiTheme="minorEastAsia" w:eastAsiaTheme="minorEastAsia"/>
          <w:b/>
          <w:szCs w:val="24"/>
        </w:rPr>
      </w:pPr>
    </w:p>
    <w:p>
      <w:pPr>
        <w:spacing w:line="360" w:lineRule="auto"/>
        <w:jc w:val="center"/>
        <w:rPr>
          <w:rFonts w:cs="仿宋" w:asciiTheme="minorEastAsia" w:hAnsiTheme="minorEastAsia"/>
          <w:sz w:val="24"/>
          <w:szCs w:val="24"/>
        </w:rPr>
      </w:pPr>
      <w:r>
        <w:rPr>
          <w:rFonts w:hint="eastAsia" w:cs="仿宋" w:asciiTheme="minorEastAsia" w:hAnsiTheme="minorEastAsia"/>
          <w:b/>
          <w:sz w:val="24"/>
          <w:szCs w:val="24"/>
        </w:rPr>
        <w:t>1、提供合法有效的营业执照</w:t>
      </w:r>
      <w:bookmarkEnd w:id="57"/>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提供</w:t>
      </w:r>
      <w:r>
        <w:rPr>
          <w:rFonts w:hint="eastAsia" w:ascii="宋体" w:hAnsi="宋体" w:cs="Arial"/>
          <w:kern w:val="0"/>
          <w:sz w:val="24"/>
          <w:szCs w:val="24"/>
        </w:rPr>
        <w:t>供应商</w:t>
      </w:r>
      <w:r>
        <w:rPr>
          <w:rFonts w:hint="eastAsia" w:cs="仿宋" w:asciiTheme="minorEastAsia" w:hAnsiTheme="minorEastAsia"/>
          <w:sz w:val="24"/>
          <w:szCs w:val="24"/>
        </w:rPr>
        <w:t>的营业执照复印件并加盖投标单位公章。</w:t>
      </w:r>
    </w:p>
    <w:p>
      <w:pPr>
        <w:keepNext/>
        <w:keepLines/>
        <w:spacing w:line="360" w:lineRule="auto"/>
        <w:rPr>
          <w:rFonts w:cs="仿宋" w:asciiTheme="minorEastAsia" w:hAnsiTheme="minorEastAsia"/>
          <w:sz w:val="24"/>
          <w:szCs w:val="24"/>
        </w:rPr>
      </w:pPr>
    </w:p>
    <w:p>
      <w:pPr>
        <w:keepNext/>
        <w:keepLines/>
        <w:spacing w:line="360" w:lineRule="auto"/>
        <w:jc w:val="center"/>
        <w:rPr>
          <w:rFonts w:cs="仿宋" w:asciiTheme="minorEastAsia" w:hAnsiTheme="minorEastAsia"/>
          <w:b/>
          <w:bCs/>
          <w:sz w:val="24"/>
          <w:szCs w:val="24"/>
        </w:rPr>
      </w:pPr>
    </w:p>
    <w:p>
      <w:pPr>
        <w:keepNext/>
        <w:keepLines/>
        <w:spacing w:line="360" w:lineRule="auto"/>
        <w:jc w:val="center"/>
        <w:rPr>
          <w:rFonts w:cs="仿宋" w:asciiTheme="minorEastAsia" w:hAnsiTheme="minorEastAsia"/>
          <w:b/>
          <w:bCs/>
          <w:sz w:val="24"/>
          <w:szCs w:val="24"/>
        </w:rPr>
      </w:pPr>
      <w:r>
        <w:rPr>
          <w:rFonts w:hint="eastAsia" w:cs="仿宋" w:asciiTheme="minorEastAsia" w:hAnsiTheme="minorEastAsia"/>
          <w:b/>
          <w:bCs/>
          <w:sz w:val="24"/>
          <w:szCs w:val="24"/>
        </w:rPr>
        <w:t>2、</w:t>
      </w:r>
      <w:r>
        <w:rPr>
          <w:rFonts w:cs="仿宋" w:asciiTheme="minorEastAsia" w:hAnsiTheme="minorEastAsia"/>
          <w:b/>
          <w:bCs/>
          <w:sz w:val="24"/>
          <w:szCs w:val="24"/>
        </w:rPr>
        <w:t>法定代表人授权委托书</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本授权委托书声明：我</w:t>
      </w:r>
      <w:r>
        <w:rPr>
          <w:rFonts w:hint="eastAsia" w:cs="仿宋" w:asciiTheme="minorEastAsia" w:hAnsiTheme="minorEastAsia"/>
          <w:sz w:val="24"/>
          <w:szCs w:val="24"/>
          <w:u w:val="single"/>
        </w:rPr>
        <w:t>（姓名）</w:t>
      </w:r>
      <w:r>
        <w:rPr>
          <w:rFonts w:hint="eastAsia" w:cs="仿宋" w:asciiTheme="minorEastAsia" w:hAnsiTheme="minorEastAsia"/>
          <w:sz w:val="24"/>
          <w:szCs w:val="24"/>
        </w:rPr>
        <w:t>系</w:t>
      </w:r>
      <w:r>
        <w:rPr>
          <w:rFonts w:hint="eastAsia" w:cs="仿宋" w:asciiTheme="minorEastAsia" w:hAnsiTheme="minorEastAsia"/>
          <w:sz w:val="24"/>
          <w:szCs w:val="24"/>
          <w:u w:val="single"/>
        </w:rPr>
        <w:t xml:space="preserve"> （</w:t>
      </w:r>
      <w:r>
        <w:rPr>
          <w:rFonts w:hint="eastAsia" w:ascii="宋体" w:hAnsi="宋体" w:cs="Arial"/>
          <w:kern w:val="0"/>
          <w:sz w:val="24"/>
          <w:szCs w:val="24"/>
          <w:u w:val="single"/>
        </w:rPr>
        <w:t>供应商</w:t>
      </w:r>
      <w:r>
        <w:rPr>
          <w:rFonts w:hint="eastAsia" w:cs="仿宋" w:asciiTheme="minorEastAsia" w:hAnsiTheme="minorEastAsia"/>
          <w:sz w:val="24"/>
          <w:szCs w:val="24"/>
          <w:u w:val="single"/>
        </w:rPr>
        <w:t>名称）</w:t>
      </w:r>
      <w:r>
        <w:rPr>
          <w:rFonts w:hint="eastAsia" w:cs="仿宋" w:asciiTheme="minorEastAsia" w:hAnsiTheme="minorEastAsia"/>
          <w:sz w:val="24"/>
          <w:szCs w:val="24"/>
        </w:rPr>
        <w:t>的法人代表人，现授权委托</w:t>
      </w:r>
      <w:r>
        <w:rPr>
          <w:rFonts w:hint="eastAsia" w:cs="仿宋" w:asciiTheme="minorEastAsia" w:hAnsiTheme="minorEastAsia"/>
          <w:sz w:val="24"/>
          <w:szCs w:val="24"/>
          <w:u w:val="single"/>
        </w:rPr>
        <w:t xml:space="preserve">   （</w:t>
      </w:r>
      <w:r>
        <w:rPr>
          <w:rFonts w:hint="eastAsia" w:ascii="宋体" w:hAnsi="宋体" w:cs="Arial"/>
          <w:kern w:val="0"/>
          <w:sz w:val="24"/>
          <w:szCs w:val="24"/>
          <w:u w:val="single"/>
        </w:rPr>
        <w:t>供应商</w:t>
      </w:r>
      <w:r>
        <w:rPr>
          <w:rFonts w:hint="eastAsia" w:cs="仿宋" w:asciiTheme="minorEastAsia" w:hAnsiTheme="minorEastAsia"/>
          <w:sz w:val="24"/>
          <w:szCs w:val="24"/>
          <w:u w:val="single"/>
        </w:rPr>
        <w:t xml:space="preserve">名称）  </w:t>
      </w:r>
      <w:r>
        <w:rPr>
          <w:rFonts w:hint="eastAsia" w:cs="仿宋" w:asciiTheme="minorEastAsia" w:hAnsiTheme="minorEastAsia"/>
          <w:sz w:val="24"/>
          <w:szCs w:val="24"/>
        </w:rPr>
        <w:t>的</w:t>
      </w:r>
      <w:r>
        <w:rPr>
          <w:rFonts w:hint="eastAsia" w:cs="仿宋" w:asciiTheme="minorEastAsia" w:hAnsiTheme="minorEastAsia"/>
          <w:sz w:val="24"/>
          <w:szCs w:val="24"/>
          <w:u w:val="single"/>
        </w:rPr>
        <w:t>（姓名）</w:t>
      </w:r>
      <w:r>
        <w:rPr>
          <w:rFonts w:hint="eastAsia" w:cs="仿宋" w:asciiTheme="minorEastAsia" w:hAnsiTheme="minorEastAsia"/>
          <w:sz w:val="24"/>
          <w:szCs w:val="24"/>
        </w:rPr>
        <w:t>为我公司代理人，以本公司的名义参加</w:t>
      </w:r>
      <w:r>
        <w:rPr>
          <w:rFonts w:hint="eastAsia" w:cs="仿宋" w:asciiTheme="minorEastAsia" w:hAnsiTheme="minorEastAsia"/>
          <w:sz w:val="24"/>
          <w:szCs w:val="24"/>
          <w:u w:val="single"/>
        </w:rPr>
        <w:t>（采购人）</w:t>
      </w:r>
      <w:r>
        <w:rPr>
          <w:rFonts w:hint="eastAsia" w:cs="仿宋" w:asciiTheme="minorEastAsia" w:hAnsiTheme="minorEastAsia"/>
          <w:sz w:val="24"/>
          <w:szCs w:val="24"/>
        </w:rPr>
        <w:t>的</w:t>
      </w:r>
      <w:r>
        <w:rPr>
          <w:rFonts w:hint="eastAsia" w:cs="仿宋" w:asciiTheme="minorEastAsia" w:hAnsiTheme="minorEastAsia"/>
          <w:sz w:val="24"/>
          <w:szCs w:val="24"/>
          <w:u w:val="single"/>
        </w:rPr>
        <w:t xml:space="preserve"> 项目名称  、项目编号:        </w:t>
      </w:r>
      <w:r>
        <w:rPr>
          <w:rFonts w:hint="eastAsia" w:cs="仿宋" w:asciiTheme="minorEastAsia" w:hAnsiTheme="minorEastAsia"/>
          <w:sz w:val="24"/>
          <w:szCs w:val="24"/>
        </w:rPr>
        <w:t>的投标活动。代理人在参加整个项目采购活动、合同签署过程中所签署的一切文件和处理与之有关的一切事物，我单位均予以承认。</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代理人：              性别：         年龄：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单  位：              部门：         职务：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联系电话：            邮箱：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代理人无转委权。特此委托。</w:t>
      </w:r>
    </w:p>
    <w:p>
      <w:pPr>
        <w:spacing w:line="360" w:lineRule="auto"/>
        <w:ind w:firstLine="482"/>
        <w:rPr>
          <w:rFonts w:cs="仿宋" w:asciiTheme="minorEastAsia" w:hAnsiTheme="minorEastAsia"/>
          <w:b/>
          <w:bCs/>
          <w:sz w:val="24"/>
          <w:szCs w:val="24"/>
        </w:rPr>
      </w:pPr>
      <w:r>
        <w:rPr>
          <w:rFonts w:hint="eastAsia" w:cs="仿宋" w:asciiTheme="minorEastAsia" w:hAnsiTheme="minorEastAsia"/>
          <w:b/>
          <w:bCs/>
          <w:sz w:val="24"/>
          <w:szCs w:val="24"/>
        </w:rPr>
        <w:t>授权人身份证复印件（正反面）：</w:t>
      </w:r>
    </w:p>
    <w:p>
      <w:pPr>
        <w:spacing w:line="360" w:lineRule="auto"/>
        <w:ind w:firstLine="480"/>
        <w:rPr>
          <w:rFonts w:cs="仿宋" w:asciiTheme="minorEastAsia" w:hAnsiTheme="minorEastAsia"/>
          <w:sz w:val="24"/>
          <w:szCs w:val="24"/>
        </w:rPr>
      </w:pPr>
    </w:p>
    <w:p>
      <w:pPr>
        <w:spacing w:line="360" w:lineRule="auto"/>
        <w:ind w:firstLine="482"/>
        <w:rPr>
          <w:rFonts w:cs="仿宋" w:asciiTheme="minorEastAsia" w:hAnsiTheme="minorEastAsia"/>
          <w:b/>
          <w:bCs/>
          <w:sz w:val="24"/>
          <w:szCs w:val="24"/>
        </w:rPr>
      </w:pPr>
      <w:r>
        <w:rPr>
          <w:rFonts w:hint="eastAsia" w:cs="仿宋" w:asciiTheme="minorEastAsia" w:hAnsiTheme="minorEastAsia"/>
          <w:b/>
          <w:bCs/>
          <w:sz w:val="24"/>
          <w:szCs w:val="24"/>
        </w:rPr>
        <w:t>被授权人身份证复印件（正反面）：</w:t>
      </w: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r>
        <w:rPr>
          <w:rFonts w:hint="eastAsia" w:ascii="宋体" w:hAnsi="宋体" w:cs="Arial"/>
          <w:kern w:val="0"/>
          <w:sz w:val="24"/>
          <w:szCs w:val="24"/>
        </w:rPr>
        <w:t>供应商</w:t>
      </w:r>
      <w:r>
        <w:rPr>
          <w:rFonts w:hint="eastAsia" w:cs="仿宋" w:asciiTheme="minorEastAsia" w:hAnsiTheme="minorEastAsia"/>
          <w:sz w:val="24"/>
          <w:szCs w:val="24"/>
        </w:rPr>
        <w:t>名称（盖章）：</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法定代表人(签字或盖章)：</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p>
    <w:p>
      <w:pPr>
        <w:spacing w:line="360" w:lineRule="auto"/>
        <w:ind w:firstLine="482"/>
        <w:rPr>
          <w:rFonts w:cs="仿宋" w:asciiTheme="minorEastAsia" w:hAnsiTheme="minorEastAsia"/>
          <w:b/>
          <w:sz w:val="24"/>
          <w:szCs w:val="24"/>
        </w:rPr>
      </w:pP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注：1、法定代表人本人作为公司代理人前来参与投标的，不提供此项证明文件。</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    2、授权书上应当附有授权人和被授权人的居民身份证复印件（正反面）。</w:t>
      </w:r>
    </w:p>
    <w:p>
      <w:pPr>
        <w:keepNext/>
        <w:keepLines/>
        <w:spacing w:line="360" w:lineRule="auto"/>
        <w:jc w:val="center"/>
        <w:rPr>
          <w:rFonts w:cs="仿宋" w:asciiTheme="minorEastAsia" w:hAnsiTheme="minorEastAsia"/>
          <w:sz w:val="24"/>
          <w:szCs w:val="24"/>
        </w:rPr>
      </w:pPr>
      <w:r>
        <w:rPr>
          <w:rFonts w:cs="仿宋" w:asciiTheme="minorEastAsia" w:hAnsiTheme="minorEastAsia"/>
          <w:sz w:val="24"/>
          <w:szCs w:val="24"/>
        </w:rPr>
        <w:br w:type="page"/>
      </w:r>
      <w:r>
        <w:rPr>
          <w:rFonts w:hint="eastAsia" w:cs="仿宋" w:asciiTheme="minorEastAsia" w:hAnsiTheme="minorEastAsia"/>
          <w:b/>
          <w:bCs/>
          <w:sz w:val="24"/>
          <w:szCs w:val="24"/>
        </w:rPr>
        <w:t>3、</w:t>
      </w:r>
      <w:r>
        <w:rPr>
          <w:rFonts w:cs="仿宋" w:asciiTheme="minorEastAsia" w:hAnsiTheme="minorEastAsia"/>
          <w:b/>
          <w:bCs/>
          <w:sz w:val="24"/>
          <w:szCs w:val="24"/>
        </w:rPr>
        <w:t>法定代表人身份证明书</w:t>
      </w: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企业名称：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企业类型：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地    址：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营业期限：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成立时间：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姓名：                  性别：            年龄：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 xml:space="preserve">职务：                </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系</w:t>
      </w:r>
      <w:r>
        <w:rPr>
          <w:rFonts w:hint="eastAsia" w:cs="仿宋" w:asciiTheme="minorEastAsia" w:hAnsiTheme="minorEastAsia"/>
          <w:sz w:val="24"/>
          <w:szCs w:val="24"/>
          <w:u w:val="single"/>
        </w:rPr>
        <w:t xml:space="preserve">        （投标单位名称）          </w:t>
      </w:r>
      <w:r>
        <w:rPr>
          <w:rFonts w:hint="eastAsia" w:cs="仿宋" w:asciiTheme="minorEastAsia" w:hAnsiTheme="minorEastAsia"/>
          <w:sz w:val="24"/>
          <w:szCs w:val="24"/>
        </w:rPr>
        <w:t>的法定代表人。</w:t>
      </w: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特此证明。</w:t>
      </w:r>
    </w:p>
    <w:p>
      <w:pPr>
        <w:spacing w:line="360" w:lineRule="auto"/>
        <w:ind w:firstLine="480"/>
        <w:rPr>
          <w:rFonts w:cs="仿宋" w:asciiTheme="minorEastAsia" w:hAnsiTheme="minorEastAsia"/>
          <w:sz w:val="24"/>
          <w:szCs w:val="24"/>
        </w:rPr>
      </w:pPr>
    </w:p>
    <w:p>
      <w:pPr>
        <w:spacing w:line="360" w:lineRule="auto"/>
        <w:ind w:firstLine="482"/>
        <w:rPr>
          <w:rFonts w:cs="仿宋" w:asciiTheme="minorEastAsia" w:hAnsiTheme="minorEastAsia"/>
          <w:b/>
          <w:bCs/>
          <w:sz w:val="24"/>
          <w:szCs w:val="24"/>
        </w:rPr>
      </w:pPr>
      <w:r>
        <w:rPr>
          <w:rFonts w:hint="eastAsia" w:cs="仿宋" w:asciiTheme="minorEastAsia" w:hAnsiTheme="minorEastAsia"/>
          <w:b/>
          <w:bCs/>
          <w:sz w:val="24"/>
          <w:szCs w:val="24"/>
        </w:rPr>
        <w:t>法定代表人身份证复印件（正反面）：</w:t>
      </w: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r>
        <w:rPr>
          <w:rFonts w:hint="eastAsia" w:ascii="宋体" w:hAnsi="宋体" w:cs="Arial"/>
          <w:kern w:val="0"/>
          <w:sz w:val="24"/>
          <w:szCs w:val="24"/>
        </w:rPr>
        <w:t>供应商</w:t>
      </w:r>
      <w:r>
        <w:rPr>
          <w:rFonts w:hint="eastAsia" w:cs="仿宋" w:asciiTheme="minorEastAsia" w:hAnsiTheme="minorEastAsia"/>
          <w:sz w:val="24"/>
          <w:szCs w:val="24"/>
        </w:rPr>
        <w:t>名称（盖章）：</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法定代表人 (签字或盖章)：</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日  期：        年        月        日</w:t>
      </w:r>
    </w:p>
    <w:p>
      <w:pPr>
        <w:spacing w:line="360" w:lineRule="auto"/>
        <w:ind w:firstLine="480"/>
        <w:rPr>
          <w:rFonts w:cs="仿宋" w:asciiTheme="minorEastAsia" w:hAnsiTheme="minorEastAsia"/>
          <w:sz w:val="24"/>
          <w:szCs w:val="24"/>
        </w:rPr>
      </w:pP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注：本证明书为法定代表人本人作为公司代理人参与投标的，提供此项证明书。</w:t>
      </w:r>
    </w:p>
    <w:p>
      <w:pPr>
        <w:spacing w:line="360" w:lineRule="auto"/>
        <w:ind w:firstLine="480"/>
        <w:rPr>
          <w:rFonts w:cs="仿宋"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keepNext/>
        <w:keepLines/>
        <w:spacing w:line="360" w:lineRule="auto"/>
        <w:ind w:left="629"/>
        <w:jc w:val="center"/>
        <w:rPr>
          <w:rFonts w:cs="仿宋" w:asciiTheme="minorEastAsia" w:hAnsiTheme="minorEastAsia"/>
          <w:sz w:val="24"/>
          <w:szCs w:val="24"/>
        </w:rPr>
      </w:pPr>
      <w:r>
        <w:rPr>
          <w:rFonts w:cs="仿宋" w:asciiTheme="minorEastAsia" w:hAnsiTheme="minorEastAsia"/>
          <w:sz w:val="24"/>
          <w:szCs w:val="24"/>
        </w:rPr>
        <w:br w:type="page"/>
      </w:r>
      <w:bookmarkStart w:id="58" w:name="_Toc22554399"/>
      <w:bookmarkStart w:id="59" w:name="_Toc3891646"/>
    </w:p>
    <w:p>
      <w:pPr>
        <w:tabs>
          <w:tab w:val="center" w:pos="4153"/>
          <w:tab w:val="right" w:pos="8306"/>
        </w:tabs>
        <w:snapToGrid w:val="0"/>
        <w:spacing w:line="360" w:lineRule="auto"/>
        <w:jc w:val="center"/>
        <w:rPr>
          <w:rFonts w:cs="仿宋" w:asciiTheme="minorEastAsia" w:hAnsiTheme="minorEastAsia"/>
          <w:b/>
          <w:bCs/>
          <w:sz w:val="24"/>
          <w:szCs w:val="24"/>
        </w:rPr>
      </w:pPr>
      <w:r>
        <w:rPr>
          <w:rFonts w:hint="eastAsia" w:cs="仿宋" w:asciiTheme="minorEastAsia" w:hAnsiTheme="minorEastAsia"/>
          <w:b/>
          <w:bCs/>
          <w:sz w:val="24"/>
          <w:szCs w:val="24"/>
        </w:rPr>
        <w:t>4.供应商所投产品属于第二类或第三类医疗器械的，还需提供有效的行政主管部门颁发的医疗器械经营备案凭证（或医疗器械生产许可证或医疗器械经营许可证）</w:t>
      </w:r>
    </w:p>
    <w:p>
      <w:pPr>
        <w:tabs>
          <w:tab w:val="center" w:pos="4153"/>
          <w:tab w:val="right" w:pos="8306"/>
        </w:tabs>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提供复印件并加盖投标单位公章。</w:t>
      </w:r>
    </w:p>
    <w:p>
      <w:pPr>
        <w:pStyle w:val="19"/>
      </w:pPr>
    </w:p>
    <w:p>
      <w:pPr>
        <w:tabs>
          <w:tab w:val="center" w:pos="4153"/>
          <w:tab w:val="right" w:pos="8306"/>
        </w:tabs>
        <w:snapToGrid w:val="0"/>
        <w:spacing w:line="360" w:lineRule="auto"/>
        <w:jc w:val="center"/>
        <w:rPr>
          <w:rFonts w:cs="仿宋" w:asciiTheme="minorEastAsia" w:hAnsiTheme="minorEastAsia"/>
          <w:b/>
          <w:bCs/>
          <w:sz w:val="24"/>
          <w:szCs w:val="24"/>
        </w:rPr>
      </w:pPr>
      <w:r>
        <w:rPr>
          <w:rFonts w:hint="eastAsia" w:cs="仿宋" w:asciiTheme="minorEastAsia" w:hAnsiTheme="minorEastAsia"/>
          <w:b/>
          <w:bCs/>
          <w:sz w:val="24"/>
          <w:szCs w:val="24"/>
        </w:rPr>
        <w:t>5、有良好的商业信誉和健全的财务会计制度的相关证明材料</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须提供相关证明材料，财务会计制度提供参加本次政府采购活动前一个月的会计报表或2021（或2022)年财务审计报告,成立不满一个月不需提供；</w:t>
      </w:r>
    </w:p>
    <w:p>
      <w:pPr>
        <w:spacing w:line="360" w:lineRule="auto"/>
        <w:rPr>
          <w:rFonts w:cs="仿宋" w:asciiTheme="minorEastAsia" w:hAnsiTheme="minorEastAsia"/>
          <w:b/>
          <w:bCs/>
          <w:sz w:val="24"/>
          <w:szCs w:val="24"/>
        </w:rPr>
      </w:pPr>
    </w:p>
    <w:p>
      <w:pPr>
        <w:spacing w:line="360" w:lineRule="auto"/>
        <w:jc w:val="center"/>
        <w:rPr>
          <w:rFonts w:cs="仿宋" w:asciiTheme="minorEastAsia" w:hAnsiTheme="minorEastAsia"/>
          <w:b/>
          <w:bCs/>
          <w:sz w:val="24"/>
          <w:szCs w:val="24"/>
        </w:rPr>
      </w:pPr>
      <w:r>
        <w:rPr>
          <w:rFonts w:hint="eastAsia" w:cs="仿宋" w:asciiTheme="minorEastAsia" w:hAnsiTheme="minorEastAsia"/>
          <w:b/>
          <w:bCs/>
          <w:sz w:val="24"/>
          <w:szCs w:val="24"/>
        </w:rPr>
        <w:t>6、履行合同所必需的设备和专业技术能力的书面声明</w:t>
      </w:r>
    </w:p>
    <w:p>
      <w:pPr>
        <w:tabs>
          <w:tab w:val="center" w:pos="4153"/>
          <w:tab w:val="right" w:pos="8306"/>
        </w:tabs>
        <w:snapToGrid w:val="0"/>
        <w:spacing w:line="360" w:lineRule="auto"/>
        <w:rPr>
          <w:rFonts w:cs="仿宋" w:asciiTheme="minorEastAsia" w:hAnsiTheme="minorEastAsia"/>
          <w:b/>
          <w:bCs/>
          <w:sz w:val="24"/>
          <w:szCs w:val="24"/>
        </w:rPr>
      </w:pPr>
    </w:p>
    <w:p>
      <w:pPr>
        <w:rPr>
          <w:rFonts w:hint="eastAsia" w:eastAsiaTheme="minorEastAsia"/>
          <w:lang w:eastAsia="zh-CN"/>
        </w:rPr>
      </w:pPr>
      <w:r>
        <w:rPr>
          <w:rFonts w:hint="eastAsia" w:cs="仿宋" w:asciiTheme="minorEastAsia" w:hAnsiTheme="minorEastAsia"/>
          <w:sz w:val="24"/>
          <w:szCs w:val="24"/>
        </w:rPr>
        <w:t>致：</w:t>
      </w:r>
      <w:r>
        <w:rPr>
          <w:rFonts w:cs="仿宋" w:asciiTheme="minorEastAsia" w:hAnsiTheme="minorEastAsia"/>
          <w:sz w:val="24"/>
          <w:szCs w:val="24"/>
        </w:rPr>
        <w:t xml:space="preserve"> </w:t>
      </w:r>
      <w:r>
        <w:rPr>
          <w:rFonts w:hint="eastAsia" w:cs="仿宋" w:asciiTheme="minorEastAsia" w:hAnsiTheme="minorEastAsia"/>
          <w:sz w:val="24"/>
          <w:szCs w:val="24"/>
          <w:lang w:eastAsia="zh-CN"/>
        </w:rPr>
        <w:t>新疆泰旭工程管理咨询有限责任公司</w:t>
      </w:r>
    </w:p>
    <w:p>
      <w:pPr>
        <w:tabs>
          <w:tab w:val="center" w:pos="4153"/>
          <w:tab w:val="right" w:pos="8306"/>
        </w:tabs>
        <w:snapToGrid w:val="0"/>
        <w:spacing w:line="360" w:lineRule="auto"/>
        <w:rPr>
          <w:rFonts w:cs="仿宋" w:asciiTheme="minorEastAsia" w:hAnsiTheme="minorEastAsia"/>
          <w:sz w:val="24"/>
          <w:szCs w:val="24"/>
        </w:rPr>
      </w:pP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本单位作为本次采购项目的供应商，郑重承诺具备以下条件：</w:t>
      </w: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（1）具有良好的商业信誉和健全的财务会计制度；</w:t>
      </w:r>
      <w:bookmarkStart w:id="60" w:name="_Toc10522_WPSOffice_Level1"/>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（2）具有履行合同所必需的</w:t>
      </w:r>
      <w:bookmarkEnd w:id="60"/>
      <w:r>
        <w:rPr>
          <w:rFonts w:hint="eastAsia" w:cs="仿宋" w:asciiTheme="minorEastAsia" w:hAnsiTheme="minorEastAsia"/>
          <w:sz w:val="24"/>
          <w:szCs w:val="24"/>
        </w:rPr>
        <w:t>设备和专业技术能力；</w:t>
      </w:r>
    </w:p>
    <w:p>
      <w:pPr>
        <w:tabs>
          <w:tab w:val="center" w:pos="4153"/>
          <w:tab w:val="right" w:pos="8306"/>
        </w:tabs>
        <w:snapToGrid w:val="0"/>
        <w:spacing w:line="360" w:lineRule="auto"/>
        <w:rPr>
          <w:rFonts w:cs="仿宋" w:asciiTheme="minorEastAsia" w:hAnsiTheme="minorEastAsia"/>
          <w:sz w:val="24"/>
          <w:szCs w:val="24"/>
        </w:rPr>
      </w:pP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本单位对上述承诺的真实性负责，如有虚假，将依法承担法律责任。</w:t>
      </w:r>
    </w:p>
    <w:p>
      <w:pPr>
        <w:tabs>
          <w:tab w:val="center" w:pos="4153"/>
          <w:tab w:val="right" w:pos="8306"/>
        </w:tabs>
        <w:snapToGrid w:val="0"/>
        <w:spacing w:line="360" w:lineRule="auto"/>
        <w:rPr>
          <w:rFonts w:cs="仿宋" w:asciiTheme="minorEastAsia" w:hAnsiTheme="minorEastAsia"/>
          <w:sz w:val="24"/>
          <w:szCs w:val="24"/>
        </w:rPr>
      </w:pP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特此承诺。</w:t>
      </w: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供应商法定代表人盖章：</w:t>
      </w: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供应商名称（加盖公章）：</w:t>
      </w: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日期：   年   月   日</w:t>
      </w:r>
    </w:p>
    <w:p>
      <w:pPr>
        <w:pStyle w:val="3"/>
        <w:spacing w:line="360" w:lineRule="auto"/>
        <w:ind w:firstLine="480"/>
        <w:rPr>
          <w:rFonts w:asciiTheme="minorEastAsia" w:hAnsiTheme="minorEastAsia" w:eastAsiaTheme="minorEastAsia"/>
          <w:szCs w:val="24"/>
        </w:rPr>
      </w:pPr>
    </w:p>
    <w:p>
      <w:pPr>
        <w:tabs>
          <w:tab w:val="center" w:pos="4153"/>
          <w:tab w:val="right" w:pos="8306"/>
        </w:tabs>
        <w:snapToGrid w:val="0"/>
        <w:spacing w:line="360" w:lineRule="auto"/>
        <w:rPr>
          <w:rFonts w:cs="仿宋" w:asciiTheme="minorEastAsia" w:hAnsiTheme="minorEastAsia"/>
          <w:b/>
          <w:bCs/>
          <w:sz w:val="24"/>
          <w:szCs w:val="24"/>
        </w:rPr>
      </w:pPr>
    </w:p>
    <w:p>
      <w:pPr>
        <w:tabs>
          <w:tab w:val="center" w:pos="4153"/>
          <w:tab w:val="right" w:pos="8306"/>
        </w:tabs>
        <w:snapToGrid w:val="0"/>
        <w:spacing w:line="360" w:lineRule="auto"/>
        <w:jc w:val="center"/>
        <w:rPr>
          <w:rFonts w:cs="仿宋" w:asciiTheme="minorEastAsia" w:hAnsiTheme="minorEastAsia"/>
          <w:b/>
          <w:bCs/>
          <w:sz w:val="24"/>
          <w:szCs w:val="24"/>
        </w:rPr>
      </w:pPr>
      <w:r>
        <w:rPr>
          <w:rFonts w:hint="eastAsia" w:cs="仿宋" w:asciiTheme="minorEastAsia" w:hAnsiTheme="minorEastAsia"/>
          <w:b/>
          <w:bCs/>
          <w:sz w:val="24"/>
          <w:szCs w:val="24"/>
        </w:rPr>
        <w:t>7、依法缴纳税收和社会保障资金的良好记录的证明材料</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提供参加本次政府采购活动前六个月内（至少一个月）依法缴纳税收和社会保障资金的相关材料；</w:t>
      </w:r>
    </w:p>
    <w:p>
      <w:pPr>
        <w:pStyle w:val="3"/>
        <w:spacing w:line="360" w:lineRule="auto"/>
        <w:ind w:firstLine="480"/>
        <w:rPr>
          <w:rFonts w:asciiTheme="minorEastAsia" w:hAnsiTheme="minorEastAsia" w:eastAsiaTheme="minorEastAsia"/>
          <w:szCs w:val="24"/>
        </w:rPr>
      </w:pPr>
    </w:p>
    <w:p>
      <w:pPr>
        <w:spacing w:line="360" w:lineRule="auto"/>
        <w:jc w:val="center"/>
        <w:rPr>
          <w:rFonts w:cs="仿宋" w:asciiTheme="minorEastAsia" w:hAnsiTheme="minorEastAsia"/>
          <w:b/>
          <w:bCs/>
          <w:sz w:val="24"/>
          <w:szCs w:val="24"/>
        </w:rPr>
      </w:pPr>
    </w:p>
    <w:p>
      <w:pPr>
        <w:spacing w:line="360" w:lineRule="auto"/>
        <w:jc w:val="center"/>
        <w:rPr>
          <w:rFonts w:cs="仿宋" w:asciiTheme="minorEastAsia" w:hAnsiTheme="minorEastAsia"/>
          <w:sz w:val="24"/>
          <w:szCs w:val="24"/>
        </w:rPr>
      </w:pPr>
      <w:r>
        <w:rPr>
          <w:rFonts w:hint="eastAsia" w:cs="仿宋" w:asciiTheme="minorEastAsia" w:hAnsiTheme="minorEastAsia"/>
          <w:b/>
          <w:bCs/>
          <w:sz w:val="24"/>
          <w:szCs w:val="24"/>
        </w:rPr>
        <w:t>8、政府采购活动前</w:t>
      </w:r>
      <w:bookmarkStart w:id="61" w:name="_Toc16914_WPSOffice_Level1"/>
      <w:r>
        <w:rPr>
          <w:rFonts w:hint="eastAsia" w:cs="仿宋" w:asciiTheme="minorEastAsia" w:hAnsiTheme="minorEastAsia"/>
          <w:b/>
          <w:bCs/>
          <w:sz w:val="24"/>
          <w:szCs w:val="24"/>
        </w:rPr>
        <w:t>三年内，在经</w:t>
      </w:r>
      <w:bookmarkEnd w:id="61"/>
      <w:r>
        <w:rPr>
          <w:rFonts w:hint="eastAsia" w:cs="仿宋" w:asciiTheme="minorEastAsia" w:hAnsiTheme="minorEastAsia"/>
          <w:b/>
          <w:bCs/>
          <w:sz w:val="24"/>
          <w:szCs w:val="24"/>
        </w:rPr>
        <w:t>营活动中没有重大违法记录的书面声明；</w:t>
      </w:r>
    </w:p>
    <w:p>
      <w:pPr>
        <w:spacing w:line="360" w:lineRule="auto"/>
        <w:rPr>
          <w:rFonts w:cs="仿宋" w:asciiTheme="minorEastAsia" w:hAnsiTheme="minorEastAsia"/>
          <w:bCs/>
          <w:sz w:val="24"/>
          <w:szCs w:val="24"/>
        </w:rPr>
      </w:pPr>
    </w:p>
    <w:p>
      <w:pPr>
        <w:spacing w:line="360" w:lineRule="auto"/>
        <w:rPr>
          <w:rFonts w:cs="仿宋" w:asciiTheme="minorEastAsia" w:hAnsiTheme="minorEastAsia"/>
          <w:bCs/>
          <w:sz w:val="24"/>
          <w:szCs w:val="24"/>
        </w:rPr>
      </w:pPr>
      <w:r>
        <w:rPr>
          <w:rFonts w:hint="eastAsia" w:cs="仿宋" w:asciiTheme="minorEastAsia" w:hAnsiTheme="minorEastAsia"/>
          <w:bCs/>
          <w:sz w:val="24"/>
          <w:szCs w:val="24"/>
        </w:rPr>
        <w:t xml:space="preserve">我单位郑重声明： </w:t>
      </w:r>
    </w:p>
    <w:p>
      <w:pPr>
        <w:spacing w:line="360" w:lineRule="auto"/>
        <w:ind w:firstLine="480" w:firstLineChars="200"/>
        <w:rPr>
          <w:rFonts w:cs="仿宋" w:asciiTheme="minorEastAsia" w:hAnsiTheme="minorEastAsia"/>
          <w:bCs/>
          <w:sz w:val="24"/>
          <w:szCs w:val="24"/>
        </w:rPr>
      </w:pPr>
      <w:r>
        <w:rPr>
          <w:rFonts w:hint="eastAsia" w:cs="仿宋" w:asciiTheme="minorEastAsia" w:hAnsiTheme="minorEastAsia"/>
          <w:bCs/>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spacing w:line="360" w:lineRule="auto"/>
        <w:ind w:firstLine="480" w:firstLineChars="200"/>
        <w:rPr>
          <w:rFonts w:cs="仿宋" w:asciiTheme="minorEastAsia" w:hAnsiTheme="minorEastAsia"/>
          <w:bCs/>
          <w:sz w:val="24"/>
          <w:szCs w:val="24"/>
        </w:rPr>
      </w:pPr>
      <w:r>
        <w:rPr>
          <w:rFonts w:hint="eastAsia" w:cs="仿宋" w:asciiTheme="minorEastAsia" w:hAnsiTheme="minorEastAsia"/>
          <w:bCs/>
          <w:sz w:val="24"/>
          <w:szCs w:val="24"/>
        </w:rPr>
        <w:t xml:space="preserve">如我公司声明与实际不符，我公司将承担因此引起的一切后果。 </w:t>
      </w: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供应商法定代表人盖章：</w:t>
      </w: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供应商名称（加盖公章）：</w:t>
      </w: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日期：   年   月   日</w:t>
      </w:r>
    </w:p>
    <w:p>
      <w:pPr>
        <w:pStyle w:val="3"/>
        <w:spacing w:line="360" w:lineRule="auto"/>
        <w:ind w:firstLine="480"/>
        <w:rPr>
          <w:rFonts w:cs="仿宋" w:asciiTheme="minorEastAsia" w:hAnsiTheme="minorEastAsia" w:eastAsiaTheme="minorEastAsia"/>
          <w:szCs w:val="24"/>
        </w:rPr>
      </w:pPr>
    </w:p>
    <w:p>
      <w:pPr>
        <w:spacing w:line="360" w:lineRule="auto"/>
        <w:rPr>
          <w:rFonts w:asciiTheme="minorEastAsia" w:hAnsiTheme="minorEastAsia"/>
          <w:sz w:val="24"/>
          <w:szCs w:val="24"/>
        </w:rPr>
      </w:pPr>
    </w:p>
    <w:p>
      <w:pPr>
        <w:pStyle w:val="47"/>
        <w:spacing w:line="360" w:lineRule="auto"/>
        <w:ind w:left="420" w:firstLine="480"/>
        <w:rPr>
          <w:rFonts w:asciiTheme="minorEastAsia" w:hAnsiTheme="minorEastAsia"/>
          <w:sz w:val="24"/>
          <w:szCs w:val="24"/>
        </w:rPr>
      </w:pPr>
    </w:p>
    <w:p>
      <w:pPr>
        <w:tabs>
          <w:tab w:val="center" w:pos="4153"/>
          <w:tab w:val="right" w:pos="8306"/>
        </w:tabs>
        <w:snapToGrid w:val="0"/>
        <w:spacing w:line="360" w:lineRule="auto"/>
        <w:rPr>
          <w:rFonts w:cs="仿宋"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pStyle w:val="3"/>
        <w:spacing w:line="360" w:lineRule="auto"/>
        <w:ind w:firstLine="480"/>
        <w:rPr>
          <w:rFonts w:cs="仿宋" w:asciiTheme="minorEastAsia" w:hAnsiTheme="minorEastAsia" w:eastAsiaTheme="minorEastAsia"/>
          <w:szCs w:val="24"/>
        </w:rPr>
      </w:pPr>
    </w:p>
    <w:p>
      <w:pPr>
        <w:pStyle w:val="3"/>
        <w:spacing w:line="360" w:lineRule="auto"/>
        <w:ind w:firstLine="480"/>
        <w:rPr>
          <w:rFonts w:cs="仿宋" w:asciiTheme="minorEastAsia" w:hAnsiTheme="minorEastAsia" w:eastAsiaTheme="minorEastAsia"/>
          <w:szCs w:val="24"/>
        </w:rPr>
      </w:pPr>
    </w:p>
    <w:p>
      <w:pPr>
        <w:pStyle w:val="3"/>
        <w:spacing w:line="360" w:lineRule="auto"/>
        <w:ind w:firstLine="480"/>
        <w:rPr>
          <w:rFonts w:cs="仿宋" w:asciiTheme="minorEastAsia" w:hAnsiTheme="minorEastAsia" w:eastAsiaTheme="minorEastAsia"/>
          <w:szCs w:val="24"/>
        </w:rPr>
      </w:pPr>
    </w:p>
    <w:p>
      <w:pPr>
        <w:pStyle w:val="3"/>
        <w:spacing w:line="360" w:lineRule="auto"/>
        <w:ind w:firstLine="480"/>
        <w:rPr>
          <w:rFonts w:cs="仿宋" w:asciiTheme="minorEastAsia" w:hAnsiTheme="minorEastAsia" w:eastAsiaTheme="minorEastAsia"/>
          <w:szCs w:val="24"/>
        </w:rPr>
      </w:pPr>
    </w:p>
    <w:p>
      <w:pPr>
        <w:pStyle w:val="3"/>
        <w:spacing w:line="360" w:lineRule="auto"/>
        <w:ind w:firstLine="480"/>
        <w:rPr>
          <w:rFonts w:cs="仿宋" w:asciiTheme="minorEastAsia" w:hAnsiTheme="minorEastAsia" w:eastAsiaTheme="minorEastAsia"/>
          <w:szCs w:val="24"/>
        </w:rPr>
      </w:pPr>
    </w:p>
    <w:p>
      <w:pPr>
        <w:pStyle w:val="3"/>
        <w:spacing w:line="360" w:lineRule="auto"/>
        <w:ind w:firstLine="480"/>
        <w:rPr>
          <w:rFonts w:cs="仿宋" w:asciiTheme="minorEastAsia" w:hAnsiTheme="minorEastAsia" w:eastAsiaTheme="minorEastAsia"/>
          <w:szCs w:val="24"/>
        </w:rPr>
      </w:pPr>
    </w:p>
    <w:p>
      <w:pPr>
        <w:pStyle w:val="2"/>
        <w:rPr>
          <w:rFonts w:cs="仿宋" w:asciiTheme="minorEastAsia" w:hAnsiTheme="minorEastAsia" w:eastAsiaTheme="minorEastAsia"/>
          <w:szCs w:val="24"/>
        </w:rPr>
      </w:pPr>
    </w:p>
    <w:p>
      <w:pPr>
        <w:pStyle w:val="3"/>
      </w:pPr>
    </w:p>
    <w:p>
      <w:pPr>
        <w:tabs>
          <w:tab w:val="center" w:pos="4153"/>
          <w:tab w:val="right" w:pos="8306"/>
        </w:tabs>
        <w:snapToGrid w:val="0"/>
        <w:spacing w:line="360" w:lineRule="auto"/>
        <w:ind w:firstLine="482" w:firstLineChars="200"/>
        <w:jc w:val="center"/>
        <w:rPr>
          <w:rFonts w:cs="仿宋" w:asciiTheme="minorEastAsia" w:hAnsiTheme="minorEastAsia"/>
          <w:b/>
          <w:bCs/>
          <w:sz w:val="24"/>
          <w:szCs w:val="24"/>
        </w:rPr>
      </w:pPr>
      <w:r>
        <w:rPr>
          <w:rFonts w:hint="eastAsia" w:cs="仿宋" w:asciiTheme="minorEastAsia" w:hAnsiTheme="minorEastAsia"/>
          <w:b/>
          <w:bCs/>
          <w:sz w:val="24"/>
          <w:szCs w:val="24"/>
        </w:rPr>
        <w:t>9、供应商无关联关系书面声明函（格式）</w:t>
      </w:r>
    </w:p>
    <w:p>
      <w:pPr>
        <w:tabs>
          <w:tab w:val="center" w:pos="4153"/>
          <w:tab w:val="right" w:pos="8306"/>
        </w:tabs>
        <w:snapToGrid w:val="0"/>
        <w:spacing w:line="360" w:lineRule="auto"/>
        <w:ind w:firstLine="482" w:firstLineChars="200"/>
        <w:jc w:val="center"/>
        <w:rPr>
          <w:rFonts w:cs="仿宋" w:asciiTheme="minorEastAsia" w:hAnsiTheme="minorEastAsia"/>
          <w:b/>
          <w:bCs/>
          <w:sz w:val="24"/>
          <w:szCs w:val="24"/>
        </w:rPr>
      </w:pPr>
    </w:p>
    <w:p>
      <w:pPr>
        <w:spacing w:line="360" w:lineRule="auto"/>
        <w:rPr>
          <w:rFonts w:cs="仿宋" w:asciiTheme="minorEastAsia" w:hAnsiTheme="minorEastAsia"/>
          <w:sz w:val="24"/>
          <w:szCs w:val="24"/>
        </w:rPr>
      </w:pPr>
      <w:r>
        <w:rPr>
          <w:rFonts w:hint="eastAsia" w:cs="仿宋" w:asciiTheme="minorEastAsia" w:hAnsiTheme="minorEastAsia"/>
          <w:sz w:val="24"/>
          <w:szCs w:val="24"/>
          <w:lang w:eastAsia="zh-CN"/>
        </w:rPr>
        <w:t>新疆泰旭工程管理咨询有限责任公司</w:t>
      </w:r>
      <w:r>
        <w:rPr>
          <w:rFonts w:hint="eastAsia" w:cs="仿宋" w:asciiTheme="minorEastAsia" w:hAnsiTheme="minorEastAsia"/>
          <w:sz w:val="24"/>
          <w:szCs w:val="24"/>
        </w:rPr>
        <w:t>：</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我单位郑重声明：与采购人不存在利害关系，与本单位负责人为同一人或者与本单位存在控股关系、管理关系的其他关联供应商未参与</w:t>
      </w:r>
      <w:r>
        <w:rPr>
          <w:rFonts w:hint="eastAsia" w:cs="仿宋" w:asciiTheme="minorEastAsia" w:hAnsiTheme="minorEastAsia"/>
          <w:b/>
          <w:bCs/>
          <w:sz w:val="24"/>
          <w:szCs w:val="24"/>
          <w:u w:val="single"/>
        </w:rPr>
        <w:t xml:space="preserve">_(项目名称) </w:t>
      </w:r>
      <w:r>
        <w:rPr>
          <w:rFonts w:hint="eastAsia" w:cs="仿宋" w:asciiTheme="minorEastAsia" w:hAnsiTheme="minorEastAsia"/>
          <w:sz w:val="24"/>
          <w:szCs w:val="24"/>
        </w:rPr>
        <w:t>同一合同项下的谈判。我单位不是为该整体项目或其中分项目前期工作提供过设计、编制、监理、检测、管理等服务的法人及附属单位；</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我单位保证上述声明真实、有效、可查。</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特此声明。</w:t>
      </w: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供应商法定代表人盖章：</w:t>
      </w: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供应商名称（加盖公章）：</w:t>
      </w: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日期：   年   月   日</w:t>
      </w:r>
    </w:p>
    <w:p>
      <w:pPr>
        <w:tabs>
          <w:tab w:val="center" w:pos="4153"/>
          <w:tab w:val="right" w:pos="8306"/>
        </w:tabs>
        <w:snapToGrid w:val="0"/>
        <w:spacing w:line="360" w:lineRule="auto"/>
        <w:rPr>
          <w:rFonts w:cs="仿宋" w:asciiTheme="minorEastAsia" w:hAnsiTheme="minorEastAsia"/>
          <w:sz w:val="24"/>
          <w:szCs w:val="24"/>
        </w:rPr>
      </w:pPr>
    </w:p>
    <w:p>
      <w:pPr>
        <w:tabs>
          <w:tab w:val="center" w:pos="4153"/>
          <w:tab w:val="right" w:pos="8306"/>
        </w:tabs>
        <w:snapToGrid w:val="0"/>
        <w:spacing w:line="360" w:lineRule="auto"/>
        <w:rPr>
          <w:rFonts w:cs="仿宋" w:asciiTheme="minorEastAsia" w:hAnsiTheme="minorEastAsia"/>
          <w:sz w:val="24"/>
          <w:szCs w:val="24"/>
        </w:rPr>
      </w:pPr>
    </w:p>
    <w:p>
      <w:pPr>
        <w:spacing w:line="360" w:lineRule="auto"/>
        <w:ind w:left="630"/>
        <w:jc w:val="center"/>
        <w:rPr>
          <w:rFonts w:cs="仿宋" w:asciiTheme="minorEastAsia" w:hAnsiTheme="minorEastAsia"/>
          <w:sz w:val="24"/>
          <w:szCs w:val="24"/>
        </w:rPr>
      </w:pPr>
      <w:bookmarkStart w:id="62" w:name="_Toc7781_WPSOffice_Level1"/>
      <w:bookmarkStart w:id="63" w:name="_Toc8420_WPSOffice_Level1"/>
      <w:bookmarkStart w:id="64" w:name="_Toc21814_WPSOffice_Level1"/>
    </w:p>
    <w:p>
      <w:pPr>
        <w:spacing w:line="360" w:lineRule="auto"/>
        <w:ind w:left="630"/>
        <w:jc w:val="center"/>
        <w:rPr>
          <w:rFonts w:cs="仿宋" w:asciiTheme="minorEastAsia" w:hAnsiTheme="minorEastAsia"/>
          <w:sz w:val="24"/>
          <w:szCs w:val="24"/>
        </w:rPr>
      </w:pPr>
    </w:p>
    <w:p>
      <w:pPr>
        <w:spacing w:line="360" w:lineRule="auto"/>
        <w:ind w:left="630"/>
        <w:jc w:val="center"/>
        <w:rPr>
          <w:rFonts w:cs="仿宋" w:asciiTheme="minorEastAsia" w:hAnsiTheme="minorEastAsia"/>
          <w:sz w:val="24"/>
          <w:szCs w:val="24"/>
        </w:rPr>
      </w:pPr>
    </w:p>
    <w:p>
      <w:pPr>
        <w:spacing w:line="360" w:lineRule="auto"/>
        <w:ind w:left="630"/>
        <w:jc w:val="center"/>
        <w:rPr>
          <w:rFonts w:cs="仿宋"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spacing w:line="360" w:lineRule="auto"/>
        <w:rPr>
          <w:rFonts w:cs="仿宋"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spacing w:line="360" w:lineRule="auto"/>
        <w:rPr>
          <w:rFonts w:cs="仿宋"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spacing w:line="360" w:lineRule="auto"/>
        <w:rPr>
          <w:rFonts w:cs="仿宋"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spacing w:line="360" w:lineRule="auto"/>
        <w:rPr>
          <w:rFonts w:asciiTheme="minorEastAsia" w:hAnsiTheme="minorEastAsia"/>
          <w:sz w:val="24"/>
          <w:szCs w:val="24"/>
        </w:rPr>
      </w:pPr>
    </w:p>
    <w:p>
      <w:pPr>
        <w:pStyle w:val="2"/>
      </w:pPr>
    </w:p>
    <w:p>
      <w:pPr>
        <w:spacing w:line="360" w:lineRule="auto"/>
        <w:jc w:val="center"/>
        <w:rPr>
          <w:rFonts w:cs="仿宋" w:asciiTheme="minorEastAsia" w:hAnsiTheme="minorEastAsia"/>
          <w:sz w:val="24"/>
          <w:szCs w:val="24"/>
        </w:rPr>
      </w:pPr>
      <w:r>
        <w:rPr>
          <w:rFonts w:hint="eastAsia" w:cs="仿宋" w:asciiTheme="minorEastAsia" w:hAnsiTheme="minorEastAsia"/>
          <w:b/>
          <w:bCs/>
          <w:sz w:val="24"/>
          <w:szCs w:val="24"/>
        </w:rPr>
        <w:t>10、</w:t>
      </w:r>
      <w:r>
        <w:rPr>
          <w:rFonts w:hint="eastAsia" w:cs="仿宋" w:asciiTheme="minorEastAsia" w:hAnsiTheme="minorEastAsia"/>
          <w:b/>
          <w:bCs/>
          <w:sz w:val="24"/>
          <w:szCs w:val="24"/>
          <w:lang w:bidi="ar"/>
        </w:rPr>
        <w:t>《中小企业声明函》（</w:t>
      </w:r>
      <w:r>
        <w:rPr>
          <w:rFonts w:hint="eastAsia" w:cs="宋体" w:asciiTheme="minorEastAsia" w:hAnsiTheme="minorEastAsia"/>
          <w:b/>
          <w:kern w:val="0"/>
          <w:sz w:val="24"/>
          <w:szCs w:val="24"/>
        </w:rPr>
        <w:t>货物</w:t>
      </w:r>
      <w:r>
        <w:rPr>
          <w:rFonts w:hint="eastAsia" w:cs="仿宋" w:asciiTheme="minorEastAsia" w:hAnsiTheme="minorEastAsia"/>
          <w:b/>
          <w:bCs/>
          <w:sz w:val="24"/>
          <w:szCs w:val="24"/>
          <w:lang w:bidi="ar"/>
        </w:rPr>
        <w:t>）</w:t>
      </w:r>
    </w:p>
    <w:bookmarkEnd w:id="62"/>
    <w:bookmarkEnd w:id="63"/>
    <w:bookmarkEnd w:id="64"/>
    <w:p>
      <w:pPr>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本公司</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rPr>
        <w:t>郑重声明，根据《政府采购促进中小企业发展管理办法》（财库</w:t>
      </w:r>
      <w:r>
        <w:rPr>
          <w:rFonts w:hint="eastAsia" w:cs="宋体" w:asciiTheme="minorEastAsia" w:hAnsiTheme="minorEastAsia"/>
          <w:kern w:val="0"/>
          <w:sz w:val="24"/>
          <w:szCs w:val="24"/>
        </w:rPr>
        <w:t>﹝</w:t>
      </w:r>
      <w:r>
        <w:rPr>
          <w:rFonts w:cs="宋体" w:asciiTheme="minorEastAsia" w:hAnsiTheme="minorEastAsia"/>
          <w:kern w:val="0"/>
          <w:sz w:val="24"/>
          <w:szCs w:val="24"/>
        </w:rPr>
        <w:t>2020</w:t>
      </w:r>
      <w:r>
        <w:rPr>
          <w:rFonts w:hint="eastAsia" w:cs="宋体" w:asciiTheme="minorEastAsia" w:hAnsiTheme="minorEastAsia"/>
          <w:kern w:val="0"/>
          <w:sz w:val="24"/>
          <w:szCs w:val="24"/>
        </w:rPr>
        <w:t>﹞</w:t>
      </w:r>
      <w:r>
        <w:rPr>
          <w:rFonts w:cs="宋体" w:asciiTheme="minorEastAsia" w:hAnsiTheme="minorEastAsia"/>
          <w:kern w:val="0"/>
          <w:sz w:val="24"/>
          <w:szCs w:val="24"/>
        </w:rPr>
        <w:t>46 号）的规定，本公司</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rPr>
        <w:t>参加</w:t>
      </w:r>
      <w:r>
        <w:rPr>
          <w:rFonts w:cs="宋体" w:asciiTheme="minorEastAsia" w:hAnsiTheme="minorEastAsia"/>
          <w:kern w:val="0"/>
          <w:sz w:val="24"/>
          <w:szCs w:val="24"/>
          <w:u w:val="single"/>
        </w:rPr>
        <w:t>（单位名称）</w:t>
      </w:r>
      <w:r>
        <w:rPr>
          <w:rFonts w:cs="宋体" w:asciiTheme="minorEastAsia" w:hAnsiTheme="minorEastAsia"/>
          <w:kern w:val="0"/>
          <w:sz w:val="24"/>
          <w:szCs w:val="24"/>
        </w:rPr>
        <w:t>的</w:t>
      </w:r>
      <w:r>
        <w:rPr>
          <w:rFonts w:cs="宋体" w:asciiTheme="minorEastAsia" w:hAnsiTheme="minorEastAsia"/>
          <w:kern w:val="0"/>
          <w:sz w:val="24"/>
          <w:szCs w:val="24"/>
          <w:u w:val="single"/>
        </w:rPr>
        <w:t>（项目名称）</w:t>
      </w:r>
      <w:r>
        <w:rPr>
          <w:rFonts w:cs="宋体" w:asciiTheme="minorEastAsia" w:hAnsiTheme="minorEastAsia"/>
          <w:kern w:val="0"/>
          <w:sz w:val="24"/>
          <w:szCs w:val="24"/>
        </w:rPr>
        <w:t>采购活动，</w:t>
      </w:r>
      <w:r>
        <w:rPr>
          <w:rFonts w:cs="宋体" w:asciiTheme="minorEastAsia" w:hAnsiTheme="minorEastAsia"/>
          <w:sz w:val="24"/>
          <w:szCs w:val="24"/>
        </w:rPr>
        <w:t>提供的货物全部由符合政策要求的中小企业制造。相关企业</w:t>
      </w:r>
      <w:r>
        <w:rPr>
          <w:rFonts w:hint="eastAsia" w:cs="宋体" w:asciiTheme="minorEastAsia" w:hAnsiTheme="minorEastAsia"/>
          <w:sz w:val="24"/>
          <w:szCs w:val="24"/>
          <w:u w:val="single"/>
        </w:rPr>
        <w:t xml:space="preserve">          （企业名称）</w:t>
      </w:r>
      <w:r>
        <w:rPr>
          <w:rFonts w:cs="宋体" w:asciiTheme="minorEastAsia" w:hAnsiTheme="minorEastAsia"/>
          <w:sz w:val="24"/>
          <w:szCs w:val="24"/>
        </w:rPr>
        <w:t>的具体情况如下：</w:t>
      </w:r>
    </w:p>
    <w:p>
      <w:pPr>
        <w:spacing w:line="360" w:lineRule="auto"/>
        <w:rPr>
          <w:rFonts w:cs="宋体" w:asciiTheme="minorEastAsia" w:hAnsiTheme="minorEastAsia"/>
          <w:sz w:val="24"/>
          <w:szCs w:val="24"/>
        </w:rPr>
      </w:pPr>
      <w:r>
        <w:rPr>
          <w:rFonts w:cs="宋体" w:asciiTheme="minorEastAsia" w:hAnsiTheme="minorEastAsia"/>
          <w:kern w:val="0"/>
          <w:sz w:val="24"/>
          <w:szCs w:val="24"/>
          <w:u w:val="single"/>
        </w:rPr>
        <w:t>（标的名称）</w:t>
      </w:r>
      <w:r>
        <w:rPr>
          <w:rFonts w:cs="宋体" w:asciiTheme="minorEastAsia" w:hAnsiTheme="minorEastAsia"/>
          <w:kern w:val="0"/>
          <w:sz w:val="24"/>
          <w:szCs w:val="24"/>
        </w:rPr>
        <w:t>，</w:t>
      </w:r>
      <w:r>
        <w:rPr>
          <w:rFonts w:cs="宋体" w:asciiTheme="minorEastAsia" w:hAnsiTheme="minorEastAsia"/>
          <w:sz w:val="24"/>
          <w:szCs w:val="24"/>
        </w:rPr>
        <w:t>属于</w:t>
      </w:r>
      <w:r>
        <w:rPr>
          <w:rFonts w:hint="eastAsia" w:cs="宋体" w:asciiTheme="minorEastAsia" w:hAnsiTheme="minorEastAsia"/>
          <w:sz w:val="24"/>
          <w:szCs w:val="24"/>
          <w:u w:val="single"/>
        </w:rPr>
        <w:t xml:space="preserve"> </w:t>
      </w:r>
      <w:r>
        <w:rPr>
          <w:rFonts w:hint="eastAsia" w:ascii="宋体" w:hAnsi="宋体" w:cs="宋体"/>
          <w:b/>
          <w:kern w:val="0"/>
          <w:sz w:val="24"/>
          <w:szCs w:val="24"/>
          <w:u w:val="single"/>
        </w:rPr>
        <w:t xml:space="preserve">工业制造业 </w:t>
      </w:r>
      <w:r>
        <w:rPr>
          <w:rFonts w:cs="宋体" w:asciiTheme="minorEastAsia" w:hAnsiTheme="minorEastAsia"/>
          <w:sz w:val="24"/>
          <w:szCs w:val="24"/>
        </w:rPr>
        <w:t>行业；制造商为</w:t>
      </w:r>
      <w:r>
        <w:rPr>
          <w:rFonts w:cs="宋体" w:asciiTheme="minorEastAsia" w:hAnsiTheme="minorEastAsia"/>
          <w:sz w:val="24"/>
          <w:szCs w:val="24"/>
          <w:u w:val="single"/>
        </w:rPr>
        <w:t>（企业名称）</w:t>
      </w:r>
      <w:r>
        <w:rPr>
          <w:rFonts w:cs="宋体" w:asciiTheme="minorEastAsia" w:hAnsiTheme="minorEastAsia"/>
          <w:sz w:val="24"/>
          <w:szCs w:val="24"/>
        </w:rPr>
        <w:t>，从业人员</w:t>
      </w:r>
      <w:r>
        <w:rPr>
          <w:rFonts w:cs="宋体" w:asciiTheme="minorEastAsia" w:hAnsiTheme="minorEastAsia"/>
          <w:sz w:val="24"/>
          <w:szCs w:val="24"/>
          <w:u w:val="single"/>
        </w:rPr>
        <w:t xml:space="preserve"> </w:t>
      </w:r>
      <w:r>
        <w:rPr>
          <w:rFonts w:cs="宋体" w:asciiTheme="minorEastAsia" w:hAnsiTheme="minorEastAsia"/>
          <w:sz w:val="24"/>
          <w:szCs w:val="24"/>
          <w:u w:val="single"/>
        </w:rPr>
        <w:tab/>
      </w:r>
      <w:r>
        <w:rPr>
          <w:rFonts w:cs="宋体" w:asciiTheme="minorEastAsia" w:hAnsiTheme="minorEastAsia"/>
          <w:sz w:val="24"/>
          <w:szCs w:val="24"/>
        </w:rPr>
        <w:t>人，营业收入为</w:t>
      </w:r>
      <w:r>
        <w:rPr>
          <w:rFonts w:cs="宋体" w:asciiTheme="minorEastAsia" w:hAnsiTheme="minorEastAsia"/>
          <w:sz w:val="24"/>
          <w:szCs w:val="24"/>
          <w:u w:val="single"/>
        </w:rPr>
        <w:t xml:space="preserve"> </w:t>
      </w:r>
      <w:r>
        <w:rPr>
          <w:rFonts w:cs="宋体" w:asciiTheme="minorEastAsia" w:hAnsiTheme="minorEastAsia"/>
          <w:sz w:val="24"/>
          <w:szCs w:val="24"/>
          <w:u w:val="single"/>
        </w:rPr>
        <w:tab/>
      </w:r>
      <w:r>
        <w:rPr>
          <w:rFonts w:cs="宋体" w:asciiTheme="minorEastAsia" w:hAnsiTheme="minorEastAsia"/>
          <w:sz w:val="24"/>
          <w:szCs w:val="24"/>
        </w:rPr>
        <w:t>万元，资产总额为</w:t>
      </w:r>
      <w:r>
        <w:rPr>
          <w:rFonts w:cs="宋体" w:asciiTheme="minorEastAsia" w:hAnsiTheme="minorEastAsia"/>
          <w:sz w:val="24"/>
          <w:szCs w:val="24"/>
          <w:u w:val="single"/>
        </w:rPr>
        <w:t xml:space="preserve"> </w:t>
      </w:r>
      <w:r>
        <w:rPr>
          <w:rFonts w:hint="eastAsia" w:cs="宋体" w:asciiTheme="minorEastAsia" w:hAnsiTheme="minorEastAsia"/>
          <w:sz w:val="24"/>
          <w:szCs w:val="24"/>
          <w:u w:val="single"/>
        </w:rPr>
        <w:t xml:space="preserve">   </w:t>
      </w:r>
      <w:r>
        <w:rPr>
          <w:rFonts w:cs="宋体" w:asciiTheme="minorEastAsia" w:hAnsiTheme="minorEastAsia"/>
          <w:sz w:val="24"/>
          <w:szCs w:val="24"/>
          <w:u w:val="single"/>
        </w:rPr>
        <w:tab/>
      </w:r>
      <w:r>
        <w:rPr>
          <w:rFonts w:cs="宋体" w:asciiTheme="minorEastAsia" w:hAnsiTheme="minorEastAsia"/>
          <w:sz w:val="24"/>
          <w:szCs w:val="24"/>
        </w:rPr>
        <w:t>万元，属于</w:t>
      </w:r>
      <w:r>
        <w:rPr>
          <w:rFonts w:cs="宋体" w:asciiTheme="minorEastAsia" w:hAnsiTheme="minorEastAsia"/>
          <w:sz w:val="24"/>
          <w:szCs w:val="24"/>
          <w:u w:val="single"/>
        </w:rPr>
        <w:t>（中型企业、小型企业、微型企业）</w:t>
      </w:r>
      <w:r>
        <w:rPr>
          <w:rFonts w:cs="宋体" w:asciiTheme="minorEastAsia" w:hAnsiTheme="minorEastAsia"/>
          <w:sz w:val="24"/>
          <w:szCs w:val="24"/>
        </w:rPr>
        <w:t>；</w:t>
      </w:r>
    </w:p>
    <w:p>
      <w:pPr>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以上企业，不属于大企业的分支机构，不存在控股股东为大企业的情形，也不存在与大企业的负责人为同一人的情形。</w:t>
      </w:r>
    </w:p>
    <w:p>
      <w:pPr>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本企业对上述声明内容的真实性负责。如有虚假，将依法承担相应责任。</w:t>
      </w:r>
    </w:p>
    <w:p>
      <w:pPr>
        <w:spacing w:line="360" w:lineRule="auto"/>
        <w:rPr>
          <w:rFonts w:cs="宋体" w:asciiTheme="minorEastAsia" w:hAnsiTheme="minorEastAsia"/>
          <w:kern w:val="0"/>
          <w:sz w:val="24"/>
          <w:szCs w:val="24"/>
        </w:rPr>
      </w:pPr>
    </w:p>
    <w:p>
      <w:pPr>
        <w:spacing w:line="360" w:lineRule="auto"/>
        <w:rPr>
          <w:rFonts w:cs="宋体" w:asciiTheme="minorEastAsia" w:hAnsiTheme="minorEastAsia"/>
          <w:kern w:val="0"/>
          <w:sz w:val="24"/>
          <w:szCs w:val="24"/>
        </w:rPr>
      </w:pPr>
      <w:r>
        <w:rPr>
          <w:rFonts w:cs="宋体" w:asciiTheme="minorEastAsia" w:hAnsiTheme="minorEastAsia"/>
          <w:kern w:val="0"/>
          <w:sz w:val="24"/>
          <w:szCs w:val="24"/>
        </w:rPr>
        <w:t>企业名称（盖章）：</w:t>
      </w:r>
    </w:p>
    <w:p>
      <w:pPr>
        <w:spacing w:line="360" w:lineRule="auto"/>
        <w:rPr>
          <w:rFonts w:cs="宋体" w:asciiTheme="minorEastAsia" w:hAnsiTheme="minorEastAsia"/>
          <w:kern w:val="0"/>
          <w:sz w:val="24"/>
          <w:szCs w:val="24"/>
        </w:rPr>
      </w:pPr>
    </w:p>
    <w:p>
      <w:pPr>
        <w:spacing w:line="360" w:lineRule="auto"/>
        <w:rPr>
          <w:rFonts w:cs="宋体" w:asciiTheme="minorEastAsia" w:hAnsiTheme="minorEastAsia"/>
          <w:kern w:val="0"/>
          <w:sz w:val="24"/>
          <w:szCs w:val="24"/>
        </w:rPr>
      </w:pPr>
      <w:r>
        <w:rPr>
          <w:rFonts w:cs="宋体" w:asciiTheme="minorEastAsia" w:hAnsiTheme="minorEastAsia"/>
          <w:kern w:val="0"/>
          <w:sz w:val="24"/>
          <w:szCs w:val="24"/>
        </w:rPr>
        <w:t>日期：</w:t>
      </w:r>
    </w:p>
    <w:p>
      <w:pPr>
        <w:autoSpaceDE w:val="0"/>
        <w:autoSpaceDN w:val="0"/>
        <w:adjustRightInd w:val="0"/>
        <w:spacing w:line="360" w:lineRule="auto"/>
        <w:jc w:val="left"/>
        <w:rPr>
          <w:rFonts w:cs="宋体" w:asciiTheme="minorEastAsia" w:hAnsiTheme="minorEastAsia"/>
          <w:kern w:val="0"/>
          <w:sz w:val="24"/>
          <w:szCs w:val="24"/>
        </w:rPr>
      </w:pPr>
    </w:p>
    <w:p>
      <w:pPr>
        <w:autoSpaceDE w:val="0"/>
        <w:autoSpaceDN w:val="0"/>
        <w:adjustRightInd w:val="0"/>
        <w:spacing w:line="360" w:lineRule="auto"/>
        <w:jc w:val="left"/>
        <w:rPr>
          <w:rFonts w:cs="宋体" w:asciiTheme="minorEastAsia" w:hAnsiTheme="minorEastAsia"/>
          <w:kern w:val="0"/>
          <w:sz w:val="24"/>
          <w:szCs w:val="24"/>
        </w:rPr>
      </w:pP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说明：</w:t>
      </w:r>
    </w:p>
    <w:p>
      <w:pPr>
        <w:autoSpaceDE w:val="0"/>
        <w:autoSpaceDN w:val="0"/>
        <w:adjustRightInd w:val="0"/>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、填写前请认真阅读《工业和信息化部、国家统计局、国家发展和改革委员会、财政部关于印发中小企业划型标准规定的通知》（工信部联企业</w:t>
      </w:r>
      <w:r>
        <w:rPr>
          <w:rFonts w:cs="宋体" w:asciiTheme="minorEastAsia" w:hAnsiTheme="minorEastAsia"/>
          <w:kern w:val="0"/>
          <w:sz w:val="24"/>
          <w:szCs w:val="24"/>
        </w:rPr>
        <w:t xml:space="preserve">[2011]300 </w:t>
      </w:r>
      <w:r>
        <w:rPr>
          <w:rFonts w:hint="eastAsia" w:cs="宋体" w:asciiTheme="minorEastAsia" w:hAnsiTheme="minorEastAsia"/>
          <w:kern w:val="0"/>
          <w:sz w:val="24"/>
          <w:szCs w:val="24"/>
        </w:rPr>
        <w:t>号）和《财政部工业和信息化部关于印发</w:t>
      </w:r>
      <w:r>
        <w:rPr>
          <w:rFonts w:cs="宋体" w:asciiTheme="minorEastAsia" w:hAnsiTheme="minorEastAsia"/>
          <w:kern w:val="0"/>
          <w:sz w:val="24"/>
          <w:szCs w:val="24"/>
        </w:rPr>
        <w:t>《政府采购促进中小企业发展管理办法》(</w:t>
      </w:r>
      <w:r>
        <w:rPr>
          <w:rFonts w:hint="eastAsia" w:cs="宋体" w:asciiTheme="minorEastAsia" w:hAnsiTheme="minorEastAsia"/>
          <w:kern w:val="0"/>
          <w:sz w:val="24"/>
          <w:szCs w:val="24"/>
        </w:rPr>
        <w:t>财库</w:t>
      </w:r>
      <w:r>
        <w:rPr>
          <w:rFonts w:cs="宋体" w:asciiTheme="minorEastAsia" w:hAnsiTheme="minorEastAsia"/>
          <w:kern w:val="0"/>
          <w:sz w:val="24"/>
          <w:szCs w:val="24"/>
        </w:rPr>
        <w:t>[20</w:t>
      </w:r>
      <w:r>
        <w:rPr>
          <w:rFonts w:hint="eastAsia" w:cs="宋体" w:asciiTheme="minorEastAsia" w:hAnsiTheme="minorEastAsia"/>
          <w:kern w:val="0"/>
          <w:sz w:val="24"/>
          <w:szCs w:val="24"/>
        </w:rPr>
        <w:t>20</w:t>
      </w:r>
      <w:r>
        <w:rPr>
          <w:rFonts w:cs="宋体" w:asciiTheme="minorEastAsia" w:hAnsiTheme="minorEastAsia"/>
          <w:kern w:val="0"/>
          <w:sz w:val="24"/>
          <w:szCs w:val="24"/>
        </w:rPr>
        <w:t>]</w:t>
      </w:r>
      <w:r>
        <w:rPr>
          <w:rFonts w:hint="eastAsia" w:cs="宋体" w:asciiTheme="minorEastAsia" w:hAnsiTheme="minorEastAsia"/>
          <w:kern w:val="0"/>
          <w:sz w:val="24"/>
          <w:szCs w:val="24"/>
        </w:rPr>
        <w:t>46号</w:t>
      </w:r>
      <w:r>
        <w:rPr>
          <w:rFonts w:cs="宋体" w:asciiTheme="minorEastAsia" w:hAnsiTheme="minorEastAsia"/>
          <w:kern w:val="0"/>
          <w:sz w:val="24"/>
          <w:szCs w:val="24"/>
        </w:rPr>
        <w:t>)</w:t>
      </w:r>
      <w:r>
        <w:rPr>
          <w:rFonts w:hint="eastAsia" w:cs="宋体" w:asciiTheme="minorEastAsia" w:hAnsiTheme="minorEastAsia"/>
          <w:kern w:val="0"/>
          <w:sz w:val="24"/>
          <w:szCs w:val="24"/>
        </w:rPr>
        <w:t>相关规定。</w:t>
      </w:r>
    </w:p>
    <w:p>
      <w:pPr>
        <w:autoSpaceDE w:val="0"/>
        <w:autoSpaceDN w:val="0"/>
        <w:adjustRightInd w:val="0"/>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、从业人员、营业收入、资产总额填报上一年度数据，无上一年度数据的新成立企业可不填报。</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br w:type="page"/>
      </w:r>
      <w:bookmarkEnd w:id="58"/>
      <w:bookmarkEnd w:id="59"/>
    </w:p>
    <w:p>
      <w:pPr>
        <w:pStyle w:val="2"/>
        <w:spacing w:before="0" w:after="0" w:line="360" w:lineRule="auto"/>
        <w:jc w:val="left"/>
        <w:rPr>
          <w:rFonts w:cs="仿宋" w:asciiTheme="minorEastAsia" w:hAnsiTheme="minorEastAsia" w:eastAsiaTheme="minorEastAsia"/>
          <w:color w:val="auto"/>
          <w:sz w:val="24"/>
          <w:szCs w:val="24"/>
        </w:rPr>
      </w:pPr>
      <w:bookmarkStart w:id="65" w:name="_Toc25663"/>
      <w:bookmarkStart w:id="66" w:name="_Toc24536"/>
      <w:bookmarkStart w:id="67" w:name="_Toc3554"/>
      <w:bookmarkStart w:id="68" w:name="_Toc24213"/>
      <w:bookmarkStart w:id="69" w:name="_Toc136609706"/>
      <w:bookmarkStart w:id="70" w:name="_Toc12559"/>
      <w:r>
        <w:rPr>
          <w:rFonts w:hint="eastAsia" w:cs="仿宋" w:asciiTheme="minorEastAsia" w:hAnsiTheme="minorEastAsia" w:eastAsiaTheme="minorEastAsia"/>
          <w:color w:val="auto"/>
          <w:sz w:val="24"/>
          <w:szCs w:val="24"/>
        </w:rPr>
        <w:t>（第二部分）</w:t>
      </w:r>
      <w:r>
        <w:rPr>
          <w:rFonts w:cs="仿宋" w:asciiTheme="minorEastAsia" w:hAnsiTheme="minorEastAsia" w:eastAsiaTheme="minorEastAsia"/>
          <w:color w:val="auto"/>
          <w:sz w:val="24"/>
          <w:szCs w:val="24"/>
        </w:rPr>
        <w:t>报价文件</w:t>
      </w:r>
      <w:bookmarkEnd w:id="65"/>
      <w:bookmarkEnd w:id="66"/>
      <w:bookmarkEnd w:id="67"/>
      <w:bookmarkEnd w:id="68"/>
      <w:bookmarkEnd w:id="69"/>
      <w:bookmarkEnd w:id="70"/>
    </w:p>
    <w:p>
      <w:pPr>
        <w:snapToGrid w:val="0"/>
        <w:spacing w:line="360" w:lineRule="auto"/>
        <w:jc w:val="center"/>
        <w:rPr>
          <w:rFonts w:cs="仿宋" w:asciiTheme="minorEastAsia" w:hAnsiTheme="minorEastAsia"/>
          <w:b/>
          <w:sz w:val="24"/>
          <w:szCs w:val="24"/>
        </w:rPr>
      </w:pPr>
      <w:r>
        <w:rPr>
          <w:rFonts w:hint="eastAsia" w:cs="仿宋" w:asciiTheme="minorEastAsia" w:hAnsiTheme="minorEastAsia"/>
          <w:b/>
          <w:sz w:val="24"/>
          <w:szCs w:val="24"/>
        </w:rPr>
        <w:t>一、报价一览表</w:t>
      </w:r>
    </w:p>
    <w:tbl>
      <w:tblPr>
        <w:tblStyle w:val="48"/>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2475"/>
        <w:gridCol w:w="1365"/>
        <w:gridCol w:w="3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1988" w:type="dxa"/>
            <w:vAlign w:val="center"/>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供应商名称</w:t>
            </w:r>
          </w:p>
        </w:tc>
        <w:tc>
          <w:tcPr>
            <w:tcW w:w="7298" w:type="dxa"/>
            <w:gridSpan w:val="3"/>
            <w:vAlign w:val="center"/>
          </w:tcPr>
          <w:p>
            <w:pPr>
              <w:snapToGrid w:val="0"/>
              <w:spacing w:line="360" w:lineRule="auto"/>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988" w:type="dxa"/>
            <w:vAlign w:val="center"/>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 xml:space="preserve">项目编号: </w:t>
            </w:r>
          </w:p>
        </w:tc>
        <w:tc>
          <w:tcPr>
            <w:tcW w:w="7298" w:type="dxa"/>
            <w:gridSpan w:val="3"/>
            <w:vAlign w:val="center"/>
          </w:tcPr>
          <w:p>
            <w:pPr>
              <w:snapToGrid w:val="0"/>
              <w:spacing w:line="360" w:lineRule="auto"/>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988" w:type="dxa"/>
            <w:vAlign w:val="center"/>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项目名称</w:t>
            </w:r>
          </w:p>
        </w:tc>
        <w:tc>
          <w:tcPr>
            <w:tcW w:w="7298" w:type="dxa"/>
            <w:gridSpan w:val="3"/>
            <w:vAlign w:val="center"/>
          </w:tcPr>
          <w:p>
            <w:pPr>
              <w:snapToGrid w:val="0"/>
              <w:spacing w:line="360" w:lineRule="auto"/>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trPr>
        <w:tc>
          <w:tcPr>
            <w:tcW w:w="1988" w:type="dxa"/>
            <w:vAlign w:val="center"/>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法定代表人</w:t>
            </w:r>
          </w:p>
        </w:tc>
        <w:tc>
          <w:tcPr>
            <w:tcW w:w="2475" w:type="dxa"/>
            <w:vAlign w:val="center"/>
          </w:tcPr>
          <w:p>
            <w:pPr>
              <w:snapToGrid w:val="0"/>
              <w:spacing w:line="360" w:lineRule="auto"/>
              <w:rPr>
                <w:rFonts w:cs="仿宋" w:asciiTheme="minorEastAsia" w:hAnsiTheme="minorEastAsia"/>
                <w:sz w:val="24"/>
                <w:szCs w:val="24"/>
              </w:rPr>
            </w:pPr>
          </w:p>
        </w:tc>
        <w:tc>
          <w:tcPr>
            <w:tcW w:w="1365" w:type="dxa"/>
            <w:vAlign w:val="center"/>
          </w:tcPr>
          <w:p>
            <w:pPr>
              <w:snapToGrid w:val="0"/>
              <w:spacing w:line="360" w:lineRule="auto"/>
              <w:rPr>
                <w:rFonts w:cs="仿宋" w:asciiTheme="minorEastAsia" w:hAnsiTheme="minorEastAsia"/>
                <w:sz w:val="24"/>
                <w:szCs w:val="24"/>
              </w:rPr>
            </w:pPr>
            <w:r>
              <w:rPr>
                <w:rFonts w:hint="eastAsia" w:cs="仿宋" w:asciiTheme="minorEastAsia" w:hAnsiTheme="minorEastAsia"/>
                <w:sz w:val="24"/>
                <w:szCs w:val="24"/>
              </w:rPr>
              <w:t>联系电话</w:t>
            </w:r>
          </w:p>
        </w:tc>
        <w:tc>
          <w:tcPr>
            <w:tcW w:w="3458" w:type="dxa"/>
            <w:vAlign w:val="center"/>
          </w:tcPr>
          <w:p>
            <w:pPr>
              <w:snapToGrid w:val="0"/>
              <w:spacing w:line="360" w:lineRule="auto"/>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1988" w:type="dxa"/>
            <w:tcBorders>
              <w:bottom w:val="single" w:color="auto" w:sz="4" w:space="0"/>
            </w:tcBorders>
            <w:vAlign w:val="center"/>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法人授权代表</w:t>
            </w:r>
          </w:p>
        </w:tc>
        <w:tc>
          <w:tcPr>
            <w:tcW w:w="2475" w:type="dxa"/>
            <w:tcBorders>
              <w:bottom w:val="single" w:color="auto" w:sz="4" w:space="0"/>
            </w:tcBorders>
            <w:vAlign w:val="center"/>
          </w:tcPr>
          <w:p>
            <w:pPr>
              <w:snapToGrid w:val="0"/>
              <w:spacing w:line="360" w:lineRule="auto"/>
              <w:rPr>
                <w:rFonts w:cs="仿宋" w:asciiTheme="minorEastAsia" w:hAnsiTheme="minorEastAsia"/>
                <w:sz w:val="24"/>
                <w:szCs w:val="24"/>
              </w:rPr>
            </w:pPr>
          </w:p>
        </w:tc>
        <w:tc>
          <w:tcPr>
            <w:tcW w:w="1365" w:type="dxa"/>
            <w:tcBorders>
              <w:bottom w:val="single" w:color="auto" w:sz="4" w:space="0"/>
            </w:tcBorders>
            <w:vAlign w:val="center"/>
          </w:tcPr>
          <w:p>
            <w:pPr>
              <w:snapToGrid w:val="0"/>
              <w:spacing w:line="360" w:lineRule="auto"/>
              <w:rPr>
                <w:rFonts w:cs="仿宋" w:asciiTheme="minorEastAsia" w:hAnsiTheme="minorEastAsia"/>
                <w:sz w:val="24"/>
                <w:szCs w:val="24"/>
              </w:rPr>
            </w:pPr>
            <w:r>
              <w:rPr>
                <w:rFonts w:hint="eastAsia" w:cs="仿宋" w:asciiTheme="minorEastAsia" w:hAnsiTheme="minorEastAsia"/>
                <w:sz w:val="24"/>
                <w:szCs w:val="24"/>
              </w:rPr>
              <w:t>联系电话</w:t>
            </w:r>
          </w:p>
        </w:tc>
        <w:tc>
          <w:tcPr>
            <w:tcW w:w="3458" w:type="dxa"/>
            <w:tcBorders>
              <w:bottom w:val="single" w:color="auto" w:sz="4" w:space="0"/>
            </w:tcBorders>
            <w:vAlign w:val="center"/>
          </w:tcPr>
          <w:p>
            <w:pPr>
              <w:snapToGrid w:val="0"/>
              <w:spacing w:line="360" w:lineRule="auto"/>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投标</w:t>
            </w:r>
          </w:p>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报价</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仿宋" w:asciiTheme="minorEastAsia" w:hAnsiTheme="minorEastAsia"/>
                <w:bCs/>
                <w:sz w:val="24"/>
                <w:szCs w:val="24"/>
              </w:rPr>
            </w:pPr>
            <w:r>
              <w:rPr>
                <w:rFonts w:hint="eastAsia" w:cs="仿宋" w:asciiTheme="minorEastAsia" w:hAnsiTheme="minorEastAsia"/>
                <w:bCs/>
                <w:sz w:val="24"/>
                <w:szCs w:val="24"/>
              </w:rPr>
              <w:t>￥：（元）</w:t>
            </w:r>
          </w:p>
          <w:p>
            <w:pPr>
              <w:snapToGrid w:val="0"/>
              <w:spacing w:line="360" w:lineRule="auto"/>
              <w:rPr>
                <w:rFonts w:cs="仿宋" w:asciiTheme="minorEastAsia" w:hAnsiTheme="minorEastAsia"/>
                <w:bCs/>
                <w:sz w:val="24"/>
                <w:szCs w:val="24"/>
              </w:rPr>
            </w:pPr>
            <w:r>
              <w:rPr>
                <w:rFonts w:hint="eastAsia" w:cs="仿宋" w:asciiTheme="minorEastAsia" w:hAnsiTheme="minorEastAsia"/>
                <w:bCs/>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仿宋" w:asciiTheme="minorEastAsia" w:hAnsiTheme="minorEastAsia"/>
                <w:sz w:val="24"/>
                <w:szCs w:val="24"/>
              </w:rPr>
            </w:pPr>
            <w:r>
              <w:rPr>
                <w:rFonts w:hint="eastAsia" w:cs="仿宋" w:asciiTheme="minorEastAsia" w:hAnsiTheme="minorEastAsia"/>
                <w:sz w:val="24"/>
                <w:szCs w:val="24"/>
              </w:rPr>
              <w:t>供货周期</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cs="仿宋" w:asciiTheme="minorEastAsia" w:hAnsiTheme="minorEastAsia"/>
                <w:sz w:val="24"/>
                <w:szCs w:val="24"/>
              </w:rPr>
            </w:pPr>
            <w:r>
              <w:rPr>
                <w:rFonts w:hint="eastAsia" w:ascii="宋体" w:hAnsi="宋体" w:cs="宋体"/>
                <w:kern w:val="0"/>
                <w:sz w:val="24"/>
                <w:szCs w:val="24"/>
              </w:rPr>
              <w:t>自合同签订之日起</w:t>
            </w:r>
            <w:r>
              <w:rPr>
                <w:rFonts w:hint="eastAsia" w:ascii="宋体" w:hAnsi="宋体" w:cs="宋体"/>
                <w:kern w:val="0"/>
                <w:sz w:val="24"/>
                <w:szCs w:val="24"/>
                <w:u w:val="single"/>
              </w:rPr>
              <w:t xml:space="preserve"> 15 </w:t>
            </w:r>
            <w:r>
              <w:rPr>
                <w:rFonts w:hint="eastAsia" w:ascii="宋体" w:hAnsi="宋体" w:cs="宋体"/>
                <w:kern w:val="0"/>
                <w:sz w:val="24"/>
                <w:szCs w:val="24"/>
              </w:rPr>
              <w:t>日历日内完成</w:t>
            </w:r>
            <w:r>
              <w:rPr>
                <w:rFonts w:hint="eastAsia" w:ascii="宋体" w:hAnsi="宋体"/>
                <w:sz w:val="24"/>
                <w:szCs w:val="24"/>
              </w:rPr>
              <w:t>（期限内须完成设备材料的采购、安装、系统调试、检测、指导、人员培训等全部工作内容）。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仿宋" w:asciiTheme="minorEastAsia" w:hAnsiTheme="minorEastAsia"/>
                <w:sz w:val="24"/>
                <w:szCs w:val="24"/>
              </w:rPr>
            </w:pPr>
            <w:r>
              <w:rPr>
                <w:rFonts w:hint="eastAsia" w:cs="仿宋" w:asciiTheme="minorEastAsia" w:hAnsiTheme="minorEastAsia"/>
                <w:sz w:val="24"/>
                <w:szCs w:val="24"/>
              </w:rPr>
              <w:t>质保期</w:t>
            </w:r>
          </w:p>
        </w:tc>
        <w:tc>
          <w:tcPr>
            <w:tcW w:w="729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cs="仿宋" w:asciiTheme="minorEastAsia" w:hAnsiTheme="minorEastAsia"/>
                <w:sz w:val="24"/>
                <w:szCs w:val="24"/>
              </w:rPr>
            </w:pPr>
          </w:p>
        </w:tc>
      </w:tr>
    </w:tbl>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sz w:val="24"/>
          <w:szCs w:val="24"/>
        </w:rPr>
        <w:t xml:space="preserve">以上报价应一次性报定，应包括：货物、外购件、外协件、配套件、备品备件、全套设备全部内容、安装线材、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采购文件所要求的其它服务事项及与合同有关的交钥匙工程等全部费用。成交单位在项目安装、调试过程中，要做到安全文明施工，如发生任何意外、伤亡责任事故，造成的经济损失和人员伤亡由成交人自行负责。 </w:t>
      </w:r>
    </w:p>
    <w:p>
      <w:pPr>
        <w:snapToGrid w:val="0"/>
        <w:spacing w:line="360" w:lineRule="auto"/>
        <w:ind w:right="105" w:rightChars="50"/>
        <w:rPr>
          <w:rFonts w:cs="仿宋" w:asciiTheme="minorEastAsia" w:hAnsiTheme="minorEastAsia"/>
          <w:sz w:val="24"/>
          <w:szCs w:val="24"/>
        </w:rPr>
      </w:pPr>
      <w:r>
        <w:rPr>
          <w:rFonts w:hint="eastAsia" w:cs="仿宋" w:asciiTheme="minorEastAsia" w:hAnsiTheme="minorEastAsia"/>
          <w:sz w:val="24"/>
          <w:szCs w:val="24"/>
        </w:rPr>
        <w:t>供应商（盖章）：</w:t>
      </w:r>
    </w:p>
    <w:p>
      <w:pPr>
        <w:snapToGrid w:val="0"/>
        <w:spacing w:line="360" w:lineRule="auto"/>
        <w:ind w:right="105" w:rightChars="50"/>
        <w:rPr>
          <w:rFonts w:cs="仿宋" w:asciiTheme="minorEastAsia" w:hAnsiTheme="minorEastAsia"/>
          <w:sz w:val="24"/>
          <w:szCs w:val="24"/>
        </w:rPr>
      </w:pPr>
      <w:r>
        <w:rPr>
          <w:rFonts w:hint="eastAsia" w:cs="仿宋" w:asciiTheme="minorEastAsia" w:hAnsiTheme="minorEastAsia"/>
          <w:sz w:val="24"/>
          <w:szCs w:val="24"/>
        </w:rPr>
        <w:t>法定代表人（盖章）：</w:t>
      </w:r>
    </w:p>
    <w:p>
      <w:pPr>
        <w:snapToGrid w:val="0"/>
        <w:spacing w:line="360" w:lineRule="auto"/>
        <w:ind w:right="105" w:rightChars="50"/>
        <w:rPr>
          <w:rFonts w:cs="仿宋" w:asciiTheme="minorEastAsia" w:hAnsiTheme="minorEastAsia"/>
          <w:sz w:val="24"/>
          <w:szCs w:val="24"/>
        </w:rPr>
      </w:pPr>
      <w:r>
        <w:rPr>
          <w:rFonts w:hint="eastAsia" w:cs="仿宋" w:asciiTheme="minorEastAsia" w:hAnsiTheme="minorEastAsia"/>
          <w:sz w:val="24"/>
          <w:szCs w:val="24"/>
        </w:rPr>
        <w:t>法人授权代表（签字）：</w:t>
      </w:r>
    </w:p>
    <w:p>
      <w:pPr>
        <w:snapToGrid w:val="0"/>
        <w:spacing w:line="360" w:lineRule="auto"/>
        <w:rPr>
          <w:rFonts w:cs="仿宋" w:asciiTheme="minorEastAsia" w:hAnsiTheme="minorEastAsia"/>
          <w:b/>
          <w:sz w:val="24"/>
          <w:szCs w:val="24"/>
        </w:rPr>
      </w:pPr>
    </w:p>
    <w:p>
      <w:pPr>
        <w:spacing w:line="360" w:lineRule="auto"/>
        <w:rPr>
          <w:rFonts w:cs="仿宋" w:asciiTheme="minorEastAsia" w:hAnsiTheme="minorEastAsia"/>
          <w:b/>
          <w:sz w:val="24"/>
          <w:szCs w:val="24"/>
        </w:rPr>
      </w:pPr>
    </w:p>
    <w:p>
      <w:pPr>
        <w:pStyle w:val="19"/>
      </w:pPr>
    </w:p>
    <w:p>
      <w:pPr>
        <w:pStyle w:val="19"/>
      </w:pPr>
    </w:p>
    <w:p>
      <w:pPr>
        <w:snapToGrid w:val="0"/>
        <w:spacing w:line="360" w:lineRule="auto"/>
        <w:jc w:val="center"/>
        <w:rPr>
          <w:rFonts w:cs="仿宋" w:asciiTheme="minorEastAsia" w:hAnsiTheme="minorEastAsia"/>
          <w:b/>
          <w:sz w:val="24"/>
          <w:szCs w:val="24"/>
        </w:rPr>
      </w:pPr>
      <w:r>
        <w:rPr>
          <w:rFonts w:hint="eastAsia" w:cs="仿宋" w:asciiTheme="minorEastAsia" w:hAnsiTheme="minorEastAsia"/>
          <w:b/>
          <w:sz w:val="24"/>
          <w:szCs w:val="24"/>
        </w:rPr>
        <w:t>二、报价明细表</w:t>
      </w:r>
    </w:p>
    <w:p>
      <w:pPr>
        <w:snapToGrid w:val="0"/>
        <w:spacing w:line="360" w:lineRule="auto"/>
        <w:rPr>
          <w:rFonts w:cs="仿宋" w:asciiTheme="minorEastAsia" w:hAnsiTheme="minorEastAsia"/>
          <w:b/>
          <w:sz w:val="24"/>
          <w:szCs w:val="24"/>
        </w:rPr>
      </w:pPr>
      <w:r>
        <w:rPr>
          <w:rFonts w:hint="eastAsia" w:cs="仿宋" w:asciiTheme="minorEastAsia" w:hAnsiTheme="minorEastAsia"/>
          <w:b/>
          <w:sz w:val="24"/>
          <w:szCs w:val="24"/>
        </w:rPr>
        <w:t>供应商名称：</w:t>
      </w:r>
    </w:p>
    <w:p>
      <w:pPr>
        <w:snapToGrid w:val="0"/>
        <w:spacing w:line="360" w:lineRule="auto"/>
        <w:rPr>
          <w:rFonts w:cs="仿宋" w:asciiTheme="minorEastAsia" w:hAnsiTheme="minorEastAsia"/>
          <w:b/>
          <w:sz w:val="24"/>
          <w:szCs w:val="24"/>
        </w:rPr>
      </w:pPr>
      <w:r>
        <w:rPr>
          <w:rFonts w:hint="eastAsia" w:cs="仿宋" w:asciiTheme="minorEastAsia" w:hAnsiTheme="minorEastAsia"/>
          <w:b/>
          <w:sz w:val="24"/>
          <w:szCs w:val="24"/>
        </w:rPr>
        <w:t>单位：元</w:t>
      </w:r>
    </w:p>
    <w:tbl>
      <w:tblPr>
        <w:tblStyle w:val="49"/>
        <w:tblW w:w="940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2471"/>
        <w:gridCol w:w="1042"/>
        <w:gridCol w:w="993"/>
        <w:gridCol w:w="1134"/>
        <w:gridCol w:w="1514"/>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740"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序号</w:t>
            </w:r>
          </w:p>
        </w:tc>
        <w:tc>
          <w:tcPr>
            <w:tcW w:w="2471"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内容</w:t>
            </w:r>
          </w:p>
        </w:tc>
        <w:tc>
          <w:tcPr>
            <w:tcW w:w="1042"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数量</w:t>
            </w:r>
          </w:p>
        </w:tc>
        <w:tc>
          <w:tcPr>
            <w:tcW w:w="993"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品牌</w:t>
            </w:r>
          </w:p>
        </w:tc>
        <w:tc>
          <w:tcPr>
            <w:tcW w:w="1134"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单价</w:t>
            </w:r>
          </w:p>
        </w:tc>
        <w:tc>
          <w:tcPr>
            <w:tcW w:w="1514"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总价</w:t>
            </w:r>
          </w:p>
        </w:tc>
        <w:tc>
          <w:tcPr>
            <w:tcW w:w="1514"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1</w:t>
            </w:r>
          </w:p>
        </w:tc>
        <w:tc>
          <w:tcPr>
            <w:tcW w:w="2471" w:type="dxa"/>
            <w:vAlign w:val="bottom"/>
          </w:tcPr>
          <w:p>
            <w:pPr>
              <w:snapToGrid w:val="0"/>
              <w:spacing w:line="360" w:lineRule="auto"/>
              <w:jc w:val="center"/>
              <w:rPr>
                <w:rFonts w:cs="仿宋" w:asciiTheme="minorEastAsia" w:hAnsiTheme="minorEastAsia"/>
                <w:sz w:val="24"/>
                <w:szCs w:val="24"/>
              </w:rPr>
            </w:pPr>
          </w:p>
        </w:tc>
        <w:tc>
          <w:tcPr>
            <w:tcW w:w="1042" w:type="dxa"/>
            <w:vAlign w:val="bottom"/>
          </w:tcPr>
          <w:p>
            <w:pPr>
              <w:snapToGrid w:val="0"/>
              <w:spacing w:line="360" w:lineRule="auto"/>
              <w:jc w:val="center"/>
              <w:rPr>
                <w:rFonts w:cs="仿宋" w:asciiTheme="minorEastAsia" w:hAnsiTheme="minorEastAsia"/>
                <w:sz w:val="24"/>
                <w:szCs w:val="24"/>
              </w:rPr>
            </w:pPr>
          </w:p>
        </w:tc>
        <w:tc>
          <w:tcPr>
            <w:tcW w:w="993" w:type="dxa"/>
            <w:vAlign w:val="bottom"/>
          </w:tcPr>
          <w:p>
            <w:pPr>
              <w:snapToGrid w:val="0"/>
              <w:spacing w:line="360" w:lineRule="auto"/>
              <w:jc w:val="center"/>
              <w:rPr>
                <w:rFonts w:cs="仿宋" w:asciiTheme="minorEastAsia" w:hAnsiTheme="minorEastAsia"/>
                <w:sz w:val="24"/>
                <w:szCs w:val="24"/>
              </w:rPr>
            </w:pPr>
          </w:p>
        </w:tc>
        <w:tc>
          <w:tcPr>
            <w:tcW w:w="1134" w:type="dxa"/>
            <w:vAlign w:val="bottom"/>
          </w:tcPr>
          <w:p>
            <w:pPr>
              <w:snapToGrid w:val="0"/>
              <w:spacing w:line="360" w:lineRule="auto"/>
              <w:jc w:val="center"/>
              <w:rPr>
                <w:rFonts w:cs="仿宋" w:asciiTheme="minorEastAsia" w:hAnsiTheme="minorEastAsia"/>
                <w:sz w:val="24"/>
                <w:szCs w:val="24"/>
              </w:rPr>
            </w:pPr>
          </w:p>
        </w:tc>
        <w:tc>
          <w:tcPr>
            <w:tcW w:w="1514" w:type="dxa"/>
            <w:vAlign w:val="bottom"/>
          </w:tcPr>
          <w:p>
            <w:pPr>
              <w:snapToGrid w:val="0"/>
              <w:spacing w:line="360" w:lineRule="auto"/>
              <w:jc w:val="center"/>
              <w:rPr>
                <w:rFonts w:cs="仿宋" w:asciiTheme="minorEastAsia" w:hAnsiTheme="minorEastAsia"/>
                <w:sz w:val="24"/>
                <w:szCs w:val="24"/>
              </w:rPr>
            </w:pPr>
          </w:p>
        </w:tc>
        <w:tc>
          <w:tcPr>
            <w:tcW w:w="1514" w:type="dxa"/>
            <w:vAlign w:val="bottom"/>
          </w:tcPr>
          <w:p>
            <w:pPr>
              <w:snapToGrid w:val="0"/>
              <w:spacing w:line="360" w:lineRule="auto"/>
              <w:jc w:val="center"/>
              <w:rPr>
                <w:rFonts w:cs="仿宋"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color w:val="FF0000"/>
                <w:sz w:val="24"/>
                <w:szCs w:val="24"/>
              </w:rPr>
            </w:pPr>
          </w:p>
        </w:tc>
        <w:tc>
          <w:tcPr>
            <w:tcW w:w="2471" w:type="dxa"/>
            <w:vAlign w:val="bottom"/>
          </w:tcPr>
          <w:p>
            <w:pPr>
              <w:snapToGrid w:val="0"/>
              <w:spacing w:line="360" w:lineRule="auto"/>
              <w:jc w:val="center"/>
              <w:rPr>
                <w:rFonts w:cs="仿宋" w:asciiTheme="minorEastAsia" w:hAnsiTheme="minorEastAsia"/>
                <w:color w:val="FF0000"/>
                <w:sz w:val="24"/>
                <w:szCs w:val="24"/>
              </w:rPr>
            </w:pPr>
          </w:p>
        </w:tc>
        <w:tc>
          <w:tcPr>
            <w:tcW w:w="1042" w:type="dxa"/>
            <w:vAlign w:val="bottom"/>
          </w:tcPr>
          <w:p>
            <w:pPr>
              <w:snapToGrid w:val="0"/>
              <w:spacing w:line="360" w:lineRule="auto"/>
              <w:jc w:val="center"/>
              <w:rPr>
                <w:rFonts w:cs="仿宋" w:asciiTheme="minorEastAsia" w:hAnsiTheme="minorEastAsia"/>
                <w:color w:val="FF0000"/>
                <w:sz w:val="24"/>
                <w:szCs w:val="24"/>
              </w:rPr>
            </w:pPr>
          </w:p>
        </w:tc>
        <w:tc>
          <w:tcPr>
            <w:tcW w:w="993" w:type="dxa"/>
            <w:vAlign w:val="bottom"/>
          </w:tcPr>
          <w:p>
            <w:pPr>
              <w:snapToGrid w:val="0"/>
              <w:spacing w:line="360" w:lineRule="auto"/>
              <w:jc w:val="center"/>
              <w:rPr>
                <w:rFonts w:cs="仿宋" w:asciiTheme="minorEastAsia" w:hAnsiTheme="minorEastAsia"/>
                <w:color w:val="FF0000"/>
                <w:sz w:val="24"/>
                <w:szCs w:val="24"/>
              </w:rPr>
            </w:pPr>
          </w:p>
        </w:tc>
        <w:tc>
          <w:tcPr>
            <w:tcW w:w="113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740" w:type="dxa"/>
            <w:vAlign w:val="bottom"/>
          </w:tcPr>
          <w:p>
            <w:pPr>
              <w:snapToGrid w:val="0"/>
              <w:spacing w:line="360" w:lineRule="auto"/>
              <w:jc w:val="center"/>
              <w:rPr>
                <w:rFonts w:cs="仿宋" w:asciiTheme="minorEastAsia" w:hAnsiTheme="minorEastAsia"/>
                <w:color w:val="FF0000"/>
                <w:sz w:val="24"/>
                <w:szCs w:val="24"/>
              </w:rPr>
            </w:pPr>
          </w:p>
        </w:tc>
        <w:tc>
          <w:tcPr>
            <w:tcW w:w="2471" w:type="dxa"/>
            <w:vAlign w:val="bottom"/>
          </w:tcPr>
          <w:p>
            <w:pPr>
              <w:snapToGrid w:val="0"/>
              <w:spacing w:line="360" w:lineRule="auto"/>
              <w:jc w:val="center"/>
              <w:rPr>
                <w:rFonts w:cs="仿宋" w:asciiTheme="minorEastAsia" w:hAnsiTheme="minorEastAsia"/>
                <w:color w:val="FF0000"/>
                <w:sz w:val="24"/>
                <w:szCs w:val="24"/>
              </w:rPr>
            </w:pPr>
          </w:p>
        </w:tc>
        <w:tc>
          <w:tcPr>
            <w:tcW w:w="1042" w:type="dxa"/>
            <w:vAlign w:val="bottom"/>
          </w:tcPr>
          <w:p>
            <w:pPr>
              <w:snapToGrid w:val="0"/>
              <w:spacing w:line="360" w:lineRule="auto"/>
              <w:jc w:val="center"/>
              <w:rPr>
                <w:rFonts w:cs="仿宋" w:asciiTheme="minorEastAsia" w:hAnsiTheme="minorEastAsia"/>
                <w:color w:val="FF0000"/>
                <w:sz w:val="24"/>
                <w:szCs w:val="24"/>
              </w:rPr>
            </w:pPr>
          </w:p>
        </w:tc>
        <w:tc>
          <w:tcPr>
            <w:tcW w:w="993" w:type="dxa"/>
            <w:vAlign w:val="bottom"/>
          </w:tcPr>
          <w:p>
            <w:pPr>
              <w:snapToGrid w:val="0"/>
              <w:spacing w:line="360" w:lineRule="auto"/>
              <w:jc w:val="center"/>
              <w:rPr>
                <w:rFonts w:cs="仿宋" w:asciiTheme="minorEastAsia" w:hAnsiTheme="minorEastAsia"/>
                <w:color w:val="FF0000"/>
                <w:sz w:val="24"/>
                <w:szCs w:val="24"/>
              </w:rPr>
            </w:pPr>
          </w:p>
        </w:tc>
        <w:tc>
          <w:tcPr>
            <w:tcW w:w="113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color w:val="FF0000"/>
                <w:sz w:val="24"/>
                <w:szCs w:val="24"/>
              </w:rPr>
            </w:pPr>
          </w:p>
        </w:tc>
        <w:tc>
          <w:tcPr>
            <w:tcW w:w="2471" w:type="dxa"/>
            <w:vAlign w:val="center"/>
          </w:tcPr>
          <w:p>
            <w:pPr>
              <w:jc w:val="center"/>
              <w:rPr>
                <w:color w:val="FF0000"/>
              </w:rPr>
            </w:pPr>
          </w:p>
        </w:tc>
        <w:tc>
          <w:tcPr>
            <w:tcW w:w="1042" w:type="dxa"/>
            <w:vAlign w:val="bottom"/>
          </w:tcPr>
          <w:p>
            <w:pPr>
              <w:snapToGrid w:val="0"/>
              <w:spacing w:line="360" w:lineRule="auto"/>
              <w:jc w:val="center"/>
              <w:rPr>
                <w:rFonts w:cs="仿宋" w:asciiTheme="minorEastAsia" w:hAnsiTheme="minorEastAsia"/>
                <w:color w:val="FF0000"/>
                <w:sz w:val="24"/>
                <w:szCs w:val="24"/>
              </w:rPr>
            </w:pPr>
          </w:p>
        </w:tc>
        <w:tc>
          <w:tcPr>
            <w:tcW w:w="993" w:type="dxa"/>
            <w:vAlign w:val="bottom"/>
          </w:tcPr>
          <w:p>
            <w:pPr>
              <w:snapToGrid w:val="0"/>
              <w:spacing w:line="360" w:lineRule="auto"/>
              <w:jc w:val="center"/>
              <w:rPr>
                <w:rFonts w:cs="仿宋" w:asciiTheme="minorEastAsia" w:hAnsiTheme="minorEastAsia"/>
                <w:color w:val="FF0000"/>
                <w:sz w:val="24"/>
                <w:szCs w:val="24"/>
              </w:rPr>
            </w:pPr>
          </w:p>
        </w:tc>
        <w:tc>
          <w:tcPr>
            <w:tcW w:w="113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color w:val="FF0000"/>
                <w:sz w:val="24"/>
                <w:szCs w:val="24"/>
              </w:rPr>
            </w:pPr>
          </w:p>
        </w:tc>
        <w:tc>
          <w:tcPr>
            <w:tcW w:w="2471" w:type="dxa"/>
            <w:vAlign w:val="bottom"/>
          </w:tcPr>
          <w:p>
            <w:pPr>
              <w:snapToGrid w:val="0"/>
              <w:spacing w:line="360" w:lineRule="auto"/>
              <w:jc w:val="center"/>
              <w:rPr>
                <w:rFonts w:cs="仿宋" w:asciiTheme="minorEastAsia" w:hAnsiTheme="minorEastAsia"/>
                <w:color w:val="FF0000"/>
                <w:sz w:val="24"/>
                <w:szCs w:val="24"/>
              </w:rPr>
            </w:pPr>
          </w:p>
        </w:tc>
        <w:tc>
          <w:tcPr>
            <w:tcW w:w="1042" w:type="dxa"/>
            <w:vAlign w:val="bottom"/>
          </w:tcPr>
          <w:p>
            <w:pPr>
              <w:snapToGrid w:val="0"/>
              <w:spacing w:line="360" w:lineRule="auto"/>
              <w:jc w:val="center"/>
              <w:rPr>
                <w:rFonts w:cs="仿宋" w:asciiTheme="minorEastAsia" w:hAnsiTheme="minorEastAsia"/>
                <w:color w:val="FF0000"/>
                <w:sz w:val="24"/>
                <w:szCs w:val="24"/>
              </w:rPr>
            </w:pPr>
          </w:p>
        </w:tc>
        <w:tc>
          <w:tcPr>
            <w:tcW w:w="993" w:type="dxa"/>
            <w:vAlign w:val="bottom"/>
          </w:tcPr>
          <w:p>
            <w:pPr>
              <w:snapToGrid w:val="0"/>
              <w:spacing w:line="360" w:lineRule="auto"/>
              <w:jc w:val="center"/>
              <w:rPr>
                <w:rFonts w:cs="仿宋" w:asciiTheme="minorEastAsia" w:hAnsiTheme="minorEastAsia"/>
                <w:color w:val="FF0000"/>
                <w:sz w:val="24"/>
                <w:szCs w:val="24"/>
              </w:rPr>
            </w:pPr>
          </w:p>
        </w:tc>
        <w:tc>
          <w:tcPr>
            <w:tcW w:w="113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c>
          <w:tcPr>
            <w:tcW w:w="1514" w:type="dxa"/>
            <w:vAlign w:val="bottom"/>
          </w:tcPr>
          <w:p>
            <w:pPr>
              <w:snapToGrid w:val="0"/>
              <w:spacing w:line="360" w:lineRule="auto"/>
              <w:jc w:val="center"/>
              <w:rPr>
                <w:rFonts w:cs="仿宋" w:asciiTheme="minorEastAsia" w:hAnsiTheme="minorEastAsia"/>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w:t>
            </w:r>
          </w:p>
        </w:tc>
        <w:tc>
          <w:tcPr>
            <w:tcW w:w="2471" w:type="dxa"/>
            <w:vAlign w:val="center"/>
          </w:tcPr>
          <w:p>
            <w:pPr>
              <w:jc w:val="center"/>
              <w:rPr>
                <w:rFonts w:ascii="宋体" w:hAnsi="宋体"/>
                <w:sz w:val="24"/>
                <w:szCs w:val="24"/>
              </w:rPr>
            </w:pPr>
            <w:r>
              <w:rPr>
                <w:rFonts w:hint="eastAsia" w:ascii="宋体" w:hAnsi="宋体"/>
                <w:sz w:val="24"/>
                <w:szCs w:val="24"/>
              </w:rPr>
              <w:t>备品备件</w:t>
            </w:r>
            <w:r>
              <w:rPr>
                <w:rFonts w:ascii="宋体" w:hAnsi="宋体"/>
                <w:sz w:val="24"/>
                <w:szCs w:val="24"/>
              </w:rPr>
              <w:t>(</w:t>
            </w:r>
            <w:r>
              <w:rPr>
                <w:rFonts w:hint="eastAsia" w:ascii="宋体" w:hAnsi="宋体"/>
                <w:sz w:val="24"/>
                <w:szCs w:val="24"/>
              </w:rPr>
              <w:t>包括专用工具等</w:t>
            </w:r>
            <w:r>
              <w:rPr>
                <w:rFonts w:ascii="宋体" w:hAnsi="宋体"/>
                <w:sz w:val="24"/>
                <w:szCs w:val="24"/>
              </w:rPr>
              <w:t>)</w:t>
            </w:r>
          </w:p>
        </w:tc>
        <w:tc>
          <w:tcPr>
            <w:tcW w:w="6197" w:type="dxa"/>
            <w:gridSpan w:val="5"/>
            <w:vAlign w:val="bottom"/>
          </w:tcPr>
          <w:p>
            <w:pPr>
              <w:snapToGrid w:val="0"/>
              <w:spacing w:line="360" w:lineRule="auto"/>
              <w:jc w:val="center"/>
              <w:rPr>
                <w:rFonts w:cs="仿宋"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w:t>
            </w:r>
          </w:p>
        </w:tc>
        <w:tc>
          <w:tcPr>
            <w:tcW w:w="2471" w:type="dxa"/>
            <w:vAlign w:val="center"/>
          </w:tcPr>
          <w:p>
            <w:pPr>
              <w:jc w:val="center"/>
              <w:rPr>
                <w:rFonts w:ascii="宋体" w:hAnsi="宋体"/>
                <w:sz w:val="24"/>
                <w:szCs w:val="24"/>
              </w:rPr>
            </w:pPr>
            <w:r>
              <w:rPr>
                <w:rFonts w:hint="eastAsia" w:ascii="宋体" w:hAnsi="宋体"/>
                <w:sz w:val="24"/>
                <w:szCs w:val="24"/>
              </w:rPr>
              <w:t>安装调试</w:t>
            </w:r>
          </w:p>
        </w:tc>
        <w:tc>
          <w:tcPr>
            <w:tcW w:w="6197" w:type="dxa"/>
            <w:gridSpan w:val="5"/>
            <w:vAlign w:val="bottom"/>
          </w:tcPr>
          <w:p>
            <w:pPr>
              <w:snapToGrid w:val="0"/>
              <w:spacing w:line="360" w:lineRule="auto"/>
              <w:jc w:val="center"/>
              <w:rPr>
                <w:rFonts w:cs="仿宋"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sz w:val="24"/>
                <w:szCs w:val="24"/>
              </w:rPr>
            </w:pPr>
            <w:r>
              <w:rPr>
                <w:rFonts w:hint="eastAsia" w:cs="仿宋" w:asciiTheme="minorEastAsia" w:hAnsiTheme="minorEastAsia"/>
                <w:sz w:val="24"/>
                <w:szCs w:val="24"/>
              </w:rPr>
              <w:t>…</w:t>
            </w:r>
          </w:p>
        </w:tc>
        <w:tc>
          <w:tcPr>
            <w:tcW w:w="2471" w:type="dxa"/>
            <w:vAlign w:val="center"/>
          </w:tcPr>
          <w:p>
            <w:pPr>
              <w:jc w:val="center"/>
              <w:rPr>
                <w:rFonts w:ascii="宋体" w:hAnsi="宋体"/>
                <w:sz w:val="24"/>
                <w:szCs w:val="24"/>
              </w:rPr>
            </w:pPr>
            <w:r>
              <w:rPr>
                <w:rFonts w:hint="eastAsia" w:cs="仿宋" w:asciiTheme="minorEastAsia" w:hAnsiTheme="minorEastAsia"/>
                <w:sz w:val="24"/>
                <w:szCs w:val="24"/>
              </w:rPr>
              <w:t>…</w:t>
            </w:r>
          </w:p>
        </w:tc>
        <w:tc>
          <w:tcPr>
            <w:tcW w:w="6197" w:type="dxa"/>
            <w:gridSpan w:val="5"/>
            <w:vAlign w:val="bottom"/>
          </w:tcPr>
          <w:p>
            <w:pPr>
              <w:snapToGrid w:val="0"/>
              <w:spacing w:line="360" w:lineRule="auto"/>
              <w:jc w:val="center"/>
              <w:rPr>
                <w:rFonts w:cs="仿宋" w:asciiTheme="minorEastAsia" w:hAnsi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cs="仿宋" w:asciiTheme="minorEastAsia" w:hAnsiTheme="minorEastAsia"/>
                <w:sz w:val="24"/>
                <w:szCs w:val="24"/>
              </w:rPr>
            </w:pPr>
          </w:p>
        </w:tc>
        <w:tc>
          <w:tcPr>
            <w:tcW w:w="2471" w:type="dxa"/>
            <w:vAlign w:val="center"/>
          </w:tcPr>
          <w:p>
            <w:pPr>
              <w:jc w:val="center"/>
              <w:rPr>
                <w:rFonts w:ascii="宋体" w:hAnsi="宋体"/>
                <w:sz w:val="24"/>
                <w:szCs w:val="24"/>
              </w:rPr>
            </w:pPr>
            <w:r>
              <w:rPr>
                <w:rFonts w:hint="eastAsia" w:ascii="宋体" w:hAnsi="宋体"/>
                <w:sz w:val="24"/>
                <w:szCs w:val="24"/>
              </w:rPr>
              <w:t>合计</w:t>
            </w:r>
          </w:p>
        </w:tc>
        <w:tc>
          <w:tcPr>
            <w:tcW w:w="6197" w:type="dxa"/>
            <w:gridSpan w:val="5"/>
            <w:vAlign w:val="center"/>
          </w:tcPr>
          <w:p>
            <w:pPr>
              <w:jc w:val="center"/>
              <w:rPr>
                <w:rFonts w:ascii="宋体" w:hAnsi="宋体"/>
                <w:sz w:val="24"/>
                <w:szCs w:val="24"/>
              </w:rPr>
            </w:pPr>
          </w:p>
        </w:tc>
      </w:tr>
    </w:tbl>
    <w:p>
      <w:pPr>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注：此表中的投标总报价必须与“报价一览表”中的“投标总报价”一致。</w:t>
      </w:r>
    </w:p>
    <w:p>
      <w:pPr>
        <w:keepNext/>
        <w:keepLines/>
        <w:spacing w:line="360" w:lineRule="auto"/>
        <w:rPr>
          <w:rFonts w:asciiTheme="minorEastAsia" w:hAnsiTheme="minorEastAsia"/>
          <w:sz w:val="24"/>
          <w:szCs w:val="24"/>
        </w:rPr>
      </w:pPr>
    </w:p>
    <w:p>
      <w:pPr>
        <w:snapToGrid w:val="0"/>
        <w:spacing w:line="360" w:lineRule="auto"/>
        <w:ind w:right="105" w:rightChars="50"/>
        <w:rPr>
          <w:rFonts w:cs="仿宋" w:asciiTheme="minorEastAsia" w:hAnsiTheme="minorEastAsia"/>
          <w:sz w:val="24"/>
          <w:szCs w:val="24"/>
        </w:rPr>
      </w:pPr>
      <w:r>
        <w:rPr>
          <w:rFonts w:hint="eastAsia" w:cs="仿宋" w:asciiTheme="minorEastAsia" w:hAnsiTheme="minorEastAsia"/>
          <w:sz w:val="24"/>
          <w:szCs w:val="24"/>
        </w:rPr>
        <w:t>供应商（盖章）：</w:t>
      </w:r>
    </w:p>
    <w:p>
      <w:pPr>
        <w:snapToGrid w:val="0"/>
        <w:spacing w:line="360" w:lineRule="auto"/>
        <w:ind w:right="105" w:rightChars="50"/>
        <w:rPr>
          <w:rFonts w:cs="仿宋" w:asciiTheme="minorEastAsia" w:hAnsiTheme="minorEastAsia"/>
          <w:sz w:val="24"/>
          <w:szCs w:val="24"/>
        </w:rPr>
      </w:pPr>
      <w:r>
        <w:rPr>
          <w:rFonts w:hint="eastAsia" w:cs="仿宋" w:asciiTheme="minorEastAsia" w:hAnsiTheme="minorEastAsia"/>
          <w:sz w:val="24"/>
          <w:szCs w:val="24"/>
        </w:rPr>
        <w:t>法定代表人（盖章）：</w:t>
      </w:r>
    </w:p>
    <w:p>
      <w:pPr>
        <w:snapToGrid w:val="0"/>
        <w:spacing w:line="360" w:lineRule="auto"/>
        <w:ind w:right="105" w:rightChars="50"/>
        <w:rPr>
          <w:rFonts w:cs="仿宋" w:asciiTheme="minorEastAsia" w:hAnsiTheme="minorEastAsia"/>
          <w:sz w:val="24"/>
          <w:szCs w:val="24"/>
        </w:rPr>
      </w:pPr>
      <w:r>
        <w:rPr>
          <w:rFonts w:hint="eastAsia" w:cs="仿宋" w:asciiTheme="minorEastAsia" w:hAnsiTheme="minorEastAsia"/>
          <w:sz w:val="24"/>
          <w:szCs w:val="24"/>
        </w:rPr>
        <w:t>法人授权代表（签字）：</w:t>
      </w: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pStyle w:val="2"/>
        <w:spacing w:before="0" w:after="0" w:line="360" w:lineRule="auto"/>
        <w:rPr>
          <w:rFonts w:cs="仿宋" w:asciiTheme="minorEastAsia" w:hAnsiTheme="minorEastAsia" w:eastAsiaTheme="minorEastAsia"/>
          <w:color w:val="auto"/>
          <w:sz w:val="24"/>
          <w:szCs w:val="24"/>
        </w:rPr>
      </w:pPr>
      <w:bookmarkStart w:id="71" w:name="_Toc27460"/>
      <w:bookmarkStart w:id="72" w:name="_Toc16181"/>
      <w:bookmarkStart w:id="73" w:name="_Toc136609707"/>
      <w:bookmarkStart w:id="74" w:name="_Toc15438"/>
      <w:bookmarkStart w:id="75" w:name="_Toc7203"/>
      <w:bookmarkStart w:id="76" w:name="_Toc8252"/>
      <w:r>
        <w:rPr>
          <w:rFonts w:hint="eastAsia" w:cs="仿宋" w:asciiTheme="minorEastAsia" w:hAnsiTheme="minorEastAsia" w:eastAsiaTheme="minorEastAsia"/>
          <w:color w:val="auto"/>
          <w:sz w:val="24"/>
          <w:szCs w:val="24"/>
        </w:rPr>
        <w:t>（第三部分）</w:t>
      </w:r>
      <w:r>
        <w:rPr>
          <w:rFonts w:cs="仿宋" w:asciiTheme="minorEastAsia" w:hAnsiTheme="minorEastAsia" w:eastAsiaTheme="minorEastAsia"/>
          <w:color w:val="auto"/>
          <w:sz w:val="24"/>
          <w:szCs w:val="24"/>
        </w:rPr>
        <w:t>商务及技术部分</w:t>
      </w:r>
      <w:bookmarkEnd w:id="71"/>
      <w:bookmarkEnd w:id="72"/>
      <w:bookmarkEnd w:id="73"/>
      <w:bookmarkEnd w:id="74"/>
      <w:bookmarkEnd w:id="75"/>
      <w:bookmarkEnd w:id="76"/>
    </w:p>
    <w:p>
      <w:pPr>
        <w:spacing w:line="360" w:lineRule="auto"/>
        <w:rPr>
          <w:rFonts w:cs="仿宋" w:asciiTheme="minorEastAsia" w:hAnsiTheme="minorEastAsia"/>
          <w:sz w:val="24"/>
          <w:szCs w:val="24"/>
        </w:rPr>
      </w:pPr>
      <w:r>
        <w:rPr>
          <w:rFonts w:hint="eastAsia" w:cs="仿宋" w:asciiTheme="minorEastAsia" w:hAnsiTheme="minorEastAsia"/>
          <w:sz w:val="24"/>
          <w:szCs w:val="24"/>
          <w:lang w:bidi="ar"/>
        </w:rPr>
        <w:t>谈判响应文件按下列顺序排列和装订谈判响应文件：（未提供格式的内容自拟）</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（一）投标函</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（二）法定代表人诚信投标承诺书</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（三）谈判保证金</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（四）</w:t>
      </w:r>
      <w:r>
        <w:rPr>
          <w:rFonts w:hint="eastAsia" w:cs="仿宋" w:asciiTheme="minorEastAsia" w:hAnsiTheme="minorEastAsia"/>
          <w:bCs/>
          <w:sz w:val="24"/>
          <w:szCs w:val="24"/>
        </w:rPr>
        <w:t>项目团队成员一览表</w:t>
      </w:r>
    </w:p>
    <w:p>
      <w:pPr>
        <w:spacing w:line="360" w:lineRule="auto"/>
        <w:rPr>
          <w:rFonts w:cs="仿宋" w:asciiTheme="minorEastAsia" w:hAnsiTheme="minorEastAsia"/>
          <w:bCs/>
          <w:sz w:val="24"/>
          <w:szCs w:val="24"/>
        </w:rPr>
      </w:pPr>
      <w:r>
        <w:rPr>
          <w:rFonts w:hint="eastAsia" w:cs="仿宋" w:asciiTheme="minorEastAsia" w:hAnsiTheme="minorEastAsia"/>
          <w:bCs/>
          <w:sz w:val="24"/>
          <w:szCs w:val="24"/>
        </w:rPr>
        <w:t>（五）组织架构方案</w:t>
      </w:r>
    </w:p>
    <w:p>
      <w:pPr>
        <w:spacing w:line="360" w:lineRule="auto"/>
        <w:rPr>
          <w:rFonts w:cs="仿宋" w:asciiTheme="minorEastAsia" w:hAnsiTheme="minorEastAsia"/>
          <w:bCs/>
          <w:sz w:val="24"/>
          <w:szCs w:val="24"/>
        </w:rPr>
      </w:pPr>
      <w:r>
        <w:rPr>
          <w:rFonts w:hint="eastAsia" w:cs="仿宋" w:asciiTheme="minorEastAsia" w:hAnsiTheme="minorEastAsia"/>
          <w:bCs/>
          <w:sz w:val="24"/>
          <w:szCs w:val="24"/>
        </w:rPr>
        <w:t>（六）总体实施方案</w:t>
      </w:r>
    </w:p>
    <w:p>
      <w:pPr>
        <w:spacing w:line="360" w:lineRule="auto"/>
        <w:rPr>
          <w:rFonts w:cs="仿宋" w:asciiTheme="minorEastAsia" w:hAnsiTheme="minorEastAsia"/>
          <w:bCs/>
          <w:sz w:val="24"/>
          <w:szCs w:val="24"/>
        </w:rPr>
      </w:pPr>
      <w:r>
        <w:rPr>
          <w:rFonts w:hint="eastAsia" w:cs="仿宋" w:asciiTheme="minorEastAsia" w:hAnsiTheme="minorEastAsia"/>
          <w:bCs/>
          <w:sz w:val="24"/>
          <w:szCs w:val="24"/>
        </w:rPr>
        <w:t>（七）</w:t>
      </w:r>
      <w:r>
        <w:rPr>
          <w:rFonts w:hint="eastAsia" w:cs="仿宋" w:asciiTheme="minorEastAsia" w:hAnsiTheme="minorEastAsia"/>
          <w:bCs/>
          <w:sz w:val="24"/>
          <w:szCs w:val="24"/>
          <w:lang w:bidi="ar"/>
        </w:rPr>
        <w:t>质量保证措施</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rPr>
        <w:t>（八）</w:t>
      </w:r>
      <w:r>
        <w:rPr>
          <w:rFonts w:hint="eastAsia" w:cs="仿宋" w:asciiTheme="minorEastAsia" w:hAnsiTheme="minorEastAsia"/>
          <w:bCs/>
          <w:sz w:val="24"/>
          <w:szCs w:val="24"/>
          <w:lang w:bidi="ar"/>
        </w:rPr>
        <w:t>工作进度控制措施</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（九）应急预备方案</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（十）配套服务措施</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（十一）商务条款偏离表</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（十二）技术（服务）条款偏离表</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（十三）供应商企业类型声明函</w:t>
      </w:r>
    </w:p>
    <w:p>
      <w:pPr>
        <w:spacing w:line="360" w:lineRule="auto"/>
        <w:rPr>
          <w:rFonts w:cs="仿宋" w:asciiTheme="minorEastAsia" w:hAnsiTheme="minorEastAsia"/>
          <w:bCs/>
          <w:sz w:val="24"/>
          <w:szCs w:val="24"/>
          <w:lang w:bidi="ar"/>
        </w:rPr>
      </w:pPr>
      <w:r>
        <w:rPr>
          <w:rFonts w:hint="eastAsia" w:cs="仿宋" w:asciiTheme="minorEastAsia" w:hAnsiTheme="minorEastAsia"/>
          <w:bCs/>
          <w:sz w:val="24"/>
          <w:szCs w:val="24"/>
          <w:lang w:bidi="ar"/>
        </w:rPr>
        <w:t>（十四）供应商认为有必要提交的其他材料</w:t>
      </w:r>
    </w:p>
    <w:p>
      <w:pPr>
        <w:spacing w:line="360" w:lineRule="auto"/>
        <w:rPr>
          <w:rFonts w:cs="仿宋" w:asciiTheme="minorEastAsia" w:hAnsiTheme="minorEastAsia"/>
          <w:bCs/>
          <w:sz w:val="24"/>
          <w:szCs w:val="24"/>
          <w:lang w:bidi="ar"/>
        </w:rPr>
      </w:pPr>
    </w:p>
    <w:p>
      <w:pPr>
        <w:spacing w:line="360" w:lineRule="auto"/>
        <w:ind w:firstLine="480"/>
        <w:rPr>
          <w:rFonts w:cs="仿宋" w:asciiTheme="minorEastAsia" w:hAnsiTheme="minorEastAsia"/>
          <w:sz w:val="24"/>
          <w:szCs w:val="24"/>
        </w:rPr>
      </w:pPr>
    </w:p>
    <w:p>
      <w:pPr>
        <w:pStyle w:val="23"/>
        <w:spacing w:line="360" w:lineRule="auto"/>
        <w:ind w:left="0" w:leftChars="0" w:firstLine="602" w:firstLineChars="250"/>
        <w:rPr>
          <w:rFonts w:cs="仿宋" w:asciiTheme="minorEastAsia" w:hAnsiTheme="minorEastAsia" w:eastAsiaTheme="minorEastAsia"/>
          <w:b/>
          <w:bCs/>
          <w:sz w:val="24"/>
        </w:rPr>
        <w:sectPr>
          <w:footerReference r:id="rId6" w:type="default"/>
          <w:pgSz w:w="11906" w:h="16838"/>
          <w:pgMar w:top="1418" w:right="1700" w:bottom="1418" w:left="1361" w:header="851" w:footer="992" w:gutter="0"/>
          <w:cols w:space="425" w:num="1"/>
          <w:docGrid w:type="lines" w:linePitch="332" w:charSpace="0"/>
        </w:sectPr>
      </w:pPr>
      <w:r>
        <w:rPr>
          <w:rFonts w:hint="eastAsia" w:cs="仿宋" w:asciiTheme="minorEastAsia" w:hAnsiTheme="minorEastAsia" w:eastAsiaTheme="minorEastAsia"/>
          <w:b/>
          <w:bCs/>
          <w:sz w:val="24"/>
        </w:rPr>
        <w:t>供应商提供的以上材料必须真实有效，需要年检的证书必须有年检记录，所有文件均须加盖单位公章，任何一项的虚假或提交的谈判响应文件资料不全，或未对谈判文件做出实质性响应，将可能导致谈判响应文件被拒绝接受。</w:t>
      </w:r>
    </w:p>
    <w:p>
      <w:pPr>
        <w:spacing w:line="360" w:lineRule="auto"/>
        <w:jc w:val="center"/>
        <w:outlineLvl w:val="2"/>
        <w:rPr>
          <w:rFonts w:cs="仿宋" w:asciiTheme="minorEastAsia" w:hAnsiTheme="minorEastAsia"/>
          <w:b/>
          <w:sz w:val="24"/>
          <w:szCs w:val="24"/>
          <w:lang w:bidi="ar"/>
        </w:rPr>
      </w:pPr>
      <w:bookmarkStart w:id="77" w:name="_Toc22554402"/>
      <w:bookmarkStart w:id="78" w:name="_Toc3891649"/>
      <w:bookmarkStart w:id="79" w:name="_Toc1719149"/>
      <w:bookmarkStart w:id="80" w:name="_Toc30846"/>
      <w:bookmarkStart w:id="81" w:name="_Toc6417"/>
      <w:bookmarkStart w:id="82" w:name="_Toc136609708"/>
      <w:bookmarkStart w:id="83" w:name="_Toc21594"/>
      <w:bookmarkStart w:id="84" w:name="_Toc4882"/>
      <w:bookmarkStart w:id="85" w:name="_Toc27883"/>
      <w:r>
        <w:rPr>
          <w:rFonts w:hint="eastAsia" w:cs="仿宋" w:asciiTheme="minorEastAsia" w:hAnsiTheme="minorEastAsia"/>
          <w:b/>
          <w:sz w:val="24"/>
          <w:szCs w:val="24"/>
          <w:lang w:bidi="ar"/>
        </w:rPr>
        <w:t>（一）</w:t>
      </w:r>
      <w:bookmarkEnd w:id="77"/>
      <w:bookmarkEnd w:id="78"/>
      <w:bookmarkEnd w:id="79"/>
      <w:r>
        <w:rPr>
          <w:rFonts w:hint="eastAsia" w:cs="仿宋" w:asciiTheme="minorEastAsia" w:hAnsiTheme="minorEastAsia"/>
          <w:b/>
          <w:sz w:val="24"/>
          <w:szCs w:val="24"/>
          <w:lang w:bidi="ar"/>
        </w:rPr>
        <w:t>投标函</w:t>
      </w:r>
      <w:bookmarkEnd w:id="80"/>
      <w:bookmarkEnd w:id="81"/>
      <w:bookmarkEnd w:id="82"/>
      <w:bookmarkEnd w:id="83"/>
      <w:bookmarkEnd w:id="84"/>
      <w:bookmarkEnd w:id="85"/>
    </w:p>
    <w:p>
      <w:pPr>
        <w:spacing w:line="360" w:lineRule="auto"/>
        <w:rPr>
          <w:rFonts w:cs="仿宋" w:asciiTheme="minorEastAsia" w:hAnsiTheme="minorEastAsia"/>
          <w:spacing w:val="4"/>
          <w:sz w:val="24"/>
          <w:szCs w:val="24"/>
        </w:rPr>
      </w:pPr>
      <w:r>
        <w:rPr>
          <w:rFonts w:hint="eastAsia" w:cs="仿宋" w:asciiTheme="minorEastAsia" w:hAnsiTheme="minorEastAsia"/>
          <w:sz w:val="24"/>
          <w:szCs w:val="24"/>
          <w:lang w:eastAsia="zh-CN"/>
        </w:rPr>
        <w:t>新疆泰旭工程管理咨询有限责任公司</w:t>
      </w:r>
      <w:r>
        <w:rPr>
          <w:rFonts w:hint="eastAsia" w:cs="仿宋" w:asciiTheme="minorEastAsia" w:hAnsiTheme="minorEastAsia"/>
          <w:sz w:val="24"/>
          <w:szCs w:val="24"/>
        </w:rPr>
        <w:t>：</w:t>
      </w:r>
      <w:r>
        <w:rPr>
          <w:rFonts w:hint="eastAsia" w:cs="仿宋" w:asciiTheme="minorEastAsia" w:hAnsiTheme="minorEastAsia"/>
          <w:spacing w:val="4"/>
          <w:sz w:val="24"/>
          <w:szCs w:val="24"/>
        </w:rPr>
        <w:t>：</w:t>
      </w:r>
    </w:p>
    <w:p>
      <w:pPr>
        <w:spacing w:line="360" w:lineRule="auto"/>
        <w:ind w:firstLine="496" w:firstLineChars="200"/>
        <w:rPr>
          <w:rFonts w:cs="仿宋" w:asciiTheme="minorEastAsia" w:hAnsiTheme="minorEastAsia"/>
          <w:bCs/>
          <w:spacing w:val="4"/>
          <w:sz w:val="24"/>
          <w:szCs w:val="24"/>
          <w:u w:val="single"/>
        </w:rPr>
      </w:pPr>
      <w:r>
        <w:rPr>
          <w:rFonts w:hint="eastAsia" w:cs="仿宋" w:asciiTheme="minorEastAsia" w:hAnsiTheme="minorEastAsia"/>
          <w:spacing w:val="4"/>
          <w:sz w:val="24"/>
          <w:szCs w:val="24"/>
        </w:rPr>
        <w:t>我们收到你们</w:t>
      </w:r>
      <w:r>
        <w:rPr>
          <w:rFonts w:hint="eastAsia" w:cs="仿宋" w:asciiTheme="minorEastAsia" w:hAnsiTheme="minorEastAsia"/>
          <w:spacing w:val="4"/>
          <w:sz w:val="24"/>
          <w:szCs w:val="24"/>
          <w:u w:val="single"/>
        </w:rPr>
        <w:t xml:space="preserve">         </w:t>
      </w:r>
      <w:r>
        <w:rPr>
          <w:rFonts w:hint="eastAsia" w:cs="仿宋" w:asciiTheme="minorEastAsia" w:hAnsiTheme="minorEastAsia"/>
          <w:spacing w:val="4"/>
          <w:sz w:val="24"/>
          <w:szCs w:val="24"/>
        </w:rPr>
        <w:t>号</w:t>
      </w:r>
      <w:r>
        <w:rPr>
          <w:rFonts w:hint="eastAsia" w:cs="仿宋" w:asciiTheme="minorEastAsia" w:hAnsiTheme="minorEastAsia"/>
          <w:spacing w:val="4"/>
          <w:sz w:val="24"/>
          <w:szCs w:val="24"/>
          <w:u w:val="single"/>
        </w:rPr>
        <w:t xml:space="preserve"> </w:t>
      </w:r>
      <w:r>
        <w:rPr>
          <w:rFonts w:hint="eastAsia" w:cs="仿宋" w:asciiTheme="minorEastAsia" w:hAnsiTheme="minorEastAsia"/>
          <w:spacing w:val="4"/>
          <w:sz w:val="24"/>
          <w:szCs w:val="24"/>
          <w:u w:val="single"/>
          <w:lang w:eastAsia="zh-CN"/>
        </w:rPr>
        <w:t>伊宁市解放路街道社区卫生服务中心</w:t>
      </w:r>
      <w:r>
        <w:rPr>
          <w:rFonts w:hint="eastAsia" w:cs="仿宋" w:asciiTheme="minorEastAsia" w:hAnsiTheme="minorEastAsia"/>
          <w:spacing w:val="4"/>
          <w:sz w:val="24"/>
          <w:szCs w:val="24"/>
          <w:u w:val="single"/>
        </w:rPr>
        <w:t>医疗设备采购项目</w:t>
      </w:r>
      <w:r>
        <w:rPr>
          <w:rFonts w:hint="eastAsia" w:cs="仿宋" w:asciiTheme="minorEastAsia" w:hAnsiTheme="minorEastAsia"/>
          <w:spacing w:val="4"/>
          <w:sz w:val="24"/>
          <w:szCs w:val="24"/>
        </w:rPr>
        <w:t>第</w:t>
      </w:r>
      <w:r>
        <w:rPr>
          <w:rFonts w:hint="eastAsia" w:cs="仿宋" w:asciiTheme="minorEastAsia" w:hAnsiTheme="minorEastAsia"/>
          <w:spacing w:val="4"/>
          <w:sz w:val="24"/>
          <w:szCs w:val="24"/>
          <w:u w:val="single"/>
        </w:rPr>
        <w:t>1</w:t>
      </w:r>
      <w:r>
        <w:rPr>
          <w:rFonts w:hint="eastAsia" w:cs="仿宋" w:asciiTheme="minorEastAsia" w:hAnsiTheme="minorEastAsia"/>
          <w:spacing w:val="4"/>
          <w:sz w:val="24"/>
          <w:szCs w:val="24"/>
        </w:rPr>
        <w:t>包谈判文件，经仔细阅读和研究，我们决定参加投标。</w:t>
      </w:r>
    </w:p>
    <w:p>
      <w:pPr>
        <w:spacing w:line="360" w:lineRule="auto"/>
        <w:ind w:firstLine="496" w:firstLineChars="200"/>
        <w:rPr>
          <w:rFonts w:cs="仿宋" w:asciiTheme="minorEastAsia" w:hAnsiTheme="minorEastAsia"/>
          <w:spacing w:val="4"/>
          <w:sz w:val="24"/>
          <w:szCs w:val="24"/>
        </w:rPr>
      </w:pPr>
      <w:bookmarkStart w:id="86" w:name="_Toc15871_WPSOffice_Level1"/>
      <w:r>
        <w:rPr>
          <w:rFonts w:hint="eastAsia" w:cs="仿宋" w:asciiTheme="minorEastAsia" w:hAnsiTheme="minorEastAsia"/>
          <w:spacing w:val="4"/>
          <w:sz w:val="24"/>
          <w:szCs w:val="24"/>
        </w:rPr>
        <w:t>l、愿意按照谈判文件的一切要求，提供以上服务。</w:t>
      </w:r>
      <w:bookmarkEnd w:id="86"/>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2、如果我们的响应文件被接受，我们将严格履行谈判文件中规定的每一项要求，按期、按质、按量履行服务义务。</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3、供应商已详细阅读并理解了谈判文件的全部，包括修改文件(如有的话)。我们完全理解并同意放弃对这方面有不明及误解的权利。</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4、我们同意按谈判文件中的规定，本响应文件的有效期限为开标后</w:t>
      </w:r>
      <w:r>
        <w:rPr>
          <w:rFonts w:hint="eastAsia" w:cs="仿宋" w:asciiTheme="minorEastAsia" w:hAnsiTheme="minorEastAsia"/>
          <w:spacing w:val="4"/>
          <w:sz w:val="24"/>
          <w:szCs w:val="24"/>
          <w:u w:val="single"/>
        </w:rPr>
        <w:t xml:space="preserve">  90  </w:t>
      </w:r>
      <w:r>
        <w:rPr>
          <w:rFonts w:hint="eastAsia" w:cs="仿宋" w:asciiTheme="minorEastAsia" w:hAnsiTheme="minorEastAsia"/>
          <w:spacing w:val="4"/>
          <w:sz w:val="24"/>
          <w:szCs w:val="24"/>
        </w:rPr>
        <w:t>天。</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5、我们愿意提供采购人在谈判文件中要求的所有资料。</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6、我们认为你们有权决定成交供应商，还认为你们有权接受或拒绝所有的供应商成交。</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7、我方愿意遵守谈判文件中所列的收费标准。</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8、在规定的谈判时间后，如果在谈判有效期内撤回投标，同意谈判保证金将被贵方没收。</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9、供应商同意提供按照贵方可能要求的与其投标有关的一切数据或资料，完全理解贵方不一定接受最低价的投标或收到的任何投标的约定。</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10、我方在响应文件中所作的承诺在开标后保持有效，不作任何更改和变动。</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11、我们愿意按谈判文件的规定交纳</w:t>
      </w:r>
      <w:r>
        <w:rPr>
          <w:rFonts w:hint="eastAsia" w:cs="仿宋" w:asciiTheme="minorEastAsia" w:hAnsiTheme="minorEastAsia"/>
          <w:spacing w:val="4"/>
          <w:sz w:val="24"/>
          <w:szCs w:val="24"/>
          <w:u w:val="single"/>
        </w:rPr>
        <w:t xml:space="preserve">    </w:t>
      </w:r>
      <w:r>
        <w:rPr>
          <w:rFonts w:hint="eastAsia" w:cs="仿宋" w:asciiTheme="minorEastAsia" w:hAnsiTheme="minorEastAsia"/>
          <w:spacing w:val="4"/>
          <w:sz w:val="24"/>
          <w:szCs w:val="24"/>
        </w:rPr>
        <w:t>元的谈判保证金。</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12、若我方获得成交，我方保证按有关规定向贵方支付招标服务费。我方承诺接受谈判文件及澄清修改部分（如有）的全部条款（包括响应文件递交截止时间、保证金、资格评审条件、成交标准以及</w:t>
      </w:r>
      <w:bookmarkStart w:id="212" w:name="_GoBack"/>
      <w:bookmarkEnd w:id="212"/>
      <w:r>
        <w:rPr>
          <w:rFonts w:hint="eastAsia" w:cs="仿宋" w:asciiTheme="minorEastAsia" w:hAnsiTheme="minorEastAsia"/>
          <w:spacing w:val="4"/>
          <w:sz w:val="24"/>
          <w:szCs w:val="24"/>
        </w:rPr>
        <w:t>采购需求等其他所有条款）且无任何异议，现向贵公司提出承诺报价。</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所有有关标书的函电，请按下列地址联系：</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 xml:space="preserve">    单  位：                 邮编：             传真：</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 xml:space="preserve">    联系人：                 地址：             电话：</w:t>
      </w:r>
    </w:p>
    <w:p>
      <w:pPr>
        <w:spacing w:line="360" w:lineRule="auto"/>
        <w:ind w:firstLine="480" w:firstLineChars="200"/>
        <w:rPr>
          <w:rFonts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jc w:val="center"/>
        <w:rPr>
          <w:rFonts w:cs="仿宋" w:asciiTheme="minorEastAsia" w:hAnsiTheme="minorEastAsia"/>
          <w:b/>
          <w:sz w:val="24"/>
          <w:szCs w:val="24"/>
          <w:lang w:bidi="ar"/>
        </w:rPr>
      </w:pPr>
      <w:bookmarkStart w:id="87" w:name="_Toc22554406"/>
      <w:bookmarkStart w:id="88" w:name="_Toc1719152"/>
      <w:bookmarkStart w:id="89" w:name="_Toc3891652"/>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pStyle w:val="19"/>
        <w:spacing w:line="360" w:lineRule="auto"/>
        <w:rPr>
          <w:rFonts w:asciiTheme="minorEastAsia" w:hAnsiTheme="minorEastAsia" w:eastAsiaTheme="minorEastAsia"/>
          <w:szCs w:val="24"/>
        </w:rPr>
      </w:pPr>
    </w:p>
    <w:p>
      <w:pPr>
        <w:widowControl/>
        <w:jc w:val="left"/>
        <w:rPr>
          <w:rFonts w:cs="Times New Roman" w:asciiTheme="minorEastAsia" w:hAnsiTheme="minorEastAsia"/>
          <w:kern w:val="0"/>
          <w:sz w:val="24"/>
          <w:szCs w:val="24"/>
        </w:rPr>
      </w:pPr>
      <w:r>
        <w:rPr>
          <w:rFonts w:asciiTheme="minorEastAsia" w:hAnsiTheme="minorEastAsia"/>
          <w:szCs w:val="24"/>
        </w:rPr>
        <w:br w:type="page"/>
      </w:r>
    </w:p>
    <w:p>
      <w:pPr>
        <w:spacing w:line="360" w:lineRule="auto"/>
        <w:jc w:val="center"/>
        <w:outlineLvl w:val="2"/>
        <w:rPr>
          <w:rFonts w:cs="仿宋" w:asciiTheme="minorEastAsia" w:hAnsiTheme="minorEastAsia"/>
          <w:b/>
          <w:sz w:val="24"/>
          <w:szCs w:val="24"/>
          <w:lang w:bidi="ar"/>
        </w:rPr>
      </w:pPr>
      <w:bookmarkStart w:id="90" w:name="_Toc28033"/>
      <w:bookmarkStart w:id="91" w:name="_Toc27095"/>
      <w:bookmarkStart w:id="92" w:name="_Toc22987"/>
      <w:bookmarkStart w:id="93" w:name="_Toc23045"/>
      <w:bookmarkStart w:id="94" w:name="_Toc32192"/>
      <w:bookmarkStart w:id="95" w:name="_Toc136609709"/>
      <w:r>
        <w:rPr>
          <w:rFonts w:hint="eastAsia" w:cs="仿宋" w:asciiTheme="minorEastAsia" w:hAnsiTheme="minorEastAsia"/>
          <w:b/>
          <w:sz w:val="24"/>
          <w:szCs w:val="24"/>
          <w:lang w:bidi="ar"/>
        </w:rPr>
        <w:t>（二）法定代表人诚信投标承诺书</w:t>
      </w:r>
      <w:bookmarkEnd w:id="90"/>
      <w:bookmarkEnd w:id="91"/>
      <w:bookmarkEnd w:id="92"/>
      <w:bookmarkEnd w:id="93"/>
      <w:bookmarkEnd w:id="94"/>
      <w:bookmarkEnd w:id="95"/>
    </w:p>
    <w:p>
      <w:pPr>
        <w:pStyle w:val="310"/>
        <w:ind w:firstLine="0" w:firstLineChars="0"/>
        <w:rPr>
          <w:rFonts w:hint="default" w:cs="仿宋" w:asciiTheme="minorEastAsia" w:hAnsiTheme="minorEastAsia" w:eastAsiaTheme="minorEastAsia"/>
          <w:b/>
          <w:color w:val="auto"/>
          <w:szCs w:val="24"/>
          <w:lang w:eastAsia="zh-CN"/>
        </w:rPr>
      </w:pPr>
      <w:r>
        <w:rPr>
          <w:rFonts w:cs="仿宋" w:asciiTheme="minorEastAsia" w:hAnsiTheme="minorEastAsia" w:eastAsiaTheme="minorEastAsia"/>
          <w:b/>
          <w:color w:val="auto"/>
          <w:szCs w:val="24"/>
          <w:lang w:eastAsia="zh-CN"/>
        </w:rPr>
        <w:t>本人以企业法定代表人的身份郑重承诺：</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将遵循公开、公平、公正和诚信信用的原则参加（</w:t>
      </w:r>
      <w:r>
        <w:rPr>
          <w:rFonts w:hint="eastAsia" w:cs="仿宋" w:asciiTheme="minorEastAsia" w:hAnsiTheme="minorEastAsia"/>
          <w:spacing w:val="4"/>
          <w:sz w:val="24"/>
          <w:szCs w:val="24"/>
          <w:u w:val="single"/>
        </w:rPr>
        <w:t xml:space="preserve">  项目、采购编号  </w:t>
      </w:r>
      <w:r>
        <w:rPr>
          <w:rFonts w:hint="eastAsia" w:cs="仿宋" w:asciiTheme="minorEastAsia" w:hAnsiTheme="minorEastAsia"/>
          <w:spacing w:val="4"/>
          <w:sz w:val="24"/>
          <w:szCs w:val="24"/>
        </w:rPr>
        <w:t>）的投标；</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一、杜绝以收取管理费等形式的一切挂靠、违法转包、分包行为；并选派有丰富经验、无不良行为记录的在项目管理人员、技术人员，严格按谈判文件及合同等要求保证拟派人员的到岗率。</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二、谈判文件所提供的一切材料都是真实、有效、合法的。</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三、不与其他供应商相互串通谈判响应报价，不排挤其他供应商的公平竞争，不损害采购人或其他供应商的合法权益。</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四、不与采购人或采购机构串通投标，不损害国家利益，社会公共利益或其他人的合法权益。</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五、不向采购人或者评标委员会成员行贿以牟取中标。</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六、不以其他人名义投标或者以其他方式弄虚作假，骗取中标。</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七、不在开标后进行虚假恶意投诉。</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八、我单位没有被政府机关列入失信被执行人名单、重大税收违法案件当事人名单、政府采购严重违法失信行为记录名单及其他不符合《中华人民共和国政府采购法》第二十二条规定条件的情形。</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 xml:space="preserve">九、没有被财政部门限制参加政府采购活动或曾被财政部门限制参加政府采购活动但已不在限制期内。    </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十、参与本项目政府采购活动3年内没有重大违法记录情况。</w:t>
      </w:r>
    </w:p>
    <w:p>
      <w:pPr>
        <w:spacing w:line="360" w:lineRule="auto"/>
        <w:ind w:firstLine="496" w:firstLineChars="200"/>
        <w:rPr>
          <w:rFonts w:cs="仿宋" w:asciiTheme="minorEastAsia" w:hAnsiTheme="minorEastAsia"/>
          <w:spacing w:val="4"/>
          <w:sz w:val="24"/>
          <w:szCs w:val="24"/>
        </w:rPr>
      </w:pPr>
      <w:r>
        <w:rPr>
          <w:rFonts w:hint="eastAsia" w:cs="仿宋" w:asciiTheme="minorEastAsia" w:hAnsiTheme="minorEastAsia"/>
          <w:spacing w:val="4"/>
          <w:sz w:val="24"/>
          <w:szCs w:val="24"/>
        </w:rPr>
        <w:t>本公司若有违反本承诺内容的行为，愿意承担法律责任，包括不限于：愿意接受相关行政主管部门作出的处罚；给采购人造成损失的，依法承担相应的赔偿责任。</w:t>
      </w:r>
    </w:p>
    <w:p>
      <w:pPr>
        <w:snapToGrid w:val="0"/>
        <w:spacing w:line="360" w:lineRule="auto"/>
        <w:rPr>
          <w:rFonts w:cs="仿宋" w:asciiTheme="minorEastAsia" w:hAnsiTheme="minorEastAsia"/>
          <w:b/>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outlineLvl w:val="2"/>
        <w:rPr>
          <w:rFonts w:cs="仿宋" w:asciiTheme="minorEastAsia" w:hAnsiTheme="minorEastAsia"/>
          <w:b/>
          <w:sz w:val="24"/>
          <w:szCs w:val="24"/>
          <w:lang w:bidi="ar"/>
        </w:rPr>
        <w:sectPr>
          <w:pgSz w:w="11906" w:h="16838"/>
          <w:pgMar w:top="1418" w:right="1700" w:bottom="1418" w:left="1361" w:header="851" w:footer="992" w:gutter="0"/>
          <w:cols w:space="425" w:num="1"/>
          <w:docGrid w:type="lines" w:linePitch="332" w:charSpace="0"/>
        </w:sectPr>
      </w:pPr>
    </w:p>
    <w:bookmarkEnd w:id="87"/>
    <w:bookmarkEnd w:id="88"/>
    <w:bookmarkEnd w:id="89"/>
    <w:p>
      <w:pPr>
        <w:spacing w:line="360" w:lineRule="auto"/>
        <w:jc w:val="center"/>
        <w:outlineLvl w:val="2"/>
        <w:rPr>
          <w:rFonts w:cs="仿宋" w:asciiTheme="minorEastAsia" w:hAnsiTheme="minorEastAsia"/>
          <w:b/>
          <w:sz w:val="24"/>
          <w:szCs w:val="24"/>
          <w:lang w:bidi="ar"/>
        </w:rPr>
      </w:pPr>
      <w:bookmarkStart w:id="96" w:name="_Toc15704"/>
      <w:bookmarkStart w:id="97" w:name="_Toc3891645"/>
      <w:bookmarkStart w:id="98" w:name="_Toc10927"/>
      <w:bookmarkStart w:id="99" w:name="_Toc19256"/>
      <w:bookmarkStart w:id="100" w:name="_Toc136609710"/>
      <w:bookmarkStart w:id="101" w:name="_Toc24967"/>
      <w:bookmarkStart w:id="102" w:name="_Toc22554398"/>
      <w:bookmarkStart w:id="103" w:name="_Toc27258"/>
      <w:bookmarkStart w:id="104" w:name="_Toc3891662"/>
      <w:bookmarkStart w:id="105" w:name="_Toc259692661"/>
      <w:bookmarkStart w:id="106" w:name="_Toc267060080"/>
      <w:bookmarkStart w:id="107" w:name="_Toc255975021"/>
      <w:bookmarkStart w:id="108" w:name="_Toc1719163"/>
      <w:bookmarkStart w:id="109" w:name="_Toc266870446"/>
      <w:bookmarkStart w:id="110" w:name="_Toc259692754"/>
      <w:bookmarkStart w:id="111" w:name="_Toc267060465"/>
      <w:bookmarkStart w:id="112" w:name="_Toc22554425"/>
      <w:bookmarkStart w:id="113" w:name="_Toc258401270"/>
      <w:bookmarkStart w:id="114" w:name="_Toc259520879"/>
      <w:bookmarkStart w:id="115" w:name="_Toc267060220"/>
      <w:bookmarkStart w:id="116" w:name="_Toc266870921"/>
      <w:bookmarkStart w:id="117" w:name="_Toc254790914"/>
      <w:bookmarkStart w:id="118" w:name="_Toc266868684"/>
      <w:bookmarkStart w:id="119" w:name="_Toc191783230"/>
      <w:bookmarkStart w:id="120" w:name="_Toc211917124"/>
      <w:bookmarkStart w:id="121" w:name="_Toc169332957"/>
      <w:bookmarkStart w:id="122" w:name="_Toc232302127"/>
      <w:bookmarkStart w:id="123" w:name="_Toc203355741"/>
      <w:bookmarkStart w:id="124" w:name="_Toc160880168"/>
      <w:bookmarkStart w:id="125" w:name="_Toc249325725"/>
      <w:bookmarkStart w:id="126" w:name="_Toc182805225"/>
      <w:bookmarkStart w:id="127" w:name="_Toc182372790"/>
      <w:bookmarkStart w:id="128" w:name="_Toc193165742"/>
      <w:bookmarkStart w:id="129" w:name="_Toc170798801"/>
      <w:bookmarkStart w:id="130" w:name="_Toc251586246"/>
      <w:bookmarkStart w:id="131" w:name="_Toc235438357"/>
      <w:bookmarkStart w:id="132" w:name="_Toc191803634"/>
      <w:bookmarkStart w:id="133" w:name="_Toc192996346"/>
      <w:bookmarkStart w:id="134" w:name="_Toc193160456"/>
      <w:bookmarkStart w:id="135" w:name="_Toc181436469"/>
      <w:bookmarkStart w:id="136" w:name="_Toc177985477"/>
      <w:bookmarkStart w:id="137" w:name="_Toc236021462"/>
      <w:bookmarkStart w:id="138" w:name="_Toc160880537"/>
      <w:bookmarkStart w:id="139" w:name="_Toc191789337"/>
      <w:bookmarkStart w:id="140" w:name="_Toc191802698"/>
      <w:bookmarkStart w:id="141" w:name="_Toc192664161"/>
      <w:bookmarkStart w:id="142" w:name="_Toc180302921"/>
      <w:bookmarkStart w:id="143" w:name="_Toc192996454"/>
      <w:bookmarkStart w:id="144" w:name="_Toc235438003"/>
      <w:bookmarkStart w:id="145" w:name="_Toc192663843"/>
      <w:bookmarkStart w:id="146" w:name="_Toc169332846"/>
      <w:bookmarkStart w:id="147" w:name="_Toc181436573"/>
      <w:bookmarkStart w:id="148" w:name="_Toc251613844"/>
      <w:bookmarkStart w:id="149" w:name="_Toc192663694"/>
      <w:bookmarkStart w:id="150" w:name="_Toc253066629"/>
      <w:bookmarkStart w:id="151" w:name="_Toc235438286"/>
      <w:r>
        <w:rPr>
          <w:rFonts w:hint="eastAsia" w:cs="仿宋" w:asciiTheme="minorEastAsia" w:hAnsiTheme="minorEastAsia"/>
          <w:b/>
          <w:sz w:val="24"/>
          <w:szCs w:val="24"/>
          <w:lang w:bidi="ar"/>
        </w:rPr>
        <w:t>（三）谈判保证金</w:t>
      </w:r>
      <w:bookmarkEnd w:id="96"/>
      <w:bookmarkEnd w:id="97"/>
      <w:bookmarkEnd w:id="98"/>
      <w:bookmarkEnd w:id="99"/>
      <w:bookmarkEnd w:id="100"/>
      <w:bookmarkEnd w:id="101"/>
      <w:bookmarkEnd w:id="102"/>
      <w:bookmarkEnd w:id="103"/>
    </w:p>
    <w:p>
      <w:pPr>
        <w:pStyle w:val="3"/>
        <w:spacing w:line="360" w:lineRule="auto"/>
        <w:ind w:firstLine="480"/>
        <w:rPr>
          <w:rFonts w:cs="仿宋" w:asciiTheme="minorEastAsia" w:hAnsiTheme="minorEastAsia" w:eastAsiaTheme="minorEastAsia"/>
          <w:szCs w:val="24"/>
        </w:rPr>
        <w:sectPr>
          <w:pgSz w:w="11906" w:h="16838"/>
          <w:pgMar w:top="1418" w:right="1826" w:bottom="1418" w:left="1361" w:header="851" w:footer="992" w:gutter="0"/>
          <w:cols w:space="425" w:num="1"/>
          <w:docGrid w:type="linesAndChars" w:linePitch="332" w:charSpace="0"/>
        </w:sectPr>
      </w:pPr>
      <w:r>
        <w:rPr>
          <w:rFonts w:hint="eastAsia" w:cs="仿宋" w:asciiTheme="minorEastAsia" w:hAnsiTheme="minorEastAsia" w:eastAsiaTheme="minorEastAsia"/>
          <w:szCs w:val="24"/>
        </w:rPr>
        <w:t>附：谈判保证金缴纳凭证</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Pr>
        <w:spacing w:line="360" w:lineRule="auto"/>
        <w:jc w:val="center"/>
        <w:outlineLvl w:val="2"/>
        <w:rPr>
          <w:rFonts w:cs="仿宋" w:asciiTheme="minorEastAsia" w:hAnsiTheme="minorEastAsia"/>
          <w:b/>
          <w:bCs/>
          <w:sz w:val="24"/>
          <w:szCs w:val="24"/>
        </w:rPr>
      </w:pPr>
      <w:bookmarkStart w:id="152" w:name="_Toc11993"/>
      <w:bookmarkStart w:id="153" w:name="_Toc3992"/>
      <w:bookmarkStart w:id="154" w:name="_Toc19056"/>
      <w:bookmarkStart w:id="155" w:name="_Toc15416"/>
      <w:bookmarkStart w:id="156" w:name="_Toc136609711"/>
      <w:bookmarkStart w:id="157" w:name="_Toc11816"/>
      <w:bookmarkStart w:id="158" w:name="_Toc9850"/>
      <w:bookmarkStart w:id="159" w:name="_Toc266868686"/>
      <w:bookmarkStart w:id="160" w:name="_Toc1719164"/>
      <w:bookmarkStart w:id="161" w:name="_Toc266870922"/>
      <w:bookmarkStart w:id="162" w:name="_Toc259520881"/>
      <w:bookmarkStart w:id="163" w:name="_Toc267060466"/>
      <w:bookmarkStart w:id="164" w:name="_Toc267060081"/>
      <w:bookmarkStart w:id="165" w:name="_Toc255975023"/>
      <w:bookmarkStart w:id="166" w:name="_Toc258401272"/>
      <w:bookmarkStart w:id="167" w:name="_Toc3891664"/>
      <w:bookmarkStart w:id="168" w:name="_Toc267060221"/>
      <w:bookmarkStart w:id="169" w:name="_Toc266870447"/>
      <w:bookmarkStart w:id="170" w:name="_Toc259692756"/>
      <w:bookmarkStart w:id="171" w:name="_Toc259692663"/>
      <w:bookmarkStart w:id="172" w:name="_Toc254790916"/>
      <w:bookmarkStart w:id="173" w:name="_Toc22554428"/>
      <w:r>
        <w:rPr>
          <w:rFonts w:hint="eastAsia" w:cs="仿宋" w:asciiTheme="minorEastAsia" w:hAnsiTheme="minorEastAsia"/>
          <w:b/>
          <w:sz w:val="24"/>
          <w:szCs w:val="24"/>
          <w:lang w:bidi="ar"/>
        </w:rPr>
        <w:t>（四）项目团队成员一览表</w:t>
      </w:r>
      <w:bookmarkEnd w:id="152"/>
      <w:bookmarkEnd w:id="153"/>
      <w:bookmarkEnd w:id="154"/>
      <w:bookmarkEnd w:id="155"/>
      <w:bookmarkEnd w:id="156"/>
      <w:bookmarkEnd w:id="157"/>
      <w:bookmarkEnd w:id="158"/>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lang w:bidi="ar"/>
        </w:rPr>
        <w:t xml:space="preserve">项目名称： </w:t>
      </w:r>
    </w:p>
    <w:p>
      <w:pPr>
        <w:spacing w:line="360" w:lineRule="auto"/>
        <w:ind w:firstLine="480" w:firstLineChars="200"/>
        <w:rPr>
          <w:rFonts w:cs="仿宋" w:asciiTheme="minorEastAsia" w:hAnsiTheme="minorEastAsia"/>
          <w:sz w:val="24"/>
          <w:szCs w:val="24"/>
          <w:lang w:bidi="ar"/>
        </w:rPr>
      </w:pPr>
      <w:r>
        <w:rPr>
          <w:rFonts w:hint="eastAsia" w:cs="仿宋" w:asciiTheme="minorEastAsia" w:hAnsiTheme="minorEastAsia"/>
          <w:sz w:val="24"/>
          <w:szCs w:val="24"/>
          <w:lang w:bidi="ar"/>
        </w:rPr>
        <w:t>项目编号：</w:t>
      </w:r>
    </w:p>
    <w:tbl>
      <w:tblPr>
        <w:tblStyle w:val="48"/>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810"/>
        <w:gridCol w:w="990"/>
        <w:gridCol w:w="735"/>
        <w:gridCol w:w="960"/>
        <w:gridCol w:w="1230"/>
        <w:gridCol w:w="743"/>
        <w:gridCol w:w="99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1856"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职责分工</w:t>
            </w:r>
          </w:p>
        </w:tc>
        <w:tc>
          <w:tcPr>
            <w:tcW w:w="810"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姓名</w:t>
            </w:r>
          </w:p>
        </w:tc>
        <w:tc>
          <w:tcPr>
            <w:tcW w:w="990"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现职务</w:t>
            </w:r>
          </w:p>
        </w:tc>
        <w:tc>
          <w:tcPr>
            <w:tcW w:w="735"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年龄</w:t>
            </w:r>
          </w:p>
        </w:tc>
        <w:tc>
          <w:tcPr>
            <w:tcW w:w="960"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 xml:space="preserve">学历 </w:t>
            </w:r>
          </w:p>
        </w:tc>
        <w:tc>
          <w:tcPr>
            <w:tcW w:w="1230"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取得证书</w:t>
            </w:r>
          </w:p>
        </w:tc>
        <w:tc>
          <w:tcPr>
            <w:tcW w:w="743" w:type="dxa"/>
            <w:tcBorders>
              <w:bottom w:val="nil"/>
            </w:tcBorders>
            <w:shd w:val="clear" w:color="auto" w:fill="F3F3F3"/>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职称</w:t>
            </w:r>
          </w:p>
        </w:tc>
        <w:tc>
          <w:tcPr>
            <w:tcW w:w="999" w:type="dxa"/>
            <w:tcBorders>
              <w:bottom w:val="nil"/>
            </w:tcBorders>
            <w:shd w:val="clear" w:color="auto" w:fill="F3F3F3"/>
            <w:vAlign w:val="center"/>
          </w:tcPr>
          <w:p>
            <w:pPr>
              <w:spacing w:line="360" w:lineRule="auto"/>
              <w:ind w:firstLine="12"/>
              <w:jc w:val="center"/>
              <w:rPr>
                <w:rFonts w:cs="仿宋" w:asciiTheme="minorEastAsia" w:hAnsiTheme="minorEastAsia"/>
                <w:sz w:val="24"/>
                <w:szCs w:val="24"/>
                <w:lang w:bidi="ar"/>
              </w:rPr>
            </w:pPr>
            <w:r>
              <w:rPr>
                <w:rFonts w:hint="eastAsia" w:cs="仿宋" w:asciiTheme="minorEastAsia" w:hAnsiTheme="minorEastAsia"/>
                <w:sz w:val="24"/>
                <w:szCs w:val="24"/>
                <w:lang w:bidi="ar"/>
              </w:rPr>
              <w:t>拟担任职位</w:t>
            </w:r>
          </w:p>
        </w:tc>
        <w:tc>
          <w:tcPr>
            <w:tcW w:w="898" w:type="dxa"/>
            <w:tcBorders>
              <w:bottom w:val="nil"/>
            </w:tcBorders>
            <w:shd w:val="clear" w:color="auto" w:fill="F3F3F3"/>
            <w:vAlign w:val="center"/>
          </w:tcPr>
          <w:p>
            <w:pPr>
              <w:spacing w:line="360" w:lineRule="auto"/>
              <w:ind w:firstLine="12"/>
              <w:jc w:val="center"/>
              <w:rPr>
                <w:rFonts w:cs="仿宋" w:asciiTheme="minorEastAsia" w:hAnsiTheme="minorEastAsia"/>
                <w:sz w:val="24"/>
                <w:szCs w:val="24"/>
                <w:lang w:bidi="ar"/>
              </w:rPr>
            </w:pPr>
            <w:r>
              <w:rPr>
                <w:rFonts w:hint="eastAsia" w:cs="仿宋" w:asciiTheme="minorEastAsia" w:hAnsiTheme="minorEastAsia"/>
                <w:sz w:val="24"/>
                <w:szCs w:val="24"/>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856" w:type="dxa"/>
            <w:tcBorders>
              <w:bottom w:val="nil"/>
            </w:tcBorders>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项目负责人</w:t>
            </w:r>
          </w:p>
        </w:tc>
        <w:tc>
          <w:tcPr>
            <w:tcW w:w="810" w:type="dxa"/>
            <w:tcBorders>
              <w:bottom w:val="nil"/>
            </w:tcBorders>
            <w:vAlign w:val="center"/>
          </w:tcPr>
          <w:p>
            <w:pPr>
              <w:spacing w:line="360" w:lineRule="auto"/>
              <w:jc w:val="center"/>
              <w:rPr>
                <w:rFonts w:cs="仿宋" w:asciiTheme="minorEastAsia" w:hAnsiTheme="minorEastAsia"/>
                <w:sz w:val="24"/>
                <w:szCs w:val="24"/>
                <w:lang w:bidi="ar"/>
              </w:rPr>
            </w:pPr>
          </w:p>
        </w:tc>
        <w:tc>
          <w:tcPr>
            <w:tcW w:w="990" w:type="dxa"/>
            <w:tcBorders>
              <w:bottom w:val="nil"/>
            </w:tcBorders>
            <w:vAlign w:val="center"/>
          </w:tcPr>
          <w:p>
            <w:pPr>
              <w:spacing w:line="360" w:lineRule="auto"/>
              <w:jc w:val="center"/>
              <w:rPr>
                <w:rFonts w:cs="仿宋" w:asciiTheme="minorEastAsia" w:hAnsiTheme="minorEastAsia"/>
                <w:sz w:val="24"/>
                <w:szCs w:val="24"/>
                <w:lang w:bidi="ar"/>
              </w:rPr>
            </w:pPr>
          </w:p>
        </w:tc>
        <w:tc>
          <w:tcPr>
            <w:tcW w:w="735" w:type="dxa"/>
            <w:tcBorders>
              <w:bottom w:val="nil"/>
            </w:tcBorders>
            <w:vAlign w:val="center"/>
          </w:tcPr>
          <w:p>
            <w:pPr>
              <w:pStyle w:val="311"/>
              <w:keepNext w:val="0"/>
              <w:adjustRightInd/>
              <w:spacing w:before="0" w:after="0" w:line="360" w:lineRule="auto"/>
              <w:textAlignment w:val="auto"/>
              <w:rPr>
                <w:rFonts w:cs="仿宋" w:asciiTheme="minorEastAsia" w:hAnsiTheme="minorEastAsia" w:eastAsiaTheme="minorEastAsia"/>
                <w:spacing w:val="0"/>
                <w:szCs w:val="24"/>
                <w:lang w:bidi="ar"/>
              </w:rPr>
            </w:pPr>
          </w:p>
        </w:tc>
        <w:tc>
          <w:tcPr>
            <w:tcW w:w="960" w:type="dxa"/>
            <w:tcBorders>
              <w:bottom w:val="nil"/>
            </w:tcBorders>
            <w:vAlign w:val="center"/>
          </w:tcPr>
          <w:p>
            <w:pPr>
              <w:pStyle w:val="311"/>
              <w:keepNext w:val="0"/>
              <w:adjustRightInd/>
              <w:spacing w:before="0" w:after="0" w:line="360" w:lineRule="auto"/>
              <w:textAlignment w:val="auto"/>
              <w:rPr>
                <w:rFonts w:cs="仿宋" w:asciiTheme="minorEastAsia" w:hAnsiTheme="minorEastAsia" w:eastAsiaTheme="minorEastAsia"/>
                <w:spacing w:val="0"/>
                <w:szCs w:val="24"/>
                <w:lang w:bidi="ar"/>
              </w:rPr>
            </w:pPr>
          </w:p>
        </w:tc>
        <w:tc>
          <w:tcPr>
            <w:tcW w:w="1230" w:type="dxa"/>
            <w:tcBorders>
              <w:bottom w:val="nil"/>
            </w:tcBorders>
          </w:tcPr>
          <w:p>
            <w:pPr>
              <w:spacing w:line="360" w:lineRule="auto"/>
              <w:jc w:val="center"/>
              <w:rPr>
                <w:rFonts w:cs="仿宋" w:asciiTheme="minorEastAsia" w:hAnsiTheme="minorEastAsia"/>
                <w:sz w:val="24"/>
                <w:szCs w:val="24"/>
                <w:lang w:bidi="ar"/>
              </w:rPr>
            </w:pPr>
          </w:p>
        </w:tc>
        <w:tc>
          <w:tcPr>
            <w:tcW w:w="743" w:type="dxa"/>
            <w:tcBorders>
              <w:bottom w:val="nil"/>
            </w:tcBorders>
            <w:vAlign w:val="center"/>
          </w:tcPr>
          <w:p>
            <w:pPr>
              <w:spacing w:line="360" w:lineRule="auto"/>
              <w:jc w:val="center"/>
              <w:rPr>
                <w:rFonts w:cs="仿宋" w:asciiTheme="minorEastAsia" w:hAnsiTheme="minorEastAsia"/>
                <w:sz w:val="24"/>
                <w:szCs w:val="24"/>
                <w:lang w:bidi="ar"/>
              </w:rPr>
            </w:pPr>
          </w:p>
        </w:tc>
        <w:tc>
          <w:tcPr>
            <w:tcW w:w="999" w:type="dxa"/>
            <w:tcBorders>
              <w:bottom w:val="nil"/>
            </w:tcBorders>
            <w:vAlign w:val="center"/>
          </w:tcPr>
          <w:p>
            <w:pPr>
              <w:spacing w:line="360" w:lineRule="auto"/>
              <w:ind w:firstLine="12"/>
              <w:jc w:val="center"/>
              <w:rPr>
                <w:rFonts w:cs="仿宋" w:asciiTheme="minorEastAsia" w:hAnsiTheme="minorEastAsia"/>
                <w:sz w:val="24"/>
                <w:szCs w:val="24"/>
                <w:lang w:bidi="ar"/>
              </w:rPr>
            </w:pPr>
          </w:p>
        </w:tc>
        <w:tc>
          <w:tcPr>
            <w:tcW w:w="898" w:type="dxa"/>
            <w:tcBorders>
              <w:bottom w:val="nil"/>
            </w:tcBorders>
            <w:vAlign w:val="center"/>
          </w:tcPr>
          <w:p>
            <w:pPr>
              <w:spacing w:line="360" w:lineRule="auto"/>
              <w:ind w:firstLine="12"/>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56" w:type="dxa"/>
            <w:vMerge w:val="restart"/>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其他成员</w:t>
            </w:r>
          </w:p>
        </w:tc>
        <w:tc>
          <w:tcPr>
            <w:tcW w:w="810" w:type="dxa"/>
            <w:vAlign w:val="center"/>
          </w:tcPr>
          <w:p>
            <w:pPr>
              <w:spacing w:line="360" w:lineRule="auto"/>
              <w:jc w:val="center"/>
              <w:rPr>
                <w:rFonts w:cs="仿宋" w:asciiTheme="minorEastAsia" w:hAnsiTheme="minorEastAsia"/>
                <w:sz w:val="24"/>
                <w:szCs w:val="24"/>
                <w:lang w:bidi="ar"/>
              </w:rPr>
            </w:pPr>
          </w:p>
        </w:tc>
        <w:tc>
          <w:tcPr>
            <w:tcW w:w="990" w:type="dxa"/>
            <w:vAlign w:val="center"/>
          </w:tcPr>
          <w:p>
            <w:pPr>
              <w:spacing w:line="360" w:lineRule="auto"/>
              <w:jc w:val="center"/>
              <w:rPr>
                <w:rFonts w:cs="仿宋" w:asciiTheme="minorEastAsia" w:hAnsiTheme="minorEastAsia"/>
                <w:sz w:val="24"/>
                <w:szCs w:val="24"/>
                <w:lang w:bidi="ar"/>
              </w:rPr>
            </w:pPr>
          </w:p>
        </w:tc>
        <w:tc>
          <w:tcPr>
            <w:tcW w:w="735" w:type="dxa"/>
            <w:vAlign w:val="center"/>
          </w:tcPr>
          <w:p>
            <w:pPr>
              <w:spacing w:line="360" w:lineRule="auto"/>
              <w:jc w:val="center"/>
              <w:rPr>
                <w:rFonts w:cs="仿宋" w:asciiTheme="minorEastAsia" w:hAnsiTheme="minorEastAsia"/>
                <w:sz w:val="24"/>
                <w:szCs w:val="24"/>
                <w:lang w:bidi="ar"/>
              </w:rPr>
            </w:pPr>
          </w:p>
        </w:tc>
        <w:tc>
          <w:tcPr>
            <w:tcW w:w="960" w:type="dxa"/>
            <w:vAlign w:val="center"/>
          </w:tcPr>
          <w:p>
            <w:pPr>
              <w:spacing w:line="360" w:lineRule="auto"/>
              <w:jc w:val="center"/>
              <w:rPr>
                <w:rFonts w:cs="仿宋" w:asciiTheme="minorEastAsia" w:hAnsiTheme="minorEastAsia"/>
                <w:sz w:val="24"/>
                <w:szCs w:val="24"/>
                <w:lang w:bidi="ar"/>
              </w:rPr>
            </w:pPr>
          </w:p>
        </w:tc>
        <w:tc>
          <w:tcPr>
            <w:tcW w:w="1230" w:type="dxa"/>
          </w:tcPr>
          <w:p>
            <w:pPr>
              <w:spacing w:line="360" w:lineRule="auto"/>
              <w:jc w:val="center"/>
              <w:rPr>
                <w:rFonts w:cs="仿宋" w:asciiTheme="minorEastAsia" w:hAnsiTheme="minorEastAsia"/>
                <w:sz w:val="24"/>
                <w:szCs w:val="24"/>
                <w:lang w:bidi="ar"/>
              </w:rPr>
            </w:pPr>
          </w:p>
        </w:tc>
        <w:tc>
          <w:tcPr>
            <w:tcW w:w="743" w:type="dxa"/>
            <w:vAlign w:val="center"/>
          </w:tcPr>
          <w:p>
            <w:pPr>
              <w:spacing w:line="360" w:lineRule="auto"/>
              <w:jc w:val="center"/>
              <w:rPr>
                <w:rFonts w:cs="仿宋" w:asciiTheme="minorEastAsia" w:hAnsiTheme="minorEastAsia"/>
                <w:sz w:val="24"/>
                <w:szCs w:val="24"/>
                <w:lang w:bidi="ar"/>
              </w:rPr>
            </w:pPr>
          </w:p>
        </w:tc>
        <w:tc>
          <w:tcPr>
            <w:tcW w:w="999" w:type="dxa"/>
            <w:vAlign w:val="center"/>
          </w:tcPr>
          <w:p>
            <w:pPr>
              <w:spacing w:line="360" w:lineRule="auto"/>
              <w:jc w:val="center"/>
              <w:rPr>
                <w:rFonts w:cs="仿宋" w:asciiTheme="minorEastAsia" w:hAnsiTheme="minorEastAsia"/>
                <w:sz w:val="24"/>
                <w:szCs w:val="24"/>
                <w:lang w:bidi="ar"/>
              </w:rPr>
            </w:pPr>
          </w:p>
        </w:tc>
        <w:tc>
          <w:tcPr>
            <w:tcW w:w="898"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56" w:type="dxa"/>
            <w:vMerge w:val="continue"/>
            <w:vAlign w:val="center"/>
          </w:tcPr>
          <w:p>
            <w:pPr>
              <w:spacing w:line="360" w:lineRule="auto"/>
              <w:rPr>
                <w:rFonts w:cs="仿宋" w:asciiTheme="minorEastAsia" w:hAnsiTheme="minorEastAsia"/>
                <w:sz w:val="24"/>
                <w:szCs w:val="24"/>
                <w:lang w:bidi="ar"/>
              </w:rPr>
            </w:pPr>
          </w:p>
        </w:tc>
        <w:tc>
          <w:tcPr>
            <w:tcW w:w="810" w:type="dxa"/>
            <w:vAlign w:val="center"/>
          </w:tcPr>
          <w:p>
            <w:pPr>
              <w:spacing w:line="360" w:lineRule="auto"/>
              <w:jc w:val="center"/>
              <w:rPr>
                <w:rFonts w:cs="仿宋" w:asciiTheme="minorEastAsia" w:hAnsiTheme="minorEastAsia"/>
                <w:sz w:val="24"/>
                <w:szCs w:val="24"/>
                <w:lang w:bidi="ar"/>
              </w:rPr>
            </w:pPr>
          </w:p>
        </w:tc>
        <w:tc>
          <w:tcPr>
            <w:tcW w:w="990" w:type="dxa"/>
            <w:vAlign w:val="center"/>
          </w:tcPr>
          <w:p>
            <w:pPr>
              <w:spacing w:line="360" w:lineRule="auto"/>
              <w:jc w:val="center"/>
              <w:rPr>
                <w:rFonts w:cs="仿宋" w:asciiTheme="minorEastAsia" w:hAnsiTheme="minorEastAsia"/>
                <w:sz w:val="24"/>
                <w:szCs w:val="24"/>
                <w:lang w:bidi="ar"/>
              </w:rPr>
            </w:pPr>
          </w:p>
        </w:tc>
        <w:tc>
          <w:tcPr>
            <w:tcW w:w="735" w:type="dxa"/>
            <w:vAlign w:val="center"/>
          </w:tcPr>
          <w:p>
            <w:pPr>
              <w:spacing w:line="360" w:lineRule="auto"/>
              <w:jc w:val="center"/>
              <w:rPr>
                <w:rFonts w:cs="仿宋" w:asciiTheme="minorEastAsia" w:hAnsiTheme="minorEastAsia"/>
                <w:sz w:val="24"/>
                <w:szCs w:val="24"/>
                <w:lang w:bidi="ar"/>
              </w:rPr>
            </w:pPr>
          </w:p>
        </w:tc>
        <w:tc>
          <w:tcPr>
            <w:tcW w:w="960" w:type="dxa"/>
            <w:vAlign w:val="center"/>
          </w:tcPr>
          <w:p>
            <w:pPr>
              <w:spacing w:line="360" w:lineRule="auto"/>
              <w:jc w:val="center"/>
              <w:rPr>
                <w:rFonts w:cs="仿宋" w:asciiTheme="minorEastAsia" w:hAnsiTheme="minorEastAsia"/>
                <w:sz w:val="24"/>
                <w:szCs w:val="24"/>
                <w:lang w:bidi="ar"/>
              </w:rPr>
            </w:pPr>
          </w:p>
        </w:tc>
        <w:tc>
          <w:tcPr>
            <w:tcW w:w="1230" w:type="dxa"/>
          </w:tcPr>
          <w:p>
            <w:pPr>
              <w:spacing w:line="360" w:lineRule="auto"/>
              <w:jc w:val="center"/>
              <w:rPr>
                <w:rFonts w:cs="仿宋" w:asciiTheme="minorEastAsia" w:hAnsiTheme="minorEastAsia"/>
                <w:sz w:val="24"/>
                <w:szCs w:val="24"/>
                <w:lang w:bidi="ar"/>
              </w:rPr>
            </w:pPr>
          </w:p>
        </w:tc>
        <w:tc>
          <w:tcPr>
            <w:tcW w:w="743" w:type="dxa"/>
            <w:vAlign w:val="center"/>
          </w:tcPr>
          <w:p>
            <w:pPr>
              <w:spacing w:line="360" w:lineRule="auto"/>
              <w:jc w:val="center"/>
              <w:rPr>
                <w:rFonts w:cs="仿宋" w:asciiTheme="minorEastAsia" w:hAnsiTheme="minorEastAsia"/>
                <w:sz w:val="24"/>
                <w:szCs w:val="24"/>
                <w:lang w:bidi="ar"/>
              </w:rPr>
            </w:pPr>
          </w:p>
        </w:tc>
        <w:tc>
          <w:tcPr>
            <w:tcW w:w="999" w:type="dxa"/>
            <w:vAlign w:val="center"/>
          </w:tcPr>
          <w:p>
            <w:pPr>
              <w:spacing w:line="360" w:lineRule="auto"/>
              <w:jc w:val="center"/>
              <w:rPr>
                <w:rFonts w:cs="仿宋" w:asciiTheme="minorEastAsia" w:hAnsiTheme="minorEastAsia"/>
                <w:sz w:val="24"/>
                <w:szCs w:val="24"/>
                <w:lang w:bidi="ar"/>
              </w:rPr>
            </w:pPr>
          </w:p>
        </w:tc>
        <w:tc>
          <w:tcPr>
            <w:tcW w:w="898"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56" w:type="dxa"/>
            <w:vMerge w:val="continue"/>
            <w:vAlign w:val="center"/>
          </w:tcPr>
          <w:p>
            <w:pPr>
              <w:spacing w:line="360" w:lineRule="auto"/>
              <w:jc w:val="center"/>
              <w:rPr>
                <w:rFonts w:cs="仿宋" w:asciiTheme="minorEastAsia" w:hAnsiTheme="minorEastAsia"/>
                <w:sz w:val="24"/>
                <w:szCs w:val="24"/>
                <w:lang w:bidi="ar"/>
              </w:rPr>
            </w:pPr>
          </w:p>
        </w:tc>
        <w:tc>
          <w:tcPr>
            <w:tcW w:w="810" w:type="dxa"/>
            <w:vAlign w:val="center"/>
          </w:tcPr>
          <w:p>
            <w:pPr>
              <w:spacing w:line="360" w:lineRule="auto"/>
              <w:jc w:val="center"/>
              <w:rPr>
                <w:rFonts w:cs="仿宋" w:asciiTheme="minorEastAsia" w:hAnsiTheme="minorEastAsia"/>
                <w:sz w:val="24"/>
                <w:szCs w:val="24"/>
                <w:lang w:bidi="ar"/>
              </w:rPr>
            </w:pPr>
          </w:p>
        </w:tc>
        <w:tc>
          <w:tcPr>
            <w:tcW w:w="990" w:type="dxa"/>
            <w:vAlign w:val="center"/>
          </w:tcPr>
          <w:p>
            <w:pPr>
              <w:spacing w:line="360" w:lineRule="auto"/>
              <w:jc w:val="center"/>
              <w:rPr>
                <w:rFonts w:cs="仿宋" w:asciiTheme="minorEastAsia" w:hAnsiTheme="minorEastAsia"/>
                <w:sz w:val="24"/>
                <w:szCs w:val="24"/>
                <w:lang w:bidi="ar"/>
              </w:rPr>
            </w:pPr>
          </w:p>
        </w:tc>
        <w:tc>
          <w:tcPr>
            <w:tcW w:w="735" w:type="dxa"/>
            <w:vAlign w:val="center"/>
          </w:tcPr>
          <w:p>
            <w:pPr>
              <w:spacing w:line="360" w:lineRule="auto"/>
              <w:jc w:val="center"/>
              <w:rPr>
                <w:rFonts w:cs="仿宋" w:asciiTheme="minorEastAsia" w:hAnsiTheme="minorEastAsia"/>
                <w:sz w:val="24"/>
                <w:szCs w:val="24"/>
                <w:lang w:bidi="ar"/>
              </w:rPr>
            </w:pPr>
          </w:p>
        </w:tc>
        <w:tc>
          <w:tcPr>
            <w:tcW w:w="960" w:type="dxa"/>
            <w:vAlign w:val="center"/>
          </w:tcPr>
          <w:p>
            <w:pPr>
              <w:spacing w:line="360" w:lineRule="auto"/>
              <w:jc w:val="center"/>
              <w:rPr>
                <w:rFonts w:cs="仿宋" w:asciiTheme="minorEastAsia" w:hAnsiTheme="minorEastAsia"/>
                <w:sz w:val="24"/>
                <w:szCs w:val="24"/>
                <w:lang w:bidi="ar"/>
              </w:rPr>
            </w:pPr>
          </w:p>
        </w:tc>
        <w:tc>
          <w:tcPr>
            <w:tcW w:w="1230" w:type="dxa"/>
          </w:tcPr>
          <w:p>
            <w:pPr>
              <w:spacing w:line="360" w:lineRule="auto"/>
              <w:jc w:val="center"/>
              <w:rPr>
                <w:rFonts w:cs="仿宋" w:asciiTheme="minorEastAsia" w:hAnsiTheme="minorEastAsia"/>
                <w:sz w:val="24"/>
                <w:szCs w:val="24"/>
                <w:lang w:bidi="ar"/>
              </w:rPr>
            </w:pPr>
          </w:p>
        </w:tc>
        <w:tc>
          <w:tcPr>
            <w:tcW w:w="743" w:type="dxa"/>
            <w:vAlign w:val="center"/>
          </w:tcPr>
          <w:p>
            <w:pPr>
              <w:spacing w:line="360" w:lineRule="auto"/>
              <w:jc w:val="center"/>
              <w:rPr>
                <w:rFonts w:cs="仿宋" w:asciiTheme="minorEastAsia" w:hAnsiTheme="minorEastAsia"/>
                <w:sz w:val="24"/>
                <w:szCs w:val="24"/>
                <w:lang w:bidi="ar"/>
              </w:rPr>
            </w:pPr>
          </w:p>
        </w:tc>
        <w:tc>
          <w:tcPr>
            <w:tcW w:w="999" w:type="dxa"/>
            <w:vAlign w:val="center"/>
          </w:tcPr>
          <w:p>
            <w:pPr>
              <w:spacing w:line="360" w:lineRule="auto"/>
              <w:jc w:val="center"/>
              <w:rPr>
                <w:rFonts w:cs="仿宋" w:asciiTheme="minorEastAsia" w:hAnsiTheme="minorEastAsia"/>
                <w:sz w:val="24"/>
                <w:szCs w:val="24"/>
                <w:lang w:bidi="ar"/>
              </w:rPr>
            </w:pPr>
          </w:p>
        </w:tc>
        <w:tc>
          <w:tcPr>
            <w:tcW w:w="898"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56" w:type="dxa"/>
            <w:vMerge w:val="continue"/>
            <w:vAlign w:val="center"/>
          </w:tcPr>
          <w:p>
            <w:pPr>
              <w:spacing w:line="360" w:lineRule="auto"/>
              <w:jc w:val="center"/>
              <w:rPr>
                <w:rFonts w:cs="仿宋" w:asciiTheme="minorEastAsia" w:hAnsiTheme="minorEastAsia"/>
                <w:sz w:val="24"/>
                <w:szCs w:val="24"/>
                <w:lang w:bidi="ar"/>
              </w:rPr>
            </w:pPr>
          </w:p>
        </w:tc>
        <w:tc>
          <w:tcPr>
            <w:tcW w:w="810" w:type="dxa"/>
            <w:vAlign w:val="center"/>
          </w:tcPr>
          <w:p>
            <w:pPr>
              <w:spacing w:line="360" w:lineRule="auto"/>
              <w:jc w:val="center"/>
              <w:rPr>
                <w:rFonts w:cs="仿宋" w:asciiTheme="minorEastAsia" w:hAnsiTheme="minorEastAsia"/>
                <w:sz w:val="24"/>
                <w:szCs w:val="24"/>
                <w:lang w:bidi="ar"/>
              </w:rPr>
            </w:pPr>
          </w:p>
        </w:tc>
        <w:tc>
          <w:tcPr>
            <w:tcW w:w="990" w:type="dxa"/>
            <w:vAlign w:val="center"/>
          </w:tcPr>
          <w:p>
            <w:pPr>
              <w:spacing w:line="360" w:lineRule="auto"/>
              <w:jc w:val="center"/>
              <w:rPr>
                <w:rFonts w:cs="仿宋" w:asciiTheme="minorEastAsia" w:hAnsiTheme="minorEastAsia"/>
                <w:sz w:val="24"/>
                <w:szCs w:val="24"/>
                <w:lang w:bidi="ar"/>
              </w:rPr>
            </w:pPr>
          </w:p>
        </w:tc>
        <w:tc>
          <w:tcPr>
            <w:tcW w:w="735" w:type="dxa"/>
            <w:vAlign w:val="center"/>
          </w:tcPr>
          <w:p>
            <w:pPr>
              <w:spacing w:line="360" w:lineRule="auto"/>
              <w:jc w:val="center"/>
              <w:rPr>
                <w:rFonts w:cs="仿宋" w:asciiTheme="minorEastAsia" w:hAnsiTheme="minorEastAsia"/>
                <w:sz w:val="24"/>
                <w:szCs w:val="24"/>
                <w:lang w:bidi="ar"/>
              </w:rPr>
            </w:pPr>
          </w:p>
        </w:tc>
        <w:tc>
          <w:tcPr>
            <w:tcW w:w="960" w:type="dxa"/>
            <w:vAlign w:val="center"/>
          </w:tcPr>
          <w:p>
            <w:pPr>
              <w:spacing w:line="360" w:lineRule="auto"/>
              <w:jc w:val="center"/>
              <w:rPr>
                <w:rFonts w:cs="仿宋" w:asciiTheme="minorEastAsia" w:hAnsiTheme="minorEastAsia"/>
                <w:sz w:val="24"/>
                <w:szCs w:val="24"/>
                <w:lang w:bidi="ar"/>
              </w:rPr>
            </w:pPr>
          </w:p>
        </w:tc>
        <w:tc>
          <w:tcPr>
            <w:tcW w:w="1230" w:type="dxa"/>
          </w:tcPr>
          <w:p>
            <w:pPr>
              <w:spacing w:line="360" w:lineRule="auto"/>
              <w:jc w:val="center"/>
              <w:rPr>
                <w:rFonts w:cs="仿宋" w:asciiTheme="minorEastAsia" w:hAnsiTheme="minorEastAsia"/>
                <w:sz w:val="24"/>
                <w:szCs w:val="24"/>
                <w:lang w:bidi="ar"/>
              </w:rPr>
            </w:pPr>
          </w:p>
        </w:tc>
        <w:tc>
          <w:tcPr>
            <w:tcW w:w="743" w:type="dxa"/>
            <w:vAlign w:val="center"/>
          </w:tcPr>
          <w:p>
            <w:pPr>
              <w:spacing w:line="360" w:lineRule="auto"/>
              <w:jc w:val="center"/>
              <w:rPr>
                <w:rFonts w:cs="仿宋" w:asciiTheme="minorEastAsia" w:hAnsiTheme="minorEastAsia"/>
                <w:sz w:val="24"/>
                <w:szCs w:val="24"/>
                <w:lang w:bidi="ar"/>
              </w:rPr>
            </w:pPr>
          </w:p>
        </w:tc>
        <w:tc>
          <w:tcPr>
            <w:tcW w:w="999" w:type="dxa"/>
            <w:vAlign w:val="center"/>
          </w:tcPr>
          <w:p>
            <w:pPr>
              <w:spacing w:line="360" w:lineRule="auto"/>
              <w:jc w:val="center"/>
              <w:rPr>
                <w:rFonts w:cs="仿宋" w:asciiTheme="minorEastAsia" w:hAnsiTheme="minorEastAsia"/>
                <w:sz w:val="24"/>
                <w:szCs w:val="24"/>
                <w:lang w:bidi="ar"/>
              </w:rPr>
            </w:pPr>
          </w:p>
        </w:tc>
        <w:tc>
          <w:tcPr>
            <w:tcW w:w="898"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856" w:type="dxa"/>
            <w:vMerge w:val="continue"/>
            <w:vAlign w:val="center"/>
          </w:tcPr>
          <w:p>
            <w:pPr>
              <w:spacing w:line="360" w:lineRule="auto"/>
              <w:jc w:val="center"/>
              <w:rPr>
                <w:rFonts w:cs="仿宋" w:asciiTheme="minorEastAsia" w:hAnsiTheme="minorEastAsia"/>
                <w:sz w:val="24"/>
                <w:szCs w:val="24"/>
                <w:lang w:bidi="ar"/>
              </w:rPr>
            </w:pPr>
          </w:p>
        </w:tc>
        <w:tc>
          <w:tcPr>
            <w:tcW w:w="810"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w:t>
            </w:r>
          </w:p>
        </w:tc>
        <w:tc>
          <w:tcPr>
            <w:tcW w:w="990" w:type="dxa"/>
            <w:vAlign w:val="center"/>
          </w:tcPr>
          <w:p>
            <w:pPr>
              <w:spacing w:line="360" w:lineRule="auto"/>
              <w:jc w:val="center"/>
              <w:rPr>
                <w:rFonts w:cs="仿宋" w:asciiTheme="minorEastAsia" w:hAnsiTheme="minorEastAsia"/>
                <w:sz w:val="24"/>
                <w:szCs w:val="24"/>
                <w:lang w:bidi="ar"/>
              </w:rPr>
            </w:pPr>
          </w:p>
        </w:tc>
        <w:tc>
          <w:tcPr>
            <w:tcW w:w="735" w:type="dxa"/>
            <w:vAlign w:val="center"/>
          </w:tcPr>
          <w:p>
            <w:pPr>
              <w:spacing w:line="360" w:lineRule="auto"/>
              <w:jc w:val="center"/>
              <w:rPr>
                <w:rFonts w:cs="仿宋" w:asciiTheme="minorEastAsia" w:hAnsiTheme="minorEastAsia"/>
                <w:sz w:val="24"/>
                <w:szCs w:val="24"/>
                <w:lang w:bidi="ar"/>
              </w:rPr>
            </w:pPr>
          </w:p>
        </w:tc>
        <w:tc>
          <w:tcPr>
            <w:tcW w:w="960" w:type="dxa"/>
            <w:vAlign w:val="center"/>
          </w:tcPr>
          <w:p>
            <w:pPr>
              <w:spacing w:line="360" w:lineRule="auto"/>
              <w:jc w:val="center"/>
              <w:rPr>
                <w:rFonts w:cs="仿宋" w:asciiTheme="minorEastAsia" w:hAnsiTheme="minorEastAsia"/>
                <w:sz w:val="24"/>
                <w:szCs w:val="24"/>
                <w:lang w:bidi="ar"/>
              </w:rPr>
            </w:pPr>
          </w:p>
        </w:tc>
        <w:tc>
          <w:tcPr>
            <w:tcW w:w="1230" w:type="dxa"/>
          </w:tcPr>
          <w:p>
            <w:pPr>
              <w:spacing w:line="360" w:lineRule="auto"/>
              <w:jc w:val="center"/>
              <w:rPr>
                <w:rFonts w:cs="仿宋" w:asciiTheme="minorEastAsia" w:hAnsiTheme="minorEastAsia"/>
                <w:sz w:val="24"/>
                <w:szCs w:val="24"/>
                <w:lang w:bidi="ar"/>
              </w:rPr>
            </w:pPr>
          </w:p>
        </w:tc>
        <w:tc>
          <w:tcPr>
            <w:tcW w:w="743" w:type="dxa"/>
            <w:vAlign w:val="center"/>
          </w:tcPr>
          <w:p>
            <w:pPr>
              <w:spacing w:line="360" w:lineRule="auto"/>
              <w:jc w:val="center"/>
              <w:rPr>
                <w:rFonts w:cs="仿宋" w:asciiTheme="minorEastAsia" w:hAnsiTheme="minorEastAsia"/>
                <w:sz w:val="24"/>
                <w:szCs w:val="24"/>
                <w:lang w:bidi="ar"/>
              </w:rPr>
            </w:pPr>
          </w:p>
        </w:tc>
        <w:tc>
          <w:tcPr>
            <w:tcW w:w="999" w:type="dxa"/>
            <w:vAlign w:val="center"/>
          </w:tcPr>
          <w:p>
            <w:pPr>
              <w:spacing w:line="360" w:lineRule="auto"/>
              <w:jc w:val="center"/>
              <w:rPr>
                <w:rFonts w:cs="仿宋" w:asciiTheme="minorEastAsia" w:hAnsiTheme="minorEastAsia"/>
                <w:sz w:val="24"/>
                <w:szCs w:val="24"/>
                <w:lang w:bidi="ar"/>
              </w:rPr>
            </w:pPr>
          </w:p>
        </w:tc>
        <w:tc>
          <w:tcPr>
            <w:tcW w:w="898" w:type="dxa"/>
            <w:vAlign w:val="center"/>
          </w:tcPr>
          <w:p>
            <w:pPr>
              <w:spacing w:line="360" w:lineRule="auto"/>
              <w:jc w:val="center"/>
              <w:rPr>
                <w:rFonts w:cs="仿宋" w:asciiTheme="minorEastAsia" w:hAnsiTheme="minorEastAsia"/>
                <w:sz w:val="24"/>
                <w:szCs w:val="24"/>
                <w:lang w:bidi="ar"/>
              </w:rPr>
            </w:pPr>
          </w:p>
        </w:tc>
      </w:tr>
    </w:tbl>
    <w:p>
      <w:pPr>
        <w:spacing w:before="120" w:line="360" w:lineRule="auto"/>
        <w:rPr>
          <w:rFonts w:cs="仿宋" w:asciiTheme="minorEastAsia" w:hAnsiTheme="minorEastAsia"/>
          <w:sz w:val="24"/>
          <w:szCs w:val="24"/>
          <w:lang w:bidi="ar"/>
        </w:rPr>
      </w:pPr>
    </w:p>
    <w:p>
      <w:pPr>
        <w:pStyle w:val="3"/>
        <w:spacing w:line="360" w:lineRule="auto"/>
        <w:ind w:firstLine="480"/>
        <w:rPr>
          <w:rFonts w:cs="仿宋" w:asciiTheme="minorEastAsia" w:hAnsiTheme="minorEastAsia" w:eastAsiaTheme="minorEastAsia"/>
          <w:szCs w:val="24"/>
          <w:lang w:bidi="ar"/>
        </w:rPr>
      </w:pPr>
    </w:p>
    <w:p>
      <w:pPr>
        <w:spacing w:line="360" w:lineRule="auto"/>
        <w:ind w:firstLine="240" w:firstLineChars="100"/>
        <w:rPr>
          <w:rFonts w:cs="仿宋" w:asciiTheme="minorEastAsia" w:hAnsiTheme="minorEastAsia"/>
          <w:sz w:val="24"/>
          <w:szCs w:val="24"/>
        </w:rPr>
      </w:pPr>
      <w:r>
        <w:rPr>
          <w:rFonts w:hint="eastAsia" w:cs="仿宋" w:asciiTheme="minorEastAsia" w:hAnsiTheme="minorEastAsia"/>
          <w:b/>
          <w:sz w:val="24"/>
          <w:szCs w:val="24"/>
          <w:lang w:val="zh-CN" w:bidi="ar"/>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pPr>
        <w:spacing w:line="360" w:lineRule="auto"/>
        <w:ind w:firstLine="480" w:firstLineChars="200"/>
        <w:rPr>
          <w:rFonts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jc w:val="center"/>
        <w:rPr>
          <w:rFonts w:cs="仿宋" w:asciiTheme="minorEastAsia" w:hAnsiTheme="minorEastAsia"/>
          <w:b/>
          <w:sz w:val="24"/>
          <w:szCs w:val="24"/>
        </w:rPr>
      </w:pPr>
    </w:p>
    <w:p>
      <w:pPr>
        <w:spacing w:line="360" w:lineRule="auto"/>
        <w:jc w:val="center"/>
        <w:rPr>
          <w:rFonts w:cs="仿宋" w:asciiTheme="minorEastAsia" w:hAnsiTheme="minorEastAsia"/>
          <w:b/>
          <w:sz w:val="24"/>
          <w:szCs w:val="24"/>
        </w:rPr>
      </w:pPr>
    </w:p>
    <w:p>
      <w:pPr>
        <w:spacing w:line="360" w:lineRule="auto"/>
        <w:jc w:val="center"/>
        <w:rPr>
          <w:rFonts w:cs="仿宋" w:asciiTheme="minorEastAsia" w:hAnsiTheme="minorEastAsia"/>
          <w:b/>
          <w:sz w:val="24"/>
          <w:szCs w:val="24"/>
        </w:rPr>
      </w:pPr>
    </w:p>
    <w:p>
      <w:pPr>
        <w:spacing w:line="360" w:lineRule="auto"/>
        <w:jc w:val="center"/>
        <w:rPr>
          <w:rFonts w:cs="仿宋" w:asciiTheme="minorEastAsia" w:hAnsiTheme="minorEastAsia"/>
          <w:b/>
          <w:sz w:val="24"/>
          <w:szCs w:val="24"/>
        </w:rPr>
      </w:pPr>
    </w:p>
    <w:p>
      <w:pPr>
        <w:spacing w:line="360" w:lineRule="auto"/>
        <w:jc w:val="center"/>
        <w:rPr>
          <w:rFonts w:cs="仿宋" w:asciiTheme="minorEastAsia" w:hAnsiTheme="minorEastAsia"/>
          <w:b/>
          <w:sz w:val="24"/>
          <w:szCs w:val="24"/>
        </w:rPr>
      </w:pPr>
    </w:p>
    <w:p>
      <w:pPr>
        <w:spacing w:line="360" w:lineRule="auto"/>
        <w:jc w:val="center"/>
        <w:rPr>
          <w:rFonts w:cs="仿宋" w:asciiTheme="minorEastAsia" w:hAnsiTheme="minorEastAsia"/>
          <w:sz w:val="24"/>
          <w:szCs w:val="24"/>
        </w:rPr>
      </w:pPr>
      <w:r>
        <w:rPr>
          <w:rFonts w:hint="eastAsia" w:cs="仿宋" w:asciiTheme="minorEastAsia" w:hAnsiTheme="minorEastAsia"/>
          <w:b/>
          <w:sz w:val="24"/>
          <w:szCs w:val="24"/>
        </w:rPr>
        <w:t>项目负责人简历表</w:t>
      </w:r>
    </w:p>
    <w:p>
      <w:pPr>
        <w:spacing w:line="360" w:lineRule="auto"/>
        <w:rPr>
          <w:rFonts w:cs="仿宋" w:asciiTheme="minorEastAsia" w:hAnsiTheme="minorEastAsia"/>
          <w:sz w:val="24"/>
          <w:szCs w:val="24"/>
          <w:lang w:bidi="ar"/>
        </w:rPr>
      </w:pPr>
      <w:r>
        <w:rPr>
          <w:rFonts w:hint="eastAsia" w:cs="仿宋" w:asciiTheme="minorEastAsia" w:hAnsiTheme="minorEastAsia"/>
          <w:sz w:val="24"/>
          <w:szCs w:val="24"/>
          <w:lang w:bidi="ar"/>
        </w:rPr>
        <w:t xml:space="preserve">项目负责人介绍应包括：姓名、性别、年龄、职称、学历、参加工作时间、从事项目年限和能反映该负责人情况的其他内容。 </w:t>
      </w:r>
    </w:p>
    <w:tbl>
      <w:tblPr>
        <w:tblStyle w:val="4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853"/>
        <w:gridCol w:w="2304"/>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676"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姓名</w:t>
            </w:r>
          </w:p>
        </w:tc>
        <w:tc>
          <w:tcPr>
            <w:tcW w:w="2853" w:type="dxa"/>
            <w:vAlign w:val="center"/>
          </w:tcPr>
          <w:p>
            <w:pPr>
              <w:snapToGrid w:val="0"/>
              <w:spacing w:line="360" w:lineRule="auto"/>
              <w:jc w:val="center"/>
              <w:rPr>
                <w:rFonts w:cs="仿宋" w:asciiTheme="minorEastAsia" w:hAnsiTheme="minorEastAsia"/>
                <w:sz w:val="24"/>
                <w:szCs w:val="24"/>
                <w:lang w:bidi="ar"/>
              </w:rPr>
            </w:pPr>
          </w:p>
        </w:tc>
        <w:tc>
          <w:tcPr>
            <w:tcW w:w="230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性别</w:t>
            </w:r>
          </w:p>
        </w:tc>
        <w:tc>
          <w:tcPr>
            <w:tcW w:w="1845" w:type="dxa"/>
            <w:vAlign w:val="center"/>
          </w:tcPr>
          <w:p>
            <w:pPr>
              <w:snapToGrid w:val="0"/>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676"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职称</w:t>
            </w:r>
          </w:p>
        </w:tc>
        <w:tc>
          <w:tcPr>
            <w:tcW w:w="2853" w:type="dxa"/>
            <w:vAlign w:val="center"/>
          </w:tcPr>
          <w:p>
            <w:pPr>
              <w:snapToGrid w:val="0"/>
              <w:spacing w:line="360" w:lineRule="auto"/>
              <w:jc w:val="center"/>
              <w:rPr>
                <w:rFonts w:cs="仿宋" w:asciiTheme="minorEastAsia" w:hAnsiTheme="minorEastAsia"/>
                <w:sz w:val="24"/>
                <w:szCs w:val="24"/>
                <w:lang w:bidi="ar"/>
              </w:rPr>
            </w:pPr>
          </w:p>
        </w:tc>
        <w:tc>
          <w:tcPr>
            <w:tcW w:w="230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学历</w:t>
            </w:r>
          </w:p>
        </w:tc>
        <w:tc>
          <w:tcPr>
            <w:tcW w:w="1845" w:type="dxa"/>
            <w:vAlign w:val="center"/>
          </w:tcPr>
          <w:p>
            <w:pPr>
              <w:snapToGrid w:val="0"/>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76"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参加工作时间</w:t>
            </w:r>
          </w:p>
        </w:tc>
        <w:tc>
          <w:tcPr>
            <w:tcW w:w="2853" w:type="dxa"/>
            <w:vAlign w:val="center"/>
          </w:tcPr>
          <w:p>
            <w:pPr>
              <w:spacing w:line="360" w:lineRule="auto"/>
              <w:jc w:val="center"/>
              <w:rPr>
                <w:rFonts w:cs="仿宋" w:asciiTheme="minorEastAsia" w:hAnsiTheme="minorEastAsia"/>
                <w:sz w:val="24"/>
                <w:szCs w:val="24"/>
                <w:lang w:bidi="ar"/>
              </w:rPr>
            </w:pPr>
          </w:p>
        </w:tc>
        <w:tc>
          <w:tcPr>
            <w:tcW w:w="230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从事相关工作年限</w:t>
            </w:r>
          </w:p>
        </w:tc>
        <w:tc>
          <w:tcPr>
            <w:tcW w:w="1845"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76"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专业</w:t>
            </w:r>
          </w:p>
        </w:tc>
        <w:tc>
          <w:tcPr>
            <w:tcW w:w="2853" w:type="dxa"/>
            <w:vAlign w:val="center"/>
          </w:tcPr>
          <w:p>
            <w:pPr>
              <w:spacing w:line="360" w:lineRule="auto"/>
              <w:jc w:val="center"/>
              <w:rPr>
                <w:rFonts w:cs="仿宋" w:asciiTheme="minorEastAsia" w:hAnsiTheme="minorEastAsia"/>
                <w:sz w:val="24"/>
                <w:szCs w:val="24"/>
                <w:lang w:bidi="ar"/>
              </w:rPr>
            </w:pPr>
          </w:p>
        </w:tc>
        <w:tc>
          <w:tcPr>
            <w:tcW w:w="230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毕业学校</w:t>
            </w:r>
          </w:p>
        </w:tc>
        <w:tc>
          <w:tcPr>
            <w:tcW w:w="1845"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76"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身份证号码</w:t>
            </w:r>
          </w:p>
        </w:tc>
        <w:tc>
          <w:tcPr>
            <w:tcW w:w="2853" w:type="dxa"/>
            <w:vAlign w:val="center"/>
          </w:tcPr>
          <w:p>
            <w:pPr>
              <w:spacing w:line="360" w:lineRule="auto"/>
              <w:jc w:val="center"/>
              <w:rPr>
                <w:rFonts w:cs="仿宋" w:asciiTheme="minorEastAsia" w:hAnsiTheme="minorEastAsia"/>
                <w:sz w:val="24"/>
                <w:szCs w:val="24"/>
                <w:lang w:bidi="ar"/>
              </w:rPr>
            </w:pPr>
          </w:p>
        </w:tc>
        <w:tc>
          <w:tcPr>
            <w:tcW w:w="230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在公司担任职务</w:t>
            </w:r>
          </w:p>
        </w:tc>
        <w:tc>
          <w:tcPr>
            <w:tcW w:w="1845"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676"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联系电话</w:t>
            </w:r>
          </w:p>
        </w:tc>
        <w:tc>
          <w:tcPr>
            <w:tcW w:w="2853" w:type="dxa"/>
            <w:vAlign w:val="center"/>
          </w:tcPr>
          <w:p>
            <w:pPr>
              <w:spacing w:line="360" w:lineRule="auto"/>
              <w:jc w:val="center"/>
              <w:rPr>
                <w:rFonts w:cs="仿宋" w:asciiTheme="minorEastAsia" w:hAnsiTheme="minorEastAsia"/>
                <w:sz w:val="24"/>
                <w:szCs w:val="24"/>
                <w:lang w:bidi="ar"/>
              </w:rPr>
            </w:pPr>
          </w:p>
        </w:tc>
        <w:tc>
          <w:tcPr>
            <w:tcW w:w="230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取得证书</w:t>
            </w:r>
          </w:p>
        </w:tc>
        <w:tc>
          <w:tcPr>
            <w:tcW w:w="1845"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678" w:type="dxa"/>
            <w:gridSpan w:val="4"/>
            <w:vAlign w:val="center"/>
          </w:tcPr>
          <w:p>
            <w:pPr>
              <w:spacing w:line="360" w:lineRule="auto"/>
              <w:rPr>
                <w:rFonts w:cs="仿宋" w:asciiTheme="minorEastAsia" w:hAnsiTheme="minorEastAsia"/>
                <w:sz w:val="24"/>
                <w:szCs w:val="24"/>
              </w:rPr>
            </w:pPr>
            <w:r>
              <w:rPr>
                <w:rFonts w:hint="eastAsia" w:cs="仿宋" w:asciiTheme="minorEastAsia" w:hAnsiTheme="minorEastAsia"/>
                <w:sz w:val="24"/>
                <w:szCs w:val="24"/>
              </w:rPr>
              <w:t>项目负责人等从业经历概述：</w:t>
            </w:r>
          </w:p>
          <w:p>
            <w:pPr>
              <w:pStyle w:val="46"/>
              <w:spacing w:line="360" w:lineRule="auto"/>
              <w:ind w:firstLine="0" w:firstLineChars="0"/>
              <w:rPr>
                <w:rFonts w:cs="仿宋" w:asciiTheme="minorEastAsia" w:hAnsiTheme="minorEastAsia"/>
                <w:sz w:val="24"/>
                <w:szCs w:val="24"/>
              </w:rPr>
            </w:pPr>
          </w:p>
        </w:tc>
      </w:tr>
    </w:tbl>
    <w:p>
      <w:pPr>
        <w:spacing w:line="360" w:lineRule="auto"/>
        <w:rPr>
          <w:rFonts w:cs="仿宋" w:asciiTheme="minorEastAsia" w:hAnsiTheme="minorEastAsia"/>
          <w:bCs/>
          <w:sz w:val="24"/>
          <w:szCs w:val="24"/>
          <w:lang w:bidi="ar"/>
        </w:rPr>
      </w:pPr>
      <w:r>
        <w:rPr>
          <w:rFonts w:hint="eastAsia" w:cs="仿宋" w:asciiTheme="minorEastAsia" w:hAnsiTheme="minorEastAsia"/>
          <w:sz w:val="24"/>
          <w:szCs w:val="24"/>
          <w:lang w:bidi="ar"/>
        </w:rPr>
        <w:t>附：</w:t>
      </w:r>
      <w:r>
        <w:rPr>
          <w:rFonts w:hint="eastAsia" w:cs="仿宋" w:asciiTheme="minorEastAsia" w:hAnsiTheme="minorEastAsia"/>
          <w:kern w:val="0"/>
          <w:sz w:val="24"/>
          <w:szCs w:val="24"/>
        </w:rPr>
        <w:t>身份证复印件、职称证书复印件、学历证书复印件等相关证明文件并加盖供应商公章</w:t>
      </w:r>
      <w:r>
        <w:rPr>
          <w:rFonts w:hint="eastAsia" w:cs="仿宋" w:asciiTheme="minorEastAsia" w:hAnsiTheme="minorEastAsia"/>
          <w:bCs/>
          <w:sz w:val="24"/>
          <w:szCs w:val="24"/>
          <w:lang w:bidi="ar"/>
        </w:rPr>
        <w:t>；</w:t>
      </w:r>
    </w:p>
    <w:p>
      <w:pPr>
        <w:spacing w:line="360" w:lineRule="auto"/>
        <w:ind w:firstLine="480" w:firstLineChars="200"/>
        <w:rPr>
          <w:rFonts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ind w:firstLine="3120" w:firstLineChars="1300"/>
        <w:rPr>
          <w:rFonts w:cs="仿宋" w:asciiTheme="minorEastAsia" w:hAnsiTheme="minorEastAsia"/>
          <w:b/>
          <w:sz w:val="24"/>
          <w:szCs w:val="24"/>
        </w:rPr>
      </w:pPr>
    </w:p>
    <w:p>
      <w:pPr>
        <w:spacing w:line="360" w:lineRule="auto"/>
        <w:ind w:firstLine="3120" w:firstLineChars="1300"/>
        <w:rPr>
          <w:rFonts w:cs="仿宋" w:asciiTheme="minorEastAsia" w:hAnsiTheme="minorEastAsia"/>
          <w:b/>
          <w:sz w:val="24"/>
          <w:szCs w:val="24"/>
        </w:rPr>
      </w:pPr>
    </w:p>
    <w:p>
      <w:pPr>
        <w:pStyle w:val="46"/>
        <w:spacing w:line="360" w:lineRule="auto"/>
        <w:ind w:firstLine="241"/>
        <w:rPr>
          <w:rFonts w:cs="仿宋" w:asciiTheme="minorEastAsia" w:hAnsiTheme="minorEastAsia"/>
          <w:b/>
          <w:sz w:val="24"/>
          <w:szCs w:val="24"/>
        </w:rPr>
      </w:pPr>
    </w:p>
    <w:p>
      <w:pPr>
        <w:spacing w:line="360" w:lineRule="auto"/>
        <w:rPr>
          <w:rFonts w:asciiTheme="minorEastAsia" w:hAnsiTheme="minorEastAsia"/>
          <w:sz w:val="24"/>
          <w:szCs w:val="24"/>
        </w:rPr>
      </w:pPr>
    </w:p>
    <w:p>
      <w:pPr>
        <w:spacing w:line="360" w:lineRule="auto"/>
        <w:ind w:firstLine="3120" w:firstLineChars="1300"/>
        <w:rPr>
          <w:rFonts w:cs="仿宋" w:asciiTheme="minorEastAsia" w:hAnsiTheme="minorEastAsia"/>
          <w:sz w:val="24"/>
          <w:szCs w:val="24"/>
        </w:rPr>
      </w:pPr>
      <w:r>
        <w:rPr>
          <w:rFonts w:hint="eastAsia" w:cs="仿宋" w:asciiTheme="minorEastAsia" w:hAnsiTheme="minorEastAsia"/>
          <w:b/>
          <w:sz w:val="24"/>
          <w:szCs w:val="24"/>
        </w:rPr>
        <w:t>项目成员简历表</w:t>
      </w:r>
    </w:p>
    <w:p>
      <w:pPr>
        <w:spacing w:line="360" w:lineRule="auto"/>
        <w:jc w:val="center"/>
        <w:rPr>
          <w:rFonts w:cs="仿宋" w:asciiTheme="minorEastAsia" w:hAnsiTheme="minorEastAsia"/>
          <w:b/>
          <w:bCs/>
          <w:sz w:val="24"/>
          <w:szCs w:val="24"/>
        </w:rPr>
      </w:pPr>
    </w:p>
    <w:tbl>
      <w:tblPr>
        <w:tblStyle w:val="4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854"/>
        <w:gridCol w:w="2327"/>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68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姓名</w:t>
            </w:r>
          </w:p>
        </w:tc>
        <w:tc>
          <w:tcPr>
            <w:tcW w:w="2854" w:type="dxa"/>
            <w:vAlign w:val="center"/>
          </w:tcPr>
          <w:p>
            <w:pPr>
              <w:snapToGrid w:val="0"/>
              <w:spacing w:line="360" w:lineRule="auto"/>
              <w:jc w:val="center"/>
              <w:rPr>
                <w:rFonts w:cs="仿宋" w:asciiTheme="minorEastAsia" w:hAnsiTheme="minorEastAsia"/>
                <w:sz w:val="24"/>
                <w:szCs w:val="24"/>
                <w:lang w:bidi="ar"/>
              </w:rPr>
            </w:pPr>
          </w:p>
        </w:tc>
        <w:tc>
          <w:tcPr>
            <w:tcW w:w="2327"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性别</w:t>
            </w:r>
          </w:p>
        </w:tc>
        <w:tc>
          <w:tcPr>
            <w:tcW w:w="1854" w:type="dxa"/>
            <w:vAlign w:val="center"/>
          </w:tcPr>
          <w:p>
            <w:pPr>
              <w:snapToGrid w:val="0"/>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68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职称</w:t>
            </w:r>
          </w:p>
        </w:tc>
        <w:tc>
          <w:tcPr>
            <w:tcW w:w="2854" w:type="dxa"/>
            <w:vAlign w:val="center"/>
          </w:tcPr>
          <w:p>
            <w:pPr>
              <w:snapToGrid w:val="0"/>
              <w:spacing w:line="360" w:lineRule="auto"/>
              <w:jc w:val="center"/>
              <w:rPr>
                <w:rFonts w:cs="仿宋" w:asciiTheme="minorEastAsia" w:hAnsiTheme="minorEastAsia"/>
                <w:sz w:val="24"/>
                <w:szCs w:val="24"/>
                <w:lang w:bidi="ar"/>
              </w:rPr>
            </w:pPr>
          </w:p>
        </w:tc>
        <w:tc>
          <w:tcPr>
            <w:tcW w:w="2327"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学历</w:t>
            </w:r>
          </w:p>
        </w:tc>
        <w:tc>
          <w:tcPr>
            <w:tcW w:w="1854" w:type="dxa"/>
            <w:vAlign w:val="center"/>
          </w:tcPr>
          <w:p>
            <w:pPr>
              <w:snapToGrid w:val="0"/>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68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参加工作时间</w:t>
            </w:r>
          </w:p>
        </w:tc>
        <w:tc>
          <w:tcPr>
            <w:tcW w:w="2854" w:type="dxa"/>
            <w:vAlign w:val="center"/>
          </w:tcPr>
          <w:p>
            <w:pPr>
              <w:spacing w:line="360" w:lineRule="auto"/>
              <w:jc w:val="center"/>
              <w:rPr>
                <w:rFonts w:cs="仿宋" w:asciiTheme="minorEastAsia" w:hAnsiTheme="minorEastAsia"/>
                <w:sz w:val="24"/>
                <w:szCs w:val="24"/>
                <w:lang w:bidi="ar"/>
              </w:rPr>
            </w:pPr>
          </w:p>
        </w:tc>
        <w:tc>
          <w:tcPr>
            <w:tcW w:w="2327"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从事相关工作年限</w:t>
            </w:r>
          </w:p>
        </w:tc>
        <w:tc>
          <w:tcPr>
            <w:tcW w:w="1854"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68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专业</w:t>
            </w:r>
          </w:p>
        </w:tc>
        <w:tc>
          <w:tcPr>
            <w:tcW w:w="2854" w:type="dxa"/>
            <w:vAlign w:val="center"/>
          </w:tcPr>
          <w:p>
            <w:pPr>
              <w:spacing w:line="360" w:lineRule="auto"/>
              <w:jc w:val="center"/>
              <w:rPr>
                <w:rFonts w:cs="仿宋" w:asciiTheme="minorEastAsia" w:hAnsiTheme="minorEastAsia"/>
                <w:sz w:val="24"/>
                <w:szCs w:val="24"/>
                <w:lang w:bidi="ar"/>
              </w:rPr>
            </w:pPr>
          </w:p>
        </w:tc>
        <w:tc>
          <w:tcPr>
            <w:tcW w:w="2327"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毕业学校</w:t>
            </w:r>
          </w:p>
        </w:tc>
        <w:tc>
          <w:tcPr>
            <w:tcW w:w="1854"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684"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身份证号码</w:t>
            </w:r>
          </w:p>
        </w:tc>
        <w:tc>
          <w:tcPr>
            <w:tcW w:w="2854" w:type="dxa"/>
            <w:vAlign w:val="center"/>
          </w:tcPr>
          <w:p>
            <w:pPr>
              <w:spacing w:line="360" w:lineRule="auto"/>
              <w:jc w:val="center"/>
              <w:rPr>
                <w:rFonts w:cs="仿宋" w:asciiTheme="minorEastAsia" w:hAnsiTheme="minorEastAsia"/>
                <w:sz w:val="24"/>
                <w:szCs w:val="24"/>
                <w:lang w:bidi="ar"/>
              </w:rPr>
            </w:pPr>
          </w:p>
        </w:tc>
        <w:tc>
          <w:tcPr>
            <w:tcW w:w="2327" w:type="dxa"/>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在公司担任职务</w:t>
            </w:r>
          </w:p>
        </w:tc>
        <w:tc>
          <w:tcPr>
            <w:tcW w:w="1854" w:type="dxa"/>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38" w:type="dxa"/>
            <w:gridSpan w:val="2"/>
            <w:vAlign w:val="center"/>
          </w:tcPr>
          <w:p>
            <w:pPr>
              <w:spacing w:line="360" w:lineRule="auto"/>
              <w:jc w:val="center"/>
              <w:rPr>
                <w:rFonts w:cs="仿宋" w:asciiTheme="minorEastAsia" w:hAnsiTheme="minorEastAsia"/>
                <w:sz w:val="24"/>
                <w:szCs w:val="24"/>
                <w:lang w:bidi="ar"/>
              </w:rPr>
            </w:pPr>
            <w:r>
              <w:rPr>
                <w:rFonts w:hint="eastAsia" w:cs="仿宋" w:asciiTheme="minorEastAsia" w:hAnsiTheme="minorEastAsia"/>
                <w:sz w:val="24"/>
                <w:szCs w:val="24"/>
                <w:lang w:bidi="ar"/>
              </w:rPr>
              <w:t>联系电话</w:t>
            </w:r>
          </w:p>
        </w:tc>
        <w:tc>
          <w:tcPr>
            <w:tcW w:w="4181" w:type="dxa"/>
            <w:gridSpan w:val="2"/>
            <w:vAlign w:val="center"/>
          </w:tcPr>
          <w:p>
            <w:pPr>
              <w:spacing w:line="360" w:lineRule="auto"/>
              <w:jc w:val="center"/>
              <w:rPr>
                <w:rFonts w:cs="仿宋" w:asciiTheme="minorEastAsia" w:hAnsiTheme="minorEastAsia"/>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719" w:type="dxa"/>
            <w:gridSpan w:val="4"/>
            <w:vAlign w:val="center"/>
          </w:tcPr>
          <w:p>
            <w:pPr>
              <w:spacing w:line="360" w:lineRule="auto"/>
              <w:rPr>
                <w:rFonts w:cs="仿宋" w:asciiTheme="minorEastAsia" w:hAnsiTheme="minorEastAsia"/>
                <w:sz w:val="24"/>
                <w:szCs w:val="24"/>
              </w:rPr>
            </w:pPr>
            <w:r>
              <w:rPr>
                <w:rFonts w:hint="eastAsia" w:cs="仿宋" w:asciiTheme="minorEastAsia" w:hAnsiTheme="minorEastAsia"/>
                <w:sz w:val="24"/>
                <w:szCs w:val="24"/>
              </w:rPr>
              <w:t>本人从业经历概述：</w:t>
            </w:r>
          </w:p>
          <w:p>
            <w:pPr>
              <w:pStyle w:val="46"/>
              <w:spacing w:line="360" w:lineRule="auto"/>
              <w:ind w:firstLine="0" w:firstLineChars="0"/>
              <w:rPr>
                <w:rFonts w:cs="仿宋" w:asciiTheme="minorEastAsia" w:hAnsiTheme="minorEastAsia"/>
                <w:sz w:val="24"/>
                <w:szCs w:val="24"/>
              </w:rPr>
            </w:pPr>
          </w:p>
        </w:tc>
      </w:tr>
    </w:tbl>
    <w:p>
      <w:pPr>
        <w:spacing w:line="360" w:lineRule="auto"/>
        <w:rPr>
          <w:rFonts w:cs="仿宋" w:asciiTheme="minorEastAsia" w:hAnsiTheme="minorEastAsia"/>
          <w:bCs/>
          <w:sz w:val="24"/>
          <w:szCs w:val="24"/>
          <w:lang w:bidi="ar"/>
        </w:rPr>
      </w:pPr>
      <w:r>
        <w:rPr>
          <w:rFonts w:hint="eastAsia" w:cs="仿宋" w:asciiTheme="minorEastAsia" w:hAnsiTheme="minorEastAsia"/>
          <w:sz w:val="24"/>
          <w:szCs w:val="24"/>
          <w:lang w:bidi="ar"/>
        </w:rPr>
        <w:t>附：</w:t>
      </w:r>
      <w:r>
        <w:rPr>
          <w:rFonts w:hint="eastAsia" w:cs="仿宋" w:asciiTheme="minorEastAsia" w:hAnsiTheme="minorEastAsia"/>
          <w:kern w:val="0"/>
          <w:sz w:val="24"/>
          <w:szCs w:val="24"/>
        </w:rPr>
        <w:t>身份证复印件、职称证书复印件、学历证书复印件等相关证明文件并加盖供应商公章</w:t>
      </w:r>
      <w:r>
        <w:rPr>
          <w:rFonts w:hint="eastAsia" w:cs="仿宋" w:asciiTheme="minorEastAsia" w:hAnsiTheme="minorEastAsia"/>
          <w:bCs/>
          <w:sz w:val="24"/>
          <w:szCs w:val="24"/>
          <w:lang w:bidi="ar"/>
        </w:rPr>
        <w:t>；</w:t>
      </w:r>
    </w:p>
    <w:p>
      <w:pPr>
        <w:spacing w:line="360" w:lineRule="auto"/>
        <w:ind w:firstLine="480" w:firstLineChars="200"/>
        <w:rPr>
          <w:rFonts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rPr>
          <w:rFonts w:cs="仿宋" w:asciiTheme="minorEastAsia" w:hAnsiTheme="minorEastAsia"/>
          <w:sz w:val="24"/>
          <w:szCs w:val="24"/>
        </w:rPr>
      </w:pPr>
    </w:p>
    <w:p>
      <w:pPr>
        <w:keepNext/>
        <w:keepLines/>
        <w:spacing w:line="360" w:lineRule="auto"/>
        <w:rPr>
          <w:rFonts w:asciiTheme="minorEastAsia" w:hAnsiTheme="minorEastAsia"/>
          <w:sz w:val="24"/>
          <w:szCs w:val="24"/>
        </w:rPr>
      </w:pPr>
    </w:p>
    <w:p>
      <w:pPr>
        <w:keepNext/>
        <w:keepLines/>
        <w:spacing w:line="360" w:lineRule="auto"/>
        <w:rPr>
          <w:rFonts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jc w:val="center"/>
        <w:outlineLvl w:val="2"/>
        <w:rPr>
          <w:rFonts w:cs="仿宋" w:asciiTheme="minorEastAsia" w:hAnsiTheme="minorEastAsia"/>
          <w:b/>
          <w:sz w:val="24"/>
          <w:szCs w:val="24"/>
        </w:rPr>
      </w:pPr>
      <w:bookmarkStart w:id="174" w:name="_Toc32567"/>
      <w:bookmarkStart w:id="175" w:name="_Toc29908"/>
      <w:bookmarkStart w:id="176" w:name="_Toc136609712"/>
      <w:bookmarkStart w:id="177" w:name="_Toc22554418"/>
      <w:r>
        <w:rPr>
          <w:rFonts w:hint="eastAsia" w:cs="仿宋" w:asciiTheme="minorEastAsia" w:hAnsiTheme="minorEastAsia"/>
          <w:b/>
          <w:sz w:val="24"/>
          <w:szCs w:val="24"/>
        </w:rPr>
        <w:t>（五）</w:t>
      </w:r>
      <w:bookmarkEnd w:id="174"/>
      <w:r>
        <w:rPr>
          <w:rFonts w:hint="eastAsia" w:cs="仿宋" w:asciiTheme="minorEastAsia" w:hAnsiTheme="minorEastAsia"/>
          <w:b/>
          <w:sz w:val="24"/>
          <w:szCs w:val="24"/>
        </w:rPr>
        <w:t>组织架构方案</w:t>
      </w:r>
      <w:bookmarkEnd w:id="175"/>
      <w:bookmarkEnd w:id="176"/>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供应商针对本项目有合理的项目组织架构、固定的服务班底并设置分项专一工作小组，明确对接人（包括但不限于专人专岗、运输团队、售后服务人员等）。</w:t>
      </w:r>
    </w:p>
    <w:p>
      <w:pPr>
        <w:spacing w:line="360" w:lineRule="auto"/>
        <w:rPr>
          <w:rFonts w:cs="仿宋" w:asciiTheme="minorEastAsia" w:hAnsiTheme="minorEastAsia"/>
          <w:sz w:val="24"/>
          <w:szCs w:val="24"/>
        </w:rPr>
      </w:pPr>
    </w:p>
    <w:p>
      <w:pPr>
        <w:spacing w:line="360" w:lineRule="auto"/>
        <w:rPr>
          <w:rFonts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pStyle w:val="19"/>
        <w:spacing w:line="360" w:lineRule="auto"/>
        <w:rPr>
          <w:rFonts w:asciiTheme="minorEastAsia" w:hAnsiTheme="minorEastAsia" w:eastAsiaTheme="minorEastAsia"/>
          <w:szCs w:val="24"/>
        </w:rPr>
      </w:pPr>
    </w:p>
    <w:p>
      <w:pPr>
        <w:spacing w:line="360" w:lineRule="auto"/>
        <w:rPr>
          <w:rFonts w:cs="仿宋" w:asciiTheme="minorEastAsia" w:hAnsiTheme="minorEastAsia"/>
          <w:sz w:val="24"/>
          <w:szCs w:val="24"/>
        </w:rPr>
      </w:pPr>
    </w:p>
    <w:p>
      <w:pPr>
        <w:spacing w:line="360" w:lineRule="auto"/>
        <w:rPr>
          <w:rFonts w:asciiTheme="minorEastAsia" w:hAnsiTheme="minorEastAsia"/>
          <w:sz w:val="24"/>
          <w:szCs w:val="24"/>
        </w:rPr>
      </w:pPr>
    </w:p>
    <w:p>
      <w:pPr>
        <w:pStyle w:val="3"/>
        <w:spacing w:line="360" w:lineRule="auto"/>
        <w:ind w:firstLine="480"/>
        <w:rPr>
          <w:rFonts w:cs="仿宋" w:asciiTheme="minorEastAsia" w:hAnsiTheme="minorEastAsia" w:eastAsiaTheme="minorEastAsia"/>
          <w:szCs w:val="24"/>
        </w:rPr>
      </w:pPr>
    </w:p>
    <w:p>
      <w:pPr>
        <w:spacing w:line="360" w:lineRule="auto"/>
        <w:rPr>
          <w:rFonts w:cs="仿宋" w:asciiTheme="minorEastAsia" w:hAnsiTheme="minorEastAsia"/>
          <w:sz w:val="24"/>
          <w:szCs w:val="24"/>
        </w:rPr>
      </w:pPr>
    </w:p>
    <w:p>
      <w:pPr>
        <w:spacing w:line="360" w:lineRule="auto"/>
        <w:jc w:val="center"/>
        <w:outlineLvl w:val="2"/>
        <w:rPr>
          <w:rFonts w:cs="仿宋" w:asciiTheme="minorEastAsia" w:hAnsiTheme="minorEastAsia"/>
          <w:b/>
          <w:sz w:val="24"/>
          <w:szCs w:val="24"/>
        </w:rPr>
      </w:pPr>
      <w:bookmarkStart w:id="178" w:name="_Toc3093"/>
      <w:bookmarkStart w:id="179" w:name="_Toc136609713"/>
      <w:r>
        <w:rPr>
          <w:rFonts w:hint="eastAsia" w:cs="仿宋" w:asciiTheme="minorEastAsia" w:hAnsiTheme="minorEastAsia"/>
          <w:b/>
          <w:sz w:val="24"/>
          <w:szCs w:val="24"/>
        </w:rPr>
        <w:t>（六）总体实施方案</w:t>
      </w:r>
      <w:bookmarkEnd w:id="178"/>
      <w:bookmarkEnd w:id="179"/>
    </w:p>
    <w:p>
      <w:pPr>
        <w:pStyle w:val="3"/>
        <w:spacing w:line="360" w:lineRule="auto"/>
        <w:ind w:firstLine="480"/>
        <w:rPr>
          <w:rFonts w:cs="仿宋" w:asciiTheme="minorEastAsia" w:hAnsiTheme="minorEastAsia" w:eastAsiaTheme="minorEastAsia"/>
          <w:szCs w:val="24"/>
        </w:rPr>
      </w:pPr>
      <w:r>
        <w:rPr>
          <w:rFonts w:hint="eastAsia" w:cs="仿宋" w:asciiTheme="minorEastAsia" w:hAnsiTheme="minorEastAsia" w:eastAsiaTheme="minorEastAsia"/>
          <w:szCs w:val="24"/>
        </w:rPr>
        <w:t>供应商根据本项目情况及评分细则制定针对本项目的实施方案，包括但不限于①仓储能力；②订购方案及补订安排方案；③供货及配送运输方案等</w:t>
      </w:r>
    </w:p>
    <w:p>
      <w:pPr>
        <w:pStyle w:val="19"/>
        <w:spacing w:line="360" w:lineRule="auto"/>
        <w:rPr>
          <w:rFonts w:asciiTheme="minorEastAsia" w:hAnsiTheme="minorEastAsia" w:eastAsiaTheme="minorEastAsia"/>
          <w:szCs w:val="24"/>
        </w:rPr>
      </w:pPr>
    </w:p>
    <w:p>
      <w:pPr>
        <w:pStyle w:val="3"/>
        <w:spacing w:line="360" w:lineRule="auto"/>
        <w:ind w:firstLine="480"/>
        <w:rPr>
          <w:rFonts w:asciiTheme="minorEastAsia" w:hAnsiTheme="minorEastAsia" w:eastAsiaTheme="minorEastAsia"/>
          <w:szCs w:val="24"/>
        </w:rPr>
      </w:pPr>
    </w:p>
    <w:p>
      <w:pPr>
        <w:spacing w:line="360" w:lineRule="auto"/>
        <w:rPr>
          <w:rFonts w:asciiTheme="minorEastAsia" w:hAnsiTheme="minorEastAsia"/>
          <w:sz w:val="24"/>
          <w:szCs w:val="24"/>
        </w:rPr>
      </w:pPr>
    </w:p>
    <w:bookmarkEnd w:id="177"/>
    <w:p>
      <w:pPr>
        <w:spacing w:line="360" w:lineRule="auto"/>
        <w:jc w:val="center"/>
        <w:outlineLvl w:val="2"/>
        <w:rPr>
          <w:rFonts w:cs="仿宋" w:asciiTheme="minorEastAsia" w:hAnsiTheme="minorEastAsia"/>
          <w:b/>
          <w:bCs/>
          <w:sz w:val="24"/>
          <w:szCs w:val="24"/>
        </w:rPr>
      </w:pPr>
      <w:bookmarkStart w:id="180" w:name="_Toc19116"/>
      <w:bookmarkStart w:id="181" w:name="_Toc136609714"/>
      <w:bookmarkStart w:id="182" w:name="_Toc21210"/>
      <w:r>
        <w:rPr>
          <w:rFonts w:hint="eastAsia" w:cs="仿宋" w:asciiTheme="minorEastAsia" w:hAnsiTheme="minorEastAsia"/>
          <w:b/>
          <w:sz w:val="24"/>
          <w:szCs w:val="24"/>
        </w:rPr>
        <w:t>（七）</w:t>
      </w:r>
      <w:bookmarkEnd w:id="180"/>
      <w:r>
        <w:rPr>
          <w:rFonts w:hint="eastAsia" w:cs="仿宋" w:asciiTheme="minorEastAsia" w:hAnsiTheme="minorEastAsia"/>
          <w:b/>
          <w:sz w:val="24"/>
          <w:szCs w:val="24"/>
        </w:rPr>
        <w:t>质量保证措施</w:t>
      </w:r>
      <w:bookmarkEnd w:id="181"/>
      <w:bookmarkEnd w:id="182"/>
    </w:p>
    <w:p>
      <w:pPr>
        <w:pStyle w:val="3"/>
        <w:spacing w:line="360" w:lineRule="auto"/>
        <w:ind w:firstLine="480"/>
        <w:rPr>
          <w:rFonts w:cs="仿宋" w:asciiTheme="minorEastAsia" w:hAnsiTheme="minorEastAsia" w:eastAsiaTheme="minorEastAsia"/>
          <w:szCs w:val="24"/>
        </w:rPr>
      </w:pPr>
      <w:r>
        <w:rPr>
          <w:rFonts w:hint="eastAsia" w:cs="仿宋" w:asciiTheme="minorEastAsia" w:hAnsiTheme="minorEastAsia" w:eastAsiaTheme="minorEastAsia"/>
          <w:szCs w:val="24"/>
        </w:rPr>
        <w:t>供应商根据本项目情况及评分细则制定针对本项目的质量保证措施。</w:t>
      </w:r>
    </w:p>
    <w:p>
      <w:pPr>
        <w:spacing w:line="360" w:lineRule="auto"/>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jc w:val="center"/>
        <w:rPr>
          <w:rFonts w:cs="仿宋" w:asciiTheme="minorEastAsia" w:hAnsiTheme="minorEastAsia"/>
          <w:b/>
          <w:sz w:val="24"/>
          <w:szCs w:val="24"/>
        </w:rPr>
      </w:pPr>
      <w:r>
        <w:rPr>
          <w:rFonts w:hint="eastAsia" w:cs="仿宋" w:asciiTheme="minorEastAsia" w:hAnsiTheme="minorEastAsia"/>
          <w:b/>
          <w:sz w:val="24"/>
          <w:szCs w:val="24"/>
        </w:rPr>
        <w:t>（八）工作进度控制措施</w:t>
      </w:r>
    </w:p>
    <w:p>
      <w:pPr>
        <w:spacing w:line="360" w:lineRule="auto"/>
        <w:rPr>
          <w:rFonts w:cs="仿宋" w:asciiTheme="minorEastAsia" w:hAnsiTheme="minorEastAsia"/>
          <w:sz w:val="24"/>
          <w:szCs w:val="24"/>
        </w:rPr>
      </w:pPr>
    </w:p>
    <w:p>
      <w:pPr>
        <w:spacing w:line="360" w:lineRule="auto"/>
        <w:jc w:val="center"/>
        <w:outlineLvl w:val="2"/>
        <w:rPr>
          <w:rFonts w:cs="仿宋" w:asciiTheme="minorEastAsia" w:hAnsiTheme="minorEastAsia"/>
          <w:b/>
          <w:sz w:val="24"/>
          <w:szCs w:val="24"/>
        </w:rPr>
      </w:pPr>
      <w:bookmarkStart w:id="183" w:name="_Toc136609715"/>
      <w:r>
        <w:rPr>
          <w:rFonts w:hint="eastAsia" w:cs="仿宋" w:asciiTheme="minorEastAsia" w:hAnsiTheme="minorEastAsia"/>
          <w:b/>
          <w:sz w:val="24"/>
          <w:szCs w:val="24"/>
        </w:rPr>
        <w:t>（九）应急预备方案</w:t>
      </w:r>
      <w:bookmarkEnd w:id="183"/>
    </w:p>
    <w:p>
      <w:pPr>
        <w:pStyle w:val="3"/>
        <w:spacing w:line="360" w:lineRule="auto"/>
        <w:ind w:firstLine="480"/>
        <w:rPr>
          <w:rFonts w:cs="仿宋" w:asciiTheme="minorEastAsia" w:hAnsiTheme="minorEastAsia" w:eastAsiaTheme="minorEastAsia"/>
          <w:szCs w:val="24"/>
          <w:lang w:bidi="ar"/>
        </w:rPr>
      </w:pPr>
      <w:r>
        <w:rPr>
          <w:rFonts w:hint="eastAsia" w:cs="仿宋" w:asciiTheme="minorEastAsia" w:hAnsiTheme="minorEastAsia" w:eastAsiaTheme="minorEastAsia"/>
          <w:szCs w:val="24"/>
        </w:rPr>
        <w:t>供应商根据本项目情况及评分细则制定针对本项目的应急预备方案。</w:t>
      </w:r>
    </w:p>
    <w:p>
      <w:pPr>
        <w:pStyle w:val="19"/>
        <w:spacing w:line="360" w:lineRule="auto"/>
        <w:rPr>
          <w:rFonts w:cs="仿宋" w:asciiTheme="minorEastAsia" w:hAnsiTheme="minorEastAsia" w:eastAsiaTheme="minorEastAsia"/>
          <w:szCs w:val="24"/>
        </w:rPr>
      </w:pPr>
    </w:p>
    <w:p>
      <w:pPr>
        <w:pStyle w:val="3"/>
        <w:spacing w:line="360" w:lineRule="auto"/>
        <w:ind w:firstLine="0" w:firstLineChars="0"/>
        <w:rPr>
          <w:rFonts w:cs="仿宋" w:asciiTheme="minorEastAsia" w:hAnsiTheme="minorEastAsia" w:eastAsiaTheme="minorEastAsia"/>
          <w:szCs w:val="24"/>
        </w:rPr>
      </w:pPr>
    </w:p>
    <w:p>
      <w:pPr>
        <w:spacing w:line="360" w:lineRule="auto"/>
        <w:jc w:val="center"/>
        <w:outlineLvl w:val="2"/>
        <w:rPr>
          <w:rFonts w:cs="仿宋" w:asciiTheme="minorEastAsia" w:hAnsiTheme="minorEastAsia"/>
          <w:b/>
          <w:sz w:val="24"/>
          <w:szCs w:val="24"/>
        </w:rPr>
      </w:pPr>
      <w:bookmarkStart w:id="184" w:name="_Toc27182"/>
      <w:bookmarkStart w:id="185" w:name="_Toc136609716"/>
      <w:r>
        <w:rPr>
          <w:rFonts w:hint="eastAsia" w:cs="仿宋" w:asciiTheme="minorEastAsia" w:hAnsiTheme="minorEastAsia"/>
          <w:b/>
          <w:sz w:val="24"/>
          <w:szCs w:val="24"/>
        </w:rPr>
        <w:t>（十）配套售后服务方案</w:t>
      </w:r>
      <w:bookmarkEnd w:id="184"/>
      <w:bookmarkEnd w:id="185"/>
    </w:p>
    <w:p>
      <w:pPr>
        <w:spacing w:before="33" w:line="360" w:lineRule="auto"/>
        <w:ind w:right="138"/>
        <w:rPr>
          <w:rFonts w:cs="仿宋" w:asciiTheme="minorEastAsia" w:hAnsiTheme="minorEastAsia"/>
          <w:sz w:val="24"/>
          <w:szCs w:val="24"/>
        </w:rPr>
      </w:pPr>
      <w:r>
        <w:rPr>
          <w:rFonts w:hint="eastAsia" w:cs="仿宋" w:asciiTheme="minorEastAsia" w:hAnsiTheme="minorEastAsia"/>
          <w:sz w:val="24"/>
          <w:szCs w:val="24"/>
        </w:rPr>
        <w:t>供应商根据本项目情况及评分细则制定针对本项目的售后服务方案，包括但不限于：</w:t>
      </w:r>
    </w:p>
    <w:p>
      <w:pPr>
        <w:spacing w:before="33" w:line="360" w:lineRule="auto"/>
        <w:ind w:right="138"/>
        <w:rPr>
          <w:rFonts w:cs="仿宋" w:asciiTheme="minorEastAsia" w:hAnsiTheme="minorEastAsia"/>
          <w:sz w:val="24"/>
          <w:szCs w:val="24"/>
        </w:rPr>
      </w:pPr>
      <w:r>
        <w:rPr>
          <w:rFonts w:hint="eastAsia" w:cs="仿宋" w:asciiTheme="minorEastAsia" w:hAnsiTheme="minorEastAsia"/>
          <w:sz w:val="24"/>
          <w:szCs w:val="24"/>
        </w:rPr>
        <w:t>1、售后服务机构情况；</w:t>
      </w:r>
    </w:p>
    <w:p>
      <w:pPr>
        <w:spacing w:before="33" w:line="360" w:lineRule="auto"/>
        <w:ind w:right="138"/>
        <w:rPr>
          <w:rFonts w:cs="仿宋" w:asciiTheme="minorEastAsia" w:hAnsiTheme="minorEastAsia"/>
          <w:sz w:val="24"/>
          <w:szCs w:val="24"/>
        </w:rPr>
      </w:pPr>
      <w:r>
        <w:rPr>
          <w:rFonts w:hint="eastAsia" w:cs="仿宋" w:asciiTheme="minorEastAsia" w:hAnsiTheme="minorEastAsia"/>
          <w:sz w:val="24"/>
          <w:szCs w:val="24"/>
        </w:rPr>
        <w:t>2、售后服务人员配置；</w:t>
      </w:r>
    </w:p>
    <w:p>
      <w:pPr>
        <w:spacing w:before="33" w:line="360" w:lineRule="auto"/>
        <w:ind w:right="138"/>
        <w:rPr>
          <w:rFonts w:cs="仿宋" w:asciiTheme="minorEastAsia" w:hAnsiTheme="minorEastAsia"/>
          <w:sz w:val="24"/>
          <w:szCs w:val="24"/>
        </w:rPr>
      </w:pPr>
      <w:r>
        <w:rPr>
          <w:rFonts w:hint="eastAsia" w:cs="仿宋" w:asciiTheme="minorEastAsia" w:hAnsiTheme="minorEastAsia"/>
          <w:sz w:val="24"/>
          <w:szCs w:val="24"/>
        </w:rPr>
        <w:t>3、退换货方案；</w:t>
      </w:r>
    </w:p>
    <w:p>
      <w:pPr>
        <w:spacing w:before="33" w:line="360" w:lineRule="auto"/>
        <w:ind w:right="138"/>
        <w:rPr>
          <w:rFonts w:cs="仿宋" w:asciiTheme="minorEastAsia" w:hAnsiTheme="minorEastAsia"/>
          <w:sz w:val="24"/>
          <w:szCs w:val="24"/>
        </w:rPr>
      </w:pPr>
      <w:r>
        <w:rPr>
          <w:rFonts w:hint="eastAsia" w:cs="仿宋" w:asciiTheme="minorEastAsia" w:hAnsiTheme="minorEastAsia"/>
          <w:sz w:val="24"/>
          <w:szCs w:val="24"/>
        </w:rPr>
        <w:t>4、优惠措施等内容；</w:t>
      </w:r>
    </w:p>
    <w:p>
      <w:pPr>
        <w:spacing w:before="33" w:line="360" w:lineRule="auto"/>
        <w:ind w:right="138"/>
        <w:rPr>
          <w:rFonts w:cs="仿宋" w:asciiTheme="minorEastAsia" w:hAnsiTheme="minorEastAsia" w:eastAsiaTheme="minorEastAsia"/>
          <w:szCs w:val="24"/>
          <w:lang w:bidi="ar"/>
        </w:rPr>
      </w:pPr>
      <w:r>
        <w:rPr>
          <w:rFonts w:hint="eastAsia" w:cs="仿宋" w:asciiTheme="minorEastAsia" w:hAnsiTheme="minorEastAsia"/>
          <w:sz w:val="24"/>
          <w:szCs w:val="24"/>
        </w:rPr>
        <w:t>5、售后服务时间响应时间。</w:t>
      </w:r>
    </w:p>
    <w:p>
      <w:pPr>
        <w:pStyle w:val="3"/>
        <w:spacing w:line="360" w:lineRule="auto"/>
        <w:ind w:firstLine="480"/>
        <w:rPr>
          <w:rFonts w:cs="仿宋" w:asciiTheme="minorEastAsia" w:hAnsiTheme="minorEastAsia" w:eastAsiaTheme="minorEastAsia"/>
          <w:szCs w:val="24"/>
          <w:lang w:bidi="ar"/>
        </w:rPr>
      </w:pPr>
    </w:p>
    <w:p>
      <w:pPr>
        <w:spacing w:line="360" w:lineRule="auto"/>
        <w:rPr>
          <w:rFonts w:cs="仿宋" w:asciiTheme="minorEastAsia" w:hAnsiTheme="minorEastAsia"/>
          <w:sz w:val="24"/>
          <w:szCs w:val="24"/>
          <w:lang w:bidi="ar"/>
        </w:rPr>
      </w:pPr>
    </w:p>
    <w:p>
      <w:pPr>
        <w:spacing w:line="360" w:lineRule="auto"/>
        <w:rPr>
          <w:rFonts w:cs="仿宋" w:asciiTheme="minorEastAsia" w:hAnsiTheme="minorEastAsia"/>
          <w:sz w:val="24"/>
          <w:szCs w:val="24"/>
          <w:lang w:bidi="ar"/>
        </w:rPr>
      </w:pPr>
    </w:p>
    <w:p>
      <w:pPr>
        <w:spacing w:line="360" w:lineRule="auto"/>
        <w:rPr>
          <w:rFonts w:cs="仿宋" w:asciiTheme="minorEastAsia" w:hAnsiTheme="minorEastAsia"/>
          <w:sz w:val="24"/>
          <w:szCs w:val="24"/>
          <w:lang w:bidi="ar"/>
        </w:rPr>
      </w:pPr>
    </w:p>
    <w:p>
      <w:pPr>
        <w:spacing w:line="360" w:lineRule="auto"/>
        <w:rPr>
          <w:rFonts w:cs="仿宋" w:asciiTheme="minorEastAsia" w:hAnsiTheme="minorEastAsia"/>
          <w:sz w:val="24"/>
          <w:szCs w:val="24"/>
          <w:lang w:bidi="ar"/>
        </w:rPr>
      </w:pPr>
    </w:p>
    <w:p>
      <w:pPr>
        <w:pStyle w:val="3"/>
        <w:spacing w:line="360" w:lineRule="auto"/>
        <w:ind w:firstLine="480"/>
        <w:rPr>
          <w:rFonts w:cs="仿宋" w:asciiTheme="minorEastAsia" w:hAnsiTheme="minorEastAsia" w:eastAsiaTheme="minorEastAsia"/>
          <w:szCs w:val="24"/>
          <w:lang w:bidi="ar"/>
        </w:rPr>
      </w:pPr>
    </w:p>
    <w:p>
      <w:pPr>
        <w:pStyle w:val="3"/>
        <w:spacing w:line="360" w:lineRule="auto"/>
        <w:ind w:firstLine="480"/>
        <w:rPr>
          <w:rFonts w:cs="仿宋" w:asciiTheme="minorEastAsia" w:hAnsiTheme="minorEastAsia" w:eastAsiaTheme="minorEastAsia"/>
          <w:szCs w:val="24"/>
          <w:lang w:bidi="ar"/>
        </w:rPr>
      </w:pPr>
    </w:p>
    <w:p>
      <w:pPr>
        <w:pStyle w:val="3"/>
        <w:spacing w:line="360" w:lineRule="auto"/>
        <w:ind w:firstLine="480"/>
        <w:rPr>
          <w:rFonts w:cs="仿宋" w:asciiTheme="minorEastAsia" w:hAnsiTheme="minorEastAsia" w:eastAsiaTheme="minorEastAsia"/>
          <w:szCs w:val="24"/>
          <w:lang w:bidi="ar"/>
        </w:rPr>
      </w:pPr>
    </w:p>
    <w:p>
      <w:pPr>
        <w:pStyle w:val="3"/>
        <w:spacing w:line="360" w:lineRule="auto"/>
        <w:ind w:firstLine="480"/>
        <w:rPr>
          <w:rFonts w:cs="仿宋" w:asciiTheme="minorEastAsia" w:hAnsiTheme="minorEastAsia" w:eastAsiaTheme="minorEastAsia"/>
          <w:szCs w:val="24"/>
          <w:lang w:bidi="ar"/>
        </w:rPr>
      </w:pPr>
    </w:p>
    <w:p>
      <w:pPr>
        <w:spacing w:line="360" w:lineRule="auto"/>
        <w:ind w:firstLine="480" w:firstLineChars="200"/>
        <w:rPr>
          <w:rFonts w:cs="仿宋" w:asciiTheme="minorEastAsia" w:hAnsiTheme="minorEastAsia"/>
          <w:sz w:val="24"/>
          <w:szCs w:val="24"/>
        </w:rPr>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60" w:lineRule="auto"/>
        <w:jc w:val="center"/>
        <w:outlineLvl w:val="2"/>
        <w:rPr>
          <w:rFonts w:cs="仿宋" w:asciiTheme="minorEastAsia" w:hAnsiTheme="minorEastAsia"/>
          <w:b/>
          <w:sz w:val="24"/>
          <w:szCs w:val="24"/>
        </w:rPr>
      </w:pPr>
      <w:bookmarkStart w:id="186" w:name="_Toc24900"/>
      <w:bookmarkStart w:id="187" w:name="_Toc22758"/>
      <w:bookmarkStart w:id="188" w:name="_Toc6047"/>
      <w:bookmarkStart w:id="189" w:name="_Toc136609717"/>
      <w:bookmarkStart w:id="190" w:name="_Toc18947"/>
      <w:bookmarkStart w:id="191" w:name="_Toc4701"/>
      <w:bookmarkStart w:id="192" w:name="_Toc22554422"/>
      <w:bookmarkStart w:id="193" w:name="_Toc3891661"/>
      <w:bookmarkStart w:id="194" w:name="_Toc2340579"/>
      <w:r>
        <w:rPr>
          <w:rFonts w:hint="eastAsia" w:cs="仿宋" w:asciiTheme="minorEastAsia" w:hAnsiTheme="minorEastAsia"/>
          <w:b/>
          <w:sz w:val="24"/>
          <w:szCs w:val="24"/>
        </w:rPr>
        <w:t>（十一）商务条款偏离表</w:t>
      </w:r>
      <w:bookmarkEnd w:id="186"/>
      <w:bookmarkEnd w:id="187"/>
      <w:bookmarkEnd w:id="188"/>
      <w:bookmarkEnd w:id="189"/>
      <w:bookmarkEnd w:id="190"/>
      <w:bookmarkEnd w:id="191"/>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lang w:bidi="ar"/>
        </w:rPr>
        <w:t>项目名称：</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lang w:bidi="ar"/>
        </w:rPr>
        <w:t xml:space="preserve">项目编号: </w:t>
      </w:r>
    </w:p>
    <w:tbl>
      <w:tblPr>
        <w:tblStyle w:val="48"/>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477"/>
        <w:gridCol w:w="1509"/>
        <w:gridCol w:w="1048"/>
        <w:gridCol w:w="1968"/>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序号</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谈判文件要求</w:t>
            </w:r>
          </w:p>
        </w:tc>
        <w:tc>
          <w:tcPr>
            <w:tcW w:w="15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谈判响应</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偏离</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说明</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47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50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04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9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96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bl>
    <w:p>
      <w:pPr>
        <w:spacing w:line="360" w:lineRule="auto"/>
        <w:ind w:firstLine="480" w:firstLineChars="200"/>
        <w:rPr>
          <w:rFonts w:cs="仿宋" w:asciiTheme="minorEastAsia" w:hAnsiTheme="minorEastAsia"/>
          <w:sz w:val="24"/>
          <w:szCs w:val="24"/>
          <w:lang w:bidi="ar"/>
        </w:rPr>
      </w:pPr>
      <w:r>
        <w:rPr>
          <w:rFonts w:hint="eastAsia" w:ascii="宋体" w:hAnsi="宋体"/>
          <w:sz w:val="24"/>
          <w:szCs w:val="24"/>
        </w:rPr>
        <w:t>备注：供应商在上表中说明的内容，至少应包括对本文件《投标须知前附表》提出的“供货安装周期”、“交货地点”、“质保期”、“付款方式”、“投标有效期”五项实质性商务内容逐条响应，否则，投标无效。</w:t>
      </w:r>
    </w:p>
    <w:p>
      <w:pPr>
        <w:spacing w:line="360" w:lineRule="auto"/>
        <w:rPr>
          <w:rFonts w:asciiTheme="minorEastAsia" w:hAnsiTheme="minorEastAsia"/>
          <w:sz w:val="24"/>
          <w:szCs w:val="24"/>
        </w:rPr>
      </w:pPr>
    </w:p>
    <w:p>
      <w:pPr>
        <w:pStyle w:val="46"/>
        <w:spacing w:after="0" w:line="360" w:lineRule="auto"/>
        <w:ind w:firstLine="240"/>
        <w:rPr>
          <w:rFonts w:cs="仿宋" w:asciiTheme="minorEastAsia" w:hAnsiTheme="minorEastAsia"/>
          <w:sz w:val="24"/>
          <w:szCs w:val="24"/>
        </w:rPr>
      </w:pPr>
    </w:p>
    <w:p>
      <w:pPr>
        <w:pStyle w:val="46"/>
        <w:spacing w:after="0" w:line="360" w:lineRule="auto"/>
        <w:ind w:firstLine="240"/>
        <w:rPr>
          <w:rFonts w:cs="仿宋" w:asciiTheme="minorEastAsia" w:hAnsiTheme="minorEastAsia"/>
          <w:sz w:val="24"/>
          <w:szCs w:val="24"/>
        </w:rPr>
      </w:pPr>
    </w:p>
    <w:p>
      <w:pPr>
        <w:spacing w:line="360" w:lineRule="auto"/>
        <w:rPr>
          <w:rFonts w:cs="仿宋" w:asciiTheme="minorEastAsia" w:hAnsiTheme="minorEastAsia"/>
          <w:sz w:val="24"/>
          <w:szCs w:val="24"/>
        </w:rPr>
      </w:pPr>
    </w:p>
    <w:p>
      <w:pPr>
        <w:spacing w:line="360" w:lineRule="auto"/>
        <w:rPr>
          <w:rFonts w:asciiTheme="minorEastAsia" w:hAnsiTheme="minorEastAsia"/>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rPr>
          <w:rFonts w:asciiTheme="minorEastAsia" w:hAnsiTheme="minorEastAsia"/>
          <w:sz w:val="24"/>
          <w:szCs w:val="24"/>
        </w:rPr>
      </w:pPr>
    </w:p>
    <w:p>
      <w:pPr>
        <w:spacing w:line="360" w:lineRule="auto"/>
        <w:rPr>
          <w:rFonts w:asciiTheme="minorEastAsia" w:hAnsiTheme="minorEastAsia"/>
          <w:sz w:val="24"/>
          <w:szCs w:val="24"/>
        </w:rPr>
      </w:pPr>
    </w:p>
    <w:p>
      <w:pPr>
        <w:pStyle w:val="19"/>
      </w:pPr>
    </w:p>
    <w:p>
      <w:pPr>
        <w:widowControl/>
        <w:jc w:val="left"/>
        <w:rPr>
          <w:rFonts w:ascii="Calibri" w:hAnsi="Calibri" w:eastAsia="宋体" w:cs="Times New Roman"/>
          <w:kern w:val="0"/>
          <w:sz w:val="24"/>
          <w:szCs w:val="20"/>
        </w:rPr>
      </w:pPr>
      <w:r>
        <w:br w:type="page"/>
      </w:r>
    </w:p>
    <w:p>
      <w:pPr>
        <w:spacing w:line="360" w:lineRule="auto"/>
        <w:jc w:val="center"/>
        <w:outlineLvl w:val="2"/>
        <w:rPr>
          <w:rFonts w:cs="仿宋" w:asciiTheme="minorEastAsia" w:hAnsiTheme="minorEastAsia"/>
          <w:b/>
          <w:sz w:val="24"/>
          <w:szCs w:val="24"/>
        </w:rPr>
      </w:pPr>
      <w:bookmarkStart w:id="195" w:name="_Toc27794"/>
      <w:bookmarkStart w:id="196" w:name="_Toc28561"/>
      <w:bookmarkStart w:id="197" w:name="_Toc14808"/>
      <w:bookmarkStart w:id="198" w:name="_Toc9472"/>
      <w:bookmarkStart w:id="199" w:name="_Toc136609718"/>
      <w:bookmarkStart w:id="200" w:name="_Toc4026"/>
      <w:r>
        <w:rPr>
          <w:rFonts w:hint="eastAsia" w:cs="仿宋" w:asciiTheme="minorEastAsia" w:hAnsiTheme="minorEastAsia"/>
          <w:b/>
          <w:sz w:val="24"/>
          <w:szCs w:val="24"/>
        </w:rPr>
        <w:t>（十二）</w:t>
      </w:r>
      <w:bookmarkEnd w:id="192"/>
      <w:r>
        <w:rPr>
          <w:rFonts w:hint="eastAsia" w:cs="仿宋" w:asciiTheme="minorEastAsia" w:hAnsiTheme="minorEastAsia"/>
          <w:b/>
          <w:sz w:val="24"/>
          <w:szCs w:val="24"/>
        </w:rPr>
        <w:t>技术（服务）条款偏离表</w:t>
      </w:r>
      <w:bookmarkEnd w:id="195"/>
      <w:bookmarkEnd w:id="196"/>
      <w:bookmarkEnd w:id="197"/>
      <w:bookmarkEnd w:id="198"/>
      <w:bookmarkEnd w:id="199"/>
      <w:bookmarkEnd w:id="200"/>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lang w:bidi="ar"/>
        </w:rPr>
        <w:t>项目名称：</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lang w:bidi="ar"/>
        </w:rPr>
        <w:t xml:space="preserve">项目编号: </w:t>
      </w:r>
    </w:p>
    <w:tbl>
      <w:tblPr>
        <w:tblStyle w:val="48"/>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786"/>
        <w:gridCol w:w="1825"/>
        <w:gridCol w:w="1268"/>
        <w:gridCol w:w="238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序号</w:t>
            </w:r>
          </w:p>
        </w:tc>
        <w:tc>
          <w:tcPr>
            <w:tcW w:w="17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采购文件要求</w:t>
            </w:r>
          </w:p>
        </w:tc>
        <w:tc>
          <w:tcPr>
            <w:tcW w:w="18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投标响应</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偏离</w:t>
            </w:r>
          </w:p>
        </w:tc>
        <w:tc>
          <w:tcPr>
            <w:tcW w:w="23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说明</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cs="仿宋" w:asciiTheme="minorEastAsia" w:hAnsiTheme="minorEastAsia"/>
                <w:sz w:val="24"/>
                <w:szCs w:val="24"/>
              </w:rPr>
            </w:pPr>
            <w:r>
              <w:rPr>
                <w:rFonts w:hint="eastAsia" w:cs="仿宋" w:asciiTheme="minorEastAsia" w:hAnsiTheme="minorEastAsia"/>
                <w:sz w:val="24"/>
                <w:szCs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仿宋" w:asciiTheme="minorEastAsia" w:hAnsiTheme="minorEastAsia"/>
                <w:sz w:val="24"/>
                <w:szCs w:val="24"/>
              </w:rPr>
            </w:pPr>
            <w:r>
              <w:rPr>
                <w:rFonts w:hint="eastAsia" w:cs="仿宋" w:asciiTheme="minorEastAsia" w:hAnsiTheme="minorEastAsia"/>
                <w:sz w:val="24"/>
                <w:szCs w:val="24"/>
              </w:rPr>
              <w:t>1</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仿宋" w:asciiTheme="minorEastAsia" w:hAnsiTheme="minorEastAsia"/>
                <w:sz w:val="24"/>
                <w:szCs w:val="24"/>
              </w:rPr>
            </w:pPr>
            <w:r>
              <w:rPr>
                <w:rFonts w:hint="eastAsia" w:cs="仿宋" w:asciiTheme="minorEastAsia" w:hAnsiTheme="minorEastAsia"/>
                <w:sz w:val="24"/>
                <w:szCs w:val="24"/>
              </w:rPr>
              <w:t>2</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仿宋" w:asciiTheme="minorEastAsia" w:hAnsiTheme="minorEastAsia"/>
                <w:sz w:val="24"/>
                <w:szCs w:val="24"/>
              </w:rPr>
            </w:pPr>
            <w:r>
              <w:rPr>
                <w:rFonts w:hint="eastAsia" w:cs="仿宋" w:asciiTheme="minorEastAsia" w:hAnsiTheme="minorEastAsia"/>
                <w:sz w:val="24"/>
                <w:szCs w:val="24"/>
              </w:rPr>
              <w:t>3</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仿宋" w:asciiTheme="minorEastAsia" w:hAnsiTheme="minorEastAsia"/>
                <w:sz w:val="24"/>
                <w:szCs w:val="24"/>
              </w:rPr>
            </w:pPr>
            <w:r>
              <w:rPr>
                <w:rFonts w:hint="eastAsia" w:cs="仿宋" w:asciiTheme="minorEastAsia" w:hAnsiTheme="minorEastAsia"/>
                <w:sz w:val="24"/>
                <w:szCs w:val="24"/>
              </w:rPr>
              <w:t>4</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cs="仿宋" w:asciiTheme="minorEastAsia" w:hAnsiTheme="minorEastAsia"/>
                <w:sz w:val="24"/>
                <w:szCs w:val="24"/>
              </w:rPr>
            </w:pPr>
            <w:r>
              <w:rPr>
                <w:rFonts w:hint="eastAsia" w:cs="仿宋" w:asciiTheme="minorEastAsia" w:hAnsiTheme="minorEastAsia"/>
                <w:sz w:val="24"/>
                <w:szCs w:val="24"/>
              </w:rPr>
              <w:t>5</w:t>
            </w:r>
          </w:p>
        </w:tc>
        <w:tc>
          <w:tcPr>
            <w:tcW w:w="1786"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825"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238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c>
          <w:tcPr>
            <w:tcW w:w="124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ind w:firstLine="480" w:firstLineChars="200"/>
              <w:rPr>
                <w:rFonts w:cs="仿宋" w:asciiTheme="minorEastAsia" w:hAnsiTheme="minorEastAsia"/>
                <w:sz w:val="24"/>
                <w:szCs w:val="24"/>
              </w:rPr>
            </w:pPr>
          </w:p>
        </w:tc>
      </w:tr>
    </w:tbl>
    <w:p>
      <w:pPr>
        <w:spacing w:line="360" w:lineRule="auto"/>
        <w:ind w:firstLine="475" w:firstLineChars="198"/>
        <w:jc w:val="left"/>
        <w:rPr>
          <w:rFonts w:ascii="宋体" w:hAnsi="宋体"/>
          <w:sz w:val="24"/>
          <w:szCs w:val="24"/>
        </w:rPr>
      </w:pPr>
      <w:r>
        <w:rPr>
          <w:rFonts w:hint="eastAsia" w:ascii="宋体" w:hAnsi="宋体"/>
          <w:sz w:val="24"/>
          <w:szCs w:val="24"/>
        </w:rPr>
        <w:t>备注：</w:t>
      </w:r>
      <w:r>
        <w:rPr>
          <w:rFonts w:hint="eastAsia" w:ascii="宋体" w:hAnsi="宋体" w:cs="Arial"/>
          <w:kern w:val="0"/>
          <w:sz w:val="24"/>
          <w:szCs w:val="24"/>
        </w:rPr>
        <w:t>供应商</w:t>
      </w:r>
      <w:r>
        <w:rPr>
          <w:rFonts w:hint="eastAsia" w:ascii="宋体" w:hAnsi="宋体"/>
          <w:sz w:val="24"/>
          <w:szCs w:val="24"/>
        </w:rPr>
        <w:t>提供的</w:t>
      </w:r>
      <w:r>
        <w:rPr>
          <w:rFonts w:hint="eastAsia" w:ascii="宋体" w:hAnsi="宋体" w:cs="宋体"/>
          <w:sz w:val="24"/>
          <w:szCs w:val="24"/>
        </w:rPr>
        <w:t>技术条款偏离表须</w:t>
      </w:r>
      <w:r>
        <w:rPr>
          <w:rFonts w:hint="eastAsia" w:ascii="宋体" w:hAnsi="宋体"/>
          <w:sz w:val="24"/>
          <w:szCs w:val="24"/>
        </w:rPr>
        <w:t>对照采购文件“第四章</w:t>
      </w:r>
      <w:r>
        <w:rPr>
          <w:rFonts w:hint="eastAsia" w:cs="宋体" w:asciiTheme="minorEastAsia" w:hAnsiTheme="minorEastAsia"/>
          <w:sz w:val="24"/>
          <w:szCs w:val="24"/>
        </w:rPr>
        <w:t>采购标准和要求</w:t>
      </w:r>
      <w:r>
        <w:rPr>
          <w:rFonts w:hint="eastAsia" w:ascii="宋体" w:hAnsi="宋体"/>
          <w:sz w:val="24"/>
          <w:szCs w:val="24"/>
        </w:rPr>
        <w:t xml:space="preserve">”中的所有条款逐条列明是否响应及响应内容，产品技术参数响应有差异的，则在此表中列明实际响应的内容提要并加以说明，以便查对。本表包括所有的技术响应及差异。无差异说明表示完全响应。 </w:t>
      </w:r>
    </w:p>
    <w:p>
      <w:pPr>
        <w:spacing w:line="360" w:lineRule="auto"/>
        <w:ind w:firstLine="480" w:firstLineChars="200"/>
        <w:rPr>
          <w:rFonts w:asciiTheme="minorEastAsia" w:hAnsiTheme="minorEastAsia"/>
          <w:kern w:val="0"/>
          <w:sz w:val="24"/>
          <w:szCs w:val="24"/>
        </w:rPr>
      </w:pPr>
      <w:r>
        <w:rPr>
          <w:rFonts w:hint="eastAsia" w:asciiTheme="minorEastAsia" w:hAnsiTheme="minorEastAsia"/>
          <w:kern w:val="0"/>
          <w:sz w:val="24"/>
          <w:szCs w:val="24"/>
        </w:rPr>
        <w:t>供应商对采购技术参数中标注</w:t>
      </w:r>
      <w:r>
        <w:rPr>
          <w:rFonts w:hint="eastAsia" w:cs="Arial" w:asciiTheme="minorEastAsia" w:hAnsiTheme="minorEastAsia"/>
          <w:kern w:val="0"/>
          <w:sz w:val="24"/>
          <w:szCs w:val="24"/>
        </w:rPr>
        <w:t>★</w:t>
      </w:r>
      <w:r>
        <w:rPr>
          <w:rFonts w:hint="eastAsia" w:asciiTheme="minorEastAsia" w:hAnsiTheme="minorEastAsia"/>
          <w:kern w:val="0"/>
          <w:sz w:val="24"/>
          <w:szCs w:val="24"/>
        </w:rPr>
        <w:t>号的技术参数，应在技术条款偏离表中的注明页码；未提供技术支持证明资料，或参数与其提供的技术支持证明资料不一致的，或未按要求注明页码的，均视为负偏离。技术支持证明资料非具体指明之外包含资料、截图、证书、检验检测报告、技术白皮书等各类证明资料。</w:t>
      </w:r>
    </w:p>
    <w:p>
      <w:pPr>
        <w:spacing w:line="360" w:lineRule="auto"/>
        <w:ind w:firstLine="480" w:firstLineChars="200"/>
        <w:rPr>
          <w:rFonts w:cs="仿宋" w:asciiTheme="minorEastAsia" w:hAnsiTheme="minorEastAsia"/>
          <w:sz w:val="24"/>
          <w:szCs w:val="24"/>
        </w:rPr>
      </w:pPr>
    </w:p>
    <w:p>
      <w:pPr>
        <w:pStyle w:val="46"/>
        <w:spacing w:after="0" w:line="360" w:lineRule="auto"/>
        <w:ind w:firstLine="0" w:firstLineChars="0"/>
        <w:rPr>
          <w:rFonts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供应商名称（盖章）：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法定代表人或授权代理人(签字或盖章)：</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        年    月    日</w:t>
      </w:r>
    </w:p>
    <w:p>
      <w:pPr>
        <w:pStyle w:val="19"/>
        <w:spacing w:line="360" w:lineRule="auto"/>
        <w:rPr>
          <w:rFonts w:cs="仿宋" w:asciiTheme="minorEastAsia" w:hAnsiTheme="minorEastAsia" w:eastAsiaTheme="minorEastAsia"/>
          <w:szCs w:val="24"/>
        </w:rPr>
      </w:pPr>
    </w:p>
    <w:p>
      <w:pPr>
        <w:pStyle w:val="29"/>
        <w:spacing w:line="360" w:lineRule="auto"/>
        <w:ind w:left="900" w:hanging="480"/>
        <w:rPr>
          <w:rFonts w:cs="仿宋" w:asciiTheme="minorEastAsia" w:hAnsiTheme="minorEastAsia" w:eastAsiaTheme="minorEastAsia"/>
          <w:sz w:val="24"/>
          <w:szCs w:val="24"/>
        </w:rPr>
      </w:pPr>
    </w:p>
    <w:p>
      <w:pPr>
        <w:pStyle w:val="15"/>
        <w:spacing w:line="360" w:lineRule="auto"/>
        <w:ind w:left="1680"/>
        <w:rPr>
          <w:rFonts w:asciiTheme="minorEastAsia" w:hAnsiTheme="minorEastAsia"/>
          <w:sz w:val="24"/>
          <w:szCs w:val="24"/>
        </w:rPr>
      </w:pP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93"/>
    <w:bookmarkEnd w:id="194"/>
    <w:p>
      <w:pPr>
        <w:spacing w:line="360" w:lineRule="auto"/>
        <w:jc w:val="center"/>
        <w:outlineLvl w:val="2"/>
        <w:rPr>
          <w:rFonts w:cs="仿宋" w:asciiTheme="minorEastAsia" w:hAnsiTheme="minorEastAsia"/>
          <w:b/>
          <w:sz w:val="24"/>
          <w:szCs w:val="24"/>
        </w:rPr>
      </w:pPr>
      <w:bookmarkStart w:id="201" w:name="_Toc136609719"/>
      <w:bookmarkStart w:id="202" w:name="_Toc16918"/>
      <w:r>
        <w:rPr>
          <w:rFonts w:hint="eastAsia" w:cs="仿宋" w:asciiTheme="minorEastAsia" w:hAnsiTheme="minorEastAsia"/>
          <w:b/>
          <w:sz w:val="24"/>
          <w:szCs w:val="24"/>
        </w:rPr>
        <w:t>（十三）供应商企业类型声明函</w:t>
      </w:r>
      <w:bookmarkEnd w:id="201"/>
      <w:bookmarkEnd w:id="202"/>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b/>
          <w:sz w:val="24"/>
          <w:szCs w:val="24"/>
        </w:rPr>
        <w:t>13-1、中小微企业声明函</w:t>
      </w:r>
    </w:p>
    <w:p>
      <w:pPr>
        <w:pStyle w:val="46"/>
        <w:tabs>
          <w:tab w:val="left" w:pos="630"/>
        </w:tabs>
        <w:spacing w:line="360" w:lineRule="auto"/>
        <w:ind w:firstLine="240"/>
        <w:jc w:val="center"/>
        <w:rPr>
          <w:rFonts w:cs="仿宋" w:asciiTheme="minorEastAsia" w:hAnsiTheme="minorEastAsia"/>
          <w:sz w:val="24"/>
          <w:szCs w:val="24"/>
        </w:rPr>
      </w:pPr>
      <w:r>
        <w:rPr>
          <w:rFonts w:hint="eastAsia" w:cs="仿宋" w:asciiTheme="minorEastAsia" w:hAnsiTheme="minorEastAsia"/>
          <w:sz w:val="24"/>
          <w:szCs w:val="24"/>
        </w:rPr>
        <w:t>《</w:t>
      </w:r>
      <w:r>
        <w:rPr>
          <w:rFonts w:cs="仿宋" w:asciiTheme="minorEastAsia" w:hAnsiTheme="minorEastAsia"/>
          <w:sz w:val="24"/>
          <w:szCs w:val="24"/>
        </w:rPr>
        <w:t>中小企业声明函</w:t>
      </w:r>
      <w:r>
        <w:rPr>
          <w:rFonts w:hint="eastAsia" w:cs="仿宋" w:asciiTheme="minorEastAsia" w:hAnsiTheme="minorEastAsia"/>
          <w:sz w:val="24"/>
          <w:szCs w:val="24"/>
        </w:rPr>
        <w:t>》</w:t>
      </w:r>
      <w:r>
        <w:rPr>
          <w:rFonts w:cs="仿宋" w:asciiTheme="minorEastAsia" w:hAnsiTheme="minorEastAsia"/>
          <w:sz w:val="24"/>
          <w:szCs w:val="24"/>
        </w:rPr>
        <w:t>（货物）</w:t>
      </w:r>
    </w:p>
    <w:p>
      <w:pPr>
        <w:pStyle w:val="46"/>
        <w:tabs>
          <w:tab w:val="left" w:pos="630"/>
        </w:tabs>
        <w:spacing w:line="360" w:lineRule="auto"/>
        <w:ind w:firstLine="720" w:firstLineChars="300"/>
        <w:rPr>
          <w:rFonts w:cs="仿宋" w:asciiTheme="minorEastAsia" w:hAnsiTheme="minorEastAsia"/>
          <w:sz w:val="24"/>
          <w:szCs w:val="24"/>
        </w:rPr>
      </w:pPr>
      <w:r>
        <w:rPr>
          <w:rFonts w:cs="仿宋" w:asciiTheme="minorEastAsia" w:hAnsiTheme="minorEastAsia"/>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46"/>
        <w:tabs>
          <w:tab w:val="left" w:pos="630"/>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（标的名称）</w:t>
      </w:r>
      <w:r>
        <w:rPr>
          <w:rFonts w:cs="仿宋" w:asciiTheme="minorEastAsia" w:hAnsiTheme="minorEastAsia"/>
          <w:sz w:val="24"/>
          <w:szCs w:val="24"/>
        </w:rPr>
        <w:t>，属于</w:t>
      </w:r>
      <w:r>
        <w:rPr>
          <w:rFonts w:hint="eastAsia" w:cs="仿宋" w:asciiTheme="minorEastAsia" w:hAnsiTheme="minorEastAsia"/>
          <w:sz w:val="24"/>
          <w:szCs w:val="24"/>
          <w:u w:val="single"/>
        </w:rPr>
        <w:t xml:space="preserve">  </w:t>
      </w:r>
      <w:r>
        <w:rPr>
          <w:rFonts w:hint="eastAsia" w:ascii="宋体" w:hAnsi="宋体" w:cs="宋体"/>
          <w:b/>
          <w:kern w:val="0"/>
          <w:sz w:val="24"/>
          <w:szCs w:val="24"/>
          <w:u w:val="single"/>
        </w:rPr>
        <w:t xml:space="preserve">工业制造业 </w:t>
      </w:r>
      <w:r>
        <w:rPr>
          <w:rFonts w:cs="仿宋" w:asciiTheme="minorEastAsia" w:hAnsiTheme="minorEastAsia"/>
          <w:sz w:val="24"/>
          <w:szCs w:val="24"/>
        </w:rPr>
        <w:t>；制造商为</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（企业名称）</w:t>
      </w:r>
      <w:r>
        <w:rPr>
          <w:rFonts w:cs="仿宋" w:asciiTheme="minorEastAsia" w:hAnsiTheme="minorEastAsia"/>
          <w:sz w:val="24"/>
          <w:szCs w:val="24"/>
        </w:rPr>
        <w:t>，从业人员</w:t>
      </w:r>
      <w:r>
        <w:rPr>
          <w:rFonts w:cs="仿宋" w:asciiTheme="minorEastAsia" w:hAnsiTheme="minorEastAsia"/>
          <w:sz w:val="24"/>
          <w:szCs w:val="24"/>
          <w:u w:val="single"/>
        </w:rPr>
        <w:t xml:space="preserve"> </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 xml:space="preserve"> </w:t>
      </w:r>
      <w:r>
        <w:rPr>
          <w:rFonts w:cs="仿宋" w:asciiTheme="minorEastAsia" w:hAnsiTheme="minorEastAsia"/>
          <w:sz w:val="24"/>
          <w:szCs w:val="24"/>
        </w:rPr>
        <w:t>人，营业收入为</w:t>
      </w:r>
      <w:r>
        <w:rPr>
          <w:rFonts w:cs="仿宋" w:asciiTheme="minorEastAsia" w:hAnsiTheme="minorEastAsia"/>
          <w:sz w:val="24"/>
          <w:szCs w:val="24"/>
          <w:u w:val="single"/>
        </w:rPr>
        <w:t xml:space="preserve"> </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 xml:space="preserve"> </w:t>
      </w:r>
      <w:r>
        <w:rPr>
          <w:rFonts w:cs="仿宋" w:asciiTheme="minorEastAsia" w:hAnsiTheme="minorEastAsia"/>
          <w:sz w:val="24"/>
          <w:szCs w:val="24"/>
        </w:rPr>
        <w:t>万元，资产总额为</w:t>
      </w:r>
      <w:r>
        <w:rPr>
          <w:rFonts w:cs="仿宋" w:asciiTheme="minorEastAsia" w:hAnsiTheme="minorEastAsia"/>
          <w:sz w:val="24"/>
          <w:szCs w:val="24"/>
          <w:u w:val="single"/>
        </w:rPr>
        <w:t xml:space="preserve"> </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 xml:space="preserve"> </w:t>
      </w:r>
      <w:r>
        <w:rPr>
          <w:rFonts w:cs="仿宋" w:asciiTheme="minorEastAsia" w:hAnsiTheme="minorEastAsia"/>
          <w:sz w:val="24"/>
          <w:szCs w:val="24"/>
        </w:rPr>
        <w:t>万元，属于</w:t>
      </w:r>
      <w:r>
        <w:rPr>
          <w:rFonts w:hint="eastAsia" w:cs="仿宋" w:asciiTheme="minorEastAsia" w:hAnsiTheme="minorEastAsia"/>
          <w:sz w:val="24"/>
          <w:szCs w:val="24"/>
          <w:u w:val="single"/>
        </w:rPr>
        <w:t xml:space="preserve">             </w:t>
      </w:r>
      <w:r>
        <w:rPr>
          <w:rFonts w:cs="仿宋" w:asciiTheme="minorEastAsia" w:hAnsiTheme="minorEastAsia"/>
          <w:sz w:val="24"/>
          <w:szCs w:val="24"/>
          <w:u w:val="single"/>
        </w:rPr>
        <w:t>（中型企业、小型企业、微型企业）</w:t>
      </w:r>
      <w:r>
        <w:rPr>
          <w:rFonts w:cs="仿宋" w:asciiTheme="minorEastAsia" w:hAnsiTheme="minorEastAsia"/>
          <w:sz w:val="24"/>
          <w:szCs w:val="24"/>
        </w:rPr>
        <w:t>；</w:t>
      </w:r>
    </w:p>
    <w:p>
      <w:pPr>
        <w:pStyle w:val="46"/>
        <w:tabs>
          <w:tab w:val="left" w:pos="630"/>
        </w:tabs>
        <w:spacing w:line="360" w:lineRule="auto"/>
        <w:ind w:firstLine="480" w:firstLineChars="200"/>
        <w:rPr>
          <w:rFonts w:cs="仿宋" w:asciiTheme="minorEastAsia" w:hAnsiTheme="minorEastAsia"/>
          <w:sz w:val="24"/>
          <w:szCs w:val="24"/>
        </w:rPr>
      </w:pPr>
      <w:r>
        <w:rPr>
          <w:rFonts w:cs="仿宋" w:asciiTheme="minorEastAsia" w:hAnsiTheme="minorEastAsia"/>
          <w:sz w:val="24"/>
          <w:szCs w:val="24"/>
        </w:rPr>
        <w:t>……</w:t>
      </w:r>
    </w:p>
    <w:p>
      <w:pPr>
        <w:pStyle w:val="46"/>
        <w:tabs>
          <w:tab w:val="left" w:pos="630"/>
        </w:tabs>
        <w:spacing w:line="360" w:lineRule="auto"/>
        <w:ind w:firstLine="480" w:firstLineChars="200"/>
        <w:rPr>
          <w:rFonts w:cs="仿宋" w:asciiTheme="minorEastAsia" w:hAnsiTheme="minorEastAsia"/>
          <w:sz w:val="24"/>
          <w:szCs w:val="24"/>
        </w:rPr>
      </w:pPr>
      <w:r>
        <w:rPr>
          <w:rFonts w:cs="仿宋" w:asciiTheme="minorEastAsia" w:hAnsiTheme="minorEastAsia"/>
          <w:sz w:val="24"/>
          <w:szCs w:val="24"/>
        </w:rPr>
        <w:t>以上企业，不属于大企业的分支机构，不存在控股股东为大企业的情形，也不存在与大企业的负责人为同一人的情形。</w:t>
      </w:r>
    </w:p>
    <w:p>
      <w:pPr>
        <w:pStyle w:val="46"/>
        <w:tabs>
          <w:tab w:val="left" w:pos="630"/>
        </w:tabs>
        <w:spacing w:line="360" w:lineRule="auto"/>
        <w:ind w:firstLine="240"/>
        <w:rPr>
          <w:rFonts w:cs="仿宋" w:asciiTheme="minorEastAsia" w:hAnsiTheme="minorEastAsia"/>
          <w:sz w:val="24"/>
          <w:szCs w:val="24"/>
        </w:rPr>
      </w:pPr>
      <w:r>
        <w:rPr>
          <w:rFonts w:cs="仿宋" w:asciiTheme="minorEastAsia" w:hAnsiTheme="minorEastAsia"/>
          <w:sz w:val="24"/>
          <w:szCs w:val="24"/>
        </w:rPr>
        <w:t>本企业对上述声明内容的真实性负责。如有虚假，将依法承担相应责任。</w:t>
      </w:r>
    </w:p>
    <w:p>
      <w:pPr>
        <w:pStyle w:val="46"/>
        <w:tabs>
          <w:tab w:val="left" w:pos="630"/>
        </w:tabs>
        <w:spacing w:line="360" w:lineRule="auto"/>
        <w:ind w:firstLine="240"/>
        <w:rPr>
          <w:rFonts w:cs="仿宋" w:asciiTheme="minorEastAsia" w:hAnsiTheme="minorEastAsia"/>
          <w:sz w:val="24"/>
          <w:szCs w:val="24"/>
        </w:rPr>
      </w:pPr>
      <w:r>
        <w:rPr>
          <w:rFonts w:cs="仿宋" w:asciiTheme="minorEastAsia" w:hAnsiTheme="minorEastAsia"/>
          <w:sz w:val="24"/>
          <w:szCs w:val="24"/>
        </w:rPr>
        <w:t>企业名称（盖章）：</w:t>
      </w:r>
    </w:p>
    <w:p>
      <w:pPr>
        <w:pStyle w:val="46"/>
        <w:tabs>
          <w:tab w:val="left" w:pos="630"/>
        </w:tabs>
        <w:spacing w:line="360" w:lineRule="auto"/>
        <w:ind w:firstLine="240"/>
        <w:rPr>
          <w:rFonts w:cs="仿宋" w:asciiTheme="minorEastAsia" w:hAnsiTheme="minorEastAsia"/>
          <w:sz w:val="24"/>
          <w:szCs w:val="24"/>
        </w:rPr>
      </w:pPr>
      <w:r>
        <w:rPr>
          <w:rFonts w:cs="仿宋" w:asciiTheme="minorEastAsia" w:hAnsiTheme="minorEastAsia"/>
          <w:sz w:val="24"/>
          <w:szCs w:val="24"/>
        </w:rPr>
        <w:t>日期：</w:t>
      </w:r>
    </w:p>
    <w:p>
      <w:pPr>
        <w:spacing w:line="360" w:lineRule="auto"/>
        <w:jc w:val="center"/>
        <w:rPr>
          <w:rFonts w:cs="仿宋" w:asciiTheme="minorEastAsia" w:hAnsiTheme="minorEastAsia"/>
          <w:sz w:val="24"/>
          <w:szCs w:val="24"/>
        </w:rPr>
      </w:pPr>
      <w:r>
        <w:rPr>
          <w:rFonts w:hint="eastAsia" w:cs="仿宋" w:asciiTheme="minorEastAsia" w:hAnsiTheme="minorEastAsia"/>
          <w:sz w:val="24"/>
          <w:szCs w:val="24"/>
          <w:lang w:bidi="ar"/>
        </w:rPr>
        <w:t xml:space="preserve"> </w:t>
      </w:r>
    </w:p>
    <w:p>
      <w:pPr>
        <w:spacing w:line="360" w:lineRule="auto"/>
        <w:rPr>
          <w:rFonts w:cs="仿宋" w:asciiTheme="minorEastAsia" w:hAnsiTheme="minorEastAsia"/>
          <w:sz w:val="24"/>
          <w:szCs w:val="24"/>
        </w:rPr>
      </w:pPr>
      <w:r>
        <w:rPr>
          <w:rFonts w:hint="eastAsia" w:cs="仿宋" w:asciiTheme="minorEastAsia" w:hAnsiTheme="minorEastAsia"/>
          <w:sz w:val="24"/>
          <w:szCs w:val="24"/>
          <w:lang w:bidi="ar"/>
        </w:rPr>
        <w:t>1 从业人员、营业收入、资产总额填报上一年度数据，无上一年度数据的新成立企业可不填报。</w:t>
      </w:r>
    </w:p>
    <w:p>
      <w:pPr>
        <w:tabs>
          <w:tab w:val="left" w:pos="3777"/>
          <w:tab w:val="center" w:pos="4819"/>
        </w:tabs>
        <w:spacing w:line="360" w:lineRule="auto"/>
        <w:rPr>
          <w:rFonts w:cs="宋体" w:asciiTheme="minorEastAsia" w:hAnsiTheme="minorEastAsia"/>
          <w:b/>
          <w:sz w:val="24"/>
          <w:szCs w:val="24"/>
        </w:rPr>
      </w:pPr>
    </w:p>
    <w:p>
      <w:pPr>
        <w:tabs>
          <w:tab w:val="left" w:pos="3975"/>
        </w:tabs>
        <w:spacing w:line="360" w:lineRule="auto"/>
        <w:ind w:firstLine="480" w:firstLineChars="200"/>
        <w:rPr>
          <w:rFonts w:cs="仿宋" w:asciiTheme="minorEastAsia" w:hAnsiTheme="minorEastAsia"/>
          <w:sz w:val="24"/>
          <w:szCs w:val="24"/>
        </w:rPr>
      </w:pPr>
    </w:p>
    <w:p>
      <w:pPr>
        <w:pStyle w:val="19"/>
      </w:pPr>
    </w:p>
    <w:p>
      <w:pPr>
        <w:pStyle w:val="19"/>
      </w:pPr>
    </w:p>
    <w:p>
      <w:pPr>
        <w:tabs>
          <w:tab w:val="left" w:pos="3975"/>
        </w:tabs>
        <w:spacing w:line="360" w:lineRule="auto"/>
        <w:ind w:firstLine="480" w:firstLineChars="200"/>
        <w:rPr>
          <w:rFonts w:cs="仿宋" w:asciiTheme="minorEastAsia" w:hAnsiTheme="minorEastAsia"/>
          <w:b/>
          <w:sz w:val="24"/>
          <w:szCs w:val="24"/>
        </w:rPr>
      </w:pPr>
      <w:r>
        <w:rPr>
          <w:rFonts w:hint="eastAsia" w:cs="仿宋" w:asciiTheme="minorEastAsia" w:hAnsiTheme="minorEastAsia"/>
          <w:b/>
          <w:sz w:val="24"/>
          <w:szCs w:val="24"/>
        </w:rPr>
        <w:t>13-2监狱企业声明函</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（监狱企业适用）</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本公司郑重声明，根据《关于政府采购支持监狱企业发展有关问题的通知》（财库[2014]68号）的规定，本公司为监狱企业。</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本公司参加______单位的______项目采购活动，采购活动提供本企业（填写制造的货物，由本企业承担工程、提供服务）。</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本条所称货物不包括使用大型企业注册商标的货物和服务。</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本公司对上述声明的真实性负责。如有虚假，将依法承担相应责任。</w:t>
      </w:r>
    </w:p>
    <w:p>
      <w:pPr>
        <w:tabs>
          <w:tab w:val="left" w:pos="3975"/>
        </w:tabs>
        <w:spacing w:line="360" w:lineRule="auto"/>
        <w:ind w:firstLine="480" w:firstLineChars="200"/>
        <w:rPr>
          <w:rFonts w:cs="仿宋" w:asciiTheme="minorEastAsia" w:hAnsiTheme="minorEastAsia"/>
          <w:sz w:val="24"/>
          <w:szCs w:val="24"/>
        </w:rPr>
      </w:pP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企业名称（盖公章）：</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法定代表人（负责人）或其授权代表(签字)：</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日期：</w:t>
      </w:r>
    </w:p>
    <w:p>
      <w:pPr>
        <w:tabs>
          <w:tab w:val="left" w:pos="3975"/>
        </w:tabs>
        <w:spacing w:line="360" w:lineRule="auto"/>
        <w:ind w:firstLine="480" w:firstLineChars="200"/>
        <w:rPr>
          <w:rFonts w:cs="仿宋" w:asciiTheme="minorEastAsia" w:hAnsiTheme="minorEastAsia"/>
          <w:sz w:val="24"/>
          <w:szCs w:val="24"/>
        </w:rPr>
      </w:pPr>
    </w:p>
    <w:p>
      <w:pPr>
        <w:tabs>
          <w:tab w:val="left" w:pos="3975"/>
        </w:tabs>
        <w:spacing w:line="360" w:lineRule="auto"/>
        <w:ind w:firstLine="480" w:firstLineChars="200"/>
        <w:jc w:val="left"/>
        <w:rPr>
          <w:rFonts w:cs="仿宋" w:asciiTheme="minorEastAsia" w:hAnsiTheme="minorEastAsia"/>
          <w:b/>
          <w:bCs/>
          <w:sz w:val="24"/>
          <w:szCs w:val="24"/>
        </w:rPr>
      </w:pPr>
      <w:r>
        <w:rPr>
          <w:rFonts w:hint="eastAsia" w:cs="仿宋" w:asciiTheme="minorEastAsia" w:hAnsiTheme="minorEastAsia"/>
          <w:b/>
          <w:bCs/>
          <w:sz w:val="24"/>
          <w:szCs w:val="24"/>
        </w:rPr>
        <w:t>13-3残疾人福利性单位声明函</w:t>
      </w:r>
    </w:p>
    <w:p>
      <w:pPr>
        <w:tabs>
          <w:tab w:val="left" w:pos="3975"/>
        </w:tabs>
        <w:spacing w:line="360" w:lineRule="auto"/>
        <w:ind w:firstLine="480" w:firstLineChars="200"/>
        <w:rPr>
          <w:rFonts w:cs="仿宋" w:asciiTheme="minorEastAsia" w:hAnsiTheme="minorEastAsia"/>
          <w:b/>
          <w:bCs/>
          <w:sz w:val="24"/>
          <w:szCs w:val="24"/>
        </w:rPr>
      </w:pP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 xml:space="preserve">本单位对上述声明的真实性负责。如有虚假，将依法承担相应责任。                               </w:t>
      </w:r>
    </w:p>
    <w:p>
      <w:pPr>
        <w:tabs>
          <w:tab w:val="left" w:pos="3975"/>
        </w:tabs>
        <w:spacing w:line="360" w:lineRule="auto"/>
        <w:ind w:firstLine="480" w:firstLineChars="200"/>
        <w:rPr>
          <w:rFonts w:cs="仿宋" w:asciiTheme="minorEastAsia" w:hAnsiTheme="minorEastAsia"/>
          <w:sz w:val="24"/>
          <w:szCs w:val="24"/>
        </w:rPr>
      </w:pP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单位名称（盖章）：</w:t>
      </w:r>
    </w:p>
    <w:p>
      <w:pPr>
        <w:tabs>
          <w:tab w:val="left" w:pos="3975"/>
        </w:tabs>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 xml:space="preserve">                                      日  期：</w:t>
      </w:r>
    </w:p>
    <w:p>
      <w:pPr>
        <w:spacing w:line="360" w:lineRule="auto"/>
        <w:jc w:val="center"/>
        <w:rPr>
          <w:rFonts w:cs="仿宋" w:asciiTheme="minorEastAsia" w:hAnsiTheme="minorEastAsia"/>
          <w:b/>
          <w:sz w:val="24"/>
          <w:szCs w:val="24"/>
        </w:rPr>
      </w:pPr>
    </w:p>
    <w:p>
      <w:pPr>
        <w:pStyle w:val="46"/>
        <w:spacing w:line="360" w:lineRule="auto"/>
        <w:ind w:firstLine="241"/>
        <w:rPr>
          <w:rFonts w:cs="仿宋" w:asciiTheme="minorEastAsia" w:hAnsiTheme="minorEastAsia"/>
          <w:b/>
          <w:sz w:val="24"/>
          <w:szCs w:val="24"/>
        </w:rPr>
      </w:pPr>
    </w:p>
    <w:p>
      <w:pPr>
        <w:pStyle w:val="46"/>
        <w:spacing w:line="360" w:lineRule="auto"/>
        <w:ind w:firstLine="241"/>
        <w:rPr>
          <w:rFonts w:cs="仿宋" w:asciiTheme="minorEastAsia" w:hAnsiTheme="minorEastAsia"/>
          <w:b/>
          <w:sz w:val="24"/>
          <w:szCs w:val="24"/>
        </w:rPr>
      </w:pPr>
    </w:p>
    <w:p>
      <w:pPr>
        <w:pStyle w:val="46"/>
        <w:spacing w:line="360" w:lineRule="auto"/>
        <w:ind w:firstLine="241"/>
        <w:rPr>
          <w:rFonts w:cs="仿宋" w:asciiTheme="minorEastAsia" w:hAnsiTheme="minorEastAsia"/>
          <w:b/>
          <w:sz w:val="24"/>
          <w:szCs w:val="24"/>
        </w:rPr>
      </w:pPr>
    </w:p>
    <w:p>
      <w:pPr>
        <w:pStyle w:val="46"/>
        <w:spacing w:line="360" w:lineRule="auto"/>
        <w:ind w:firstLine="241"/>
        <w:rPr>
          <w:rFonts w:cs="仿宋" w:asciiTheme="minorEastAsia" w:hAnsiTheme="minorEastAsia"/>
          <w:b/>
          <w:sz w:val="24"/>
          <w:szCs w:val="24"/>
        </w:rPr>
      </w:pPr>
    </w:p>
    <w:p>
      <w:pPr>
        <w:pStyle w:val="46"/>
        <w:spacing w:line="360" w:lineRule="auto"/>
        <w:ind w:firstLine="241"/>
        <w:rPr>
          <w:rFonts w:cs="仿宋" w:asciiTheme="minorEastAsia" w:hAnsiTheme="minorEastAsia"/>
          <w:b/>
          <w:sz w:val="24"/>
          <w:szCs w:val="24"/>
        </w:rPr>
      </w:pPr>
    </w:p>
    <w:p>
      <w:pPr>
        <w:spacing w:line="360" w:lineRule="auto"/>
        <w:jc w:val="center"/>
        <w:outlineLvl w:val="2"/>
        <w:rPr>
          <w:rFonts w:cs="仿宋" w:asciiTheme="minorEastAsia" w:hAnsiTheme="minorEastAsia"/>
          <w:b/>
          <w:sz w:val="24"/>
          <w:szCs w:val="24"/>
        </w:rPr>
      </w:pPr>
      <w:bookmarkStart w:id="203" w:name="_Toc12596"/>
      <w:bookmarkStart w:id="204" w:name="_Toc7885"/>
      <w:bookmarkStart w:id="205" w:name="_Toc29252"/>
      <w:bookmarkStart w:id="206" w:name="_Toc136609720"/>
      <w:bookmarkStart w:id="207" w:name="_Toc16618"/>
      <w:bookmarkStart w:id="208" w:name="_Toc1692"/>
      <w:r>
        <w:rPr>
          <w:rFonts w:hint="eastAsia" w:cs="仿宋" w:asciiTheme="minorEastAsia" w:hAnsiTheme="minorEastAsia"/>
          <w:b/>
          <w:sz w:val="24"/>
          <w:szCs w:val="24"/>
        </w:rPr>
        <w:t>（十四）供应商认为有必要提交的其他资料</w:t>
      </w:r>
      <w:bookmarkEnd w:id="173"/>
      <w:bookmarkEnd w:id="203"/>
      <w:bookmarkEnd w:id="204"/>
      <w:bookmarkEnd w:id="205"/>
      <w:bookmarkEnd w:id="206"/>
      <w:bookmarkEnd w:id="207"/>
      <w:bookmarkEnd w:id="208"/>
    </w:p>
    <w:p>
      <w:pPr>
        <w:spacing w:line="360" w:lineRule="auto"/>
        <w:rPr>
          <w:rFonts w:cs="仿宋" w:asciiTheme="minorEastAsia" w:hAnsiTheme="minorEastAsia"/>
          <w:sz w:val="24"/>
          <w:szCs w:val="24"/>
        </w:rPr>
      </w:pPr>
      <w:r>
        <w:rPr>
          <w:rFonts w:hint="eastAsia" w:cs="仿宋" w:asciiTheme="minorEastAsia" w:hAnsiTheme="minorEastAsia"/>
          <w:sz w:val="24"/>
          <w:szCs w:val="24"/>
        </w:rPr>
        <w:t>供应商应提交的其它资料应包括：</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（1）其他增值优惠承诺；</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（2）评分细则提及或供应商认为需要提供的其他说明和资料。</w:t>
      </w:r>
    </w:p>
    <w:p>
      <w:pPr>
        <w:spacing w:line="360" w:lineRule="auto"/>
        <w:ind w:firstLine="480"/>
        <w:rPr>
          <w:rFonts w:cs="仿宋" w:asciiTheme="minorEastAsia" w:hAnsiTheme="minorEastAsia"/>
          <w:sz w:val="24"/>
          <w:szCs w:val="24"/>
        </w:rPr>
      </w:pPr>
      <w:r>
        <w:rPr>
          <w:rFonts w:hint="eastAsia" w:cs="仿宋" w:asciiTheme="minorEastAsia" w:hAnsiTheme="minorEastAsia"/>
          <w:sz w:val="24"/>
          <w:szCs w:val="24"/>
        </w:rPr>
        <w:t>（3）</w:t>
      </w:r>
      <w:r>
        <w:rPr>
          <w:rFonts w:hint="eastAsia" w:cs="仿宋" w:asciiTheme="minorEastAsia" w:hAnsiTheme="minorEastAsia"/>
          <w:sz w:val="24"/>
          <w:szCs w:val="24"/>
          <w:lang w:bidi="ar"/>
        </w:rPr>
        <w:t>谈判</w:t>
      </w:r>
      <w:r>
        <w:rPr>
          <w:rFonts w:hint="eastAsia" w:cs="仿宋" w:asciiTheme="minorEastAsia" w:hAnsiTheme="minorEastAsia"/>
          <w:sz w:val="24"/>
          <w:szCs w:val="24"/>
        </w:rPr>
        <w:t>文件要求提供的其它资料等；</w:t>
      </w:r>
    </w:p>
    <w:p>
      <w:pPr>
        <w:spacing w:line="360" w:lineRule="auto"/>
        <w:ind w:firstLine="480"/>
        <w:rPr>
          <w:rFonts w:cs="仿宋" w:asciiTheme="minorEastAsia" w:hAnsiTheme="minorEastAsia"/>
          <w:b/>
          <w:sz w:val="24"/>
          <w:szCs w:val="24"/>
        </w:rPr>
        <w:sectPr>
          <w:pgSz w:w="11906" w:h="16838"/>
          <w:pgMar w:top="1418" w:right="1826" w:bottom="1418" w:left="1361" w:header="851" w:footer="992" w:gutter="0"/>
          <w:cols w:space="425" w:num="1"/>
          <w:docGrid w:type="linesAndChars" w:linePitch="332" w:charSpace="0"/>
        </w:sectPr>
      </w:pPr>
      <w:r>
        <w:rPr>
          <w:rFonts w:hint="eastAsia" w:cs="仿宋" w:asciiTheme="minorEastAsia" w:hAnsiTheme="minorEastAsia"/>
          <w:sz w:val="24"/>
          <w:szCs w:val="24"/>
        </w:rPr>
        <w:t>（4）</w:t>
      </w:r>
      <w:bookmarkStart w:id="209" w:name="_Toc477359999"/>
      <w:bookmarkStart w:id="210" w:name="_Toc450901518"/>
      <w:bookmarkStart w:id="211" w:name="_Toc485289090"/>
      <w:r>
        <w:rPr>
          <w:rFonts w:hint="eastAsia" w:cs="仿宋" w:asciiTheme="minorEastAsia" w:hAnsiTheme="minorEastAsia"/>
          <w:sz w:val="24"/>
          <w:szCs w:val="24"/>
        </w:rPr>
        <w:t>..</w:t>
      </w:r>
    </w:p>
    <w:bookmarkEnd w:id="209"/>
    <w:bookmarkEnd w:id="210"/>
    <w:bookmarkEnd w:id="211"/>
    <w:p>
      <w:pPr>
        <w:widowControl/>
        <w:spacing w:line="360" w:lineRule="auto"/>
        <w:jc w:val="left"/>
        <w:rPr>
          <w:rFonts w:cs="Times New Roman" w:asciiTheme="minorEastAsia" w:hAnsiTheme="minorEastAsia"/>
          <w:sz w:val="24"/>
          <w:szCs w:val="24"/>
        </w:rPr>
      </w:pPr>
    </w:p>
    <w:sectPr>
      <w:headerReference r:id="rId7" w:type="default"/>
      <w:footerReference r:id="rId8" w:type="default"/>
      <w:pgSz w:w="11906" w:h="16838"/>
      <w:pgMar w:top="1134" w:right="1134"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 Light">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90"/>
      <w:jc w:val="right"/>
    </w:pP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68</w:t>
    </w:r>
    <w:r>
      <w:rPr>
        <w:rStyle w:val="52"/>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7"/>
      <w:spacing w:line="14" w:lineRule="auto"/>
      <w:ind w:left="0"/>
      <w:rPr>
        <w:rStyle w:val="291"/>
        <w:sz w:val="12"/>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34</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3751580</wp:posOffset>
              </wp:positionH>
              <wp:positionV relativeFrom="page">
                <wp:posOffset>9922510</wp:posOffset>
              </wp:positionV>
              <wp:extent cx="167005" cy="152400"/>
              <wp:effectExtent l="0" t="0" r="0" b="0"/>
              <wp:wrapNone/>
              <wp:docPr id="10" name="4099"/>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txbxContent>
                    </wps:txbx>
                    <wps:bodyPr rot="0" vert="horz" wrap="square" lIns="0" tIns="0" rIns="0" bIns="0" anchor="t" anchorCtr="0" upright="1">
                      <a:noAutofit/>
                    </wps:bodyPr>
                  </wps:wsp>
                </a:graphicData>
              </a:graphic>
            </wp:anchor>
          </w:drawing>
        </mc:Choice>
        <mc:Fallback>
          <w:pict>
            <v:shape id="4099" o:spid="_x0000_s1026" o:spt="202" type="#_x0000_t202" style="position:absolute;left:0pt;margin-left:295.4pt;margin-top:781.3pt;height:12pt;width:13.15pt;mso-position-horizontal-relative:page;mso-position-vertical-relative:page;z-index:-251657216;mso-width-relative:page;mso-height-relative:page;" filled="f" stroked="f" coordsize="21600,21600" o:gfxdata="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yCqSNoAAAANAQAADwAAAAAAAAABACAAAAAiAAAAZHJzL2Rv&#10;d25yZXYueG1sUEsBAhQAFAAAAAgAh07iQDQsoHf/AQAADAQAAA4AAAAAAAAAAQAgAAAAKQEAAGRy&#10;cy9lMm9Eb2MueG1sUEsFBgAAAAAGAAYAWQEAAJoFAAAAAA==&#10;">
              <v:fill on="f" focussize="0,0"/>
              <v:stroke on="f"/>
              <v:imagedata o:title=""/>
              <o:lock v:ext="edit" aspectratio="f"/>
              <v:textbox inset="0mm,0mm,0mm,0mm">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74AC2"/>
    <w:multiLevelType w:val="singleLevel"/>
    <w:tmpl w:val="C5674AC2"/>
    <w:lvl w:ilvl="0" w:tentative="0">
      <w:start w:val="14"/>
      <w:numFmt w:val="chineseCounting"/>
      <w:suff w:val="nothing"/>
      <w:lvlText w:val="%1、"/>
      <w:lvlJc w:val="left"/>
      <w:rPr>
        <w:rFonts w:hint="eastAsia"/>
      </w:rPr>
    </w:lvl>
  </w:abstractNum>
  <w:abstractNum w:abstractNumId="1">
    <w:nsid w:val="CB11FD24"/>
    <w:multiLevelType w:val="singleLevel"/>
    <w:tmpl w:val="CB11FD24"/>
    <w:lvl w:ilvl="0" w:tentative="0">
      <w:start w:val="7"/>
      <w:numFmt w:val="decimal"/>
      <w:suff w:val="nothing"/>
      <w:lvlText w:val="%1．"/>
      <w:lvlJc w:val="left"/>
    </w:lvl>
  </w:abstractNum>
  <w:abstractNum w:abstractNumId="2">
    <w:nsid w:val="CD252E5A"/>
    <w:multiLevelType w:val="singleLevel"/>
    <w:tmpl w:val="CD252E5A"/>
    <w:lvl w:ilvl="0" w:tentative="0">
      <w:start w:val="1"/>
      <w:numFmt w:val="decimal"/>
      <w:suff w:val="nothing"/>
      <w:lvlText w:val="%1、"/>
      <w:lvlJc w:val="left"/>
      <w:pPr>
        <w:ind w:left="420"/>
      </w:pPr>
    </w:lvl>
  </w:abstractNum>
  <w:abstractNum w:abstractNumId="3">
    <w:nsid w:val="2D6B575F"/>
    <w:multiLevelType w:val="singleLevel"/>
    <w:tmpl w:val="2D6B575F"/>
    <w:lvl w:ilvl="0" w:tentative="0">
      <w:start w:val="8"/>
      <w:numFmt w:val="chineseCounting"/>
      <w:suff w:val="nothing"/>
      <w:lvlText w:val="%1、"/>
      <w:lvlJc w:val="left"/>
      <w:rPr>
        <w:rFonts w:hint="eastAsia"/>
      </w:rPr>
    </w:lvl>
  </w:abstractNum>
  <w:abstractNum w:abstractNumId="4">
    <w:nsid w:val="3D1163D1"/>
    <w:multiLevelType w:val="singleLevel"/>
    <w:tmpl w:val="3D1163D1"/>
    <w:lvl w:ilvl="0" w:tentative="0">
      <w:start w:val="1"/>
      <w:numFmt w:val="decimal"/>
      <w:lvlText w:val="%1."/>
      <w:lvlJc w:val="left"/>
      <w:pPr>
        <w:tabs>
          <w:tab w:val="left" w:pos="312"/>
        </w:tabs>
      </w:pPr>
    </w:lvl>
  </w:abstractNum>
  <w:abstractNum w:abstractNumId="5">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abstractNum w:abstractNumId="6">
    <w:nsid w:val="58DDE267"/>
    <w:multiLevelType w:val="singleLevel"/>
    <w:tmpl w:val="58DDE267"/>
    <w:lvl w:ilvl="0" w:tentative="0">
      <w:start w:val="5"/>
      <w:numFmt w:val="decimal"/>
      <w:suff w:val="nothing"/>
      <w:lvlText w:val="%1、"/>
      <w:lvlJc w:val="left"/>
    </w:lvl>
  </w:abstractNum>
  <w:abstractNum w:abstractNumId="7">
    <w:nsid w:val="78396A21"/>
    <w:multiLevelType w:val="multilevel"/>
    <w:tmpl w:val="78396A2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5"/>
  </w:num>
  <w:num w:numId="3">
    <w:abstractNumId w:val="7"/>
  </w:num>
  <w:num w:numId="4">
    <w:abstractNumId w:val="3"/>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OTk1YjA2N2YxYjRmOTYzMjUxMjkwZDA3YjVmOTUifQ=="/>
  </w:docVars>
  <w:rsids>
    <w:rsidRoot w:val="00101AA4"/>
    <w:rsid w:val="00000ECF"/>
    <w:rsid w:val="00001340"/>
    <w:rsid w:val="00004DAA"/>
    <w:rsid w:val="00006BD9"/>
    <w:rsid w:val="00007BA8"/>
    <w:rsid w:val="00012112"/>
    <w:rsid w:val="0001450A"/>
    <w:rsid w:val="00014F7D"/>
    <w:rsid w:val="000162FE"/>
    <w:rsid w:val="00022B8B"/>
    <w:rsid w:val="000244CA"/>
    <w:rsid w:val="00030171"/>
    <w:rsid w:val="00033566"/>
    <w:rsid w:val="00034FAB"/>
    <w:rsid w:val="00036309"/>
    <w:rsid w:val="0003644F"/>
    <w:rsid w:val="00036B12"/>
    <w:rsid w:val="00037B3A"/>
    <w:rsid w:val="000400E8"/>
    <w:rsid w:val="00044B32"/>
    <w:rsid w:val="00046152"/>
    <w:rsid w:val="00047273"/>
    <w:rsid w:val="0005003E"/>
    <w:rsid w:val="00052962"/>
    <w:rsid w:val="0005428F"/>
    <w:rsid w:val="000604DE"/>
    <w:rsid w:val="000616F7"/>
    <w:rsid w:val="000641A9"/>
    <w:rsid w:val="000661C0"/>
    <w:rsid w:val="00070AF5"/>
    <w:rsid w:val="00073D96"/>
    <w:rsid w:val="00074821"/>
    <w:rsid w:val="000762D4"/>
    <w:rsid w:val="00077DB3"/>
    <w:rsid w:val="0008025F"/>
    <w:rsid w:val="00080E16"/>
    <w:rsid w:val="00081632"/>
    <w:rsid w:val="00082FC4"/>
    <w:rsid w:val="00085EB2"/>
    <w:rsid w:val="00086AFE"/>
    <w:rsid w:val="00090398"/>
    <w:rsid w:val="000904A3"/>
    <w:rsid w:val="00090F37"/>
    <w:rsid w:val="000916AB"/>
    <w:rsid w:val="000923E8"/>
    <w:rsid w:val="00092599"/>
    <w:rsid w:val="00094989"/>
    <w:rsid w:val="000A02F9"/>
    <w:rsid w:val="000A1C28"/>
    <w:rsid w:val="000A2823"/>
    <w:rsid w:val="000A32B9"/>
    <w:rsid w:val="000A3552"/>
    <w:rsid w:val="000A452A"/>
    <w:rsid w:val="000B060E"/>
    <w:rsid w:val="000B210F"/>
    <w:rsid w:val="000B318F"/>
    <w:rsid w:val="000B331B"/>
    <w:rsid w:val="000B4C6A"/>
    <w:rsid w:val="000D171A"/>
    <w:rsid w:val="000D4557"/>
    <w:rsid w:val="000D5ABB"/>
    <w:rsid w:val="000D7CE7"/>
    <w:rsid w:val="000E349C"/>
    <w:rsid w:val="000E5B9C"/>
    <w:rsid w:val="000E7461"/>
    <w:rsid w:val="00101AA4"/>
    <w:rsid w:val="00102568"/>
    <w:rsid w:val="001025BB"/>
    <w:rsid w:val="001063D0"/>
    <w:rsid w:val="0010650C"/>
    <w:rsid w:val="00120A37"/>
    <w:rsid w:val="00124C9E"/>
    <w:rsid w:val="00127B38"/>
    <w:rsid w:val="00127C9A"/>
    <w:rsid w:val="00127CF8"/>
    <w:rsid w:val="0013312B"/>
    <w:rsid w:val="00134F82"/>
    <w:rsid w:val="00141BC8"/>
    <w:rsid w:val="00142762"/>
    <w:rsid w:val="00142BB8"/>
    <w:rsid w:val="001441CA"/>
    <w:rsid w:val="0014554F"/>
    <w:rsid w:val="00146E26"/>
    <w:rsid w:val="0015794E"/>
    <w:rsid w:val="00161961"/>
    <w:rsid w:val="001660D2"/>
    <w:rsid w:val="001662CA"/>
    <w:rsid w:val="0016644B"/>
    <w:rsid w:val="00167F69"/>
    <w:rsid w:val="00172AA0"/>
    <w:rsid w:val="001733AF"/>
    <w:rsid w:val="00176FAD"/>
    <w:rsid w:val="00181200"/>
    <w:rsid w:val="00181EBA"/>
    <w:rsid w:val="001831E7"/>
    <w:rsid w:val="001A1D16"/>
    <w:rsid w:val="001A2117"/>
    <w:rsid w:val="001A4256"/>
    <w:rsid w:val="001A45DD"/>
    <w:rsid w:val="001A4674"/>
    <w:rsid w:val="001A4E5A"/>
    <w:rsid w:val="001A5DD7"/>
    <w:rsid w:val="001B1748"/>
    <w:rsid w:val="001B4D24"/>
    <w:rsid w:val="001B5A4C"/>
    <w:rsid w:val="001C61FB"/>
    <w:rsid w:val="001C7A74"/>
    <w:rsid w:val="001D1BCF"/>
    <w:rsid w:val="001D50A5"/>
    <w:rsid w:val="001E33A7"/>
    <w:rsid w:val="001E3D69"/>
    <w:rsid w:val="001E4755"/>
    <w:rsid w:val="001E492A"/>
    <w:rsid w:val="001E6E8F"/>
    <w:rsid w:val="001E794E"/>
    <w:rsid w:val="001F3A08"/>
    <w:rsid w:val="001F610A"/>
    <w:rsid w:val="00200BA8"/>
    <w:rsid w:val="00200EA8"/>
    <w:rsid w:val="0020240F"/>
    <w:rsid w:val="0020520B"/>
    <w:rsid w:val="002055DD"/>
    <w:rsid w:val="00205DF6"/>
    <w:rsid w:val="00205F22"/>
    <w:rsid w:val="00214257"/>
    <w:rsid w:val="0021460D"/>
    <w:rsid w:val="00215F58"/>
    <w:rsid w:val="0022177D"/>
    <w:rsid w:val="00223931"/>
    <w:rsid w:val="00226DEC"/>
    <w:rsid w:val="00230CB1"/>
    <w:rsid w:val="00234203"/>
    <w:rsid w:val="002351A2"/>
    <w:rsid w:val="00236D43"/>
    <w:rsid w:val="002454B4"/>
    <w:rsid w:val="002472C0"/>
    <w:rsid w:val="002508FA"/>
    <w:rsid w:val="00251110"/>
    <w:rsid w:val="0025396A"/>
    <w:rsid w:val="00253DC3"/>
    <w:rsid w:val="002541CE"/>
    <w:rsid w:val="00257DBC"/>
    <w:rsid w:val="00257F22"/>
    <w:rsid w:val="002604A7"/>
    <w:rsid w:val="00260910"/>
    <w:rsid w:val="002660FD"/>
    <w:rsid w:val="00266F04"/>
    <w:rsid w:val="002679C6"/>
    <w:rsid w:val="0027366F"/>
    <w:rsid w:val="002853D6"/>
    <w:rsid w:val="00285885"/>
    <w:rsid w:val="00295437"/>
    <w:rsid w:val="002967DA"/>
    <w:rsid w:val="00297E38"/>
    <w:rsid w:val="002A446B"/>
    <w:rsid w:val="002A7CE2"/>
    <w:rsid w:val="002B0041"/>
    <w:rsid w:val="002B17E2"/>
    <w:rsid w:val="002B5159"/>
    <w:rsid w:val="002B5EC8"/>
    <w:rsid w:val="002B624E"/>
    <w:rsid w:val="002B6664"/>
    <w:rsid w:val="002B77E1"/>
    <w:rsid w:val="002B7AF4"/>
    <w:rsid w:val="002C2DD2"/>
    <w:rsid w:val="002C44C0"/>
    <w:rsid w:val="002D280B"/>
    <w:rsid w:val="002D3439"/>
    <w:rsid w:val="002D635D"/>
    <w:rsid w:val="002D6CF2"/>
    <w:rsid w:val="002E1D6E"/>
    <w:rsid w:val="002E25BC"/>
    <w:rsid w:val="002E5AAD"/>
    <w:rsid w:val="002F10F5"/>
    <w:rsid w:val="002F2283"/>
    <w:rsid w:val="00300C92"/>
    <w:rsid w:val="00304A1A"/>
    <w:rsid w:val="00304D2D"/>
    <w:rsid w:val="00305EE3"/>
    <w:rsid w:val="0030747A"/>
    <w:rsid w:val="003118BC"/>
    <w:rsid w:val="00311F76"/>
    <w:rsid w:val="00313F13"/>
    <w:rsid w:val="00315623"/>
    <w:rsid w:val="00315D4B"/>
    <w:rsid w:val="00315D59"/>
    <w:rsid w:val="00316B54"/>
    <w:rsid w:val="00316DBA"/>
    <w:rsid w:val="00317D34"/>
    <w:rsid w:val="00317FF8"/>
    <w:rsid w:val="00321A51"/>
    <w:rsid w:val="00324345"/>
    <w:rsid w:val="00326152"/>
    <w:rsid w:val="00331C14"/>
    <w:rsid w:val="00336EED"/>
    <w:rsid w:val="00343290"/>
    <w:rsid w:val="003543BA"/>
    <w:rsid w:val="0035581F"/>
    <w:rsid w:val="00357700"/>
    <w:rsid w:val="00360D30"/>
    <w:rsid w:val="00361C9D"/>
    <w:rsid w:val="00363991"/>
    <w:rsid w:val="00364473"/>
    <w:rsid w:val="00370CC0"/>
    <w:rsid w:val="00370F25"/>
    <w:rsid w:val="00372DE0"/>
    <w:rsid w:val="00373AD1"/>
    <w:rsid w:val="00376E83"/>
    <w:rsid w:val="00381A0F"/>
    <w:rsid w:val="0038324D"/>
    <w:rsid w:val="003837F0"/>
    <w:rsid w:val="00384AEE"/>
    <w:rsid w:val="003947D9"/>
    <w:rsid w:val="00395C5C"/>
    <w:rsid w:val="003960C0"/>
    <w:rsid w:val="003A144B"/>
    <w:rsid w:val="003A4B68"/>
    <w:rsid w:val="003A5B50"/>
    <w:rsid w:val="003B662D"/>
    <w:rsid w:val="003B70AD"/>
    <w:rsid w:val="003B7226"/>
    <w:rsid w:val="003C043A"/>
    <w:rsid w:val="003C0B9E"/>
    <w:rsid w:val="003D01BB"/>
    <w:rsid w:val="003D05EA"/>
    <w:rsid w:val="003D2462"/>
    <w:rsid w:val="003D4211"/>
    <w:rsid w:val="003D60E3"/>
    <w:rsid w:val="003E4A7A"/>
    <w:rsid w:val="003E5A8D"/>
    <w:rsid w:val="003F13A0"/>
    <w:rsid w:val="003F59D7"/>
    <w:rsid w:val="003F6EAF"/>
    <w:rsid w:val="00400A7E"/>
    <w:rsid w:val="00402D19"/>
    <w:rsid w:val="0040310D"/>
    <w:rsid w:val="0040448B"/>
    <w:rsid w:val="004079CE"/>
    <w:rsid w:val="004120B1"/>
    <w:rsid w:val="00416675"/>
    <w:rsid w:val="00421B0A"/>
    <w:rsid w:val="004220B6"/>
    <w:rsid w:val="00423893"/>
    <w:rsid w:val="00423980"/>
    <w:rsid w:val="0042662D"/>
    <w:rsid w:val="004311CE"/>
    <w:rsid w:val="00432C0C"/>
    <w:rsid w:val="00433EED"/>
    <w:rsid w:val="004373DD"/>
    <w:rsid w:val="00437874"/>
    <w:rsid w:val="00440F3B"/>
    <w:rsid w:val="0044406E"/>
    <w:rsid w:val="00444EE1"/>
    <w:rsid w:val="0044640E"/>
    <w:rsid w:val="0044799D"/>
    <w:rsid w:val="0045091A"/>
    <w:rsid w:val="00451F1F"/>
    <w:rsid w:val="0045286E"/>
    <w:rsid w:val="00452BB8"/>
    <w:rsid w:val="00455196"/>
    <w:rsid w:val="00461359"/>
    <w:rsid w:val="004640C1"/>
    <w:rsid w:val="004704FB"/>
    <w:rsid w:val="00471E95"/>
    <w:rsid w:val="00474A4F"/>
    <w:rsid w:val="00483733"/>
    <w:rsid w:val="004839AB"/>
    <w:rsid w:val="004A010F"/>
    <w:rsid w:val="004A4981"/>
    <w:rsid w:val="004A5376"/>
    <w:rsid w:val="004A6517"/>
    <w:rsid w:val="004A68AF"/>
    <w:rsid w:val="004A78B9"/>
    <w:rsid w:val="004A7D7E"/>
    <w:rsid w:val="004B03B8"/>
    <w:rsid w:val="004B0537"/>
    <w:rsid w:val="004C0296"/>
    <w:rsid w:val="004C2EBF"/>
    <w:rsid w:val="004C56CE"/>
    <w:rsid w:val="004C7AFA"/>
    <w:rsid w:val="004D11B3"/>
    <w:rsid w:val="004D2695"/>
    <w:rsid w:val="004D3C30"/>
    <w:rsid w:val="004D4113"/>
    <w:rsid w:val="004D50BD"/>
    <w:rsid w:val="004D5C23"/>
    <w:rsid w:val="004D75D5"/>
    <w:rsid w:val="004E10F0"/>
    <w:rsid w:val="004E2088"/>
    <w:rsid w:val="004E277E"/>
    <w:rsid w:val="004E3B49"/>
    <w:rsid w:val="004E419C"/>
    <w:rsid w:val="004E76F6"/>
    <w:rsid w:val="004E7786"/>
    <w:rsid w:val="004F0D23"/>
    <w:rsid w:val="004F4D39"/>
    <w:rsid w:val="004F7A93"/>
    <w:rsid w:val="00501303"/>
    <w:rsid w:val="00507DCF"/>
    <w:rsid w:val="00510153"/>
    <w:rsid w:val="00517B4D"/>
    <w:rsid w:val="00520FE8"/>
    <w:rsid w:val="00521984"/>
    <w:rsid w:val="00522873"/>
    <w:rsid w:val="0052394D"/>
    <w:rsid w:val="00524F86"/>
    <w:rsid w:val="00526F0E"/>
    <w:rsid w:val="005307A5"/>
    <w:rsid w:val="0053132A"/>
    <w:rsid w:val="0053331D"/>
    <w:rsid w:val="00533A68"/>
    <w:rsid w:val="0054181E"/>
    <w:rsid w:val="00541FB5"/>
    <w:rsid w:val="0054615B"/>
    <w:rsid w:val="00550753"/>
    <w:rsid w:val="00553899"/>
    <w:rsid w:val="0055435D"/>
    <w:rsid w:val="005627EE"/>
    <w:rsid w:val="00562B2E"/>
    <w:rsid w:val="005647DB"/>
    <w:rsid w:val="00565042"/>
    <w:rsid w:val="00566F28"/>
    <w:rsid w:val="00573EAA"/>
    <w:rsid w:val="00577ECB"/>
    <w:rsid w:val="00577FFA"/>
    <w:rsid w:val="00581540"/>
    <w:rsid w:val="005828BD"/>
    <w:rsid w:val="00582F95"/>
    <w:rsid w:val="00584FF1"/>
    <w:rsid w:val="00585926"/>
    <w:rsid w:val="00586658"/>
    <w:rsid w:val="005879D1"/>
    <w:rsid w:val="005942CD"/>
    <w:rsid w:val="005A215C"/>
    <w:rsid w:val="005A6326"/>
    <w:rsid w:val="005A69CA"/>
    <w:rsid w:val="005A7929"/>
    <w:rsid w:val="005B7E12"/>
    <w:rsid w:val="005C4B64"/>
    <w:rsid w:val="005C53A8"/>
    <w:rsid w:val="005C6A4B"/>
    <w:rsid w:val="005D3846"/>
    <w:rsid w:val="005D5695"/>
    <w:rsid w:val="005D651D"/>
    <w:rsid w:val="005D7EAB"/>
    <w:rsid w:val="005D7F4B"/>
    <w:rsid w:val="005E0378"/>
    <w:rsid w:val="005E0A25"/>
    <w:rsid w:val="005E2057"/>
    <w:rsid w:val="005E29B4"/>
    <w:rsid w:val="005E3C18"/>
    <w:rsid w:val="005E617A"/>
    <w:rsid w:val="005F0F54"/>
    <w:rsid w:val="005F3159"/>
    <w:rsid w:val="005F437E"/>
    <w:rsid w:val="005F453C"/>
    <w:rsid w:val="005F4F05"/>
    <w:rsid w:val="005F6E37"/>
    <w:rsid w:val="0060072E"/>
    <w:rsid w:val="0060086F"/>
    <w:rsid w:val="00600C9C"/>
    <w:rsid w:val="006044F4"/>
    <w:rsid w:val="00606716"/>
    <w:rsid w:val="0060765E"/>
    <w:rsid w:val="00607BD4"/>
    <w:rsid w:val="00607BF6"/>
    <w:rsid w:val="00610BC1"/>
    <w:rsid w:val="00615051"/>
    <w:rsid w:val="006205BF"/>
    <w:rsid w:val="0062135D"/>
    <w:rsid w:val="00622699"/>
    <w:rsid w:val="00625428"/>
    <w:rsid w:val="00630AAC"/>
    <w:rsid w:val="006314C2"/>
    <w:rsid w:val="00631C5A"/>
    <w:rsid w:val="0063379F"/>
    <w:rsid w:val="0063610A"/>
    <w:rsid w:val="006367D4"/>
    <w:rsid w:val="00640E34"/>
    <w:rsid w:val="00642363"/>
    <w:rsid w:val="00644CAA"/>
    <w:rsid w:val="0064585F"/>
    <w:rsid w:val="0064652F"/>
    <w:rsid w:val="0064722F"/>
    <w:rsid w:val="00647D58"/>
    <w:rsid w:val="00652A1B"/>
    <w:rsid w:val="00652A7E"/>
    <w:rsid w:val="006546EA"/>
    <w:rsid w:val="00656C08"/>
    <w:rsid w:val="00657AD0"/>
    <w:rsid w:val="0066102E"/>
    <w:rsid w:val="00661E10"/>
    <w:rsid w:val="00663C03"/>
    <w:rsid w:val="0066681E"/>
    <w:rsid w:val="00670008"/>
    <w:rsid w:val="0067144E"/>
    <w:rsid w:val="006728AB"/>
    <w:rsid w:val="00673798"/>
    <w:rsid w:val="00674A1B"/>
    <w:rsid w:val="006804BB"/>
    <w:rsid w:val="006845D3"/>
    <w:rsid w:val="00686FBB"/>
    <w:rsid w:val="006932B7"/>
    <w:rsid w:val="00694538"/>
    <w:rsid w:val="006974ED"/>
    <w:rsid w:val="006A4AC4"/>
    <w:rsid w:val="006B014A"/>
    <w:rsid w:val="006B1886"/>
    <w:rsid w:val="006B2DDD"/>
    <w:rsid w:val="006B6739"/>
    <w:rsid w:val="006B72B0"/>
    <w:rsid w:val="006C06C9"/>
    <w:rsid w:val="006C08F0"/>
    <w:rsid w:val="006C214D"/>
    <w:rsid w:val="006C551A"/>
    <w:rsid w:val="006D036B"/>
    <w:rsid w:val="006D3485"/>
    <w:rsid w:val="006D5419"/>
    <w:rsid w:val="006D747B"/>
    <w:rsid w:val="006E249F"/>
    <w:rsid w:val="006E344D"/>
    <w:rsid w:val="006E51CF"/>
    <w:rsid w:val="006E5C17"/>
    <w:rsid w:val="006F07AB"/>
    <w:rsid w:val="006F22E5"/>
    <w:rsid w:val="006F2A4E"/>
    <w:rsid w:val="006F67B6"/>
    <w:rsid w:val="006F6DB0"/>
    <w:rsid w:val="006F74D1"/>
    <w:rsid w:val="006F7BBE"/>
    <w:rsid w:val="00704AEC"/>
    <w:rsid w:val="0070576A"/>
    <w:rsid w:val="0070609B"/>
    <w:rsid w:val="00711806"/>
    <w:rsid w:val="00711DFE"/>
    <w:rsid w:val="007124BC"/>
    <w:rsid w:val="007137F1"/>
    <w:rsid w:val="007156D2"/>
    <w:rsid w:val="0072037A"/>
    <w:rsid w:val="00722F7B"/>
    <w:rsid w:val="00724537"/>
    <w:rsid w:val="007300F1"/>
    <w:rsid w:val="007357E2"/>
    <w:rsid w:val="00744405"/>
    <w:rsid w:val="00744A05"/>
    <w:rsid w:val="00746AC3"/>
    <w:rsid w:val="0075151D"/>
    <w:rsid w:val="007524CB"/>
    <w:rsid w:val="007616D4"/>
    <w:rsid w:val="00763C07"/>
    <w:rsid w:val="007643B5"/>
    <w:rsid w:val="00767044"/>
    <w:rsid w:val="00767A9C"/>
    <w:rsid w:val="00770CA0"/>
    <w:rsid w:val="00775539"/>
    <w:rsid w:val="00776052"/>
    <w:rsid w:val="00777B6C"/>
    <w:rsid w:val="00782584"/>
    <w:rsid w:val="00784173"/>
    <w:rsid w:val="007846E9"/>
    <w:rsid w:val="00787395"/>
    <w:rsid w:val="00787D19"/>
    <w:rsid w:val="00792B82"/>
    <w:rsid w:val="00795081"/>
    <w:rsid w:val="007952C7"/>
    <w:rsid w:val="00796034"/>
    <w:rsid w:val="00797A11"/>
    <w:rsid w:val="007A0E43"/>
    <w:rsid w:val="007A5319"/>
    <w:rsid w:val="007A7EF1"/>
    <w:rsid w:val="007B01CE"/>
    <w:rsid w:val="007B2309"/>
    <w:rsid w:val="007B2A84"/>
    <w:rsid w:val="007B3132"/>
    <w:rsid w:val="007C2AE4"/>
    <w:rsid w:val="007C66D2"/>
    <w:rsid w:val="007D3DC6"/>
    <w:rsid w:val="007D68A5"/>
    <w:rsid w:val="007F6C55"/>
    <w:rsid w:val="007F71D3"/>
    <w:rsid w:val="00800F4A"/>
    <w:rsid w:val="00802B0A"/>
    <w:rsid w:val="00804537"/>
    <w:rsid w:val="008061D3"/>
    <w:rsid w:val="0080672E"/>
    <w:rsid w:val="008068DA"/>
    <w:rsid w:val="008068EC"/>
    <w:rsid w:val="00810522"/>
    <w:rsid w:val="00810823"/>
    <w:rsid w:val="00813D04"/>
    <w:rsid w:val="0081414C"/>
    <w:rsid w:val="00820914"/>
    <w:rsid w:val="008247D9"/>
    <w:rsid w:val="00826C3A"/>
    <w:rsid w:val="008310EF"/>
    <w:rsid w:val="00832896"/>
    <w:rsid w:val="00833271"/>
    <w:rsid w:val="0083354F"/>
    <w:rsid w:val="00840117"/>
    <w:rsid w:val="00843C8F"/>
    <w:rsid w:val="00844290"/>
    <w:rsid w:val="00844507"/>
    <w:rsid w:val="00846AC2"/>
    <w:rsid w:val="00846F1B"/>
    <w:rsid w:val="008472B1"/>
    <w:rsid w:val="00857654"/>
    <w:rsid w:val="00857B62"/>
    <w:rsid w:val="008627EA"/>
    <w:rsid w:val="00862EBB"/>
    <w:rsid w:val="008631DD"/>
    <w:rsid w:val="0086376A"/>
    <w:rsid w:val="0086392E"/>
    <w:rsid w:val="008703DB"/>
    <w:rsid w:val="00872CE4"/>
    <w:rsid w:val="00877E4D"/>
    <w:rsid w:val="00880D74"/>
    <w:rsid w:val="00881BAB"/>
    <w:rsid w:val="00881D84"/>
    <w:rsid w:val="0088254B"/>
    <w:rsid w:val="00884BA6"/>
    <w:rsid w:val="008858F6"/>
    <w:rsid w:val="00892DE8"/>
    <w:rsid w:val="008A1BF9"/>
    <w:rsid w:val="008A4525"/>
    <w:rsid w:val="008A4B8E"/>
    <w:rsid w:val="008A6628"/>
    <w:rsid w:val="008A6929"/>
    <w:rsid w:val="008B1D39"/>
    <w:rsid w:val="008B5573"/>
    <w:rsid w:val="008B68C0"/>
    <w:rsid w:val="008B6942"/>
    <w:rsid w:val="008B6CBB"/>
    <w:rsid w:val="008C209A"/>
    <w:rsid w:val="008C24AF"/>
    <w:rsid w:val="008C6135"/>
    <w:rsid w:val="008C7C29"/>
    <w:rsid w:val="008D4D12"/>
    <w:rsid w:val="008D5387"/>
    <w:rsid w:val="008E3FBC"/>
    <w:rsid w:val="008F108C"/>
    <w:rsid w:val="008F1D6D"/>
    <w:rsid w:val="008F38B6"/>
    <w:rsid w:val="008F3ED0"/>
    <w:rsid w:val="008F4D77"/>
    <w:rsid w:val="008F4E54"/>
    <w:rsid w:val="008F6AA2"/>
    <w:rsid w:val="00900116"/>
    <w:rsid w:val="00903AB9"/>
    <w:rsid w:val="0090623C"/>
    <w:rsid w:val="009066BD"/>
    <w:rsid w:val="00906C2A"/>
    <w:rsid w:val="0091002A"/>
    <w:rsid w:val="00910B36"/>
    <w:rsid w:val="00913858"/>
    <w:rsid w:val="0091776B"/>
    <w:rsid w:val="00917C51"/>
    <w:rsid w:val="009209E8"/>
    <w:rsid w:val="00920BBA"/>
    <w:rsid w:val="00922592"/>
    <w:rsid w:val="00925B9C"/>
    <w:rsid w:val="00926CDD"/>
    <w:rsid w:val="00926EE7"/>
    <w:rsid w:val="009306C3"/>
    <w:rsid w:val="009324FE"/>
    <w:rsid w:val="00933150"/>
    <w:rsid w:val="0093334D"/>
    <w:rsid w:val="009337D4"/>
    <w:rsid w:val="0093727B"/>
    <w:rsid w:val="0094041C"/>
    <w:rsid w:val="0094055B"/>
    <w:rsid w:val="0094106C"/>
    <w:rsid w:val="00941545"/>
    <w:rsid w:val="00942790"/>
    <w:rsid w:val="009434EF"/>
    <w:rsid w:val="009437A7"/>
    <w:rsid w:val="00946789"/>
    <w:rsid w:val="009500C5"/>
    <w:rsid w:val="0095347E"/>
    <w:rsid w:val="009546B7"/>
    <w:rsid w:val="00955047"/>
    <w:rsid w:val="00955238"/>
    <w:rsid w:val="009561D2"/>
    <w:rsid w:val="00960EB0"/>
    <w:rsid w:val="009613A3"/>
    <w:rsid w:val="0096147D"/>
    <w:rsid w:val="00962876"/>
    <w:rsid w:val="00965552"/>
    <w:rsid w:val="0096574A"/>
    <w:rsid w:val="0096617A"/>
    <w:rsid w:val="00967345"/>
    <w:rsid w:val="009700E7"/>
    <w:rsid w:val="0097256F"/>
    <w:rsid w:val="0097378B"/>
    <w:rsid w:val="00975775"/>
    <w:rsid w:val="00981749"/>
    <w:rsid w:val="009840B0"/>
    <w:rsid w:val="00984531"/>
    <w:rsid w:val="00985D50"/>
    <w:rsid w:val="009869E5"/>
    <w:rsid w:val="009907E2"/>
    <w:rsid w:val="00990BDD"/>
    <w:rsid w:val="00991F92"/>
    <w:rsid w:val="009930AE"/>
    <w:rsid w:val="00994368"/>
    <w:rsid w:val="009960AD"/>
    <w:rsid w:val="009A089A"/>
    <w:rsid w:val="009A456E"/>
    <w:rsid w:val="009A6799"/>
    <w:rsid w:val="009A693B"/>
    <w:rsid w:val="009A7284"/>
    <w:rsid w:val="009B074B"/>
    <w:rsid w:val="009B0A3E"/>
    <w:rsid w:val="009B205B"/>
    <w:rsid w:val="009B7F5E"/>
    <w:rsid w:val="009C7FD8"/>
    <w:rsid w:val="009D05BF"/>
    <w:rsid w:val="009D2432"/>
    <w:rsid w:val="009D2FB9"/>
    <w:rsid w:val="009D43BF"/>
    <w:rsid w:val="009E4C1C"/>
    <w:rsid w:val="009F064F"/>
    <w:rsid w:val="009F11C8"/>
    <w:rsid w:val="009F15EF"/>
    <w:rsid w:val="009F24D1"/>
    <w:rsid w:val="00A00917"/>
    <w:rsid w:val="00A01EFD"/>
    <w:rsid w:val="00A027FA"/>
    <w:rsid w:val="00A04B51"/>
    <w:rsid w:val="00A068B7"/>
    <w:rsid w:val="00A06FF6"/>
    <w:rsid w:val="00A07578"/>
    <w:rsid w:val="00A142A4"/>
    <w:rsid w:val="00A15CC2"/>
    <w:rsid w:val="00A17158"/>
    <w:rsid w:val="00A20856"/>
    <w:rsid w:val="00A2682E"/>
    <w:rsid w:val="00A319A4"/>
    <w:rsid w:val="00A320D2"/>
    <w:rsid w:val="00A33BCD"/>
    <w:rsid w:val="00A33EC9"/>
    <w:rsid w:val="00A35C1B"/>
    <w:rsid w:val="00A377F1"/>
    <w:rsid w:val="00A40087"/>
    <w:rsid w:val="00A41CA5"/>
    <w:rsid w:val="00A42CD8"/>
    <w:rsid w:val="00A46BC3"/>
    <w:rsid w:val="00A5628D"/>
    <w:rsid w:val="00A57C84"/>
    <w:rsid w:val="00A648D2"/>
    <w:rsid w:val="00A648FB"/>
    <w:rsid w:val="00A65899"/>
    <w:rsid w:val="00A665B8"/>
    <w:rsid w:val="00A73A1E"/>
    <w:rsid w:val="00A841E3"/>
    <w:rsid w:val="00A85680"/>
    <w:rsid w:val="00A913E3"/>
    <w:rsid w:val="00A920ED"/>
    <w:rsid w:val="00A93030"/>
    <w:rsid w:val="00A97447"/>
    <w:rsid w:val="00AA0C7F"/>
    <w:rsid w:val="00AA10F0"/>
    <w:rsid w:val="00AA1E25"/>
    <w:rsid w:val="00AA48F0"/>
    <w:rsid w:val="00AA65EF"/>
    <w:rsid w:val="00AB07FC"/>
    <w:rsid w:val="00AB0BCB"/>
    <w:rsid w:val="00AB14C7"/>
    <w:rsid w:val="00AB274C"/>
    <w:rsid w:val="00AB706C"/>
    <w:rsid w:val="00AB7635"/>
    <w:rsid w:val="00AB7D40"/>
    <w:rsid w:val="00AC1089"/>
    <w:rsid w:val="00AC169A"/>
    <w:rsid w:val="00AC17BD"/>
    <w:rsid w:val="00AC196E"/>
    <w:rsid w:val="00AC7076"/>
    <w:rsid w:val="00AD0858"/>
    <w:rsid w:val="00AD159E"/>
    <w:rsid w:val="00AD3FA3"/>
    <w:rsid w:val="00AD570B"/>
    <w:rsid w:val="00AD5B62"/>
    <w:rsid w:val="00AE07D2"/>
    <w:rsid w:val="00AE0DF0"/>
    <w:rsid w:val="00AE2A86"/>
    <w:rsid w:val="00AE2F7F"/>
    <w:rsid w:val="00AE5DE1"/>
    <w:rsid w:val="00AE5F7C"/>
    <w:rsid w:val="00AE7D4F"/>
    <w:rsid w:val="00AF35AE"/>
    <w:rsid w:val="00AF5287"/>
    <w:rsid w:val="00B12CAE"/>
    <w:rsid w:val="00B12DA9"/>
    <w:rsid w:val="00B14210"/>
    <w:rsid w:val="00B1771E"/>
    <w:rsid w:val="00B20979"/>
    <w:rsid w:val="00B20B9D"/>
    <w:rsid w:val="00B20CA6"/>
    <w:rsid w:val="00B23297"/>
    <w:rsid w:val="00B238D0"/>
    <w:rsid w:val="00B24130"/>
    <w:rsid w:val="00B30117"/>
    <w:rsid w:val="00B3066F"/>
    <w:rsid w:val="00B32FDE"/>
    <w:rsid w:val="00B3485C"/>
    <w:rsid w:val="00B3551C"/>
    <w:rsid w:val="00B42A8F"/>
    <w:rsid w:val="00B455A2"/>
    <w:rsid w:val="00B476A0"/>
    <w:rsid w:val="00B55DD4"/>
    <w:rsid w:val="00B56961"/>
    <w:rsid w:val="00B60996"/>
    <w:rsid w:val="00B6151D"/>
    <w:rsid w:val="00B617D3"/>
    <w:rsid w:val="00B61E94"/>
    <w:rsid w:val="00B628A3"/>
    <w:rsid w:val="00B64F32"/>
    <w:rsid w:val="00B65DD7"/>
    <w:rsid w:val="00B66B82"/>
    <w:rsid w:val="00B7678B"/>
    <w:rsid w:val="00B76B5B"/>
    <w:rsid w:val="00B77B9B"/>
    <w:rsid w:val="00B82633"/>
    <w:rsid w:val="00B8263F"/>
    <w:rsid w:val="00B836E8"/>
    <w:rsid w:val="00B83FBC"/>
    <w:rsid w:val="00B841A4"/>
    <w:rsid w:val="00B847EE"/>
    <w:rsid w:val="00B86E62"/>
    <w:rsid w:val="00B871DD"/>
    <w:rsid w:val="00B87D69"/>
    <w:rsid w:val="00B95726"/>
    <w:rsid w:val="00B9653B"/>
    <w:rsid w:val="00BA1954"/>
    <w:rsid w:val="00BB33FE"/>
    <w:rsid w:val="00BB5C5F"/>
    <w:rsid w:val="00BB612A"/>
    <w:rsid w:val="00BC3247"/>
    <w:rsid w:val="00BC4F1B"/>
    <w:rsid w:val="00BC6714"/>
    <w:rsid w:val="00BC6F1B"/>
    <w:rsid w:val="00BC7668"/>
    <w:rsid w:val="00BC7B08"/>
    <w:rsid w:val="00BD1FA5"/>
    <w:rsid w:val="00BD2812"/>
    <w:rsid w:val="00BD6949"/>
    <w:rsid w:val="00BD7715"/>
    <w:rsid w:val="00BE24AE"/>
    <w:rsid w:val="00BE4B8D"/>
    <w:rsid w:val="00BE4D08"/>
    <w:rsid w:val="00BE5EB9"/>
    <w:rsid w:val="00BE63D7"/>
    <w:rsid w:val="00BF0B2C"/>
    <w:rsid w:val="00BF0C97"/>
    <w:rsid w:val="00BF28EC"/>
    <w:rsid w:val="00BF51F6"/>
    <w:rsid w:val="00C0021F"/>
    <w:rsid w:val="00C0040A"/>
    <w:rsid w:val="00C02BD8"/>
    <w:rsid w:val="00C02D9A"/>
    <w:rsid w:val="00C0594E"/>
    <w:rsid w:val="00C076E0"/>
    <w:rsid w:val="00C07D0A"/>
    <w:rsid w:val="00C12240"/>
    <w:rsid w:val="00C138B2"/>
    <w:rsid w:val="00C13F57"/>
    <w:rsid w:val="00C17074"/>
    <w:rsid w:val="00C1758E"/>
    <w:rsid w:val="00C21388"/>
    <w:rsid w:val="00C21672"/>
    <w:rsid w:val="00C22755"/>
    <w:rsid w:val="00C25A54"/>
    <w:rsid w:val="00C27F57"/>
    <w:rsid w:val="00C31656"/>
    <w:rsid w:val="00C31F14"/>
    <w:rsid w:val="00C32441"/>
    <w:rsid w:val="00C34FE2"/>
    <w:rsid w:val="00C36041"/>
    <w:rsid w:val="00C36B8D"/>
    <w:rsid w:val="00C402C9"/>
    <w:rsid w:val="00C418DE"/>
    <w:rsid w:val="00C42124"/>
    <w:rsid w:val="00C45F5C"/>
    <w:rsid w:val="00C466A2"/>
    <w:rsid w:val="00C46AF0"/>
    <w:rsid w:val="00C479FE"/>
    <w:rsid w:val="00C47EB3"/>
    <w:rsid w:val="00C503C8"/>
    <w:rsid w:val="00C50B1D"/>
    <w:rsid w:val="00C53ADD"/>
    <w:rsid w:val="00C55AE6"/>
    <w:rsid w:val="00C57197"/>
    <w:rsid w:val="00C61B4D"/>
    <w:rsid w:val="00C62E07"/>
    <w:rsid w:val="00C65409"/>
    <w:rsid w:val="00C70F4F"/>
    <w:rsid w:val="00C840F2"/>
    <w:rsid w:val="00C859E8"/>
    <w:rsid w:val="00C9122B"/>
    <w:rsid w:val="00C95F2A"/>
    <w:rsid w:val="00C9683B"/>
    <w:rsid w:val="00CA0EF6"/>
    <w:rsid w:val="00CA31DB"/>
    <w:rsid w:val="00CB0000"/>
    <w:rsid w:val="00CB26B0"/>
    <w:rsid w:val="00CB3CCE"/>
    <w:rsid w:val="00CC14F9"/>
    <w:rsid w:val="00CC1C56"/>
    <w:rsid w:val="00CC6509"/>
    <w:rsid w:val="00CD144D"/>
    <w:rsid w:val="00CD2724"/>
    <w:rsid w:val="00CD33AB"/>
    <w:rsid w:val="00CD5E71"/>
    <w:rsid w:val="00CE576E"/>
    <w:rsid w:val="00CF1C70"/>
    <w:rsid w:val="00CF1F65"/>
    <w:rsid w:val="00CF291C"/>
    <w:rsid w:val="00CF2A90"/>
    <w:rsid w:val="00CF4490"/>
    <w:rsid w:val="00CF4B54"/>
    <w:rsid w:val="00D05CEA"/>
    <w:rsid w:val="00D060F5"/>
    <w:rsid w:val="00D06613"/>
    <w:rsid w:val="00D119E0"/>
    <w:rsid w:val="00D1210A"/>
    <w:rsid w:val="00D12679"/>
    <w:rsid w:val="00D1395D"/>
    <w:rsid w:val="00D13FCC"/>
    <w:rsid w:val="00D15B9A"/>
    <w:rsid w:val="00D15D80"/>
    <w:rsid w:val="00D17055"/>
    <w:rsid w:val="00D17C21"/>
    <w:rsid w:val="00D17D8C"/>
    <w:rsid w:val="00D2223C"/>
    <w:rsid w:val="00D242D4"/>
    <w:rsid w:val="00D2599B"/>
    <w:rsid w:val="00D26068"/>
    <w:rsid w:val="00D26793"/>
    <w:rsid w:val="00D27953"/>
    <w:rsid w:val="00D327BA"/>
    <w:rsid w:val="00D334C0"/>
    <w:rsid w:val="00D33952"/>
    <w:rsid w:val="00D36619"/>
    <w:rsid w:val="00D37577"/>
    <w:rsid w:val="00D42042"/>
    <w:rsid w:val="00D450F4"/>
    <w:rsid w:val="00D45431"/>
    <w:rsid w:val="00D50730"/>
    <w:rsid w:val="00D50E97"/>
    <w:rsid w:val="00D51BE0"/>
    <w:rsid w:val="00D65F39"/>
    <w:rsid w:val="00D66479"/>
    <w:rsid w:val="00D671BC"/>
    <w:rsid w:val="00D725C0"/>
    <w:rsid w:val="00D756B0"/>
    <w:rsid w:val="00D7654E"/>
    <w:rsid w:val="00D777A5"/>
    <w:rsid w:val="00D803AB"/>
    <w:rsid w:val="00D85475"/>
    <w:rsid w:val="00D87DC8"/>
    <w:rsid w:val="00D9044D"/>
    <w:rsid w:val="00D90F3B"/>
    <w:rsid w:val="00D94EB2"/>
    <w:rsid w:val="00D961BF"/>
    <w:rsid w:val="00DA2563"/>
    <w:rsid w:val="00DA380B"/>
    <w:rsid w:val="00DB171F"/>
    <w:rsid w:val="00DB304D"/>
    <w:rsid w:val="00DB50E6"/>
    <w:rsid w:val="00DB7459"/>
    <w:rsid w:val="00DC4094"/>
    <w:rsid w:val="00DC4747"/>
    <w:rsid w:val="00DC499D"/>
    <w:rsid w:val="00DC6B9D"/>
    <w:rsid w:val="00DC7034"/>
    <w:rsid w:val="00DD5A57"/>
    <w:rsid w:val="00DD75E2"/>
    <w:rsid w:val="00DE28A4"/>
    <w:rsid w:val="00DE29C3"/>
    <w:rsid w:val="00DF29E0"/>
    <w:rsid w:val="00DF3562"/>
    <w:rsid w:val="00DF3AF1"/>
    <w:rsid w:val="00DF7E27"/>
    <w:rsid w:val="00E0297A"/>
    <w:rsid w:val="00E05CD7"/>
    <w:rsid w:val="00E06DA4"/>
    <w:rsid w:val="00E121FC"/>
    <w:rsid w:val="00E1224E"/>
    <w:rsid w:val="00E14149"/>
    <w:rsid w:val="00E14A89"/>
    <w:rsid w:val="00E17D40"/>
    <w:rsid w:val="00E21BBE"/>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1D91"/>
    <w:rsid w:val="00E6386B"/>
    <w:rsid w:val="00E641BC"/>
    <w:rsid w:val="00E6511F"/>
    <w:rsid w:val="00E656AA"/>
    <w:rsid w:val="00E66CEA"/>
    <w:rsid w:val="00E6785B"/>
    <w:rsid w:val="00E67BB4"/>
    <w:rsid w:val="00E705A5"/>
    <w:rsid w:val="00E71356"/>
    <w:rsid w:val="00E715AA"/>
    <w:rsid w:val="00E73851"/>
    <w:rsid w:val="00E74A59"/>
    <w:rsid w:val="00E74FD6"/>
    <w:rsid w:val="00E761CC"/>
    <w:rsid w:val="00E76A25"/>
    <w:rsid w:val="00E7726C"/>
    <w:rsid w:val="00E80DD8"/>
    <w:rsid w:val="00E8351B"/>
    <w:rsid w:val="00E847F7"/>
    <w:rsid w:val="00E87230"/>
    <w:rsid w:val="00E872AD"/>
    <w:rsid w:val="00E87666"/>
    <w:rsid w:val="00E9078D"/>
    <w:rsid w:val="00E912E2"/>
    <w:rsid w:val="00E91BF4"/>
    <w:rsid w:val="00E92B97"/>
    <w:rsid w:val="00E93AE3"/>
    <w:rsid w:val="00E94C05"/>
    <w:rsid w:val="00E96D5C"/>
    <w:rsid w:val="00EA1744"/>
    <w:rsid w:val="00EA585D"/>
    <w:rsid w:val="00EA75E3"/>
    <w:rsid w:val="00EB1CE6"/>
    <w:rsid w:val="00EB2E66"/>
    <w:rsid w:val="00EC22AB"/>
    <w:rsid w:val="00EC767D"/>
    <w:rsid w:val="00ED3CA9"/>
    <w:rsid w:val="00ED7DB6"/>
    <w:rsid w:val="00EE1040"/>
    <w:rsid w:val="00EE2F7B"/>
    <w:rsid w:val="00EE34DE"/>
    <w:rsid w:val="00EE62CD"/>
    <w:rsid w:val="00EF0DD2"/>
    <w:rsid w:val="00F00A1D"/>
    <w:rsid w:val="00F0204B"/>
    <w:rsid w:val="00F046AF"/>
    <w:rsid w:val="00F077F5"/>
    <w:rsid w:val="00F10359"/>
    <w:rsid w:val="00F110EC"/>
    <w:rsid w:val="00F141A0"/>
    <w:rsid w:val="00F1438C"/>
    <w:rsid w:val="00F15235"/>
    <w:rsid w:val="00F21F0C"/>
    <w:rsid w:val="00F2452B"/>
    <w:rsid w:val="00F3047A"/>
    <w:rsid w:val="00F31749"/>
    <w:rsid w:val="00F321CA"/>
    <w:rsid w:val="00F3403B"/>
    <w:rsid w:val="00F354C9"/>
    <w:rsid w:val="00F37DC2"/>
    <w:rsid w:val="00F41097"/>
    <w:rsid w:val="00F4197F"/>
    <w:rsid w:val="00F42B8A"/>
    <w:rsid w:val="00F5283D"/>
    <w:rsid w:val="00F52D03"/>
    <w:rsid w:val="00F601B8"/>
    <w:rsid w:val="00F61283"/>
    <w:rsid w:val="00F6194B"/>
    <w:rsid w:val="00F65CFD"/>
    <w:rsid w:val="00F6738F"/>
    <w:rsid w:val="00F7367D"/>
    <w:rsid w:val="00F85A84"/>
    <w:rsid w:val="00F865C5"/>
    <w:rsid w:val="00F94DA0"/>
    <w:rsid w:val="00F95580"/>
    <w:rsid w:val="00F979A3"/>
    <w:rsid w:val="00FA1BA0"/>
    <w:rsid w:val="00FA2DC3"/>
    <w:rsid w:val="00FA6BE0"/>
    <w:rsid w:val="00FA72A6"/>
    <w:rsid w:val="00FB3072"/>
    <w:rsid w:val="00FB5939"/>
    <w:rsid w:val="00FB5EA4"/>
    <w:rsid w:val="00FC3E48"/>
    <w:rsid w:val="00FC4503"/>
    <w:rsid w:val="00FC6F7D"/>
    <w:rsid w:val="00FD0E95"/>
    <w:rsid w:val="00FD24CA"/>
    <w:rsid w:val="00FD53B3"/>
    <w:rsid w:val="00FD5646"/>
    <w:rsid w:val="00FE1BBF"/>
    <w:rsid w:val="00FE2F34"/>
    <w:rsid w:val="00FF0763"/>
    <w:rsid w:val="00FF2520"/>
    <w:rsid w:val="00FF2E08"/>
    <w:rsid w:val="00FF30F2"/>
    <w:rsid w:val="00FF4215"/>
    <w:rsid w:val="00FF4C85"/>
    <w:rsid w:val="00FF7BA0"/>
    <w:rsid w:val="01B144DB"/>
    <w:rsid w:val="01C118D6"/>
    <w:rsid w:val="059F5901"/>
    <w:rsid w:val="060362E5"/>
    <w:rsid w:val="06346CCF"/>
    <w:rsid w:val="0AB17D09"/>
    <w:rsid w:val="0B1E2C34"/>
    <w:rsid w:val="0C940DCC"/>
    <w:rsid w:val="0E2D4362"/>
    <w:rsid w:val="0F040128"/>
    <w:rsid w:val="11D13F62"/>
    <w:rsid w:val="11FD4DC6"/>
    <w:rsid w:val="122C46D4"/>
    <w:rsid w:val="15845605"/>
    <w:rsid w:val="15B4381B"/>
    <w:rsid w:val="16AE5A9E"/>
    <w:rsid w:val="1E46112C"/>
    <w:rsid w:val="202855B7"/>
    <w:rsid w:val="222C7615"/>
    <w:rsid w:val="25DD05D4"/>
    <w:rsid w:val="25F60A7C"/>
    <w:rsid w:val="263B3479"/>
    <w:rsid w:val="28E17195"/>
    <w:rsid w:val="2A4B1A17"/>
    <w:rsid w:val="2B332017"/>
    <w:rsid w:val="2C0D101E"/>
    <w:rsid w:val="2C450206"/>
    <w:rsid w:val="2C5C42DF"/>
    <w:rsid w:val="2D6B3AFD"/>
    <w:rsid w:val="310F3573"/>
    <w:rsid w:val="327B424B"/>
    <w:rsid w:val="32CA0D02"/>
    <w:rsid w:val="355253D3"/>
    <w:rsid w:val="375F39A4"/>
    <w:rsid w:val="37EC1233"/>
    <w:rsid w:val="39287D90"/>
    <w:rsid w:val="39F74264"/>
    <w:rsid w:val="3A09365C"/>
    <w:rsid w:val="3B631E67"/>
    <w:rsid w:val="3CA456AC"/>
    <w:rsid w:val="3D395612"/>
    <w:rsid w:val="3E594F24"/>
    <w:rsid w:val="3F954E07"/>
    <w:rsid w:val="41F970AF"/>
    <w:rsid w:val="445204DB"/>
    <w:rsid w:val="459C7A80"/>
    <w:rsid w:val="45D65E5C"/>
    <w:rsid w:val="489C2A90"/>
    <w:rsid w:val="4CED6D8E"/>
    <w:rsid w:val="4E1711A4"/>
    <w:rsid w:val="4EAC1CF1"/>
    <w:rsid w:val="4F877332"/>
    <w:rsid w:val="50F75BD0"/>
    <w:rsid w:val="53EE47E0"/>
    <w:rsid w:val="567A71AE"/>
    <w:rsid w:val="57926797"/>
    <w:rsid w:val="58B60FBE"/>
    <w:rsid w:val="59480F28"/>
    <w:rsid w:val="5C9D7DFD"/>
    <w:rsid w:val="5CEA3115"/>
    <w:rsid w:val="5E9C0048"/>
    <w:rsid w:val="5F260928"/>
    <w:rsid w:val="5F741449"/>
    <w:rsid w:val="5FBD4F1B"/>
    <w:rsid w:val="604C12C1"/>
    <w:rsid w:val="60E05AE3"/>
    <w:rsid w:val="61EB16DE"/>
    <w:rsid w:val="62C96900"/>
    <w:rsid w:val="63631F1B"/>
    <w:rsid w:val="662A3668"/>
    <w:rsid w:val="66841BD9"/>
    <w:rsid w:val="676C00A2"/>
    <w:rsid w:val="67A55390"/>
    <w:rsid w:val="68E23530"/>
    <w:rsid w:val="68F727FB"/>
    <w:rsid w:val="6E7A0854"/>
    <w:rsid w:val="6E861549"/>
    <w:rsid w:val="714312DA"/>
    <w:rsid w:val="71DB48C3"/>
    <w:rsid w:val="76B61C21"/>
    <w:rsid w:val="79024BB2"/>
    <w:rsid w:val="79D54275"/>
    <w:rsid w:val="7DF376F0"/>
    <w:rsid w:val="7EA51773"/>
    <w:rsid w:val="7EF10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5"/>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2">
    <w:name w:val="heading 2"/>
    <w:basedOn w:val="1"/>
    <w:next w:val="3"/>
    <w:link w:val="6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7"/>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3"/>
    <w:link w:val="210"/>
    <w:qFormat/>
    <w:uiPriority w:val="0"/>
    <w:pPr>
      <w:keepNext/>
      <w:keepLines/>
      <w:spacing w:before="280" w:after="290" w:line="376" w:lineRule="auto"/>
      <w:outlineLvl w:val="3"/>
    </w:pPr>
    <w:rPr>
      <w:rFonts w:ascii="Arial" w:hAnsi="Arial" w:eastAsia="黑体" w:cs="Times New Roman"/>
      <w:b/>
      <w:sz w:val="28"/>
      <w:szCs w:val="20"/>
    </w:rPr>
  </w:style>
  <w:style w:type="paragraph" w:styleId="7">
    <w:name w:val="heading 5"/>
    <w:basedOn w:val="1"/>
    <w:next w:val="3"/>
    <w:link w:val="211"/>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3"/>
    <w:link w:val="212"/>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3"/>
    <w:link w:val="213"/>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3"/>
    <w:link w:val="214"/>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3"/>
    <w:link w:val="215"/>
    <w:qFormat/>
    <w:uiPriority w:val="0"/>
    <w:pPr>
      <w:keepNext/>
      <w:keepLines/>
      <w:spacing w:before="240" w:after="64" w:line="320" w:lineRule="auto"/>
      <w:outlineLvl w:val="8"/>
    </w:pPr>
    <w:rPr>
      <w:rFonts w:ascii="Arial" w:hAnsi="Arial" w:eastAsia="黑体" w:cs="Times New Roman"/>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link w:val="118"/>
    <w:qFormat/>
    <w:uiPriority w:val="0"/>
    <w:pPr>
      <w:ind w:firstLine="420" w:firstLineChars="200"/>
    </w:pPr>
    <w:rPr>
      <w:rFonts w:ascii="Times New Roman" w:hAnsi="Times New Roman" w:eastAsia="宋体" w:cs="Times New Roman"/>
      <w:kern w:val="0"/>
      <w:sz w:val="24"/>
      <w:szCs w:val="20"/>
    </w:rPr>
  </w:style>
  <w:style w:type="paragraph" w:styleId="12">
    <w:name w:val="toc 7"/>
    <w:basedOn w:val="1"/>
    <w:next w:val="1"/>
    <w:qFormat/>
    <w:uiPriority w:val="0"/>
    <w:pPr>
      <w:ind w:left="2520" w:leftChars="1200"/>
    </w:pPr>
    <w:rPr>
      <w:rFonts w:ascii="Times New Roman" w:hAnsi="Times New Roman" w:eastAsia="宋体" w:cs="Times New Roman"/>
      <w:szCs w:val="24"/>
    </w:rPr>
  </w:style>
  <w:style w:type="paragraph" w:styleId="13">
    <w:name w:val="table of authorities"/>
    <w:basedOn w:val="1"/>
    <w:next w:val="1"/>
    <w:semiHidden/>
    <w:qFormat/>
    <w:uiPriority w:val="0"/>
    <w:pPr>
      <w:widowControl/>
      <w:ind w:left="420" w:leftChars="200"/>
      <w:jc w:val="left"/>
      <w:textAlignment w:val="baseline"/>
    </w:pPr>
    <w:rPr>
      <w:rFonts w:ascii="宋体" w:hAnsi="宋体" w:eastAsia="宋体" w:cs="Times New Roman"/>
      <w:kern w:val="0"/>
      <w:sz w:val="22"/>
      <w:lang w:eastAsia="en-US"/>
    </w:rPr>
  </w:style>
  <w:style w:type="paragraph" w:styleId="14">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index 5"/>
    <w:basedOn w:val="1"/>
    <w:next w:val="1"/>
    <w:unhideWhenUsed/>
    <w:qFormat/>
    <w:uiPriority w:val="0"/>
    <w:pPr>
      <w:ind w:left="800" w:leftChars="800"/>
    </w:pPr>
  </w:style>
  <w:style w:type="paragraph" w:styleId="16">
    <w:name w:val="Document Map"/>
    <w:basedOn w:val="1"/>
    <w:link w:val="136"/>
    <w:qFormat/>
    <w:uiPriority w:val="0"/>
    <w:rPr>
      <w:rFonts w:ascii="宋体" w:hAnsi="Calibri" w:eastAsia="宋体" w:cs="Times New Roman"/>
      <w:kern w:val="0"/>
      <w:sz w:val="18"/>
      <w:szCs w:val="20"/>
    </w:rPr>
  </w:style>
  <w:style w:type="paragraph" w:styleId="17">
    <w:name w:val="toa heading"/>
    <w:basedOn w:val="1"/>
    <w:next w:val="1"/>
    <w:qFormat/>
    <w:uiPriority w:val="0"/>
    <w:pPr>
      <w:widowControl/>
      <w:spacing w:before="120"/>
      <w:jc w:val="left"/>
      <w:textAlignment w:val="baseline"/>
    </w:pPr>
    <w:rPr>
      <w:rFonts w:ascii="Cambria" w:hAnsi="Cambria" w:eastAsia="宋体" w:cs="Times New Roman"/>
      <w:kern w:val="0"/>
      <w:sz w:val="24"/>
      <w:lang w:eastAsia="en-US"/>
    </w:rPr>
  </w:style>
  <w:style w:type="paragraph" w:styleId="18">
    <w:name w:val="annotation text"/>
    <w:basedOn w:val="1"/>
    <w:link w:val="164"/>
    <w:qFormat/>
    <w:uiPriority w:val="0"/>
    <w:pPr>
      <w:jc w:val="left"/>
    </w:pPr>
  </w:style>
  <w:style w:type="paragraph" w:styleId="19">
    <w:name w:val="Body Text"/>
    <w:basedOn w:val="1"/>
    <w:next w:val="1"/>
    <w:link w:val="139"/>
    <w:qFormat/>
    <w:uiPriority w:val="0"/>
    <w:pPr>
      <w:spacing w:after="120"/>
    </w:pPr>
    <w:rPr>
      <w:rFonts w:ascii="Calibri" w:hAnsi="Calibri" w:eastAsia="宋体" w:cs="Times New Roman"/>
      <w:kern w:val="0"/>
      <w:sz w:val="24"/>
      <w:szCs w:val="20"/>
    </w:rPr>
  </w:style>
  <w:style w:type="paragraph" w:styleId="20">
    <w:name w:val="Body Text Indent"/>
    <w:basedOn w:val="1"/>
    <w:link w:val="70"/>
    <w:qFormat/>
    <w:uiPriority w:val="0"/>
    <w:pPr>
      <w:widowControl/>
      <w:spacing w:after="120"/>
      <w:ind w:left="420"/>
    </w:pPr>
    <w:rPr>
      <w:rFonts w:ascii="??" w:hAnsi="??" w:eastAsia="宋体" w:cs="Arial"/>
      <w:kern w:val="0"/>
      <w:sz w:val="24"/>
      <w:szCs w:val="24"/>
    </w:rPr>
  </w:style>
  <w:style w:type="paragraph" w:styleId="21">
    <w:name w:val="List 2"/>
    <w:basedOn w:val="1"/>
    <w:unhideWhenUsed/>
    <w:qFormat/>
    <w:uiPriority w:val="99"/>
    <w:pPr>
      <w:ind w:left="100" w:leftChars="200" w:hanging="200" w:hangingChars="200"/>
      <w:contextualSpacing/>
    </w:pPr>
  </w:style>
  <w:style w:type="paragraph" w:styleId="22">
    <w:name w:val="toc 5"/>
    <w:basedOn w:val="1"/>
    <w:next w:val="1"/>
    <w:qFormat/>
    <w:uiPriority w:val="0"/>
    <w:pPr>
      <w:ind w:left="1680" w:leftChars="800"/>
    </w:pPr>
    <w:rPr>
      <w:rFonts w:ascii="Times New Roman" w:hAnsi="Times New Roman" w:eastAsia="宋体" w:cs="Times New Roman"/>
      <w:szCs w:val="24"/>
    </w:rPr>
  </w:style>
  <w:style w:type="paragraph" w:styleId="23">
    <w:name w:val="toc 3"/>
    <w:basedOn w:val="1"/>
    <w:next w:val="1"/>
    <w:qFormat/>
    <w:uiPriority w:val="39"/>
    <w:pPr>
      <w:ind w:left="840" w:leftChars="400"/>
    </w:pPr>
    <w:rPr>
      <w:rFonts w:ascii="Times New Roman" w:hAnsi="Times New Roman" w:eastAsia="宋体" w:cs="Times New Roman"/>
      <w:szCs w:val="24"/>
    </w:rPr>
  </w:style>
  <w:style w:type="paragraph" w:styleId="24">
    <w:name w:val="Plain Text"/>
    <w:basedOn w:val="1"/>
    <w:link w:val="200"/>
    <w:qFormat/>
    <w:uiPriority w:val="0"/>
    <w:rPr>
      <w:rFonts w:ascii="宋体" w:hAnsi="Courier New" w:eastAsia="宋体"/>
      <w:szCs w:val="21"/>
    </w:rPr>
  </w:style>
  <w:style w:type="paragraph" w:styleId="25">
    <w:name w:val="toc 8"/>
    <w:basedOn w:val="1"/>
    <w:next w:val="1"/>
    <w:qFormat/>
    <w:uiPriority w:val="0"/>
    <w:pPr>
      <w:ind w:left="2940" w:leftChars="1400"/>
    </w:pPr>
    <w:rPr>
      <w:rFonts w:ascii="Times New Roman" w:hAnsi="Times New Roman" w:eastAsia="宋体" w:cs="Times New Roman"/>
      <w:szCs w:val="24"/>
    </w:rPr>
  </w:style>
  <w:style w:type="paragraph" w:styleId="26">
    <w:name w:val="Date"/>
    <w:basedOn w:val="1"/>
    <w:next w:val="1"/>
    <w:link w:val="159"/>
    <w:qFormat/>
    <w:uiPriority w:val="99"/>
    <w:rPr>
      <w:szCs w:val="21"/>
    </w:rPr>
  </w:style>
  <w:style w:type="paragraph" w:styleId="27">
    <w:name w:val="Body Text Indent 2"/>
    <w:basedOn w:val="1"/>
    <w:link w:val="132"/>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8">
    <w:name w:val="Balloon Text"/>
    <w:basedOn w:val="1"/>
    <w:link w:val="82"/>
    <w:qFormat/>
    <w:uiPriority w:val="99"/>
    <w:rPr>
      <w:rFonts w:ascii="Calibri" w:hAnsi="Calibri" w:eastAsia="宋体" w:cs="Times New Roman"/>
      <w:sz w:val="18"/>
      <w:szCs w:val="18"/>
    </w:rPr>
  </w:style>
  <w:style w:type="paragraph" w:styleId="29">
    <w:name w:val="footer"/>
    <w:basedOn w:val="1"/>
    <w:link w:val="69"/>
    <w:qFormat/>
    <w:uiPriority w:val="0"/>
    <w:pPr>
      <w:tabs>
        <w:tab w:val="center" w:pos="4153"/>
        <w:tab w:val="right" w:pos="8306"/>
      </w:tabs>
      <w:snapToGrid w:val="0"/>
      <w:jc w:val="left"/>
    </w:pPr>
    <w:rPr>
      <w:rFonts w:ascii="Calibri" w:hAnsi="Calibri" w:eastAsia="宋体" w:cs="Times New Roman"/>
      <w:sz w:val="18"/>
      <w:szCs w:val="18"/>
    </w:rPr>
  </w:style>
  <w:style w:type="paragraph" w:styleId="30">
    <w:name w:val="header"/>
    <w:basedOn w:val="1"/>
    <w:link w:val="68"/>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1">
    <w:name w:val="toc 1"/>
    <w:basedOn w:val="1"/>
    <w:next w:val="1"/>
    <w:qFormat/>
    <w:uiPriority w:val="39"/>
    <w:rPr>
      <w:rFonts w:ascii="Times New Roman" w:hAnsi="Times New Roman" w:eastAsia="宋体" w:cs="Times New Roman"/>
      <w:szCs w:val="24"/>
    </w:rPr>
  </w:style>
  <w:style w:type="paragraph" w:styleId="32">
    <w:name w:val="toc 4"/>
    <w:basedOn w:val="1"/>
    <w:next w:val="1"/>
    <w:qFormat/>
    <w:uiPriority w:val="0"/>
    <w:pPr>
      <w:ind w:left="1260" w:leftChars="600"/>
    </w:pPr>
    <w:rPr>
      <w:rFonts w:ascii="Times New Roman" w:hAnsi="Times New Roman" w:eastAsia="宋体" w:cs="Times New Roman"/>
      <w:szCs w:val="24"/>
    </w:rPr>
  </w:style>
  <w:style w:type="paragraph" w:styleId="33">
    <w:name w:val="Subtitle"/>
    <w:basedOn w:val="1"/>
    <w:next w:val="1"/>
    <w:link w:val="274"/>
    <w:qFormat/>
    <w:uiPriority w:val="11"/>
    <w:pPr>
      <w:spacing w:line="312" w:lineRule="auto"/>
      <w:jc w:val="center"/>
      <w:outlineLvl w:val="1"/>
    </w:pPr>
    <w:rPr>
      <w:rFonts w:ascii="Cambria" w:hAnsi="Cambria" w:eastAsia="宋体" w:cs="宋体"/>
      <w:b/>
      <w:bCs/>
      <w:kern w:val="28"/>
      <w:sz w:val="32"/>
      <w:szCs w:val="32"/>
    </w:rPr>
  </w:style>
  <w:style w:type="paragraph" w:styleId="34">
    <w:name w:val="footnote text"/>
    <w:basedOn w:val="1"/>
    <w:link w:val="176"/>
    <w:qFormat/>
    <w:uiPriority w:val="0"/>
    <w:pPr>
      <w:snapToGrid w:val="0"/>
      <w:jc w:val="left"/>
    </w:pPr>
    <w:rPr>
      <w:rFonts w:ascii="Times New Roman" w:hAnsi="Times New Roman" w:eastAsia="宋体" w:cs="Times New Roman"/>
      <w:sz w:val="18"/>
      <w:szCs w:val="18"/>
    </w:rPr>
  </w:style>
  <w:style w:type="paragraph" w:styleId="35">
    <w:name w:val="toc 6"/>
    <w:basedOn w:val="1"/>
    <w:next w:val="1"/>
    <w:qFormat/>
    <w:uiPriority w:val="0"/>
    <w:pPr>
      <w:ind w:left="2100" w:leftChars="1000"/>
    </w:pPr>
    <w:rPr>
      <w:rFonts w:ascii="Times New Roman" w:hAnsi="Times New Roman" w:eastAsia="宋体" w:cs="Times New Roman"/>
      <w:szCs w:val="24"/>
    </w:rPr>
  </w:style>
  <w:style w:type="paragraph" w:styleId="36">
    <w:name w:val="Body Text Indent 3"/>
    <w:basedOn w:val="1"/>
    <w:link w:val="134"/>
    <w:qFormat/>
    <w:uiPriority w:val="99"/>
    <w:pPr>
      <w:spacing w:line="440" w:lineRule="exact"/>
      <w:ind w:firstLine="412" w:firstLineChars="200"/>
    </w:pPr>
    <w:rPr>
      <w:rFonts w:ascii="宋体" w:hAnsi="Calibri" w:eastAsia="宋体" w:cs="Times New Roman"/>
      <w:kern w:val="0"/>
      <w:sz w:val="20"/>
      <w:szCs w:val="20"/>
    </w:rPr>
  </w:style>
  <w:style w:type="paragraph" w:styleId="37">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8">
    <w:name w:val="toc 2"/>
    <w:basedOn w:val="1"/>
    <w:next w:val="1"/>
    <w:qFormat/>
    <w:uiPriority w:val="39"/>
    <w:pPr>
      <w:ind w:left="420" w:leftChars="200"/>
    </w:pPr>
    <w:rPr>
      <w:rFonts w:ascii="Times New Roman" w:hAnsi="Times New Roman" w:eastAsia="宋体" w:cs="Times New Roman"/>
      <w:szCs w:val="24"/>
    </w:rPr>
  </w:style>
  <w:style w:type="paragraph" w:styleId="39">
    <w:name w:val="toc 9"/>
    <w:basedOn w:val="1"/>
    <w:next w:val="1"/>
    <w:qFormat/>
    <w:uiPriority w:val="0"/>
    <w:pPr>
      <w:ind w:left="3360" w:leftChars="1600"/>
    </w:pPr>
    <w:rPr>
      <w:rFonts w:ascii="Times New Roman" w:hAnsi="Times New Roman" w:eastAsia="宋体" w:cs="Times New Roman"/>
      <w:szCs w:val="24"/>
    </w:rPr>
  </w:style>
  <w:style w:type="paragraph" w:styleId="40">
    <w:name w:val="List Continue 2"/>
    <w:basedOn w:val="1"/>
    <w:qFormat/>
    <w:uiPriority w:val="99"/>
    <w:pPr>
      <w:spacing w:after="120"/>
      <w:ind w:left="840" w:leftChars="400"/>
    </w:pPr>
    <w:rPr>
      <w:rFonts w:ascii="Times New Roman" w:hAnsi="Times New Roman" w:eastAsia="宋体" w:cs="Times New Roman"/>
      <w:szCs w:val="24"/>
    </w:rPr>
  </w:style>
  <w:style w:type="paragraph" w:styleId="41">
    <w:name w:val="HTML Preformatted"/>
    <w:basedOn w:val="1"/>
    <w:link w:val="2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4">
    <w:name w:val="Title"/>
    <w:basedOn w:val="1"/>
    <w:next w:val="1"/>
    <w:link w:val="162"/>
    <w:qFormat/>
    <w:uiPriority w:val="0"/>
    <w:pPr>
      <w:spacing w:before="240" w:after="60"/>
      <w:jc w:val="center"/>
      <w:outlineLvl w:val="0"/>
    </w:pPr>
    <w:rPr>
      <w:rFonts w:ascii="Cambria" w:hAnsi="Cambria" w:cs="Times New Roman"/>
      <w:b/>
      <w:bCs/>
      <w:sz w:val="32"/>
      <w:szCs w:val="32"/>
    </w:rPr>
  </w:style>
  <w:style w:type="paragraph" w:styleId="45">
    <w:name w:val="annotation subject"/>
    <w:basedOn w:val="18"/>
    <w:next w:val="18"/>
    <w:link w:val="169"/>
    <w:qFormat/>
    <w:uiPriority w:val="0"/>
    <w:rPr>
      <w:b/>
      <w:bCs/>
    </w:rPr>
  </w:style>
  <w:style w:type="paragraph" w:styleId="46">
    <w:name w:val="Body Text First Indent"/>
    <w:basedOn w:val="19"/>
    <w:link w:val="294"/>
    <w:unhideWhenUsed/>
    <w:qFormat/>
    <w:uiPriority w:val="0"/>
    <w:pPr>
      <w:ind w:firstLine="420" w:firstLineChars="100"/>
    </w:pPr>
    <w:rPr>
      <w:rFonts w:asciiTheme="minorHAnsi" w:hAnsiTheme="minorHAnsi" w:eastAsiaTheme="minorEastAsia" w:cstheme="minorBidi"/>
      <w:kern w:val="2"/>
      <w:sz w:val="21"/>
      <w:szCs w:val="22"/>
    </w:rPr>
  </w:style>
  <w:style w:type="paragraph" w:styleId="47">
    <w:name w:val="Body Text First Indent 2"/>
    <w:basedOn w:val="20"/>
    <w:link w:val="293"/>
    <w:unhideWhenUsed/>
    <w:qFormat/>
    <w:uiPriority w:val="0"/>
    <w:pPr>
      <w:widowControl w:val="0"/>
      <w:ind w:left="200" w:leftChars="200" w:firstLine="420" w:firstLineChars="200"/>
    </w:pPr>
    <w:rPr>
      <w:rFonts w:asciiTheme="minorHAnsi" w:hAnsiTheme="minorHAnsi" w:eastAsiaTheme="minorEastAsia" w:cstheme="minorBidi"/>
      <w:kern w:val="2"/>
      <w:sz w:val="21"/>
      <w:szCs w:val="22"/>
    </w:rPr>
  </w:style>
  <w:style w:type="table" w:styleId="49">
    <w:name w:val="Table Grid"/>
    <w:basedOn w:val="4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22"/>
    <w:rPr>
      <w:rFonts w:cs="Times New Roman"/>
      <w:b/>
    </w:rPr>
  </w:style>
  <w:style w:type="character" w:styleId="52">
    <w:name w:val="page number"/>
    <w:basedOn w:val="50"/>
    <w:qFormat/>
    <w:uiPriority w:val="0"/>
    <w:rPr>
      <w:rFonts w:cs="Times New Roman"/>
    </w:rPr>
  </w:style>
  <w:style w:type="character" w:styleId="53">
    <w:name w:val="FollowedHyperlink"/>
    <w:basedOn w:val="50"/>
    <w:qFormat/>
    <w:uiPriority w:val="99"/>
    <w:rPr>
      <w:rFonts w:cs="Times New Roman"/>
      <w:color w:val="555555"/>
      <w:u w:val="none"/>
    </w:rPr>
  </w:style>
  <w:style w:type="character" w:styleId="54">
    <w:name w:val="Emphasis"/>
    <w:basedOn w:val="50"/>
    <w:qFormat/>
    <w:uiPriority w:val="0"/>
    <w:rPr>
      <w:rFonts w:cs="Times New Roman"/>
      <w:i/>
    </w:rPr>
  </w:style>
  <w:style w:type="character" w:styleId="55">
    <w:name w:val="HTML Definition"/>
    <w:basedOn w:val="50"/>
    <w:qFormat/>
    <w:uiPriority w:val="99"/>
    <w:rPr>
      <w:rFonts w:cs="Times New Roman"/>
    </w:rPr>
  </w:style>
  <w:style w:type="character" w:styleId="56">
    <w:name w:val="HTML Acronym"/>
    <w:basedOn w:val="50"/>
    <w:qFormat/>
    <w:uiPriority w:val="99"/>
    <w:rPr>
      <w:rFonts w:cs="Times New Roman"/>
    </w:rPr>
  </w:style>
  <w:style w:type="character" w:styleId="57">
    <w:name w:val="HTML Variable"/>
    <w:basedOn w:val="50"/>
    <w:qFormat/>
    <w:uiPriority w:val="99"/>
    <w:rPr>
      <w:rFonts w:cs="Times New Roman"/>
    </w:rPr>
  </w:style>
  <w:style w:type="character" w:styleId="58">
    <w:name w:val="Hyperlink"/>
    <w:basedOn w:val="50"/>
    <w:qFormat/>
    <w:uiPriority w:val="99"/>
    <w:rPr>
      <w:rFonts w:cs="Times New Roman"/>
      <w:color w:val="555555"/>
      <w:u w:val="none"/>
    </w:rPr>
  </w:style>
  <w:style w:type="character" w:styleId="59">
    <w:name w:val="HTML Code"/>
    <w:basedOn w:val="50"/>
    <w:qFormat/>
    <w:uiPriority w:val="99"/>
    <w:rPr>
      <w:rFonts w:ascii="monospace" w:hAnsi="monospace" w:cs="Times New Roman"/>
      <w:sz w:val="24"/>
    </w:rPr>
  </w:style>
  <w:style w:type="character" w:styleId="60">
    <w:name w:val="annotation reference"/>
    <w:qFormat/>
    <w:uiPriority w:val="0"/>
    <w:rPr>
      <w:sz w:val="21"/>
      <w:szCs w:val="21"/>
    </w:rPr>
  </w:style>
  <w:style w:type="character" w:styleId="61">
    <w:name w:val="HTML Cite"/>
    <w:basedOn w:val="50"/>
    <w:qFormat/>
    <w:uiPriority w:val="99"/>
    <w:rPr>
      <w:rFonts w:cs="Times New Roman"/>
    </w:rPr>
  </w:style>
  <w:style w:type="character" w:styleId="62">
    <w:name w:val="footnote reference"/>
    <w:qFormat/>
    <w:uiPriority w:val="0"/>
    <w:rPr>
      <w:vertAlign w:val="superscript"/>
    </w:rPr>
  </w:style>
  <w:style w:type="character" w:styleId="63">
    <w:name w:val="HTML Keyboard"/>
    <w:basedOn w:val="50"/>
    <w:qFormat/>
    <w:uiPriority w:val="99"/>
    <w:rPr>
      <w:rFonts w:ascii="monospace" w:hAnsi="monospace" w:cs="Times New Roman"/>
      <w:sz w:val="24"/>
    </w:rPr>
  </w:style>
  <w:style w:type="character" w:styleId="64">
    <w:name w:val="HTML Sample"/>
    <w:basedOn w:val="50"/>
    <w:qFormat/>
    <w:uiPriority w:val="0"/>
    <w:rPr>
      <w:rFonts w:ascii="monospace" w:hAnsi="monospace" w:cs="Times New Roman"/>
      <w:sz w:val="24"/>
    </w:rPr>
  </w:style>
  <w:style w:type="character" w:customStyle="1" w:styleId="65">
    <w:name w:val="标题 1 Char"/>
    <w:basedOn w:val="50"/>
    <w:link w:val="4"/>
    <w:qFormat/>
    <w:uiPriority w:val="9"/>
    <w:rPr>
      <w:rFonts w:ascii="???" w:hAnsi="???" w:eastAsia="宋体" w:cs="Arial"/>
      <w:b/>
      <w:bCs/>
      <w:color w:val="020000"/>
      <w:kern w:val="36"/>
      <w:sz w:val="44"/>
      <w:szCs w:val="44"/>
    </w:rPr>
  </w:style>
  <w:style w:type="character" w:customStyle="1" w:styleId="66">
    <w:name w:val="标题 2 Char"/>
    <w:basedOn w:val="50"/>
    <w:link w:val="2"/>
    <w:qFormat/>
    <w:uiPriority w:val="99"/>
    <w:rPr>
      <w:rFonts w:ascii="???" w:hAnsi="???" w:eastAsia="宋体" w:cs="Arial"/>
      <w:b/>
      <w:bCs/>
      <w:color w:val="020000"/>
      <w:kern w:val="0"/>
      <w:sz w:val="32"/>
      <w:szCs w:val="32"/>
    </w:rPr>
  </w:style>
  <w:style w:type="character" w:customStyle="1" w:styleId="67">
    <w:name w:val="标题 3 Char"/>
    <w:basedOn w:val="50"/>
    <w:link w:val="5"/>
    <w:qFormat/>
    <w:uiPriority w:val="99"/>
    <w:rPr>
      <w:rFonts w:ascii="??" w:hAnsi="??" w:eastAsia="宋体" w:cs="Arial"/>
      <w:b/>
      <w:bCs/>
      <w:color w:val="000000"/>
      <w:kern w:val="0"/>
      <w:sz w:val="32"/>
      <w:szCs w:val="32"/>
    </w:rPr>
  </w:style>
  <w:style w:type="character" w:customStyle="1" w:styleId="68">
    <w:name w:val="页眉 Char"/>
    <w:basedOn w:val="50"/>
    <w:link w:val="30"/>
    <w:qFormat/>
    <w:uiPriority w:val="99"/>
    <w:rPr>
      <w:rFonts w:ascii="Calibri" w:hAnsi="Calibri" w:eastAsia="宋体" w:cs="Times New Roman"/>
      <w:sz w:val="18"/>
      <w:szCs w:val="18"/>
    </w:rPr>
  </w:style>
  <w:style w:type="character" w:customStyle="1" w:styleId="69">
    <w:name w:val="页脚 Char"/>
    <w:basedOn w:val="50"/>
    <w:link w:val="29"/>
    <w:qFormat/>
    <w:uiPriority w:val="0"/>
    <w:rPr>
      <w:rFonts w:ascii="Calibri" w:hAnsi="Calibri" w:eastAsia="宋体" w:cs="Times New Roman"/>
      <w:sz w:val="18"/>
      <w:szCs w:val="18"/>
    </w:rPr>
  </w:style>
  <w:style w:type="character" w:customStyle="1" w:styleId="70">
    <w:name w:val="正文文本缩进 Char"/>
    <w:basedOn w:val="50"/>
    <w:link w:val="20"/>
    <w:qFormat/>
    <w:uiPriority w:val="0"/>
    <w:rPr>
      <w:rFonts w:ascii="??" w:hAnsi="??" w:eastAsia="宋体" w:cs="Arial"/>
      <w:kern w:val="0"/>
      <w:sz w:val="24"/>
      <w:szCs w:val="24"/>
    </w:rPr>
  </w:style>
  <w:style w:type="paragraph" w:styleId="71">
    <w:name w:val="List Paragraph"/>
    <w:basedOn w:val="1"/>
    <w:qFormat/>
    <w:uiPriority w:val="99"/>
    <w:pPr>
      <w:ind w:firstLine="420" w:firstLineChars="200"/>
    </w:pPr>
    <w:rPr>
      <w:rFonts w:ascii="Calibri" w:hAnsi="Calibri" w:eastAsia="宋体" w:cs="Times New Roman"/>
    </w:rPr>
  </w:style>
  <w:style w:type="character" w:customStyle="1" w:styleId="72">
    <w:name w:val="标题 2 Char Char"/>
    <w:qFormat/>
    <w:uiPriority w:val="99"/>
    <w:rPr>
      <w:rFonts w:ascii="Arial" w:hAnsi="Arial" w:eastAsia="黑体"/>
      <w:b/>
      <w:kern w:val="2"/>
      <w:sz w:val="32"/>
      <w:lang w:val="en-US" w:eastAsia="zh-CN"/>
    </w:rPr>
  </w:style>
  <w:style w:type="character" w:customStyle="1" w:styleId="73">
    <w:name w:val="2charchar"/>
    <w:basedOn w:val="50"/>
    <w:qFormat/>
    <w:uiPriority w:val="99"/>
    <w:rPr>
      <w:rFonts w:cs="Times New Roman"/>
    </w:rPr>
  </w:style>
  <w:style w:type="paragraph" w:customStyle="1" w:styleId="74">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5">
    <w:name w:val="z-窗体顶端1"/>
    <w:basedOn w:val="1"/>
    <w:next w:val="1"/>
    <w:link w:val="7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6">
    <w:name w:val="z-窗体顶端 Char"/>
    <w:basedOn w:val="50"/>
    <w:link w:val="75"/>
    <w:qFormat/>
    <w:uiPriority w:val="99"/>
    <w:rPr>
      <w:rFonts w:ascii="Arial" w:hAnsi="Arial" w:eastAsia="宋体" w:cs="Arial"/>
      <w:vanish/>
      <w:kern w:val="0"/>
      <w:sz w:val="16"/>
      <w:szCs w:val="16"/>
    </w:rPr>
  </w:style>
  <w:style w:type="paragraph" w:customStyle="1" w:styleId="77">
    <w:name w:val="z-窗体底端1"/>
    <w:basedOn w:val="1"/>
    <w:next w:val="1"/>
    <w:link w:val="7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8">
    <w:name w:val="z-窗体底端 Char"/>
    <w:basedOn w:val="50"/>
    <w:link w:val="77"/>
    <w:qFormat/>
    <w:uiPriority w:val="99"/>
    <w:rPr>
      <w:rFonts w:ascii="Arial" w:hAnsi="Arial" w:eastAsia="宋体" w:cs="Arial"/>
      <w:vanish/>
      <w:kern w:val="0"/>
      <w:sz w:val="16"/>
      <w:szCs w:val="16"/>
    </w:rPr>
  </w:style>
  <w:style w:type="paragraph" w:customStyle="1" w:styleId="79">
    <w:name w:val="hu正文"/>
    <w:basedOn w:val="1"/>
    <w:link w:val="80"/>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0">
    <w:name w:val="hu正文 Char"/>
    <w:link w:val="79"/>
    <w:qFormat/>
    <w:locked/>
    <w:uiPriority w:val="99"/>
    <w:rPr>
      <w:rFonts w:ascii="Times New Roman" w:hAnsi="Times New Roman" w:eastAsia="宋体" w:cs="Times New Roman"/>
      <w:kern w:val="0"/>
      <w:sz w:val="24"/>
      <w:szCs w:val="20"/>
    </w:rPr>
  </w:style>
  <w:style w:type="paragraph" w:styleId="81">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2">
    <w:name w:val="批注框文本 Char"/>
    <w:basedOn w:val="50"/>
    <w:link w:val="28"/>
    <w:qFormat/>
    <w:uiPriority w:val="99"/>
    <w:rPr>
      <w:rFonts w:ascii="Calibri" w:hAnsi="Calibri" w:eastAsia="宋体" w:cs="Times New Roman"/>
      <w:sz w:val="18"/>
      <w:szCs w:val="18"/>
    </w:rPr>
  </w:style>
  <w:style w:type="character" w:customStyle="1" w:styleId="83">
    <w:name w:val="ui-bz-bg-hover1"/>
    <w:basedOn w:val="50"/>
    <w:qFormat/>
    <w:uiPriority w:val="99"/>
    <w:rPr>
      <w:rFonts w:cs="Times New Roman"/>
    </w:rPr>
  </w:style>
  <w:style w:type="character" w:customStyle="1" w:styleId="84">
    <w:name w:val="批注框文本 Char1"/>
    <w:qFormat/>
    <w:uiPriority w:val="99"/>
    <w:rPr>
      <w:rFonts w:ascii="Times New Roman" w:hAnsi="Times New Roman" w:eastAsia="宋体"/>
      <w:sz w:val="18"/>
    </w:rPr>
  </w:style>
  <w:style w:type="character" w:customStyle="1" w:styleId="85">
    <w:name w:val="bds_nopic"/>
    <w:basedOn w:val="50"/>
    <w:qFormat/>
    <w:uiPriority w:val="99"/>
    <w:rPr>
      <w:rFonts w:cs="Times New Roman"/>
    </w:rPr>
  </w:style>
  <w:style w:type="character" w:customStyle="1" w:styleId="86">
    <w:name w:val="tip12"/>
    <w:qFormat/>
    <w:uiPriority w:val="99"/>
    <w:rPr>
      <w:vanish/>
      <w:color w:val="FF0000"/>
      <w:sz w:val="18"/>
    </w:rPr>
  </w:style>
  <w:style w:type="character" w:customStyle="1" w:styleId="87">
    <w:name w:val="Body Text Indent 3 Char"/>
    <w:qFormat/>
    <w:locked/>
    <w:uiPriority w:val="99"/>
    <w:rPr>
      <w:rFonts w:ascii="宋体" w:eastAsia="宋体"/>
    </w:rPr>
  </w:style>
  <w:style w:type="character" w:customStyle="1" w:styleId="88">
    <w:name w:val="HTML Markup"/>
    <w:qFormat/>
    <w:uiPriority w:val="99"/>
    <w:rPr>
      <w:vanish/>
      <w:color w:val="FF0000"/>
    </w:rPr>
  </w:style>
  <w:style w:type="character" w:customStyle="1" w:styleId="89">
    <w:name w:val="tip7"/>
    <w:qFormat/>
    <w:uiPriority w:val="99"/>
    <w:rPr>
      <w:vanish/>
      <w:color w:val="FF0000"/>
      <w:sz w:val="18"/>
    </w:rPr>
  </w:style>
  <w:style w:type="character" w:customStyle="1" w:styleId="90">
    <w:name w:val="f-star"/>
    <w:qFormat/>
    <w:uiPriority w:val="99"/>
    <w:rPr>
      <w:color w:val="999999"/>
      <w:sz w:val="21"/>
    </w:rPr>
  </w:style>
  <w:style w:type="character" w:customStyle="1" w:styleId="91">
    <w:name w:val="Document Map Char1"/>
    <w:qFormat/>
    <w:uiPriority w:val="99"/>
    <w:rPr>
      <w:rFonts w:ascii="Times New Roman" w:hAnsi="Times New Roman"/>
      <w:kern w:val="2"/>
      <w:sz w:val="2"/>
    </w:rPr>
  </w:style>
  <w:style w:type="character" w:customStyle="1" w:styleId="92">
    <w:name w:val="my-class2"/>
    <w:basedOn w:val="50"/>
    <w:qFormat/>
    <w:uiPriority w:val="99"/>
    <w:rPr>
      <w:rFonts w:cs="Times New Roman"/>
    </w:rPr>
  </w:style>
  <w:style w:type="character" w:customStyle="1" w:styleId="93">
    <w:name w:val="no52"/>
    <w:basedOn w:val="50"/>
    <w:qFormat/>
    <w:uiPriority w:val="99"/>
    <w:rPr>
      <w:rFonts w:cs="Times New Roman"/>
    </w:rPr>
  </w:style>
  <w:style w:type="character" w:customStyle="1" w:styleId="94">
    <w:name w:val="no4"/>
    <w:basedOn w:val="50"/>
    <w:qFormat/>
    <w:uiPriority w:val="99"/>
    <w:rPr>
      <w:rFonts w:cs="Times New Roman"/>
    </w:rPr>
  </w:style>
  <w:style w:type="character" w:customStyle="1" w:styleId="95">
    <w:name w:val="my-notice"/>
    <w:basedOn w:val="50"/>
    <w:qFormat/>
    <w:uiPriority w:val="99"/>
    <w:rPr>
      <w:rFonts w:cs="Times New Roman"/>
    </w:rPr>
  </w:style>
  <w:style w:type="character" w:customStyle="1" w:styleId="96">
    <w:name w:val="ico-jiang"/>
    <w:basedOn w:val="50"/>
    <w:qFormat/>
    <w:uiPriority w:val="99"/>
    <w:rPr>
      <w:rFonts w:cs="Times New Roman"/>
    </w:rPr>
  </w:style>
  <w:style w:type="character" w:customStyle="1" w:styleId="97">
    <w:name w:val="ico-jiang2"/>
    <w:basedOn w:val="50"/>
    <w:qFormat/>
    <w:uiPriority w:val="99"/>
    <w:rPr>
      <w:rFonts w:cs="Times New Roman"/>
    </w:rPr>
  </w:style>
  <w:style w:type="character" w:customStyle="1" w:styleId="98">
    <w:name w:val="bds_more1"/>
    <w:qFormat/>
    <w:uiPriority w:val="99"/>
    <w:rPr>
      <w:rFonts w:ascii="宋体" w:hAnsi="宋体" w:eastAsia="宋体"/>
    </w:rPr>
  </w:style>
  <w:style w:type="character" w:customStyle="1" w:styleId="99">
    <w:name w:val="Body Text Indent 2 Char"/>
    <w:qFormat/>
    <w:locked/>
    <w:uiPriority w:val="99"/>
    <w:rPr>
      <w:rFonts w:ascii="宋体" w:eastAsia="宋体"/>
      <w:sz w:val="24"/>
    </w:rPr>
  </w:style>
  <w:style w:type="character" w:customStyle="1" w:styleId="100">
    <w:name w:val="org_name"/>
    <w:basedOn w:val="50"/>
    <w:qFormat/>
    <w:uiPriority w:val="99"/>
    <w:rPr>
      <w:rFonts w:cs="Times New Roman"/>
    </w:rPr>
  </w:style>
  <w:style w:type="character" w:customStyle="1" w:styleId="101">
    <w:name w:val="org_name2"/>
    <w:basedOn w:val="50"/>
    <w:qFormat/>
    <w:uiPriority w:val="99"/>
    <w:rPr>
      <w:rFonts w:cs="Times New Roman"/>
    </w:rPr>
  </w:style>
  <w:style w:type="character" w:customStyle="1" w:styleId="102">
    <w:name w:val="tip10"/>
    <w:qFormat/>
    <w:uiPriority w:val="99"/>
    <w:rPr>
      <w:vanish/>
      <w:color w:val="FF0000"/>
      <w:sz w:val="18"/>
    </w:rPr>
  </w:style>
  <w:style w:type="character" w:customStyle="1" w:styleId="103">
    <w:name w:val="orange"/>
    <w:qFormat/>
    <w:uiPriority w:val="99"/>
    <w:rPr>
      <w:color w:val="3FB58F"/>
    </w:rPr>
  </w:style>
  <w:style w:type="character" w:customStyle="1" w:styleId="104">
    <w:name w:val="bds_more"/>
    <w:basedOn w:val="50"/>
    <w:qFormat/>
    <w:uiPriority w:val="99"/>
    <w:rPr>
      <w:rFonts w:cs="Times New Roman"/>
    </w:rPr>
  </w:style>
  <w:style w:type="character" w:customStyle="1" w:styleId="105">
    <w:name w:val="t-tag"/>
    <w:qFormat/>
    <w:uiPriority w:val="99"/>
    <w:rPr>
      <w:color w:val="FFFFFF"/>
      <w:sz w:val="18"/>
      <w:shd w:val="clear" w:color="auto" w:fill="FE8833"/>
    </w:rPr>
  </w:style>
  <w:style w:type="character" w:customStyle="1" w:styleId="106">
    <w:name w:val="top-icon"/>
    <w:basedOn w:val="50"/>
    <w:qFormat/>
    <w:uiPriority w:val="99"/>
    <w:rPr>
      <w:rFonts w:cs="Times New Roman"/>
    </w:rPr>
  </w:style>
  <w:style w:type="character" w:customStyle="1" w:styleId="107">
    <w:name w:val="Body Text Char"/>
    <w:qFormat/>
    <w:locked/>
    <w:uiPriority w:val="99"/>
    <w:rPr>
      <w:sz w:val="24"/>
    </w:rPr>
  </w:style>
  <w:style w:type="character" w:customStyle="1" w:styleId="108">
    <w:name w:val="no72"/>
    <w:basedOn w:val="50"/>
    <w:qFormat/>
    <w:uiPriority w:val="99"/>
    <w:rPr>
      <w:rFonts w:cs="Times New Roman"/>
    </w:rPr>
  </w:style>
  <w:style w:type="character" w:customStyle="1" w:styleId="109">
    <w:name w:val="bds_nopic2"/>
    <w:basedOn w:val="50"/>
    <w:qFormat/>
    <w:uiPriority w:val="99"/>
    <w:rPr>
      <w:rFonts w:cs="Times New Roman"/>
    </w:rPr>
  </w:style>
  <w:style w:type="character" w:customStyle="1" w:styleId="110">
    <w:name w:val="Document Map Char"/>
    <w:qFormat/>
    <w:uiPriority w:val="99"/>
    <w:rPr>
      <w:rFonts w:ascii="宋体"/>
      <w:sz w:val="18"/>
    </w:rPr>
  </w:style>
  <w:style w:type="character" w:customStyle="1" w:styleId="111">
    <w:name w:val="no6"/>
    <w:basedOn w:val="50"/>
    <w:qFormat/>
    <w:uiPriority w:val="99"/>
    <w:rPr>
      <w:rFonts w:cs="Times New Roman"/>
    </w:rPr>
  </w:style>
  <w:style w:type="character" w:customStyle="1" w:styleId="112">
    <w:name w:val="tip"/>
    <w:qFormat/>
    <w:uiPriority w:val="99"/>
    <w:rPr>
      <w:vanish/>
      <w:color w:val="FF0000"/>
      <w:sz w:val="18"/>
    </w:rPr>
  </w:style>
  <w:style w:type="character" w:customStyle="1" w:styleId="113">
    <w:name w:val="apple-converted-space"/>
    <w:basedOn w:val="50"/>
    <w:qFormat/>
    <w:uiPriority w:val="99"/>
    <w:rPr>
      <w:rFonts w:cs="Times New Roman"/>
    </w:rPr>
  </w:style>
  <w:style w:type="character" w:customStyle="1" w:styleId="114">
    <w:name w:val="bds_more2"/>
    <w:basedOn w:val="50"/>
    <w:qFormat/>
    <w:uiPriority w:val="99"/>
    <w:rPr>
      <w:rFonts w:cs="Times New Roman"/>
    </w:rPr>
  </w:style>
  <w:style w:type="character" w:customStyle="1" w:styleId="115">
    <w:name w:val="my-class"/>
    <w:basedOn w:val="50"/>
    <w:qFormat/>
    <w:uiPriority w:val="99"/>
    <w:rPr>
      <w:rFonts w:cs="Times New Roman"/>
    </w:rPr>
  </w:style>
  <w:style w:type="character" w:customStyle="1" w:styleId="116">
    <w:name w:val="ui-bz-bg-hover"/>
    <w:qFormat/>
    <w:uiPriority w:val="99"/>
    <w:rPr>
      <w:shd w:val="clear" w:color="auto" w:fill="000000"/>
    </w:rPr>
  </w:style>
  <w:style w:type="character" w:customStyle="1" w:styleId="117">
    <w:name w:val="no7"/>
    <w:basedOn w:val="50"/>
    <w:qFormat/>
    <w:uiPriority w:val="99"/>
    <w:rPr>
      <w:rFonts w:cs="Times New Roman"/>
    </w:rPr>
  </w:style>
  <w:style w:type="character" w:customStyle="1" w:styleId="118">
    <w:name w:val="正文缩进 Char"/>
    <w:link w:val="3"/>
    <w:qFormat/>
    <w:locked/>
    <w:uiPriority w:val="99"/>
    <w:rPr>
      <w:rFonts w:ascii="Times New Roman" w:hAnsi="Times New Roman" w:eastAsia="宋体" w:cs="Times New Roman"/>
      <w:kern w:val="0"/>
      <w:sz w:val="24"/>
      <w:szCs w:val="20"/>
    </w:rPr>
  </w:style>
  <w:style w:type="character" w:customStyle="1" w:styleId="119">
    <w:name w:val="ico-jiang1"/>
    <w:basedOn w:val="50"/>
    <w:qFormat/>
    <w:uiPriority w:val="99"/>
    <w:rPr>
      <w:rFonts w:cs="Times New Roman"/>
    </w:rPr>
  </w:style>
  <w:style w:type="character" w:customStyle="1" w:styleId="120">
    <w:name w:val="no62"/>
    <w:basedOn w:val="50"/>
    <w:qFormat/>
    <w:uiPriority w:val="99"/>
    <w:rPr>
      <w:rFonts w:cs="Times New Roman"/>
    </w:rPr>
  </w:style>
  <w:style w:type="character" w:customStyle="1" w:styleId="121">
    <w:name w:val="orange5"/>
    <w:qFormat/>
    <w:uiPriority w:val="99"/>
    <w:rPr>
      <w:color w:val="3FB58F"/>
    </w:rPr>
  </w:style>
  <w:style w:type="character" w:customStyle="1" w:styleId="122">
    <w:name w:val="bds_more4"/>
    <w:basedOn w:val="50"/>
    <w:qFormat/>
    <w:uiPriority w:val="99"/>
    <w:rPr>
      <w:rFonts w:cs="Times New Roman"/>
    </w:rPr>
  </w:style>
  <w:style w:type="character" w:customStyle="1" w:styleId="123">
    <w:name w:val="no5"/>
    <w:basedOn w:val="50"/>
    <w:qFormat/>
    <w:uiPriority w:val="99"/>
    <w:rPr>
      <w:rFonts w:cs="Times New Roman"/>
    </w:rPr>
  </w:style>
  <w:style w:type="character" w:customStyle="1" w:styleId="124">
    <w:name w:val="bds_more3"/>
    <w:basedOn w:val="50"/>
    <w:qFormat/>
    <w:uiPriority w:val="99"/>
    <w:rPr>
      <w:rFonts w:cs="Times New Roman"/>
    </w:rPr>
  </w:style>
  <w:style w:type="character" w:customStyle="1" w:styleId="125">
    <w:name w:val="no42"/>
    <w:basedOn w:val="50"/>
    <w:qFormat/>
    <w:uiPriority w:val="99"/>
    <w:rPr>
      <w:rFonts w:cs="Times New Roman"/>
    </w:rPr>
  </w:style>
  <w:style w:type="character" w:customStyle="1" w:styleId="126">
    <w:name w:val="bds_nopic1"/>
    <w:basedOn w:val="50"/>
    <w:qFormat/>
    <w:uiPriority w:val="99"/>
    <w:rPr>
      <w:rFonts w:cs="Times New Roman"/>
    </w:rPr>
  </w:style>
  <w:style w:type="character" w:customStyle="1" w:styleId="127">
    <w:name w:val="my-notice1"/>
    <w:basedOn w:val="50"/>
    <w:qFormat/>
    <w:uiPriority w:val="99"/>
    <w:rPr>
      <w:rFonts w:cs="Times New Roman"/>
    </w:rPr>
  </w:style>
  <w:style w:type="character" w:customStyle="1" w:styleId="128">
    <w:name w:val="orange6"/>
    <w:qFormat/>
    <w:uiPriority w:val="99"/>
    <w:rPr>
      <w:color w:val="3FB58F"/>
    </w:rPr>
  </w:style>
  <w:style w:type="character" w:customStyle="1" w:styleId="129">
    <w:name w:val="Document Map Char2"/>
    <w:qFormat/>
    <w:locked/>
    <w:uiPriority w:val="99"/>
    <w:rPr>
      <w:rFonts w:ascii="宋体"/>
      <w:sz w:val="18"/>
    </w:rPr>
  </w:style>
  <w:style w:type="character" w:customStyle="1" w:styleId="130">
    <w:name w:val="ico-jiang3"/>
    <w:basedOn w:val="50"/>
    <w:qFormat/>
    <w:uiPriority w:val="99"/>
    <w:rPr>
      <w:rFonts w:cs="Times New Roman"/>
    </w:rPr>
  </w:style>
  <w:style w:type="character" w:customStyle="1" w:styleId="131">
    <w:name w:val="tip13"/>
    <w:qFormat/>
    <w:uiPriority w:val="99"/>
    <w:rPr>
      <w:vanish/>
      <w:color w:val="FF0000"/>
      <w:sz w:val="18"/>
    </w:rPr>
  </w:style>
  <w:style w:type="character" w:customStyle="1" w:styleId="132">
    <w:name w:val="正文文本缩进 2 Char"/>
    <w:basedOn w:val="50"/>
    <w:link w:val="27"/>
    <w:qFormat/>
    <w:uiPriority w:val="99"/>
    <w:rPr>
      <w:rFonts w:ascii="宋体" w:hAnsi="Calibri" w:eastAsia="宋体" w:cs="Times New Roman"/>
      <w:kern w:val="0"/>
      <w:sz w:val="24"/>
      <w:szCs w:val="20"/>
    </w:rPr>
  </w:style>
  <w:style w:type="character" w:customStyle="1" w:styleId="133">
    <w:name w:val="Body Text Indent 2 Char1"/>
    <w:basedOn w:val="50"/>
    <w:qFormat/>
    <w:locked/>
    <w:uiPriority w:val="99"/>
    <w:rPr>
      <w:rFonts w:cs="Times New Roman"/>
    </w:rPr>
  </w:style>
  <w:style w:type="character" w:customStyle="1" w:styleId="134">
    <w:name w:val="正文文本缩进 3 Char"/>
    <w:basedOn w:val="50"/>
    <w:link w:val="36"/>
    <w:qFormat/>
    <w:uiPriority w:val="99"/>
    <w:rPr>
      <w:rFonts w:ascii="宋体" w:hAnsi="Calibri" w:eastAsia="宋体" w:cs="Times New Roman"/>
      <w:kern w:val="0"/>
      <w:sz w:val="20"/>
      <w:szCs w:val="20"/>
    </w:rPr>
  </w:style>
  <w:style w:type="character" w:customStyle="1" w:styleId="135">
    <w:name w:val="Body Text Indent 3 Char1"/>
    <w:basedOn w:val="50"/>
    <w:qFormat/>
    <w:locked/>
    <w:uiPriority w:val="99"/>
    <w:rPr>
      <w:rFonts w:cs="Times New Roman"/>
      <w:sz w:val="16"/>
      <w:szCs w:val="16"/>
    </w:rPr>
  </w:style>
  <w:style w:type="character" w:customStyle="1" w:styleId="136">
    <w:name w:val="文档结构图 Char"/>
    <w:basedOn w:val="50"/>
    <w:link w:val="16"/>
    <w:qFormat/>
    <w:uiPriority w:val="0"/>
    <w:rPr>
      <w:rFonts w:ascii="宋体" w:hAnsi="Calibri" w:eastAsia="宋体" w:cs="Times New Roman"/>
      <w:kern w:val="0"/>
      <w:sz w:val="18"/>
      <w:szCs w:val="20"/>
    </w:rPr>
  </w:style>
  <w:style w:type="character" w:customStyle="1" w:styleId="137">
    <w:name w:val="Document Map Char3"/>
    <w:basedOn w:val="50"/>
    <w:qFormat/>
    <w:locked/>
    <w:uiPriority w:val="99"/>
    <w:rPr>
      <w:rFonts w:ascii="Times New Roman" w:hAnsi="Times New Roman" w:cs="Times New Roman"/>
      <w:sz w:val="2"/>
    </w:rPr>
  </w:style>
  <w:style w:type="paragraph" w:customStyle="1" w:styleId="138">
    <w:name w:val="_Style 1"/>
    <w:basedOn w:val="1"/>
    <w:qFormat/>
    <w:uiPriority w:val="99"/>
    <w:pPr>
      <w:ind w:firstLine="420" w:firstLineChars="200"/>
    </w:pPr>
    <w:rPr>
      <w:rFonts w:ascii="Times New Roman" w:hAnsi="Times New Roman" w:eastAsia="宋体" w:cs="Times New Roman"/>
      <w:szCs w:val="24"/>
    </w:rPr>
  </w:style>
  <w:style w:type="character" w:customStyle="1" w:styleId="139">
    <w:name w:val="正文文本 Char"/>
    <w:basedOn w:val="50"/>
    <w:link w:val="19"/>
    <w:qFormat/>
    <w:uiPriority w:val="99"/>
    <w:rPr>
      <w:rFonts w:ascii="Calibri" w:hAnsi="Calibri" w:eastAsia="宋体" w:cs="Times New Roman"/>
      <w:kern w:val="0"/>
      <w:sz w:val="24"/>
      <w:szCs w:val="20"/>
    </w:rPr>
  </w:style>
  <w:style w:type="character" w:customStyle="1" w:styleId="140">
    <w:name w:val="Body Text Char1"/>
    <w:basedOn w:val="50"/>
    <w:qFormat/>
    <w:locked/>
    <w:uiPriority w:val="99"/>
    <w:rPr>
      <w:rFonts w:cs="Times New Roman"/>
    </w:rPr>
  </w:style>
  <w:style w:type="paragraph" w:customStyle="1" w:styleId="141">
    <w:name w:val="_Style 21"/>
    <w:basedOn w:val="1"/>
    <w:qFormat/>
    <w:uiPriority w:val="99"/>
    <w:rPr>
      <w:rFonts w:ascii="Times New Roman" w:hAnsi="Times New Roman" w:eastAsia="宋体" w:cs="Times New Roman"/>
      <w:szCs w:val="20"/>
    </w:rPr>
  </w:style>
  <w:style w:type="paragraph" w:customStyle="1" w:styleId="142">
    <w:name w:val="p0"/>
    <w:basedOn w:val="1"/>
    <w:qFormat/>
    <w:uiPriority w:val="99"/>
    <w:pPr>
      <w:widowControl/>
    </w:pPr>
    <w:rPr>
      <w:rFonts w:ascii="Times New Roman" w:hAnsi="Times New Roman" w:eastAsia="宋体" w:cs="Times New Roman"/>
      <w:kern w:val="0"/>
      <w:szCs w:val="21"/>
    </w:rPr>
  </w:style>
  <w:style w:type="paragraph" w:customStyle="1" w:styleId="143">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4">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5">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6">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7">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8">
    <w:name w:val="_Style 2"/>
    <w:basedOn w:val="1"/>
    <w:qFormat/>
    <w:uiPriority w:val="99"/>
    <w:pPr>
      <w:ind w:firstLine="420" w:firstLineChars="200"/>
    </w:pPr>
    <w:rPr>
      <w:rFonts w:ascii="Calibri" w:hAnsi="Calibri" w:eastAsia="宋体" w:cs="Times New Roman"/>
    </w:rPr>
  </w:style>
  <w:style w:type="paragraph" w:customStyle="1" w:styleId="149">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50">
    <w:name w:val="_Style 11"/>
    <w:basedOn w:val="1"/>
    <w:qFormat/>
    <w:uiPriority w:val="99"/>
    <w:rPr>
      <w:rFonts w:ascii="Times New Roman" w:hAnsi="Times New Roman" w:eastAsia="宋体" w:cs="Times New Roman"/>
      <w:szCs w:val="24"/>
    </w:rPr>
  </w:style>
  <w:style w:type="paragraph" w:customStyle="1" w:styleId="151">
    <w:name w:val="Char"/>
    <w:basedOn w:val="1"/>
    <w:qFormat/>
    <w:uiPriority w:val="99"/>
    <w:rPr>
      <w:rFonts w:ascii="Times New Roman" w:hAnsi="Times New Roman" w:eastAsia="宋体" w:cs="Times New Roman"/>
      <w:szCs w:val="21"/>
    </w:rPr>
  </w:style>
  <w:style w:type="paragraph" w:customStyle="1" w:styleId="152">
    <w:name w:val="列出段落1"/>
    <w:basedOn w:val="1"/>
    <w:link w:val="216"/>
    <w:qFormat/>
    <w:uiPriority w:val="0"/>
    <w:pPr>
      <w:ind w:firstLine="420" w:firstLineChars="200"/>
    </w:pPr>
    <w:rPr>
      <w:rFonts w:ascii="Times New Roman" w:hAnsi="Times New Roman" w:eastAsia="宋体" w:cs="Times New Roman"/>
      <w:szCs w:val="24"/>
    </w:rPr>
  </w:style>
  <w:style w:type="paragraph" w:customStyle="1" w:styleId="153">
    <w:name w:val="列出段落2"/>
    <w:basedOn w:val="1"/>
    <w:qFormat/>
    <w:uiPriority w:val="99"/>
    <w:pPr>
      <w:ind w:firstLine="420" w:firstLineChars="200"/>
    </w:pPr>
    <w:rPr>
      <w:rFonts w:ascii="Times New Roman" w:hAnsi="Times New Roman" w:eastAsia="宋体" w:cs="Times New Roman"/>
      <w:szCs w:val="24"/>
    </w:rPr>
  </w:style>
  <w:style w:type="paragraph" w:customStyle="1" w:styleId="154">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5">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6">
    <w:name w:val="font41"/>
    <w:qFormat/>
    <w:uiPriority w:val="99"/>
    <w:rPr>
      <w:rFonts w:hint="eastAsia" w:ascii="宋体" w:hAnsi="宋体" w:eastAsia="宋体" w:cs="宋体"/>
      <w:b/>
      <w:color w:val="000000"/>
      <w:sz w:val="22"/>
      <w:szCs w:val="22"/>
      <w:u w:val="none"/>
    </w:rPr>
  </w:style>
  <w:style w:type="character" w:customStyle="1" w:styleId="157">
    <w:name w:val="font81"/>
    <w:qFormat/>
    <w:uiPriority w:val="99"/>
    <w:rPr>
      <w:rFonts w:hint="eastAsia" w:ascii="宋体" w:hAnsi="宋体" w:eastAsia="宋体" w:cs="宋体"/>
      <w:b/>
      <w:color w:val="000000"/>
      <w:sz w:val="22"/>
      <w:szCs w:val="22"/>
      <w:u w:val="none"/>
    </w:rPr>
  </w:style>
  <w:style w:type="character" w:customStyle="1" w:styleId="158">
    <w:name w:val="font21"/>
    <w:basedOn w:val="50"/>
    <w:qFormat/>
    <w:uiPriority w:val="0"/>
    <w:rPr>
      <w:rFonts w:hint="eastAsia" w:ascii="宋体" w:hAnsi="宋体" w:eastAsia="宋体" w:cs="宋体"/>
      <w:color w:val="000000"/>
      <w:sz w:val="18"/>
      <w:szCs w:val="18"/>
      <w:u w:val="none"/>
    </w:rPr>
  </w:style>
  <w:style w:type="character" w:customStyle="1" w:styleId="159">
    <w:name w:val="日期 Char"/>
    <w:link w:val="26"/>
    <w:qFormat/>
    <w:uiPriority w:val="99"/>
    <w:rPr>
      <w:szCs w:val="21"/>
    </w:rPr>
  </w:style>
  <w:style w:type="character" w:customStyle="1" w:styleId="160">
    <w:name w:val="font01"/>
    <w:basedOn w:val="50"/>
    <w:qFormat/>
    <w:uiPriority w:val="0"/>
    <w:rPr>
      <w:rFonts w:hint="eastAsia" w:ascii="宋体" w:hAnsi="宋体" w:eastAsia="宋体" w:cs="宋体"/>
      <w:color w:val="000000"/>
      <w:sz w:val="22"/>
      <w:szCs w:val="22"/>
      <w:u w:val="none"/>
    </w:rPr>
  </w:style>
  <w:style w:type="character" w:customStyle="1" w:styleId="161">
    <w:name w:val="Char Char1"/>
    <w:qFormat/>
    <w:uiPriority w:val="0"/>
    <w:rPr>
      <w:rFonts w:eastAsia="宋体"/>
      <w:kern w:val="2"/>
      <w:sz w:val="18"/>
      <w:szCs w:val="18"/>
      <w:lang w:val="en-US" w:eastAsia="zh-CN" w:bidi="ar-SA"/>
    </w:rPr>
  </w:style>
  <w:style w:type="character" w:customStyle="1" w:styleId="162">
    <w:name w:val="标题 Char"/>
    <w:link w:val="44"/>
    <w:qFormat/>
    <w:uiPriority w:val="0"/>
    <w:rPr>
      <w:rFonts w:ascii="Cambria" w:hAnsi="Cambria" w:cs="Times New Roman"/>
      <w:b/>
      <w:bCs/>
      <w:sz w:val="32"/>
      <w:szCs w:val="32"/>
    </w:rPr>
  </w:style>
  <w:style w:type="character" w:customStyle="1" w:styleId="163">
    <w:name w:val="hei141"/>
    <w:qFormat/>
    <w:uiPriority w:val="0"/>
    <w:rPr>
      <w:rFonts w:hint="eastAsia" w:ascii="宋体" w:hAnsi="宋体" w:eastAsia="宋体"/>
      <w:color w:val="000000"/>
      <w:sz w:val="19"/>
      <w:szCs w:val="19"/>
      <w:u w:val="none"/>
    </w:rPr>
  </w:style>
  <w:style w:type="character" w:customStyle="1" w:styleId="164">
    <w:name w:val="批注文字 Char"/>
    <w:link w:val="18"/>
    <w:qFormat/>
    <w:uiPriority w:val="0"/>
  </w:style>
  <w:style w:type="character" w:customStyle="1" w:styleId="165">
    <w:name w:val="apple-style-span"/>
    <w:basedOn w:val="50"/>
    <w:qFormat/>
    <w:uiPriority w:val="0"/>
  </w:style>
  <w:style w:type="character" w:customStyle="1" w:styleId="166">
    <w:name w:val="param-value"/>
    <w:qFormat/>
    <w:uiPriority w:val="99"/>
    <w:rPr>
      <w:rFonts w:cs="Times New Roman"/>
    </w:rPr>
  </w:style>
  <w:style w:type="character" w:customStyle="1" w:styleId="167">
    <w:name w:val="font61"/>
    <w:basedOn w:val="50"/>
    <w:qFormat/>
    <w:uiPriority w:val="0"/>
    <w:rPr>
      <w:rFonts w:hint="eastAsia" w:ascii="宋体" w:hAnsi="宋体" w:eastAsia="宋体" w:cs="宋体"/>
      <w:color w:val="000000"/>
      <w:sz w:val="22"/>
      <w:szCs w:val="22"/>
      <w:u w:val="none"/>
    </w:rPr>
  </w:style>
  <w:style w:type="character" w:customStyle="1" w:styleId="168">
    <w:name w:val="font11"/>
    <w:qFormat/>
    <w:uiPriority w:val="0"/>
    <w:rPr>
      <w:rFonts w:hint="eastAsia" w:ascii="宋体" w:hAnsi="宋体" w:eastAsia="宋体" w:cs="宋体"/>
      <w:color w:val="FF0000"/>
      <w:sz w:val="22"/>
      <w:szCs w:val="22"/>
      <w:u w:val="none"/>
    </w:rPr>
  </w:style>
  <w:style w:type="character" w:customStyle="1" w:styleId="169">
    <w:name w:val="批注主题 Char"/>
    <w:link w:val="45"/>
    <w:qFormat/>
    <w:uiPriority w:val="0"/>
    <w:rPr>
      <w:b/>
      <w:bCs/>
    </w:rPr>
  </w:style>
  <w:style w:type="character" w:customStyle="1" w:styleId="170">
    <w:name w:val="批注文字 Char1"/>
    <w:basedOn w:val="50"/>
    <w:qFormat/>
    <w:uiPriority w:val="99"/>
  </w:style>
  <w:style w:type="paragraph" w:customStyle="1" w:styleId="17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2">
    <w:name w:val="批注主题 Char1"/>
    <w:basedOn w:val="170"/>
    <w:qFormat/>
    <w:uiPriority w:val="99"/>
    <w:rPr>
      <w:b/>
      <w:bCs/>
    </w:rPr>
  </w:style>
  <w:style w:type="paragraph" w:customStyle="1" w:styleId="17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日期 Char1"/>
    <w:basedOn w:val="50"/>
    <w:qFormat/>
    <w:uiPriority w:val="99"/>
  </w:style>
  <w:style w:type="paragraph" w:customStyle="1" w:styleId="17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脚注文本 Char"/>
    <w:basedOn w:val="50"/>
    <w:link w:val="34"/>
    <w:qFormat/>
    <w:uiPriority w:val="0"/>
    <w:rPr>
      <w:rFonts w:ascii="Times New Roman" w:hAnsi="Times New Roman" w:eastAsia="宋体" w:cs="Times New Roman"/>
      <w:sz w:val="18"/>
      <w:szCs w:val="18"/>
    </w:rPr>
  </w:style>
  <w:style w:type="paragraph" w:customStyle="1" w:styleId="177">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9">
    <w:name w:val="标题 Char1"/>
    <w:basedOn w:val="50"/>
    <w:qFormat/>
    <w:uiPriority w:val="10"/>
    <w:rPr>
      <w:rFonts w:eastAsia="宋体" w:asciiTheme="majorHAnsi" w:hAnsiTheme="majorHAnsi" w:cstheme="majorBidi"/>
      <w:b/>
      <w:bCs/>
      <w:sz w:val="32"/>
      <w:szCs w:val="32"/>
    </w:rPr>
  </w:style>
  <w:style w:type="paragraph" w:customStyle="1" w:styleId="18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1">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3">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3"/>
    <w:basedOn w:val="1"/>
    <w:qFormat/>
    <w:uiPriority w:val="0"/>
    <w:pPr>
      <w:ind w:firstLine="420" w:firstLineChars="200"/>
    </w:pPr>
    <w:rPr>
      <w:rFonts w:ascii="Times New Roman" w:hAnsi="Times New Roman" w:eastAsia="宋体" w:cs="Times New Roman"/>
      <w:szCs w:val="24"/>
    </w:rPr>
  </w:style>
  <w:style w:type="character" w:customStyle="1" w:styleId="192">
    <w:name w:val="Char Char12"/>
    <w:qFormat/>
    <w:uiPriority w:val="0"/>
    <w:rPr>
      <w:rFonts w:eastAsia="宋体"/>
      <w:kern w:val="2"/>
      <w:sz w:val="18"/>
      <w:szCs w:val="18"/>
      <w:lang w:val="en-US" w:eastAsia="zh-CN" w:bidi="ar-SA"/>
    </w:rPr>
  </w:style>
  <w:style w:type="paragraph" w:customStyle="1" w:styleId="19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4"/>
    <w:basedOn w:val="1"/>
    <w:qFormat/>
    <w:uiPriority w:val="0"/>
    <w:pPr>
      <w:ind w:firstLine="420" w:firstLineChars="200"/>
    </w:pPr>
    <w:rPr>
      <w:rFonts w:ascii="Times New Roman" w:hAnsi="Times New Roman" w:eastAsia="宋体" w:cs="Times New Roman"/>
      <w:szCs w:val="24"/>
    </w:rPr>
  </w:style>
  <w:style w:type="character" w:customStyle="1" w:styleId="196">
    <w:name w:val="Char Char11"/>
    <w:qFormat/>
    <w:uiPriority w:val="0"/>
    <w:rPr>
      <w:rFonts w:eastAsia="宋体"/>
      <w:kern w:val="2"/>
      <w:sz w:val="18"/>
      <w:szCs w:val="18"/>
      <w:lang w:val="en-US" w:eastAsia="zh-CN" w:bidi="ar-SA"/>
    </w:rPr>
  </w:style>
  <w:style w:type="paragraph" w:customStyle="1" w:styleId="19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9">
    <w:name w:val="列出段落5"/>
    <w:basedOn w:val="1"/>
    <w:qFormat/>
    <w:uiPriority w:val="0"/>
    <w:pPr>
      <w:ind w:firstLine="420" w:firstLineChars="200"/>
    </w:pPr>
    <w:rPr>
      <w:rFonts w:ascii="Times New Roman" w:hAnsi="Times New Roman" w:eastAsia="宋体" w:cs="Times New Roman"/>
      <w:szCs w:val="24"/>
    </w:rPr>
  </w:style>
  <w:style w:type="character" w:customStyle="1" w:styleId="200">
    <w:name w:val="纯文本 Char"/>
    <w:link w:val="24"/>
    <w:qFormat/>
    <w:uiPriority w:val="0"/>
    <w:rPr>
      <w:rFonts w:ascii="宋体" w:hAnsi="Courier New" w:eastAsia="宋体"/>
      <w:szCs w:val="21"/>
    </w:rPr>
  </w:style>
  <w:style w:type="character" w:customStyle="1" w:styleId="201">
    <w:name w:val="纯文本 Char1"/>
    <w:basedOn w:val="50"/>
    <w:semiHidden/>
    <w:qFormat/>
    <w:uiPriority w:val="99"/>
    <w:rPr>
      <w:rFonts w:ascii="宋体" w:hAnsi="Courier New" w:eastAsia="宋体" w:cs="Courier New"/>
      <w:szCs w:val="21"/>
    </w:rPr>
  </w:style>
  <w:style w:type="paragraph" w:customStyle="1" w:styleId="2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4">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character" w:customStyle="1" w:styleId="205">
    <w:name w:val="bookmark-item"/>
    <w:basedOn w:val="50"/>
    <w:qFormat/>
    <w:uiPriority w:val="0"/>
  </w:style>
  <w:style w:type="paragraph" w:customStyle="1" w:styleId="206">
    <w:name w:val="ZAW"/>
    <w:basedOn w:val="1"/>
    <w:qFormat/>
    <w:uiPriority w:val="0"/>
    <w:pPr>
      <w:spacing w:line="520" w:lineRule="exact"/>
      <w:ind w:firstLine="480" w:firstLineChars="200"/>
    </w:pPr>
    <w:rPr>
      <w:rFonts w:ascii="宋体" w:hAnsi="宋体" w:eastAsia="宋体" w:cs="Times New Roman"/>
      <w:sz w:val="24"/>
      <w:szCs w:val="24"/>
    </w:rPr>
  </w:style>
  <w:style w:type="paragraph" w:customStyle="1" w:styleId="207">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208">
    <w:name w:val="15"/>
    <w:basedOn w:val="50"/>
    <w:qFormat/>
    <w:uiPriority w:val="0"/>
    <w:rPr>
      <w:rFonts w:hint="default" w:ascii="Times New Roman" w:hAnsi="Times New Roman" w:cs="Times New Roman"/>
    </w:rPr>
  </w:style>
  <w:style w:type="character" w:customStyle="1" w:styleId="209">
    <w:name w:val="ant-form-item-children1"/>
    <w:basedOn w:val="50"/>
    <w:qFormat/>
    <w:uiPriority w:val="0"/>
  </w:style>
  <w:style w:type="character" w:customStyle="1" w:styleId="210">
    <w:name w:val="标题 4 Char"/>
    <w:basedOn w:val="50"/>
    <w:link w:val="6"/>
    <w:qFormat/>
    <w:uiPriority w:val="0"/>
    <w:rPr>
      <w:rFonts w:ascii="Arial" w:hAnsi="Arial" w:eastAsia="黑体" w:cs="Times New Roman"/>
      <w:b/>
      <w:kern w:val="2"/>
      <w:sz w:val="28"/>
    </w:rPr>
  </w:style>
  <w:style w:type="character" w:customStyle="1" w:styleId="211">
    <w:name w:val="标题 5 Char"/>
    <w:basedOn w:val="50"/>
    <w:link w:val="7"/>
    <w:qFormat/>
    <w:uiPriority w:val="0"/>
    <w:rPr>
      <w:rFonts w:ascii="Times New Roman" w:hAnsi="Times New Roman" w:eastAsia="宋体" w:cs="Times New Roman"/>
      <w:b/>
      <w:kern w:val="2"/>
      <w:sz w:val="28"/>
    </w:rPr>
  </w:style>
  <w:style w:type="character" w:customStyle="1" w:styleId="212">
    <w:name w:val="标题 6 Char"/>
    <w:basedOn w:val="50"/>
    <w:link w:val="8"/>
    <w:qFormat/>
    <w:uiPriority w:val="0"/>
    <w:rPr>
      <w:rFonts w:ascii="Arial" w:hAnsi="Arial" w:eastAsia="黑体" w:cs="Times New Roman"/>
      <w:b/>
      <w:kern w:val="2"/>
      <w:sz w:val="24"/>
    </w:rPr>
  </w:style>
  <w:style w:type="character" w:customStyle="1" w:styleId="213">
    <w:name w:val="标题 7 Char"/>
    <w:basedOn w:val="50"/>
    <w:link w:val="9"/>
    <w:qFormat/>
    <w:uiPriority w:val="0"/>
    <w:rPr>
      <w:rFonts w:ascii="Times New Roman" w:hAnsi="Times New Roman" w:eastAsia="宋体" w:cs="Times New Roman"/>
      <w:b/>
      <w:kern w:val="2"/>
      <w:sz w:val="24"/>
    </w:rPr>
  </w:style>
  <w:style w:type="character" w:customStyle="1" w:styleId="214">
    <w:name w:val="标题 8 Char"/>
    <w:basedOn w:val="50"/>
    <w:link w:val="10"/>
    <w:qFormat/>
    <w:uiPriority w:val="0"/>
    <w:rPr>
      <w:rFonts w:ascii="Arial" w:hAnsi="Arial" w:eastAsia="黑体" w:cs="Times New Roman"/>
      <w:kern w:val="2"/>
      <w:sz w:val="24"/>
    </w:rPr>
  </w:style>
  <w:style w:type="character" w:customStyle="1" w:styleId="215">
    <w:name w:val="标题 9 Char"/>
    <w:basedOn w:val="50"/>
    <w:link w:val="11"/>
    <w:qFormat/>
    <w:uiPriority w:val="0"/>
    <w:rPr>
      <w:rFonts w:ascii="Arial" w:hAnsi="Arial" w:eastAsia="黑体" w:cs="Times New Roman"/>
      <w:kern w:val="2"/>
      <w:sz w:val="21"/>
    </w:rPr>
  </w:style>
  <w:style w:type="character" w:customStyle="1" w:styleId="216">
    <w:name w:val="List Paragraph Char"/>
    <w:basedOn w:val="50"/>
    <w:link w:val="152"/>
    <w:qFormat/>
    <w:uiPriority w:val="0"/>
    <w:rPr>
      <w:rFonts w:ascii="Times New Roman" w:hAnsi="Times New Roman" w:eastAsia="宋体" w:cs="Times New Roman"/>
      <w:kern w:val="2"/>
      <w:sz w:val="21"/>
      <w:szCs w:val="24"/>
    </w:rPr>
  </w:style>
  <w:style w:type="character" w:customStyle="1" w:styleId="217">
    <w:name w:val="HTML 预设格式 Char"/>
    <w:basedOn w:val="50"/>
    <w:link w:val="41"/>
    <w:qFormat/>
    <w:uiPriority w:val="0"/>
    <w:rPr>
      <w:rFonts w:ascii="宋体" w:hAnsi="宋体" w:eastAsia="宋体" w:cs="宋体"/>
      <w:sz w:val="24"/>
      <w:szCs w:val="24"/>
    </w:rPr>
  </w:style>
  <w:style w:type="character" w:customStyle="1" w:styleId="218">
    <w:name w:val="mark"/>
    <w:basedOn w:val="50"/>
    <w:qFormat/>
    <w:uiPriority w:val="0"/>
  </w:style>
  <w:style w:type="paragraph" w:customStyle="1" w:styleId="219">
    <w:name w:val="dash5217_51fa_6bb5_843d"/>
    <w:basedOn w:val="1"/>
    <w:qFormat/>
    <w:uiPriority w:val="0"/>
    <w:pPr>
      <w:widowControl/>
      <w:ind w:firstLine="420"/>
    </w:pPr>
    <w:rPr>
      <w:rFonts w:ascii="Calibri" w:hAnsi="Calibri" w:eastAsia="宋体" w:cs="Calibri"/>
      <w:kern w:val="0"/>
      <w:sz w:val="20"/>
      <w:szCs w:val="20"/>
    </w:rPr>
  </w:style>
  <w:style w:type="character" w:customStyle="1" w:styleId="220">
    <w:name w:val="dash5217_51fa_6bb5_843d__char1"/>
    <w:qFormat/>
    <w:uiPriority w:val="0"/>
    <w:rPr>
      <w:rFonts w:ascii="Calibri" w:hAnsi="Calibri" w:cs="Calibri"/>
      <w:sz w:val="20"/>
      <w:szCs w:val="20"/>
    </w:rPr>
  </w:style>
  <w:style w:type="paragraph" w:customStyle="1" w:styleId="221">
    <w:name w:val="dash6b63_6587"/>
    <w:basedOn w:val="1"/>
    <w:qFormat/>
    <w:uiPriority w:val="0"/>
    <w:pPr>
      <w:widowControl/>
    </w:pPr>
    <w:rPr>
      <w:rFonts w:ascii="Calibri" w:hAnsi="Calibri" w:eastAsia="宋体" w:cs="Calibri"/>
      <w:kern w:val="0"/>
      <w:sz w:val="20"/>
      <w:szCs w:val="20"/>
    </w:rPr>
  </w:style>
  <w:style w:type="character" w:customStyle="1" w:styleId="222">
    <w:name w:val="dash6b63_6587__char1"/>
    <w:qFormat/>
    <w:uiPriority w:val="0"/>
    <w:rPr>
      <w:rFonts w:ascii="Calibri" w:hAnsi="Calibri" w:cs="Calibri"/>
      <w:sz w:val="20"/>
      <w:szCs w:val="20"/>
    </w:rPr>
  </w:style>
  <w:style w:type="paragraph" w:customStyle="1" w:styleId="223">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
    <w:name w:val="ParaAttribute8"/>
    <w:qFormat/>
    <w:uiPriority w:val="0"/>
    <w:pPr>
      <w:widowControl w:val="0"/>
      <w:jc w:val="both"/>
    </w:pPr>
    <w:rPr>
      <w:rFonts w:ascii="Times New Roman" w:hAnsi="Arial Unicode MS" w:eastAsia="Arial Unicode MS" w:cs="Arial Unicode MS"/>
      <w:color w:val="000000"/>
      <w:u w:color="000000"/>
      <w:lang w:val="en-US" w:eastAsia="zh-CN" w:bidi="ar-SA"/>
    </w:rPr>
  </w:style>
  <w:style w:type="paragraph" w:customStyle="1" w:styleId="226">
    <w:name w:val="默认"/>
    <w:qFormat/>
    <w:uiPriority w:val="0"/>
    <w:rPr>
      <w:rFonts w:ascii="Helvetica" w:hAnsi="Arial Unicode MS" w:eastAsia="Arial Unicode MS" w:cs="Arial Unicode MS"/>
      <w:color w:val="000000"/>
      <w:sz w:val="22"/>
      <w:szCs w:val="22"/>
      <w:lang w:val="zh-TW" w:eastAsia="zh-TW" w:bidi="ar-SA"/>
    </w:rPr>
  </w:style>
  <w:style w:type="character" w:customStyle="1" w:styleId="227">
    <w:name w:val="def"/>
    <w:basedOn w:val="50"/>
    <w:qFormat/>
    <w:uiPriority w:val="0"/>
  </w:style>
  <w:style w:type="paragraph" w:customStyle="1" w:styleId="228">
    <w:name w:val="reader-word-layer reader-word-s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0">
    <w:name w:val="z-窗体顶端2"/>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231">
    <w:name w:val="z-窗体底端2"/>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232">
    <w:name w:val="TOC 标题2"/>
    <w:basedOn w:val="4"/>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23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34">
    <w:name w:val="font5"/>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35">
    <w:name w:val="font6"/>
    <w:basedOn w:val="1"/>
    <w:qFormat/>
    <w:uiPriority w:val="0"/>
    <w:pPr>
      <w:widowControl/>
      <w:spacing w:before="100" w:beforeAutospacing="1" w:after="100" w:afterAutospacing="1"/>
      <w:jc w:val="left"/>
    </w:pPr>
    <w:rPr>
      <w:rFonts w:ascii="Arial" w:hAnsi="Arial" w:eastAsia="宋体" w:cs="Arial"/>
      <w:kern w:val="0"/>
      <w:sz w:val="22"/>
    </w:rPr>
  </w:style>
  <w:style w:type="paragraph" w:customStyle="1" w:styleId="23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7">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8">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9">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3">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2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7">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8">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9">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61">
    <w:name w:val="xl8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62">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4">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6">
    <w:name w:val="xl92"/>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267">
    <w:name w:val="xl93"/>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8">
    <w:name w:val="xl94"/>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9">
    <w:name w:val="xl95"/>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70">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1">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2">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3">
    <w:name w:val="正文1"/>
    <w:qFormat/>
    <w:uiPriority w:val="0"/>
    <w:pPr>
      <w:jc w:val="both"/>
    </w:pPr>
    <w:rPr>
      <w:rFonts w:ascii="宋体" w:hAnsi="宋体" w:eastAsia="宋体" w:cs="宋体"/>
      <w:kern w:val="2"/>
      <w:sz w:val="21"/>
      <w:szCs w:val="21"/>
      <w:lang w:val="en-US" w:eastAsia="zh-CN" w:bidi="ar-SA"/>
    </w:rPr>
  </w:style>
  <w:style w:type="character" w:customStyle="1" w:styleId="274">
    <w:name w:val="副标题 Char"/>
    <w:basedOn w:val="50"/>
    <w:link w:val="33"/>
    <w:qFormat/>
    <w:uiPriority w:val="99"/>
    <w:rPr>
      <w:rFonts w:ascii="Cambria" w:hAnsi="Cambria" w:eastAsia="宋体" w:cs="宋体"/>
      <w:b/>
      <w:bCs/>
      <w:kern w:val="28"/>
      <w:sz w:val="32"/>
      <w:szCs w:val="32"/>
    </w:rPr>
  </w:style>
  <w:style w:type="paragraph" w:customStyle="1" w:styleId="275">
    <w:name w:val="Table Paragraph"/>
    <w:basedOn w:val="1"/>
    <w:qFormat/>
    <w:uiPriority w:val="1"/>
    <w:pPr>
      <w:jc w:val="left"/>
    </w:pPr>
    <w:rPr>
      <w:rFonts w:ascii="宋体" w:hAnsi="宋体" w:cs="宋体"/>
      <w:kern w:val="0"/>
      <w:sz w:val="22"/>
    </w:rPr>
  </w:style>
  <w:style w:type="character" w:customStyle="1" w:styleId="276">
    <w:name w:val="font112"/>
    <w:basedOn w:val="50"/>
    <w:qFormat/>
    <w:uiPriority w:val="0"/>
    <w:rPr>
      <w:rFonts w:hint="eastAsia" w:ascii="宋体" w:hAnsi="宋体" w:eastAsia="宋体" w:cs="宋体"/>
      <w:color w:val="000000"/>
      <w:sz w:val="20"/>
      <w:szCs w:val="20"/>
      <w:u w:val="none"/>
    </w:rPr>
  </w:style>
  <w:style w:type="character" w:customStyle="1" w:styleId="277">
    <w:name w:val="font141"/>
    <w:basedOn w:val="50"/>
    <w:qFormat/>
    <w:uiPriority w:val="0"/>
    <w:rPr>
      <w:rFonts w:hint="eastAsia" w:ascii="宋体" w:hAnsi="宋体" w:eastAsia="宋体" w:cs="宋体"/>
      <w:color w:val="FF0000"/>
      <w:sz w:val="20"/>
      <w:szCs w:val="20"/>
      <w:u w:val="none"/>
    </w:rPr>
  </w:style>
  <w:style w:type="character" w:customStyle="1" w:styleId="278">
    <w:name w:val="text1"/>
    <w:basedOn w:val="50"/>
    <w:qFormat/>
    <w:uiPriority w:val="0"/>
    <w:rPr>
      <w:rFonts w:ascii="黑体" w:hAnsi="宋体" w:eastAsia="黑体" w:cs="黑体"/>
      <w:b/>
      <w:color w:val="0083FF"/>
      <w:sz w:val="52"/>
      <w:szCs w:val="52"/>
    </w:rPr>
  </w:style>
  <w:style w:type="character" w:customStyle="1" w:styleId="279">
    <w:name w:val="fontstyle01"/>
    <w:basedOn w:val="50"/>
    <w:qFormat/>
    <w:uiPriority w:val="99"/>
    <w:rPr>
      <w:rFonts w:ascii="宋体" w:hAnsi="宋体" w:eastAsia="宋体" w:cs="Times New Roman"/>
      <w:color w:val="000000"/>
      <w:sz w:val="24"/>
      <w:szCs w:val="24"/>
    </w:rPr>
  </w:style>
  <w:style w:type="paragraph" w:customStyle="1" w:styleId="280">
    <w:name w:val="TOC Heading1"/>
    <w:basedOn w:val="4"/>
    <w:next w:val="1"/>
    <w:qFormat/>
    <w:uiPriority w:val="99"/>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281">
    <w:name w:val="detai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83">
    <w:name w:val="样式1"/>
    <w:basedOn w:val="1"/>
    <w:qFormat/>
    <w:uiPriority w:val="99"/>
    <w:pPr>
      <w:adjustRightInd w:val="0"/>
      <w:spacing w:before="100" w:beforeAutospacing="1" w:after="100" w:afterAutospacing="1"/>
      <w:ind w:left="480" w:hanging="480"/>
      <w:textAlignment w:val="baseline"/>
    </w:pPr>
    <w:rPr>
      <w:rFonts w:ascii="宋体" w:hAnsi="宋体" w:eastAsia="宋体" w:cs="宋体"/>
      <w:kern w:val="0"/>
      <w:szCs w:val="21"/>
    </w:rPr>
  </w:style>
  <w:style w:type="character" w:customStyle="1" w:styleId="284">
    <w:name w:val="font31"/>
    <w:basedOn w:val="50"/>
    <w:qFormat/>
    <w:uiPriority w:val="0"/>
    <w:rPr>
      <w:rFonts w:hint="eastAsia" w:ascii="微软雅黑" w:hAnsi="微软雅黑" w:eastAsia="微软雅黑"/>
      <w:b/>
      <w:bCs/>
      <w:color w:val="000000"/>
      <w:sz w:val="36"/>
      <w:szCs w:val="36"/>
      <w:u w:val="none"/>
    </w:rPr>
  </w:style>
  <w:style w:type="paragraph" w:customStyle="1" w:styleId="285">
    <w:name w:val="HTML Top of Form"/>
    <w:basedOn w:val="1"/>
    <w:next w:val="1"/>
    <w:link w:val="28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286">
    <w:name w:val="z-窗体顶端 Char1"/>
    <w:basedOn w:val="50"/>
    <w:link w:val="285"/>
    <w:semiHidden/>
    <w:qFormat/>
    <w:uiPriority w:val="99"/>
    <w:rPr>
      <w:rFonts w:ascii="Arial" w:hAnsi="Arial" w:cs="Arial"/>
      <w:vanish/>
      <w:sz w:val="16"/>
      <w:szCs w:val="16"/>
    </w:rPr>
  </w:style>
  <w:style w:type="paragraph" w:customStyle="1" w:styleId="287">
    <w:name w:val="HTML Bottom of Form"/>
    <w:basedOn w:val="1"/>
    <w:next w:val="1"/>
    <w:link w:val="28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88">
    <w:name w:val="z-窗体底端 Char1"/>
    <w:basedOn w:val="50"/>
    <w:link w:val="287"/>
    <w:semiHidden/>
    <w:qFormat/>
    <w:uiPriority w:val="99"/>
    <w:rPr>
      <w:rFonts w:ascii="Arial" w:hAnsi="Arial" w:cs="Arial"/>
      <w:vanish/>
      <w:sz w:val="16"/>
      <w:szCs w:val="16"/>
    </w:rPr>
  </w:style>
  <w:style w:type="paragraph" w:customStyle="1" w:styleId="289">
    <w:name w:val="TOC Heading"/>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290">
    <w:name w:val="正文4"/>
    <w:qFormat/>
    <w:uiPriority w:val="0"/>
    <w:pPr>
      <w:jc w:val="both"/>
    </w:pPr>
    <w:rPr>
      <w:rFonts w:ascii="Times New Roman" w:hAnsi="Times New Roman" w:eastAsia="宋体" w:cs="Times New Roman"/>
      <w:kern w:val="2"/>
      <w:sz w:val="21"/>
      <w:szCs w:val="21"/>
      <w:lang w:val="en-US" w:eastAsia="zh-CN" w:bidi="ar-SA"/>
    </w:rPr>
  </w:style>
  <w:style w:type="character" w:customStyle="1" w:styleId="291">
    <w:name w:val="NormalCharacter"/>
    <w:qFormat/>
    <w:uiPriority w:val="0"/>
  </w:style>
  <w:style w:type="paragraph" w:customStyle="1" w:styleId="292">
    <w:name w:val="UserStyle_6"/>
    <w:basedOn w:val="1"/>
    <w:qFormat/>
    <w:uiPriority w:val="0"/>
    <w:pPr>
      <w:widowControl/>
      <w:spacing w:before="31"/>
      <w:ind w:left="591"/>
      <w:jc w:val="left"/>
      <w:textAlignment w:val="baseline"/>
    </w:pPr>
    <w:rPr>
      <w:rFonts w:ascii="宋体" w:hAnsi="宋体" w:eastAsia="宋体" w:cs="宋体"/>
      <w:b/>
      <w:bCs/>
      <w:kern w:val="0"/>
      <w:sz w:val="24"/>
      <w:szCs w:val="24"/>
      <w:lang w:eastAsia="en-US"/>
    </w:rPr>
  </w:style>
  <w:style w:type="character" w:customStyle="1" w:styleId="293">
    <w:name w:val="正文首行缩进 2 Char"/>
    <w:basedOn w:val="70"/>
    <w:link w:val="47"/>
    <w:semiHidden/>
    <w:qFormat/>
    <w:uiPriority w:val="99"/>
    <w:rPr>
      <w:rFonts w:asciiTheme="minorHAnsi" w:hAnsiTheme="minorHAnsi" w:eastAsiaTheme="minorEastAsia" w:cstheme="minorBidi"/>
      <w:kern w:val="2"/>
      <w:sz w:val="21"/>
      <w:szCs w:val="22"/>
    </w:rPr>
  </w:style>
  <w:style w:type="character" w:customStyle="1" w:styleId="294">
    <w:name w:val="正文首行缩进 Char"/>
    <w:basedOn w:val="139"/>
    <w:link w:val="46"/>
    <w:semiHidden/>
    <w:qFormat/>
    <w:uiPriority w:val="99"/>
    <w:rPr>
      <w:rFonts w:asciiTheme="minorHAnsi" w:hAnsiTheme="minorHAnsi" w:eastAsiaTheme="minorEastAsia" w:cstheme="minorBidi"/>
      <w:kern w:val="2"/>
      <w:sz w:val="21"/>
      <w:szCs w:val="22"/>
    </w:rPr>
  </w:style>
  <w:style w:type="table" w:customStyle="1" w:styleId="295">
    <w:name w:val="TableNormal"/>
    <w:qFormat/>
    <w:uiPriority w:val="0"/>
    <w:tblPr>
      <w:tblCellMar>
        <w:top w:w="0" w:type="dxa"/>
        <w:left w:w="0" w:type="dxa"/>
        <w:bottom w:w="0" w:type="dxa"/>
        <w:right w:w="0" w:type="dxa"/>
      </w:tblCellMar>
    </w:tblPr>
  </w:style>
  <w:style w:type="paragraph" w:customStyle="1" w:styleId="296">
    <w:name w:val="UserStyle_0"/>
    <w:basedOn w:val="1"/>
    <w:qFormat/>
    <w:uiPriority w:val="0"/>
    <w:pPr>
      <w:widowControl/>
      <w:ind w:firstLine="560"/>
      <w:jc w:val="left"/>
      <w:textAlignment w:val="baseline"/>
    </w:pPr>
    <w:rPr>
      <w:rFonts w:ascii="宋体" w:hAnsi="宋体" w:eastAsia="宋体" w:cs="Times New Roman"/>
      <w:kern w:val="0"/>
      <w:sz w:val="22"/>
      <w:lang w:eastAsia="en-US"/>
    </w:rPr>
  </w:style>
  <w:style w:type="paragraph" w:customStyle="1" w:styleId="297">
    <w:name w:val="BodyText"/>
    <w:basedOn w:val="1"/>
    <w:qFormat/>
    <w:uiPriority w:val="0"/>
    <w:pPr>
      <w:widowControl/>
      <w:ind w:left="109"/>
      <w:jc w:val="left"/>
      <w:textAlignment w:val="baseline"/>
    </w:pPr>
    <w:rPr>
      <w:rFonts w:ascii="宋体" w:hAnsi="宋体" w:eastAsia="宋体" w:cs="Times New Roman"/>
      <w:kern w:val="0"/>
      <w:sz w:val="24"/>
      <w:szCs w:val="24"/>
      <w:lang w:eastAsia="en-US"/>
    </w:rPr>
  </w:style>
  <w:style w:type="paragraph" w:customStyle="1" w:styleId="298">
    <w:name w:val="BodyText1I"/>
    <w:basedOn w:val="297"/>
    <w:qFormat/>
    <w:uiPriority w:val="0"/>
    <w:pPr>
      <w:ind w:firstLine="420" w:firstLineChars="100"/>
      <w:jc w:val="center"/>
    </w:pPr>
    <w:rPr>
      <w:rFonts w:cs="宋体"/>
      <w:b/>
      <w:bCs/>
      <w:kern w:val="2"/>
      <w:sz w:val="36"/>
    </w:rPr>
  </w:style>
  <w:style w:type="paragraph" w:customStyle="1" w:styleId="299">
    <w:name w:val="UserStyle_1"/>
    <w:basedOn w:val="1"/>
    <w:qFormat/>
    <w:uiPriority w:val="0"/>
    <w:pPr>
      <w:widowControl/>
      <w:ind w:left="54"/>
      <w:jc w:val="center"/>
      <w:textAlignment w:val="baseline"/>
    </w:pPr>
    <w:rPr>
      <w:rFonts w:ascii="宋体" w:hAnsi="宋体" w:eastAsia="宋体" w:cs="宋体"/>
      <w:b/>
      <w:bCs/>
      <w:kern w:val="0"/>
      <w:sz w:val="40"/>
      <w:szCs w:val="40"/>
      <w:lang w:eastAsia="en-US"/>
    </w:rPr>
  </w:style>
  <w:style w:type="paragraph" w:customStyle="1" w:styleId="300">
    <w:name w:val="UserStyle_2"/>
    <w:basedOn w:val="1"/>
    <w:qFormat/>
    <w:uiPriority w:val="0"/>
    <w:pPr>
      <w:widowControl/>
      <w:jc w:val="center"/>
      <w:textAlignment w:val="baseline"/>
    </w:pPr>
    <w:rPr>
      <w:rFonts w:ascii="宋体" w:hAnsi="宋体" w:eastAsia="宋体" w:cs="宋体"/>
      <w:b/>
      <w:bCs/>
      <w:kern w:val="0"/>
      <w:sz w:val="36"/>
      <w:szCs w:val="36"/>
      <w:lang w:eastAsia="en-US"/>
    </w:rPr>
  </w:style>
  <w:style w:type="paragraph" w:customStyle="1" w:styleId="301">
    <w:name w:val="UserStyle_3"/>
    <w:basedOn w:val="1"/>
    <w:qFormat/>
    <w:uiPriority w:val="0"/>
    <w:pPr>
      <w:widowControl/>
      <w:ind w:left="23"/>
      <w:jc w:val="center"/>
      <w:textAlignment w:val="baseline"/>
    </w:pPr>
    <w:rPr>
      <w:rFonts w:ascii="宋体" w:hAnsi="宋体" w:eastAsia="宋体" w:cs="宋体"/>
      <w:b/>
      <w:bCs/>
      <w:kern w:val="0"/>
      <w:sz w:val="30"/>
      <w:szCs w:val="30"/>
      <w:lang w:eastAsia="en-US"/>
    </w:rPr>
  </w:style>
  <w:style w:type="paragraph" w:customStyle="1" w:styleId="302">
    <w:name w:val="UserStyle_4"/>
    <w:basedOn w:val="1"/>
    <w:qFormat/>
    <w:uiPriority w:val="0"/>
    <w:pPr>
      <w:widowControl/>
      <w:jc w:val="left"/>
      <w:textAlignment w:val="baseline"/>
    </w:pPr>
    <w:rPr>
      <w:rFonts w:ascii="宋体" w:hAnsi="宋体" w:eastAsia="宋体" w:cs="Times New Roman"/>
      <w:kern w:val="0"/>
      <w:sz w:val="22"/>
      <w:lang w:eastAsia="en-US"/>
    </w:rPr>
  </w:style>
  <w:style w:type="table" w:customStyle="1" w:styleId="303">
    <w:name w:val="UserStyle_5"/>
    <w:qFormat/>
    <w:uiPriority w:val="0"/>
    <w:tblPr>
      <w:tblCellMar>
        <w:top w:w="0" w:type="dxa"/>
        <w:left w:w="0" w:type="dxa"/>
        <w:bottom w:w="0" w:type="dxa"/>
        <w:right w:w="0" w:type="dxa"/>
      </w:tblCellMar>
    </w:tblPr>
  </w:style>
  <w:style w:type="paragraph" w:customStyle="1" w:styleId="304">
    <w:name w:val="UserStyle_7"/>
    <w:basedOn w:val="1"/>
    <w:qFormat/>
    <w:uiPriority w:val="0"/>
    <w:pPr>
      <w:widowControl/>
      <w:ind w:left="152"/>
      <w:jc w:val="center"/>
      <w:textAlignment w:val="baseline"/>
    </w:pPr>
    <w:rPr>
      <w:rFonts w:ascii="宋体" w:hAnsi="宋体" w:eastAsia="宋体" w:cs="宋体"/>
      <w:b/>
      <w:bCs/>
      <w:kern w:val="0"/>
      <w:sz w:val="32"/>
      <w:szCs w:val="32"/>
      <w:lang w:eastAsia="en-US"/>
    </w:rPr>
  </w:style>
  <w:style w:type="paragraph" w:customStyle="1" w:styleId="305">
    <w:name w:val="179"/>
    <w:basedOn w:val="1"/>
    <w:qFormat/>
    <w:uiPriority w:val="0"/>
    <w:pPr>
      <w:widowControl/>
      <w:spacing w:before="31"/>
      <w:ind w:left="109" w:firstLine="480"/>
      <w:jc w:val="left"/>
      <w:textAlignment w:val="baseline"/>
    </w:pPr>
    <w:rPr>
      <w:rFonts w:ascii="宋体" w:hAnsi="宋体" w:eastAsia="宋体" w:cs="Times New Roman"/>
      <w:kern w:val="0"/>
      <w:sz w:val="22"/>
      <w:lang w:eastAsia="en-US"/>
    </w:rPr>
  </w:style>
  <w:style w:type="paragraph" w:customStyle="1" w:styleId="306">
    <w:name w:val="UserStyle_8"/>
    <w:basedOn w:val="1"/>
    <w:qFormat/>
    <w:uiPriority w:val="0"/>
    <w:pPr>
      <w:widowControl/>
      <w:ind w:left="109"/>
      <w:jc w:val="left"/>
      <w:textAlignment w:val="baseline"/>
    </w:pPr>
    <w:rPr>
      <w:rFonts w:ascii="宋体" w:hAnsi="宋体" w:eastAsia="宋体" w:cs="宋体"/>
      <w:b/>
      <w:bCs/>
      <w:kern w:val="0"/>
      <w:sz w:val="28"/>
      <w:szCs w:val="28"/>
      <w:lang w:eastAsia="en-US"/>
    </w:rPr>
  </w:style>
  <w:style w:type="paragraph" w:customStyle="1" w:styleId="307">
    <w:name w:val="UserStyle_9"/>
    <w:basedOn w:val="1"/>
    <w:qFormat/>
    <w:uiPriority w:val="0"/>
    <w:pPr>
      <w:widowControl/>
      <w:ind w:firstLine="420" w:firstLineChars="200"/>
      <w:jc w:val="left"/>
      <w:textAlignment w:val="baseline"/>
    </w:pPr>
    <w:rPr>
      <w:rFonts w:ascii="宋体" w:hAnsi="宋体" w:eastAsia="宋体" w:cs="Times New Roman"/>
      <w:kern w:val="0"/>
      <w:sz w:val="22"/>
      <w:lang w:eastAsia="en-US"/>
    </w:rPr>
  </w:style>
  <w:style w:type="paragraph" w:customStyle="1" w:styleId="308">
    <w:name w:val="标书正文"/>
    <w:basedOn w:val="1"/>
    <w:qFormat/>
    <w:uiPriority w:val="0"/>
    <w:pPr>
      <w:widowControl/>
      <w:spacing w:line="560" w:lineRule="exact"/>
      <w:ind w:firstLine="723" w:firstLineChars="200"/>
      <w:jc w:val="center"/>
      <w:textAlignment w:val="baseline"/>
    </w:pPr>
    <w:rPr>
      <w:rFonts w:ascii="仿宋_GB2312" w:hAnsi="Calibri" w:eastAsia="仿宋_GB2312" w:cs="Times New Roman"/>
      <w:b/>
      <w:kern w:val="0"/>
      <w:sz w:val="36"/>
      <w:szCs w:val="24"/>
      <w:lang w:eastAsia="en-US"/>
    </w:rPr>
  </w:style>
  <w:style w:type="paragraph" w:customStyle="1" w:styleId="309">
    <w:name w:val="正文 A"/>
    <w:basedOn w:val="1"/>
    <w:qFormat/>
    <w:uiPriority w:val="0"/>
    <w:pPr>
      <w:widowControl/>
      <w:pBdr>
        <w:top w:val="none" w:color="FFFFFF" w:sz="0" w:space="0"/>
        <w:left w:val="none" w:color="FFFFFF" w:sz="0" w:space="0"/>
        <w:bottom w:val="none" w:color="FFFFFF" w:sz="0" w:space="0"/>
        <w:right w:val="none" w:color="FFFFFF" w:sz="0" w:space="0"/>
      </w:pBdr>
      <w:jc w:val="left"/>
      <w:textAlignment w:val="baseline"/>
    </w:pPr>
    <w:rPr>
      <w:rFonts w:ascii="Times New Roman" w:hAnsi="Times New Roman" w:eastAsia="宋体" w:cs="Times New Roman"/>
      <w:color w:val="000000"/>
      <w:kern w:val="0"/>
      <w:sz w:val="22"/>
      <w:szCs w:val="21"/>
      <w:lang w:eastAsia="en-US"/>
    </w:rPr>
  </w:style>
  <w:style w:type="paragraph" w:customStyle="1" w:styleId="310">
    <w:name w:val="11正文"/>
    <w:basedOn w:val="1"/>
    <w:qFormat/>
    <w:uiPriority w:val="0"/>
    <w:pPr>
      <w:widowControl/>
      <w:tabs>
        <w:tab w:val="center" w:pos="4153"/>
        <w:tab w:val="right" w:pos="8306"/>
      </w:tabs>
      <w:spacing w:line="360" w:lineRule="auto"/>
      <w:ind w:firstLine="560" w:firstLineChars="200"/>
      <w:jc w:val="left"/>
      <w:textAlignment w:val="baseline"/>
    </w:pPr>
    <w:rPr>
      <w:rFonts w:hint="eastAsia" w:ascii="宋体" w:hAnsi="宋体" w:eastAsia="宋体" w:cs="Times New Roman"/>
      <w:color w:val="000000"/>
      <w:kern w:val="0"/>
      <w:sz w:val="24"/>
      <w:szCs w:val="28"/>
      <w:lang w:eastAsia="en-US"/>
    </w:rPr>
  </w:style>
  <w:style w:type="paragraph" w:customStyle="1" w:styleId="311">
    <w:name w:val="图"/>
    <w:basedOn w:val="1"/>
    <w:qFormat/>
    <w:uiPriority w:val="99"/>
    <w:pPr>
      <w:keepNext/>
      <w:widowControl/>
      <w:adjustRightInd w:val="0"/>
      <w:spacing w:before="60" w:after="60" w:line="300" w:lineRule="auto"/>
      <w:jc w:val="center"/>
      <w:textAlignment w:val="center"/>
    </w:pPr>
    <w:rPr>
      <w:rFonts w:ascii="Times New Roman" w:hAnsi="Times New Roman" w:eastAsia="宋体" w:cs="Times New Roman"/>
      <w:spacing w:val="20"/>
      <w:kern w:val="0"/>
      <w:sz w:val="24"/>
      <w:lang w:eastAsia="en-US"/>
    </w:rPr>
  </w:style>
  <w:style w:type="paragraph" w:customStyle="1" w:styleId="312">
    <w:name w:val="招标方案正文"/>
    <w:basedOn w:val="1"/>
    <w:qFormat/>
    <w:uiPriority w:val="0"/>
    <w:pPr>
      <w:widowControl/>
      <w:spacing w:line="360" w:lineRule="auto"/>
      <w:ind w:firstLine="200" w:firstLineChars="200"/>
      <w:jc w:val="left"/>
      <w:textAlignment w:val="baseline"/>
    </w:pPr>
    <w:rPr>
      <w:rFonts w:ascii="Times New Roman" w:hAnsi="Times New Roman" w:eastAsia="宋体" w:cs="Times New Roman"/>
      <w:kern w:val="0"/>
      <w:sz w:val="24"/>
      <w:lang w:eastAsia="en-US"/>
    </w:rPr>
  </w:style>
  <w:style w:type="table" w:customStyle="1" w:styleId="313">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314">
    <w:name w:val="标题3"/>
    <w:qFormat/>
    <w:uiPriority w:val="0"/>
    <w:rPr>
      <w:rFonts w:ascii="仿宋" w:hAnsi="仿宋" w:eastAsia="楷体"/>
      <w:b/>
      <w:kern w:val="1"/>
      <w:sz w:val="32"/>
    </w:rPr>
  </w:style>
  <w:style w:type="table" w:customStyle="1" w:styleId="315">
    <w:name w:val="网格型11"/>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3"/>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7">
    <w:name w:val="font51"/>
    <w:basedOn w:val="50"/>
    <w:qFormat/>
    <w:uiPriority w:val="0"/>
    <w:rPr>
      <w:rFonts w:hint="default" w:ascii="方正仿宋_GBK" w:hAnsi="方正仿宋_GBK" w:eastAsia="方正仿宋_GBK" w:cs="方正仿宋_GBK"/>
      <w:color w:val="000000"/>
      <w:sz w:val="24"/>
      <w:szCs w:val="24"/>
      <w:u w:val="none"/>
    </w:rPr>
  </w:style>
  <w:style w:type="paragraph" w:customStyle="1" w:styleId="318">
    <w:name w:val="正文缩进1"/>
    <w:basedOn w:val="1"/>
    <w:qFormat/>
    <w:uiPriority w:val="0"/>
    <w:pPr>
      <w:widowControl/>
      <w:ind w:firstLine="420" w:firstLineChars="200"/>
      <w:jc w:val="left"/>
      <w:textAlignment w:val="baseline"/>
    </w:pPr>
    <w:rPr>
      <w:rFonts w:ascii="宋体" w:hAnsi="宋体" w:eastAsia="宋体" w:cs="Times New Roman"/>
      <w:kern w:val="0"/>
      <w:sz w:val="22"/>
      <w:lang w:eastAsia="en-US"/>
    </w:rPr>
  </w:style>
  <w:style w:type="paragraph" w:customStyle="1" w:styleId="319">
    <w:name w:val="样式 样式 样式 左侧:  2 字符1 + 首行缩进:  2 字符1 + 首行缩进:  2 字符"/>
    <w:basedOn w:val="1"/>
    <w:qFormat/>
    <w:uiPriority w:val="0"/>
    <w:pPr>
      <w:widowControl/>
      <w:adjustRightInd w:val="0"/>
      <w:spacing w:before="60" w:after="120" w:line="440" w:lineRule="atLeast"/>
      <w:ind w:firstLine="480"/>
      <w:jc w:val="left"/>
      <w:textAlignment w:val="baseline"/>
    </w:pPr>
    <w:rPr>
      <w:rFonts w:ascii="宋体" w:hAnsi="宋体" w:eastAsia="宋体" w:cs="Times New Roman"/>
      <w:kern w:val="0"/>
      <w:sz w:val="24"/>
      <w:lang w:eastAsia="en-US"/>
    </w:rPr>
  </w:style>
  <w:style w:type="paragraph" w:customStyle="1" w:styleId="320">
    <w:name w:val="列表段落1"/>
    <w:basedOn w:val="1"/>
    <w:qFormat/>
    <w:uiPriority w:val="34"/>
    <w:pPr>
      <w:widowControl/>
      <w:ind w:firstLine="420" w:firstLineChars="200"/>
      <w:jc w:val="left"/>
      <w:textAlignment w:val="baseline"/>
    </w:pPr>
    <w:rPr>
      <w:rFonts w:ascii="宋体" w:hAnsi="宋体" w:eastAsia="宋体" w:cs="Times New Roman"/>
      <w:kern w:val="0"/>
      <w:sz w:val="22"/>
      <w:lang w:eastAsia="en-US"/>
    </w:rPr>
  </w:style>
  <w:style w:type="paragraph" w:customStyle="1" w:styleId="321">
    <w:name w:val="Body text|1"/>
    <w:basedOn w:val="1"/>
    <w:qFormat/>
    <w:uiPriority w:val="0"/>
    <w:pPr>
      <w:spacing w:line="334" w:lineRule="auto"/>
      <w:ind w:firstLine="400"/>
      <w:jc w:val="left"/>
      <w:textAlignment w:val="baseline"/>
    </w:pPr>
    <w:rPr>
      <w:rFonts w:ascii="宋体" w:hAnsi="宋体" w:eastAsia="宋体" w:cs="宋体"/>
      <w:kern w:val="0"/>
      <w:sz w:val="22"/>
      <w:lang w:val="zh-TW" w:eastAsia="zh-TW" w:bidi="zh-TW"/>
    </w:rPr>
  </w:style>
  <w:style w:type="paragraph" w:customStyle="1" w:styleId="322">
    <w:name w:val="Other|1"/>
    <w:basedOn w:val="1"/>
    <w:qFormat/>
    <w:uiPriority w:val="0"/>
    <w:pPr>
      <w:jc w:val="center"/>
    </w:pPr>
    <w:rPr>
      <w:rFonts w:ascii="宋体" w:hAnsi="宋体" w:eastAsia="宋体" w:cs="宋体"/>
      <w:sz w:val="16"/>
      <w:szCs w:val="1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9F1DC-6539-4A85-9D01-D704AF8324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95</Pages>
  <Words>41548</Words>
  <Characters>45588</Characters>
  <Lines>263</Lines>
  <Paragraphs>74</Paragraphs>
  <TotalTime>7</TotalTime>
  <ScaleCrop>false</ScaleCrop>
  <LinksUpToDate>false</LinksUpToDate>
  <CharactersWithSpaces>47584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2021-07-14T09:59:00Z</dcterms:created>
  <dc:creator>WHB</dc:creator>
  <cp:lastModifiedBy>ASUS</cp:lastModifiedBy>
  <cp:lastPrinted>2023-04-24T05:05:00Z</cp:lastPrinted>
  <dcterms:modified xsi:type="dcterms:W3CDTF">2023-06-27T02:56:59Z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624735066922450C978AE23EDA60796B_13</vt:lpwstr>
  </property>
</Properties>
</file>