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7"/>
        <w:spacing w:line="360" w:lineRule="auto"/>
        <w:rPr>
          <w:rFonts w:hint="eastAsia" w:ascii="宋体" w:hAnsi="宋体" w:cs="宋体"/>
          <w:b/>
          <w:color w:val="auto"/>
          <w:sz w:val="28"/>
          <w:szCs w:val="28"/>
        </w:rPr>
      </w:pPr>
    </w:p>
    <w:p>
      <w:pPr>
        <w:pStyle w:val="67"/>
        <w:spacing w:line="360" w:lineRule="auto"/>
        <w:rPr>
          <w:rFonts w:hint="eastAsia" w:ascii="宋体" w:hAnsi="宋体" w:cs="宋体"/>
          <w:b/>
          <w:color w:val="auto"/>
          <w:sz w:val="28"/>
          <w:szCs w:val="28"/>
        </w:rPr>
      </w:pPr>
    </w:p>
    <w:p>
      <w:pPr>
        <w:pStyle w:val="67"/>
        <w:spacing w:line="360" w:lineRule="auto"/>
        <w:jc w:val="center"/>
        <w:rPr>
          <w:rFonts w:hint="eastAsia" w:ascii="宋体" w:hAnsi="宋体" w:eastAsia="宋体" w:cs="宋体"/>
          <w:b/>
          <w:bCs/>
          <w:color w:val="auto"/>
          <w:sz w:val="72"/>
          <w:szCs w:val="72"/>
        </w:rPr>
      </w:pPr>
      <w:r>
        <w:rPr>
          <w:rFonts w:hint="eastAsia" w:ascii="宋体" w:hAnsi="宋体" w:cs="宋体"/>
          <w:b/>
          <w:bCs/>
          <w:color w:val="auto"/>
          <w:sz w:val="72"/>
          <w:szCs w:val="72"/>
          <w:lang w:eastAsia="zh-CN"/>
        </w:rPr>
        <w:t>吉木萨尔县天地园社区老年人日间照料中心建设项目</w:t>
      </w:r>
      <w:r>
        <w:rPr>
          <w:rFonts w:hint="eastAsia" w:ascii="宋体" w:hAnsi="宋体" w:eastAsia="宋体" w:cs="宋体"/>
          <w:b/>
          <w:bCs/>
          <w:color w:val="auto"/>
          <w:sz w:val="72"/>
          <w:szCs w:val="72"/>
          <w:lang w:val="en-US" w:eastAsia="zh-CN"/>
        </w:rPr>
        <w:br w:type="textWrapping"/>
      </w:r>
    </w:p>
    <w:p>
      <w:pPr>
        <w:pStyle w:val="67"/>
        <w:spacing w:line="360" w:lineRule="auto"/>
        <w:jc w:val="center"/>
        <w:rPr>
          <w:rFonts w:hint="eastAsia" w:ascii="宋体" w:hAnsi="宋体" w:cs="宋体"/>
          <w:b/>
          <w:bCs/>
          <w:color w:val="auto"/>
          <w:sz w:val="72"/>
          <w:szCs w:val="72"/>
        </w:rPr>
      </w:pPr>
      <w:r>
        <w:rPr>
          <w:rFonts w:hint="eastAsia" w:ascii="宋体" w:hAnsi="宋体" w:cs="宋体"/>
          <w:b/>
          <w:bCs/>
          <w:color w:val="auto"/>
          <w:sz w:val="72"/>
          <w:szCs w:val="72"/>
        </w:rPr>
        <w:t>竞争性磋商文件</w:t>
      </w:r>
    </w:p>
    <w:p>
      <w:pPr>
        <w:pStyle w:val="67"/>
        <w:spacing w:line="360" w:lineRule="auto"/>
        <w:jc w:val="center"/>
        <w:rPr>
          <w:rFonts w:hint="eastAsia" w:ascii="宋体" w:hAnsi="宋体" w:cs="宋体"/>
          <w:b/>
          <w:bCs/>
          <w:color w:val="auto"/>
          <w:sz w:val="44"/>
          <w:szCs w:val="44"/>
        </w:rPr>
      </w:pPr>
    </w:p>
    <w:p>
      <w:pPr>
        <w:pStyle w:val="67"/>
        <w:spacing w:line="360" w:lineRule="auto"/>
        <w:jc w:val="center"/>
        <w:rPr>
          <w:rFonts w:hint="eastAsia" w:ascii="宋体" w:hAnsi="宋体" w:cs="宋体"/>
          <w:b/>
          <w:bCs/>
          <w:color w:val="auto"/>
          <w:sz w:val="28"/>
          <w:szCs w:val="28"/>
        </w:rPr>
      </w:pPr>
    </w:p>
    <w:p>
      <w:pPr>
        <w:pStyle w:val="67"/>
        <w:spacing w:line="360" w:lineRule="auto"/>
        <w:jc w:val="center"/>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rPr>
        <w:t>项目编号：</w:t>
      </w:r>
      <w:r>
        <w:rPr>
          <w:rFonts w:hint="eastAsia" w:ascii="宋体" w:hAnsi="宋体" w:cs="宋体"/>
          <w:b/>
          <w:bCs/>
          <w:color w:val="auto"/>
          <w:sz w:val="28"/>
          <w:szCs w:val="28"/>
          <w:highlight w:val="none"/>
          <w:lang w:eastAsia="zh-CN"/>
        </w:rPr>
        <w:t>XJTHCG(CS)-</w:t>
      </w:r>
      <w:r>
        <w:rPr>
          <w:rFonts w:hint="eastAsia" w:ascii="宋体" w:hAnsi="宋体" w:cs="宋体"/>
          <w:b/>
          <w:bCs/>
          <w:color w:val="auto"/>
          <w:sz w:val="28"/>
          <w:szCs w:val="28"/>
          <w:highlight w:val="none"/>
          <w:lang w:val="en-US" w:eastAsia="zh-CN"/>
        </w:rPr>
        <w:t>2023-</w:t>
      </w:r>
      <w:r>
        <w:rPr>
          <w:rFonts w:hint="eastAsia" w:ascii="宋体" w:hAnsi="宋体" w:cs="宋体"/>
          <w:b/>
          <w:bCs/>
          <w:color w:val="auto"/>
          <w:sz w:val="28"/>
          <w:szCs w:val="28"/>
          <w:highlight w:val="none"/>
          <w:lang w:eastAsia="zh-CN"/>
        </w:rPr>
        <w:t>0</w:t>
      </w:r>
      <w:r>
        <w:rPr>
          <w:rFonts w:hint="eastAsia" w:ascii="宋体" w:hAnsi="宋体" w:cs="宋体"/>
          <w:b/>
          <w:bCs/>
          <w:color w:val="auto"/>
          <w:sz w:val="28"/>
          <w:szCs w:val="28"/>
          <w:highlight w:val="none"/>
          <w:lang w:val="en-US" w:eastAsia="zh-CN"/>
        </w:rPr>
        <w:t>21</w:t>
      </w:r>
    </w:p>
    <w:p>
      <w:pPr>
        <w:pStyle w:val="67"/>
        <w:spacing w:line="360" w:lineRule="auto"/>
        <w:jc w:val="center"/>
        <w:rPr>
          <w:rFonts w:hint="eastAsia" w:ascii="宋体" w:hAnsi="宋体" w:cs="宋体"/>
          <w:b/>
          <w:bCs/>
          <w:color w:val="auto"/>
          <w:sz w:val="28"/>
          <w:szCs w:val="28"/>
        </w:rPr>
      </w:pPr>
    </w:p>
    <w:p>
      <w:pPr>
        <w:pStyle w:val="67"/>
        <w:spacing w:line="360" w:lineRule="auto"/>
        <w:jc w:val="center"/>
        <w:rPr>
          <w:rFonts w:hint="eastAsia" w:ascii="宋体" w:hAnsi="宋体" w:cs="宋体"/>
          <w:b/>
          <w:bCs/>
          <w:color w:val="auto"/>
          <w:sz w:val="28"/>
          <w:szCs w:val="28"/>
        </w:rPr>
      </w:pPr>
    </w:p>
    <w:p>
      <w:pPr>
        <w:spacing w:line="360" w:lineRule="auto"/>
        <w:rPr>
          <w:rFonts w:hint="eastAsia" w:ascii="宋体" w:hAnsi="宋体" w:cs="宋体"/>
          <w:b/>
          <w:sz w:val="28"/>
          <w:szCs w:val="28"/>
          <w:u w:val="single"/>
        </w:rPr>
      </w:pPr>
    </w:p>
    <w:p>
      <w:pPr>
        <w:pStyle w:val="5"/>
        <w:spacing w:line="360" w:lineRule="auto"/>
        <w:rPr>
          <w:rFonts w:hint="eastAsia" w:ascii="宋体" w:hAnsi="宋体" w:cs="宋体"/>
          <w:b/>
          <w:sz w:val="28"/>
          <w:szCs w:val="28"/>
          <w:u w:val="single"/>
        </w:rPr>
      </w:pPr>
    </w:p>
    <w:p>
      <w:pPr>
        <w:pStyle w:val="5"/>
        <w:spacing w:line="360" w:lineRule="auto"/>
        <w:rPr>
          <w:rFonts w:hint="eastAsia" w:ascii="宋体" w:hAnsi="宋体" w:cs="宋体"/>
          <w:b/>
          <w:sz w:val="28"/>
          <w:szCs w:val="28"/>
        </w:rPr>
      </w:pPr>
      <w:r>
        <w:rPr>
          <w:rFonts w:hint="eastAsia" w:ascii="宋体" w:hAnsi="宋体" w:cs="宋体"/>
          <w:b/>
          <w:sz w:val="28"/>
          <w:szCs w:val="28"/>
        </w:rPr>
        <w:t>采购人：</w:t>
      </w:r>
      <w:r>
        <w:rPr>
          <w:rFonts w:hint="eastAsia" w:ascii="宋体" w:hAnsi="宋体" w:cs="宋体"/>
          <w:b/>
          <w:sz w:val="28"/>
          <w:szCs w:val="28"/>
          <w:lang w:val="en-US" w:eastAsia="zh-CN"/>
        </w:rPr>
        <w:t>吉木萨尔县民政局</w:t>
      </w:r>
    </w:p>
    <w:p>
      <w:pPr>
        <w:pStyle w:val="6"/>
        <w:ind w:left="0" w:leftChars="0" w:firstLine="0" w:firstLineChars="0"/>
        <w:rPr>
          <w:rFonts w:hint="eastAsia" w:eastAsia="宋体"/>
          <w:lang w:eastAsia="zh-CN"/>
        </w:rPr>
      </w:pPr>
      <w:r>
        <w:rPr>
          <w:rFonts w:hint="eastAsia" w:ascii="宋体" w:hAnsi="宋体" w:cs="宋体"/>
          <w:b/>
          <w:sz w:val="28"/>
          <w:szCs w:val="28"/>
        </w:rPr>
        <w:t>采购代理机构：</w:t>
      </w:r>
      <w:r>
        <w:rPr>
          <w:rFonts w:hint="eastAsia" w:ascii="宋体" w:hAnsi="宋体" w:cs="宋体"/>
          <w:b/>
          <w:sz w:val="28"/>
          <w:szCs w:val="28"/>
          <w:lang w:eastAsia="zh-CN"/>
        </w:rPr>
        <w:t>新疆天汇项目管理有限公司</w:t>
      </w:r>
    </w:p>
    <w:p>
      <w:pPr>
        <w:pStyle w:val="67"/>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日期：二○二</w:t>
      </w:r>
      <w:r>
        <w:rPr>
          <w:rFonts w:hint="eastAsia" w:ascii="宋体" w:hAnsi="宋体" w:cs="宋体"/>
          <w:b/>
          <w:color w:val="auto"/>
          <w:sz w:val="28"/>
          <w:szCs w:val="28"/>
          <w:lang w:val="en-US" w:eastAsia="zh-CN"/>
        </w:rPr>
        <w:t>三</w:t>
      </w:r>
      <w:r>
        <w:rPr>
          <w:rFonts w:hint="eastAsia" w:ascii="宋体" w:hAnsi="宋体" w:cs="宋体"/>
          <w:b/>
          <w:color w:val="auto"/>
          <w:sz w:val="28"/>
          <w:szCs w:val="28"/>
        </w:rPr>
        <w:t>年</w:t>
      </w:r>
      <w:r>
        <w:rPr>
          <w:rFonts w:hint="eastAsia" w:ascii="宋体" w:hAnsi="宋体" w:cs="宋体"/>
          <w:b/>
          <w:color w:val="auto"/>
          <w:sz w:val="28"/>
          <w:szCs w:val="28"/>
          <w:lang w:val="en-US" w:eastAsia="zh-CN"/>
        </w:rPr>
        <w:t>六</w:t>
      </w:r>
      <w:r>
        <w:rPr>
          <w:rFonts w:hint="eastAsia" w:ascii="宋体" w:hAnsi="宋体" w:cs="宋体"/>
          <w:b/>
          <w:color w:val="auto"/>
          <w:sz w:val="28"/>
          <w:szCs w:val="28"/>
        </w:rPr>
        <w:t>月</w:t>
      </w:r>
    </w:p>
    <w:p>
      <w:pPr>
        <w:pStyle w:val="67"/>
        <w:spacing w:line="360" w:lineRule="auto"/>
        <w:jc w:val="center"/>
        <w:rPr>
          <w:rFonts w:hint="eastAsia" w:cs="宋体"/>
          <w:b/>
          <w:spacing w:val="160"/>
          <w:sz w:val="32"/>
          <w:szCs w:val="32"/>
        </w:rPr>
        <w:sectPr>
          <w:footerReference r:id="rId3" w:type="first"/>
          <w:pgSz w:w="11906" w:h="16838"/>
          <w:pgMar w:top="1418" w:right="1134" w:bottom="1418" w:left="1418" w:header="851" w:footer="851" w:gutter="0"/>
          <w:pgNumType w:fmt="numberInDash"/>
          <w:cols w:space="720" w:num="1"/>
          <w:docGrid w:type="lines" w:linePitch="312" w:charSpace="0"/>
        </w:sectPr>
      </w:pPr>
    </w:p>
    <w:p>
      <w:pPr>
        <w:pStyle w:val="67"/>
        <w:spacing w:line="360" w:lineRule="auto"/>
        <w:jc w:val="center"/>
        <w:rPr>
          <w:rFonts w:hint="eastAsia" w:cs="宋体"/>
          <w:b/>
          <w:spacing w:val="160"/>
          <w:sz w:val="32"/>
          <w:szCs w:val="32"/>
        </w:rPr>
      </w:pPr>
      <w:r>
        <w:rPr>
          <w:rFonts w:hint="eastAsia" w:cs="宋体"/>
          <w:b/>
          <w:spacing w:val="160"/>
          <w:sz w:val="32"/>
          <w:szCs w:val="32"/>
        </w:rPr>
        <w:t>目录</w:t>
      </w:r>
    </w:p>
    <w:p>
      <w:pPr>
        <w:pStyle w:val="28"/>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_Toc5154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_Toc5154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_Toc18843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_Toc18843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_Toc13602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磋商须知前附表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_Toc13602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_Toc25893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_Toc25893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_Toc31239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_Toc31239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_Toc5778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_Toc5778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_Toc4490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_Toc4490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_Toc18508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五、磋商和评审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_Toc18508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_Toc8378 </w:instrText>
      </w:r>
      <w:r>
        <w:rPr>
          <w:rFonts w:hint="eastAsia" w:ascii="宋体" w:hAnsi="宋体" w:eastAsia="宋体" w:cs="宋体"/>
          <w:sz w:val="24"/>
          <w:szCs w:val="24"/>
        </w:rPr>
        <w:fldChar w:fldCharType="separate"/>
      </w:r>
      <w:r>
        <w:rPr>
          <w:rFonts w:hint="eastAsia" w:ascii="宋体" w:hAnsi="宋体" w:eastAsia="宋体" w:cs="宋体"/>
          <w:bCs/>
          <w:sz w:val="24"/>
          <w:szCs w:val="24"/>
        </w:rPr>
        <w:t>六、成交结果及合同授予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_Toc8378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七、质疑与投诉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_Toc1603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_Toc6750 </w:instrText>
      </w:r>
      <w:r>
        <w:rPr>
          <w:rFonts w:hint="eastAsia" w:ascii="宋体" w:hAnsi="宋体" w:eastAsia="宋体" w:cs="宋体"/>
          <w:sz w:val="24"/>
          <w:szCs w:val="24"/>
        </w:rPr>
        <w:fldChar w:fldCharType="separate"/>
      </w:r>
      <w:r>
        <w:rPr>
          <w:rFonts w:hint="eastAsia" w:ascii="宋体" w:hAnsi="宋体" w:eastAsia="宋体" w:cs="宋体"/>
          <w:bCs/>
          <w:sz w:val="24"/>
          <w:szCs w:val="24"/>
        </w:rPr>
        <w:t>八、其他规定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_Toc6750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_Toc7252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第三章 评审方法（综合评分法）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_Toc7252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_Toc30287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white"/>
        </w:rPr>
        <w:t>一、综合评分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_Toc30287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_Toc14524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white"/>
        </w:rPr>
        <w:t>二.综合评分细则表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_Toc14524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_Toc28810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white"/>
        </w:rPr>
        <w:t>三.推荐成交供应商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_Toc28810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_Toc15185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white"/>
        </w:rPr>
        <w:t>四.确定成交供应商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_Toc15185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_Toc30232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第四章  政府采购合同格式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_Toc30232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_Toc24411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合同书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_Toc24411 \h </w:instrText>
      </w:r>
      <w:r>
        <w:rPr>
          <w:rFonts w:hint="eastAsia" w:ascii="宋体" w:hAnsi="宋体" w:eastAsia="宋体" w:cs="宋体"/>
          <w:sz w:val="24"/>
          <w:szCs w:val="24"/>
        </w:rPr>
        <w:fldChar w:fldCharType="separate"/>
      </w:r>
      <w:r>
        <w:rPr>
          <w:b/>
        </w:rPr>
        <w:t>错误！未定义书签。</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_Toc22016 </w:instrText>
      </w:r>
      <w:r>
        <w:rPr>
          <w:rFonts w:hint="eastAsia" w:ascii="宋体" w:hAnsi="宋体" w:eastAsia="宋体" w:cs="宋体"/>
          <w:sz w:val="24"/>
          <w:szCs w:val="24"/>
        </w:rPr>
        <w:fldChar w:fldCharType="separate"/>
      </w:r>
      <w:r>
        <w:rPr>
          <w:rFonts w:hint="eastAsia" w:ascii="宋体" w:hAnsi="宋体" w:eastAsia="宋体" w:cs="宋体"/>
          <w:sz w:val="24"/>
          <w:szCs w:val="24"/>
        </w:rPr>
        <w:t>第二部分 合同一般条款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_Toc22016 \h </w:instrText>
      </w:r>
      <w:r>
        <w:rPr>
          <w:rFonts w:hint="eastAsia" w:ascii="宋体" w:hAnsi="宋体" w:eastAsia="宋体" w:cs="宋体"/>
          <w:sz w:val="24"/>
          <w:szCs w:val="24"/>
        </w:rPr>
        <w:fldChar w:fldCharType="separate"/>
      </w:r>
      <w:r>
        <w:rPr>
          <w:b/>
        </w:rPr>
        <w:t>错误！未定义书签。</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_Toc7477 </w:instrText>
      </w:r>
      <w:r>
        <w:rPr>
          <w:rFonts w:hint="eastAsia" w:ascii="宋体" w:hAnsi="宋体" w:eastAsia="宋体" w:cs="宋体"/>
          <w:sz w:val="24"/>
          <w:szCs w:val="24"/>
        </w:rPr>
        <w:fldChar w:fldCharType="separate"/>
      </w:r>
      <w:r>
        <w:rPr>
          <w:rFonts w:hint="eastAsia" w:ascii="宋体" w:hAnsi="宋体" w:eastAsia="宋体" w:cs="宋体"/>
          <w:sz w:val="24"/>
          <w:szCs w:val="24"/>
        </w:rPr>
        <w:t>第三部分  合同专用条款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_Toc7477 \h </w:instrText>
      </w:r>
      <w:r>
        <w:rPr>
          <w:rFonts w:hint="eastAsia" w:ascii="宋体" w:hAnsi="宋体" w:eastAsia="宋体" w:cs="宋体"/>
          <w:sz w:val="24"/>
          <w:szCs w:val="24"/>
        </w:rPr>
        <w:fldChar w:fldCharType="separate"/>
      </w:r>
      <w:r>
        <w:rPr>
          <w:b/>
        </w:rPr>
        <w:t>错误！未定义书签。</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_Toc16084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工程量清单及技术标准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_Toc16084 \h </w:instrText>
      </w:r>
      <w:r>
        <w:rPr>
          <w:rFonts w:hint="eastAsia" w:ascii="宋体" w:hAnsi="宋体" w:eastAsia="宋体" w:cs="宋体"/>
          <w:sz w:val="24"/>
          <w:szCs w:val="24"/>
        </w:rPr>
        <w:fldChar w:fldCharType="separate"/>
      </w:r>
      <w:r>
        <w:rPr>
          <w:rFonts w:hint="eastAsia" w:ascii="宋体" w:hAnsi="宋体" w:eastAsia="宋体" w:cs="宋体"/>
          <w:sz w:val="24"/>
          <w:szCs w:val="24"/>
        </w:rPr>
        <w:t>- 117 -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_Toc18994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一、工程概况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_Toc18994 \h </w:instrText>
      </w:r>
      <w:r>
        <w:rPr>
          <w:rFonts w:hint="eastAsia" w:ascii="宋体" w:hAnsi="宋体" w:eastAsia="宋体" w:cs="宋体"/>
          <w:sz w:val="24"/>
          <w:szCs w:val="24"/>
        </w:rPr>
        <w:fldChar w:fldCharType="separate"/>
      </w:r>
      <w:r>
        <w:rPr>
          <w:b/>
        </w:rPr>
        <w:t>错误！未定义书签。</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_Toc5528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二、技术标准和要求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_Toc5528 \h </w:instrText>
      </w:r>
      <w:r>
        <w:rPr>
          <w:rFonts w:hint="eastAsia" w:ascii="宋体" w:hAnsi="宋体" w:eastAsia="宋体" w:cs="宋体"/>
          <w:sz w:val="24"/>
          <w:szCs w:val="24"/>
        </w:rPr>
        <w:fldChar w:fldCharType="separate"/>
      </w:r>
      <w:r>
        <w:rPr>
          <w:b/>
        </w:rPr>
        <w:t>错误！未定义书签。</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_Toc28751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三、工程量清单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_Toc28751 \h </w:instrText>
      </w:r>
      <w:r>
        <w:rPr>
          <w:rFonts w:hint="eastAsia" w:ascii="宋体" w:hAnsi="宋体" w:eastAsia="宋体" w:cs="宋体"/>
          <w:sz w:val="24"/>
          <w:szCs w:val="24"/>
        </w:rPr>
        <w:fldChar w:fldCharType="separate"/>
      </w:r>
      <w:r>
        <w:rPr>
          <w:b/>
        </w:rPr>
        <w:t>错误！未定义书签。</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_Toc22819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第六章  图纸另附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_Toc22819 \h </w:instrText>
      </w:r>
      <w:r>
        <w:rPr>
          <w:rFonts w:hint="eastAsia" w:ascii="宋体" w:hAnsi="宋体" w:eastAsia="宋体" w:cs="宋体"/>
          <w:sz w:val="24"/>
          <w:szCs w:val="24"/>
        </w:rPr>
        <w:fldChar w:fldCharType="separate"/>
      </w:r>
      <w:r>
        <w:rPr>
          <w:rFonts w:hint="eastAsia" w:ascii="宋体" w:hAnsi="宋体" w:eastAsia="宋体" w:cs="宋体"/>
          <w:sz w:val="24"/>
          <w:szCs w:val="24"/>
        </w:rPr>
        <w:t>- 118 -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_Toc25776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第七章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_Toc25776 \h </w:instrText>
      </w:r>
      <w:r>
        <w:rPr>
          <w:rFonts w:hint="eastAsia" w:ascii="宋体" w:hAnsi="宋体" w:eastAsia="宋体" w:cs="宋体"/>
          <w:sz w:val="24"/>
          <w:szCs w:val="24"/>
        </w:rPr>
        <w:fldChar w:fldCharType="separate"/>
      </w:r>
      <w:r>
        <w:rPr>
          <w:rFonts w:hint="eastAsia" w:ascii="宋体" w:hAnsi="宋体" w:eastAsia="宋体" w:cs="宋体"/>
          <w:sz w:val="24"/>
          <w:szCs w:val="24"/>
        </w:rPr>
        <w:t>- 119 -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_Toc7451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bidi="ar-SA"/>
        </w:rPr>
        <w:t>一、投标文件封面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_Toc7451 \h </w:instrText>
      </w:r>
      <w:r>
        <w:rPr>
          <w:rFonts w:hint="eastAsia" w:ascii="宋体" w:hAnsi="宋体" w:eastAsia="宋体" w:cs="宋体"/>
          <w:sz w:val="24"/>
          <w:szCs w:val="24"/>
        </w:rPr>
        <w:fldChar w:fldCharType="separate"/>
      </w:r>
      <w:r>
        <w:rPr>
          <w:rFonts w:hint="eastAsia" w:ascii="宋体" w:hAnsi="宋体" w:eastAsia="宋体" w:cs="宋体"/>
          <w:sz w:val="24"/>
          <w:szCs w:val="24"/>
        </w:rPr>
        <w:t>- 120 -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_Toc6929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二、供应商资格声明</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_Toc6929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- 121 -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_Toc16957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三、法定代表人身份证明或附有法定代表人身份证明的授权书</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_Toc16957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- 123 -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_Toc25982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四、近三年无重大违法记录信息证明文件及反商业贿赂书</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_Toc25982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- 124 -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_Toc32154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五、其他资格证明文件</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_Toc32154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- 124 -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_Toc2838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六、磋商保证金</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_Toc2838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- 124 -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_Toc3812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八、中、小微企业声明函</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_Toc3812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- 126 -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_Toc13736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九、磋商申请</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_Toc13736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- 127 -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_Toc17925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十、磋商申请附录</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_Toc17925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- 128 -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_Toc30052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十一、已标价的工程量清单</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_Toc30052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- 129 -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_Toc21245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十二、联合体协议书格式（如有）</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_Toc21245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- 130 -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_Toc27641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十三、报价书格式</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_Toc27630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- 131 -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_Toc27630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十四、施工组织设计</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_Toc27630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- 131 -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_Toc30473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十五、项目管理机构组成表</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_Toc30473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- 134 -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_Toc12728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十六、项目经理简历表</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_Toc12728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- 135 -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pStyle w:val="31"/>
        <w:tabs>
          <w:tab w:val="right" w:leader="dot" w:pos="8279"/>
        </w:tabs>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\l _Toc27741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十七、其他材料</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PAGEREF _Toc27741 \h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- 135 -</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fldChar w:fldCharType="end"/>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fldChar w:fldCharType="end"/>
      </w:r>
    </w:p>
    <w:p>
      <w:pPr>
        <w:autoSpaceDE w:val="0"/>
        <w:autoSpaceDN w:val="0"/>
        <w:adjustRightInd w:val="0"/>
        <w:snapToGrid w:val="0"/>
        <w:spacing w:line="360" w:lineRule="auto"/>
        <w:jc w:val="center"/>
        <w:rPr>
          <w:rFonts w:hint="eastAsia" w:ascii="宋体" w:hAnsi="宋体" w:eastAsia="宋体" w:cs="宋体"/>
          <w:b/>
          <w:bCs/>
          <w:sz w:val="24"/>
          <w:szCs w:val="24"/>
        </w:rPr>
        <w:sectPr>
          <w:headerReference r:id="rId6" w:type="first"/>
          <w:footerReference r:id="rId9" w:type="first"/>
          <w:headerReference r:id="rId4" w:type="default"/>
          <w:footerReference r:id="rId7" w:type="default"/>
          <w:headerReference r:id="rId5" w:type="even"/>
          <w:footerReference r:id="rId8" w:type="even"/>
          <w:pgSz w:w="11907" w:h="16840"/>
          <w:pgMar w:top="1474" w:right="1814" w:bottom="1474" w:left="1814" w:header="851" w:footer="851" w:gutter="0"/>
          <w:pgNumType w:fmt="decimal" w:start="1"/>
          <w:cols w:space="720" w:num="1"/>
          <w:docGrid w:linePitch="462" w:charSpace="0"/>
        </w:sectPr>
      </w:pPr>
      <w:bookmarkStart w:id="0" w:name="_Toc21314"/>
      <w:bookmarkStart w:id="1" w:name="_Toc26928"/>
    </w:p>
    <w:p>
      <w:pPr>
        <w:spacing w:line="360" w:lineRule="auto"/>
        <w:jc w:val="center"/>
        <w:outlineLvl w:val="0"/>
        <w:rPr>
          <w:rFonts w:hint="eastAsia" w:ascii="宋体" w:hAnsi="宋体" w:eastAsia="宋体" w:cs="宋体"/>
          <w:b/>
          <w:sz w:val="32"/>
          <w:szCs w:val="32"/>
        </w:rPr>
      </w:pPr>
      <w:bookmarkStart w:id="2" w:name="_Toc5154"/>
      <w:bookmarkStart w:id="3" w:name="_Toc7533"/>
      <w:bookmarkStart w:id="4" w:name="_Toc9738"/>
      <w:r>
        <w:rPr>
          <w:rFonts w:hint="eastAsia" w:ascii="宋体" w:hAnsi="宋体" w:eastAsia="宋体" w:cs="宋体"/>
          <w:b/>
          <w:sz w:val="32"/>
          <w:szCs w:val="32"/>
        </w:rPr>
        <w:t>第一章 竞争性磋商公告</w:t>
      </w:r>
      <w:bookmarkEnd w:id="0"/>
      <w:bookmarkEnd w:id="1"/>
      <w:bookmarkEnd w:id="2"/>
      <w:bookmarkEnd w:id="3"/>
      <w:bookmarkEnd w:id="4"/>
    </w:p>
    <w:p>
      <w:pPr>
        <w:rPr>
          <w:sz w:val="22"/>
          <w:szCs w:val="21"/>
        </w:rPr>
      </w:pPr>
    </w:p>
    <w:p>
      <w:pPr>
        <w:pStyle w:val="32"/>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5"/>
          <w:szCs w:val="25"/>
        </w:rPr>
      </w:pPr>
      <w:r>
        <w:rPr>
          <w:rStyle w:val="36"/>
          <w:rFonts w:ascii="黑体" w:hAnsi="宋体" w:eastAsia="黑体" w:cs="黑体"/>
          <w:i w:val="0"/>
          <w:iCs w:val="0"/>
          <w:caps w:val="0"/>
          <w:color w:val="000000"/>
          <w:spacing w:val="0"/>
          <w:sz w:val="21"/>
          <w:szCs w:val="21"/>
        </w:rPr>
        <w:t>一、项目基本情况</w:t>
      </w:r>
    </w:p>
    <w:p>
      <w:pPr>
        <w:pStyle w:val="32"/>
        <w:keepNext w:val="0"/>
        <w:keepLines w:val="0"/>
        <w:widowControl/>
        <w:suppressLineNumbers w:val="0"/>
        <w:spacing w:beforeAutospacing="1" w:afterAutospacing="1" w:line="240" w:lineRule="atLeast"/>
        <w:rPr>
          <w:rFonts w:hint="default" w:eastAsia="仿宋"/>
          <w:lang w:val="en-US" w:eastAsia="zh-CN"/>
        </w:rPr>
      </w:pPr>
      <w:r>
        <w:rPr>
          <w:rFonts w:ascii="仿宋" w:hAnsi="仿宋" w:eastAsia="仿宋" w:cs="仿宋"/>
          <w:i w:val="0"/>
          <w:iCs w:val="0"/>
          <w:caps w:val="0"/>
          <w:color w:val="000000"/>
          <w:spacing w:val="0"/>
          <w:sz w:val="21"/>
          <w:szCs w:val="21"/>
        </w:rPr>
        <w:t>    项目编号：</w:t>
      </w:r>
      <w:r>
        <w:rPr>
          <w:rFonts w:hint="eastAsia" w:ascii="仿宋" w:hAnsi="仿宋" w:eastAsia="仿宋" w:cs="仿宋"/>
          <w:i w:val="0"/>
          <w:iCs w:val="0"/>
          <w:caps w:val="0"/>
          <w:color w:val="000000"/>
          <w:spacing w:val="0"/>
          <w:sz w:val="21"/>
          <w:szCs w:val="21"/>
          <w:highlight w:val="none"/>
        </w:rPr>
        <w:t>XJTHCG(CS)-</w:t>
      </w:r>
      <w:r>
        <w:rPr>
          <w:rFonts w:hint="eastAsia" w:ascii="仿宋" w:hAnsi="仿宋" w:eastAsia="仿宋" w:cs="仿宋"/>
          <w:i w:val="0"/>
          <w:iCs w:val="0"/>
          <w:caps w:val="0"/>
          <w:color w:val="000000"/>
          <w:spacing w:val="0"/>
          <w:sz w:val="21"/>
          <w:szCs w:val="21"/>
          <w:highlight w:val="none"/>
          <w:lang w:val="en-US" w:eastAsia="zh-CN"/>
        </w:rPr>
        <w:t>2023-</w:t>
      </w:r>
      <w:r>
        <w:rPr>
          <w:rFonts w:hint="eastAsia" w:ascii="仿宋" w:hAnsi="仿宋" w:eastAsia="仿宋" w:cs="仿宋"/>
          <w:i w:val="0"/>
          <w:iCs w:val="0"/>
          <w:caps w:val="0"/>
          <w:color w:val="000000"/>
          <w:spacing w:val="0"/>
          <w:sz w:val="21"/>
          <w:szCs w:val="21"/>
          <w:highlight w:val="none"/>
        </w:rPr>
        <w:t>0</w:t>
      </w:r>
      <w:r>
        <w:rPr>
          <w:rFonts w:hint="eastAsia" w:ascii="仿宋" w:hAnsi="仿宋" w:eastAsia="仿宋" w:cs="仿宋"/>
          <w:i w:val="0"/>
          <w:iCs w:val="0"/>
          <w:caps w:val="0"/>
          <w:color w:val="000000"/>
          <w:spacing w:val="0"/>
          <w:sz w:val="21"/>
          <w:szCs w:val="21"/>
          <w:highlight w:val="none"/>
          <w:lang w:val="en-US" w:eastAsia="zh-CN"/>
        </w:rPr>
        <w:t>21</w:t>
      </w:r>
    </w:p>
    <w:p>
      <w:pPr>
        <w:pStyle w:val="32"/>
        <w:keepNext w:val="0"/>
        <w:keepLines w:val="0"/>
        <w:widowControl/>
        <w:suppressLineNumbers w:val="0"/>
        <w:spacing w:beforeAutospacing="1" w:afterAutospacing="1" w:line="240" w:lineRule="atLeast"/>
        <w:rPr>
          <w:rFonts w:hint="eastAsia" w:eastAsia="仿宋"/>
          <w:lang w:eastAsia="zh-CN"/>
        </w:rPr>
      </w:pPr>
      <w:r>
        <w:rPr>
          <w:rFonts w:hint="eastAsia" w:ascii="仿宋" w:hAnsi="仿宋" w:eastAsia="仿宋" w:cs="仿宋"/>
          <w:i w:val="0"/>
          <w:iCs w:val="0"/>
          <w:caps w:val="0"/>
          <w:color w:val="000000"/>
          <w:spacing w:val="0"/>
          <w:sz w:val="21"/>
          <w:szCs w:val="21"/>
        </w:rPr>
        <w:t>    项目名称：</w:t>
      </w:r>
      <w:r>
        <w:rPr>
          <w:rFonts w:hint="eastAsia" w:ascii="仿宋" w:hAnsi="仿宋" w:eastAsia="仿宋" w:cs="仿宋"/>
          <w:i w:val="0"/>
          <w:iCs w:val="0"/>
          <w:caps w:val="0"/>
          <w:color w:val="000000"/>
          <w:spacing w:val="0"/>
          <w:sz w:val="21"/>
          <w:szCs w:val="21"/>
          <w:lang w:eastAsia="zh-CN"/>
        </w:rPr>
        <w:t>吉木萨尔县天地园社区老年人日间照料中心建设项目</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采购方式：竞争性磋商</w:t>
      </w:r>
      <w:r>
        <w:rPr>
          <w:rFonts w:hint="eastAsia" w:ascii="仿宋" w:hAnsi="仿宋" w:eastAsia="仿宋" w:cs="仿宋"/>
          <w:i w:val="0"/>
          <w:iCs w:val="0"/>
          <w:caps w:val="0"/>
          <w:color w:val="000000"/>
          <w:spacing w:val="0"/>
          <w:sz w:val="27"/>
          <w:szCs w:val="27"/>
        </w:rPr>
        <w:t> </w:t>
      </w:r>
    </w:p>
    <w:p>
      <w:pPr>
        <w:pStyle w:val="32"/>
        <w:keepNext w:val="0"/>
        <w:keepLines w:val="0"/>
        <w:widowControl/>
        <w:suppressLineNumbers w:val="0"/>
        <w:spacing w:beforeAutospacing="1" w:afterAutospacing="1" w:line="240" w:lineRule="atLeast"/>
        <w:rPr>
          <w:rFonts w:hint="default" w:eastAsia="仿宋"/>
          <w:lang w:val="en-US" w:eastAsia="zh-CN"/>
        </w:rPr>
      </w:pPr>
      <w:r>
        <w:rPr>
          <w:rFonts w:hint="eastAsia" w:ascii="仿宋" w:hAnsi="仿宋" w:eastAsia="仿宋" w:cs="仿宋"/>
          <w:i w:val="0"/>
          <w:iCs w:val="0"/>
          <w:caps w:val="0"/>
          <w:color w:val="000000"/>
          <w:spacing w:val="0"/>
          <w:sz w:val="21"/>
          <w:szCs w:val="21"/>
        </w:rPr>
        <w:t>    预算金额（元）：</w:t>
      </w:r>
      <w:r>
        <w:rPr>
          <w:rFonts w:hint="eastAsia" w:ascii="仿宋" w:hAnsi="仿宋" w:eastAsia="仿宋" w:cs="仿宋"/>
          <w:i w:val="0"/>
          <w:iCs w:val="0"/>
          <w:caps w:val="0"/>
          <w:color w:val="000000"/>
          <w:spacing w:val="0"/>
          <w:sz w:val="21"/>
          <w:szCs w:val="21"/>
          <w:lang w:eastAsia="zh-CN"/>
        </w:rPr>
        <w:t>3</w:t>
      </w:r>
      <w:r>
        <w:rPr>
          <w:rFonts w:hint="eastAsia" w:ascii="仿宋" w:hAnsi="仿宋" w:eastAsia="仿宋" w:cs="仿宋"/>
          <w:i w:val="0"/>
          <w:iCs w:val="0"/>
          <w:caps w:val="0"/>
          <w:color w:val="000000"/>
          <w:spacing w:val="0"/>
          <w:sz w:val="21"/>
          <w:szCs w:val="21"/>
          <w:lang w:val="en-US" w:eastAsia="zh-CN"/>
        </w:rPr>
        <w:t>299246.30</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最高限价（元）</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3299246.30</w:t>
      </w:r>
    </w:p>
    <w:p>
      <w:pPr>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1"/>
          <w:szCs w:val="21"/>
        </w:rPr>
        <w:t>    采购需求：</w:t>
      </w:r>
      <w:r>
        <w:rPr>
          <w:rFonts w:hint="eastAsia" w:ascii="仿宋" w:hAnsi="仿宋" w:eastAsia="仿宋" w:cs="仿宋"/>
          <w:i w:val="0"/>
          <w:iCs w:val="0"/>
          <w:caps w:val="0"/>
          <w:color w:val="000000"/>
          <w:spacing w:val="0"/>
          <w:kern w:val="0"/>
          <w:sz w:val="21"/>
          <w:szCs w:val="21"/>
          <w:lang w:val="en-US" w:eastAsia="zh-CN" w:bidi="ar-SA"/>
        </w:rPr>
        <w:t>总占地面积3亩，新建建筑面积1000平方米，地上两层、框架结构、设计床位30张。建设内容为：老年人起居室、休息室、康复室、餐厅、书写室、消防设施设备、绿化、亮化及配套设施设备等。</w:t>
      </w:r>
    </w:p>
    <w:p>
      <w:pPr>
        <w:pStyle w:val="32"/>
        <w:keepNext w:val="0"/>
        <w:keepLines w:val="0"/>
        <w:widowControl/>
        <w:suppressLineNumbers w:val="0"/>
        <w:spacing w:beforeAutospacing="1" w:afterAutospacing="1" w:line="240" w:lineRule="atLeast"/>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   标项名称： </w:t>
      </w:r>
      <w:r>
        <w:rPr>
          <w:rFonts w:hint="eastAsia" w:ascii="仿宋" w:hAnsi="仿宋" w:eastAsia="仿宋" w:cs="仿宋"/>
          <w:i w:val="0"/>
          <w:iCs w:val="0"/>
          <w:caps w:val="0"/>
          <w:color w:val="000000"/>
          <w:spacing w:val="0"/>
          <w:sz w:val="21"/>
          <w:szCs w:val="21"/>
          <w:lang w:eastAsia="zh-CN"/>
        </w:rPr>
        <w:t>吉木萨尔县天地园社区老年人日间照料中心建设项目</w:t>
      </w:r>
    </w:p>
    <w:p>
      <w:pPr>
        <w:keepNext w:val="0"/>
        <w:keepLines w:val="0"/>
        <w:widowControl/>
        <w:suppressLineNumbers w:val="0"/>
        <w:jc w:val="left"/>
      </w:pPr>
      <w:r>
        <w:rPr>
          <w:rFonts w:hint="eastAsia" w:ascii="仿宋" w:hAnsi="仿宋" w:eastAsia="仿宋" w:cs="仿宋"/>
          <w:i w:val="0"/>
          <w:iCs w:val="0"/>
          <w:caps w:val="0"/>
          <w:color w:val="000000"/>
          <w:spacing w:val="0"/>
          <w:kern w:val="0"/>
          <w:sz w:val="21"/>
          <w:szCs w:val="21"/>
          <w:lang w:val="en-US" w:eastAsia="zh-CN" w:bidi="ar"/>
        </w:rPr>
        <w:t>   数量：1</w:t>
      </w:r>
      <w:r>
        <w:rPr>
          <w:rFonts w:hint="eastAsia" w:ascii="仿宋" w:hAnsi="仿宋" w:eastAsia="仿宋" w:cs="仿宋"/>
          <w:i w:val="0"/>
          <w:iCs w:val="0"/>
          <w:caps w:val="0"/>
          <w:color w:val="000000"/>
          <w:spacing w:val="0"/>
          <w:kern w:val="0"/>
          <w:sz w:val="27"/>
          <w:szCs w:val="27"/>
          <w:lang w:val="en-US" w:eastAsia="zh-CN" w:bidi="ar"/>
        </w:rPr>
        <w:t xml:space="preserve">  </w:t>
      </w:r>
    </w:p>
    <w:p>
      <w:pPr>
        <w:pStyle w:val="32"/>
        <w:keepNext w:val="0"/>
        <w:keepLines w:val="0"/>
        <w:widowControl/>
        <w:suppressLineNumbers w:val="0"/>
        <w:spacing w:beforeAutospacing="1" w:afterAutospacing="1" w:line="240" w:lineRule="atLeas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   预算金额（元）：3299246.30</w:t>
      </w:r>
    </w:p>
    <w:p>
      <w:pPr>
        <w:pStyle w:val="32"/>
        <w:keepNext w:val="0"/>
        <w:keepLines w:val="0"/>
        <w:widowControl/>
        <w:suppressLineNumbers w:val="0"/>
        <w:spacing w:beforeAutospacing="1" w:afterAutospacing="1" w:line="240" w:lineRule="atLeast"/>
        <w:rPr>
          <w:rFonts w:hint="eastAsia" w:eastAsia="仿宋"/>
          <w:lang w:val="en-US" w:eastAsia="zh-CN"/>
        </w:rPr>
      </w:pPr>
      <w:r>
        <w:rPr>
          <w:rFonts w:hint="eastAsia" w:ascii="仿宋" w:hAnsi="仿宋" w:eastAsia="仿宋" w:cs="仿宋"/>
          <w:i w:val="0"/>
          <w:iCs w:val="0"/>
          <w:caps w:val="0"/>
          <w:color w:val="000000"/>
          <w:spacing w:val="0"/>
          <w:sz w:val="21"/>
          <w:szCs w:val="21"/>
        </w:rPr>
        <w:t>   单位：批</w:t>
      </w:r>
      <w:r>
        <w:rPr>
          <w:rFonts w:hint="eastAsia" w:ascii="仿宋" w:hAnsi="仿宋" w:eastAsia="仿宋" w:cs="仿宋"/>
          <w:i w:val="0"/>
          <w:iCs w:val="0"/>
          <w:caps w:val="0"/>
          <w:color w:val="000000"/>
          <w:spacing w:val="0"/>
          <w:sz w:val="21"/>
          <w:szCs w:val="21"/>
          <w:lang w:val="en-US" w:eastAsia="zh-CN"/>
        </w:rPr>
        <w:t>项</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简要规格描述：</w:t>
      </w:r>
      <w:r>
        <w:rPr>
          <w:rFonts w:hint="eastAsia" w:ascii="仿宋" w:hAnsi="仿宋" w:eastAsia="仿宋" w:cs="仿宋"/>
          <w:i w:val="0"/>
          <w:iCs w:val="0"/>
          <w:caps w:val="0"/>
          <w:color w:val="000000"/>
          <w:spacing w:val="0"/>
          <w:kern w:val="0"/>
          <w:sz w:val="21"/>
          <w:szCs w:val="21"/>
          <w:lang w:val="en-US" w:eastAsia="zh-CN" w:bidi="ar-SA"/>
        </w:rPr>
        <w:t>总占地面积3亩，新建建筑面积1000平方米，地上两层、框架结构、设计床位30张。建设内容为：老年人起居室、休息室、康复室、餐厅、书写室、消防设施设备、绿化、亮化及配套设施设备等。</w:t>
      </w:r>
      <w:r>
        <w:rPr>
          <w:rFonts w:hint="eastAsia" w:ascii="仿宋" w:hAnsi="仿宋" w:eastAsia="仿宋" w:cs="仿宋"/>
          <w:i w:val="0"/>
          <w:iCs w:val="0"/>
          <w:caps w:val="0"/>
          <w:color w:val="000000"/>
          <w:spacing w:val="0"/>
          <w:kern w:val="0"/>
          <w:sz w:val="27"/>
          <w:szCs w:val="27"/>
          <w:lang w:val="en-US" w:eastAsia="zh-CN" w:bidi="ar"/>
        </w:rPr>
        <w:t xml:space="preserve">  </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备注： </w:t>
      </w:r>
    </w:p>
    <w:p>
      <w:pPr>
        <w:pStyle w:val="32"/>
        <w:keepNext w:val="0"/>
        <w:keepLines w:val="0"/>
        <w:widowControl/>
        <w:suppressLineNumbers w:val="0"/>
        <w:spacing w:beforeAutospacing="1" w:afterAutospacing="1" w:line="240" w:lineRule="atLeast"/>
        <w:rPr>
          <w:rFonts w:hint="default" w:eastAsia="仿宋"/>
          <w:lang w:val="en-US" w:eastAsia="zh-CN"/>
        </w:rPr>
      </w:pPr>
      <w:r>
        <w:rPr>
          <w:rFonts w:hint="eastAsia" w:ascii="仿宋" w:hAnsi="仿宋" w:eastAsia="仿宋" w:cs="仿宋"/>
          <w:i w:val="0"/>
          <w:iCs w:val="0"/>
          <w:caps w:val="0"/>
          <w:color w:val="000000"/>
          <w:spacing w:val="0"/>
          <w:sz w:val="21"/>
          <w:szCs w:val="21"/>
        </w:rPr>
        <w:t>    合同履约期限：标项 1，</w:t>
      </w:r>
      <w:r>
        <w:rPr>
          <w:rFonts w:hint="eastAsia" w:ascii="仿宋" w:hAnsi="仿宋" w:eastAsia="仿宋" w:cs="仿宋"/>
          <w:i w:val="0"/>
          <w:iCs w:val="0"/>
          <w:caps w:val="0"/>
          <w:color w:val="000000"/>
          <w:spacing w:val="0"/>
          <w:sz w:val="21"/>
          <w:szCs w:val="21"/>
          <w:lang w:val="en-US" w:eastAsia="zh-CN"/>
        </w:rPr>
        <w:t>详见招标文件</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本项目（否）接受联合体投标。</w:t>
      </w:r>
      <w:r>
        <w:rPr>
          <w:rFonts w:hint="eastAsia" w:ascii="仿宋" w:hAnsi="仿宋" w:eastAsia="仿宋" w:cs="仿宋"/>
          <w:i w:val="0"/>
          <w:iCs w:val="0"/>
          <w:caps w:val="0"/>
          <w:color w:val="000000"/>
          <w:spacing w:val="0"/>
          <w:sz w:val="27"/>
          <w:szCs w:val="27"/>
        </w:rPr>
        <w:t>  </w:t>
      </w:r>
    </w:p>
    <w:p>
      <w:pPr>
        <w:pStyle w:val="32"/>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1"/>
          <w:szCs w:val="21"/>
        </w:rPr>
      </w:pPr>
      <w:r>
        <w:rPr>
          <w:rStyle w:val="36"/>
          <w:rFonts w:ascii="黑体" w:hAnsi="宋体" w:eastAsia="黑体" w:cs="黑体"/>
          <w:i w:val="0"/>
          <w:iCs w:val="0"/>
          <w:caps w:val="0"/>
          <w:color w:val="000000"/>
          <w:spacing w:val="0"/>
          <w:sz w:val="21"/>
          <w:szCs w:val="21"/>
        </w:rPr>
        <w:t>二、申请人的资格要求：</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1.满足《中华人民共和国政府采购法》第二十二条规定；</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2.落实政府采购政策需满足的资格要求：专门面向中小企业采购的项目</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3.本项目的特定资格要求：</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【标项1】</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（1）合格的三证合一营业执照；（2）[</w:t>
      </w:r>
      <w:r>
        <w:rPr>
          <w:rFonts w:hint="eastAsia" w:ascii="仿宋" w:hAnsi="仿宋" w:eastAsia="仿宋" w:cs="仿宋"/>
          <w:i w:val="0"/>
          <w:iCs w:val="0"/>
          <w:caps w:val="0"/>
          <w:color w:val="000000"/>
          <w:spacing w:val="0"/>
          <w:sz w:val="21"/>
          <w:szCs w:val="21"/>
          <w:lang w:val="en-US" w:eastAsia="zh-CN"/>
        </w:rPr>
        <w:t>房屋建筑</w:t>
      </w:r>
      <w:r>
        <w:rPr>
          <w:rFonts w:hint="eastAsia" w:ascii="仿宋" w:hAnsi="仿宋" w:eastAsia="仿宋" w:cs="仿宋"/>
          <w:i w:val="0"/>
          <w:iCs w:val="0"/>
          <w:caps w:val="0"/>
          <w:color w:val="000000"/>
          <w:spacing w:val="0"/>
          <w:sz w:val="21"/>
          <w:szCs w:val="21"/>
        </w:rPr>
        <w:t>工程施工总承包三级](含)以上资质，并在人员、设备、资金等方面具有相应的施工能力，有安全生产许可证；（3）项目负责人须具备</w:t>
      </w:r>
      <w:r>
        <w:rPr>
          <w:rFonts w:hint="eastAsia" w:ascii="仿宋" w:hAnsi="仿宋" w:eastAsia="仿宋" w:cs="仿宋"/>
          <w:i w:val="0"/>
          <w:iCs w:val="0"/>
          <w:caps w:val="0"/>
          <w:color w:val="000000"/>
          <w:spacing w:val="0"/>
          <w:sz w:val="21"/>
          <w:szCs w:val="21"/>
          <w:lang w:val="en-US" w:eastAsia="zh-CN"/>
        </w:rPr>
        <w:t>房屋建筑</w:t>
      </w:r>
      <w:r>
        <w:rPr>
          <w:rFonts w:hint="eastAsia" w:ascii="仿宋" w:hAnsi="仿宋" w:eastAsia="仿宋" w:cs="仿宋"/>
          <w:i w:val="0"/>
          <w:iCs w:val="0"/>
          <w:caps w:val="0"/>
          <w:color w:val="000000"/>
          <w:spacing w:val="0"/>
          <w:sz w:val="21"/>
          <w:szCs w:val="21"/>
        </w:rPr>
        <w:t>工程专业贰级(含)以上级注册建造师执业资格， 具备有效的安全生产考核合格证书，且未担任其他在施建设工程项目的项目负责人</w:t>
      </w:r>
      <w:r>
        <w:rPr>
          <w:rFonts w:ascii="宋体" w:hAnsi="宋体" w:eastAsia="宋体" w:cs="宋体"/>
          <w:spacing w:val="9"/>
          <w:sz w:val="19"/>
          <w:szCs w:val="19"/>
        </w:rPr>
        <w:t>。</w:t>
      </w:r>
      <w:r>
        <w:rPr>
          <w:rFonts w:hint="eastAsia" w:ascii="仿宋" w:hAnsi="仿宋" w:eastAsia="仿宋" w:cs="仿宋"/>
          <w:i w:val="0"/>
          <w:iCs w:val="0"/>
          <w:caps w:val="0"/>
          <w:color w:val="000000"/>
          <w:spacing w:val="0"/>
          <w:sz w:val="21"/>
          <w:szCs w:val="21"/>
        </w:rPr>
        <w:t>（</w:t>
      </w:r>
      <w:r>
        <w:rPr>
          <w:rFonts w:hint="eastAsia" w:ascii="仿宋" w:hAnsi="仿宋" w:eastAsia="仿宋" w:cs="仿宋"/>
          <w:i w:val="0"/>
          <w:iCs w:val="0"/>
          <w:caps w:val="0"/>
          <w:color w:val="000000"/>
          <w:spacing w:val="0"/>
          <w:sz w:val="21"/>
          <w:szCs w:val="21"/>
          <w:lang w:val="en-US" w:eastAsia="zh-CN"/>
        </w:rPr>
        <w:t>4</w:t>
      </w:r>
      <w:r>
        <w:rPr>
          <w:rFonts w:hint="eastAsia" w:ascii="仿宋" w:hAnsi="仿宋" w:eastAsia="仿宋" w:cs="仿宋"/>
          <w:i w:val="0"/>
          <w:iCs w:val="0"/>
          <w:caps w:val="0"/>
          <w:color w:val="000000"/>
          <w:spacing w:val="0"/>
          <w:sz w:val="21"/>
          <w:szCs w:val="21"/>
        </w:rPr>
        <w:t>）202</w:t>
      </w:r>
      <w:r>
        <w:rPr>
          <w:rFonts w:hint="eastAsia" w:ascii="仿宋" w:hAnsi="仿宋" w:eastAsia="仿宋" w:cs="仿宋"/>
          <w:i w:val="0"/>
          <w:iCs w:val="0"/>
          <w:caps w:val="0"/>
          <w:color w:val="000000"/>
          <w:spacing w:val="0"/>
          <w:sz w:val="21"/>
          <w:szCs w:val="21"/>
          <w:lang w:val="en-US" w:eastAsia="zh-CN"/>
        </w:rPr>
        <w:t>2</w:t>
      </w:r>
      <w:r>
        <w:rPr>
          <w:rFonts w:hint="eastAsia" w:ascii="仿宋" w:hAnsi="仿宋" w:eastAsia="仿宋" w:cs="仿宋"/>
          <w:i w:val="0"/>
          <w:iCs w:val="0"/>
          <w:caps w:val="0"/>
          <w:color w:val="000000"/>
          <w:spacing w:val="0"/>
          <w:sz w:val="21"/>
          <w:szCs w:val="21"/>
        </w:rPr>
        <w:t>年度经会计事务所出具财务审计报告；（新成立的公司须提供近一个月的银行资信证明）；（</w:t>
      </w:r>
      <w:r>
        <w:rPr>
          <w:rFonts w:hint="eastAsia" w:ascii="仿宋" w:hAnsi="仿宋" w:eastAsia="仿宋" w:cs="仿宋"/>
          <w:i w:val="0"/>
          <w:iCs w:val="0"/>
          <w:caps w:val="0"/>
          <w:color w:val="000000"/>
          <w:spacing w:val="0"/>
          <w:sz w:val="21"/>
          <w:szCs w:val="21"/>
          <w:lang w:eastAsia="zh-CN"/>
        </w:rPr>
        <w:t>5</w:t>
      </w:r>
      <w:r>
        <w:rPr>
          <w:rFonts w:hint="eastAsia" w:ascii="仿宋" w:hAnsi="仿宋" w:eastAsia="仿宋" w:cs="仿宋"/>
          <w:i w:val="0"/>
          <w:iCs w:val="0"/>
          <w:caps w:val="0"/>
          <w:color w:val="000000"/>
          <w:spacing w:val="0"/>
          <w:sz w:val="21"/>
          <w:szCs w:val="21"/>
        </w:rPr>
        <w:t>）公司依法缴纳近三个月的社会保险社保缴纳凭证；公司依法缴纳近三个月任意一个月的税收良好记录证明；（</w:t>
      </w:r>
      <w:r>
        <w:rPr>
          <w:rFonts w:hint="eastAsia" w:ascii="仿宋" w:hAnsi="仿宋" w:eastAsia="仿宋" w:cs="仿宋"/>
          <w:i w:val="0"/>
          <w:iCs w:val="0"/>
          <w:caps w:val="0"/>
          <w:color w:val="000000"/>
          <w:spacing w:val="0"/>
          <w:sz w:val="21"/>
          <w:szCs w:val="21"/>
          <w:lang w:val="en-US" w:eastAsia="zh-CN"/>
        </w:rPr>
        <w:t>6</w:t>
      </w:r>
      <w:r>
        <w:rPr>
          <w:rFonts w:hint="eastAsia" w:ascii="仿宋" w:hAnsi="仿宋" w:eastAsia="仿宋" w:cs="仿宋"/>
          <w:i w:val="0"/>
          <w:iCs w:val="0"/>
          <w:caps w:val="0"/>
          <w:color w:val="000000"/>
          <w:spacing w:val="0"/>
          <w:sz w:val="21"/>
          <w:szCs w:val="21"/>
        </w:rPr>
        <w:t>）在“信用中国”网站 被列入失信被执行人、重大税收违法案件当事人名单；“中国政府采购网”严重违法失信行为记录名单的（尚在处罚期内的）；“国家企业信用信息公示系统”列入经营异常名录信息、列入严重违法失信企业名单（黑名单）信息的企业投标商，拒绝参与该项目投标；（</w:t>
      </w:r>
      <w:r>
        <w:rPr>
          <w:rFonts w:hint="eastAsia" w:ascii="仿宋" w:hAnsi="仿宋" w:eastAsia="仿宋" w:cs="仿宋"/>
          <w:i w:val="0"/>
          <w:iCs w:val="0"/>
          <w:caps w:val="0"/>
          <w:color w:val="000000"/>
          <w:spacing w:val="0"/>
          <w:sz w:val="21"/>
          <w:szCs w:val="21"/>
          <w:lang w:val="en-US" w:eastAsia="zh-CN"/>
        </w:rPr>
        <w:t>7</w:t>
      </w:r>
      <w:r>
        <w:rPr>
          <w:rFonts w:hint="eastAsia" w:ascii="仿宋" w:hAnsi="仿宋" w:eastAsia="仿宋" w:cs="仿宋"/>
          <w:i w:val="0"/>
          <w:iCs w:val="0"/>
          <w:caps w:val="0"/>
          <w:color w:val="000000"/>
          <w:spacing w:val="0"/>
          <w:sz w:val="21"/>
          <w:szCs w:val="21"/>
        </w:rPr>
        <w:t>）提供针对本次项目《反商业贿赂承诺书》；（</w:t>
      </w:r>
      <w:r>
        <w:rPr>
          <w:rFonts w:hint="eastAsia" w:ascii="仿宋" w:hAnsi="仿宋" w:eastAsia="仿宋" w:cs="仿宋"/>
          <w:i w:val="0"/>
          <w:iCs w:val="0"/>
          <w:caps w:val="0"/>
          <w:color w:val="000000"/>
          <w:spacing w:val="0"/>
          <w:sz w:val="21"/>
          <w:szCs w:val="21"/>
          <w:lang w:val="en-US" w:eastAsia="zh-CN"/>
        </w:rPr>
        <w:t>8</w:t>
      </w:r>
      <w:r>
        <w:rPr>
          <w:rFonts w:hint="eastAsia" w:ascii="仿宋" w:hAnsi="仿宋" w:eastAsia="仿宋" w:cs="仿宋"/>
          <w:i w:val="0"/>
          <w:iCs w:val="0"/>
          <w:caps w:val="0"/>
          <w:color w:val="000000"/>
          <w:spacing w:val="0"/>
          <w:sz w:val="21"/>
          <w:szCs w:val="21"/>
        </w:rPr>
        <w:t>）提供本单位在参加政府采购活动中前三年内无重大违法记录的承诺声明函；（</w:t>
      </w:r>
      <w:r>
        <w:rPr>
          <w:rFonts w:hint="eastAsia" w:ascii="仿宋" w:hAnsi="仿宋" w:eastAsia="仿宋" w:cs="仿宋"/>
          <w:i w:val="0"/>
          <w:iCs w:val="0"/>
          <w:caps w:val="0"/>
          <w:color w:val="000000"/>
          <w:spacing w:val="0"/>
          <w:sz w:val="21"/>
          <w:szCs w:val="21"/>
          <w:lang w:eastAsia="zh-CN"/>
        </w:rPr>
        <w:t>9</w:t>
      </w:r>
      <w:r>
        <w:rPr>
          <w:rFonts w:hint="eastAsia" w:ascii="仿宋" w:hAnsi="仿宋" w:eastAsia="仿宋" w:cs="仿宋"/>
          <w:i w:val="0"/>
          <w:iCs w:val="0"/>
          <w:caps w:val="0"/>
          <w:color w:val="000000"/>
          <w:spacing w:val="0"/>
          <w:sz w:val="21"/>
          <w:szCs w:val="21"/>
        </w:rPr>
        <w:t>）法人本人投标的需提供法人身份证原件；被授权委托人需提供法人授权委托书原件、法人身份证复印件及被授权委托人身份证原件；  </w:t>
      </w:r>
    </w:p>
    <w:p>
      <w:pPr>
        <w:pStyle w:val="32"/>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1"/>
          <w:szCs w:val="21"/>
        </w:rPr>
      </w:pPr>
      <w:r>
        <w:rPr>
          <w:rStyle w:val="36"/>
          <w:rFonts w:ascii="黑体" w:hAnsi="宋体" w:eastAsia="黑体" w:cs="黑体"/>
          <w:i w:val="0"/>
          <w:iCs w:val="0"/>
          <w:caps w:val="0"/>
          <w:color w:val="000000"/>
          <w:spacing w:val="0"/>
          <w:sz w:val="21"/>
          <w:szCs w:val="21"/>
        </w:rPr>
        <w:t>三、获取采购文件</w:t>
      </w:r>
    </w:p>
    <w:p>
      <w:pPr>
        <w:pStyle w:val="32"/>
        <w:keepNext w:val="0"/>
        <w:keepLines w:val="0"/>
        <w:widowControl/>
        <w:suppressLineNumbers w:val="0"/>
        <w:spacing w:beforeAutospacing="1" w:afterAutospacing="1" w:line="240" w:lineRule="atLeast"/>
        <w:rPr>
          <w:rFonts w:hint="default" w:eastAsia="仿宋"/>
          <w:lang w:val="en-US" w:eastAsia="zh-CN"/>
        </w:rPr>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时间：</w:t>
      </w:r>
      <w:r>
        <w:rPr>
          <w:rFonts w:hint="eastAsia" w:ascii="仿宋" w:hAnsi="仿宋" w:eastAsia="仿宋" w:cs="仿宋"/>
          <w:i w:val="0"/>
          <w:iCs w:val="0"/>
          <w:caps w:val="0"/>
          <w:color w:val="000000"/>
          <w:spacing w:val="0"/>
          <w:sz w:val="21"/>
          <w:szCs w:val="21"/>
          <w:highlight w:val="none"/>
          <w:u w:val="none"/>
        </w:rPr>
        <w:t>202</w:t>
      </w:r>
      <w:r>
        <w:rPr>
          <w:rFonts w:hint="eastAsia" w:ascii="仿宋" w:hAnsi="仿宋" w:eastAsia="仿宋" w:cs="仿宋"/>
          <w:i w:val="0"/>
          <w:iCs w:val="0"/>
          <w:caps w:val="0"/>
          <w:color w:val="000000"/>
          <w:spacing w:val="0"/>
          <w:sz w:val="21"/>
          <w:szCs w:val="21"/>
          <w:highlight w:val="none"/>
          <w:u w:val="none"/>
          <w:lang w:val="en-US" w:eastAsia="zh-CN"/>
        </w:rPr>
        <w:t>3</w:t>
      </w:r>
      <w:r>
        <w:rPr>
          <w:rFonts w:hint="eastAsia" w:ascii="仿宋" w:hAnsi="仿宋" w:eastAsia="仿宋" w:cs="仿宋"/>
          <w:i w:val="0"/>
          <w:iCs w:val="0"/>
          <w:caps w:val="0"/>
          <w:color w:val="000000"/>
          <w:spacing w:val="0"/>
          <w:sz w:val="21"/>
          <w:szCs w:val="21"/>
          <w:highlight w:val="none"/>
          <w:u w:val="none"/>
        </w:rPr>
        <w:t>年</w:t>
      </w:r>
      <w:r>
        <w:rPr>
          <w:rFonts w:hint="eastAsia" w:ascii="仿宋" w:hAnsi="仿宋" w:eastAsia="仿宋" w:cs="仿宋"/>
          <w:i w:val="0"/>
          <w:iCs w:val="0"/>
          <w:caps w:val="0"/>
          <w:color w:val="000000"/>
          <w:spacing w:val="0"/>
          <w:sz w:val="21"/>
          <w:szCs w:val="21"/>
          <w:highlight w:val="none"/>
          <w:u w:val="none"/>
          <w:lang w:val="en-US" w:eastAsia="zh-CN"/>
        </w:rPr>
        <w:t>06</w:t>
      </w:r>
      <w:r>
        <w:rPr>
          <w:rFonts w:hint="eastAsia" w:ascii="仿宋" w:hAnsi="仿宋" w:eastAsia="仿宋" w:cs="仿宋"/>
          <w:i w:val="0"/>
          <w:iCs w:val="0"/>
          <w:caps w:val="0"/>
          <w:color w:val="000000"/>
          <w:spacing w:val="0"/>
          <w:sz w:val="21"/>
          <w:szCs w:val="21"/>
          <w:highlight w:val="none"/>
          <w:u w:val="none"/>
        </w:rPr>
        <w:t>月</w:t>
      </w:r>
      <w:r>
        <w:rPr>
          <w:rFonts w:hint="eastAsia" w:ascii="仿宋" w:hAnsi="仿宋" w:eastAsia="仿宋" w:cs="仿宋"/>
          <w:i w:val="0"/>
          <w:iCs w:val="0"/>
          <w:caps w:val="0"/>
          <w:color w:val="000000"/>
          <w:spacing w:val="0"/>
          <w:sz w:val="21"/>
          <w:szCs w:val="21"/>
          <w:highlight w:val="none"/>
          <w:u w:val="none"/>
          <w:lang w:val="en-US" w:eastAsia="zh-CN"/>
        </w:rPr>
        <w:t>25</w:t>
      </w:r>
      <w:r>
        <w:rPr>
          <w:rFonts w:hint="eastAsia" w:ascii="仿宋" w:hAnsi="仿宋" w:eastAsia="仿宋" w:cs="仿宋"/>
          <w:i w:val="0"/>
          <w:iCs w:val="0"/>
          <w:caps w:val="0"/>
          <w:color w:val="000000"/>
          <w:spacing w:val="0"/>
          <w:sz w:val="21"/>
          <w:szCs w:val="21"/>
          <w:highlight w:val="none"/>
          <w:u w:val="none"/>
        </w:rPr>
        <w:t>日至202</w:t>
      </w:r>
      <w:r>
        <w:rPr>
          <w:rFonts w:hint="eastAsia" w:ascii="仿宋" w:hAnsi="仿宋" w:eastAsia="仿宋" w:cs="仿宋"/>
          <w:i w:val="0"/>
          <w:iCs w:val="0"/>
          <w:caps w:val="0"/>
          <w:color w:val="000000"/>
          <w:spacing w:val="0"/>
          <w:sz w:val="21"/>
          <w:szCs w:val="21"/>
          <w:highlight w:val="none"/>
          <w:u w:val="none"/>
          <w:lang w:val="en-US" w:eastAsia="zh-CN"/>
        </w:rPr>
        <w:t>3</w:t>
      </w:r>
      <w:r>
        <w:rPr>
          <w:rFonts w:hint="eastAsia" w:ascii="仿宋" w:hAnsi="仿宋" w:eastAsia="仿宋" w:cs="仿宋"/>
          <w:i w:val="0"/>
          <w:iCs w:val="0"/>
          <w:caps w:val="0"/>
          <w:color w:val="000000"/>
          <w:spacing w:val="0"/>
          <w:sz w:val="21"/>
          <w:szCs w:val="21"/>
          <w:highlight w:val="none"/>
          <w:u w:val="none"/>
        </w:rPr>
        <w:t>年</w:t>
      </w:r>
      <w:r>
        <w:rPr>
          <w:rFonts w:hint="eastAsia" w:ascii="仿宋" w:hAnsi="仿宋" w:eastAsia="仿宋" w:cs="仿宋"/>
          <w:i w:val="0"/>
          <w:iCs w:val="0"/>
          <w:caps w:val="0"/>
          <w:color w:val="000000"/>
          <w:spacing w:val="0"/>
          <w:sz w:val="21"/>
          <w:szCs w:val="21"/>
          <w:highlight w:val="none"/>
          <w:u w:val="none"/>
          <w:lang w:val="en-US" w:eastAsia="zh-CN"/>
        </w:rPr>
        <w:t>07</w:t>
      </w:r>
      <w:r>
        <w:rPr>
          <w:rFonts w:hint="eastAsia" w:ascii="仿宋" w:hAnsi="仿宋" w:eastAsia="仿宋" w:cs="仿宋"/>
          <w:i w:val="0"/>
          <w:iCs w:val="0"/>
          <w:caps w:val="0"/>
          <w:color w:val="000000"/>
          <w:spacing w:val="0"/>
          <w:sz w:val="21"/>
          <w:szCs w:val="21"/>
          <w:highlight w:val="none"/>
          <w:u w:val="none"/>
        </w:rPr>
        <w:t>月</w:t>
      </w:r>
      <w:r>
        <w:rPr>
          <w:rFonts w:hint="eastAsia" w:ascii="仿宋" w:hAnsi="仿宋" w:eastAsia="仿宋" w:cs="仿宋"/>
          <w:i w:val="0"/>
          <w:iCs w:val="0"/>
          <w:caps w:val="0"/>
          <w:color w:val="000000"/>
          <w:spacing w:val="0"/>
          <w:sz w:val="21"/>
          <w:szCs w:val="21"/>
          <w:highlight w:val="none"/>
          <w:u w:val="none"/>
          <w:lang w:val="en-US" w:eastAsia="zh-CN"/>
        </w:rPr>
        <w:t>05</w:t>
      </w:r>
      <w:r>
        <w:rPr>
          <w:rFonts w:hint="eastAsia" w:ascii="仿宋" w:hAnsi="仿宋" w:eastAsia="仿宋" w:cs="仿宋"/>
          <w:i w:val="0"/>
          <w:iCs w:val="0"/>
          <w:caps w:val="0"/>
          <w:color w:val="000000"/>
          <w:spacing w:val="0"/>
          <w:sz w:val="21"/>
          <w:szCs w:val="21"/>
          <w:highlight w:val="none"/>
          <w:u w:val="none"/>
        </w:rPr>
        <w:t>日</w:t>
      </w:r>
      <w:r>
        <w:rPr>
          <w:rFonts w:hint="eastAsia" w:ascii="仿宋" w:hAnsi="仿宋" w:eastAsia="仿宋" w:cs="仿宋"/>
          <w:i w:val="0"/>
          <w:iCs w:val="0"/>
          <w:caps w:val="0"/>
          <w:color w:val="000000"/>
          <w:spacing w:val="0"/>
          <w:sz w:val="21"/>
          <w:szCs w:val="21"/>
          <w:u w:val="none"/>
        </w:rPr>
        <w:t>，每天上午10:00至1</w:t>
      </w:r>
      <w:r>
        <w:rPr>
          <w:rFonts w:hint="eastAsia" w:ascii="仿宋" w:hAnsi="仿宋" w:eastAsia="仿宋" w:cs="仿宋"/>
          <w:i w:val="0"/>
          <w:iCs w:val="0"/>
          <w:caps w:val="0"/>
          <w:color w:val="000000"/>
          <w:spacing w:val="0"/>
          <w:sz w:val="21"/>
          <w:szCs w:val="21"/>
          <w:u w:val="none"/>
          <w:lang w:val="en-US" w:eastAsia="zh-CN"/>
        </w:rPr>
        <w:t>4</w:t>
      </w:r>
      <w:r>
        <w:rPr>
          <w:rFonts w:hint="eastAsia" w:ascii="仿宋" w:hAnsi="仿宋" w:eastAsia="仿宋" w:cs="仿宋"/>
          <w:i w:val="0"/>
          <w:iCs w:val="0"/>
          <w:caps w:val="0"/>
          <w:color w:val="000000"/>
          <w:spacing w:val="0"/>
          <w:sz w:val="21"/>
          <w:szCs w:val="21"/>
          <w:u w:val="none"/>
        </w:rPr>
        <w:t>:00，下午1</w:t>
      </w:r>
      <w:r>
        <w:rPr>
          <w:rFonts w:hint="eastAsia" w:ascii="仿宋" w:hAnsi="仿宋" w:eastAsia="仿宋" w:cs="仿宋"/>
          <w:i w:val="0"/>
          <w:iCs w:val="0"/>
          <w:caps w:val="0"/>
          <w:color w:val="000000"/>
          <w:spacing w:val="0"/>
          <w:sz w:val="21"/>
          <w:szCs w:val="21"/>
          <w:u w:val="none"/>
          <w:lang w:val="en-US" w:eastAsia="zh-CN"/>
        </w:rPr>
        <w:t>6</w:t>
      </w:r>
      <w:r>
        <w:rPr>
          <w:rFonts w:hint="eastAsia" w:ascii="仿宋" w:hAnsi="仿宋" w:eastAsia="仿宋" w:cs="仿宋"/>
          <w:i w:val="0"/>
          <w:iCs w:val="0"/>
          <w:caps w:val="0"/>
          <w:color w:val="000000"/>
          <w:spacing w:val="0"/>
          <w:sz w:val="21"/>
          <w:szCs w:val="21"/>
          <w:u w:val="none"/>
        </w:rPr>
        <w:t>:00至</w:t>
      </w:r>
      <w:r>
        <w:rPr>
          <w:rFonts w:hint="eastAsia" w:ascii="仿宋" w:hAnsi="仿宋" w:eastAsia="仿宋" w:cs="仿宋"/>
          <w:i w:val="0"/>
          <w:iCs w:val="0"/>
          <w:caps w:val="0"/>
          <w:color w:val="000000"/>
          <w:spacing w:val="0"/>
          <w:sz w:val="21"/>
          <w:szCs w:val="21"/>
          <w:u w:val="none"/>
          <w:lang w:eastAsia="zh-CN"/>
        </w:rPr>
        <w:t>1</w:t>
      </w:r>
      <w:r>
        <w:rPr>
          <w:rFonts w:hint="eastAsia" w:ascii="仿宋" w:hAnsi="仿宋" w:eastAsia="仿宋" w:cs="仿宋"/>
          <w:i w:val="0"/>
          <w:iCs w:val="0"/>
          <w:caps w:val="0"/>
          <w:color w:val="000000"/>
          <w:spacing w:val="0"/>
          <w:sz w:val="21"/>
          <w:szCs w:val="21"/>
          <w:u w:val="none"/>
          <w:lang w:val="en-US" w:eastAsia="zh-CN"/>
        </w:rPr>
        <w:t>9</w:t>
      </w:r>
      <w:r>
        <w:rPr>
          <w:rFonts w:hint="eastAsia" w:ascii="仿宋" w:hAnsi="仿宋" w:eastAsia="仿宋" w:cs="仿宋"/>
          <w:i w:val="0"/>
          <w:iCs w:val="0"/>
          <w:caps w:val="0"/>
          <w:color w:val="000000"/>
          <w:spacing w:val="0"/>
          <w:sz w:val="21"/>
          <w:szCs w:val="21"/>
          <w:u w:val="none"/>
        </w:rPr>
        <w:t>:</w:t>
      </w:r>
      <w:r>
        <w:rPr>
          <w:rFonts w:hint="eastAsia" w:ascii="仿宋" w:hAnsi="仿宋" w:eastAsia="仿宋" w:cs="仿宋"/>
          <w:i w:val="0"/>
          <w:iCs w:val="0"/>
          <w:caps w:val="0"/>
          <w:color w:val="000000"/>
          <w:spacing w:val="0"/>
          <w:sz w:val="21"/>
          <w:szCs w:val="21"/>
          <w:u w:val="none"/>
          <w:lang w:val="en-US" w:eastAsia="zh-CN"/>
        </w:rPr>
        <w:t>59</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地点：</w:t>
      </w:r>
      <w:r>
        <w:rPr>
          <w:rFonts w:hint="eastAsia" w:ascii="仿宋" w:hAnsi="仿宋" w:eastAsia="仿宋" w:cs="仿宋"/>
          <w:sz w:val="22"/>
          <w:szCs w:val="22"/>
          <w:lang w:val="en-US" w:eastAsia="zh-CN"/>
        </w:rPr>
        <w:t xml:space="preserve">新疆政采云平台https://www.zcygov.cn/ </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方式：</w:t>
      </w:r>
      <w:r>
        <w:rPr>
          <w:rFonts w:ascii="仿宋" w:hAnsi="仿宋" w:eastAsia="仿宋" w:cs="仿宋"/>
          <w:i w:val="0"/>
          <w:iCs w:val="0"/>
          <w:caps w:val="0"/>
          <w:color w:val="000000"/>
          <w:spacing w:val="0"/>
          <w:sz w:val="21"/>
          <w:szCs w:val="21"/>
        </w:rPr>
        <w:t>供应商登录政采云平台https://www.zcygov.cn/在线申请获取采购文件（进入“项目采购”应用，在获取采购文件菜单中选择项目，申请获取采购文件）</w:t>
      </w:r>
      <w:r>
        <w:rPr>
          <w:rFonts w:hint="eastAsia" w:ascii="仿宋" w:hAnsi="仿宋" w:eastAsia="仿宋" w:cs="仿宋"/>
          <w:i w:val="0"/>
          <w:iCs w:val="0"/>
          <w:caps w:val="0"/>
          <w:color w:val="000000"/>
          <w:spacing w:val="0"/>
          <w:sz w:val="21"/>
          <w:szCs w:val="21"/>
        </w:rPr>
        <w:t> </w:t>
      </w:r>
    </w:p>
    <w:p>
      <w:pPr>
        <w:pStyle w:val="32"/>
        <w:keepNext w:val="0"/>
        <w:keepLines w:val="0"/>
        <w:widowControl/>
        <w:suppressLineNumbers w:val="0"/>
        <w:spacing w:beforeAutospacing="1" w:afterAutospacing="1" w:line="240" w:lineRule="atLeast"/>
        <w:rPr>
          <w:rFonts w:hint="eastAsia" w:eastAsia="仿宋"/>
          <w:lang w:eastAsia="zh-CN"/>
        </w:rPr>
      </w:pPr>
      <w:r>
        <w:rPr>
          <w:rFonts w:hint="eastAsia" w:ascii="仿宋" w:hAnsi="仿宋" w:eastAsia="仿宋" w:cs="仿宋"/>
          <w:i w:val="0"/>
          <w:iCs w:val="0"/>
          <w:caps w:val="0"/>
          <w:color w:val="000000"/>
          <w:spacing w:val="0"/>
          <w:sz w:val="21"/>
          <w:szCs w:val="21"/>
        </w:rPr>
        <w:t>    售价（元）：</w:t>
      </w:r>
      <w:r>
        <w:rPr>
          <w:rFonts w:hint="eastAsia" w:ascii="仿宋" w:hAnsi="仿宋" w:eastAsia="仿宋" w:cs="仿宋"/>
          <w:i w:val="0"/>
          <w:iCs w:val="0"/>
          <w:caps w:val="0"/>
          <w:color w:val="000000"/>
          <w:spacing w:val="0"/>
          <w:sz w:val="21"/>
          <w:szCs w:val="21"/>
          <w:lang w:val="en-US" w:eastAsia="zh-CN"/>
        </w:rPr>
        <w:t>/</w:t>
      </w:r>
    </w:p>
    <w:p>
      <w:pPr>
        <w:pStyle w:val="32"/>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1"/>
          <w:szCs w:val="21"/>
        </w:rPr>
      </w:pPr>
      <w:r>
        <w:rPr>
          <w:rStyle w:val="36"/>
          <w:rFonts w:ascii="黑体" w:hAnsi="宋体" w:eastAsia="黑体" w:cs="黑体"/>
          <w:i w:val="0"/>
          <w:iCs w:val="0"/>
          <w:caps w:val="0"/>
          <w:color w:val="000000"/>
          <w:spacing w:val="0"/>
          <w:sz w:val="21"/>
          <w:szCs w:val="21"/>
        </w:rPr>
        <w:t>四、响应文件提交</w:t>
      </w:r>
      <w:r>
        <w:rPr>
          <w:rFonts w:ascii="黑体" w:hAnsi="宋体" w:eastAsia="黑体" w:cs="黑体"/>
          <w:i w:val="0"/>
          <w:iCs w:val="0"/>
          <w:caps w:val="0"/>
          <w:color w:val="000000"/>
          <w:spacing w:val="0"/>
          <w:sz w:val="21"/>
          <w:szCs w:val="21"/>
        </w:rPr>
        <w:t> </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截止时间：</w:t>
      </w:r>
      <w:r>
        <w:rPr>
          <w:rFonts w:hint="eastAsia" w:ascii="仿宋" w:hAnsi="仿宋" w:eastAsia="仿宋" w:cs="仿宋"/>
          <w:i w:val="0"/>
          <w:iCs w:val="0"/>
          <w:caps w:val="0"/>
          <w:color w:val="000000"/>
          <w:spacing w:val="0"/>
          <w:sz w:val="21"/>
          <w:szCs w:val="21"/>
          <w:highlight w:val="none"/>
        </w:rPr>
        <w:t>2023</w:t>
      </w:r>
      <w:r>
        <w:rPr>
          <w:rFonts w:hint="eastAsia" w:ascii="仿宋" w:hAnsi="仿宋" w:eastAsia="仿宋" w:cs="仿宋"/>
          <w:i w:val="0"/>
          <w:iCs w:val="0"/>
          <w:caps w:val="0"/>
          <w:color w:val="000000"/>
          <w:spacing w:val="0"/>
          <w:sz w:val="21"/>
          <w:szCs w:val="21"/>
          <w:highlight w:val="none"/>
          <w:lang w:val="en-US" w:eastAsia="zh-CN"/>
        </w:rPr>
        <w:t>年</w:t>
      </w:r>
      <w:r>
        <w:rPr>
          <w:rFonts w:hint="eastAsia" w:ascii="仿宋" w:hAnsi="仿宋" w:eastAsia="仿宋" w:cs="仿宋"/>
          <w:i w:val="0"/>
          <w:iCs w:val="0"/>
          <w:caps w:val="0"/>
          <w:color w:val="000000"/>
          <w:spacing w:val="0"/>
          <w:sz w:val="21"/>
          <w:szCs w:val="21"/>
          <w:highlight w:val="none"/>
        </w:rPr>
        <w:t>0</w:t>
      </w:r>
      <w:r>
        <w:rPr>
          <w:rFonts w:hint="eastAsia" w:ascii="仿宋" w:hAnsi="仿宋" w:eastAsia="仿宋" w:cs="仿宋"/>
          <w:i w:val="0"/>
          <w:iCs w:val="0"/>
          <w:caps w:val="0"/>
          <w:color w:val="000000"/>
          <w:spacing w:val="0"/>
          <w:sz w:val="21"/>
          <w:szCs w:val="21"/>
          <w:highlight w:val="none"/>
          <w:lang w:val="en-US" w:eastAsia="zh-CN"/>
        </w:rPr>
        <w:t>7月05日</w:t>
      </w:r>
      <w:r>
        <w:rPr>
          <w:rFonts w:hint="eastAsia" w:ascii="仿宋" w:hAnsi="仿宋" w:eastAsia="仿宋" w:cs="仿宋"/>
          <w:i w:val="0"/>
          <w:iCs w:val="0"/>
          <w:caps w:val="0"/>
          <w:color w:val="000000"/>
          <w:spacing w:val="0"/>
          <w:sz w:val="21"/>
          <w:szCs w:val="21"/>
          <w:highlight w:val="none"/>
        </w:rPr>
        <w:t xml:space="preserve"> 1</w:t>
      </w:r>
      <w:r>
        <w:rPr>
          <w:rFonts w:hint="eastAsia" w:ascii="仿宋" w:hAnsi="仿宋" w:eastAsia="仿宋" w:cs="仿宋"/>
          <w:i w:val="0"/>
          <w:iCs w:val="0"/>
          <w:caps w:val="0"/>
          <w:color w:val="000000"/>
          <w:spacing w:val="0"/>
          <w:sz w:val="21"/>
          <w:szCs w:val="21"/>
          <w:highlight w:val="none"/>
          <w:lang w:val="en-US" w:eastAsia="zh-CN"/>
        </w:rPr>
        <w:t>1</w:t>
      </w:r>
      <w:r>
        <w:rPr>
          <w:rFonts w:hint="eastAsia" w:ascii="仿宋" w:hAnsi="仿宋" w:eastAsia="仿宋" w:cs="仿宋"/>
          <w:i w:val="0"/>
          <w:iCs w:val="0"/>
          <w:caps w:val="0"/>
          <w:color w:val="000000"/>
          <w:spacing w:val="0"/>
          <w:sz w:val="21"/>
          <w:szCs w:val="21"/>
          <w:highlight w:val="none"/>
        </w:rPr>
        <w:t>:00（北京时间）</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地点：</w:t>
      </w:r>
      <w:r>
        <w:rPr>
          <w:rFonts w:ascii="仿宋" w:hAnsi="仿宋" w:eastAsia="仿宋" w:cs="仿宋"/>
          <w:i w:val="0"/>
          <w:iCs w:val="0"/>
          <w:caps w:val="0"/>
          <w:color w:val="000000"/>
          <w:spacing w:val="0"/>
          <w:sz w:val="21"/>
          <w:szCs w:val="21"/>
        </w:rPr>
        <w:t>请登录政采云投标客户端投标</w:t>
      </w:r>
      <w:r>
        <w:rPr>
          <w:rFonts w:hint="eastAsia" w:ascii="仿宋" w:hAnsi="仿宋" w:eastAsia="仿宋" w:cs="仿宋"/>
          <w:i w:val="0"/>
          <w:iCs w:val="0"/>
          <w:caps w:val="0"/>
          <w:color w:val="000000"/>
          <w:spacing w:val="0"/>
          <w:sz w:val="21"/>
          <w:szCs w:val="21"/>
        </w:rPr>
        <w:t> </w:t>
      </w:r>
    </w:p>
    <w:p>
      <w:pPr>
        <w:pStyle w:val="32"/>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1"/>
          <w:szCs w:val="21"/>
        </w:rPr>
      </w:pPr>
      <w:r>
        <w:rPr>
          <w:rStyle w:val="36"/>
          <w:rFonts w:ascii="黑体" w:hAnsi="宋体" w:eastAsia="黑体" w:cs="黑体"/>
          <w:i w:val="0"/>
          <w:iCs w:val="0"/>
          <w:caps w:val="0"/>
          <w:color w:val="000000"/>
          <w:spacing w:val="0"/>
          <w:sz w:val="21"/>
          <w:szCs w:val="21"/>
        </w:rPr>
        <w:t>五、响应文件开启</w:t>
      </w:r>
      <w:r>
        <w:rPr>
          <w:rFonts w:ascii="黑体" w:hAnsi="宋体" w:eastAsia="黑体" w:cs="黑体"/>
          <w:i w:val="0"/>
          <w:iCs w:val="0"/>
          <w:caps w:val="0"/>
          <w:color w:val="000000"/>
          <w:spacing w:val="0"/>
          <w:sz w:val="21"/>
          <w:szCs w:val="21"/>
        </w:rPr>
        <w:t> </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开启时间：202</w:t>
      </w:r>
      <w:r>
        <w:rPr>
          <w:rFonts w:hint="eastAsia" w:ascii="仿宋" w:hAnsi="仿宋" w:eastAsia="仿宋" w:cs="仿宋"/>
          <w:i w:val="0"/>
          <w:iCs w:val="0"/>
          <w:caps w:val="0"/>
          <w:color w:val="000000"/>
          <w:spacing w:val="0"/>
          <w:sz w:val="21"/>
          <w:szCs w:val="21"/>
          <w:lang w:val="en-US" w:eastAsia="zh-CN"/>
        </w:rPr>
        <w:t>3</w:t>
      </w:r>
      <w:r>
        <w:rPr>
          <w:rFonts w:hint="eastAsia" w:ascii="仿宋" w:hAnsi="仿宋" w:eastAsia="仿宋" w:cs="仿宋"/>
          <w:i w:val="0"/>
          <w:iCs w:val="0"/>
          <w:caps w:val="0"/>
          <w:color w:val="000000"/>
          <w:spacing w:val="0"/>
          <w:sz w:val="21"/>
          <w:szCs w:val="21"/>
        </w:rPr>
        <w:t>年</w:t>
      </w:r>
      <w:r>
        <w:rPr>
          <w:rFonts w:hint="eastAsia" w:ascii="仿宋" w:hAnsi="仿宋" w:eastAsia="仿宋" w:cs="仿宋"/>
          <w:i w:val="0"/>
          <w:iCs w:val="0"/>
          <w:caps w:val="0"/>
          <w:color w:val="000000"/>
          <w:spacing w:val="0"/>
          <w:sz w:val="21"/>
          <w:szCs w:val="21"/>
          <w:lang w:val="en-US" w:eastAsia="zh-CN"/>
        </w:rPr>
        <w:t>07</w:t>
      </w:r>
      <w:r>
        <w:rPr>
          <w:rFonts w:hint="eastAsia" w:ascii="仿宋" w:hAnsi="仿宋" w:eastAsia="仿宋" w:cs="仿宋"/>
          <w:i w:val="0"/>
          <w:iCs w:val="0"/>
          <w:caps w:val="0"/>
          <w:color w:val="000000"/>
          <w:spacing w:val="0"/>
          <w:sz w:val="21"/>
          <w:szCs w:val="21"/>
        </w:rPr>
        <w:t>月</w:t>
      </w:r>
      <w:r>
        <w:rPr>
          <w:rFonts w:hint="eastAsia" w:ascii="仿宋" w:hAnsi="仿宋" w:eastAsia="仿宋" w:cs="仿宋"/>
          <w:i w:val="0"/>
          <w:iCs w:val="0"/>
          <w:caps w:val="0"/>
          <w:color w:val="000000"/>
          <w:spacing w:val="0"/>
          <w:sz w:val="21"/>
          <w:szCs w:val="21"/>
          <w:lang w:val="en-US" w:eastAsia="zh-CN"/>
        </w:rPr>
        <w:t>05</w:t>
      </w:r>
      <w:r>
        <w:rPr>
          <w:rFonts w:hint="eastAsia" w:ascii="仿宋" w:hAnsi="仿宋" w:eastAsia="仿宋" w:cs="仿宋"/>
          <w:i w:val="0"/>
          <w:iCs w:val="0"/>
          <w:caps w:val="0"/>
          <w:color w:val="000000"/>
          <w:spacing w:val="0"/>
          <w:sz w:val="21"/>
          <w:szCs w:val="21"/>
        </w:rPr>
        <w:t xml:space="preserve">日 </w:t>
      </w:r>
      <w:r>
        <w:rPr>
          <w:rFonts w:hint="eastAsia" w:ascii="仿宋" w:hAnsi="仿宋" w:eastAsia="仿宋" w:cs="仿宋"/>
          <w:i w:val="0"/>
          <w:iCs w:val="0"/>
          <w:caps w:val="0"/>
          <w:color w:val="000000"/>
          <w:spacing w:val="0"/>
          <w:sz w:val="21"/>
          <w:szCs w:val="21"/>
          <w:lang w:val="en-US" w:eastAsia="zh-CN"/>
        </w:rPr>
        <w:t>11</w:t>
      </w:r>
      <w:r>
        <w:rPr>
          <w:rFonts w:hint="eastAsia" w:ascii="仿宋" w:hAnsi="仿宋" w:eastAsia="仿宋" w:cs="仿宋"/>
          <w:i w:val="0"/>
          <w:iCs w:val="0"/>
          <w:caps w:val="0"/>
          <w:color w:val="000000"/>
          <w:spacing w:val="0"/>
          <w:sz w:val="21"/>
          <w:szCs w:val="21"/>
        </w:rPr>
        <w:t>:00 （北京时间）</w:t>
      </w:r>
    </w:p>
    <w:p>
      <w:pPr>
        <w:pStyle w:val="32"/>
        <w:keepNext w:val="0"/>
        <w:keepLines w:val="0"/>
        <w:widowControl/>
        <w:suppressLineNumbers w:val="0"/>
        <w:spacing w:beforeAutospacing="1" w:afterAutospacing="1" w:line="240" w:lineRule="atLeast"/>
      </w:pPr>
      <w:r>
        <w:rPr>
          <w:rFonts w:hint="eastAsia" w:ascii="仿宋" w:hAnsi="仿宋" w:eastAsia="仿宋" w:cs="仿宋"/>
          <w:i w:val="0"/>
          <w:iCs w:val="0"/>
          <w:caps w:val="0"/>
          <w:color w:val="000000"/>
          <w:spacing w:val="0"/>
          <w:sz w:val="21"/>
          <w:szCs w:val="21"/>
        </w:rPr>
        <w:t>    地点：</w:t>
      </w:r>
      <w:r>
        <w:rPr>
          <w:rFonts w:hint="eastAsia" w:ascii="仿宋" w:hAnsi="仿宋" w:eastAsia="仿宋" w:cs="仿宋"/>
          <w:i w:val="0"/>
          <w:iCs w:val="0"/>
          <w:caps w:val="0"/>
          <w:color w:val="000000"/>
          <w:spacing w:val="0"/>
          <w:sz w:val="21"/>
          <w:szCs w:val="21"/>
          <w:lang w:val="en-US" w:eastAsia="zh-CN"/>
        </w:rPr>
        <w:t>请登录政采云投标客户端投标</w:t>
      </w:r>
    </w:p>
    <w:p>
      <w:pPr>
        <w:pStyle w:val="32"/>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5"/>
          <w:szCs w:val="25"/>
        </w:rPr>
      </w:pPr>
      <w:r>
        <w:rPr>
          <w:rStyle w:val="36"/>
          <w:rFonts w:ascii="黑体" w:hAnsi="宋体" w:eastAsia="黑体" w:cs="黑体"/>
          <w:i w:val="0"/>
          <w:iCs w:val="0"/>
          <w:caps w:val="0"/>
          <w:color w:val="000000"/>
          <w:spacing w:val="0"/>
          <w:sz w:val="21"/>
          <w:szCs w:val="21"/>
        </w:rPr>
        <w:t>六、公告期限</w:t>
      </w:r>
    </w:p>
    <w:p>
      <w:pPr>
        <w:pStyle w:val="32"/>
        <w:keepNext w:val="0"/>
        <w:keepLines w:val="0"/>
        <w:widowControl/>
        <w:suppressLineNumbers w:val="0"/>
        <w:spacing w:beforeAutospacing="1" w:afterAutospacing="1"/>
        <w:ind w:left="0" w:firstLine="0"/>
        <w:rPr>
          <w:rFonts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1"/>
          <w:szCs w:val="21"/>
        </w:rPr>
        <w:t>    自本公告发布之日起3个工作日。</w:t>
      </w:r>
    </w:p>
    <w:p>
      <w:pPr>
        <w:pStyle w:val="32"/>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1"/>
          <w:szCs w:val="21"/>
        </w:rPr>
      </w:pPr>
      <w:r>
        <w:rPr>
          <w:rStyle w:val="36"/>
          <w:rFonts w:ascii="黑体" w:hAnsi="宋体" w:eastAsia="黑体" w:cs="黑体"/>
          <w:i w:val="0"/>
          <w:iCs w:val="0"/>
          <w:caps w:val="0"/>
          <w:color w:val="000000"/>
          <w:spacing w:val="0"/>
          <w:sz w:val="21"/>
          <w:szCs w:val="21"/>
        </w:rPr>
        <w:t>七、其他补充事宜</w:t>
      </w:r>
      <w:r>
        <w:rPr>
          <w:rFonts w:ascii="黑体" w:hAnsi="宋体" w:eastAsia="黑体" w:cs="黑体"/>
          <w:i w:val="0"/>
          <w:iCs w:val="0"/>
          <w:caps w:val="0"/>
          <w:color w:val="000000"/>
          <w:spacing w:val="0"/>
          <w:sz w:val="21"/>
          <w:szCs w:val="21"/>
        </w:rPr>
        <w:t> </w:t>
      </w:r>
    </w:p>
    <w:p>
      <w:pPr>
        <w:pStyle w:val="32"/>
        <w:keepNext w:val="0"/>
        <w:keepLines w:val="0"/>
        <w:widowControl/>
        <w:suppressLineNumbers w:val="0"/>
        <w:ind w:left="0" w:firstLine="42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1. 标项1，本项目（否）接受联合体投标。</w:t>
      </w:r>
    </w:p>
    <w:p>
      <w:pPr>
        <w:pStyle w:val="32"/>
        <w:keepNext w:val="0"/>
        <w:keepLines w:val="0"/>
        <w:widowControl/>
        <w:suppressLineNumbers w:val="0"/>
        <w:ind w:left="0" w:firstLine="42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2本项目采用全流程不见面电子开评标，投标人需要使用CA加密设备，投标人可通过新疆数字证书认证中心官网（https://www.xjca.com.cn/）或下载“新疆政务通”APP自行进行申领。</w:t>
      </w:r>
    </w:p>
    <w:p>
      <w:pPr>
        <w:pStyle w:val="32"/>
        <w:keepNext w:val="0"/>
        <w:keepLines w:val="0"/>
        <w:widowControl/>
        <w:suppressLineNumbers w:val="0"/>
        <w:ind w:left="0" w:firstLine="42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3.本项目实行网上投标，采用加密电子投标文件（投标人须使用CA加密设备通过政采云电子投标客户端制作投标文件）。若投标人参与投标，自行承担投标一切费用。</w:t>
      </w:r>
    </w:p>
    <w:p>
      <w:pPr>
        <w:pStyle w:val="32"/>
        <w:keepNext w:val="0"/>
        <w:keepLines w:val="0"/>
        <w:widowControl/>
        <w:suppressLineNumbers w:val="0"/>
        <w:ind w:left="0" w:firstLine="42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4.各投标人在开标前应确保成为新疆维吾尔自治区政府采购网正式注册入库供应商，并完成CA数字证书申领。因未注册入库、未办理CA数字证书等原因造成无法投标或投标失败等后果由投标人自行承担。</w:t>
      </w:r>
    </w:p>
    <w:p>
      <w:pPr>
        <w:pStyle w:val="32"/>
        <w:keepNext w:val="0"/>
        <w:keepLines w:val="0"/>
        <w:widowControl/>
        <w:suppressLineNumbers w:val="0"/>
        <w:ind w:left="0" w:firstLine="42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5.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32"/>
        <w:keepNext w:val="0"/>
        <w:keepLines w:val="0"/>
        <w:widowControl/>
        <w:suppressLineNumbers w:val="0"/>
        <w:ind w:left="0" w:firstLine="42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6.投标人在开标时须使用制作加密电子投标文件所使用的CA锁及电脑，电脑须提前配置好浏览器（建议使用谷歌浏览器），以便开标时解锁。</w:t>
      </w:r>
    </w:p>
    <w:p>
      <w:pPr>
        <w:pStyle w:val="32"/>
        <w:keepNext w:val="0"/>
        <w:keepLines w:val="0"/>
        <w:widowControl/>
        <w:suppressLineNumbers w:val="0"/>
        <w:ind w:left="0" w:firstLine="42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7.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32"/>
        <w:keepNext w:val="0"/>
        <w:keepLines w:val="0"/>
        <w:widowControl/>
        <w:suppressLineNumbers w:val="0"/>
        <w:ind w:left="0" w:firstLine="42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8.为了保证开评标顺利进行，政采云线上开标功能完全实现，投标人开标所使用的电脑设备须具有视频及语音功能。   </w:t>
      </w:r>
    </w:p>
    <w:p>
      <w:pPr>
        <w:pStyle w:val="32"/>
        <w:keepNext w:val="0"/>
        <w:keepLines w:val="0"/>
        <w:widowControl/>
        <w:suppressLineNumbers w:val="0"/>
        <w:spacing w:beforeAutospacing="1" w:afterAutospacing="1"/>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特别提示：</w:t>
      </w:r>
    </w:p>
    <w:p>
      <w:pPr>
        <w:pStyle w:val="32"/>
        <w:keepNext w:val="0"/>
        <w:keepLines w:val="0"/>
        <w:widowControl/>
        <w:suppressLineNumbers w:val="0"/>
        <w:spacing w:before="204" w:beforeAutospacing="0" w:after="204" w:afterAutospacing="0" w:line="384" w:lineRule="atLeast"/>
        <w:ind w:left="0" w:right="0" w:firstLine="0"/>
        <w:jc w:val="both"/>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1、采购限额标准以上，200万元以下的货物和服务采购项目、400万元以下的工程采购项目，适宜由中小企业提供的，采购人应当专门面向中小企业采购。</w:t>
      </w:r>
    </w:p>
    <w:p>
      <w:pPr>
        <w:pStyle w:val="32"/>
        <w:keepNext w:val="0"/>
        <w:keepLines w:val="0"/>
        <w:widowControl/>
        <w:suppressLineNumbers w:val="0"/>
        <w:spacing w:before="204" w:beforeAutospacing="0" w:after="204" w:afterAutospacing="0" w:line="384" w:lineRule="atLeast"/>
        <w:ind w:left="0" w:right="0" w:firstLine="0"/>
        <w:jc w:val="both"/>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2、超过200万元的货物和服务采购项目、超过400万元的工程采购项目中适宜由中小企业提供的，预留该部分采购项目预算总额的30%以上专门面向中小企业采购，其中预留给小微企业的比例不低于60%。</w:t>
      </w:r>
    </w:p>
    <w:p>
      <w:pPr>
        <w:pStyle w:val="32"/>
        <w:keepNext w:val="0"/>
        <w:keepLines w:val="0"/>
        <w:widowControl/>
        <w:suppressLineNumbers w:val="0"/>
        <w:spacing w:before="204" w:beforeAutospacing="0" w:after="204" w:afterAutospacing="0" w:line="384" w:lineRule="atLeast"/>
        <w:ind w:left="0" w:right="0" w:firstLine="0"/>
        <w:jc w:val="both"/>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2"/>
        <w:keepNext w:val="0"/>
        <w:keepLines w:val="0"/>
        <w:widowControl/>
        <w:suppressLineNumbers w:val="0"/>
        <w:spacing w:before="204" w:beforeAutospacing="0" w:after="204" w:afterAutospacing="0" w:line="384" w:lineRule="atLeast"/>
        <w:ind w:left="0" w:right="0" w:firstLine="0"/>
        <w:jc w:val="both"/>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2"/>
        <w:keepNext w:val="0"/>
        <w:keepLines w:val="0"/>
        <w:widowControl/>
        <w:suppressLineNumbers w:val="0"/>
        <w:spacing w:before="204" w:beforeAutospacing="0" w:after="204" w:afterAutospacing="0" w:line="384" w:lineRule="atLeast"/>
        <w:ind w:left="0" w:right="0" w:firstLine="0"/>
        <w:jc w:val="both"/>
        <w:rPr>
          <w:rFonts w:ascii="黑体" w:hAnsi="宋体" w:eastAsia="黑体" w:cs="黑体"/>
          <w:i w:val="0"/>
          <w:iCs w:val="0"/>
          <w:caps w:val="0"/>
          <w:color w:val="000000"/>
          <w:spacing w:val="0"/>
          <w:sz w:val="25"/>
          <w:szCs w:val="25"/>
        </w:rPr>
      </w:pPr>
      <w:r>
        <w:rPr>
          <w:rStyle w:val="36"/>
          <w:rFonts w:ascii="黑体" w:hAnsi="宋体" w:eastAsia="黑体" w:cs="黑体"/>
          <w:i w:val="0"/>
          <w:iCs w:val="0"/>
          <w:caps w:val="0"/>
          <w:color w:val="000000"/>
          <w:spacing w:val="0"/>
          <w:sz w:val="21"/>
          <w:szCs w:val="21"/>
        </w:rPr>
        <w:t>八、凡对本次招标提出询问，请按以下方式联系</w:t>
      </w:r>
    </w:p>
    <w:p>
      <w:pPr>
        <w:pStyle w:val="32"/>
        <w:keepNext w:val="0"/>
        <w:keepLines w:val="0"/>
        <w:widowControl/>
        <w:suppressLineNumbers w:val="0"/>
        <w:spacing w:beforeAutospacing="1" w:afterAutospacing="1"/>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1"/>
          <w:szCs w:val="21"/>
        </w:rPr>
        <w:t>1.采购人信息</w:t>
      </w:r>
    </w:p>
    <w:p>
      <w:pPr>
        <w:pStyle w:val="32"/>
        <w:keepNext w:val="0"/>
        <w:keepLines w:val="0"/>
        <w:widowControl/>
        <w:suppressLineNumbers w:val="0"/>
        <w:spacing w:beforeAutospacing="1" w:afterAutospacing="1"/>
        <w:ind w:left="0" w:firstLine="42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1"/>
          <w:szCs w:val="21"/>
        </w:rPr>
        <w:t>名 称：</w:t>
      </w:r>
      <w:r>
        <w:rPr>
          <w:rStyle w:val="41"/>
          <w:rFonts w:hint="eastAsia" w:ascii="仿宋" w:hAnsi="仿宋" w:eastAsia="仿宋" w:cs="仿宋"/>
          <w:i w:val="0"/>
          <w:iCs w:val="0"/>
          <w:caps w:val="0"/>
          <w:color w:val="000000"/>
          <w:spacing w:val="0"/>
          <w:sz w:val="21"/>
          <w:szCs w:val="21"/>
        </w:rPr>
        <w:t>吉木萨尔县</w:t>
      </w:r>
      <w:r>
        <w:rPr>
          <w:rStyle w:val="41"/>
          <w:rFonts w:hint="eastAsia" w:ascii="仿宋" w:hAnsi="仿宋" w:eastAsia="仿宋" w:cs="仿宋"/>
          <w:i w:val="0"/>
          <w:iCs w:val="0"/>
          <w:caps w:val="0"/>
          <w:color w:val="000000"/>
          <w:spacing w:val="0"/>
          <w:sz w:val="21"/>
          <w:szCs w:val="21"/>
          <w:lang w:val="en-US" w:eastAsia="zh-CN"/>
        </w:rPr>
        <w:t>民政局</w:t>
      </w:r>
    </w:p>
    <w:p>
      <w:pPr>
        <w:pStyle w:val="32"/>
        <w:keepNext w:val="0"/>
        <w:keepLines w:val="0"/>
        <w:widowControl/>
        <w:suppressLineNumbers w:val="0"/>
        <w:spacing w:beforeAutospacing="1" w:afterAutospacing="1"/>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1"/>
          <w:szCs w:val="21"/>
        </w:rPr>
        <w:t>地 址：吉木萨尔县</w:t>
      </w:r>
    </w:p>
    <w:p>
      <w:pPr>
        <w:pStyle w:val="32"/>
        <w:keepNext w:val="0"/>
        <w:keepLines w:val="0"/>
        <w:widowControl/>
        <w:suppressLineNumbers w:val="0"/>
        <w:spacing w:beforeAutospacing="1" w:afterAutospacing="1"/>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1"/>
          <w:szCs w:val="21"/>
        </w:rPr>
        <w:t>联系方式：0994-8264789</w:t>
      </w:r>
    </w:p>
    <w:p>
      <w:pPr>
        <w:pStyle w:val="32"/>
        <w:keepNext w:val="0"/>
        <w:keepLines w:val="0"/>
        <w:widowControl/>
        <w:suppressLineNumbers w:val="0"/>
        <w:spacing w:beforeAutospacing="1" w:afterAutospacing="1"/>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1"/>
          <w:szCs w:val="21"/>
        </w:rPr>
        <w:t>2.采购代理机构信息</w:t>
      </w:r>
    </w:p>
    <w:p>
      <w:pPr>
        <w:pStyle w:val="32"/>
        <w:keepNext w:val="0"/>
        <w:keepLines w:val="0"/>
        <w:widowControl/>
        <w:suppressLineNumbers w:val="0"/>
        <w:spacing w:beforeAutospacing="1" w:afterAutospacing="1"/>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1"/>
          <w:szCs w:val="21"/>
        </w:rPr>
        <w:t>名 称：新疆天汇项目管理有限公司</w:t>
      </w:r>
    </w:p>
    <w:p>
      <w:pPr>
        <w:pStyle w:val="32"/>
        <w:keepNext w:val="0"/>
        <w:keepLines w:val="0"/>
        <w:widowControl/>
        <w:suppressLineNumbers w:val="0"/>
        <w:spacing w:beforeAutospacing="1" w:afterAutospacing="1"/>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1"/>
          <w:szCs w:val="21"/>
        </w:rPr>
        <w:t>地 址：</w:t>
      </w:r>
      <w:r>
        <w:rPr>
          <w:rFonts w:hint="eastAsia" w:ascii="仿宋" w:hAnsi="仿宋" w:eastAsia="仿宋" w:cs="仿宋"/>
          <w:i w:val="0"/>
          <w:iCs w:val="0"/>
          <w:caps w:val="0"/>
          <w:color w:val="000000"/>
          <w:spacing w:val="0"/>
          <w:sz w:val="21"/>
          <w:szCs w:val="21"/>
          <w:lang w:val="en-US" w:eastAsia="zh-CN"/>
        </w:rPr>
        <w:t>新疆</w:t>
      </w:r>
      <w:r>
        <w:rPr>
          <w:rFonts w:hint="eastAsia" w:ascii="仿宋" w:hAnsi="仿宋" w:eastAsia="仿宋" w:cs="仿宋"/>
          <w:i w:val="0"/>
          <w:iCs w:val="0"/>
          <w:caps w:val="0"/>
          <w:color w:val="000000"/>
          <w:spacing w:val="0"/>
          <w:sz w:val="21"/>
          <w:szCs w:val="21"/>
        </w:rPr>
        <w:t>乌鲁木齐新市区福地亚中心</w:t>
      </w:r>
    </w:p>
    <w:p>
      <w:pPr>
        <w:pStyle w:val="32"/>
        <w:keepNext w:val="0"/>
        <w:keepLines w:val="0"/>
        <w:widowControl/>
        <w:suppressLineNumbers w:val="0"/>
        <w:spacing w:beforeAutospacing="1" w:afterAutospacing="1"/>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1"/>
          <w:szCs w:val="21"/>
        </w:rPr>
        <w:t>联系方式：17716988128</w:t>
      </w:r>
    </w:p>
    <w:p>
      <w:pPr>
        <w:pStyle w:val="32"/>
        <w:keepNext w:val="0"/>
        <w:keepLines w:val="0"/>
        <w:widowControl/>
        <w:suppressLineNumbers w:val="0"/>
        <w:spacing w:beforeAutospacing="1" w:afterAutospacing="1"/>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1"/>
          <w:szCs w:val="21"/>
        </w:rPr>
        <w:t>3.项目联系方式</w:t>
      </w:r>
    </w:p>
    <w:p>
      <w:pPr>
        <w:pStyle w:val="32"/>
        <w:keepNext w:val="0"/>
        <w:keepLines w:val="0"/>
        <w:widowControl/>
        <w:suppressLineNumbers w:val="0"/>
        <w:spacing w:beforeAutospacing="1" w:afterAutospacing="1"/>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1"/>
          <w:szCs w:val="21"/>
        </w:rPr>
        <w:t>项目联系人：</w:t>
      </w:r>
      <w:r>
        <w:rPr>
          <w:rStyle w:val="41"/>
          <w:rFonts w:hint="eastAsia" w:ascii="仿宋" w:hAnsi="仿宋" w:eastAsia="仿宋" w:cs="仿宋"/>
          <w:i w:val="0"/>
          <w:iCs w:val="0"/>
          <w:caps w:val="0"/>
          <w:color w:val="000000"/>
          <w:spacing w:val="0"/>
          <w:sz w:val="21"/>
          <w:szCs w:val="21"/>
        </w:rPr>
        <w:t>张道娟</w:t>
      </w:r>
    </w:p>
    <w:p>
      <w:pPr>
        <w:pStyle w:val="32"/>
        <w:keepNext w:val="0"/>
        <w:keepLines w:val="0"/>
        <w:widowControl/>
        <w:suppressLineNumbers w:val="0"/>
        <w:spacing w:beforeAutospacing="1" w:afterAutospacing="1"/>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1"/>
          <w:szCs w:val="21"/>
        </w:rPr>
        <w:t>电 话：</w:t>
      </w:r>
      <w:r>
        <w:rPr>
          <w:rStyle w:val="41"/>
          <w:rFonts w:hint="eastAsia" w:ascii="仿宋" w:hAnsi="仿宋" w:eastAsia="仿宋" w:cs="仿宋"/>
          <w:i w:val="0"/>
          <w:iCs w:val="0"/>
          <w:caps w:val="0"/>
          <w:color w:val="000000"/>
          <w:spacing w:val="0"/>
          <w:sz w:val="21"/>
          <w:szCs w:val="21"/>
        </w:rPr>
        <w:t>17716988128</w:t>
      </w:r>
    </w:p>
    <w:p>
      <w:pPr>
        <w:snapToGrid w:val="0"/>
        <w:spacing w:line="360" w:lineRule="auto"/>
        <w:ind w:firstLine="480" w:firstLineChars="200"/>
        <w:rPr>
          <w:rFonts w:hint="eastAsia" w:ascii="宋体" w:hAnsi="宋体" w:eastAsia="宋体" w:cs="宋体"/>
          <w:bCs/>
          <w:sz w:val="24"/>
          <w:szCs w:val="24"/>
          <w:lang w:eastAsia="zh-CN"/>
        </w:rPr>
      </w:pPr>
    </w:p>
    <w:p>
      <w:pPr>
        <w:pStyle w:val="4"/>
        <w:ind w:left="0" w:leftChars="0" w:firstLine="0" w:firstLineChars="0"/>
        <w:jc w:val="center"/>
        <w:rPr>
          <w:rFonts w:hint="eastAsia" w:ascii="宋体" w:hAnsi="宋体" w:cs="宋体"/>
          <w:b/>
          <w:sz w:val="44"/>
          <w:szCs w:val="44"/>
        </w:rPr>
      </w:pPr>
      <w:r>
        <w:rPr>
          <w:rFonts w:hint="eastAsia" w:ascii="宋体" w:hAnsi="宋体" w:cs="宋体"/>
          <w:b/>
          <w:sz w:val="28"/>
          <w:szCs w:val="28"/>
        </w:rPr>
        <w:br w:type="page"/>
      </w:r>
      <w:bookmarkStart w:id="5" w:name="_Toc3846"/>
      <w:bookmarkStart w:id="6" w:name="_Toc18843"/>
      <w:bookmarkStart w:id="7" w:name="_Toc8062"/>
      <w:bookmarkStart w:id="8" w:name="_Toc6138"/>
      <w:bookmarkStart w:id="9" w:name="_Toc3973"/>
      <w:r>
        <w:rPr>
          <w:rFonts w:hint="eastAsia" w:ascii="宋体" w:hAnsi="宋体" w:cs="宋体"/>
          <w:b/>
          <w:sz w:val="32"/>
          <w:szCs w:val="32"/>
        </w:rPr>
        <w:t>第二章  供应商须知</w:t>
      </w:r>
      <w:bookmarkEnd w:id="5"/>
      <w:bookmarkEnd w:id="6"/>
      <w:bookmarkEnd w:id="7"/>
      <w:bookmarkEnd w:id="8"/>
      <w:bookmarkEnd w:id="9"/>
    </w:p>
    <w:p>
      <w:pPr>
        <w:pStyle w:val="5"/>
        <w:spacing w:line="360" w:lineRule="auto"/>
        <w:jc w:val="center"/>
        <w:outlineLvl w:val="1"/>
        <w:rPr>
          <w:rFonts w:hint="eastAsia" w:ascii="宋体" w:hAnsi="宋体" w:eastAsia="宋体" w:cs="宋体"/>
          <w:b/>
          <w:kern w:val="2"/>
          <w:sz w:val="28"/>
          <w:szCs w:val="28"/>
          <w:lang w:val="en-US" w:eastAsia="zh-CN" w:bidi="ar-SA"/>
        </w:rPr>
      </w:pPr>
      <w:bookmarkStart w:id="10" w:name="_Toc13602"/>
      <w:bookmarkStart w:id="11" w:name="_Toc8813"/>
      <w:r>
        <w:rPr>
          <w:rFonts w:hint="eastAsia" w:ascii="宋体" w:hAnsi="宋体" w:eastAsia="宋体" w:cs="宋体"/>
          <w:b/>
          <w:kern w:val="2"/>
          <w:sz w:val="28"/>
          <w:szCs w:val="28"/>
          <w:lang w:val="en-US" w:eastAsia="zh-CN" w:bidi="ar-SA"/>
        </w:rPr>
        <w:t>磋商须知前附表</w:t>
      </w:r>
      <w:bookmarkEnd w:id="10"/>
      <w:bookmarkEnd w:id="11"/>
    </w:p>
    <w:tbl>
      <w:tblPr>
        <w:tblStyle w:val="34"/>
        <w:tblW w:w="9472" w:type="dxa"/>
        <w:jc w:val="center"/>
        <w:tblLayout w:type="fixed"/>
        <w:tblCellMar>
          <w:top w:w="0" w:type="dxa"/>
          <w:left w:w="108" w:type="dxa"/>
          <w:bottom w:w="0" w:type="dxa"/>
          <w:right w:w="108" w:type="dxa"/>
        </w:tblCellMar>
      </w:tblPr>
      <w:tblGrid>
        <w:gridCol w:w="708"/>
        <w:gridCol w:w="2004"/>
        <w:gridCol w:w="6760"/>
      </w:tblGrid>
      <w:tr>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sz w:val="24"/>
                <w:szCs w:val="24"/>
              </w:rPr>
            </w:pPr>
            <w:r>
              <w:rPr>
                <w:rFonts w:hint="eastAsia" w:ascii="宋体" w:hAnsi="宋体" w:cs="宋体"/>
                <w:sz w:val="24"/>
                <w:szCs w:val="24"/>
              </w:rPr>
              <w:t>条款号</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sz w:val="24"/>
                <w:szCs w:val="24"/>
              </w:rPr>
            </w:pPr>
            <w:r>
              <w:rPr>
                <w:rFonts w:hint="eastAsia" w:ascii="宋体" w:hAnsi="宋体" w:cs="宋体"/>
                <w:sz w:val="24"/>
                <w:szCs w:val="24"/>
              </w:rPr>
              <w:t>条  款  名  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sz w:val="24"/>
                <w:szCs w:val="24"/>
              </w:rPr>
            </w:pPr>
            <w:r>
              <w:rPr>
                <w:rFonts w:hint="eastAsia" w:ascii="宋体" w:hAnsi="宋体" w:cs="宋体"/>
                <w:sz w:val="24"/>
                <w:szCs w:val="24"/>
              </w:rPr>
              <w:t>编  列  内  容</w:t>
            </w:r>
          </w:p>
        </w:tc>
      </w:tr>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sz w:val="24"/>
                <w:szCs w:val="24"/>
              </w:rPr>
              <w:t>项目名称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sz w:val="24"/>
                <w:szCs w:val="24"/>
                <w:lang w:eastAsia="zh-CN"/>
              </w:rPr>
            </w:pPr>
            <w:r>
              <w:rPr>
                <w:rFonts w:hint="eastAsia" w:ascii="宋体" w:hAnsi="宋体" w:cs="宋体"/>
                <w:sz w:val="24"/>
                <w:szCs w:val="24"/>
                <w:lang w:eastAsia="zh-CN"/>
              </w:rPr>
              <w:t>吉木萨尔县天地园社区老年人日间照料中心建设项目</w:t>
            </w:r>
          </w:p>
        </w:tc>
      </w:tr>
      <w:tr>
        <w:tblPrEx>
          <w:tblCellMar>
            <w:top w:w="0" w:type="dxa"/>
            <w:left w:w="108" w:type="dxa"/>
            <w:bottom w:w="0" w:type="dxa"/>
            <w:right w:w="108" w:type="dxa"/>
          </w:tblCellMar>
        </w:tblPrEx>
        <w:trPr>
          <w:trHeight w:val="128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sz w:val="24"/>
                <w:szCs w:val="24"/>
              </w:rPr>
              <w:t>采购人</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sz w:val="24"/>
                <w:szCs w:val="24"/>
                <w:lang w:eastAsia="zh-CN"/>
              </w:rPr>
            </w:pPr>
            <w:r>
              <w:rPr>
                <w:rFonts w:hint="eastAsia" w:ascii="宋体" w:hAnsi="宋体" w:cs="宋体"/>
                <w:bCs/>
                <w:sz w:val="24"/>
                <w:szCs w:val="24"/>
              </w:rPr>
              <w:t>名  称：</w:t>
            </w:r>
            <w:r>
              <w:rPr>
                <w:rFonts w:hint="eastAsia" w:ascii="宋体" w:hAnsi="宋体" w:cs="宋体"/>
                <w:sz w:val="24"/>
                <w:szCs w:val="24"/>
                <w:lang w:eastAsia="zh-CN"/>
              </w:rPr>
              <w:t>吉木萨尔县民政局</w:t>
            </w:r>
          </w:p>
          <w:p>
            <w:pPr>
              <w:spacing w:line="240" w:lineRule="auto"/>
              <w:rPr>
                <w:rFonts w:hint="eastAsia" w:ascii="宋体" w:hAnsi="宋体" w:cs="宋体"/>
                <w:bCs/>
                <w:sz w:val="24"/>
                <w:szCs w:val="24"/>
              </w:rPr>
            </w:pPr>
            <w:r>
              <w:rPr>
                <w:rFonts w:hint="eastAsia" w:ascii="宋体" w:hAnsi="宋体" w:cs="宋体"/>
                <w:bCs/>
                <w:sz w:val="24"/>
                <w:szCs w:val="24"/>
              </w:rPr>
              <w:t>地  址：</w:t>
            </w:r>
            <w:r>
              <w:rPr>
                <w:rFonts w:hint="eastAsia" w:ascii="宋体" w:hAnsi="宋体" w:cs="宋体"/>
                <w:bCs/>
                <w:sz w:val="24"/>
                <w:szCs w:val="24"/>
                <w:lang w:eastAsia="zh-CN"/>
              </w:rPr>
              <w:t>吉木萨尔县</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采购代理机构</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960" w:hanging="960" w:hangingChars="400"/>
              <w:rPr>
                <w:rFonts w:hint="eastAsia" w:ascii="宋体" w:hAnsi="宋体" w:cs="宋体"/>
                <w:bCs/>
                <w:sz w:val="24"/>
                <w:szCs w:val="24"/>
              </w:rPr>
            </w:pPr>
            <w:r>
              <w:rPr>
                <w:rFonts w:hint="eastAsia" w:ascii="宋体" w:hAnsi="宋体" w:cs="宋体"/>
                <w:bCs/>
                <w:sz w:val="24"/>
                <w:szCs w:val="24"/>
              </w:rPr>
              <w:t>名称：</w:t>
            </w:r>
            <w:r>
              <w:rPr>
                <w:rFonts w:hint="eastAsia" w:ascii="宋体" w:hAnsi="宋体" w:cs="宋体"/>
                <w:sz w:val="24"/>
                <w:szCs w:val="24"/>
                <w:lang w:eastAsia="zh-CN"/>
              </w:rPr>
              <w:t>新疆天汇项目管理有限公司</w:t>
            </w:r>
            <w:r>
              <w:rPr>
                <w:rFonts w:hint="eastAsia" w:ascii="宋体" w:hAnsi="宋体" w:cs="宋体"/>
                <w:sz w:val="24"/>
                <w:szCs w:val="24"/>
              </w:rPr>
              <w:t xml:space="preserve"> </w:t>
            </w:r>
          </w:p>
          <w:p>
            <w:pPr>
              <w:pStyle w:val="32"/>
              <w:keepNext w:val="0"/>
              <w:keepLines w:val="0"/>
              <w:widowControl/>
              <w:suppressLineNumbers w:val="0"/>
              <w:rPr>
                <w:rFonts w:hint="eastAsia" w:ascii="宋体" w:hAnsi="宋体" w:cs="宋体"/>
                <w:bCs/>
                <w:sz w:val="24"/>
                <w:szCs w:val="24"/>
              </w:rPr>
            </w:pPr>
            <w:r>
              <w:rPr>
                <w:rFonts w:hint="eastAsia" w:ascii="宋体" w:hAnsi="宋体" w:cs="宋体"/>
                <w:bCs/>
                <w:sz w:val="24"/>
                <w:szCs w:val="24"/>
              </w:rPr>
              <w:t>地址：</w:t>
            </w:r>
            <w:r>
              <w:rPr>
                <w:rFonts w:hint="eastAsia" w:ascii="宋体" w:hAnsi="宋体" w:eastAsia="宋体" w:cs="宋体"/>
                <w:kern w:val="2"/>
                <w:sz w:val="24"/>
                <w:szCs w:val="24"/>
                <w:lang w:val="en-US" w:eastAsia="zh-CN" w:bidi="ar-SA"/>
              </w:rPr>
              <w:t>乌鲁木齐新市区福地亚中心</w:t>
            </w:r>
          </w:p>
          <w:p>
            <w:pPr>
              <w:spacing w:line="240" w:lineRule="auto"/>
              <w:rPr>
                <w:rFonts w:hint="eastAsia" w:ascii="宋体" w:hAnsi="宋体" w:cs="宋体"/>
                <w:bCs/>
                <w:sz w:val="24"/>
                <w:szCs w:val="24"/>
                <w:highlight w:val="none"/>
              </w:rPr>
            </w:pPr>
            <w:r>
              <w:rPr>
                <w:rFonts w:hint="eastAsia" w:ascii="宋体" w:hAnsi="宋体" w:cs="宋体"/>
                <w:bCs/>
                <w:sz w:val="24"/>
                <w:szCs w:val="24"/>
              </w:rPr>
              <w:t>电  话</w:t>
            </w:r>
            <w:r>
              <w:rPr>
                <w:rFonts w:hint="eastAsia" w:ascii="宋体" w:hAnsi="宋体" w:cs="宋体"/>
                <w:bCs/>
                <w:sz w:val="24"/>
                <w:szCs w:val="24"/>
                <w:highlight w:val="none"/>
              </w:rPr>
              <w:t>：</w:t>
            </w:r>
            <w:r>
              <w:rPr>
                <w:rFonts w:hint="eastAsia" w:ascii="宋体" w:hAnsi="宋体" w:cs="宋体"/>
                <w:sz w:val="24"/>
                <w:szCs w:val="24"/>
                <w:highlight w:val="none"/>
                <w:lang w:eastAsia="zh-CN"/>
              </w:rPr>
              <w:t>17716988128</w:t>
            </w:r>
          </w:p>
          <w:p>
            <w:pPr>
              <w:spacing w:line="240" w:lineRule="auto"/>
              <w:jc w:val="left"/>
              <w:rPr>
                <w:rFonts w:hint="eastAsia" w:ascii="宋体" w:hAnsi="宋体" w:eastAsia="宋体" w:cs="宋体"/>
                <w:bCs/>
                <w:sz w:val="24"/>
                <w:szCs w:val="24"/>
                <w:lang w:eastAsia="zh-CN"/>
              </w:rPr>
            </w:pPr>
            <w:r>
              <w:rPr>
                <w:rFonts w:hint="eastAsia" w:ascii="宋体" w:hAnsi="宋体" w:cs="宋体"/>
                <w:bCs/>
                <w:sz w:val="24"/>
                <w:szCs w:val="24"/>
                <w:highlight w:val="none"/>
              </w:rPr>
              <w:t>联系人：</w:t>
            </w:r>
            <w:r>
              <w:rPr>
                <w:rFonts w:hint="eastAsia" w:ascii="宋体" w:hAnsi="宋体" w:cs="宋体"/>
                <w:sz w:val="24"/>
                <w:szCs w:val="24"/>
                <w:highlight w:val="none"/>
                <w:lang w:eastAsia="zh-CN"/>
              </w:rPr>
              <w:t>张道娟</w:t>
            </w:r>
          </w:p>
        </w:tc>
      </w:tr>
      <w:tr>
        <w:tblPrEx>
          <w:tblCellMar>
            <w:top w:w="0" w:type="dxa"/>
            <w:left w:w="108" w:type="dxa"/>
            <w:bottom w:w="0" w:type="dxa"/>
            <w:right w:w="108" w:type="dxa"/>
          </w:tblCellMar>
        </w:tblPrEx>
        <w:trPr>
          <w:trHeight w:val="47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000000"/>
                <w:sz w:val="24"/>
                <w:szCs w:val="24"/>
              </w:rPr>
            </w:pPr>
            <w:r>
              <w:rPr>
                <w:rFonts w:hint="eastAsia" w:ascii="宋体" w:hAnsi="宋体" w:cs="宋体"/>
                <w:bCs/>
                <w:color w:val="000000"/>
                <w:sz w:val="24"/>
                <w:szCs w:val="24"/>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监管部门</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吉木萨尔县采购办</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sz w:val="24"/>
                <w:szCs w:val="24"/>
                <w:lang w:eastAsia="zh-CN"/>
              </w:rPr>
            </w:pPr>
            <w:r>
              <w:rPr>
                <w:rFonts w:hint="eastAsia" w:ascii="宋体" w:hAnsi="宋体" w:cs="宋体"/>
                <w:bCs/>
                <w:sz w:val="24"/>
                <w:szCs w:val="24"/>
              </w:rPr>
              <w:t>项目预算</w:t>
            </w:r>
            <w:r>
              <w:rPr>
                <w:rFonts w:hint="eastAsia" w:ascii="宋体" w:hAnsi="宋体" w:cs="宋体"/>
                <w:bCs/>
                <w:sz w:val="24"/>
                <w:szCs w:val="24"/>
                <w:lang w:eastAsia="zh-CN"/>
              </w:rPr>
              <w:t>（</w:t>
            </w:r>
            <w:r>
              <w:rPr>
                <w:rFonts w:hint="eastAsia" w:ascii="宋体" w:hAnsi="宋体" w:cs="宋体"/>
                <w:bCs/>
                <w:sz w:val="24"/>
                <w:szCs w:val="24"/>
                <w:lang w:val="en-US" w:eastAsia="zh-CN"/>
              </w:rPr>
              <w:t>最高限价</w:t>
            </w:r>
            <w:r>
              <w:rPr>
                <w:rFonts w:hint="eastAsia" w:ascii="宋体" w:hAnsi="宋体" w:cs="宋体"/>
                <w:bCs/>
                <w:sz w:val="24"/>
                <w:szCs w:val="24"/>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32"/>
              <w:keepNext w:val="0"/>
              <w:keepLines w:val="0"/>
              <w:widowControl/>
              <w:suppressLineNumbers w:val="0"/>
              <w:spacing w:line="240" w:lineRule="atLeast"/>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采购预算：</w:t>
            </w:r>
            <w:r>
              <w:rPr>
                <w:rFonts w:hint="eastAsia" w:cs="宋体"/>
                <w:bCs/>
                <w:sz w:val="24"/>
                <w:szCs w:val="24"/>
                <w:lang w:val="en-US" w:eastAsia="zh-CN"/>
              </w:rPr>
              <w:t>3299246.30</w:t>
            </w:r>
            <w:r>
              <w:rPr>
                <w:rFonts w:hint="eastAsia" w:ascii="宋体" w:hAnsi="宋体" w:eastAsia="宋体" w:cs="宋体"/>
                <w:bCs/>
                <w:sz w:val="24"/>
                <w:szCs w:val="24"/>
                <w:lang w:val="en-US" w:eastAsia="zh-CN"/>
              </w:rPr>
              <w:t>元（大写：</w:t>
            </w:r>
            <w:r>
              <w:rPr>
                <w:rFonts w:hint="eastAsia" w:cs="宋体"/>
                <w:bCs/>
                <w:sz w:val="24"/>
                <w:szCs w:val="24"/>
                <w:lang w:val="en-US" w:eastAsia="zh-CN"/>
              </w:rPr>
              <w:t>叁佰贰拾玖万玖仟贰佰肆拾陆元叁角整</w:t>
            </w:r>
            <w:r>
              <w:rPr>
                <w:rFonts w:hint="eastAsia" w:ascii="宋体" w:hAnsi="宋体" w:eastAsia="宋体" w:cs="宋体"/>
                <w:bCs/>
                <w:sz w:val="24"/>
                <w:szCs w:val="24"/>
                <w:lang w:val="en-US" w:eastAsia="zh-CN"/>
              </w:rPr>
              <w:t>）</w:t>
            </w:r>
          </w:p>
          <w:p>
            <w:pPr>
              <w:pStyle w:val="32"/>
              <w:keepNext w:val="0"/>
              <w:keepLines w:val="0"/>
              <w:widowControl/>
              <w:suppressLineNumbers w:val="0"/>
              <w:spacing w:line="240" w:lineRule="atLeast"/>
              <w:rPr>
                <w:rFonts w:hint="default" w:ascii="宋体" w:hAnsi="宋体" w:cs="宋体"/>
                <w:bCs/>
                <w:sz w:val="24"/>
                <w:szCs w:val="24"/>
                <w:lang w:val="en-US"/>
              </w:rPr>
            </w:pPr>
            <w:r>
              <w:rPr>
                <w:rFonts w:hint="eastAsia" w:ascii="宋体" w:hAnsi="宋体" w:eastAsia="宋体" w:cs="宋体"/>
                <w:b/>
                <w:bCs w:val="0"/>
                <w:sz w:val="24"/>
                <w:szCs w:val="24"/>
                <w:lang w:val="en-US" w:eastAsia="zh-CN"/>
              </w:rPr>
              <w:t>最高限价</w:t>
            </w:r>
            <w:r>
              <w:rPr>
                <w:rFonts w:hint="eastAsia" w:ascii="宋体" w:hAnsi="宋体" w:eastAsia="宋体" w:cs="宋体"/>
                <w:b/>
                <w:bCs w:val="0"/>
                <w:sz w:val="24"/>
                <w:szCs w:val="24"/>
                <w:lang w:val="zh-CN" w:eastAsia="zh-CN"/>
              </w:rPr>
              <w:t>：</w:t>
            </w:r>
            <w:r>
              <w:rPr>
                <w:rFonts w:hint="eastAsia" w:cs="宋体"/>
                <w:bCs/>
                <w:sz w:val="24"/>
                <w:szCs w:val="24"/>
                <w:lang w:val="en-US" w:eastAsia="zh-CN"/>
              </w:rPr>
              <w:t>3299246.30元（大写：叁佰贰拾玖万玖仟贰佰肆拾陆元叁角整）</w:t>
            </w:r>
          </w:p>
        </w:tc>
      </w:tr>
      <w:tr>
        <w:tblPrEx>
          <w:tblCellMar>
            <w:top w:w="0" w:type="dxa"/>
            <w:left w:w="108" w:type="dxa"/>
            <w:bottom w:w="0" w:type="dxa"/>
            <w:right w:w="108" w:type="dxa"/>
          </w:tblCellMar>
        </w:tblPrEx>
        <w:trPr>
          <w:trHeight w:val="46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highlight w:val="none"/>
              </w:rPr>
            </w:pPr>
            <w:r>
              <w:rPr>
                <w:rFonts w:hint="eastAsia" w:ascii="宋体" w:hAnsi="宋体" w:cs="宋体"/>
                <w:bCs/>
                <w:sz w:val="24"/>
                <w:szCs w:val="24"/>
                <w:highlight w:val="none"/>
              </w:rPr>
              <w:t>资金来源</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上级专项资金，本级财政资金</w:t>
            </w:r>
          </w:p>
        </w:tc>
      </w:tr>
      <w:tr>
        <w:tblPrEx>
          <w:tblCellMar>
            <w:top w:w="0" w:type="dxa"/>
            <w:left w:w="108" w:type="dxa"/>
            <w:bottom w:w="0" w:type="dxa"/>
            <w:right w:w="108" w:type="dxa"/>
          </w:tblCellMar>
        </w:tblPrEx>
        <w:trPr>
          <w:trHeight w:val="6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供应商资格条件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32"/>
              <w:keepNext w:val="0"/>
              <w:keepLines w:val="0"/>
              <w:widowControl/>
              <w:suppressLineNumbers w:val="0"/>
              <w:spacing w:line="240" w:lineRule="atLeas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1.满足《中华人民共和国政府采购法》第二十二条规定；</w:t>
            </w:r>
          </w:p>
          <w:p>
            <w:pPr>
              <w:pStyle w:val="32"/>
              <w:keepNext w:val="0"/>
              <w:keepLines w:val="0"/>
              <w:widowControl/>
              <w:suppressLineNumbers w:val="0"/>
              <w:spacing w:line="240" w:lineRule="atLeas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2.落实政府采购政策需满足的资格要求：无 </w:t>
            </w:r>
          </w:p>
          <w:p>
            <w:pPr>
              <w:pStyle w:val="32"/>
              <w:keepNext w:val="0"/>
              <w:keepLines w:val="0"/>
              <w:widowControl/>
              <w:suppressLineNumbers w:val="0"/>
              <w:spacing w:line="240" w:lineRule="atLeas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3.本项目的特定资格要求：</w:t>
            </w:r>
            <w:r>
              <w:rPr>
                <w:rFonts w:hint="eastAsia" w:ascii="宋体" w:hAnsi="宋体" w:eastAsia="宋体" w:cs="宋体"/>
                <w:bCs/>
                <w:sz w:val="24"/>
                <w:szCs w:val="24"/>
                <w:lang w:val="en-US" w:eastAsia="zh-CN"/>
              </w:rPr>
              <w:br w:type="textWrapping"/>
            </w:r>
            <w:r>
              <w:rPr>
                <w:rFonts w:hint="eastAsia" w:ascii="宋体" w:hAnsi="宋体" w:eastAsia="宋体" w:cs="宋体"/>
                <w:bCs/>
                <w:sz w:val="24"/>
                <w:szCs w:val="24"/>
                <w:lang w:val="en-US" w:eastAsia="zh-CN"/>
              </w:rPr>
              <w:t>【标项1】</w:t>
            </w:r>
            <w:r>
              <w:rPr>
                <w:rFonts w:hint="eastAsia" w:ascii="宋体" w:hAnsi="宋体" w:eastAsia="宋体" w:cs="宋体"/>
                <w:bCs/>
                <w:sz w:val="24"/>
                <w:szCs w:val="24"/>
                <w:lang w:val="en-US" w:eastAsia="zh-CN"/>
              </w:rPr>
              <w:br w:type="textWrapping"/>
            </w:r>
            <w:r>
              <w:rPr>
                <w:rFonts w:hint="eastAsia" w:ascii="宋体" w:hAnsi="宋体" w:eastAsia="宋体" w:cs="宋体"/>
                <w:bCs/>
                <w:sz w:val="24"/>
                <w:szCs w:val="24"/>
                <w:lang w:val="en-US" w:eastAsia="zh-CN"/>
              </w:rPr>
              <w:t>（1）合格的三证合一营业执照；</w:t>
            </w:r>
            <w:r>
              <w:rPr>
                <w:rFonts w:hint="eastAsia" w:ascii="宋体" w:hAnsi="宋体" w:eastAsia="宋体" w:cs="宋体"/>
                <w:bCs/>
                <w:sz w:val="24"/>
                <w:szCs w:val="24"/>
                <w:lang w:val="en-US" w:eastAsia="zh-CN"/>
              </w:rPr>
              <w:br w:type="textWrapping"/>
            </w:r>
            <w:r>
              <w:rPr>
                <w:rFonts w:hint="eastAsia" w:ascii="宋体" w:hAnsi="宋体" w:eastAsia="宋体" w:cs="宋体"/>
                <w:bCs/>
                <w:sz w:val="24"/>
                <w:szCs w:val="24"/>
                <w:lang w:val="en-US" w:eastAsia="zh-CN"/>
              </w:rPr>
              <w:t>（2）具备[</w:t>
            </w:r>
            <w:r>
              <w:rPr>
                <w:rFonts w:hint="eastAsia" w:cs="宋体"/>
                <w:bCs/>
                <w:sz w:val="24"/>
                <w:szCs w:val="24"/>
                <w:lang w:val="en-US" w:eastAsia="zh-CN"/>
              </w:rPr>
              <w:t>房屋建筑</w:t>
            </w:r>
            <w:r>
              <w:rPr>
                <w:rFonts w:hint="eastAsia" w:ascii="宋体" w:hAnsi="宋体" w:eastAsia="宋体" w:cs="宋体"/>
                <w:bCs/>
                <w:sz w:val="24"/>
                <w:szCs w:val="24"/>
                <w:lang w:val="en-US" w:eastAsia="zh-CN"/>
              </w:rPr>
              <w:t>工程施工总承包三级](含)以上资质，并在人员、设备、资金等方面具有相应的施工能力，有安全生产许可证；</w:t>
            </w:r>
          </w:p>
          <w:p>
            <w:pPr>
              <w:pStyle w:val="32"/>
              <w:keepNext w:val="0"/>
              <w:keepLines w:val="0"/>
              <w:widowControl/>
              <w:suppressLineNumbers w:val="0"/>
              <w:spacing w:line="240" w:lineRule="atLeast"/>
              <w:rPr>
                <w:rFonts w:hint="default"/>
                <w:bCs/>
                <w:lang w:val="en-US" w:eastAsia="zh-CN"/>
              </w:rPr>
            </w:pPr>
            <w:r>
              <w:rPr>
                <w:rFonts w:hint="eastAsia" w:ascii="宋体" w:hAnsi="宋体" w:eastAsia="宋体" w:cs="宋体"/>
                <w:bCs/>
                <w:sz w:val="24"/>
                <w:szCs w:val="24"/>
                <w:lang w:val="en-US" w:eastAsia="zh-CN"/>
              </w:rPr>
              <w:t>（3）项目负责人须具备</w:t>
            </w:r>
            <w:r>
              <w:rPr>
                <w:rFonts w:hint="eastAsia" w:cs="宋体"/>
                <w:bCs/>
                <w:sz w:val="24"/>
                <w:szCs w:val="24"/>
                <w:lang w:val="en-US" w:eastAsia="zh-CN"/>
              </w:rPr>
              <w:t>房屋建筑</w:t>
            </w:r>
            <w:r>
              <w:rPr>
                <w:rFonts w:hint="eastAsia" w:ascii="宋体" w:hAnsi="宋体" w:eastAsia="宋体" w:cs="宋体"/>
                <w:bCs/>
                <w:sz w:val="24"/>
                <w:szCs w:val="24"/>
                <w:lang w:val="en-US" w:eastAsia="zh-CN"/>
              </w:rPr>
              <w:t>工程专业贰级(含)以上级注册建造师执业资格，具备有效的安全生产考核合格证书，且未担任其他在施建设工程项目的项目负责人。</w:t>
            </w:r>
            <w:r>
              <w:rPr>
                <w:rFonts w:ascii="宋体" w:hAnsi="宋体" w:eastAsia="宋体" w:cs="宋体"/>
                <w:spacing w:val="9"/>
                <w:sz w:val="19"/>
                <w:szCs w:val="19"/>
              </w:rPr>
              <w:br w:type="textWrapping"/>
            </w:r>
            <w:r>
              <w:rPr>
                <w:rFonts w:hint="eastAsia" w:ascii="宋体" w:hAnsi="宋体" w:eastAsia="宋体" w:cs="宋体"/>
                <w:bCs/>
                <w:sz w:val="24"/>
                <w:szCs w:val="24"/>
                <w:lang w:val="en-US" w:eastAsia="zh-CN"/>
              </w:rPr>
              <w:t>（4）法人本人投标的需提供法人身份证原件；被授权委托人需提供法人授权委托书原件、法人身份证复印件及被授权委托人身份证原件；</w:t>
            </w:r>
            <w:r>
              <w:rPr>
                <w:rFonts w:hint="eastAsia" w:ascii="宋体" w:hAnsi="宋体" w:eastAsia="宋体" w:cs="宋体"/>
                <w:bCs/>
                <w:sz w:val="24"/>
                <w:szCs w:val="24"/>
                <w:lang w:val="en-US" w:eastAsia="zh-CN"/>
              </w:rPr>
              <w:br w:type="textWrapping"/>
            </w:r>
            <w:r>
              <w:rPr>
                <w:rFonts w:hint="eastAsia" w:ascii="宋体" w:hAnsi="宋体" w:eastAsia="宋体" w:cs="宋体"/>
                <w:bCs/>
                <w:sz w:val="24"/>
                <w:szCs w:val="24"/>
                <w:lang w:val="en-US" w:eastAsia="zh-CN"/>
              </w:rPr>
              <w:t>（5）202</w:t>
            </w:r>
            <w:r>
              <w:rPr>
                <w:rFonts w:hint="eastAsia" w:cs="宋体"/>
                <w:bCs/>
                <w:sz w:val="24"/>
                <w:szCs w:val="24"/>
                <w:lang w:val="en-US" w:eastAsia="zh-CN"/>
              </w:rPr>
              <w:t>2</w:t>
            </w:r>
            <w:r>
              <w:rPr>
                <w:rFonts w:hint="eastAsia" w:ascii="宋体" w:hAnsi="宋体" w:eastAsia="宋体" w:cs="宋体"/>
                <w:bCs/>
                <w:sz w:val="24"/>
                <w:szCs w:val="24"/>
                <w:lang w:val="en-US" w:eastAsia="zh-CN"/>
              </w:rPr>
              <w:t>年度经会计事务所出具财务审计报告；（新成立的公司须提供近一个月的银行资信证明）；</w:t>
            </w:r>
            <w:r>
              <w:rPr>
                <w:rFonts w:hint="eastAsia" w:ascii="宋体" w:hAnsi="宋体" w:eastAsia="宋体" w:cs="宋体"/>
                <w:bCs/>
                <w:sz w:val="24"/>
                <w:szCs w:val="24"/>
                <w:lang w:val="en-US" w:eastAsia="zh-CN"/>
              </w:rPr>
              <w:br w:type="textWrapping"/>
            </w:r>
            <w:r>
              <w:rPr>
                <w:rFonts w:hint="eastAsia" w:ascii="宋体" w:hAnsi="宋体" w:eastAsia="宋体" w:cs="宋体"/>
                <w:bCs/>
                <w:sz w:val="24"/>
                <w:szCs w:val="24"/>
                <w:lang w:val="en-US" w:eastAsia="zh-CN"/>
              </w:rPr>
              <w:t>（6）公司依法缴纳近三个月的社会保险社保缴纳凭证；公司依法缴纳近三个月任意一个月的税收良好记录证明；</w:t>
            </w:r>
            <w:r>
              <w:rPr>
                <w:rFonts w:hint="eastAsia" w:ascii="宋体" w:hAnsi="宋体" w:eastAsia="宋体" w:cs="宋体"/>
                <w:bCs/>
                <w:sz w:val="24"/>
                <w:szCs w:val="24"/>
                <w:lang w:val="en-US" w:eastAsia="zh-CN"/>
              </w:rPr>
              <w:br w:type="textWrapping"/>
            </w:r>
            <w:r>
              <w:rPr>
                <w:rFonts w:hint="eastAsia" w:ascii="宋体" w:hAnsi="宋体" w:eastAsia="宋体" w:cs="宋体"/>
                <w:bCs/>
                <w:sz w:val="24"/>
                <w:szCs w:val="24"/>
                <w:lang w:val="en-US" w:eastAsia="zh-CN"/>
              </w:rPr>
              <w:t>（7）在“信用中国”网站 被列入失信被执行人、重大税收违法案件当事人名单；“中国政府采购网”严重违法失信行为记录名单的（尚在处罚期内的）；“国家企业信用信息公示系统”列入经营异常名录信息、列入严重违法失信企业名单（黑名单）信息的企业投标商，拒绝参与该项目投标；</w:t>
            </w:r>
            <w:r>
              <w:rPr>
                <w:rFonts w:hint="eastAsia" w:ascii="宋体" w:hAnsi="宋体" w:eastAsia="宋体" w:cs="宋体"/>
                <w:bCs/>
                <w:sz w:val="24"/>
                <w:szCs w:val="24"/>
                <w:lang w:val="en-US" w:eastAsia="zh-CN"/>
              </w:rPr>
              <w:br w:type="textWrapping"/>
            </w:r>
            <w:r>
              <w:rPr>
                <w:rFonts w:hint="eastAsia" w:ascii="宋体" w:hAnsi="宋体" w:eastAsia="宋体" w:cs="宋体"/>
                <w:bCs/>
                <w:sz w:val="24"/>
                <w:szCs w:val="24"/>
                <w:lang w:val="en-US" w:eastAsia="zh-CN"/>
              </w:rPr>
              <w:t>（8）提供针对本次项目《反商业贿赂承诺书》；</w:t>
            </w:r>
            <w:r>
              <w:rPr>
                <w:rFonts w:hint="eastAsia" w:ascii="宋体" w:hAnsi="宋体" w:eastAsia="宋体" w:cs="宋体"/>
                <w:bCs/>
                <w:sz w:val="24"/>
                <w:szCs w:val="24"/>
                <w:lang w:val="en-US" w:eastAsia="zh-CN"/>
              </w:rPr>
              <w:br w:type="textWrapping"/>
            </w:r>
            <w:r>
              <w:rPr>
                <w:rFonts w:hint="eastAsia" w:ascii="宋体" w:hAnsi="宋体" w:eastAsia="宋体" w:cs="宋体"/>
                <w:bCs/>
                <w:sz w:val="24"/>
                <w:szCs w:val="24"/>
                <w:lang w:val="en-US" w:eastAsia="zh-CN"/>
              </w:rPr>
              <w:t>（9）提供本单位在参加政府采购活动中前三年内无重大违法记录的承诺声明函；</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联合体投标</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sz w:val="24"/>
                <w:szCs w:val="24"/>
              </w:rPr>
            </w:pPr>
            <w:r>
              <w:rPr>
                <w:rFonts w:hint="eastAsia" w:ascii="宋体" w:hAnsi="宋体" w:cs="宋体"/>
                <w:bCs/>
                <w:sz w:val="24"/>
                <w:szCs w:val="24"/>
              </w:rPr>
              <w:sym w:font="Wingdings" w:char="00FE"/>
            </w:r>
            <w:r>
              <w:rPr>
                <w:rFonts w:hint="eastAsia" w:ascii="宋体" w:hAnsi="宋体" w:cs="宋体"/>
                <w:bCs/>
                <w:sz w:val="24"/>
                <w:szCs w:val="24"/>
              </w:rPr>
              <w:t xml:space="preserve">不接受 </w:t>
            </w:r>
            <w:r>
              <w:rPr>
                <w:rFonts w:hint="eastAsia" w:ascii="宋体" w:hAnsi="宋体" w:cs="宋体"/>
                <w:bCs/>
                <w:sz w:val="24"/>
                <w:szCs w:val="24"/>
                <w:lang w:val="en-US" w:eastAsia="zh-CN"/>
              </w:rPr>
              <w:t xml:space="preserve">     </w:t>
            </w:r>
            <w:r>
              <w:rPr>
                <w:rFonts w:hint="eastAsia" w:ascii="宋体" w:hAnsi="宋体" w:cs="宋体"/>
                <w:bCs/>
                <w:sz w:val="24"/>
                <w:szCs w:val="24"/>
              </w:rPr>
              <w:sym w:font="Wingdings" w:char="00A8"/>
            </w:r>
            <w:r>
              <w:rPr>
                <w:rFonts w:hint="eastAsia" w:ascii="宋体" w:hAnsi="宋体" w:cs="宋体"/>
                <w:bCs/>
                <w:sz w:val="24"/>
                <w:szCs w:val="24"/>
              </w:rPr>
              <w:t>接受</w:t>
            </w:r>
          </w:p>
          <w:p>
            <w:pPr>
              <w:adjustRightInd w:val="0"/>
              <w:snapToGrid w:val="0"/>
              <w:spacing w:line="240" w:lineRule="auto"/>
              <w:jc w:val="left"/>
              <w:rPr>
                <w:rFonts w:hint="eastAsia" w:ascii="宋体" w:hAnsi="宋体" w:eastAsia="宋体" w:cs="宋体"/>
                <w:lang w:val="en-US" w:eastAsia="zh-CN"/>
              </w:rPr>
            </w:pPr>
            <w:r>
              <w:rPr>
                <w:rFonts w:hint="eastAsia" w:ascii="宋体" w:hAnsi="宋体" w:cs="宋体"/>
                <w:bCs/>
                <w:sz w:val="24"/>
                <w:szCs w:val="24"/>
              </w:rPr>
              <w:t>应满足要求：</w:t>
            </w:r>
            <w:r>
              <w:rPr>
                <w:rFonts w:hint="eastAsia" w:ascii="宋体" w:hAnsi="宋体" w:cs="宋体"/>
                <w:bCs/>
                <w:sz w:val="24"/>
                <w:szCs w:val="24"/>
                <w:lang w:val="en-US" w:eastAsia="zh-CN"/>
              </w:rPr>
              <w:t>/</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现场踏勘</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sz w:val="24"/>
                <w:szCs w:val="24"/>
              </w:rPr>
            </w:pPr>
            <w:r>
              <w:rPr>
                <w:rFonts w:hint="eastAsia" w:ascii="宋体" w:hAnsi="宋体" w:cs="宋体"/>
                <w:bCs/>
                <w:sz w:val="24"/>
                <w:szCs w:val="24"/>
              </w:rPr>
              <w:sym w:font="Wingdings" w:char="00FE"/>
            </w:r>
            <w:r>
              <w:rPr>
                <w:rFonts w:hint="eastAsia" w:ascii="宋体" w:hAnsi="宋体" w:cs="宋体"/>
                <w:bCs/>
                <w:sz w:val="24"/>
                <w:szCs w:val="24"/>
              </w:rPr>
              <w:t>不组织</w:t>
            </w:r>
          </w:p>
          <w:p>
            <w:pPr>
              <w:adjustRightInd w:val="0"/>
              <w:snapToGrid w:val="0"/>
              <w:spacing w:line="240" w:lineRule="auto"/>
              <w:jc w:val="left"/>
              <w:rPr>
                <w:rFonts w:hint="eastAsia" w:ascii="宋体" w:hAnsi="宋体" w:cs="宋体"/>
                <w:bCs/>
                <w:sz w:val="24"/>
                <w:szCs w:val="24"/>
              </w:rPr>
            </w:pPr>
            <w:r>
              <w:rPr>
                <w:rFonts w:hint="eastAsia" w:ascii="宋体" w:hAnsi="宋体" w:cs="宋体"/>
                <w:bCs/>
                <w:sz w:val="24"/>
                <w:szCs w:val="24"/>
              </w:rPr>
              <w:sym w:font="Wingdings" w:char="00A8"/>
            </w:r>
            <w:r>
              <w:rPr>
                <w:rFonts w:hint="eastAsia" w:ascii="宋体" w:hAnsi="宋体" w:cs="宋体"/>
                <w:bCs/>
                <w:sz w:val="24"/>
                <w:szCs w:val="24"/>
              </w:rPr>
              <w:t>组织</w:t>
            </w:r>
          </w:p>
        </w:tc>
      </w:tr>
      <w:tr>
        <w:tblPrEx>
          <w:tblCellMar>
            <w:top w:w="0" w:type="dxa"/>
            <w:left w:w="108" w:type="dxa"/>
            <w:bottom w:w="0" w:type="dxa"/>
            <w:right w:w="108" w:type="dxa"/>
          </w:tblCellMar>
        </w:tblPrEx>
        <w:trPr>
          <w:trHeight w:val="74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10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2"/>
                <w:sz w:val="1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bCs/>
                <w:sz w:val="24"/>
                <w:szCs w:val="24"/>
              </w:rPr>
              <w:t>不允许</w:t>
            </w:r>
          </w:p>
          <w:p>
            <w:pPr>
              <w:adjustRightInd w:val="0"/>
              <w:snapToGrid w:val="0"/>
              <w:spacing w:line="240" w:lineRule="auto"/>
              <w:jc w:val="left"/>
              <w:rPr>
                <w:rFonts w:hint="eastAsia" w:ascii="宋体" w:hAnsi="宋体" w:cs="宋体"/>
                <w:bCs/>
                <w:sz w:val="24"/>
                <w:szCs w:val="24"/>
              </w:rPr>
            </w:pPr>
            <w:r>
              <w:rPr>
                <w:rFonts w:hint="eastAsia" w:ascii="宋体" w:hAnsi="宋体" w:cs="宋体"/>
                <w:b/>
                <w:sz w:val="24"/>
                <w:szCs w:val="24"/>
              </w:rPr>
              <w:t>□</w:t>
            </w:r>
            <w:r>
              <w:rPr>
                <w:rFonts w:hint="eastAsia" w:ascii="宋体" w:hAnsi="宋体" w:cs="宋体"/>
                <w:bCs/>
                <w:sz w:val="24"/>
                <w:szCs w:val="24"/>
              </w:rPr>
              <w:t>允许</w:t>
            </w:r>
          </w:p>
        </w:tc>
      </w:tr>
      <w:tr>
        <w:tblPrEx>
          <w:tblCellMar>
            <w:top w:w="0" w:type="dxa"/>
            <w:left w:w="108" w:type="dxa"/>
            <w:bottom w:w="0" w:type="dxa"/>
            <w:right w:w="108" w:type="dxa"/>
          </w:tblCellMar>
        </w:tblPrEx>
        <w:trPr>
          <w:trHeight w:val="60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11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sz w:val="24"/>
                <w:szCs w:val="24"/>
              </w:rPr>
            </w:pPr>
            <w:r>
              <w:rPr>
                <w:rFonts w:hint="eastAsia" w:ascii="宋体" w:hAnsi="宋体" w:cs="宋体"/>
                <w:bCs/>
                <w:sz w:val="24"/>
                <w:szCs w:val="24"/>
              </w:rPr>
              <w:t>响应文件有效期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sz w:val="24"/>
                <w:szCs w:val="24"/>
              </w:rPr>
            </w:pPr>
            <w:r>
              <w:rPr>
                <w:rFonts w:hint="eastAsia" w:ascii="宋体" w:hAnsi="宋体" w:cs="宋体"/>
                <w:bCs/>
                <w:sz w:val="24"/>
                <w:szCs w:val="24"/>
              </w:rPr>
              <w:t>提交响应文件的截止之日起90天</w:t>
            </w:r>
          </w:p>
        </w:tc>
      </w:tr>
      <w:tr>
        <w:tblPrEx>
          <w:tblCellMar>
            <w:top w:w="0" w:type="dxa"/>
            <w:left w:w="108" w:type="dxa"/>
            <w:bottom w:w="0" w:type="dxa"/>
            <w:right w:w="108" w:type="dxa"/>
          </w:tblCellMar>
        </w:tblPrEx>
        <w:trPr>
          <w:trHeight w:val="3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12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eastAsia="宋体"/>
                <w:color w:val="auto"/>
                <w:highlight w:val="none"/>
                <w:lang w:eastAsia="zh-CN"/>
              </w:rPr>
            </w:pPr>
            <w:r>
              <w:rPr>
                <w:rFonts w:hint="eastAsia" w:ascii="宋体" w:hAnsi="宋体" w:cs="宋体"/>
                <w:bCs/>
                <w:color w:val="auto"/>
                <w:sz w:val="24"/>
                <w:szCs w:val="24"/>
                <w:highlight w:val="none"/>
              </w:rPr>
              <w:t>综合评分法</w:t>
            </w:r>
          </w:p>
        </w:tc>
      </w:tr>
      <w:tr>
        <w:tblPrEx>
          <w:tblCellMar>
            <w:top w:w="0" w:type="dxa"/>
            <w:left w:w="108" w:type="dxa"/>
            <w:bottom w:w="0" w:type="dxa"/>
            <w:right w:w="108" w:type="dxa"/>
          </w:tblCellMar>
        </w:tblPrEx>
        <w:trPr>
          <w:trHeight w:val="57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13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rPr>
            </w:pPr>
            <w:r>
              <w:rPr>
                <w:rFonts w:hint="eastAsia" w:ascii="宋体" w:hAnsi="宋体" w:cs="宋体"/>
                <w:bCs/>
                <w:color w:val="auto"/>
                <w:sz w:val="24"/>
                <w:szCs w:val="24"/>
              </w:rPr>
              <w:t>质量要求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rPr>
            </w:pPr>
            <w:r>
              <w:rPr>
                <w:rFonts w:hint="eastAsia" w:ascii="宋体" w:hAnsi="宋体" w:cs="宋体"/>
                <w:bCs/>
                <w:color w:val="auto"/>
                <w:sz w:val="24"/>
                <w:szCs w:val="24"/>
              </w:rPr>
              <w:t>符合现行国家有关工程施工验收规范和标准的合格要求</w:t>
            </w:r>
          </w:p>
        </w:tc>
      </w:tr>
      <w:tr>
        <w:tblPrEx>
          <w:tblCellMar>
            <w:top w:w="0" w:type="dxa"/>
            <w:left w:w="108" w:type="dxa"/>
            <w:bottom w:w="0" w:type="dxa"/>
            <w:right w:w="108" w:type="dxa"/>
          </w:tblCellMar>
        </w:tblPrEx>
        <w:trPr>
          <w:trHeight w:val="54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14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具体内容在合同中约定</w:t>
            </w:r>
            <w:r>
              <w:rPr>
                <w:rFonts w:hint="eastAsia" w:ascii="宋体" w:hAnsi="宋体" w:eastAsia="宋体" w:cs="宋体"/>
                <w:bCs/>
                <w:color w:val="auto"/>
                <w:sz w:val="24"/>
                <w:szCs w:val="24"/>
                <w:highlight w:val="none"/>
              </w:rPr>
              <w:t>。</w:t>
            </w:r>
          </w:p>
        </w:tc>
      </w:tr>
      <w:tr>
        <w:tblPrEx>
          <w:tblCellMar>
            <w:top w:w="0" w:type="dxa"/>
            <w:left w:w="108" w:type="dxa"/>
            <w:bottom w:w="0" w:type="dxa"/>
            <w:right w:w="108" w:type="dxa"/>
          </w:tblCellMar>
        </w:tblPrEx>
        <w:trPr>
          <w:trHeight w:val="45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15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rPr>
            </w:pPr>
            <w:r>
              <w:rPr>
                <w:rFonts w:hint="eastAsia" w:ascii="宋体" w:hAnsi="宋体" w:cs="宋体"/>
                <w:bCs/>
                <w:color w:val="auto"/>
                <w:sz w:val="24"/>
                <w:szCs w:val="24"/>
              </w:rPr>
              <w:t>项目地点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吉木萨尔县</w:t>
            </w:r>
          </w:p>
        </w:tc>
      </w:tr>
      <w:tr>
        <w:tblPrEx>
          <w:tblCellMar>
            <w:top w:w="0" w:type="dxa"/>
            <w:left w:w="108" w:type="dxa"/>
            <w:bottom w:w="0" w:type="dxa"/>
            <w:right w:w="108" w:type="dxa"/>
          </w:tblCellMar>
        </w:tblPrEx>
        <w:trPr>
          <w:trHeight w:val="4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16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合同履约期限（</w:t>
            </w:r>
            <w:r>
              <w:rPr>
                <w:rFonts w:hint="eastAsia" w:ascii="宋体" w:hAnsi="宋体" w:cs="宋体"/>
                <w:bCs/>
                <w:color w:val="auto"/>
                <w:sz w:val="24"/>
                <w:szCs w:val="24"/>
                <w:highlight w:val="none"/>
                <w:lang w:val="en-US" w:eastAsia="zh-CN"/>
              </w:rPr>
              <w:t>工期</w:t>
            </w:r>
            <w:r>
              <w:rPr>
                <w:rFonts w:hint="eastAsia" w:ascii="宋体" w:hAnsi="宋体" w:cs="宋体"/>
                <w:bCs/>
                <w:color w:val="auto"/>
                <w:sz w:val="24"/>
                <w:szCs w:val="24"/>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30</w:t>
            </w:r>
            <w:r>
              <w:rPr>
                <w:rFonts w:hint="default" w:ascii="宋体" w:hAnsi="宋体" w:eastAsia="宋体" w:cs="宋体"/>
                <w:bCs/>
                <w:color w:val="auto"/>
                <w:sz w:val="24"/>
                <w:szCs w:val="24"/>
                <w:highlight w:val="none"/>
                <w:lang w:val="en-US" w:eastAsia="zh-CN"/>
              </w:rPr>
              <w:t>（日历</w:t>
            </w:r>
            <w:r>
              <w:rPr>
                <w:rFonts w:hint="eastAsia" w:ascii="宋体" w:hAnsi="宋体" w:eastAsia="宋体" w:cs="宋体"/>
                <w:bCs/>
                <w:color w:val="auto"/>
                <w:sz w:val="24"/>
                <w:szCs w:val="24"/>
                <w:highlight w:val="none"/>
                <w:lang w:val="en-US" w:eastAsia="zh-CN"/>
              </w:rPr>
              <w:t>天）（具体以签订合同为准）</w:t>
            </w:r>
          </w:p>
        </w:tc>
      </w:tr>
      <w:tr>
        <w:tblPrEx>
          <w:tblCellMar>
            <w:top w:w="0" w:type="dxa"/>
            <w:left w:w="108" w:type="dxa"/>
            <w:bottom w:w="0" w:type="dxa"/>
            <w:right w:w="108" w:type="dxa"/>
          </w:tblCellMar>
        </w:tblPrEx>
        <w:trPr>
          <w:trHeight w:val="38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17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rPr>
            </w:pPr>
            <w:r>
              <w:rPr>
                <w:rFonts w:hint="eastAsia" w:ascii="宋体" w:hAnsi="宋体" w:cs="宋体"/>
                <w:bCs/>
                <w:color w:val="auto"/>
                <w:sz w:val="24"/>
                <w:szCs w:val="24"/>
              </w:rPr>
              <w:t>质量保修期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rPr>
            </w:pPr>
            <w:r>
              <w:rPr>
                <w:rFonts w:hint="eastAsia" w:ascii="宋体" w:hAnsi="宋体" w:cs="宋体"/>
                <w:bCs/>
                <w:color w:val="auto"/>
                <w:sz w:val="24"/>
                <w:szCs w:val="24"/>
              </w:rPr>
              <w:t>一年</w:t>
            </w:r>
          </w:p>
        </w:tc>
      </w:tr>
      <w:tr>
        <w:tblPrEx>
          <w:tblCellMar>
            <w:top w:w="0" w:type="dxa"/>
            <w:left w:w="108" w:type="dxa"/>
            <w:bottom w:w="0" w:type="dxa"/>
            <w:right w:w="108" w:type="dxa"/>
          </w:tblCellMar>
        </w:tblPrEx>
        <w:trPr>
          <w:trHeight w:val="5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18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rPr>
            </w:pPr>
            <w:r>
              <w:rPr>
                <w:rFonts w:hint="eastAsia" w:ascii="宋体" w:hAnsi="宋体" w:cs="宋体"/>
                <w:bCs/>
                <w:color w:val="auto"/>
                <w:sz w:val="24"/>
                <w:szCs w:val="24"/>
              </w:rPr>
              <w:t>投标报价</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rPr>
            </w:pPr>
            <w:r>
              <w:rPr>
                <w:rFonts w:hint="eastAsia" w:ascii="宋体" w:hAnsi="宋体" w:cs="宋体"/>
                <w:bCs/>
                <w:color w:val="auto"/>
                <w:sz w:val="24"/>
                <w:szCs w:val="24"/>
              </w:rPr>
              <w:t>投标报价包括采购范围内所有项目包含的全部费用。</w:t>
            </w:r>
          </w:p>
        </w:tc>
      </w:tr>
      <w:tr>
        <w:tblPrEx>
          <w:tblCellMar>
            <w:top w:w="0" w:type="dxa"/>
            <w:left w:w="108" w:type="dxa"/>
            <w:bottom w:w="0" w:type="dxa"/>
            <w:right w:w="108" w:type="dxa"/>
          </w:tblCellMar>
        </w:tblPrEx>
        <w:trPr>
          <w:trHeight w:val="75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19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履约保证金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签订合同后，中标（成交）方须在</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日内提供合同金额</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%的履约保证金至采购人账户</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具体内容在合同中约定</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20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质量保证金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sz w:val="24"/>
                <w:szCs w:val="24"/>
                <w:lang w:val="en-US" w:eastAsia="zh-CN"/>
              </w:rPr>
            </w:pPr>
            <w:r>
              <w:rPr>
                <w:rFonts w:hint="eastAsia" w:ascii="宋体" w:hAnsi="宋体" w:cs="宋体"/>
                <w:bCs/>
                <w:sz w:val="24"/>
                <w:szCs w:val="24"/>
                <w:lang w:val="en-US" w:eastAsia="zh-CN"/>
              </w:rPr>
              <w:t>/</w:t>
            </w:r>
            <w:bookmarkStart w:id="1278" w:name="_GoBack"/>
            <w:bookmarkEnd w:id="1278"/>
          </w:p>
        </w:tc>
      </w:tr>
      <w:tr>
        <w:tblPrEx>
          <w:tblCellMar>
            <w:top w:w="0" w:type="dxa"/>
            <w:left w:w="108" w:type="dxa"/>
            <w:bottom w:w="0" w:type="dxa"/>
            <w:right w:w="108" w:type="dxa"/>
          </w:tblCellMar>
        </w:tblPrEx>
        <w:trPr>
          <w:trHeight w:val="467"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21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投标文件有效期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sz w:val="24"/>
                <w:szCs w:val="24"/>
                <w:u w:val="single"/>
              </w:rPr>
            </w:pPr>
            <w:r>
              <w:rPr>
                <w:rFonts w:hint="eastAsia" w:ascii="宋体" w:hAnsi="宋体" w:cs="宋体"/>
                <w:bCs/>
                <w:sz w:val="24"/>
                <w:szCs w:val="24"/>
              </w:rPr>
              <w:t>提交投标文件的截止之日起</w:t>
            </w:r>
            <w:r>
              <w:rPr>
                <w:rFonts w:hint="eastAsia" w:ascii="宋体" w:hAnsi="宋体" w:cs="宋体"/>
                <w:bCs/>
                <w:sz w:val="24"/>
                <w:szCs w:val="24"/>
                <w:u w:val="single"/>
              </w:rPr>
              <w:t>90</w:t>
            </w:r>
            <w:r>
              <w:rPr>
                <w:rFonts w:hint="eastAsia" w:ascii="宋体" w:hAnsi="宋体" w:cs="宋体"/>
                <w:bCs/>
                <w:sz w:val="24"/>
                <w:szCs w:val="24"/>
              </w:rPr>
              <w:t>天</w:t>
            </w:r>
          </w:p>
        </w:tc>
      </w:tr>
      <w:tr>
        <w:tblPrEx>
          <w:tblCellMar>
            <w:top w:w="0" w:type="dxa"/>
            <w:left w:w="108" w:type="dxa"/>
            <w:bottom w:w="0" w:type="dxa"/>
            <w:right w:w="108" w:type="dxa"/>
          </w:tblCellMar>
        </w:tblPrEx>
        <w:trPr>
          <w:trHeight w:val="150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22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磋商小组的组建及评审专家的确定方式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32"/>
              <w:spacing w:before="75" w:after="75" w:line="240" w:lineRule="auto"/>
              <w:ind w:left="0" w:leftChars="0" w:firstLine="0" w:firstLineChars="0"/>
              <w:rPr>
                <w:rFonts w:hint="eastAsia" w:ascii="宋体" w:hAnsi="宋体" w:eastAsia="宋体" w:cs="宋体"/>
              </w:rPr>
            </w:pPr>
            <w:r>
              <w:rPr>
                <w:rFonts w:hint="eastAsia" w:ascii="宋体" w:hAnsi="宋体" w:eastAsia="宋体" w:cs="宋体"/>
              </w:rPr>
              <w:t>采购单位依法组建磋商小组</w:t>
            </w:r>
            <w:r>
              <w:rPr>
                <w:rFonts w:hint="eastAsia" w:ascii="宋体" w:hAnsi="宋体" w:eastAsia="宋体" w:cs="宋体"/>
                <w:lang w:val="en-US" w:eastAsia="zh-CN"/>
              </w:rPr>
              <w:t>至少</w:t>
            </w:r>
            <w:r>
              <w:rPr>
                <w:rFonts w:hint="eastAsia" w:ascii="宋体" w:hAnsi="宋体" w:eastAsia="宋体" w:cs="宋体"/>
              </w:rPr>
              <w:t>3人</w:t>
            </w:r>
            <w:r>
              <w:rPr>
                <w:rFonts w:hint="eastAsia" w:ascii="宋体" w:hAnsi="宋体" w:eastAsia="宋体" w:cs="宋体"/>
                <w:lang w:val="en-US" w:eastAsia="zh-CN"/>
              </w:rPr>
              <w:t>以上</w:t>
            </w:r>
            <w:r>
              <w:rPr>
                <w:rFonts w:hint="eastAsia" w:ascii="宋体" w:hAnsi="宋体" w:eastAsia="宋体" w:cs="宋体"/>
              </w:rPr>
              <w:t>组成。</w:t>
            </w:r>
          </w:p>
          <w:p>
            <w:pPr>
              <w:pStyle w:val="32"/>
              <w:spacing w:before="75" w:after="75" w:line="240" w:lineRule="auto"/>
              <w:ind w:left="0" w:leftChars="0" w:firstLine="0" w:firstLineChars="0"/>
              <w:rPr>
                <w:rFonts w:hint="eastAsia" w:ascii="宋体" w:hAnsi="宋体" w:eastAsia="宋体" w:cs="宋体"/>
              </w:rPr>
            </w:pPr>
            <w:r>
              <w:rPr>
                <w:rFonts w:hint="eastAsia" w:ascii="宋体" w:hAnsi="宋体" w:eastAsia="宋体" w:cs="宋体"/>
              </w:rPr>
              <w:t>小组确定方式：</w:t>
            </w:r>
            <w:r>
              <w:rPr>
                <w:rFonts w:hint="eastAsia" w:ascii="宋体" w:hAnsi="宋体" w:eastAsia="宋体" w:cs="宋体"/>
                <w:bCs/>
                <w:sz w:val="24"/>
                <w:szCs w:val="24"/>
                <w:lang w:val="en-US" w:eastAsia="zh-CN"/>
              </w:rPr>
              <w:t>新疆政府采购网</w:t>
            </w:r>
            <w:r>
              <w:rPr>
                <w:rFonts w:hint="eastAsia" w:ascii="宋体" w:hAnsi="宋体" w:eastAsia="宋体" w:cs="宋体"/>
                <w:lang w:val="en-US" w:eastAsia="zh-CN"/>
              </w:rPr>
              <w:t>专家库中随机</w:t>
            </w:r>
            <w:r>
              <w:rPr>
                <w:rFonts w:hint="eastAsia" w:ascii="宋体" w:hAnsi="宋体" w:eastAsia="宋体" w:cs="宋体"/>
              </w:rPr>
              <w:t>抽取</w:t>
            </w:r>
          </w:p>
          <w:p>
            <w:pPr>
              <w:pStyle w:val="32"/>
              <w:spacing w:before="75" w:after="75" w:line="240" w:lineRule="auto"/>
              <w:ind w:left="0" w:leftChars="0" w:firstLine="0" w:firstLineChars="0"/>
              <w:rPr>
                <w:rFonts w:hint="eastAsia" w:ascii="宋体" w:hAnsi="宋体" w:eastAsia="宋体" w:cs="宋体"/>
              </w:rPr>
            </w:pPr>
            <w:r>
              <w:rPr>
                <w:rFonts w:hint="eastAsia" w:ascii="宋体" w:hAnsi="宋体" w:eastAsia="宋体" w:cs="宋体"/>
                <w:lang w:eastAsia="zh-CN"/>
              </w:rPr>
              <w:sym w:font="Wingdings 2" w:char="0052"/>
            </w:r>
            <w:r>
              <w:rPr>
                <w:rFonts w:hint="eastAsia" w:ascii="宋体" w:hAnsi="宋体" w:eastAsia="宋体" w:cs="宋体"/>
              </w:rPr>
              <w:t>计算机随机抽取语音通知方式</w:t>
            </w:r>
          </w:p>
          <w:p>
            <w:pPr>
              <w:pStyle w:val="32"/>
              <w:spacing w:before="75" w:after="75" w:line="240" w:lineRule="auto"/>
              <w:ind w:left="0" w:leftChars="0" w:firstLine="0" w:firstLineChars="0"/>
              <w:rPr>
                <w:rFonts w:hint="eastAsia" w:ascii="宋体" w:hAnsi="宋体" w:cs="宋体"/>
                <w:bCs/>
                <w:sz w:val="24"/>
              </w:rPr>
            </w:pPr>
            <w:r>
              <w:rPr>
                <w:rFonts w:hint="eastAsia" w:ascii="宋体" w:hAnsi="宋体" w:eastAsia="宋体" w:cs="宋体"/>
              </w:rPr>
              <w:sym w:font="Wingdings 2" w:char="00A3"/>
            </w:r>
            <w:r>
              <w:rPr>
                <w:rFonts w:hint="eastAsia" w:ascii="宋体" w:hAnsi="宋体" w:eastAsia="宋体" w:cs="宋体"/>
              </w:rPr>
              <w:t>其他方式：</w:t>
            </w:r>
          </w:p>
        </w:tc>
      </w:tr>
      <w:tr>
        <w:tblPrEx>
          <w:tblCellMar>
            <w:top w:w="0" w:type="dxa"/>
            <w:left w:w="108" w:type="dxa"/>
            <w:bottom w:w="0" w:type="dxa"/>
            <w:right w:w="108" w:type="dxa"/>
          </w:tblCellMar>
        </w:tblPrEx>
        <w:trPr>
          <w:trHeight w:val="635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23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pStyle w:val="91"/>
              <w:spacing w:line="240" w:lineRule="auto"/>
              <w:jc w:val="center"/>
              <w:rPr>
                <w:rFonts w:hint="eastAsia" w:ascii="宋体" w:hAnsi="宋体" w:cs="宋体"/>
                <w:bCs/>
                <w:sz w:val="24"/>
              </w:rPr>
            </w:pPr>
            <w:r>
              <w:rPr>
                <w:rFonts w:hint="eastAsia" w:ascii="宋体" w:hAnsi="宋体" w:cs="宋体"/>
                <w:bCs/>
                <w:sz w:val="24"/>
              </w:rPr>
              <w:t>投标保证金</w:t>
            </w:r>
          </w:p>
        </w:tc>
        <w:tc>
          <w:tcPr>
            <w:tcW w:w="6760" w:type="dxa"/>
            <w:tcBorders>
              <w:top w:val="single" w:color="auto" w:sz="4" w:space="0"/>
              <w:left w:val="single" w:color="auto" w:sz="4" w:space="0"/>
              <w:bottom w:val="single" w:color="auto" w:sz="4" w:space="0"/>
              <w:right w:val="single" w:color="auto" w:sz="4" w:space="0"/>
            </w:tcBorders>
            <w:noWrap w:val="0"/>
            <w:vAlign w:val="top"/>
          </w:tcPr>
          <w:p>
            <w:pPr>
              <w:pStyle w:val="32"/>
              <w:spacing w:before="75" w:after="75" w:line="240" w:lineRule="auto"/>
              <w:rPr>
                <w:rFonts w:hint="eastAsia"/>
                <w:highlight w:val="none"/>
                <w:u w:val="single"/>
              </w:rPr>
            </w:pPr>
            <w:r>
              <w:rPr>
                <w:rFonts w:hint="eastAsia"/>
                <w:highlight w:val="none"/>
                <w:u w:val="single"/>
              </w:rPr>
              <w:t>保证金形式：☑保函  ☑电汇  ☑支票</w:t>
            </w:r>
          </w:p>
          <w:p>
            <w:pPr>
              <w:pStyle w:val="32"/>
              <w:spacing w:before="75" w:after="75" w:line="240" w:lineRule="auto"/>
              <w:rPr>
                <w:rFonts w:hint="eastAsia"/>
                <w:highlight w:val="none"/>
                <w:u w:val="single"/>
              </w:rPr>
            </w:pPr>
            <w:r>
              <w:rPr>
                <w:rFonts w:hint="eastAsia"/>
                <w:highlight w:val="none"/>
                <w:u w:val="single"/>
              </w:rPr>
              <w:t xml:space="preserve">允许供应商自主选择以支票、汇票、本票、保函等非现金形式缴纳或提交保证金  （本项目允许的其他形式） </w:t>
            </w:r>
          </w:p>
          <w:p>
            <w:pPr>
              <w:pStyle w:val="32"/>
              <w:spacing w:before="75" w:after="75" w:line="240" w:lineRule="auto"/>
              <w:rPr>
                <w:rFonts w:hint="eastAsia"/>
                <w:highlight w:val="none"/>
                <w:u w:val="single"/>
              </w:rPr>
            </w:pPr>
            <w:r>
              <w:rPr>
                <w:rFonts w:hint="eastAsia" w:ascii="宋体" w:hAnsi="宋体" w:eastAsia="宋体" w:cs="宋体"/>
                <w:highlight w:val="none"/>
                <w:u w:val="single"/>
              </w:rPr>
              <w:t>保证金数额：</w:t>
            </w:r>
            <w:r>
              <w:rPr>
                <w:rFonts w:hint="eastAsia" w:cs="宋体"/>
                <w:highlight w:val="none"/>
                <w:u w:val="single"/>
                <w:lang w:eastAsia="zh-CN"/>
              </w:rPr>
              <w:t>5</w:t>
            </w:r>
            <w:r>
              <w:rPr>
                <w:rFonts w:hint="eastAsia" w:cs="宋体"/>
                <w:highlight w:val="none"/>
                <w:u w:val="single"/>
                <w:lang w:val="en-US" w:eastAsia="zh-CN"/>
              </w:rPr>
              <w:t>0000.</w:t>
            </w:r>
            <w:r>
              <w:rPr>
                <w:rFonts w:hint="eastAsia" w:ascii="宋体" w:hAnsi="宋体" w:eastAsia="宋体" w:cs="宋体"/>
                <w:highlight w:val="none"/>
                <w:u w:val="single"/>
              </w:rPr>
              <w:t>00元大写：</w:t>
            </w:r>
            <w:r>
              <w:rPr>
                <w:rFonts w:hint="eastAsia" w:cs="宋体"/>
                <w:highlight w:val="none"/>
                <w:u w:val="single"/>
                <w:lang w:val="en-US" w:eastAsia="zh-CN"/>
              </w:rPr>
              <w:t>伍万</w:t>
            </w:r>
            <w:r>
              <w:rPr>
                <w:rFonts w:hint="eastAsia" w:ascii="宋体" w:hAnsi="宋体" w:eastAsia="宋体" w:cs="宋体"/>
                <w:highlight w:val="none"/>
                <w:u w:val="single"/>
                <w:lang w:val="en-US" w:eastAsia="zh-CN"/>
              </w:rPr>
              <w:t>元整</w:t>
            </w:r>
            <w:r>
              <w:rPr>
                <w:rFonts w:hint="eastAsia" w:ascii="宋体" w:hAnsi="宋体" w:eastAsia="宋体" w:cs="宋体"/>
                <w:highlight w:val="none"/>
                <w:u w:val="single"/>
              </w:rPr>
              <w:t>（</w:t>
            </w:r>
            <w:r>
              <w:rPr>
                <w:rFonts w:hint="eastAsia"/>
                <w:highlight w:val="none"/>
                <w:u w:val="single"/>
              </w:rPr>
              <w:t>按照各分包控制金额2%以内的整数计算）</w:t>
            </w:r>
          </w:p>
          <w:p>
            <w:pPr>
              <w:pStyle w:val="32"/>
              <w:spacing w:before="75" w:after="75" w:line="240" w:lineRule="auto"/>
              <w:rPr>
                <w:rFonts w:hint="eastAsia"/>
                <w:highlight w:val="none"/>
                <w:u w:val="single"/>
              </w:rPr>
            </w:pPr>
            <w:r>
              <w:rPr>
                <w:rFonts w:hint="eastAsia"/>
                <w:highlight w:val="none"/>
                <w:u w:val="single"/>
              </w:rPr>
              <w:t>保证金收款人：</w:t>
            </w:r>
          </w:p>
          <w:p>
            <w:pPr>
              <w:pStyle w:val="32"/>
              <w:spacing w:before="75" w:after="75" w:line="240" w:lineRule="auto"/>
              <w:ind w:left="0" w:leftChars="0" w:firstLine="638" w:firstLineChars="266"/>
              <w:rPr>
                <w:rFonts w:hint="eastAsia"/>
                <w:highlight w:val="none"/>
                <w:u w:val="single"/>
              </w:rPr>
            </w:pPr>
            <w:r>
              <w:rPr>
                <w:rFonts w:hint="eastAsia"/>
                <w:highlight w:val="none"/>
                <w:u w:val="single"/>
              </w:rPr>
              <w:t>开户名称：</w:t>
            </w:r>
            <w:r>
              <w:rPr>
                <w:rFonts w:hint="eastAsia"/>
                <w:highlight w:val="none"/>
                <w:u w:val="single"/>
                <w:lang w:eastAsia="zh-CN"/>
              </w:rPr>
              <w:t>新疆天汇项目管理有限公司</w:t>
            </w:r>
          </w:p>
          <w:p>
            <w:pPr>
              <w:pStyle w:val="32"/>
              <w:spacing w:before="75" w:after="75" w:line="240" w:lineRule="auto"/>
              <w:ind w:left="0" w:leftChars="0" w:firstLine="638" w:firstLineChars="266"/>
              <w:rPr>
                <w:rFonts w:hint="default" w:eastAsia="宋体"/>
                <w:highlight w:val="none"/>
                <w:u w:val="single"/>
                <w:lang w:val="en-US" w:eastAsia="zh-CN"/>
              </w:rPr>
            </w:pPr>
            <w:r>
              <w:rPr>
                <w:rFonts w:hint="eastAsia"/>
                <w:highlight w:val="none"/>
                <w:u w:val="single"/>
              </w:rPr>
              <w:t>开户银行：中国工商银行股份有限公司乌鲁木齐亚中支行</w:t>
            </w:r>
            <w:r>
              <w:rPr>
                <w:rFonts w:hint="eastAsia"/>
                <w:highlight w:val="none"/>
                <w:u w:val="none"/>
                <w:lang w:val="en-US" w:eastAsia="zh-CN"/>
              </w:rPr>
              <w:t xml:space="preserve">  </w:t>
            </w:r>
            <w:r>
              <w:rPr>
                <w:rFonts w:hint="eastAsia"/>
                <w:highlight w:val="none"/>
                <w:u w:val="single"/>
                <w:lang w:val="en-US" w:eastAsia="zh-CN"/>
              </w:rPr>
              <w:t xml:space="preserve">  </w:t>
            </w:r>
          </w:p>
          <w:p>
            <w:pPr>
              <w:pStyle w:val="32"/>
              <w:spacing w:before="75" w:after="75" w:line="240" w:lineRule="auto"/>
              <w:ind w:left="0" w:leftChars="0" w:firstLine="638" w:firstLineChars="266"/>
              <w:rPr>
                <w:rFonts w:hint="eastAsia"/>
                <w:highlight w:val="none"/>
                <w:u w:val="single"/>
              </w:rPr>
            </w:pPr>
            <w:r>
              <w:rPr>
                <w:rFonts w:hint="eastAsia"/>
                <w:highlight w:val="none"/>
                <w:u w:val="single"/>
              </w:rPr>
              <w:t xml:space="preserve">帐    号：3002016809200084332    </w:t>
            </w:r>
          </w:p>
          <w:p>
            <w:pPr>
              <w:pStyle w:val="32"/>
              <w:spacing w:before="75" w:after="75" w:line="240" w:lineRule="auto"/>
              <w:rPr>
                <w:rFonts w:hint="eastAsia"/>
                <w:b/>
                <w:bCs/>
                <w:highlight w:val="none"/>
                <w:u w:val="single"/>
              </w:rPr>
            </w:pPr>
            <w:r>
              <w:rPr>
                <w:rFonts w:hint="eastAsia"/>
                <w:b/>
                <w:bCs/>
                <w:highlight w:val="none"/>
                <w:u w:val="single"/>
              </w:rPr>
              <w:t>备注：1、投标保证金于投标截止时间之前</w:t>
            </w:r>
            <w:r>
              <w:rPr>
                <w:rFonts w:hint="eastAsia" w:ascii="宋体" w:hAnsi="宋体" w:eastAsia="宋体" w:cs="宋体"/>
                <w:b/>
                <w:bCs/>
                <w:highlight w:val="none"/>
                <w:u w:val="single"/>
              </w:rPr>
              <w:t>2022年</w:t>
            </w:r>
            <w:r>
              <w:rPr>
                <w:rFonts w:hint="eastAsia" w:ascii="宋体" w:hAnsi="宋体" w:eastAsia="宋体" w:cs="宋体"/>
                <w:b/>
                <w:bCs/>
                <w:highlight w:val="none"/>
                <w:u w:val="single"/>
                <w:lang w:val="en-US" w:eastAsia="zh-CN"/>
              </w:rPr>
              <w:t>0</w:t>
            </w:r>
            <w:r>
              <w:rPr>
                <w:rFonts w:hint="eastAsia" w:cs="宋体"/>
                <w:b/>
                <w:bCs/>
                <w:highlight w:val="none"/>
                <w:u w:val="single"/>
                <w:lang w:val="en-US" w:eastAsia="zh-CN"/>
              </w:rPr>
              <w:t>7</w:t>
            </w:r>
            <w:r>
              <w:rPr>
                <w:rFonts w:hint="eastAsia" w:ascii="宋体" w:hAnsi="宋体" w:eastAsia="宋体" w:cs="宋体"/>
                <w:b/>
                <w:bCs/>
                <w:highlight w:val="none"/>
                <w:u w:val="single"/>
              </w:rPr>
              <w:t>月</w:t>
            </w:r>
            <w:r>
              <w:rPr>
                <w:rFonts w:hint="eastAsia" w:cs="宋体"/>
                <w:b/>
                <w:bCs/>
                <w:highlight w:val="none"/>
                <w:u w:val="single"/>
                <w:lang w:val="en-US" w:eastAsia="zh-CN"/>
              </w:rPr>
              <w:t>04</w:t>
            </w:r>
            <w:r>
              <w:rPr>
                <w:rFonts w:hint="eastAsia" w:ascii="宋体" w:hAnsi="宋体" w:eastAsia="宋体" w:cs="宋体"/>
                <w:b/>
                <w:bCs/>
                <w:highlight w:val="none"/>
                <w:u w:val="single"/>
              </w:rPr>
              <w:t>日</w:t>
            </w:r>
            <w:r>
              <w:rPr>
                <w:rFonts w:hint="eastAsia" w:ascii="宋体" w:hAnsi="宋体" w:eastAsia="宋体" w:cs="宋体"/>
                <w:b/>
                <w:bCs/>
                <w:highlight w:val="none"/>
                <w:u w:val="single"/>
                <w:lang w:val="en-US" w:eastAsia="zh-CN"/>
              </w:rPr>
              <w:t>19</w:t>
            </w:r>
            <w:r>
              <w:rPr>
                <w:rFonts w:hint="eastAsia" w:ascii="宋体" w:hAnsi="宋体" w:eastAsia="宋体" w:cs="宋体"/>
                <w:b/>
                <w:bCs/>
                <w:highlight w:val="none"/>
                <w:u w:val="single"/>
              </w:rPr>
              <w:t>：</w:t>
            </w:r>
            <w:r>
              <w:rPr>
                <w:rFonts w:hint="eastAsia" w:ascii="宋体" w:hAnsi="宋体" w:eastAsia="宋体" w:cs="宋体"/>
                <w:b/>
                <w:bCs/>
                <w:highlight w:val="none"/>
                <w:u w:val="single"/>
                <w:lang w:val="en-US" w:eastAsia="zh-CN"/>
              </w:rPr>
              <w:t>00</w:t>
            </w:r>
            <w:r>
              <w:rPr>
                <w:rFonts w:hint="eastAsia" w:ascii="宋体" w:hAnsi="宋体" w:eastAsia="宋体" w:cs="宋体"/>
                <w:b/>
                <w:bCs/>
                <w:highlight w:val="none"/>
                <w:u w:val="single"/>
              </w:rPr>
              <w:t>分止（注：允许供应商自主选择</w:t>
            </w:r>
            <w:r>
              <w:rPr>
                <w:rFonts w:hint="eastAsia"/>
                <w:b/>
                <w:bCs/>
                <w:highlight w:val="none"/>
                <w:u w:val="single"/>
              </w:rPr>
              <w:t>以支票、汇票、本票、保函等非现金形式缴纳或提交保证金），并注明是投标保证金和采购项目的招标编号。投标人提交投标保证金应充分考虑资金在途时间，以投保证金到账时间为准。投标人在递交投标文件时，缴纳投标保证金后取得投标资格不得转让。</w:t>
            </w:r>
          </w:p>
          <w:p>
            <w:pPr>
              <w:pStyle w:val="32"/>
              <w:spacing w:before="75" w:after="75" w:line="240" w:lineRule="auto"/>
              <w:rPr>
                <w:rFonts w:hint="eastAsia"/>
                <w:highlight w:val="none"/>
                <w:u w:val="single"/>
              </w:rPr>
            </w:pPr>
            <w:r>
              <w:rPr>
                <w:rFonts w:hint="eastAsia"/>
                <w:b/>
                <w:bCs/>
                <w:highlight w:val="none"/>
                <w:u w:val="single"/>
              </w:rPr>
              <w:t>2、投标人未按招标文件规定缴纳投标保证金的,投标文件将被拒绝评审。</w:t>
            </w:r>
          </w:p>
        </w:tc>
      </w:tr>
      <w:tr>
        <w:tblPrEx>
          <w:tblCellMar>
            <w:top w:w="0" w:type="dxa"/>
            <w:left w:w="108" w:type="dxa"/>
            <w:bottom w:w="0" w:type="dxa"/>
            <w:right w:w="108" w:type="dxa"/>
          </w:tblCellMar>
        </w:tblPrEx>
        <w:trPr>
          <w:trHeight w:val="66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24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sz w:val="24"/>
                <w:szCs w:val="24"/>
              </w:rPr>
            </w:pPr>
            <w:r>
              <w:rPr>
                <w:rFonts w:hint="eastAsia" w:ascii="宋体" w:hAnsi="宋体" w:eastAsia="宋体" w:cs="宋体"/>
                <w:bCs/>
                <w:sz w:val="24"/>
                <w:szCs w:val="24"/>
              </w:rPr>
              <w:t>竞争性磋商文件领取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sz w:val="24"/>
                <w:szCs w:val="24"/>
              </w:rPr>
            </w:pPr>
            <w:r>
              <w:rPr>
                <w:rFonts w:hint="eastAsia" w:ascii="宋体" w:hAnsi="宋体" w:eastAsia="宋体" w:cs="宋体"/>
                <w:bCs/>
                <w:sz w:val="24"/>
                <w:szCs w:val="24"/>
                <w:lang w:val="en-US" w:eastAsia="zh-CN"/>
              </w:rPr>
              <w:t>线</w:t>
            </w:r>
            <w:r>
              <w:rPr>
                <w:rFonts w:hint="eastAsia" w:ascii="宋体" w:hAnsi="宋体" w:cs="宋体"/>
                <w:bCs/>
                <w:sz w:val="24"/>
                <w:szCs w:val="24"/>
                <w:lang w:val="en-US" w:eastAsia="zh-CN"/>
              </w:rPr>
              <w:t>上</w:t>
            </w:r>
            <w:r>
              <w:rPr>
                <w:rFonts w:hint="eastAsia" w:ascii="宋体" w:hAnsi="宋体" w:eastAsia="宋体" w:cs="宋体"/>
                <w:bCs/>
                <w:sz w:val="24"/>
                <w:szCs w:val="24"/>
                <w:lang w:val="en-US" w:eastAsia="zh-CN"/>
              </w:rPr>
              <w:t>获取采购文件</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25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sz w:val="24"/>
                <w:szCs w:val="24"/>
              </w:rPr>
            </w:pPr>
            <w:r>
              <w:rPr>
                <w:rFonts w:hint="eastAsia" w:ascii="宋体" w:hAnsi="宋体" w:cs="宋体"/>
                <w:bCs/>
                <w:sz w:val="24"/>
                <w:szCs w:val="24"/>
              </w:rPr>
              <w:t>√不允许</w:t>
            </w:r>
          </w:p>
          <w:p>
            <w:pPr>
              <w:snapToGrid w:val="0"/>
              <w:spacing w:line="240" w:lineRule="auto"/>
              <w:rPr>
                <w:rFonts w:hint="eastAsia" w:ascii="宋体" w:hAnsi="宋体" w:cs="宋体"/>
                <w:bCs/>
                <w:sz w:val="24"/>
                <w:szCs w:val="24"/>
              </w:rPr>
            </w:pPr>
            <w:r>
              <w:rPr>
                <w:rFonts w:hint="eastAsia" w:ascii="宋体" w:hAnsi="宋体" w:cs="宋体"/>
                <w:bCs/>
                <w:sz w:val="24"/>
                <w:szCs w:val="24"/>
              </w:rPr>
              <w:t>□允许</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26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签字和（或）盖章要求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宋体" w:hAnsi="宋体" w:cs="宋体"/>
                <w:bCs/>
                <w:sz w:val="24"/>
                <w:szCs w:val="24"/>
              </w:rPr>
            </w:pPr>
            <w:r>
              <w:rPr>
                <w:rFonts w:hint="eastAsia" w:ascii="宋体" w:hAnsi="宋体" w:cs="宋体"/>
                <w:bCs/>
                <w:sz w:val="24"/>
                <w:szCs w:val="24"/>
              </w:rPr>
              <w:t>企业公章、法人章</w:t>
            </w:r>
            <w:r>
              <w:rPr>
                <w:rFonts w:hint="eastAsia" w:ascii="宋体" w:hAnsi="宋体" w:cs="宋体"/>
                <w:bCs/>
                <w:sz w:val="24"/>
                <w:szCs w:val="24"/>
                <w:lang w:val="en-US" w:eastAsia="zh-CN"/>
              </w:rPr>
              <w:t>及</w:t>
            </w:r>
            <w:r>
              <w:rPr>
                <w:rFonts w:hint="eastAsia" w:ascii="宋体" w:hAnsi="宋体" w:cs="宋体"/>
                <w:bCs/>
                <w:sz w:val="24"/>
                <w:szCs w:val="24"/>
              </w:rPr>
              <w:t>企业法定代表人或其委托代理人签字</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27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eastAsia="宋体" w:cs="宋体"/>
                <w:b w:val="0"/>
                <w:bCs/>
                <w:i w:val="0"/>
                <w:caps w:val="0"/>
                <w:color w:val="000000"/>
                <w:spacing w:val="0"/>
                <w:w w:val="100"/>
                <w:sz w:val="24"/>
                <w:szCs w:val="24"/>
                <w:lang w:eastAsia="zh-CN"/>
              </w:rPr>
              <w:t>投标文件</w:t>
            </w:r>
            <w:r>
              <w:rPr>
                <w:rFonts w:hint="eastAsia" w:ascii="宋体" w:hAnsi="宋体" w:eastAsia="宋体" w:cs="宋体"/>
                <w:b w:val="0"/>
                <w:i w:val="0"/>
                <w:caps w:val="0"/>
                <w:color w:val="000000"/>
                <w:spacing w:val="0"/>
                <w:w w:val="100"/>
                <w:sz w:val="24"/>
                <w:szCs w:val="24"/>
              </w:rPr>
              <w:t>副本份数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sz w:val="24"/>
                <w:szCs w:val="24"/>
              </w:rPr>
            </w:pPr>
            <w:r>
              <w:rPr>
                <w:rFonts w:hint="eastAsia" w:ascii="宋体" w:hAnsi="宋体" w:cs="宋体"/>
                <w:sz w:val="24"/>
                <w:szCs w:val="24"/>
              </w:rPr>
              <w:t>纸质版文件：正本一份，副本</w:t>
            </w:r>
            <w:r>
              <w:rPr>
                <w:rFonts w:hint="eastAsia" w:ascii="宋体" w:hAnsi="宋体" w:cs="宋体"/>
                <w:sz w:val="24"/>
                <w:szCs w:val="24"/>
                <w:lang w:val="en-US" w:eastAsia="zh-CN"/>
              </w:rPr>
              <w:t>贰</w:t>
            </w:r>
            <w:r>
              <w:rPr>
                <w:rFonts w:hint="eastAsia" w:ascii="宋体" w:hAnsi="宋体" w:cs="宋体"/>
                <w:sz w:val="24"/>
                <w:szCs w:val="24"/>
              </w:rPr>
              <w:t>份，开标一览表1份。</w:t>
            </w:r>
          </w:p>
          <w:p>
            <w:pPr>
              <w:adjustRightInd w:val="0"/>
              <w:snapToGrid w:val="0"/>
              <w:spacing w:line="240" w:lineRule="auto"/>
              <w:jc w:val="left"/>
              <w:rPr>
                <w:rFonts w:hint="eastAsia" w:ascii="宋体" w:hAnsi="宋体" w:cs="宋体"/>
                <w:sz w:val="24"/>
                <w:szCs w:val="24"/>
              </w:rPr>
            </w:pPr>
            <w:r>
              <w:rPr>
                <w:rFonts w:hint="eastAsia" w:ascii="宋体" w:hAnsi="宋体" w:cs="宋体"/>
                <w:sz w:val="24"/>
                <w:szCs w:val="24"/>
              </w:rPr>
              <w:t>电子版文件：一份（包括投标文件正本全部内容；以U盘形式递交）；</w:t>
            </w:r>
          </w:p>
          <w:p>
            <w:pPr>
              <w:adjustRightInd w:val="0"/>
              <w:snapToGrid w:val="0"/>
              <w:spacing w:line="240" w:lineRule="auto"/>
              <w:jc w:val="left"/>
              <w:rPr>
                <w:rFonts w:hint="eastAsia" w:ascii="宋体" w:hAnsi="宋体" w:eastAsia="宋体" w:cs="宋体"/>
                <w:sz w:val="24"/>
                <w:szCs w:val="24"/>
                <w:lang w:eastAsia="zh-CN"/>
              </w:rPr>
            </w:pPr>
            <w:r>
              <w:rPr>
                <w:rFonts w:hint="eastAsia" w:ascii="宋体" w:hAnsi="宋体" w:cs="宋体"/>
                <w:sz w:val="24"/>
                <w:szCs w:val="24"/>
                <w:lang w:val="en-US" w:eastAsia="zh-CN"/>
              </w:rPr>
              <w:t>注</w:t>
            </w: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rPr>
              <w:t>电子版文件要求包含投标文件正本全部内容，电子版表面标记单位名称。电子版文件内容与投标文件正本内容不一致时以投标文件正本为准。</w:t>
            </w:r>
          </w:p>
          <w:p>
            <w:pPr>
              <w:adjustRightInd w:val="0"/>
              <w:snapToGrid w:val="0"/>
              <w:spacing w:line="240" w:lineRule="auto"/>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以上</w:t>
            </w:r>
            <w:r>
              <w:rPr>
                <w:rFonts w:hint="eastAsia" w:ascii="宋体" w:hAnsi="宋体" w:cs="宋体"/>
                <w:sz w:val="24"/>
                <w:szCs w:val="24"/>
                <w:lang w:val="en-US" w:eastAsia="zh-CN"/>
              </w:rPr>
              <w:t>文件为中标后中标单位提供</w:t>
            </w:r>
            <w:r>
              <w:rPr>
                <w:rFonts w:hint="eastAsia" w:ascii="宋体" w:hAnsi="宋体" w:cs="宋体"/>
                <w:sz w:val="24"/>
                <w:szCs w:val="24"/>
              </w:rPr>
              <w:t>。</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28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sz w:val="24"/>
                <w:szCs w:val="24"/>
                <w:highlight w:val="none"/>
              </w:rPr>
            </w:pPr>
            <w:r>
              <w:rPr>
                <w:rFonts w:hint="eastAsia" w:ascii="宋体" w:hAnsi="宋体" w:cs="宋体"/>
                <w:bCs/>
                <w:sz w:val="24"/>
                <w:szCs w:val="24"/>
                <w:highlight w:val="none"/>
              </w:rPr>
              <w:t>综合评分法（本项目采用竞争性磋商方式招标）</w:t>
            </w:r>
          </w:p>
        </w:tc>
      </w:tr>
      <w:tr>
        <w:tblPrEx>
          <w:tblCellMar>
            <w:top w:w="0" w:type="dxa"/>
            <w:left w:w="108" w:type="dxa"/>
            <w:bottom w:w="0" w:type="dxa"/>
            <w:right w:w="108" w:type="dxa"/>
          </w:tblCellMar>
        </w:tblPrEx>
        <w:trPr>
          <w:trHeight w:val="69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29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是否退还投标文件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sz w:val="24"/>
                <w:szCs w:val="24"/>
              </w:rPr>
            </w:pPr>
            <w:r>
              <w:rPr>
                <w:rFonts w:hint="eastAsia" w:ascii="宋体" w:hAnsi="宋体" w:cs="宋体"/>
                <w:bCs/>
                <w:sz w:val="24"/>
                <w:szCs w:val="24"/>
              </w:rPr>
              <w:t>☑否</w:t>
            </w:r>
          </w:p>
          <w:p>
            <w:pPr>
              <w:snapToGrid w:val="0"/>
              <w:spacing w:line="240" w:lineRule="auto"/>
              <w:rPr>
                <w:rFonts w:hint="eastAsia" w:ascii="宋体" w:hAnsi="宋体" w:cs="宋体"/>
                <w:bCs/>
                <w:sz w:val="24"/>
                <w:szCs w:val="24"/>
              </w:rPr>
            </w:pPr>
            <w:r>
              <w:rPr>
                <w:rFonts w:hint="eastAsia" w:ascii="宋体" w:hAnsi="宋体" w:cs="宋体"/>
                <w:bCs/>
                <w:sz w:val="24"/>
                <w:szCs w:val="24"/>
              </w:rPr>
              <w:t>□是</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知识产权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宋体" w:hAnsi="宋体" w:cs="宋体"/>
                <w:sz w:val="24"/>
                <w:szCs w:val="24"/>
              </w:rPr>
            </w:pPr>
            <w:r>
              <w:rPr>
                <w:rFonts w:hint="eastAsia" w:ascii="宋体" w:hAnsi="宋体" w:cs="宋体"/>
                <w:sz w:val="24"/>
                <w:szCs w:val="24"/>
              </w:rPr>
              <w:t>1投标人须保证，采购人在中华人民共和国境内使用投标设施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napToGrid w:val="0"/>
              <w:spacing w:line="240" w:lineRule="auto"/>
              <w:rPr>
                <w:rFonts w:hint="eastAsia" w:ascii="宋体" w:hAnsi="宋体" w:cs="宋体"/>
                <w:bCs/>
                <w:sz w:val="24"/>
                <w:szCs w:val="24"/>
              </w:rPr>
            </w:pPr>
            <w:r>
              <w:rPr>
                <w:rFonts w:hint="eastAsia" w:ascii="宋体" w:hAnsi="宋体" w:cs="宋体"/>
                <w:sz w:val="24"/>
                <w:szCs w:val="24"/>
              </w:rPr>
              <w:t>2投标人如欲在项目实施过程中采用自有知识成果，须在投标文件中声明，并提供相关知识产权证明文件。使用该知识成果后，投标人须提供开发接口和开发手册等技术文档。</w:t>
            </w:r>
          </w:p>
        </w:tc>
      </w:tr>
      <w:tr>
        <w:tblPrEx>
          <w:tblCellMar>
            <w:top w:w="0" w:type="dxa"/>
            <w:left w:w="108" w:type="dxa"/>
            <w:bottom w:w="0" w:type="dxa"/>
            <w:right w:w="108" w:type="dxa"/>
          </w:tblCellMar>
        </w:tblPrEx>
        <w:trPr>
          <w:trHeight w:val="161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92"/>
              <w:adjustRightInd w:val="0"/>
              <w:snapToGrid w:val="0"/>
              <w:spacing w:before="120" w:beforeLines="50" w:line="240" w:lineRule="auto"/>
              <w:jc w:val="center"/>
              <w:rPr>
                <w:rFonts w:hint="eastAsia" w:ascii="宋体" w:hAnsi="宋体" w:eastAsia="宋体" w:cs="宋体"/>
                <w:bCs/>
                <w:sz w:val="24"/>
                <w:lang w:val="en-US" w:eastAsia="zh-CN"/>
              </w:rPr>
            </w:pPr>
            <w:r>
              <w:rPr>
                <w:rFonts w:hint="eastAsia" w:ascii="宋体" w:hAnsi="宋体" w:cs="宋体"/>
                <w:sz w:val="24"/>
              </w:rPr>
              <w:t>3</w:t>
            </w:r>
            <w:r>
              <w:rPr>
                <w:rFonts w:hint="eastAsia" w:ascii="宋体" w:hAnsi="宋体" w:cs="宋体"/>
                <w:sz w:val="24"/>
                <w:lang w:val="en-US" w:eastAsia="zh-CN"/>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sz w:val="24"/>
                <w:szCs w:val="24"/>
              </w:rPr>
            </w:pPr>
            <w:r>
              <w:rPr>
                <w:rFonts w:hint="eastAsia" w:ascii="宋体" w:hAnsi="宋体" w:cs="宋体"/>
                <w:bCs/>
                <w:sz w:val="24"/>
                <w:szCs w:val="24"/>
              </w:rPr>
              <w:t>代理服务费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1500" w:hanging="900" w:hangingChars="375"/>
              <w:jc w:val="left"/>
              <w:rPr>
                <w:rFonts w:hint="eastAsia" w:ascii="宋体" w:hAnsi="宋体" w:eastAsia="宋体" w:cs="宋体"/>
                <w:sz w:val="24"/>
                <w:szCs w:val="24"/>
              </w:rPr>
            </w:pPr>
            <w:r>
              <w:rPr>
                <w:rFonts w:hint="eastAsia" w:ascii="宋体" w:hAnsi="宋体" w:eastAsia="宋体" w:cs="宋体"/>
                <w:sz w:val="24"/>
                <w:szCs w:val="24"/>
              </w:rPr>
              <w:t>中标服务费：</w:t>
            </w:r>
            <w:r>
              <w:rPr>
                <w:rFonts w:hint="eastAsia" w:ascii="宋体" w:hAnsi="宋体" w:eastAsia="宋体" w:cs="宋体"/>
                <w:sz w:val="24"/>
                <w:szCs w:val="24"/>
              </w:rPr>
              <w:sym w:font="Wingdings 2" w:char="0052"/>
            </w:r>
            <w:r>
              <w:rPr>
                <w:rFonts w:hint="eastAsia" w:ascii="宋体" w:hAnsi="宋体" w:eastAsia="宋体" w:cs="宋体"/>
                <w:sz w:val="24"/>
                <w:szCs w:val="24"/>
              </w:rPr>
              <w:t>参照原国家计委计价格【2002】1980号文和国家发改委发改办价格【2003】857号文的计算方法收取。</w:t>
            </w:r>
          </w:p>
          <w:p>
            <w:pPr>
              <w:spacing w:line="240" w:lineRule="auto"/>
              <w:jc w:val="left"/>
              <w:rPr>
                <w:rFonts w:hint="eastAsia" w:ascii="宋体" w:hAnsi="宋体" w:eastAsia="宋体" w:cs="宋体"/>
                <w:sz w:val="24"/>
                <w:szCs w:val="24"/>
                <w:u w:val="single"/>
              </w:rPr>
            </w:pPr>
            <w:r>
              <w:rPr>
                <w:rFonts w:hint="eastAsia" w:ascii="宋体" w:hAnsi="宋体" w:eastAsia="宋体" w:cs="宋体"/>
                <w:sz w:val="24"/>
                <w:szCs w:val="24"/>
              </w:rPr>
              <w:t>支付形式：</w:t>
            </w:r>
            <w:r>
              <w:rPr>
                <w:rFonts w:hint="eastAsia" w:ascii="宋体" w:hAnsi="宋体" w:eastAsia="宋体" w:cs="宋体"/>
                <w:sz w:val="24"/>
                <w:szCs w:val="24"/>
                <w:u w:val="single"/>
              </w:rPr>
              <w:t>由中标单位支付</w:t>
            </w:r>
          </w:p>
          <w:p>
            <w:pPr>
              <w:adjustRightInd w:val="0"/>
              <w:snapToGrid w:val="0"/>
              <w:spacing w:line="240" w:lineRule="auto"/>
              <w:jc w:val="left"/>
              <w:rPr>
                <w:rFonts w:hint="eastAsia" w:ascii="宋体" w:hAnsi="宋体" w:cs="宋体"/>
                <w:bCs/>
                <w:sz w:val="24"/>
                <w:szCs w:val="24"/>
              </w:rPr>
            </w:pPr>
            <w:r>
              <w:rPr>
                <w:rFonts w:hint="eastAsia" w:ascii="宋体" w:hAnsi="宋体" w:eastAsia="宋体" w:cs="宋体"/>
                <w:sz w:val="24"/>
                <w:szCs w:val="24"/>
              </w:rPr>
              <w:t>支付时间：</w:t>
            </w:r>
            <w:r>
              <w:rPr>
                <w:rFonts w:hint="eastAsia" w:ascii="宋体" w:hAnsi="宋体" w:eastAsia="宋体" w:cs="宋体"/>
                <w:sz w:val="24"/>
                <w:szCs w:val="24"/>
                <w:u w:val="single"/>
              </w:rPr>
              <w:t>中标通知书发布之日</w:t>
            </w:r>
          </w:p>
        </w:tc>
      </w:tr>
      <w:tr>
        <w:tblPrEx>
          <w:tblCellMar>
            <w:top w:w="0" w:type="dxa"/>
            <w:left w:w="108" w:type="dxa"/>
            <w:bottom w:w="0" w:type="dxa"/>
            <w:right w:w="108" w:type="dxa"/>
          </w:tblCellMar>
        </w:tblPrEx>
        <w:trPr>
          <w:trHeight w:val="67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92"/>
              <w:adjustRightInd w:val="0"/>
              <w:snapToGrid w:val="0"/>
              <w:spacing w:before="120" w:beforeLines="50" w:line="240" w:lineRule="auto"/>
              <w:jc w:val="center"/>
              <w:rPr>
                <w:rFonts w:hint="default" w:ascii="宋体" w:hAnsi="宋体" w:eastAsia="宋体" w:cs="宋体"/>
                <w:sz w:val="24"/>
                <w:lang w:val="en-US" w:eastAsia="zh-CN"/>
              </w:rPr>
            </w:pPr>
            <w:r>
              <w:rPr>
                <w:rFonts w:hint="eastAsia" w:ascii="宋体" w:hAnsi="宋体" w:cs="宋体"/>
                <w:sz w:val="24"/>
                <w:lang w:val="en-US" w:eastAsia="zh-CN"/>
              </w:rPr>
              <w:t>32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sz w:val="24"/>
                <w:szCs w:val="24"/>
              </w:rPr>
            </w:pPr>
            <w:r>
              <w:rPr>
                <w:rFonts w:hint="eastAsia" w:ascii="宋体" w:hAnsi="宋体" w:cs="宋体"/>
                <w:bCs/>
                <w:sz w:val="24"/>
                <w:szCs w:val="24"/>
              </w:rPr>
              <w:t>中小微型等企业</w:t>
            </w:r>
          </w:p>
          <w:p>
            <w:pPr>
              <w:adjustRightInd w:val="0"/>
              <w:snapToGrid w:val="0"/>
              <w:spacing w:line="240" w:lineRule="auto"/>
              <w:rPr>
                <w:rFonts w:hint="eastAsia" w:ascii="宋体" w:hAnsi="宋体" w:cs="宋体"/>
                <w:bCs/>
                <w:sz w:val="24"/>
                <w:szCs w:val="24"/>
              </w:rPr>
            </w:pPr>
            <w:r>
              <w:rPr>
                <w:rFonts w:hint="eastAsia" w:ascii="宋体" w:hAnsi="宋体" w:cs="宋体"/>
                <w:bCs/>
                <w:sz w:val="24"/>
                <w:szCs w:val="24"/>
              </w:rPr>
              <w:t>有关政策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sz w:val="24"/>
                <w:szCs w:val="24"/>
              </w:rPr>
            </w:pPr>
            <w:r>
              <w:rPr>
                <w:rFonts w:hint="eastAsia" w:ascii="宋体" w:hAnsi="宋体" w:cs="宋体"/>
                <w:bCs/>
                <w:sz w:val="24"/>
                <w:szCs w:val="24"/>
              </w:rPr>
              <w:t>（1）按照《财政部工业和信息化部关于印发&lt;政府采购促进中小企业发展暂行办法&gt;的通知》（财库〔2020〕46号）的规定，落实促进中小企业发展政策；（2）按照《财政部、司法部关于政府采购支持监狱企业发展有关问题的通知》（财库〔2014〕68号）的规定，落实支持监狱企业发展政策；（3）按照《三部门联合发布关于促进残疾人就业政府采购政策的通知》（财库〔2017〕141号）的规定，落实支持残疾人福利性单位发展政策。（4）《关于调整优化节能产品、环境标志产品政府采购执行机制的通知》（财库[2019]9号）的规定。</w:t>
            </w:r>
          </w:p>
        </w:tc>
      </w:tr>
      <w:tr>
        <w:tblPrEx>
          <w:tblCellMar>
            <w:top w:w="0" w:type="dxa"/>
            <w:left w:w="108" w:type="dxa"/>
            <w:bottom w:w="0" w:type="dxa"/>
            <w:right w:w="108" w:type="dxa"/>
          </w:tblCellMar>
        </w:tblPrEx>
        <w:trPr>
          <w:trHeight w:val="11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sz w:val="24"/>
                <w:szCs w:val="24"/>
                <w:lang w:val="en-US" w:eastAsia="zh-CN"/>
              </w:rPr>
            </w:pPr>
            <w:r>
              <w:rPr>
                <w:rFonts w:hint="eastAsia" w:ascii="宋体" w:hAnsi="宋体" w:cs="宋体"/>
                <w:bCs/>
                <w:sz w:val="24"/>
                <w:szCs w:val="24"/>
              </w:rPr>
              <w:t>3</w:t>
            </w:r>
            <w:r>
              <w:rPr>
                <w:rFonts w:hint="eastAsia" w:ascii="宋体" w:hAnsi="宋体" w:cs="宋体"/>
                <w:bCs/>
                <w:sz w:val="24"/>
                <w:szCs w:val="24"/>
                <w:lang w:val="en-US" w:eastAsia="zh-CN"/>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解释权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sz w:val="24"/>
                <w:szCs w:val="24"/>
              </w:rPr>
            </w:pPr>
            <w:r>
              <w:rPr>
                <w:rFonts w:hint="eastAsia" w:ascii="宋体" w:hAnsi="宋体" w:cs="宋体"/>
                <w:bCs/>
                <w:sz w:val="24"/>
                <w:szCs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p>
            <w:pPr>
              <w:adjustRightInd w:val="0"/>
              <w:snapToGrid w:val="0"/>
              <w:spacing w:line="240" w:lineRule="auto"/>
              <w:jc w:val="left"/>
              <w:rPr>
                <w:rFonts w:ascii="宋体" w:hAnsi="宋体" w:cs="宋体"/>
                <w:bCs/>
                <w:sz w:val="24"/>
                <w:szCs w:val="24"/>
              </w:rPr>
            </w:pPr>
            <w:r>
              <w:rPr>
                <w:rFonts w:hint="eastAsia" w:ascii="宋体" w:hAnsi="宋体" w:cs="宋体"/>
                <w:b/>
                <w:sz w:val="24"/>
                <w:szCs w:val="24"/>
              </w:rPr>
              <w:t>如对招标文件有疑惑，请联系代理机构。</w:t>
            </w:r>
          </w:p>
        </w:tc>
      </w:tr>
      <w:tr>
        <w:tblPrEx>
          <w:tblCellMar>
            <w:top w:w="0" w:type="dxa"/>
            <w:left w:w="108" w:type="dxa"/>
            <w:bottom w:w="0" w:type="dxa"/>
            <w:right w:w="108" w:type="dxa"/>
          </w:tblCellMar>
        </w:tblPrEx>
        <w:trPr>
          <w:trHeight w:val="11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sz w:val="24"/>
                <w:szCs w:val="24"/>
                <w:lang w:val="en-US" w:eastAsia="zh-CN"/>
              </w:rPr>
            </w:pPr>
            <w:r>
              <w:rPr>
                <w:rFonts w:hint="eastAsia" w:ascii="宋体" w:hAnsi="宋体" w:cs="宋体"/>
                <w:bCs/>
                <w:sz w:val="24"/>
                <w:szCs w:val="24"/>
              </w:rPr>
              <w:t>3</w:t>
            </w:r>
            <w:r>
              <w:rPr>
                <w:rFonts w:hint="eastAsia" w:ascii="宋体" w:hAnsi="宋体" w:cs="宋体"/>
                <w:bCs/>
                <w:sz w:val="24"/>
                <w:szCs w:val="24"/>
                <w:lang w:val="en-US" w:eastAsia="zh-CN"/>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sz w:val="24"/>
                <w:szCs w:val="24"/>
              </w:rPr>
            </w:pPr>
            <w:r>
              <w:rPr>
                <w:rFonts w:hint="eastAsia" w:ascii="宋体" w:hAnsi="宋体" w:cs="宋体"/>
                <w:bCs/>
                <w:sz w:val="24"/>
                <w:szCs w:val="24"/>
              </w:rPr>
              <w:t>其他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2"/>
              <w:spacing w:line="240" w:lineRule="auto"/>
              <w:rPr>
                <w:rFonts w:hint="eastAsia" w:cs="宋体"/>
                <w:bCs/>
                <w:sz w:val="24"/>
                <w:szCs w:val="24"/>
              </w:rPr>
            </w:pPr>
            <w:r>
              <w:rPr>
                <w:rFonts w:hint="eastAsia" w:cs="宋体"/>
                <w:bCs/>
                <w:sz w:val="24"/>
                <w:szCs w:val="24"/>
              </w:rPr>
              <w:t>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邮寄件、传真件不予受理），逾期不再接收。</w:t>
            </w:r>
          </w:p>
          <w:p>
            <w:pPr>
              <w:adjustRightInd w:val="0"/>
              <w:snapToGrid w:val="0"/>
              <w:spacing w:line="240" w:lineRule="auto"/>
              <w:jc w:val="left"/>
              <w:rPr>
                <w:rFonts w:hint="eastAsia" w:ascii="宋体" w:hAnsi="宋体" w:cs="宋体"/>
                <w:bCs/>
                <w:sz w:val="24"/>
                <w:szCs w:val="24"/>
              </w:rPr>
            </w:pPr>
            <w:r>
              <w:rPr>
                <w:rFonts w:hint="eastAsia" w:ascii="宋体" w:hAnsi="宋体" w:cs="宋体"/>
                <w:bCs/>
                <w:sz w:val="24"/>
                <w:szCs w:val="24"/>
              </w:rPr>
              <w:t>在法定质疑期内供应商针对同一采购程序环节的质疑应当一次性提出。</w:t>
            </w:r>
          </w:p>
        </w:tc>
      </w:tr>
    </w:tbl>
    <w:p>
      <w:pPr>
        <w:pStyle w:val="67"/>
        <w:spacing w:line="360" w:lineRule="auto"/>
        <w:jc w:val="center"/>
        <w:rPr>
          <w:rFonts w:hint="eastAsia" w:ascii="宋体" w:hAnsi="宋体" w:cs="宋体"/>
          <w:b/>
          <w:color w:val="auto"/>
          <w:sz w:val="28"/>
          <w:szCs w:val="28"/>
        </w:rPr>
      </w:pPr>
    </w:p>
    <w:p>
      <w:pPr>
        <w:pStyle w:val="67"/>
        <w:spacing w:line="360" w:lineRule="auto"/>
        <w:jc w:val="center"/>
        <w:rPr>
          <w:rFonts w:hint="eastAsia" w:ascii="宋体" w:hAnsi="宋体" w:cs="宋体"/>
          <w:b/>
          <w:color w:val="auto"/>
          <w:sz w:val="28"/>
          <w:szCs w:val="28"/>
        </w:rPr>
      </w:pPr>
    </w:p>
    <w:p>
      <w:pPr>
        <w:pStyle w:val="67"/>
        <w:spacing w:line="360" w:lineRule="auto"/>
        <w:jc w:val="center"/>
        <w:rPr>
          <w:rFonts w:hint="eastAsia" w:ascii="宋体" w:hAnsi="宋体" w:cs="宋体"/>
          <w:b/>
          <w:color w:val="auto"/>
          <w:sz w:val="28"/>
          <w:szCs w:val="28"/>
        </w:rPr>
      </w:pPr>
    </w:p>
    <w:p>
      <w:pPr>
        <w:pStyle w:val="67"/>
        <w:spacing w:line="360" w:lineRule="auto"/>
        <w:jc w:val="center"/>
        <w:rPr>
          <w:rFonts w:hint="eastAsia" w:ascii="宋体" w:hAnsi="宋体" w:cs="宋体"/>
          <w:b/>
          <w:color w:val="auto"/>
          <w:sz w:val="28"/>
          <w:szCs w:val="28"/>
        </w:rPr>
      </w:pPr>
    </w:p>
    <w:p>
      <w:pPr>
        <w:pStyle w:val="67"/>
        <w:spacing w:line="360" w:lineRule="auto"/>
        <w:jc w:val="center"/>
        <w:rPr>
          <w:rFonts w:hint="eastAsia" w:ascii="宋体" w:hAnsi="宋体" w:cs="宋体"/>
          <w:b/>
          <w:color w:val="auto"/>
          <w:sz w:val="28"/>
          <w:szCs w:val="28"/>
        </w:rPr>
      </w:pPr>
    </w:p>
    <w:p>
      <w:pPr>
        <w:pStyle w:val="67"/>
        <w:spacing w:line="360" w:lineRule="auto"/>
        <w:jc w:val="center"/>
        <w:rPr>
          <w:rFonts w:hint="eastAsia" w:ascii="宋体" w:hAnsi="宋体" w:cs="宋体"/>
          <w:b/>
          <w:color w:val="auto"/>
          <w:sz w:val="28"/>
          <w:szCs w:val="28"/>
        </w:rPr>
      </w:pPr>
    </w:p>
    <w:p>
      <w:pPr>
        <w:pStyle w:val="67"/>
        <w:spacing w:line="360" w:lineRule="auto"/>
        <w:jc w:val="center"/>
        <w:rPr>
          <w:rFonts w:hint="eastAsia" w:ascii="宋体" w:hAnsi="宋体" w:cs="宋体"/>
          <w:b/>
          <w:color w:val="auto"/>
          <w:sz w:val="28"/>
          <w:szCs w:val="28"/>
        </w:rPr>
      </w:pPr>
    </w:p>
    <w:p>
      <w:pPr>
        <w:pStyle w:val="67"/>
        <w:spacing w:line="360" w:lineRule="auto"/>
        <w:jc w:val="center"/>
        <w:rPr>
          <w:rFonts w:hint="eastAsia" w:ascii="宋体" w:hAnsi="宋体" w:cs="宋体"/>
          <w:b/>
          <w:color w:val="auto"/>
          <w:sz w:val="28"/>
          <w:szCs w:val="28"/>
        </w:rPr>
      </w:pPr>
    </w:p>
    <w:p>
      <w:pPr>
        <w:pStyle w:val="177"/>
        <w:jc w:val="center"/>
        <w:outlineLvl w:val="1"/>
        <w:rPr>
          <w:rFonts w:hint="eastAsia" w:ascii="宋体" w:hAnsi="宋体" w:eastAsia="宋体" w:cs="宋体"/>
          <w:b/>
          <w:bCs/>
          <w:szCs w:val="22"/>
        </w:rPr>
      </w:pPr>
      <w:bookmarkStart w:id="12" w:name="_Toc256000005"/>
      <w:bookmarkStart w:id="13" w:name="_Toc256000014"/>
      <w:bookmarkStart w:id="14" w:name="_Toc25893"/>
      <w:bookmarkStart w:id="15" w:name="_Toc5724"/>
      <w:bookmarkStart w:id="16" w:name="_Toc937"/>
      <w:r>
        <w:rPr>
          <w:rFonts w:hint="eastAsia" w:ascii="宋体" w:hAnsi="宋体" w:eastAsia="宋体" w:cs="宋体"/>
          <w:b/>
          <w:bCs/>
          <w:szCs w:val="22"/>
        </w:rPr>
        <w:t>一、说明</w:t>
      </w:r>
      <w:bookmarkEnd w:id="12"/>
      <w:bookmarkEnd w:id="13"/>
      <w:bookmarkEnd w:id="14"/>
      <w:bookmarkEnd w:id="15"/>
      <w:bookmarkEnd w:id="16"/>
    </w:p>
    <w:p>
      <w:pPr>
        <w:pStyle w:val="174"/>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1.1  适用范围</w:t>
      </w:r>
    </w:p>
    <w:p>
      <w:pPr>
        <w:pStyle w:val="174"/>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1.1本磋商文件仅适用于本磋商邀请中所叙述的采购项目。</w:t>
      </w:r>
    </w:p>
    <w:p>
      <w:pPr>
        <w:pStyle w:val="174"/>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1.2  项目概况</w:t>
      </w:r>
    </w:p>
    <w:p>
      <w:pPr>
        <w:pStyle w:val="174"/>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见</w:t>
      </w:r>
      <w:r>
        <w:rPr>
          <w:rFonts w:hint="eastAsia" w:ascii="宋体" w:hAnsi="宋体" w:eastAsia="宋体" w:cs="宋体"/>
          <w:b/>
          <w:sz w:val="24"/>
          <w:szCs w:val="24"/>
        </w:rPr>
        <w:t>磋商须知前附表1</w:t>
      </w:r>
      <w:r>
        <w:rPr>
          <w:rFonts w:hint="eastAsia" w:ascii="宋体" w:hAnsi="宋体" w:eastAsia="宋体" w:cs="宋体"/>
          <w:sz w:val="24"/>
          <w:szCs w:val="24"/>
        </w:rPr>
        <w:t>。</w:t>
      </w:r>
    </w:p>
    <w:p>
      <w:pPr>
        <w:pStyle w:val="174"/>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1.3  合格的供应商</w:t>
      </w:r>
    </w:p>
    <w:p>
      <w:pPr>
        <w:pStyle w:val="174"/>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bCs/>
          <w:sz w:val="24"/>
          <w:szCs w:val="24"/>
        </w:rPr>
        <w:t>1.3.1 供应商的资格要求见</w:t>
      </w:r>
      <w:r>
        <w:rPr>
          <w:rFonts w:hint="eastAsia" w:ascii="宋体" w:hAnsi="宋体" w:eastAsia="宋体" w:cs="宋体"/>
          <w:b/>
          <w:sz w:val="24"/>
          <w:szCs w:val="24"/>
        </w:rPr>
        <w:t>磋商须知前附表</w:t>
      </w:r>
      <w:r>
        <w:rPr>
          <w:rFonts w:hint="eastAsia" w:ascii="宋体" w:hAnsi="宋体" w:eastAsia="宋体" w:cs="宋体"/>
          <w:sz w:val="24"/>
          <w:szCs w:val="24"/>
        </w:rPr>
        <w:t>；</w:t>
      </w:r>
    </w:p>
    <w:p>
      <w:pPr>
        <w:pStyle w:val="174"/>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1.3.2凡为本采购项目提供整体设计、规范编制或者项目管理、监理、检测等服务的供应商，不得参加报价。</w:t>
      </w:r>
    </w:p>
    <w:p>
      <w:pPr>
        <w:pStyle w:val="174"/>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1.3.3一个供应商只能提交一个响应文件。但如果不同供应商之间的单位负责人为同一人或者存在直接控股、管理关系的，均作无效报价处理。</w:t>
      </w:r>
    </w:p>
    <w:p>
      <w:pPr>
        <w:pStyle w:val="174"/>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1.3.4供应商存在下列情形之一的，将被认定为串通报价行为并作无效报价处理：</w:t>
      </w:r>
    </w:p>
    <w:p>
      <w:pPr>
        <w:pStyle w:val="174"/>
        <w:spacing w:line="360" w:lineRule="auto"/>
        <w:ind w:firstLine="420"/>
        <w:rPr>
          <w:rFonts w:hint="eastAsia" w:ascii="宋体" w:hAnsi="宋体" w:eastAsia="宋体" w:cs="宋体"/>
          <w:sz w:val="24"/>
          <w:szCs w:val="24"/>
        </w:rPr>
      </w:pPr>
      <w:r>
        <w:rPr>
          <w:rFonts w:hint="eastAsia" w:ascii="宋体" w:hAnsi="宋体" w:eastAsia="宋体" w:cs="宋体"/>
          <w:sz w:val="24"/>
          <w:szCs w:val="24"/>
        </w:rPr>
        <w:t>（1）不同供应商的响应文件错、漏之处一致或雷同，且不能合理解释的；</w:t>
      </w:r>
    </w:p>
    <w:p>
      <w:pPr>
        <w:pStyle w:val="174"/>
        <w:spacing w:line="360" w:lineRule="auto"/>
        <w:ind w:firstLine="420"/>
        <w:rPr>
          <w:rFonts w:hint="eastAsia" w:ascii="宋体" w:hAnsi="宋体" w:eastAsia="宋体" w:cs="宋体"/>
          <w:sz w:val="24"/>
          <w:szCs w:val="24"/>
        </w:rPr>
      </w:pPr>
      <w:r>
        <w:rPr>
          <w:rFonts w:hint="eastAsia" w:ascii="宋体" w:hAnsi="宋体" w:eastAsia="宋体" w:cs="宋体"/>
          <w:sz w:val="24"/>
          <w:szCs w:val="24"/>
        </w:rPr>
        <w:t>（2）由同一人或分别由几个有利害关系的人携带两个以上（含两个）供应商的企业资料参与资格审查、领取磋商资料，或代表两个以上（含两个）供应商参加磋商答疑会、交纳或退还磋商保证金、开标的；</w:t>
      </w:r>
    </w:p>
    <w:p>
      <w:pPr>
        <w:pStyle w:val="174"/>
        <w:adjustRightInd w:val="0"/>
        <w:snapToGrid w:val="0"/>
        <w:spacing w:line="360" w:lineRule="auto"/>
        <w:ind w:firstLine="480" w:firstLineChars="200"/>
        <w:rPr>
          <w:rFonts w:hint="eastAsia" w:ascii="宋体" w:hAnsi="宋体" w:eastAsia="宋体" w:cs="宋体"/>
          <w:color w:val="999999"/>
          <w:sz w:val="24"/>
          <w:szCs w:val="24"/>
        </w:rPr>
      </w:pPr>
      <w:r>
        <w:rPr>
          <w:rFonts w:hint="eastAsia" w:ascii="宋体" w:hAnsi="宋体" w:eastAsia="宋体" w:cs="宋体"/>
          <w:sz w:val="24"/>
          <w:szCs w:val="24"/>
        </w:rPr>
        <w:t>（3）有关法律、法规或规章规定的其他串通报价行为。</w:t>
      </w:r>
    </w:p>
    <w:p>
      <w:pPr>
        <w:pStyle w:val="174"/>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1.4 参与磋商的费用 </w:t>
      </w:r>
    </w:p>
    <w:p>
      <w:pPr>
        <w:pStyle w:val="174"/>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无论磋商的结果如何，供应商应自行承担所有与</w:t>
      </w:r>
      <w:r>
        <w:rPr>
          <w:rFonts w:hint="eastAsia" w:ascii="宋体" w:hAnsi="宋体" w:eastAsia="宋体" w:cs="宋体"/>
          <w:kern w:val="0"/>
          <w:sz w:val="24"/>
          <w:szCs w:val="24"/>
        </w:rPr>
        <w:t>磋商</w:t>
      </w:r>
      <w:r>
        <w:rPr>
          <w:rFonts w:hint="eastAsia" w:ascii="宋体" w:hAnsi="宋体" w:eastAsia="宋体" w:cs="宋体"/>
          <w:kern w:val="0"/>
          <w:sz w:val="24"/>
          <w:szCs w:val="24"/>
          <w:lang w:val="zh-CN"/>
        </w:rPr>
        <w:t>采购活动</w:t>
      </w:r>
      <w:r>
        <w:rPr>
          <w:rFonts w:hint="eastAsia" w:ascii="宋体" w:hAnsi="宋体" w:eastAsia="宋体" w:cs="宋体"/>
          <w:sz w:val="24"/>
          <w:szCs w:val="24"/>
        </w:rPr>
        <w:t>有关的全部费用。</w:t>
      </w:r>
    </w:p>
    <w:p>
      <w:pPr>
        <w:pStyle w:val="177"/>
        <w:jc w:val="center"/>
        <w:outlineLvl w:val="1"/>
        <w:rPr>
          <w:rFonts w:hint="eastAsia" w:ascii="宋体" w:hAnsi="宋体" w:eastAsia="宋体" w:cs="宋体"/>
          <w:b/>
          <w:bCs/>
          <w:szCs w:val="22"/>
        </w:rPr>
      </w:pPr>
      <w:bookmarkStart w:id="17" w:name="_Toc23764"/>
      <w:bookmarkStart w:id="18" w:name="_Toc20876"/>
      <w:bookmarkStart w:id="19" w:name="_Toc256000006"/>
      <w:bookmarkStart w:id="20" w:name="_Toc31239"/>
      <w:bookmarkStart w:id="21" w:name="_Toc256000015"/>
      <w:r>
        <w:rPr>
          <w:rFonts w:hint="eastAsia" w:ascii="宋体" w:hAnsi="宋体" w:eastAsia="宋体" w:cs="宋体"/>
          <w:b/>
          <w:bCs/>
          <w:szCs w:val="22"/>
        </w:rPr>
        <w:t>二、磋商文件</w:t>
      </w:r>
      <w:bookmarkEnd w:id="17"/>
      <w:bookmarkEnd w:id="18"/>
      <w:bookmarkEnd w:id="19"/>
      <w:bookmarkEnd w:id="20"/>
      <w:bookmarkEnd w:id="21"/>
    </w:p>
    <w:p>
      <w:pPr>
        <w:pStyle w:val="174"/>
        <w:adjustRightInd w:val="0"/>
        <w:snapToGrid w:val="0"/>
        <w:spacing w:line="360" w:lineRule="auto"/>
        <w:rPr>
          <w:rFonts w:hint="eastAsia" w:ascii="宋体" w:hAnsi="宋体" w:cs="宋体"/>
          <w:b/>
          <w:bCs/>
          <w:sz w:val="24"/>
        </w:rPr>
      </w:pPr>
      <w:r>
        <w:rPr>
          <w:rFonts w:hint="eastAsia" w:ascii="宋体" w:hAnsi="宋体" w:cs="宋体"/>
          <w:b/>
          <w:bCs/>
          <w:sz w:val="24"/>
        </w:rPr>
        <w:t>2.1  磋商文件的组成</w:t>
      </w:r>
    </w:p>
    <w:p>
      <w:pPr>
        <w:pStyle w:val="90"/>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（1）磋商邀请</w:t>
      </w:r>
    </w:p>
    <w:p>
      <w:pPr>
        <w:pStyle w:val="90"/>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（2）磋商须知</w:t>
      </w:r>
    </w:p>
    <w:p>
      <w:pPr>
        <w:pStyle w:val="174"/>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（3）政府采购合同格式</w:t>
      </w:r>
    </w:p>
    <w:p>
      <w:pPr>
        <w:pStyle w:val="90"/>
        <w:adjustRightInd w:val="0"/>
        <w:snapToGrid w:val="0"/>
        <w:spacing w:line="360" w:lineRule="auto"/>
        <w:ind w:firstLine="480" w:firstLineChars="200"/>
        <w:rPr>
          <w:rFonts w:hint="eastAsia" w:hAnsi="宋体" w:cs="宋体"/>
          <w:sz w:val="24"/>
          <w:szCs w:val="24"/>
        </w:rPr>
      </w:pPr>
      <w:r>
        <w:rPr>
          <w:rFonts w:hint="eastAsia" w:hAnsi="宋体" w:cs="宋体"/>
          <w:sz w:val="24"/>
          <w:szCs w:val="24"/>
        </w:rPr>
        <w:t>（4）工程量清单及技术标准</w:t>
      </w:r>
    </w:p>
    <w:p>
      <w:pPr>
        <w:pStyle w:val="90"/>
        <w:adjustRightInd w:val="0"/>
        <w:snapToGrid w:val="0"/>
        <w:spacing w:line="360" w:lineRule="auto"/>
        <w:ind w:firstLine="480" w:firstLineChars="200"/>
        <w:rPr>
          <w:rFonts w:hint="eastAsia" w:hAnsi="宋体" w:cs="宋体"/>
          <w:bCs/>
          <w:sz w:val="24"/>
          <w:szCs w:val="24"/>
        </w:rPr>
      </w:pPr>
      <w:r>
        <w:rPr>
          <w:rFonts w:hint="eastAsia" w:hAnsi="宋体" w:cs="宋体"/>
          <w:sz w:val="24"/>
          <w:szCs w:val="24"/>
        </w:rPr>
        <w:t>（5）</w:t>
      </w:r>
      <w:r>
        <w:rPr>
          <w:rFonts w:hint="eastAsia" w:hAnsi="宋体" w:cs="宋体"/>
          <w:bCs/>
          <w:sz w:val="24"/>
          <w:szCs w:val="24"/>
        </w:rPr>
        <w:t>图纸</w:t>
      </w:r>
    </w:p>
    <w:p>
      <w:pPr>
        <w:pStyle w:val="174"/>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（6）响应文件格式</w:t>
      </w:r>
    </w:p>
    <w:p>
      <w:pPr>
        <w:pStyle w:val="174"/>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（7）磋商方发出的所有修改、澄清通知。</w:t>
      </w:r>
    </w:p>
    <w:p>
      <w:pPr>
        <w:pStyle w:val="174"/>
        <w:adjustRightInd w:val="0"/>
        <w:snapToGrid w:val="0"/>
        <w:spacing w:line="360" w:lineRule="auto"/>
        <w:rPr>
          <w:rFonts w:hint="eastAsia" w:ascii="宋体" w:hAnsi="宋体" w:cs="宋体"/>
          <w:b/>
          <w:bCs/>
          <w:sz w:val="24"/>
        </w:rPr>
      </w:pPr>
      <w:r>
        <w:rPr>
          <w:rFonts w:hint="eastAsia" w:ascii="宋体" w:hAnsi="宋体" w:cs="宋体"/>
          <w:b/>
          <w:bCs/>
          <w:sz w:val="24"/>
        </w:rPr>
        <w:t>2.2 磋商文件的澄清</w:t>
      </w:r>
      <w:r>
        <w:rPr>
          <w:rFonts w:hint="eastAsia" w:ascii="宋体" w:hAnsi="宋体" w:cs="宋体"/>
          <w:b/>
          <w:kern w:val="0"/>
          <w:sz w:val="24"/>
          <w:lang w:val="zh-CN"/>
        </w:rPr>
        <w:t>或者</w:t>
      </w:r>
      <w:r>
        <w:rPr>
          <w:rFonts w:hint="eastAsia" w:ascii="宋体" w:hAnsi="宋体" w:cs="宋体"/>
          <w:b/>
          <w:bCs/>
          <w:sz w:val="24"/>
        </w:rPr>
        <w:t>修改</w:t>
      </w:r>
    </w:p>
    <w:p>
      <w:pPr>
        <w:pStyle w:val="174"/>
        <w:adjustRightInd w:val="0"/>
        <w:snapToGrid w:val="0"/>
        <w:spacing w:line="360" w:lineRule="auto"/>
        <w:ind w:right="-105" w:rightChars="-50" w:firstLine="480" w:firstLineChars="200"/>
        <w:rPr>
          <w:rFonts w:hint="eastAsia" w:ascii="宋体" w:hAnsi="宋体" w:cs="宋体"/>
          <w:color w:val="00B0F0"/>
          <w:sz w:val="24"/>
        </w:rPr>
      </w:pPr>
      <w:r>
        <w:rPr>
          <w:rFonts w:hint="eastAsia" w:ascii="宋体" w:hAnsi="宋体" w:cs="宋体"/>
          <w:sz w:val="24"/>
        </w:rPr>
        <w:t>2.2.1</w:t>
      </w:r>
      <w:r>
        <w:rPr>
          <w:rFonts w:hint="eastAsia" w:ascii="宋体" w:hAnsi="宋体" w:cs="宋体"/>
          <w:sz w:val="24"/>
          <w:lang w:val="zh-CN"/>
        </w:rPr>
        <w:t>供应商在收到</w:t>
      </w:r>
      <w:r>
        <w:rPr>
          <w:rFonts w:hint="eastAsia" w:ascii="宋体" w:hAnsi="宋体" w:cs="宋体"/>
          <w:sz w:val="24"/>
        </w:rPr>
        <w:t>磋商</w:t>
      </w:r>
      <w:r>
        <w:rPr>
          <w:rFonts w:hint="eastAsia" w:ascii="宋体" w:hAnsi="宋体" w:cs="宋体"/>
          <w:sz w:val="24"/>
          <w:lang w:val="zh-CN"/>
        </w:rPr>
        <w:t>文件后，若有疑问需要澄清，应于收到</w:t>
      </w:r>
      <w:r>
        <w:rPr>
          <w:rFonts w:hint="eastAsia" w:ascii="宋体" w:hAnsi="宋体" w:cs="宋体"/>
          <w:sz w:val="24"/>
        </w:rPr>
        <w:t>磋商</w:t>
      </w:r>
      <w:r>
        <w:rPr>
          <w:rFonts w:hint="eastAsia" w:ascii="宋体" w:hAnsi="宋体" w:cs="宋体"/>
          <w:sz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sz w:val="24"/>
        </w:rPr>
        <w:t>磋商采购活动</w:t>
      </w:r>
      <w:r>
        <w:rPr>
          <w:rFonts w:hint="eastAsia" w:ascii="宋体" w:hAnsi="宋体" w:cs="宋体"/>
          <w:sz w:val="24"/>
          <w:lang w:val="zh-CN"/>
        </w:rPr>
        <w:t>的供应商。</w:t>
      </w:r>
    </w:p>
    <w:p>
      <w:pPr>
        <w:pStyle w:val="174"/>
        <w:adjustRightInd w:val="0"/>
        <w:snapToGrid w:val="0"/>
        <w:spacing w:line="360" w:lineRule="auto"/>
        <w:ind w:right="-105" w:rightChars="-50" w:firstLine="480" w:firstLineChars="200"/>
        <w:rPr>
          <w:rFonts w:hint="eastAsia" w:ascii="宋体" w:hAnsi="宋体" w:cs="宋体"/>
          <w:sz w:val="24"/>
        </w:rPr>
      </w:pPr>
      <w:r>
        <w:rPr>
          <w:rFonts w:hint="eastAsia" w:ascii="宋体" w:hAnsi="宋体" w:cs="宋体"/>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177"/>
        <w:jc w:val="center"/>
        <w:outlineLvl w:val="1"/>
        <w:rPr>
          <w:rFonts w:hint="eastAsia" w:ascii="宋体" w:hAnsi="宋体" w:eastAsia="宋体" w:cs="宋体"/>
          <w:b/>
          <w:bCs/>
          <w:szCs w:val="22"/>
        </w:rPr>
      </w:pPr>
      <w:bookmarkStart w:id="22" w:name="_Toc29250"/>
      <w:bookmarkStart w:id="23" w:name="_Toc17421"/>
      <w:bookmarkStart w:id="24" w:name="_Toc256000007"/>
      <w:bookmarkStart w:id="25" w:name="_Toc256000016"/>
      <w:bookmarkStart w:id="26" w:name="_Toc5778"/>
      <w:r>
        <w:rPr>
          <w:rFonts w:hint="eastAsia" w:ascii="宋体" w:hAnsi="宋体" w:eastAsia="宋体" w:cs="宋体"/>
          <w:b/>
          <w:bCs/>
          <w:szCs w:val="22"/>
        </w:rPr>
        <w:t>三、响应文件</w:t>
      </w:r>
      <w:bookmarkEnd w:id="22"/>
      <w:bookmarkEnd w:id="23"/>
      <w:bookmarkEnd w:id="24"/>
      <w:bookmarkEnd w:id="25"/>
      <w:bookmarkEnd w:id="26"/>
    </w:p>
    <w:p>
      <w:pPr>
        <w:pStyle w:val="174"/>
        <w:adjustRightInd w:val="0"/>
        <w:snapToGrid w:val="0"/>
        <w:spacing w:line="360" w:lineRule="auto"/>
        <w:rPr>
          <w:rFonts w:hint="eastAsia" w:ascii="宋体" w:hAnsi="宋体" w:cs="宋体"/>
          <w:b/>
          <w:bCs/>
          <w:sz w:val="24"/>
        </w:rPr>
      </w:pPr>
      <w:r>
        <w:rPr>
          <w:rFonts w:hint="eastAsia" w:ascii="宋体" w:hAnsi="宋体" w:cs="宋体"/>
          <w:b/>
          <w:bCs/>
          <w:sz w:val="24"/>
        </w:rPr>
        <w:t>3.1 一般要求</w:t>
      </w:r>
    </w:p>
    <w:p>
      <w:pPr>
        <w:pStyle w:val="174"/>
        <w:adjustRightInd w:val="0"/>
        <w:snapToGrid w:val="0"/>
        <w:spacing w:line="360" w:lineRule="auto"/>
        <w:ind w:right="-105" w:rightChars="-50" w:firstLine="480" w:firstLineChars="200"/>
        <w:rPr>
          <w:rFonts w:hint="eastAsia" w:ascii="宋体" w:hAnsi="宋体" w:cs="宋体"/>
          <w:sz w:val="24"/>
        </w:rPr>
      </w:pPr>
      <w:r>
        <w:rPr>
          <w:rFonts w:hint="eastAsia" w:ascii="宋体" w:hAnsi="宋体" w:cs="宋体"/>
          <w:sz w:val="24"/>
        </w:rPr>
        <w:t>3.1.1 供应商应按本文件第七章“响应文件格式”的要求编制响应文件。</w:t>
      </w:r>
    </w:p>
    <w:p>
      <w:pPr>
        <w:pStyle w:val="174"/>
        <w:adjustRightInd w:val="0"/>
        <w:snapToGrid w:val="0"/>
        <w:spacing w:line="360" w:lineRule="auto"/>
        <w:ind w:right="-105" w:rightChars="-50" w:firstLine="480" w:firstLineChars="200"/>
        <w:rPr>
          <w:rFonts w:hint="eastAsia" w:ascii="宋体" w:hAnsi="宋体" w:cs="宋体"/>
          <w:sz w:val="24"/>
        </w:rPr>
      </w:pPr>
      <w:r>
        <w:rPr>
          <w:rFonts w:hint="eastAsia" w:ascii="宋体" w:hAnsi="宋体" w:cs="宋体"/>
          <w:sz w:val="24"/>
        </w:rPr>
        <w:t>3.1.2计量单位应使用我国法定计量单位。</w:t>
      </w:r>
    </w:p>
    <w:p>
      <w:pPr>
        <w:pStyle w:val="174"/>
        <w:adjustRightInd w:val="0"/>
        <w:snapToGrid w:val="0"/>
        <w:spacing w:line="360" w:lineRule="auto"/>
        <w:rPr>
          <w:rFonts w:hint="eastAsia" w:ascii="宋体" w:hAnsi="宋体" w:cs="宋体"/>
          <w:b/>
          <w:bCs/>
          <w:sz w:val="24"/>
        </w:rPr>
      </w:pPr>
      <w:r>
        <w:rPr>
          <w:rFonts w:hint="eastAsia" w:ascii="宋体" w:hAnsi="宋体" w:cs="宋体"/>
          <w:b/>
          <w:bCs/>
          <w:sz w:val="24"/>
        </w:rPr>
        <w:t xml:space="preserve">3.2 </w:t>
      </w:r>
      <w:r>
        <w:rPr>
          <w:rFonts w:hint="eastAsia" w:ascii="宋体" w:hAnsi="宋体" w:cs="宋体"/>
          <w:b/>
          <w:sz w:val="24"/>
        </w:rPr>
        <w:t>响应文件</w:t>
      </w:r>
      <w:r>
        <w:rPr>
          <w:rFonts w:hint="eastAsia" w:ascii="宋体" w:hAnsi="宋体" w:cs="宋体"/>
          <w:b/>
          <w:bCs/>
          <w:sz w:val="24"/>
        </w:rPr>
        <w:t>的组成</w:t>
      </w:r>
    </w:p>
    <w:p>
      <w:pPr>
        <w:pStyle w:val="174"/>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lang w:val="zh-CN"/>
        </w:rPr>
        <w:t>（1）磋商申请及附录</w:t>
      </w:r>
    </w:p>
    <w:p>
      <w:pPr>
        <w:pStyle w:val="174"/>
        <w:autoSpaceDE w:val="0"/>
        <w:autoSpaceDN w:val="0"/>
        <w:adjustRightInd w:val="0"/>
        <w:spacing w:line="360" w:lineRule="auto"/>
        <w:ind w:firstLine="480" w:firstLineChars="200"/>
        <w:jc w:val="left"/>
        <w:rPr>
          <w:rFonts w:hint="eastAsia" w:ascii="宋体" w:hAnsi="宋体" w:cs="宋体"/>
          <w:sz w:val="24"/>
          <w:lang w:val="zh-CN"/>
        </w:rPr>
      </w:pPr>
      <w:r>
        <w:rPr>
          <w:rFonts w:hint="eastAsia" w:ascii="宋体" w:hAnsi="宋体" w:cs="宋体"/>
          <w:sz w:val="24"/>
          <w:lang w:val="zh-CN"/>
        </w:rPr>
        <w:t>（2）已标价的工程量清单</w:t>
      </w:r>
    </w:p>
    <w:p>
      <w:pPr>
        <w:pStyle w:val="174"/>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（3）资格证明文件</w:t>
      </w:r>
    </w:p>
    <w:p>
      <w:pPr>
        <w:pStyle w:val="174"/>
        <w:autoSpaceDE w:val="0"/>
        <w:autoSpaceDN w:val="0"/>
        <w:adjustRightInd w:val="0"/>
        <w:spacing w:line="360" w:lineRule="auto"/>
        <w:ind w:firstLine="480" w:firstLineChars="200"/>
        <w:jc w:val="left"/>
        <w:rPr>
          <w:rFonts w:hint="eastAsia" w:ascii="宋体" w:hAnsi="宋体" w:cs="宋体"/>
          <w:sz w:val="24"/>
          <w:lang w:val="zh-CN"/>
        </w:rPr>
      </w:pPr>
      <w:r>
        <w:rPr>
          <w:rFonts w:hint="eastAsia" w:ascii="宋体" w:hAnsi="宋体" w:cs="宋体"/>
          <w:sz w:val="24"/>
        </w:rPr>
        <w:t>（</w:t>
      </w:r>
      <w:r>
        <w:rPr>
          <w:rFonts w:hint="eastAsia" w:ascii="宋体" w:hAnsi="宋体" w:cs="宋体"/>
          <w:sz w:val="24"/>
          <w:lang w:val="zh-CN"/>
        </w:rPr>
        <w:t>4）施工组织设计</w:t>
      </w:r>
    </w:p>
    <w:p>
      <w:pPr>
        <w:pStyle w:val="174"/>
        <w:autoSpaceDE w:val="0"/>
        <w:autoSpaceDN w:val="0"/>
        <w:adjustRightInd w:val="0"/>
        <w:spacing w:line="360" w:lineRule="auto"/>
        <w:ind w:firstLine="480" w:firstLineChars="200"/>
        <w:jc w:val="left"/>
        <w:rPr>
          <w:rFonts w:hint="eastAsia" w:ascii="宋体" w:hAnsi="宋体" w:cs="宋体"/>
          <w:sz w:val="24"/>
          <w:lang w:val="zh-CN"/>
        </w:rPr>
      </w:pPr>
      <w:r>
        <w:rPr>
          <w:rFonts w:hint="eastAsia" w:ascii="宋体" w:hAnsi="宋体" w:cs="宋体"/>
          <w:sz w:val="24"/>
          <w:lang w:val="zh-CN"/>
        </w:rPr>
        <w:t>（5）</w:t>
      </w:r>
      <w:r>
        <w:rPr>
          <w:rFonts w:hint="eastAsia" w:ascii="宋体" w:hAnsi="宋体" w:cs="宋体"/>
          <w:sz w:val="24"/>
        </w:rPr>
        <w:t>项目管理机构</w:t>
      </w:r>
    </w:p>
    <w:p>
      <w:pPr>
        <w:pStyle w:val="174"/>
        <w:adjustRightInd w:val="0"/>
        <w:snapToGrid w:val="0"/>
        <w:spacing w:line="360" w:lineRule="auto"/>
        <w:rPr>
          <w:rFonts w:hint="eastAsia" w:ascii="宋体" w:hAnsi="宋体" w:cs="宋体"/>
          <w:b/>
          <w:bCs/>
          <w:sz w:val="24"/>
        </w:rPr>
      </w:pPr>
      <w:r>
        <w:rPr>
          <w:rFonts w:hint="eastAsia" w:ascii="宋体" w:hAnsi="宋体" w:cs="宋体"/>
          <w:b/>
          <w:bCs/>
          <w:sz w:val="24"/>
        </w:rPr>
        <w:t>3.3 报价要求</w:t>
      </w:r>
    </w:p>
    <w:p>
      <w:pPr>
        <w:pStyle w:val="174"/>
        <w:spacing w:line="360" w:lineRule="auto"/>
        <w:ind w:firstLine="480" w:firstLineChars="200"/>
        <w:rPr>
          <w:rFonts w:hint="eastAsia" w:ascii="宋体" w:hAnsi="宋体" w:cs="宋体"/>
          <w:sz w:val="24"/>
        </w:rPr>
      </w:pPr>
      <w:r>
        <w:rPr>
          <w:rFonts w:hint="eastAsia" w:ascii="宋体" w:hAnsi="宋体" w:cs="宋体"/>
          <w:sz w:val="24"/>
        </w:rPr>
        <w:t>3.3.1</w:t>
      </w:r>
      <w:r>
        <w:rPr>
          <w:rFonts w:hint="eastAsia" w:ascii="宋体" w:hAnsi="宋体" w:cs="宋体"/>
          <w:sz w:val="24"/>
          <w:lang w:val="zh-CN"/>
        </w:rPr>
        <w:t>供应商应根据所提供的工程项目清单的要求编制单价、合价和总价</w:t>
      </w:r>
      <w:r>
        <w:rPr>
          <w:rFonts w:hint="eastAsia" w:ascii="宋体" w:hAnsi="宋体" w:cs="宋体"/>
          <w:color w:val="000000"/>
          <w:sz w:val="24"/>
        </w:rPr>
        <w:t>，且只允许有一个报价</w:t>
      </w:r>
      <w:r>
        <w:rPr>
          <w:rFonts w:hint="eastAsia" w:ascii="宋体" w:hAnsi="宋体" w:cs="宋体"/>
          <w:sz w:val="24"/>
          <w:lang w:val="zh-CN"/>
        </w:rPr>
        <w:t>。</w:t>
      </w:r>
    </w:p>
    <w:p>
      <w:pPr>
        <w:pStyle w:val="174"/>
        <w:spacing w:line="360" w:lineRule="auto"/>
        <w:ind w:firstLine="480" w:firstLineChars="200"/>
        <w:rPr>
          <w:rFonts w:hint="eastAsia" w:ascii="宋体" w:hAnsi="宋体" w:cs="宋体"/>
          <w:sz w:val="24"/>
        </w:rPr>
      </w:pPr>
      <w:r>
        <w:rPr>
          <w:rFonts w:hint="eastAsia" w:ascii="宋体" w:hAnsi="宋体" w:cs="宋体"/>
          <w:sz w:val="24"/>
        </w:rPr>
        <w:t>3.3.2</w:t>
      </w:r>
      <w:r>
        <w:rPr>
          <w:rFonts w:hint="eastAsia" w:ascii="宋体" w:hAnsi="宋体" w:cs="宋体"/>
          <w:sz w:val="24"/>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pStyle w:val="174"/>
        <w:spacing w:line="360" w:lineRule="auto"/>
        <w:ind w:firstLine="480" w:firstLineChars="200"/>
        <w:rPr>
          <w:rFonts w:hint="eastAsia" w:ascii="宋体" w:hAnsi="宋体" w:cs="宋体"/>
          <w:sz w:val="24"/>
        </w:rPr>
      </w:pPr>
      <w:r>
        <w:rPr>
          <w:rFonts w:hint="eastAsia" w:ascii="宋体" w:hAnsi="宋体" w:cs="宋体"/>
          <w:sz w:val="24"/>
        </w:rPr>
        <w:t>3.3.3响应文件中标明的价格在合同执行过程中是固定不变的，不得以任何理由予以变更。以可变动价格提交的报价将被认为是非实质响应采购要求而被拒绝。</w:t>
      </w:r>
    </w:p>
    <w:p>
      <w:pPr>
        <w:pStyle w:val="90"/>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3.3.4采购项目预算</w:t>
      </w:r>
      <w:r>
        <w:rPr>
          <w:rFonts w:hint="eastAsia" w:hAnsi="宋体" w:cs="宋体"/>
          <w:sz w:val="24"/>
          <w:szCs w:val="24"/>
          <w:lang w:val="en-US" w:eastAsia="zh-CN"/>
        </w:rPr>
        <w:t>/最高限价</w:t>
      </w:r>
      <w:r>
        <w:rPr>
          <w:rFonts w:hint="eastAsia" w:hAnsi="宋体" w:cs="宋体"/>
          <w:sz w:val="24"/>
          <w:szCs w:val="24"/>
        </w:rPr>
        <w:t>见</w:t>
      </w:r>
      <w:r>
        <w:rPr>
          <w:rFonts w:hint="eastAsia" w:hAnsi="宋体" w:cs="宋体"/>
          <w:b/>
          <w:sz w:val="24"/>
          <w:szCs w:val="24"/>
        </w:rPr>
        <w:t>磋商须知前附表</w:t>
      </w:r>
      <w:r>
        <w:rPr>
          <w:rFonts w:hint="eastAsia" w:hAnsi="宋体" w:cs="宋体"/>
          <w:sz w:val="24"/>
          <w:szCs w:val="24"/>
        </w:rPr>
        <w:t>，</w:t>
      </w:r>
      <w:r>
        <w:rPr>
          <w:rFonts w:hint="eastAsia" w:hAnsi="宋体" w:cs="宋体"/>
          <w:kern w:val="0"/>
          <w:sz w:val="24"/>
          <w:szCs w:val="24"/>
          <w:lang w:val="zh-CN"/>
        </w:rPr>
        <w:t>供应商</w:t>
      </w:r>
      <w:r>
        <w:rPr>
          <w:rFonts w:hint="eastAsia" w:hAnsi="宋体" w:cs="宋体"/>
          <w:sz w:val="24"/>
          <w:szCs w:val="24"/>
        </w:rPr>
        <w:t>的报价不得超过</w:t>
      </w:r>
      <w:r>
        <w:rPr>
          <w:rFonts w:hint="eastAsia" w:hAnsi="宋体" w:cs="宋体"/>
          <w:sz w:val="24"/>
          <w:szCs w:val="24"/>
          <w:lang w:val="en-US" w:eastAsia="zh-CN"/>
        </w:rPr>
        <w:t>最高限价</w:t>
      </w:r>
      <w:r>
        <w:rPr>
          <w:rFonts w:hint="eastAsia" w:hAnsi="宋体" w:cs="宋体"/>
          <w:sz w:val="24"/>
          <w:szCs w:val="24"/>
        </w:rPr>
        <w:t>。否则，按无效报价处理。</w:t>
      </w:r>
    </w:p>
    <w:p>
      <w:pPr>
        <w:pStyle w:val="174"/>
        <w:adjustRightInd w:val="0"/>
        <w:snapToGrid w:val="0"/>
        <w:spacing w:line="360" w:lineRule="auto"/>
        <w:rPr>
          <w:rFonts w:hint="eastAsia" w:ascii="宋体" w:hAnsi="宋体" w:cs="宋体"/>
          <w:b/>
          <w:bCs/>
          <w:sz w:val="24"/>
        </w:rPr>
      </w:pPr>
      <w:r>
        <w:rPr>
          <w:rFonts w:hint="eastAsia" w:ascii="宋体" w:hAnsi="宋体" w:cs="宋体"/>
          <w:b/>
          <w:bCs/>
          <w:sz w:val="24"/>
        </w:rPr>
        <w:t>3.4 证明供应商资格的文件</w:t>
      </w:r>
    </w:p>
    <w:p>
      <w:pPr>
        <w:pStyle w:val="90"/>
        <w:adjustRightInd w:val="0"/>
        <w:snapToGrid w:val="0"/>
        <w:spacing w:line="360" w:lineRule="auto"/>
        <w:ind w:firstLine="480" w:firstLineChars="200"/>
        <w:rPr>
          <w:rFonts w:hint="eastAsia" w:hAnsi="宋体" w:cs="宋体"/>
          <w:kern w:val="0"/>
          <w:sz w:val="24"/>
          <w:szCs w:val="24"/>
          <w:lang w:val="zh-CN"/>
        </w:rPr>
      </w:pPr>
      <w:r>
        <w:rPr>
          <w:rFonts w:hint="eastAsia" w:hAnsi="宋体" w:cs="宋体"/>
          <w:kern w:val="0"/>
          <w:sz w:val="24"/>
          <w:szCs w:val="24"/>
          <w:lang w:val="zh-CN"/>
        </w:rPr>
        <w:t>供应商</w:t>
      </w:r>
      <w:r>
        <w:rPr>
          <w:rFonts w:hint="eastAsia" w:hAnsi="宋体" w:cs="宋体"/>
          <w:sz w:val="24"/>
          <w:szCs w:val="24"/>
        </w:rPr>
        <w:t>应提交满足本章第1.3</w:t>
      </w:r>
      <w:r>
        <w:rPr>
          <w:rFonts w:hint="eastAsia" w:hAnsi="宋体" w:cs="宋体"/>
          <w:kern w:val="0"/>
          <w:sz w:val="24"/>
          <w:szCs w:val="24"/>
          <w:lang w:val="zh-CN"/>
        </w:rPr>
        <w:t>款</w:t>
      </w:r>
      <w:r>
        <w:rPr>
          <w:rFonts w:hint="eastAsia" w:hAnsi="宋体" w:cs="宋体"/>
          <w:sz w:val="24"/>
          <w:szCs w:val="24"/>
        </w:rPr>
        <w:t>规定的资格条件要求的证明文件,该证明文件作为响应文件的一部分。</w:t>
      </w:r>
    </w:p>
    <w:p>
      <w:pPr>
        <w:pStyle w:val="174"/>
        <w:adjustRightInd w:val="0"/>
        <w:snapToGrid w:val="0"/>
        <w:spacing w:line="360" w:lineRule="auto"/>
        <w:rPr>
          <w:rFonts w:hint="eastAsia" w:ascii="宋体" w:hAnsi="宋体" w:cs="宋体"/>
          <w:b/>
          <w:bCs/>
          <w:sz w:val="24"/>
        </w:rPr>
      </w:pPr>
      <w:r>
        <w:rPr>
          <w:rFonts w:hint="eastAsia" w:ascii="宋体" w:hAnsi="宋体" w:cs="宋体"/>
          <w:b/>
          <w:bCs/>
          <w:sz w:val="24"/>
        </w:rPr>
        <w:t>3.5磋商保证金</w:t>
      </w:r>
    </w:p>
    <w:p>
      <w:pPr>
        <w:pStyle w:val="90"/>
        <w:adjustRightInd w:val="0"/>
        <w:snapToGrid w:val="0"/>
        <w:spacing w:line="360" w:lineRule="auto"/>
        <w:ind w:firstLine="480" w:firstLineChars="200"/>
        <w:rPr>
          <w:rFonts w:hint="eastAsia" w:hAnsi="宋体" w:cs="宋体"/>
          <w:b/>
          <w:sz w:val="24"/>
          <w:szCs w:val="24"/>
        </w:rPr>
      </w:pPr>
      <w:r>
        <w:rPr>
          <w:rFonts w:hint="eastAsia" w:hAnsi="宋体" w:cs="宋体"/>
          <w:sz w:val="24"/>
          <w:szCs w:val="24"/>
        </w:rPr>
        <w:t>3.5.1供应商应按</w:t>
      </w:r>
      <w:r>
        <w:rPr>
          <w:rFonts w:hint="eastAsia" w:hAnsi="宋体" w:cs="宋体"/>
          <w:b/>
          <w:sz w:val="24"/>
          <w:szCs w:val="24"/>
        </w:rPr>
        <w:t>磋商须知前附表</w:t>
      </w:r>
      <w:r>
        <w:rPr>
          <w:rFonts w:hint="eastAsia" w:hAnsi="宋体" w:cs="宋体"/>
          <w:sz w:val="24"/>
          <w:szCs w:val="24"/>
        </w:rPr>
        <w:t>的规定提交磋商保证金，并作为响应文件的一部分。供应商为联合体的，可以由联合体中的一方或者共同交纳磋商保证金，以一方名义交纳磋商保证金的，对联合体各方均具有约束力。</w:t>
      </w:r>
    </w:p>
    <w:p>
      <w:pPr>
        <w:pStyle w:val="90"/>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3.5.2 未按磋商文件规定提交磋商保证金的响应文件，将被视为非实质响应而被拒绝。</w:t>
      </w:r>
    </w:p>
    <w:p>
      <w:pPr>
        <w:pStyle w:val="90"/>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3.5.3 未成交供应商的磋商保证金在成交通知书发出后五个工作日内退还；成交供应商的磋商保证金在采购合同签定后五个工作日内退还。</w:t>
      </w:r>
    </w:p>
    <w:p>
      <w:pPr>
        <w:pStyle w:val="90"/>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3.5.4发生以下情况磋商保证金将不予退还：</w:t>
      </w:r>
    </w:p>
    <w:p>
      <w:pPr>
        <w:pStyle w:val="90"/>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（一）供应商在提交响应文件截止时间后撤回响应文件的；</w:t>
      </w:r>
    </w:p>
    <w:p>
      <w:pPr>
        <w:pStyle w:val="90"/>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（二）供应商在响应文件中提供虚假材料的；</w:t>
      </w:r>
    </w:p>
    <w:p>
      <w:pPr>
        <w:pStyle w:val="90"/>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（三）除因不可抗力或磋商文件认可的情形以外，成交供应商不与采购人签订合同的；</w:t>
      </w:r>
    </w:p>
    <w:p>
      <w:pPr>
        <w:pStyle w:val="90"/>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（四）供应商与采购人、其他供应商或者采购代理机构恶意串通的；</w:t>
      </w:r>
    </w:p>
    <w:p>
      <w:pPr>
        <w:pStyle w:val="90"/>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（五）磋商文件规定的其他情形。</w:t>
      </w:r>
    </w:p>
    <w:p>
      <w:pPr>
        <w:pStyle w:val="90"/>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3.5.5如开标时投标人对本单位投标保证金缴纳情况有疑义，投标人应在开标结束前向招标人提交书面申请核实保证金缴纳情况。由银行或保险公司核实后出具书面材料予以答复。</w:t>
      </w:r>
    </w:p>
    <w:p>
      <w:pPr>
        <w:pStyle w:val="90"/>
        <w:adjustRightInd w:val="0"/>
        <w:snapToGrid w:val="0"/>
        <w:spacing w:line="360" w:lineRule="auto"/>
        <w:ind w:firstLine="480" w:firstLineChars="200"/>
        <w:rPr>
          <w:rFonts w:hint="eastAsia" w:hAnsi="宋体" w:cs="宋体"/>
          <w:color w:val="FF0000"/>
          <w:sz w:val="24"/>
          <w:szCs w:val="24"/>
        </w:rPr>
      </w:pPr>
      <w:r>
        <w:rPr>
          <w:rFonts w:hint="eastAsia" w:hAnsi="宋体" w:cs="宋体"/>
          <w:sz w:val="24"/>
          <w:szCs w:val="24"/>
        </w:rPr>
        <w:t>3.5.6开标结束后，转账、电汇、网银形式缴纳的保证金由招标代理或招标人统一办理中标人和未中标人的保证金退还事宜。如本项目招标中遇质疑，投诉，复议等特殊情况，保证金退还时间按相关规定执行。银行保函、保险保函等形式缴纳的投标保证金按协议执行，无需办理退款手续</w:t>
      </w:r>
      <w:r>
        <w:rPr>
          <w:rFonts w:hint="eastAsia" w:hAnsi="宋体" w:cs="宋体"/>
          <w:color w:val="FF0000"/>
          <w:sz w:val="24"/>
          <w:szCs w:val="24"/>
        </w:rPr>
        <w:t>。</w:t>
      </w:r>
    </w:p>
    <w:p>
      <w:pPr>
        <w:pStyle w:val="174"/>
        <w:adjustRightInd w:val="0"/>
        <w:snapToGrid w:val="0"/>
        <w:spacing w:line="360" w:lineRule="auto"/>
        <w:rPr>
          <w:rFonts w:hint="eastAsia" w:ascii="宋体" w:hAnsi="宋体" w:cs="宋体"/>
          <w:b/>
          <w:bCs/>
          <w:sz w:val="24"/>
        </w:rPr>
      </w:pPr>
      <w:r>
        <w:rPr>
          <w:rFonts w:hint="eastAsia" w:ascii="宋体" w:hAnsi="宋体" w:cs="宋体"/>
          <w:b/>
          <w:bCs/>
          <w:sz w:val="24"/>
        </w:rPr>
        <w:t xml:space="preserve">3.6 </w:t>
      </w:r>
      <w:r>
        <w:rPr>
          <w:rFonts w:hint="eastAsia" w:ascii="宋体" w:hAnsi="宋体" w:cs="宋体"/>
          <w:sz w:val="24"/>
        </w:rPr>
        <w:t xml:space="preserve"> </w:t>
      </w:r>
      <w:r>
        <w:rPr>
          <w:rFonts w:hint="eastAsia" w:ascii="宋体" w:hAnsi="宋体" w:cs="宋体"/>
          <w:b/>
          <w:sz w:val="24"/>
        </w:rPr>
        <w:t>响应文件有效期</w:t>
      </w:r>
    </w:p>
    <w:p>
      <w:pPr>
        <w:pStyle w:val="174"/>
        <w:adjustRightInd w:val="0"/>
        <w:snapToGrid w:val="0"/>
        <w:spacing w:line="360" w:lineRule="auto"/>
        <w:ind w:firstLine="480" w:firstLineChars="200"/>
        <w:jc w:val="left"/>
        <w:rPr>
          <w:rFonts w:hint="eastAsia" w:ascii="宋体" w:hAnsi="宋体" w:cs="宋体"/>
          <w:color w:val="00B0F0"/>
          <w:sz w:val="24"/>
        </w:rPr>
      </w:pPr>
      <w:r>
        <w:rPr>
          <w:rFonts w:hint="eastAsia" w:ascii="宋体" w:hAnsi="宋体" w:cs="宋体"/>
          <w:sz w:val="24"/>
        </w:rPr>
        <w:t>3.6.1响应文件有效期见</w:t>
      </w:r>
      <w:r>
        <w:rPr>
          <w:rFonts w:hint="eastAsia" w:ascii="宋体" w:hAnsi="宋体" w:cs="宋体"/>
          <w:b/>
          <w:sz w:val="24"/>
        </w:rPr>
        <w:t>磋商须知前附表</w:t>
      </w:r>
      <w:r>
        <w:rPr>
          <w:rFonts w:hint="eastAsia" w:ascii="宋体" w:hAnsi="宋体" w:cs="宋体"/>
          <w:sz w:val="24"/>
        </w:rPr>
        <w:t>，响应文件有效期不足的将被视为无效响应，并予以拒绝。</w:t>
      </w:r>
    </w:p>
    <w:p>
      <w:pPr>
        <w:pStyle w:val="174"/>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174"/>
        <w:adjustRightInd w:val="0"/>
        <w:snapToGrid w:val="0"/>
        <w:spacing w:line="360" w:lineRule="auto"/>
        <w:rPr>
          <w:rFonts w:hint="eastAsia" w:ascii="宋体" w:hAnsi="宋体" w:cs="宋体"/>
          <w:b/>
          <w:bCs/>
          <w:color w:val="000000"/>
          <w:sz w:val="24"/>
        </w:rPr>
      </w:pPr>
      <w:r>
        <w:rPr>
          <w:rFonts w:hint="eastAsia" w:ascii="宋体" w:hAnsi="宋体" w:cs="宋体"/>
          <w:b/>
          <w:bCs/>
          <w:sz w:val="24"/>
        </w:rPr>
        <w:t xml:space="preserve">3.7 </w:t>
      </w:r>
      <w:r>
        <w:rPr>
          <w:rFonts w:hint="eastAsia" w:ascii="宋体" w:hAnsi="宋体" w:cs="宋体"/>
          <w:b/>
          <w:bCs/>
          <w:color w:val="000000"/>
          <w:sz w:val="24"/>
        </w:rPr>
        <w:t>响应文件的签署及规定</w:t>
      </w:r>
    </w:p>
    <w:p>
      <w:pPr>
        <w:pStyle w:val="90"/>
        <w:adjustRightInd w:val="0"/>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3.7.1供应商应提供响应文件份数见</w:t>
      </w:r>
      <w:r>
        <w:rPr>
          <w:rFonts w:hint="eastAsia" w:hAnsi="宋体" w:cs="宋体"/>
          <w:b/>
          <w:color w:val="000000"/>
          <w:sz w:val="24"/>
          <w:szCs w:val="24"/>
        </w:rPr>
        <w:t>磋商须知前附表</w:t>
      </w:r>
      <w:r>
        <w:rPr>
          <w:rFonts w:hint="eastAsia" w:hAnsi="宋体" w:cs="宋体"/>
          <w:color w:val="000000"/>
          <w:sz w:val="24"/>
          <w:szCs w:val="24"/>
        </w:rPr>
        <w:t>。</w:t>
      </w:r>
    </w:p>
    <w:p>
      <w:pPr>
        <w:pStyle w:val="174"/>
        <w:spacing w:line="360" w:lineRule="auto"/>
        <w:ind w:firstLine="480" w:firstLineChars="200"/>
        <w:rPr>
          <w:rFonts w:hint="eastAsia" w:ascii="宋体" w:hAnsi="宋体" w:cs="宋体"/>
          <w:b/>
          <w:sz w:val="24"/>
        </w:rPr>
      </w:pPr>
      <w:r>
        <w:rPr>
          <w:rFonts w:hint="eastAsia" w:ascii="宋体" w:hAnsi="宋体" w:cs="宋体"/>
          <w:color w:val="000000"/>
          <w:sz w:val="24"/>
          <w:lang w:val="zh-CN"/>
        </w:rPr>
        <w:t>3.7.2</w:t>
      </w:r>
      <w:r>
        <w:rPr>
          <w:rFonts w:hint="eastAsia" w:ascii="宋体" w:hAnsi="宋体" w:cs="宋体"/>
          <w:color w:val="FF0000"/>
          <w:sz w:val="24"/>
          <w:lang w:val="zh-CN"/>
        </w:rPr>
        <w:t xml:space="preserve"> </w:t>
      </w:r>
      <w:r>
        <w:rPr>
          <w:rFonts w:hint="eastAsia" w:ascii="宋体" w:hAnsi="宋体" w:cs="宋体"/>
          <w:sz w:val="24"/>
        </w:rPr>
        <w:t>投标人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pStyle w:val="177"/>
        <w:jc w:val="center"/>
        <w:outlineLvl w:val="1"/>
        <w:rPr>
          <w:rFonts w:hint="eastAsia" w:ascii="宋体" w:hAnsi="宋体" w:eastAsia="宋体" w:cs="宋体"/>
          <w:b/>
          <w:bCs/>
          <w:szCs w:val="22"/>
        </w:rPr>
      </w:pPr>
      <w:bookmarkStart w:id="27" w:name="_Toc256000017"/>
      <w:bookmarkStart w:id="28" w:name="_Toc256000008"/>
      <w:bookmarkStart w:id="29" w:name="_Toc31717"/>
      <w:bookmarkStart w:id="30" w:name="_Toc1343"/>
      <w:bookmarkStart w:id="31" w:name="_Toc4490"/>
      <w:r>
        <w:rPr>
          <w:rFonts w:hint="eastAsia" w:ascii="宋体" w:hAnsi="宋体" w:eastAsia="宋体" w:cs="宋体"/>
          <w:b/>
          <w:bCs/>
          <w:szCs w:val="22"/>
        </w:rPr>
        <w:t>四、响应文件的递交</w:t>
      </w:r>
      <w:bookmarkEnd w:id="27"/>
      <w:bookmarkEnd w:id="28"/>
      <w:bookmarkEnd w:id="29"/>
      <w:bookmarkEnd w:id="30"/>
      <w:bookmarkEnd w:id="31"/>
    </w:p>
    <w:p>
      <w:pPr>
        <w:pStyle w:val="174"/>
        <w:adjustRightInd w:val="0"/>
        <w:snapToGrid w:val="0"/>
        <w:spacing w:line="360" w:lineRule="auto"/>
        <w:rPr>
          <w:rFonts w:hint="eastAsia" w:ascii="宋体" w:hAnsi="宋体" w:eastAsia="宋体" w:cs="宋体"/>
          <w:b/>
          <w:bCs/>
          <w:sz w:val="24"/>
        </w:rPr>
      </w:pPr>
      <w:r>
        <w:rPr>
          <w:rFonts w:hint="eastAsia" w:ascii="宋体" w:hAnsi="宋体" w:eastAsia="宋体" w:cs="宋体"/>
          <w:b/>
          <w:bCs/>
          <w:sz w:val="24"/>
        </w:rPr>
        <w:t xml:space="preserve">4.1 </w:t>
      </w:r>
      <w:r>
        <w:rPr>
          <w:rFonts w:hint="eastAsia" w:ascii="宋体" w:hAnsi="宋体" w:eastAsia="宋体" w:cs="宋体"/>
          <w:b/>
          <w:sz w:val="24"/>
        </w:rPr>
        <w:t>响应文件</w:t>
      </w:r>
      <w:r>
        <w:rPr>
          <w:rFonts w:hint="eastAsia" w:ascii="宋体" w:hAnsi="宋体" w:eastAsia="宋体" w:cs="宋体"/>
          <w:b/>
          <w:bCs/>
          <w:sz w:val="24"/>
        </w:rPr>
        <w:t>的密封和标记</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4.1.1响应文件的密封：详见供应商须知前附表。</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4.1.2由于不可抗拒的原因或无法控制的事件而导致丢失或损坏投标包装体内的响应文件，采购人将不负责任。</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4.1.3如果投标人未按上述要求密封及加写标记，采购代理机构对投标文件的误投和提前启封概不负责。对由此造成提前开封的投标文件，采购代理机构有权予以拒绝，并退回投标人。</w:t>
      </w:r>
    </w:p>
    <w:p>
      <w:pPr>
        <w:pStyle w:val="174"/>
        <w:adjustRightInd w:val="0"/>
        <w:snapToGrid w:val="0"/>
        <w:spacing w:line="360" w:lineRule="auto"/>
        <w:rPr>
          <w:rFonts w:hint="eastAsia" w:ascii="宋体" w:hAnsi="宋体" w:eastAsia="宋体" w:cs="宋体"/>
          <w:b/>
          <w:bCs/>
          <w:sz w:val="24"/>
        </w:rPr>
      </w:pPr>
      <w:r>
        <w:rPr>
          <w:rFonts w:hint="eastAsia" w:ascii="宋体" w:hAnsi="宋体" w:eastAsia="宋体" w:cs="宋体"/>
          <w:b/>
          <w:bCs/>
          <w:sz w:val="24"/>
        </w:rPr>
        <w:t>4.2响应文件的递交</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4.2.1响应文件的递交截止时间为采购文件所规定的时间。响应文件以密封形式递交至指定的投标地点，采购人或者采购代理机构收到响应文件后，应当如实记载响应文件的送达时间和密封情况，签收保存，并向供应商出具签收回执。任何单位和个人不得在开标前开启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4.2.2</w:t>
      </w:r>
      <w:r>
        <w:rPr>
          <w:rFonts w:hint="eastAsia" w:ascii="宋体" w:hAnsi="宋体" w:eastAsia="宋体" w:cs="宋体"/>
          <w:sz w:val="24"/>
        </w:rPr>
        <w:t>逾期送达或者未按照采购文件要求密封的响应文件，采购人、采购代理机构应当拒收。</w:t>
      </w:r>
    </w:p>
    <w:p>
      <w:pPr>
        <w:pStyle w:val="174"/>
        <w:adjustRightInd w:val="0"/>
        <w:snapToGrid w:val="0"/>
        <w:spacing w:line="360" w:lineRule="auto"/>
        <w:rPr>
          <w:rFonts w:hint="eastAsia" w:ascii="宋体" w:hAnsi="宋体" w:eastAsia="宋体" w:cs="宋体"/>
          <w:b/>
          <w:bCs/>
          <w:sz w:val="24"/>
        </w:rPr>
      </w:pPr>
      <w:r>
        <w:rPr>
          <w:rFonts w:hint="eastAsia" w:ascii="宋体" w:hAnsi="宋体" w:eastAsia="宋体" w:cs="宋体"/>
          <w:b/>
          <w:bCs/>
          <w:sz w:val="24"/>
        </w:rPr>
        <w:t>4.3响应文件的</w:t>
      </w:r>
      <w:r>
        <w:rPr>
          <w:rFonts w:hint="eastAsia" w:ascii="宋体" w:hAnsi="宋体" w:eastAsia="宋体" w:cs="宋体"/>
          <w:b/>
          <w:kern w:val="0"/>
          <w:sz w:val="24"/>
          <w:lang w:val="zh-CN"/>
        </w:rPr>
        <w:t>补充、修改或者撤回</w:t>
      </w:r>
    </w:p>
    <w:p>
      <w:pPr>
        <w:pStyle w:val="90"/>
        <w:adjustRightInd w:val="0"/>
        <w:snapToGrid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sz w:val="24"/>
          <w:szCs w:val="24"/>
        </w:rPr>
        <w:t>4.3.1投标人在递交投标文件后，可以修改或撤回其投标，但这种修改和撤回，必须在规定的投标截止时间前。在投标截止时间后，投标人不得要求修改或撤回其投标文件。</w:t>
      </w:r>
    </w:p>
    <w:p>
      <w:pPr>
        <w:pStyle w:val="9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4.3.2在递交响应文件截止时间后，供应商不得对响应文件</w:t>
      </w:r>
      <w:r>
        <w:rPr>
          <w:rFonts w:hint="eastAsia" w:ascii="宋体" w:hAnsi="宋体" w:eastAsia="宋体" w:cs="宋体"/>
          <w:kern w:val="0"/>
          <w:sz w:val="24"/>
          <w:szCs w:val="24"/>
          <w:lang w:val="zh-CN"/>
        </w:rPr>
        <w:t>补充、修改或者撤回，但属于本须知5.4.2款规定的情形除外</w:t>
      </w:r>
      <w:r>
        <w:rPr>
          <w:rFonts w:hint="eastAsia" w:ascii="宋体" w:hAnsi="宋体" w:eastAsia="宋体" w:cs="宋体"/>
          <w:sz w:val="24"/>
          <w:szCs w:val="24"/>
        </w:rPr>
        <w:t>。</w:t>
      </w:r>
    </w:p>
    <w:p>
      <w:pPr>
        <w:pStyle w:val="177"/>
        <w:jc w:val="center"/>
        <w:outlineLvl w:val="1"/>
        <w:rPr>
          <w:rFonts w:hint="eastAsia" w:ascii="宋体" w:hAnsi="宋体" w:eastAsia="宋体" w:cs="宋体"/>
          <w:b/>
          <w:bCs/>
          <w:szCs w:val="22"/>
        </w:rPr>
      </w:pPr>
      <w:bookmarkStart w:id="32" w:name="_Toc13285"/>
      <w:bookmarkStart w:id="33" w:name="_Toc18508"/>
      <w:bookmarkStart w:id="34" w:name="_Toc256000018"/>
      <w:bookmarkStart w:id="35" w:name="_Toc256000009"/>
      <w:bookmarkStart w:id="36" w:name="_Toc12287"/>
      <w:r>
        <w:rPr>
          <w:rFonts w:hint="eastAsia" w:ascii="宋体" w:hAnsi="宋体" w:eastAsia="宋体" w:cs="宋体"/>
          <w:b/>
          <w:bCs/>
          <w:szCs w:val="22"/>
        </w:rPr>
        <w:t>五、磋商和评审</w:t>
      </w:r>
      <w:bookmarkEnd w:id="32"/>
      <w:bookmarkEnd w:id="33"/>
      <w:bookmarkEnd w:id="34"/>
      <w:bookmarkEnd w:id="35"/>
      <w:bookmarkEnd w:id="36"/>
    </w:p>
    <w:p>
      <w:pPr>
        <w:pStyle w:val="174"/>
        <w:adjustRightInd w:val="0"/>
        <w:snapToGrid w:val="0"/>
        <w:spacing w:line="360" w:lineRule="auto"/>
        <w:rPr>
          <w:rFonts w:hint="eastAsia" w:ascii="宋体" w:hAnsi="宋体" w:eastAsia="宋体" w:cs="宋体"/>
          <w:b/>
          <w:bCs/>
          <w:sz w:val="24"/>
        </w:rPr>
      </w:pPr>
      <w:r>
        <w:rPr>
          <w:rFonts w:hint="eastAsia" w:ascii="宋体" w:hAnsi="宋体" w:eastAsia="宋体" w:cs="宋体"/>
          <w:b/>
          <w:bCs/>
          <w:sz w:val="24"/>
        </w:rPr>
        <w:t>5.1 磋商仪式</w:t>
      </w:r>
    </w:p>
    <w:p>
      <w:pPr>
        <w:pStyle w:val="174"/>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5.1.1采购机构在</w:t>
      </w:r>
      <w:r>
        <w:rPr>
          <w:rFonts w:hint="eastAsia" w:ascii="宋体" w:hAnsi="宋体" w:eastAsia="宋体" w:cs="宋体"/>
          <w:b/>
          <w:sz w:val="24"/>
        </w:rPr>
        <w:t>磋商须知前附表</w:t>
      </w:r>
      <w:r>
        <w:rPr>
          <w:rFonts w:hint="eastAsia" w:ascii="宋体" w:hAnsi="宋体" w:eastAsia="宋体" w:cs="宋体"/>
          <w:sz w:val="24"/>
        </w:rPr>
        <w:t>规定的日期、时间和地点组织磋商仪式。供应商应派代表参加，并按要求签名报到以证明其出席。</w:t>
      </w:r>
    </w:p>
    <w:p>
      <w:pPr>
        <w:pStyle w:val="9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5.1.2磋商开始时，</w:t>
      </w:r>
      <w:r>
        <w:rPr>
          <w:rFonts w:hint="eastAsia" w:ascii="宋体" w:hAnsi="宋体" w:eastAsia="宋体" w:cs="宋体"/>
          <w:sz w:val="24"/>
          <w:szCs w:val="24"/>
        </w:rPr>
        <w:t>由</w:t>
      </w:r>
      <w:r>
        <w:rPr>
          <w:rFonts w:hint="eastAsia" w:ascii="宋体" w:hAnsi="宋体" w:eastAsia="宋体" w:cs="宋体"/>
          <w:bCs/>
          <w:sz w:val="24"/>
          <w:szCs w:val="24"/>
        </w:rPr>
        <w:t>供应商或供应商代表</w:t>
      </w:r>
      <w:r>
        <w:rPr>
          <w:rFonts w:hint="eastAsia" w:ascii="宋体" w:hAnsi="宋体" w:eastAsia="宋体" w:cs="宋体"/>
          <w:sz w:val="24"/>
          <w:szCs w:val="24"/>
        </w:rPr>
        <w:t>当场查验响应</w:t>
      </w:r>
      <w:r>
        <w:rPr>
          <w:rFonts w:hint="eastAsia" w:ascii="宋体" w:hAnsi="宋体" w:eastAsia="宋体" w:cs="宋体"/>
          <w:bCs/>
          <w:sz w:val="24"/>
          <w:szCs w:val="24"/>
        </w:rPr>
        <w:t>文件</w:t>
      </w:r>
      <w:r>
        <w:rPr>
          <w:rFonts w:hint="eastAsia" w:ascii="宋体" w:hAnsi="宋体" w:eastAsia="宋体" w:cs="宋体"/>
          <w:sz w:val="24"/>
          <w:szCs w:val="24"/>
        </w:rPr>
        <w:t>的密封状况，</w:t>
      </w:r>
      <w:r>
        <w:rPr>
          <w:rFonts w:hint="eastAsia" w:ascii="宋体" w:hAnsi="宋体" w:eastAsia="宋体" w:cs="宋体"/>
          <w:bCs/>
          <w:sz w:val="24"/>
          <w:szCs w:val="24"/>
        </w:rPr>
        <w:t>采购代理机构</w:t>
      </w:r>
      <w:r>
        <w:rPr>
          <w:rFonts w:hint="eastAsia" w:ascii="宋体" w:hAnsi="宋体" w:eastAsia="宋体" w:cs="宋体"/>
          <w:sz w:val="24"/>
          <w:szCs w:val="24"/>
        </w:rPr>
        <w:t>拆封</w:t>
      </w:r>
      <w:r>
        <w:rPr>
          <w:rFonts w:hint="eastAsia" w:ascii="宋体" w:hAnsi="宋体" w:eastAsia="宋体" w:cs="宋体"/>
          <w:bCs/>
          <w:sz w:val="24"/>
          <w:szCs w:val="24"/>
        </w:rPr>
        <w:t>响应文件，公布供应商名称、报价等相关信息</w:t>
      </w:r>
      <w:r>
        <w:rPr>
          <w:rFonts w:hint="eastAsia" w:ascii="宋体" w:hAnsi="宋体" w:eastAsia="宋体" w:cs="宋体"/>
          <w:sz w:val="24"/>
          <w:szCs w:val="24"/>
        </w:rPr>
        <w:t>。</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5.1.3除了存在以下情形的响应文件之外，磋商开始时将不得拒绝任何报价。</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(1)未按磋商邀请要求报名和获取磋商文件，并提交相关资料的；</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(2)未按磋商须知第5.1.1项规定提交响应文件，并出席磋商仪式的；</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(3)未按磋商须知第4.1项要求对响应文件进行密封和加写标记的；</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(4)响应文件的递交、修改或撤回不符合磋商须知第4.2、4.3项规定的。</w:t>
      </w:r>
    </w:p>
    <w:p>
      <w:pPr>
        <w:pStyle w:val="174"/>
        <w:adjustRightInd w:val="0"/>
        <w:snapToGrid w:val="0"/>
        <w:spacing w:line="360" w:lineRule="auto"/>
        <w:rPr>
          <w:rFonts w:hint="eastAsia" w:ascii="宋体" w:hAnsi="宋体" w:eastAsia="宋体" w:cs="宋体"/>
          <w:b/>
          <w:bCs/>
          <w:sz w:val="24"/>
        </w:rPr>
      </w:pPr>
      <w:r>
        <w:rPr>
          <w:rFonts w:hint="eastAsia" w:ascii="宋体" w:hAnsi="宋体" w:eastAsia="宋体" w:cs="宋体"/>
          <w:b/>
          <w:bCs/>
          <w:sz w:val="24"/>
        </w:rPr>
        <w:t>5.2磋商小组</w:t>
      </w:r>
    </w:p>
    <w:p>
      <w:pPr>
        <w:pStyle w:val="174"/>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bCs/>
          <w:sz w:val="24"/>
        </w:rPr>
        <w:t>磋商小组将根据采购项目的特点依法组建，磋商小组的组成见</w:t>
      </w:r>
      <w:r>
        <w:rPr>
          <w:rFonts w:hint="eastAsia" w:ascii="宋体" w:hAnsi="宋体" w:eastAsia="宋体" w:cs="宋体"/>
          <w:b/>
          <w:sz w:val="24"/>
        </w:rPr>
        <w:t>磋商须知前附表</w:t>
      </w:r>
      <w:r>
        <w:rPr>
          <w:rFonts w:hint="eastAsia" w:ascii="宋体" w:hAnsi="宋体" w:eastAsia="宋体" w:cs="宋体"/>
          <w:sz w:val="24"/>
        </w:rPr>
        <w:t>。</w:t>
      </w:r>
    </w:p>
    <w:p>
      <w:pPr>
        <w:pStyle w:val="174"/>
        <w:spacing w:line="360" w:lineRule="auto"/>
        <w:rPr>
          <w:rFonts w:hint="eastAsia" w:ascii="宋体" w:hAnsi="宋体" w:eastAsia="宋体" w:cs="宋体"/>
          <w:sz w:val="24"/>
        </w:rPr>
      </w:pPr>
      <w:r>
        <w:rPr>
          <w:rFonts w:hint="eastAsia" w:ascii="宋体" w:hAnsi="宋体" w:eastAsia="宋体" w:cs="宋体"/>
          <w:b/>
          <w:bCs/>
          <w:sz w:val="24"/>
        </w:rPr>
        <w:t>5.3</w:t>
      </w:r>
      <w:r>
        <w:rPr>
          <w:rFonts w:hint="eastAsia" w:ascii="宋体" w:hAnsi="宋体" w:eastAsia="宋体" w:cs="宋体"/>
          <w:b/>
          <w:sz w:val="24"/>
        </w:rPr>
        <w:t>响应文件的初步评审与澄清</w:t>
      </w:r>
    </w:p>
    <w:p>
      <w:pPr>
        <w:pStyle w:val="174"/>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5.3.1响应文件的初步评审分为资格性检查、符合性检查。</w:t>
      </w:r>
    </w:p>
    <w:p>
      <w:pPr>
        <w:pStyle w:val="174"/>
        <w:spacing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（1）资格性检查指依据法律、法规和磋商文件的规定，对响应文件资格证明、磋商保证金等进行审查，以确定供应商是否具备报价资格。详细评审标准见</w:t>
      </w:r>
      <w:r>
        <w:rPr>
          <w:rFonts w:hint="eastAsia" w:ascii="宋体" w:hAnsi="宋体" w:eastAsia="宋体" w:cs="宋体"/>
          <w:b/>
          <w:bCs/>
          <w:spacing w:val="-2"/>
          <w:sz w:val="24"/>
          <w:highlight w:val="none"/>
        </w:rPr>
        <w:t>资格审查表</w:t>
      </w:r>
      <w:r>
        <w:rPr>
          <w:rFonts w:hint="eastAsia" w:ascii="宋体" w:hAnsi="宋体" w:eastAsia="宋体" w:cs="宋体"/>
          <w:spacing w:val="-2"/>
          <w:sz w:val="24"/>
          <w:highlight w:val="none"/>
        </w:rPr>
        <w:t>。</w:t>
      </w:r>
    </w:p>
    <w:p>
      <w:pPr>
        <w:pStyle w:val="174"/>
        <w:spacing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（2）符合性检查依据磋商文件的规定，从响应文件的有效性、完整性和对磋商文件的响应程度进行审查，以确定是否对磋商文件的实质性要求作出响应。详细评审标准见</w:t>
      </w:r>
      <w:r>
        <w:rPr>
          <w:rFonts w:hint="eastAsia" w:ascii="宋体" w:hAnsi="宋体" w:eastAsia="宋体" w:cs="宋体"/>
          <w:b/>
          <w:bCs/>
          <w:spacing w:val="-2"/>
          <w:sz w:val="24"/>
          <w:highlight w:val="none"/>
          <w:lang w:val="en-US" w:eastAsia="zh-CN"/>
        </w:rPr>
        <w:t>符合性</w:t>
      </w:r>
      <w:r>
        <w:rPr>
          <w:rFonts w:hint="eastAsia" w:ascii="宋体" w:hAnsi="宋体" w:eastAsia="宋体" w:cs="宋体"/>
          <w:b/>
          <w:bCs/>
          <w:spacing w:val="-2"/>
          <w:sz w:val="24"/>
          <w:highlight w:val="none"/>
        </w:rPr>
        <w:t>审查表。</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5.3.1.1资格性检查</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（1）磋商小组根据评审办法前附表规定的评审因素和评审标准，对供应商的响应文件进行资格评审。资格性检查不合格的供应商的响应文件作无效文件处理。</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（2）磋商小组在进行资格检查时，不得改变磋商文件中已载明的资格条件、标准和办法。资格性检查不合格的供应商的响应文件作无效文件处理。</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（3）供应商在递交响应文件的同时，应逐项对照上述资格性检查要求提交相应的原件和资格证明文件供磋商小组核查，否则评委将不予采信。</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（4）磋商小组在评审中必要时可按供应商提供的联系方式就有关问题进行查询核实，或要求供应商做出书面澄清，查询及澄清结果将作为审查的依据。</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（5）通过全部资格性检查条件合格的供应商才能通过资格检查，其响应文件方可进入下一个检查阶段。</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5.3.1.2符合性检查</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磋商小组根据评审办法前附表规定的评审因素和评审标准，对供应商的响应文件进行符合性检查。符合性检查不合格的供应商的响应文件作无效文件处理。</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5.3.1.3在评审过程中，磋商小组发现供应商有下列情形之一的，作无效文件处理：</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（1）属于同一集团、协会、商会等组织成员的供应商按照该组织要求协同投标；</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（2）不同供应商的响应文件由同一单位或者个人编制；</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（3）不同供应商委托同一单位或者个人办理投标事宜；</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（4）不同供应商的响应文件载明的项目管理成员为同一人；</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（5）不同供应商的响应文件异常一致或者投标报价呈规律性差异；</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（6）不同供应商的响应文件相互混装；</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（7）使用伪造、变造的行政许可证件；</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（8）提供虚假的财务状况或者业绩；</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（9）提供虚假的项目负责人或者主要技术人员简历、劳动关系证明；</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（10）提供虚假的信用状况；</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（11）其他弄虚作假的行为。</w:t>
      </w:r>
    </w:p>
    <w:p>
      <w:pPr>
        <w:pStyle w:val="174"/>
        <w:spacing w:line="360" w:lineRule="auto"/>
        <w:ind w:firstLine="480" w:firstLineChars="200"/>
        <w:rPr>
          <w:rFonts w:hint="eastAsia" w:ascii="宋体" w:hAnsi="宋体" w:eastAsia="宋体" w:cs="宋体"/>
          <w:sz w:val="24"/>
        </w:rPr>
      </w:pPr>
      <w:r>
        <w:rPr>
          <w:rFonts w:hint="eastAsia" w:ascii="宋体" w:hAnsi="宋体" w:eastAsia="宋体" w:cs="宋体"/>
          <w:sz w:val="24"/>
        </w:rPr>
        <w:t>5.3.2响应文件的澄清</w:t>
      </w:r>
    </w:p>
    <w:p>
      <w:pPr>
        <w:pStyle w:val="174"/>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sz w:val="24"/>
        </w:rPr>
        <w:t>（1）</w:t>
      </w:r>
      <w:r>
        <w:rPr>
          <w:rFonts w:hint="eastAsia" w:ascii="宋体" w:hAnsi="宋体" w:eastAsia="宋体" w:cs="宋体"/>
          <w:sz w:val="24"/>
          <w:lang w:val="zh-CN"/>
        </w:rPr>
        <w:t>磋商小组在对响应文件的有效性、完整性和对磋商文件的响应程度进行审查时，可以要求供应商对响应文件中含义不明</w:t>
      </w:r>
      <w:r>
        <w:rPr>
          <w:rFonts w:hint="eastAsia" w:ascii="宋体" w:hAnsi="宋体" w:eastAsia="宋体" w:cs="宋体"/>
          <w:sz w:val="24"/>
        </w:rPr>
        <w:t>确</w:t>
      </w:r>
      <w:r>
        <w:rPr>
          <w:rFonts w:hint="eastAsia" w:ascii="宋体" w:hAnsi="宋体" w:eastAsia="宋体" w:cs="宋体"/>
          <w:sz w:val="24"/>
          <w:lang w:val="zh-CN"/>
        </w:rPr>
        <w:t>、同类问题表述不一致或者有明显文字和计算错误的内容等作出必要的澄清、说明或者纠正。该要求</w:t>
      </w:r>
      <w:r>
        <w:rPr>
          <w:rFonts w:hint="eastAsia" w:ascii="宋体" w:hAnsi="宋体" w:eastAsia="宋体" w:cs="宋体"/>
          <w:sz w:val="24"/>
        </w:rPr>
        <w:t>应当以</w:t>
      </w:r>
      <w:r>
        <w:rPr>
          <w:rFonts w:hint="eastAsia" w:ascii="宋体" w:hAnsi="宋体" w:eastAsia="宋体" w:cs="宋体"/>
          <w:sz w:val="24"/>
          <w:lang w:val="zh-CN"/>
        </w:rPr>
        <w:t>书面形式作出。供应商的澄清、说明或者补正应当采用书面形式，由其</w:t>
      </w:r>
      <w:r>
        <w:rPr>
          <w:rFonts w:hint="eastAsia" w:ascii="宋体" w:hAnsi="宋体" w:eastAsia="宋体" w:cs="宋体"/>
          <w:sz w:val="24"/>
        </w:rPr>
        <w:t>法定代表人或其授权代表签字</w:t>
      </w:r>
      <w:r>
        <w:rPr>
          <w:rFonts w:hint="eastAsia" w:ascii="宋体" w:hAnsi="宋体" w:eastAsia="宋体" w:cs="宋体"/>
          <w:sz w:val="24"/>
          <w:lang w:val="zh-CN"/>
        </w:rPr>
        <w:t>。供应商的澄清、说明或者更正不得超出磋商文件的范围或</w:t>
      </w:r>
      <w:r>
        <w:rPr>
          <w:rFonts w:hint="eastAsia" w:ascii="宋体" w:hAnsi="宋体" w:eastAsia="宋体" w:cs="宋体"/>
          <w:kern w:val="0"/>
          <w:sz w:val="24"/>
          <w:lang w:val="zh-CN"/>
        </w:rPr>
        <w:t>者改变响应文件的实质性内容。</w:t>
      </w:r>
    </w:p>
    <w:p>
      <w:pPr>
        <w:pStyle w:val="174"/>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w:t>
      </w:r>
      <w:r>
        <w:rPr>
          <w:rFonts w:hint="eastAsia" w:ascii="宋体" w:hAnsi="宋体" w:eastAsia="宋体" w:cs="宋体"/>
          <w:kern w:val="0"/>
          <w:sz w:val="24"/>
          <w:lang w:val="zh-CN"/>
        </w:rPr>
        <w:t>计算</w:t>
      </w:r>
      <w:r>
        <w:rPr>
          <w:rFonts w:hint="eastAsia" w:ascii="宋体" w:hAnsi="宋体" w:eastAsia="宋体" w:cs="宋体"/>
          <w:sz w:val="24"/>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pPr>
        <w:pStyle w:val="174"/>
        <w:tabs>
          <w:tab w:val="left" w:pos="0"/>
        </w:tabs>
        <w:adjustRightInd w:val="0"/>
        <w:snapToGrid w:val="0"/>
        <w:spacing w:line="360" w:lineRule="auto"/>
        <w:rPr>
          <w:rFonts w:hint="eastAsia" w:ascii="宋体" w:hAnsi="宋体" w:eastAsia="宋体" w:cs="宋体"/>
          <w:bCs/>
          <w:sz w:val="24"/>
        </w:rPr>
      </w:pPr>
      <w:r>
        <w:rPr>
          <w:rFonts w:hint="eastAsia" w:ascii="宋体" w:hAnsi="宋体" w:eastAsia="宋体" w:cs="宋体"/>
          <w:b/>
          <w:bCs/>
          <w:sz w:val="24"/>
        </w:rPr>
        <w:t>5.4 磋商、最后报价</w:t>
      </w:r>
    </w:p>
    <w:p>
      <w:pPr>
        <w:pStyle w:val="174"/>
        <w:tabs>
          <w:tab w:val="left" w:pos="0"/>
        </w:tabs>
        <w:adjustRightInd w:val="0"/>
        <w:snapToGri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sz w:val="24"/>
        </w:rPr>
        <w:t>5.4.1</w:t>
      </w:r>
      <w:r>
        <w:rPr>
          <w:rFonts w:hint="eastAsia" w:ascii="宋体" w:hAnsi="宋体" w:eastAsia="宋体" w:cs="宋体"/>
          <w:kern w:val="0"/>
          <w:sz w:val="24"/>
          <w:lang w:val="zh-CN"/>
        </w:rPr>
        <w:t>磋商小组所有成员按以下两种情况和程序集中与单一供应商分别进行磋商。并给予所有参加</w:t>
      </w:r>
      <w:r>
        <w:rPr>
          <w:rFonts w:hint="eastAsia" w:ascii="宋体" w:hAnsi="宋体" w:eastAsia="宋体" w:cs="宋体"/>
          <w:bCs/>
          <w:sz w:val="24"/>
        </w:rPr>
        <w:t>磋商</w:t>
      </w:r>
      <w:r>
        <w:rPr>
          <w:rFonts w:hint="eastAsia" w:ascii="宋体" w:hAnsi="宋体" w:eastAsia="宋体" w:cs="宋体"/>
          <w:kern w:val="0"/>
          <w:sz w:val="24"/>
          <w:lang w:val="zh-CN"/>
        </w:rPr>
        <w:t>的供应商相同的磋商机会。</w:t>
      </w:r>
    </w:p>
    <w:p>
      <w:pPr>
        <w:pStyle w:val="174"/>
        <w:tabs>
          <w:tab w:val="left" w:pos="0"/>
        </w:tabs>
        <w:adjustRightInd w:val="0"/>
        <w:snapToGri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（1）第一种情况</w:t>
      </w:r>
    </w:p>
    <w:p>
      <w:pPr>
        <w:pStyle w:val="174"/>
        <w:tabs>
          <w:tab w:val="left" w:pos="0"/>
        </w:tabs>
        <w:adjustRightInd w:val="0"/>
        <w:snapToGri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sz w:val="24"/>
        </w:rPr>
        <w:t>磋商文件能够详细列明采购标的的技术、服务要求的，磋商结束后，磋商小组将要求所有实质性响应的供应商在规定时间内提交最后报价。最后报价是供应商响应文件的有效组成部分。</w:t>
      </w:r>
      <w:r>
        <w:rPr>
          <w:rFonts w:hint="eastAsia" w:ascii="宋体" w:hAnsi="宋体" w:eastAsia="宋体" w:cs="宋体"/>
          <w:snapToGrid w:val="0"/>
          <w:kern w:val="0"/>
          <w:sz w:val="24"/>
        </w:rPr>
        <w:t>提交最后报价的供应商不得少于3家。</w:t>
      </w:r>
    </w:p>
    <w:p>
      <w:pPr>
        <w:pStyle w:val="174"/>
        <w:tabs>
          <w:tab w:val="left" w:pos="0"/>
        </w:tabs>
        <w:adjustRightInd w:val="0"/>
        <w:snapToGri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（2）第二种情况</w:t>
      </w:r>
    </w:p>
    <w:p>
      <w:pPr>
        <w:pStyle w:val="174"/>
        <w:tabs>
          <w:tab w:val="left" w:pos="0"/>
        </w:tabs>
        <w:adjustRightInd w:val="0"/>
        <w:snapToGri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snapToGrid w:val="0"/>
          <w:kern w:val="0"/>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rPr>
        <w:t>最后报价是供应商响应文件的有效组成部分。</w:t>
      </w:r>
    </w:p>
    <w:p>
      <w:pPr>
        <w:pStyle w:val="174"/>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lang w:val="zh-CN"/>
        </w:rPr>
        <w:t>5.4.2</w:t>
      </w:r>
      <w:r>
        <w:rPr>
          <w:rFonts w:hint="eastAsia" w:ascii="宋体" w:hAnsi="宋体" w:eastAsia="宋体" w:cs="宋体"/>
          <w:sz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174"/>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5.4.3已提交响应文件的供应商，在提交最后报价之前，可以根据磋商情况退出磋商。采购机构将退还退出磋商的供应商的磋商保证金。</w:t>
      </w:r>
    </w:p>
    <w:p>
      <w:pPr>
        <w:pStyle w:val="174"/>
        <w:tabs>
          <w:tab w:val="left" w:pos="0"/>
        </w:tabs>
        <w:adjustRightInd w:val="0"/>
        <w:snapToGri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5.4.4磋商轮数和最后</w:t>
      </w:r>
      <w:r>
        <w:rPr>
          <w:rFonts w:hint="eastAsia" w:ascii="宋体" w:hAnsi="宋体" w:eastAsia="宋体" w:cs="宋体"/>
          <w:sz w:val="24"/>
        </w:rPr>
        <w:t>报价的要求</w:t>
      </w:r>
      <w:r>
        <w:rPr>
          <w:rFonts w:hint="eastAsia" w:ascii="宋体" w:hAnsi="宋体" w:eastAsia="宋体" w:cs="宋体"/>
          <w:sz w:val="24"/>
          <w:lang w:val="zh-CN"/>
        </w:rPr>
        <w:t>见</w:t>
      </w:r>
      <w:r>
        <w:rPr>
          <w:rFonts w:hint="eastAsia" w:ascii="宋体" w:hAnsi="宋体" w:eastAsia="宋体" w:cs="宋体"/>
          <w:b/>
          <w:sz w:val="24"/>
          <w:lang w:val="zh-CN"/>
        </w:rPr>
        <w:t>磋商须知前附表。</w:t>
      </w:r>
    </w:p>
    <w:p>
      <w:pPr>
        <w:pStyle w:val="174"/>
        <w:tabs>
          <w:tab w:val="left" w:pos="0"/>
        </w:tabs>
        <w:adjustRightInd w:val="0"/>
        <w:snapToGrid w:val="0"/>
        <w:spacing w:line="360" w:lineRule="auto"/>
        <w:rPr>
          <w:rFonts w:hint="eastAsia" w:ascii="宋体" w:hAnsi="宋体" w:eastAsia="宋体" w:cs="宋体"/>
          <w:b/>
          <w:bCs/>
          <w:sz w:val="24"/>
        </w:rPr>
      </w:pPr>
      <w:r>
        <w:rPr>
          <w:rFonts w:hint="eastAsia" w:ascii="宋体" w:hAnsi="宋体" w:eastAsia="宋体" w:cs="宋体"/>
          <w:b/>
          <w:bCs/>
          <w:sz w:val="24"/>
        </w:rPr>
        <w:t>5.5综合评审</w:t>
      </w:r>
    </w:p>
    <w:p>
      <w:pPr>
        <w:pStyle w:val="174"/>
        <w:tabs>
          <w:tab w:val="left" w:pos="0"/>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5.5.1</w:t>
      </w:r>
      <w:r>
        <w:rPr>
          <w:rFonts w:hint="eastAsia" w:ascii="宋体" w:hAnsi="宋体" w:eastAsia="宋体" w:cs="宋体"/>
          <w:bCs/>
          <w:sz w:val="24"/>
        </w:rPr>
        <w:t>评审方法</w:t>
      </w:r>
      <w:r>
        <w:rPr>
          <w:rFonts w:hint="eastAsia" w:ascii="宋体" w:hAnsi="宋体" w:eastAsia="宋体" w:cs="宋体"/>
          <w:sz w:val="24"/>
        </w:rPr>
        <w:t>：综合评分法，是指响应文件满足磋商文件全部实质性要求且按评审因素的量化指标评审得分最高的供应商为成交候选供应商的评审方法。</w:t>
      </w:r>
    </w:p>
    <w:p>
      <w:pPr>
        <w:pStyle w:val="174"/>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5.5.2磋商小组依据磋商文件及供应商的响应文件</w:t>
      </w:r>
      <w:r>
        <w:rPr>
          <w:rFonts w:hint="eastAsia" w:ascii="宋体" w:hAnsi="宋体" w:eastAsia="宋体" w:cs="宋体"/>
          <w:sz w:val="24"/>
        </w:rPr>
        <w:t>和</w:t>
      </w:r>
      <w:r>
        <w:rPr>
          <w:rFonts w:hint="eastAsia" w:ascii="宋体" w:hAnsi="宋体" w:eastAsia="宋体" w:cs="宋体"/>
          <w:kern w:val="0"/>
          <w:sz w:val="24"/>
          <w:lang w:val="zh-CN"/>
        </w:rPr>
        <w:t>最后报价</w:t>
      </w:r>
      <w:r>
        <w:rPr>
          <w:rFonts w:hint="eastAsia" w:ascii="宋体" w:hAnsi="宋体" w:eastAsia="宋体" w:cs="宋体"/>
          <w:bCs/>
          <w:sz w:val="24"/>
        </w:rPr>
        <w:t>，对响应文件的商务和技术部分进行进一步的比较和评价，详细</w:t>
      </w:r>
      <w:r>
        <w:rPr>
          <w:rFonts w:hint="eastAsia" w:ascii="宋体" w:hAnsi="宋体" w:eastAsia="宋体" w:cs="宋体"/>
          <w:sz w:val="24"/>
        </w:rPr>
        <w:t>评审标准见</w:t>
      </w:r>
      <w:r>
        <w:rPr>
          <w:rFonts w:hint="eastAsia" w:ascii="宋体" w:hAnsi="宋体" w:eastAsia="宋体" w:cs="宋体"/>
          <w:b/>
          <w:bCs/>
          <w:sz w:val="24"/>
        </w:rPr>
        <w:t>第三章 评审方法</w:t>
      </w:r>
      <w:r>
        <w:rPr>
          <w:rFonts w:hint="eastAsia" w:ascii="宋体" w:hAnsi="宋体" w:eastAsia="宋体" w:cs="宋体"/>
          <w:bCs/>
          <w:sz w:val="24"/>
        </w:rPr>
        <w:t>。</w:t>
      </w:r>
    </w:p>
    <w:p>
      <w:pPr>
        <w:pStyle w:val="174"/>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pPr>
        <w:pStyle w:val="174"/>
        <w:tabs>
          <w:tab w:val="left" w:pos="0"/>
        </w:tabs>
        <w:adjustRightInd w:val="0"/>
        <w:snapToGri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sz w:val="24"/>
        </w:rPr>
        <w:t>5.5.4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pPr>
        <w:pStyle w:val="174"/>
        <w:tabs>
          <w:tab w:val="left" w:pos="0"/>
        </w:tabs>
        <w:adjustRightInd w:val="0"/>
        <w:snapToGrid w:val="0"/>
        <w:spacing w:line="360" w:lineRule="auto"/>
        <w:rPr>
          <w:rFonts w:hint="eastAsia" w:ascii="宋体" w:hAnsi="宋体" w:eastAsia="宋体" w:cs="宋体"/>
          <w:b/>
          <w:bCs/>
          <w:sz w:val="24"/>
        </w:rPr>
      </w:pPr>
      <w:r>
        <w:rPr>
          <w:rFonts w:hint="eastAsia" w:ascii="宋体" w:hAnsi="宋体" w:eastAsia="宋体" w:cs="宋体"/>
          <w:b/>
          <w:bCs/>
          <w:sz w:val="24"/>
        </w:rPr>
        <w:t>5.6成交原则</w:t>
      </w:r>
    </w:p>
    <w:p>
      <w:pPr>
        <w:pStyle w:val="174"/>
        <w:tabs>
          <w:tab w:val="left" w:pos="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对经比较和评价符合磋商文件要求的供应商，</w:t>
      </w:r>
      <w:r>
        <w:rPr>
          <w:rFonts w:hint="eastAsia" w:ascii="宋体" w:hAnsi="宋体" w:eastAsia="宋体" w:cs="宋体"/>
          <w:color w:val="000000"/>
          <w:sz w:val="24"/>
        </w:rPr>
        <w:t>按照综合评审得分由高到低顺序推荐</w:t>
      </w:r>
      <w:r>
        <w:rPr>
          <w:rFonts w:hint="eastAsia" w:ascii="宋体" w:hAnsi="宋体" w:eastAsia="宋体" w:cs="宋体"/>
          <w:b/>
          <w:bCs/>
          <w:sz w:val="24"/>
        </w:rPr>
        <w:t>磋商须知前附表</w:t>
      </w:r>
      <w:r>
        <w:rPr>
          <w:rFonts w:hint="eastAsia" w:ascii="宋体" w:hAnsi="宋体" w:eastAsia="宋体" w:cs="宋体"/>
          <w:bCs/>
          <w:sz w:val="24"/>
        </w:rPr>
        <w:t>规定数量的成交候选</w:t>
      </w:r>
      <w:r>
        <w:rPr>
          <w:rFonts w:hint="eastAsia" w:ascii="宋体" w:hAnsi="宋体" w:eastAsia="宋体" w:cs="宋体"/>
          <w:kern w:val="0"/>
          <w:sz w:val="24"/>
        </w:rPr>
        <w:t>供应商</w:t>
      </w:r>
      <w:r>
        <w:rPr>
          <w:rFonts w:hint="eastAsia" w:ascii="宋体" w:hAnsi="宋体" w:eastAsia="宋体" w:cs="宋体"/>
          <w:kern w:val="0"/>
          <w:sz w:val="24"/>
          <w:lang w:val="zh-CN"/>
        </w:rPr>
        <w:t>，</w:t>
      </w:r>
      <w:r>
        <w:rPr>
          <w:rFonts w:hint="eastAsia" w:ascii="宋体" w:hAnsi="宋体" w:eastAsia="宋体" w:cs="宋体"/>
          <w:kern w:val="0"/>
          <w:sz w:val="24"/>
        </w:rPr>
        <w:t>并确定排名第一的</w:t>
      </w:r>
      <w:r>
        <w:rPr>
          <w:rFonts w:hint="eastAsia" w:ascii="宋体" w:hAnsi="宋体" w:eastAsia="宋体" w:cs="宋体"/>
          <w:kern w:val="0"/>
          <w:sz w:val="24"/>
          <w:lang w:val="zh-CN"/>
        </w:rPr>
        <w:t>成交候选</w:t>
      </w:r>
      <w:r>
        <w:rPr>
          <w:rFonts w:hint="eastAsia" w:ascii="宋体" w:hAnsi="宋体" w:eastAsia="宋体" w:cs="宋体"/>
          <w:bCs/>
          <w:sz w:val="24"/>
        </w:rPr>
        <w:t>供应商为成交供应商</w:t>
      </w:r>
      <w:r>
        <w:rPr>
          <w:rFonts w:hint="eastAsia" w:ascii="宋体" w:hAnsi="宋体" w:eastAsia="宋体" w:cs="宋体"/>
          <w:kern w:val="0"/>
          <w:sz w:val="24"/>
          <w:lang w:val="zh-CN"/>
        </w:rPr>
        <w:t>。</w:t>
      </w:r>
      <w:r>
        <w:rPr>
          <w:rFonts w:hint="eastAsia" w:ascii="宋体" w:hAnsi="宋体" w:eastAsia="宋体" w:cs="宋体"/>
          <w:sz w:val="24"/>
          <w:lang w:val="zh-CN"/>
        </w:rPr>
        <w:t>如报价</w:t>
      </w:r>
      <w:r>
        <w:rPr>
          <w:rFonts w:hint="eastAsia" w:ascii="宋体" w:hAnsi="宋体" w:eastAsia="宋体" w:cs="宋体"/>
          <w:sz w:val="24"/>
        </w:rPr>
        <w:t>相同，由磋商小组按技术指标、实力等综合因素优劣排列。</w:t>
      </w:r>
    </w:p>
    <w:p>
      <w:pPr>
        <w:pStyle w:val="90"/>
        <w:adjustRightInd w:val="0"/>
        <w:snapToGrid w:val="0"/>
        <w:spacing w:line="360" w:lineRule="auto"/>
        <w:ind w:left="723" w:hanging="723" w:hangingChars="300"/>
        <w:rPr>
          <w:rFonts w:hint="eastAsia" w:ascii="宋体" w:hAnsi="宋体" w:eastAsia="宋体" w:cs="宋体"/>
          <w:b/>
          <w:sz w:val="24"/>
          <w:szCs w:val="24"/>
        </w:rPr>
      </w:pPr>
      <w:r>
        <w:rPr>
          <w:rFonts w:hint="eastAsia" w:ascii="宋体" w:hAnsi="宋体" w:eastAsia="宋体" w:cs="宋体"/>
          <w:b/>
          <w:sz w:val="24"/>
          <w:szCs w:val="24"/>
        </w:rPr>
        <w:t>5.7 磋商的特殊情形</w:t>
      </w:r>
    </w:p>
    <w:p>
      <w:pPr>
        <w:pStyle w:val="90"/>
        <w:adjustRightInd w:val="0"/>
        <w:snapToGrid w:val="0"/>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5.7.1递交响应文件的供应商不足三家的，不开标唱标，除采购任务取消外，如磋商文件没有不合理条款，发布项目延期公告，延长三个工作日，延长期满后，仍不足三家的，继续进入磋商程序。</w:t>
      </w:r>
    </w:p>
    <w:p>
      <w:pPr>
        <w:pStyle w:val="174"/>
        <w:adjustRightInd w:val="0"/>
        <w:snapToGrid w:val="0"/>
        <w:spacing w:line="360" w:lineRule="auto"/>
        <w:ind w:firstLine="480" w:firstLineChars="200"/>
        <w:rPr>
          <w:rFonts w:hint="eastAsia" w:ascii="宋体" w:hAnsi="宋体" w:eastAsia="宋体" w:cs="宋体"/>
          <w:snapToGrid w:val="0"/>
          <w:kern w:val="0"/>
          <w:sz w:val="24"/>
          <w:highlight w:val="none"/>
        </w:rPr>
      </w:pPr>
      <w:r>
        <w:rPr>
          <w:rFonts w:hint="eastAsia" w:ascii="宋体" w:hAnsi="宋体" w:eastAsia="宋体" w:cs="宋体"/>
          <w:kern w:val="0"/>
          <w:sz w:val="24"/>
          <w:highlight w:val="none"/>
          <w:lang w:val="zh-CN"/>
        </w:rPr>
        <w:t>5.7.2对磋商文件</w:t>
      </w:r>
      <w:r>
        <w:rPr>
          <w:rFonts w:hint="eastAsia" w:ascii="宋体" w:hAnsi="宋体" w:eastAsia="宋体" w:cs="宋体"/>
          <w:sz w:val="24"/>
          <w:highlight w:val="none"/>
        </w:rPr>
        <w:t>作出实质性响应的供应商不足三家，但</w:t>
      </w:r>
      <w:r>
        <w:rPr>
          <w:rFonts w:hint="eastAsia" w:ascii="宋体" w:hAnsi="宋体" w:eastAsia="宋体" w:cs="宋体"/>
          <w:snapToGrid w:val="0"/>
          <w:kern w:val="0"/>
          <w:sz w:val="24"/>
          <w:highlight w:val="none"/>
        </w:rPr>
        <w:t>符合《</w:t>
      </w:r>
      <w:r>
        <w:rPr>
          <w:rFonts w:hint="eastAsia" w:ascii="宋体" w:hAnsi="宋体" w:eastAsia="宋体" w:cs="宋体"/>
          <w:color w:val="000000"/>
          <w:sz w:val="24"/>
          <w:highlight w:val="none"/>
        </w:rPr>
        <w:t>政府采购竞争性磋商采购方式管理暂行办法</w:t>
      </w:r>
      <w:r>
        <w:rPr>
          <w:rFonts w:hint="eastAsia" w:ascii="宋体" w:hAnsi="宋体" w:eastAsia="宋体" w:cs="宋体"/>
          <w:snapToGrid w:val="0"/>
          <w:kern w:val="0"/>
          <w:sz w:val="24"/>
          <w:highlight w:val="none"/>
        </w:rPr>
        <w:t>》第二十一条规定的属于本办法第三条第四项“</w:t>
      </w:r>
      <w:r>
        <w:rPr>
          <w:rFonts w:hint="eastAsia" w:ascii="宋体" w:hAnsi="宋体" w:eastAsia="宋体" w:cs="宋体"/>
          <w:snapToGrid w:val="0"/>
          <w:color w:val="000000"/>
          <w:kern w:val="0"/>
          <w:sz w:val="24"/>
          <w:highlight w:val="none"/>
        </w:rPr>
        <w:t>市场竞争不充分的</w:t>
      </w:r>
      <w:r>
        <w:rPr>
          <w:rFonts w:hint="eastAsia" w:ascii="宋体" w:hAnsi="宋体" w:eastAsia="宋体" w:cs="宋体"/>
          <w:snapToGrid w:val="0"/>
          <w:kern w:val="0"/>
          <w:sz w:val="24"/>
          <w:highlight w:val="none"/>
        </w:rPr>
        <w:t>科研项目</w:t>
      </w:r>
      <w:r>
        <w:rPr>
          <w:rFonts w:hint="eastAsia" w:ascii="宋体" w:hAnsi="宋体" w:eastAsia="宋体" w:cs="宋体"/>
          <w:snapToGrid w:val="0"/>
          <w:color w:val="000000"/>
          <w:kern w:val="0"/>
          <w:sz w:val="24"/>
          <w:highlight w:val="none"/>
        </w:rPr>
        <w:t>，以及</w:t>
      </w:r>
      <w:r>
        <w:rPr>
          <w:rFonts w:hint="eastAsia" w:ascii="宋体" w:hAnsi="宋体" w:eastAsia="宋体" w:cs="宋体"/>
          <w:snapToGrid w:val="0"/>
          <w:kern w:val="0"/>
          <w:sz w:val="24"/>
          <w:highlight w:val="none"/>
        </w:rPr>
        <w:t>需要扶持</w:t>
      </w:r>
      <w:r>
        <w:rPr>
          <w:rFonts w:hint="eastAsia" w:ascii="宋体" w:hAnsi="宋体" w:eastAsia="宋体" w:cs="宋体"/>
          <w:snapToGrid w:val="0"/>
          <w:color w:val="000000"/>
          <w:kern w:val="0"/>
          <w:sz w:val="24"/>
          <w:highlight w:val="none"/>
        </w:rPr>
        <w:t>的</w:t>
      </w:r>
      <w:r>
        <w:rPr>
          <w:rFonts w:hint="eastAsia" w:ascii="宋体" w:hAnsi="宋体" w:eastAsia="宋体" w:cs="宋体"/>
          <w:snapToGrid w:val="0"/>
          <w:kern w:val="0"/>
          <w:sz w:val="24"/>
          <w:highlight w:val="none"/>
        </w:rPr>
        <w:t>科技成果转化项目”情形的，提交最后报价的供应商可以为2家。</w:t>
      </w:r>
    </w:p>
    <w:p>
      <w:pPr>
        <w:pStyle w:val="177"/>
        <w:jc w:val="center"/>
        <w:outlineLvl w:val="1"/>
        <w:rPr>
          <w:rFonts w:hint="eastAsia" w:ascii="宋体" w:hAnsi="宋体" w:eastAsia="宋体" w:cs="宋体"/>
          <w:b/>
          <w:bCs/>
          <w:szCs w:val="22"/>
        </w:rPr>
      </w:pPr>
      <w:bookmarkStart w:id="37" w:name="_Toc8378"/>
      <w:bookmarkStart w:id="38" w:name="_Toc256000010"/>
      <w:bookmarkStart w:id="39" w:name="_Toc31596"/>
      <w:bookmarkStart w:id="40" w:name="_Toc256000019"/>
      <w:bookmarkStart w:id="41" w:name="_Toc13595"/>
      <w:r>
        <w:rPr>
          <w:rFonts w:hint="eastAsia" w:ascii="宋体" w:hAnsi="宋体" w:eastAsia="宋体" w:cs="宋体"/>
          <w:b/>
          <w:bCs/>
          <w:szCs w:val="22"/>
        </w:rPr>
        <w:t>六、成交结果及合同授予</w:t>
      </w:r>
      <w:bookmarkEnd w:id="37"/>
      <w:bookmarkEnd w:id="38"/>
      <w:bookmarkEnd w:id="39"/>
      <w:bookmarkEnd w:id="40"/>
      <w:bookmarkEnd w:id="41"/>
    </w:p>
    <w:p>
      <w:pPr>
        <w:pStyle w:val="174"/>
        <w:adjustRightInd w:val="0"/>
        <w:snapToGrid w:val="0"/>
        <w:spacing w:line="360" w:lineRule="auto"/>
        <w:rPr>
          <w:rFonts w:hint="eastAsia" w:ascii="宋体" w:hAnsi="宋体" w:cs="宋体"/>
          <w:b/>
          <w:bCs/>
          <w:sz w:val="24"/>
        </w:rPr>
      </w:pPr>
      <w:r>
        <w:rPr>
          <w:rFonts w:hint="eastAsia" w:ascii="宋体" w:hAnsi="宋体" w:cs="宋体"/>
          <w:b/>
          <w:bCs/>
          <w:sz w:val="24"/>
        </w:rPr>
        <w:t>6.1成交结果</w:t>
      </w:r>
    </w:p>
    <w:p>
      <w:pPr>
        <w:pStyle w:val="90"/>
        <w:adjustRightInd w:val="0"/>
        <w:snapToGrid w:val="0"/>
        <w:spacing w:line="360" w:lineRule="auto"/>
        <w:ind w:firstLine="480" w:firstLineChars="200"/>
        <w:rPr>
          <w:rFonts w:hint="eastAsia" w:hAnsi="宋体" w:cs="宋体"/>
          <w:sz w:val="24"/>
          <w:szCs w:val="24"/>
        </w:rPr>
      </w:pPr>
      <w:r>
        <w:rPr>
          <w:rFonts w:hint="eastAsia" w:hAnsi="宋体" w:cs="宋体"/>
          <w:sz w:val="24"/>
          <w:szCs w:val="24"/>
        </w:rPr>
        <w:t>磋商结束后，成交结果信息将在</w:t>
      </w:r>
      <w:r>
        <w:rPr>
          <w:rFonts w:hint="eastAsia" w:hAnsi="宋体" w:cs="宋体"/>
          <w:b/>
          <w:sz w:val="24"/>
          <w:szCs w:val="24"/>
        </w:rPr>
        <w:t>磋商须知前附表</w:t>
      </w:r>
      <w:r>
        <w:rPr>
          <w:rFonts w:hint="eastAsia" w:hAnsi="宋体" w:cs="宋体"/>
          <w:sz w:val="24"/>
          <w:szCs w:val="24"/>
        </w:rPr>
        <w:t>规定的媒体上公布。</w:t>
      </w:r>
      <w:r>
        <w:rPr>
          <w:rFonts w:hint="eastAsia" w:hAnsi="宋体" w:cs="宋体"/>
          <w:sz w:val="24"/>
          <w:szCs w:val="24"/>
          <w:lang w:val="zh-CN"/>
        </w:rPr>
        <w:t>同时向成交供应商发出成交通知书，该通知书将是合同的组成部分。</w:t>
      </w:r>
    </w:p>
    <w:p>
      <w:pPr>
        <w:pStyle w:val="174"/>
        <w:adjustRightInd w:val="0"/>
        <w:snapToGrid w:val="0"/>
        <w:spacing w:line="360" w:lineRule="auto"/>
        <w:rPr>
          <w:rFonts w:hint="eastAsia" w:ascii="宋体" w:hAnsi="宋体" w:cs="宋体"/>
          <w:b/>
          <w:bCs/>
          <w:sz w:val="24"/>
        </w:rPr>
      </w:pPr>
      <w:r>
        <w:rPr>
          <w:rFonts w:hint="eastAsia" w:ascii="宋体" w:hAnsi="宋体" w:cs="宋体"/>
          <w:b/>
          <w:bCs/>
          <w:sz w:val="24"/>
        </w:rPr>
        <w:t>6.2签订合同</w:t>
      </w:r>
    </w:p>
    <w:p>
      <w:pPr>
        <w:pStyle w:val="174"/>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zh-CN"/>
        </w:rPr>
        <w:t>6.2.1 成交供应商应按成交通知书规定的时间、地点与采购人签订书面合同。</w:t>
      </w:r>
    </w:p>
    <w:p>
      <w:pPr>
        <w:pStyle w:val="174"/>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zh-CN"/>
        </w:rPr>
        <w:t xml:space="preserve">6.2.2 </w:t>
      </w:r>
      <w:r>
        <w:rPr>
          <w:rFonts w:hint="eastAsia" w:ascii="宋体" w:hAnsi="宋体" w:cs="宋体"/>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174"/>
        <w:spacing w:line="360" w:lineRule="auto"/>
        <w:ind w:firstLine="480" w:firstLineChars="200"/>
        <w:rPr>
          <w:rFonts w:hint="eastAsia" w:ascii="宋体" w:hAnsi="宋体" w:cs="宋体"/>
          <w:bCs/>
          <w:sz w:val="24"/>
        </w:rPr>
      </w:pPr>
      <w:r>
        <w:rPr>
          <w:rFonts w:hint="eastAsia" w:ascii="宋体" w:hAnsi="宋体" w:cs="宋体"/>
          <w:bCs/>
          <w:sz w:val="24"/>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177"/>
        <w:jc w:val="center"/>
        <w:outlineLvl w:val="1"/>
        <w:rPr>
          <w:rFonts w:hint="eastAsia" w:ascii="宋体" w:hAnsi="宋体" w:eastAsia="宋体" w:cs="宋体"/>
          <w:b/>
          <w:bCs/>
          <w:szCs w:val="22"/>
        </w:rPr>
      </w:pPr>
      <w:bookmarkStart w:id="42" w:name="_Toc1603"/>
      <w:bookmarkStart w:id="43" w:name="_Toc256000020"/>
      <w:bookmarkStart w:id="44" w:name="_Toc32267"/>
      <w:bookmarkStart w:id="45" w:name="_Toc256000011"/>
      <w:bookmarkStart w:id="46" w:name="_Toc12809"/>
      <w:r>
        <w:rPr>
          <w:rFonts w:hint="eastAsia" w:ascii="宋体" w:hAnsi="宋体" w:eastAsia="宋体" w:cs="宋体"/>
          <w:b/>
          <w:bCs/>
          <w:szCs w:val="22"/>
        </w:rPr>
        <w:t>七、质疑与投诉</w:t>
      </w:r>
      <w:bookmarkEnd w:id="42"/>
      <w:bookmarkEnd w:id="43"/>
      <w:bookmarkEnd w:id="44"/>
      <w:bookmarkEnd w:id="45"/>
      <w:bookmarkEnd w:id="46"/>
    </w:p>
    <w:p>
      <w:pPr>
        <w:pStyle w:val="174"/>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7.1 供应商认为采购文件、采购过程、中标或者成交结果使自己的权益受到损害的，可以在知道或者应知其权益受到损害之日起7个工作日内，以书面形式向采购人、采购代理机构提出质疑。</w:t>
      </w:r>
    </w:p>
    <w:p>
      <w:pPr>
        <w:pStyle w:val="174"/>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7.2供应商若认为磋商文件、磋商过程和成交结果使自己的权益受到损害，应在以下规定时间内以书面形式向采购机构提出：</w:t>
      </w:r>
    </w:p>
    <w:p>
      <w:pPr>
        <w:pStyle w:val="174"/>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（1）对可以质疑的磋商文件提出质疑的，应当自收到磋商文件之日或者磋商文件公告期限届满之日起七个工作日内；</w:t>
      </w:r>
    </w:p>
    <w:p>
      <w:pPr>
        <w:pStyle w:val="174"/>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（2）对磋商过程提出质疑的，应当在各磋商程序环节结束之日起七个工作日内；</w:t>
      </w:r>
    </w:p>
    <w:p>
      <w:pPr>
        <w:pStyle w:val="174"/>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（3）对成交结果提出质疑的，应当在成交结果公告期限届满之日起七个工作日内提出；</w:t>
      </w:r>
    </w:p>
    <w:p>
      <w:pPr>
        <w:pStyle w:val="174"/>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（4）磋商文件或法律法规规定的其他时间内。</w:t>
      </w:r>
    </w:p>
    <w:p>
      <w:pPr>
        <w:pStyle w:val="174"/>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7.3 供应商提出质疑的，应当有明确的请求和必要的证明材料，并提供质疑书原件。招标采购单位向质疑供应商签收回执。</w:t>
      </w:r>
    </w:p>
    <w:p>
      <w:pPr>
        <w:pStyle w:val="174"/>
        <w:adjustRightInd w:val="0"/>
        <w:snapToGrid w:val="0"/>
        <w:spacing w:line="360" w:lineRule="auto"/>
        <w:ind w:firstLine="480" w:firstLineChars="200"/>
        <w:jc w:val="left"/>
        <w:rPr>
          <w:rFonts w:hint="eastAsia" w:ascii="宋体" w:hAnsi="宋体" w:cs="宋体"/>
          <w:color w:val="999999"/>
          <w:sz w:val="24"/>
        </w:rPr>
      </w:pPr>
      <w:r>
        <w:rPr>
          <w:rFonts w:hint="eastAsia" w:ascii="宋体" w:hAnsi="宋体" w:cs="宋体"/>
          <w:sz w:val="24"/>
        </w:rPr>
        <w:t>7.4 质疑书应当由质疑供应商法定代表人或授权代表人签字并加盖公章，质疑书由授权代表人签字的应附法定代表人授权书。</w:t>
      </w:r>
    </w:p>
    <w:p>
      <w:pPr>
        <w:pStyle w:val="174"/>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7.5 采购机构将在签收回执之日起七个工作日内作出书面答复，并以书面形式通知与质疑处理结果有关的供应商。</w:t>
      </w:r>
    </w:p>
    <w:p>
      <w:pPr>
        <w:pStyle w:val="174"/>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177"/>
        <w:jc w:val="center"/>
        <w:outlineLvl w:val="1"/>
        <w:rPr>
          <w:rFonts w:hint="eastAsia" w:ascii="宋体" w:hAnsi="宋体" w:eastAsia="宋体" w:cs="宋体"/>
          <w:b/>
          <w:bCs/>
          <w:szCs w:val="22"/>
        </w:rPr>
      </w:pPr>
      <w:bookmarkStart w:id="47" w:name="_Toc6750"/>
      <w:bookmarkStart w:id="48" w:name="_Toc256000012"/>
      <w:bookmarkStart w:id="49" w:name="_Toc9458"/>
      <w:bookmarkStart w:id="50" w:name="_Toc256000021"/>
      <w:bookmarkStart w:id="51" w:name="_Toc4019"/>
      <w:r>
        <w:rPr>
          <w:rFonts w:hint="eastAsia" w:ascii="宋体" w:hAnsi="宋体" w:eastAsia="宋体" w:cs="宋体"/>
          <w:b/>
          <w:bCs/>
          <w:szCs w:val="22"/>
        </w:rPr>
        <w:t>八、其他规定</w:t>
      </w:r>
      <w:bookmarkEnd w:id="47"/>
      <w:bookmarkEnd w:id="48"/>
      <w:bookmarkEnd w:id="49"/>
      <w:bookmarkEnd w:id="50"/>
      <w:bookmarkEnd w:id="51"/>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磋商文件的其他规定见磋商须知前附</w:t>
      </w:r>
      <w:bookmarkStart w:id="52" w:name="_Toc7041"/>
      <w:bookmarkStart w:id="53" w:name="_Toc23825"/>
      <w:bookmarkStart w:id="54" w:name="_Toc256000022"/>
      <w:bookmarkStart w:id="55" w:name="_Toc529952598"/>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pStyle w:val="174"/>
        <w:adjustRightInd w:val="0"/>
        <w:snapToGrid w:val="0"/>
        <w:spacing w:line="360" w:lineRule="auto"/>
        <w:ind w:firstLine="480" w:firstLineChars="200"/>
        <w:jc w:val="left"/>
        <w:rPr>
          <w:rFonts w:hint="eastAsia" w:ascii="宋体" w:hAnsi="宋体" w:eastAsia="宋体" w:cs="宋体"/>
          <w:sz w:val="24"/>
          <w:lang w:val="en-US" w:eastAsia="zh-CN"/>
        </w:rPr>
      </w:pPr>
    </w:p>
    <w:p>
      <w:pPr>
        <w:spacing w:line="360" w:lineRule="auto"/>
        <w:jc w:val="center"/>
        <w:outlineLvl w:val="0"/>
        <w:rPr>
          <w:rFonts w:hint="eastAsia" w:ascii="宋体" w:hAnsi="宋体" w:eastAsia="宋体" w:cs="宋体"/>
          <w:b/>
          <w:sz w:val="32"/>
          <w:szCs w:val="32"/>
        </w:rPr>
      </w:pPr>
      <w:bookmarkStart w:id="56" w:name="_Toc7252"/>
      <w:bookmarkStart w:id="57" w:name="_Toc6876"/>
      <w:bookmarkStart w:id="58" w:name="_Toc19877"/>
      <w:r>
        <w:rPr>
          <w:rFonts w:hint="eastAsia" w:ascii="宋体" w:hAnsi="宋体" w:eastAsia="宋体" w:cs="宋体"/>
          <w:b/>
          <w:sz w:val="32"/>
          <w:szCs w:val="32"/>
          <w:lang w:val="en-US" w:eastAsia="zh-CN"/>
        </w:rPr>
        <w:t>第三章 评审方法（综合评分法）</w:t>
      </w:r>
      <w:bookmarkEnd w:id="52"/>
      <w:bookmarkEnd w:id="53"/>
      <w:bookmarkEnd w:id="54"/>
      <w:bookmarkEnd w:id="55"/>
      <w:bookmarkEnd w:id="56"/>
      <w:bookmarkEnd w:id="57"/>
      <w:bookmarkEnd w:id="58"/>
    </w:p>
    <w:p>
      <w:pPr>
        <w:tabs>
          <w:tab w:val="left" w:pos="420"/>
          <w:tab w:val="left" w:pos="7560"/>
          <w:tab w:val="left" w:pos="7740"/>
          <w:tab w:val="left" w:pos="7920"/>
        </w:tabs>
        <w:adjustRightInd w:val="0"/>
        <w:snapToGrid w:val="0"/>
        <w:spacing w:line="360" w:lineRule="auto"/>
        <w:outlineLvl w:val="1"/>
        <w:rPr>
          <w:rFonts w:hint="eastAsia" w:ascii="宋体" w:hAnsi="宋体" w:cs="宋体"/>
          <w:b/>
          <w:sz w:val="24"/>
          <w:szCs w:val="24"/>
        </w:rPr>
      </w:pPr>
      <w:bookmarkStart w:id="59" w:name="_Toc30287"/>
      <w:bookmarkStart w:id="60" w:name="_Toc15535"/>
      <w:r>
        <w:rPr>
          <w:rFonts w:hint="eastAsia" w:ascii="宋体" w:hAnsi="宋体" w:cs="宋体"/>
          <w:b/>
          <w:sz w:val="24"/>
          <w:szCs w:val="24"/>
          <w:highlight w:val="white"/>
        </w:rPr>
        <w:t>一、综合评分</w:t>
      </w:r>
      <w:bookmarkEnd w:id="59"/>
      <w:bookmarkEnd w:id="60"/>
    </w:p>
    <w:p>
      <w:pPr>
        <w:spacing w:line="360" w:lineRule="auto"/>
        <w:ind w:firstLine="480" w:firstLineChars="200"/>
        <w:rPr>
          <w:rFonts w:hint="eastAsia" w:ascii="宋体" w:hAnsi="宋体" w:cs="宋体"/>
          <w:sz w:val="24"/>
          <w:szCs w:val="24"/>
        </w:rPr>
      </w:pPr>
      <w:r>
        <w:rPr>
          <w:rFonts w:hint="eastAsia" w:ascii="宋体" w:hAnsi="宋体" w:cs="宋体"/>
          <w:sz w:val="24"/>
          <w:szCs w:val="24"/>
          <w:highlight w:val="white"/>
        </w:rPr>
        <w:t>1.经磋商确定最终采购需求和提交最后报价的供应商后，由磋商小组采用综合评分法对提交最后报价的供应商的响应文件和最后报价进行综合评分。</w:t>
      </w:r>
    </w:p>
    <w:p>
      <w:pPr>
        <w:spacing w:line="360" w:lineRule="auto"/>
        <w:ind w:firstLine="480" w:firstLineChars="200"/>
        <w:rPr>
          <w:rFonts w:hint="eastAsia" w:ascii="宋体" w:hAnsi="宋体" w:cs="宋体"/>
          <w:sz w:val="24"/>
          <w:szCs w:val="24"/>
        </w:rPr>
      </w:pPr>
      <w:r>
        <w:rPr>
          <w:rFonts w:hint="eastAsia" w:ascii="宋体" w:hAnsi="宋体" w:cs="宋体"/>
          <w:sz w:val="24"/>
          <w:szCs w:val="24"/>
          <w:highlight w:val="white"/>
        </w:rPr>
        <w:t>综合评分法，是指响应文件满足磋商文件全部实质性要求且按评审因素的量化指标评审得分最高的供应商为成交候选供应商的评审方法。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highlight w:val="white"/>
        </w:rPr>
        <w:t>2.评审时，磋商小组各成员应当独立对每个有效响应的文件进行评价、打分，然后汇总每个供应商每项评分因素的得分。</w:t>
      </w:r>
    </w:p>
    <w:p>
      <w:pPr>
        <w:spacing w:line="360" w:lineRule="auto"/>
        <w:ind w:firstLine="480" w:firstLineChars="200"/>
        <w:rPr>
          <w:rFonts w:hint="eastAsia" w:ascii="宋体" w:hAnsi="宋体" w:cs="宋体"/>
          <w:sz w:val="24"/>
          <w:szCs w:val="24"/>
          <w:highlight w:val="white"/>
        </w:rPr>
      </w:pPr>
      <w:r>
        <w:rPr>
          <w:rFonts w:hint="eastAsia" w:ascii="宋体" w:hAnsi="宋体" w:cs="宋体"/>
          <w:sz w:val="24"/>
          <w:szCs w:val="24"/>
          <w:highlight w:val="whit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sz w:val="24"/>
          <w:szCs w:val="24"/>
          <w:highlight w:val="white"/>
        </w:rPr>
      </w:pPr>
      <w:bookmarkStart w:id="61" w:name="_Toc11231"/>
      <w:bookmarkStart w:id="62" w:name="_Toc14524"/>
      <w:r>
        <w:rPr>
          <w:rFonts w:hint="eastAsia" w:ascii="宋体" w:hAnsi="宋体" w:eastAsia="宋体" w:cs="宋体"/>
          <w:b/>
          <w:sz w:val="24"/>
          <w:szCs w:val="24"/>
          <w:highlight w:val="white"/>
        </w:rPr>
        <w:t>二.综合评分细则表</w:t>
      </w:r>
      <w:bookmarkEnd w:id="61"/>
      <w:bookmarkEnd w:id="62"/>
      <w:bookmarkStart w:id="63" w:name="EB2b9517aba70e41b6b8039ac384a1ee3b"/>
      <w:bookmarkStart w:id="64" w:name="EBa7c662697928483c8bec43b86b5b112f"/>
    </w:p>
    <w:p>
      <w:pPr>
        <w:pStyle w:val="6"/>
        <w:spacing w:line="240" w:lineRule="auto"/>
        <w:ind w:left="0" w:leftChars="0" w:firstLine="0" w:firstLineChars="0"/>
        <w:jc w:val="center"/>
        <w:rPr>
          <w:rFonts w:hint="eastAsia" w:ascii="宋体" w:hAnsi="宋体" w:cs="宋体"/>
          <w:b/>
          <w:bCs w:val="0"/>
          <w:sz w:val="24"/>
          <w:szCs w:val="24"/>
        </w:rPr>
      </w:pPr>
      <w:r>
        <w:rPr>
          <w:rFonts w:hint="eastAsia" w:ascii="宋体" w:hAnsi="宋体" w:cs="宋体"/>
          <w:b/>
          <w:bCs w:val="0"/>
          <w:sz w:val="24"/>
          <w:szCs w:val="24"/>
        </w:rPr>
        <w:t>资格审查表</w:t>
      </w:r>
    </w:p>
    <w:p>
      <w:pPr>
        <w:pStyle w:val="2"/>
        <w:spacing w:line="240" w:lineRule="auto"/>
        <w:ind w:left="0" w:leftChars="0" w:firstLine="0" w:firstLineChars="0"/>
        <w:rPr>
          <w:rFonts w:hint="eastAsia"/>
          <w:b w:val="0"/>
          <w:bCs/>
        </w:rPr>
      </w:pPr>
      <w:r>
        <w:rPr>
          <w:rFonts w:hint="eastAsia" w:ascii="宋体" w:hAnsi="宋体" w:eastAsia="宋体" w:cs="宋体"/>
          <w:b w:val="0"/>
          <w:bCs/>
          <w:i w:val="0"/>
          <w:caps w:val="0"/>
          <w:color w:val="000000"/>
          <w:spacing w:val="0"/>
          <w:w w:val="100"/>
          <w:kern w:val="0"/>
          <w:sz w:val="24"/>
          <w:szCs w:val="24"/>
          <w:lang w:val="en-US" w:eastAsia="zh-CN" w:bidi="ar"/>
        </w:rPr>
        <w:t>项目名称：                                          项目编号：</w:t>
      </w:r>
    </w:p>
    <w:tbl>
      <w:tblPr>
        <w:tblStyle w:val="3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99"/>
        <w:gridCol w:w="5137"/>
        <w:gridCol w:w="837"/>
        <w:gridCol w:w="837"/>
        <w:gridCol w:w="837"/>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bidi="ar"/>
              </w:rPr>
              <w:t>序号</w:t>
            </w:r>
          </w:p>
        </w:tc>
        <w:tc>
          <w:tcPr>
            <w:tcW w:w="2824"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b w:val="0"/>
                <w:i w:val="0"/>
                <w:caps w:val="0"/>
                <w:spacing w:val="0"/>
                <w:w w:val="100"/>
                <w:sz w:val="20"/>
                <w:lang w:val="en-US" w:eastAsia="zh-CN"/>
              </w:rPr>
            </w:pPr>
            <w:r>
              <w:rPr>
                <w:rFonts w:hint="eastAsia"/>
                <w:b w:val="0"/>
                <w:i w:val="0"/>
                <w:caps w:val="0"/>
                <w:spacing w:val="0"/>
                <w:w w:val="100"/>
                <w:sz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-1270</wp:posOffset>
                      </wp:positionV>
                      <wp:extent cx="3209290" cy="380365"/>
                      <wp:effectExtent l="635" t="4445" r="5715" b="11430"/>
                      <wp:wrapNone/>
                      <wp:docPr id="3" name="直接连接符 3"/>
                      <wp:cNvGraphicFramePr/>
                      <a:graphic xmlns:a="http://schemas.openxmlformats.org/drawingml/2006/main">
                        <a:graphicData uri="http://schemas.microsoft.com/office/word/2010/wordprocessingShape">
                          <wps:wsp>
                            <wps:cNvCnPr/>
                            <wps:spPr>
                              <a:xfrm>
                                <a:off x="0" y="0"/>
                                <a:ext cx="3209290" cy="3803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5pt;margin-top:-0.1pt;height:29.95pt;width:252.7pt;z-index:251659264;mso-width-relative:page;mso-height-relative:page;" filled="f" stroked="t" coordsize="21600,21600" o:gfxdata="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hos/nUAAAABgEAAA8AAAAAAAAAAQAgAAAAIgAAAGRycy9kb3ducmV2Lnht&#10;bFBLAQIUABQAAAAIAIdO4kDGzaI2/QEAAPcDAAAOAAAAAAAAAAEAIAAAACMBAABkcnMvZTJvRG9j&#10;LnhtbFBLBQYAAAAABgAGAFkBAACSBQAAAAA=&#10;">
                      <v:fill on="f" focussize="0,0"/>
                      <v:stroke color="#000000" joinstyle="round"/>
                      <v:imagedata o:title=""/>
                      <o:lock v:ext="edit" aspectratio="f"/>
                    </v:line>
                  </w:pict>
                </mc:Fallback>
              </mc:AlternateContent>
            </w:r>
            <w:r>
              <w:rPr>
                <w:rFonts w:hint="eastAsia"/>
                <w:b w:val="0"/>
                <w:i w:val="0"/>
                <w:caps w:val="0"/>
                <w:spacing w:val="0"/>
                <w:w w:val="100"/>
                <w:sz w:val="24"/>
                <w:lang w:val="en-US" w:eastAsia="zh-CN"/>
              </w:rPr>
              <w:t xml:space="preserve">                     投标单位     </w:t>
            </w:r>
          </w:p>
          <w:p>
            <w:pPr>
              <w:snapToGrid w:val="0"/>
              <w:spacing w:before="0" w:beforeAutospacing="0" w:after="0" w:afterAutospacing="0" w:line="240" w:lineRule="auto"/>
              <w:ind w:firstLine="216" w:firstLineChars="0"/>
              <w:jc w:val="left"/>
              <w:textAlignment w:val="baseline"/>
              <w:rPr>
                <w:rFonts w:hint="eastAsia" w:ascii="Times New Roman" w:hAnsi="Times New Roman" w:eastAsia="宋体" w:cs="Times New Roman"/>
                <w:b w:val="0"/>
                <w:i w:val="0"/>
                <w:caps w:val="0"/>
                <w:spacing w:val="0"/>
                <w:w w:val="100"/>
                <w:kern w:val="2"/>
                <w:sz w:val="24"/>
                <w:szCs w:val="24"/>
                <w:lang w:val="en-US" w:eastAsia="zh-CN" w:bidi="ar-SA"/>
              </w:rPr>
            </w:pPr>
            <w:r>
              <w:rPr>
                <w:rFonts w:hint="eastAsia" w:cs="Times New Roman"/>
                <w:b w:val="0"/>
                <w:i w:val="0"/>
                <w:caps w:val="0"/>
                <w:spacing w:val="0"/>
                <w:w w:val="100"/>
                <w:kern w:val="2"/>
                <w:sz w:val="24"/>
                <w:szCs w:val="24"/>
                <w:lang w:val="en-US" w:eastAsia="zh-CN" w:bidi="ar-SA"/>
              </w:rPr>
              <w:t>审查内容</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eastAsia="zh-CN"/>
              </w:rPr>
              <w:t>投标人</w:t>
            </w:r>
            <w:r>
              <w:rPr>
                <w:rFonts w:hint="eastAsia" w:ascii="宋体" w:hAnsi="宋体" w:eastAsia="宋体" w:cs="宋体"/>
                <w:b w:val="0"/>
                <w:i w:val="0"/>
                <w:caps w:val="0"/>
                <w:color w:val="000000"/>
                <w:spacing w:val="0"/>
                <w:w w:val="100"/>
                <w:sz w:val="24"/>
                <w:szCs w:val="24"/>
                <w:lang w:val="en-US" w:eastAsia="zh-CN"/>
              </w:rPr>
              <w:t>A</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eastAsia="zh-CN"/>
              </w:rPr>
              <w:t>投标人</w:t>
            </w:r>
            <w:r>
              <w:rPr>
                <w:rFonts w:hint="eastAsia" w:ascii="宋体" w:hAnsi="宋体" w:eastAsia="宋体" w:cs="宋体"/>
                <w:b w:val="0"/>
                <w:i w:val="0"/>
                <w:caps w:val="0"/>
                <w:color w:val="000000"/>
                <w:spacing w:val="0"/>
                <w:w w:val="100"/>
                <w:sz w:val="24"/>
                <w:szCs w:val="24"/>
                <w:lang w:val="en-US" w:eastAsia="zh-CN"/>
              </w:rPr>
              <w:t>B</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eastAsia="zh-CN"/>
              </w:rPr>
              <w:t>投标人</w:t>
            </w:r>
            <w:r>
              <w:rPr>
                <w:rFonts w:hint="eastAsia" w:ascii="宋体" w:hAnsi="宋体" w:eastAsia="宋体" w:cs="宋体"/>
                <w:b w:val="0"/>
                <w:i w:val="0"/>
                <w:caps w:val="0"/>
                <w:color w:val="000000"/>
                <w:spacing w:val="0"/>
                <w:w w:val="100"/>
                <w:sz w:val="24"/>
                <w:szCs w:val="24"/>
                <w:lang w:val="en-US" w:eastAsia="zh-CN"/>
              </w:rPr>
              <w:t>C</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lang w:eastAsia="zh-CN"/>
              </w:rPr>
            </w:pPr>
            <w:r>
              <w:rPr>
                <w:rFonts w:hint="eastAsia" w:ascii="宋体" w:hAnsi="宋体" w:eastAsia="宋体" w:cs="宋体"/>
                <w:b w:val="0"/>
                <w:i w:val="0"/>
                <w:caps w:val="0"/>
                <w:color w:val="000000"/>
                <w:spacing w:val="0"/>
                <w:w w:val="100"/>
                <w:sz w:val="24"/>
                <w:szCs w:val="24"/>
                <w:lang w:eastAsia="zh-CN"/>
              </w:rPr>
              <w:t>投标人</w:t>
            </w:r>
            <w:r>
              <w:rPr>
                <w:rFonts w:hint="eastAsia" w:ascii="宋体" w:hAnsi="宋体" w:eastAsia="宋体" w:cs="宋体"/>
                <w:b w:val="0"/>
                <w:i w:val="0"/>
                <w:caps w:val="0"/>
                <w:color w:val="000000"/>
                <w:spacing w:val="0"/>
                <w:w w:val="100"/>
                <w:sz w:val="24"/>
                <w:szCs w:val="24"/>
                <w:lang w:val="en-US" w:eastAsia="zh-CN"/>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2"/>
                <w:szCs w:val="22"/>
              </w:rPr>
            </w:pPr>
            <w:r>
              <w:rPr>
                <w:rFonts w:hint="eastAsia" w:ascii="宋体" w:hAnsi="宋体" w:eastAsia="宋体" w:cs="宋体"/>
                <w:b w:val="0"/>
                <w:bCs w:val="0"/>
                <w:i w:val="0"/>
                <w:caps w:val="0"/>
                <w:color w:val="000000"/>
                <w:spacing w:val="0"/>
                <w:w w:val="100"/>
                <w:kern w:val="0"/>
                <w:sz w:val="22"/>
                <w:szCs w:val="22"/>
              </w:rPr>
              <w:t>1</w:t>
            </w:r>
          </w:p>
        </w:tc>
        <w:tc>
          <w:tcPr>
            <w:tcW w:w="2824"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2"/>
                <w:szCs w:val="22"/>
              </w:rPr>
            </w:pPr>
            <w:r>
              <w:rPr>
                <w:rFonts w:hint="eastAsia" w:ascii="宋体" w:hAnsi="宋体" w:eastAsia="宋体" w:cs="宋体"/>
                <w:b w:val="0"/>
                <w:i w:val="0"/>
                <w:caps w:val="0"/>
                <w:color w:val="000000"/>
                <w:spacing w:val="0"/>
                <w:w w:val="100"/>
                <w:sz w:val="22"/>
                <w:szCs w:val="22"/>
                <w:lang w:val="en-US" w:eastAsia="zh-CN"/>
              </w:rPr>
              <w:t>是否具有合格有效的法人或非法人组织营业执照</w:t>
            </w:r>
            <w:r>
              <w:rPr>
                <w:rFonts w:hint="eastAsia" w:ascii="宋体" w:hAnsi="宋体" w:eastAsia="宋体" w:cs="宋体"/>
                <w:sz w:val="24"/>
                <w:szCs w:val="24"/>
                <w:highlight w:val="none"/>
              </w:rPr>
              <w:t>；</w:t>
            </w: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5"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2"/>
                <w:szCs w:val="22"/>
                <w:lang w:eastAsia="zh-CN"/>
              </w:rPr>
            </w:pPr>
            <w:r>
              <w:rPr>
                <w:rFonts w:hint="eastAsia" w:ascii="宋体" w:hAnsi="宋体" w:eastAsia="宋体" w:cs="宋体"/>
                <w:b w:val="0"/>
                <w:bCs w:val="0"/>
                <w:i w:val="0"/>
                <w:caps w:val="0"/>
                <w:color w:val="000000"/>
                <w:spacing w:val="0"/>
                <w:w w:val="100"/>
                <w:kern w:val="0"/>
                <w:sz w:val="22"/>
                <w:szCs w:val="22"/>
                <w:lang w:val="en-US" w:eastAsia="zh-CN"/>
              </w:rPr>
              <w:t>2</w:t>
            </w:r>
          </w:p>
        </w:tc>
        <w:tc>
          <w:tcPr>
            <w:tcW w:w="2824" w:type="pct"/>
            <w:tcBorders>
              <w:top w:val="single" w:color="000000" w:sz="4" w:space="0"/>
              <w:left w:val="single" w:color="000000" w:sz="4" w:space="0"/>
              <w:bottom w:val="single" w:color="000000" w:sz="4" w:space="0"/>
              <w:right w:val="single" w:color="000000" w:sz="4" w:space="0"/>
            </w:tcBorders>
            <w:noWrap w:val="0"/>
            <w:vAlign w:val="center"/>
          </w:tcPr>
          <w:p>
            <w:pPr>
              <w:keepLines w:val="0"/>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2"/>
                <w:szCs w:val="22"/>
              </w:rPr>
            </w:pPr>
            <w:r>
              <w:rPr>
                <w:rFonts w:hint="eastAsia" w:ascii="宋体" w:hAnsi="宋体" w:eastAsia="宋体" w:cs="宋体"/>
                <w:b w:val="0"/>
                <w:i w:val="0"/>
                <w:caps w:val="0"/>
                <w:color w:val="000000"/>
                <w:spacing w:val="0"/>
                <w:w w:val="100"/>
                <w:sz w:val="22"/>
                <w:szCs w:val="22"/>
                <w:lang w:val="en-US" w:eastAsia="zh-CN"/>
              </w:rPr>
              <w:t>[市政公用工程施工总承包三级](含)以上资质，并在人员、设备、资金等方面具有相应的施工能力，有安全生产许可证；（疆外企业提供进疆备案）；</w:t>
            </w: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5"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273"/>
              </w:tabs>
              <w:snapToGrid w:val="0"/>
              <w:spacing w:before="0" w:beforeAutospacing="0" w:after="0" w:afterAutospacing="0" w:line="240" w:lineRule="auto"/>
              <w:jc w:val="left"/>
              <w:textAlignment w:val="center"/>
              <w:rPr>
                <w:rFonts w:hint="default" w:ascii="宋体" w:hAnsi="宋体" w:eastAsia="宋体" w:cs="宋体"/>
                <w:b w:val="0"/>
                <w:bCs w:val="0"/>
                <w:i w:val="0"/>
                <w:caps w:val="0"/>
                <w:color w:val="000000"/>
                <w:spacing w:val="0"/>
                <w:w w:val="100"/>
                <w:kern w:val="0"/>
                <w:sz w:val="22"/>
                <w:szCs w:val="22"/>
                <w:lang w:val="en-US" w:eastAsia="zh-CN"/>
              </w:rPr>
            </w:pPr>
            <w:r>
              <w:rPr>
                <w:rFonts w:hint="eastAsia" w:ascii="宋体" w:hAnsi="宋体" w:eastAsia="宋体" w:cs="宋体"/>
                <w:b w:val="0"/>
                <w:bCs w:val="0"/>
                <w:i w:val="0"/>
                <w:caps w:val="0"/>
                <w:color w:val="000000"/>
                <w:spacing w:val="0"/>
                <w:w w:val="100"/>
                <w:kern w:val="0"/>
                <w:sz w:val="22"/>
                <w:szCs w:val="22"/>
                <w:lang w:val="en-US" w:eastAsia="zh-CN"/>
              </w:rPr>
              <w:tab/>
            </w:r>
            <w:r>
              <w:rPr>
                <w:rFonts w:hint="eastAsia" w:ascii="宋体" w:hAnsi="宋体" w:eastAsia="宋体" w:cs="宋体"/>
                <w:b w:val="0"/>
                <w:bCs w:val="0"/>
                <w:i w:val="0"/>
                <w:caps w:val="0"/>
                <w:color w:val="000000"/>
                <w:spacing w:val="0"/>
                <w:w w:val="100"/>
                <w:kern w:val="0"/>
                <w:sz w:val="22"/>
                <w:szCs w:val="22"/>
                <w:lang w:val="en-US" w:eastAsia="zh-CN"/>
              </w:rPr>
              <w:t>3</w:t>
            </w:r>
          </w:p>
        </w:tc>
        <w:tc>
          <w:tcPr>
            <w:tcW w:w="2824" w:type="pct"/>
            <w:tcBorders>
              <w:top w:val="single" w:color="000000" w:sz="4" w:space="0"/>
              <w:left w:val="single" w:color="000000" w:sz="4" w:space="0"/>
              <w:bottom w:val="single" w:color="000000" w:sz="4" w:space="0"/>
              <w:right w:val="single" w:color="000000" w:sz="4" w:space="0"/>
            </w:tcBorders>
            <w:noWrap w:val="0"/>
            <w:vAlign w:val="center"/>
          </w:tcPr>
          <w:p>
            <w:pPr>
              <w:keepLines w:val="0"/>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2"/>
                <w:szCs w:val="22"/>
                <w:lang w:val="en-US" w:eastAsia="zh-CN"/>
              </w:rPr>
            </w:pPr>
            <w:r>
              <w:rPr>
                <w:rFonts w:hint="eastAsia" w:ascii="宋体" w:hAnsi="宋体" w:eastAsia="宋体" w:cs="宋体"/>
                <w:b w:val="0"/>
                <w:i w:val="0"/>
                <w:caps w:val="0"/>
                <w:color w:val="000000"/>
                <w:spacing w:val="0"/>
                <w:w w:val="100"/>
                <w:sz w:val="22"/>
                <w:szCs w:val="22"/>
                <w:lang w:val="en-US" w:eastAsia="zh-CN"/>
              </w:rPr>
              <w:t>项目负责人须具备市政公用工程专业贰级(含)以上级注册建造师执业资格， 具备有效的安全生产考核合格证书，且未担任其他在施建设工程项目的项目负责人。</w:t>
            </w: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5"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8"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b w:val="0"/>
                <w:bCs w:val="0"/>
                <w:i w:val="0"/>
                <w:caps w:val="0"/>
                <w:color w:val="000000"/>
                <w:spacing w:val="0"/>
                <w:w w:val="100"/>
                <w:kern w:val="0"/>
                <w:sz w:val="22"/>
                <w:szCs w:val="22"/>
                <w:lang w:val="en-US" w:eastAsia="zh-CN"/>
              </w:rPr>
            </w:pPr>
            <w:r>
              <w:rPr>
                <w:rFonts w:hint="eastAsia" w:ascii="宋体" w:hAnsi="宋体" w:eastAsia="宋体" w:cs="宋体"/>
                <w:b w:val="0"/>
                <w:bCs w:val="0"/>
                <w:i w:val="0"/>
                <w:caps w:val="0"/>
                <w:color w:val="000000"/>
                <w:spacing w:val="0"/>
                <w:w w:val="100"/>
                <w:kern w:val="0"/>
                <w:sz w:val="22"/>
                <w:szCs w:val="22"/>
                <w:lang w:val="en-US" w:eastAsia="zh-CN"/>
              </w:rPr>
              <w:t>4</w:t>
            </w:r>
          </w:p>
        </w:tc>
        <w:tc>
          <w:tcPr>
            <w:tcW w:w="2824" w:type="pct"/>
            <w:tcBorders>
              <w:top w:val="single" w:color="000000" w:sz="4" w:space="0"/>
              <w:left w:val="single" w:color="000000" w:sz="4" w:space="0"/>
              <w:bottom w:val="single" w:color="000000" w:sz="4" w:space="0"/>
              <w:right w:val="single" w:color="000000" w:sz="4" w:space="0"/>
            </w:tcBorders>
            <w:noWrap w:val="0"/>
            <w:vAlign w:val="center"/>
          </w:tcPr>
          <w:p>
            <w:pPr>
              <w:keepLines w:val="0"/>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2"/>
                <w:szCs w:val="22"/>
                <w:lang w:val="en-US" w:eastAsia="zh-CN"/>
              </w:rPr>
            </w:pPr>
            <w:r>
              <w:rPr>
                <w:rFonts w:hint="eastAsia" w:ascii="宋体" w:hAnsi="宋体" w:eastAsia="宋体" w:cs="宋体"/>
                <w:b w:val="0"/>
                <w:i w:val="0"/>
                <w:caps w:val="0"/>
                <w:color w:val="000000"/>
                <w:spacing w:val="0"/>
                <w:w w:val="100"/>
                <w:sz w:val="22"/>
                <w:szCs w:val="22"/>
                <w:lang w:val="en-US" w:eastAsia="zh-CN"/>
              </w:rPr>
              <w:t>是否具有法定代表人提供有法定代表人证明书及法定代表人身份证，委托代理人需提供法定代表人授权委托书及委托代理人身份证，并提供近3个月社保证明材料（社保缴费凭证及个人明细表）</w:t>
            </w:r>
            <w:r>
              <w:rPr>
                <w:rFonts w:hint="eastAsia" w:ascii="宋体" w:hAnsi="宋体" w:cs="宋体"/>
                <w:b w:val="0"/>
                <w:i w:val="0"/>
                <w:caps w:val="0"/>
                <w:color w:val="000000"/>
                <w:spacing w:val="0"/>
                <w:w w:val="100"/>
                <w:sz w:val="22"/>
                <w:szCs w:val="22"/>
                <w:lang w:val="en-US" w:eastAsia="zh-CN"/>
              </w:rPr>
              <w:t>。</w:t>
            </w: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5"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2"/>
                <w:szCs w:val="22"/>
                <w:lang w:eastAsia="zh-CN"/>
              </w:rPr>
            </w:pPr>
            <w:r>
              <w:rPr>
                <w:rFonts w:hint="eastAsia" w:ascii="宋体" w:hAnsi="宋体" w:eastAsia="宋体" w:cs="宋体"/>
                <w:b w:val="0"/>
                <w:bCs w:val="0"/>
                <w:i w:val="0"/>
                <w:caps w:val="0"/>
                <w:color w:val="000000"/>
                <w:spacing w:val="0"/>
                <w:w w:val="100"/>
                <w:kern w:val="0"/>
                <w:sz w:val="22"/>
                <w:szCs w:val="22"/>
                <w:lang w:val="en-US" w:eastAsia="zh-CN"/>
              </w:rPr>
              <w:t>5</w:t>
            </w:r>
          </w:p>
        </w:tc>
        <w:tc>
          <w:tcPr>
            <w:tcW w:w="2824" w:type="pct"/>
            <w:tcBorders>
              <w:top w:val="single" w:color="000000" w:sz="4" w:space="0"/>
              <w:left w:val="single" w:color="000000" w:sz="4" w:space="0"/>
              <w:bottom w:val="single" w:color="000000" w:sz="4" w:space="0"/>
              <w:right w:val="single" w:color="000000" w:sz="4" w:space="0"/>
            </w:tcBorders>
            <w:noWrap w:val="0"/>
            <w:vAlign w:val="center"/>
          </w:tcPr>
          <w:p>
            <w:pPr>
              <w:keepLines w:val="0"/>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2"/>
                <w:szCs w:val="22"/>
                <w:lang w:val="en-US" w:eastAsia="zh-CN"/>
              </w:rPr>
            </w:pPr>
            <w:r>
              <w:rPr>
                <w:rFonts w:hint="eastAsia" w:ascii="宋体" w:hAnsi="宋体" w:eastAsia="宋体" w:cs="宋体"/>
                <w:b w:val="0"/>
                <w:i w:val="0"/>
                <w:caps w:val="0"/>
                <w:color w:val="000000"/>
                <w:spacing w:val="0"/>
                <w:w w:val="100"/>
                <w:sz w:val="22"/>
                <w:szCs w:val="22"/>
                <w:lang w:val="en-US" w:eastAsia="zh-CN"/>
              </w:rPr>
              <w:t>是否具有良好的商业信誉和健全的财务会计制度（需提供公司财务制度和会计事务所出具2021年财务审计报告（</w:t>
            </w:r>
            <w:r>
              <w:rPr>
                <w:rFonts w:hint="eastAsia" w:ascii="仿宋" w:hAnsi="仿宋" w:eastAsia="仿宋" w:cs="仿宋"/>
                <w:sz w:val="21"/>
                <w:szCs w:val="21"/>
              </w:rPr>
              <w:t>（新成立的公司须提供近一个月的银行资信证明</w:t>
            </w:r>
            <w:r>
              <w:rPr>
                <w:rFonts w:hint="eastAsia" w:ascii="宋体" w:hAnsi="宋体" w:eastAsia="宋体" w:cs="宋体"/>
                <w:b w:val="0"/>
                <w:i w:val="0"/>
                <w:caps w:val="0"/>
                <w:color w:val="000000"/>
                <w:spacing w:val="0"/>
                <w:w w:val="100"/>
                <w:sz w:val="22"/>
                <w:szCs w:val="22"/>
                <w:lang w:val="en-US" w:eastAsia="zh-CN"/>
              </w:rPr>
              <w:t>）。</w:t>
            </w: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5"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2"/>
                <w:szCs w:val="22"/>
                <w:lang w:eastAsia="zh-CN"/>
              </w:rPr>
            </w:pPr>
            <w:r>
              <w:rPr>
                <w:rFonts w:hint="eastAsia" w:ascii="宋体" w:hAnsi="宋体" w:eastAsia="宋体" w:cs="宋体"/>
                <w:b w:val="0"/>
                <w:bCs w:val="0"/>
                <w:i w:val="0"/>
                <w:caps w:val="0"/>
                <w:color w:val="000000"/>
                <w:spacing w:val="0"/>
                <w:w w:val="100"/>
                <w:kern w:val="0"/>
                <w:sz w:val="22"/>
                <w:szCs w:val="22"/>
                <w:lang w:val="en-US" w:eastAsia="zh-CN"/>
              </w:rPr>
              <w:t>6</w:t>
            </w:r>
          </w:p>
        </w:tc>
        <w:tc>
          <w:tcPr>
            <w:tcW w:w="2824" w:type="pct"/>
            <w:tcBorders>
              <w:top w:val="single" w:color="000000" w:sz="4" w:space="0"/>
              <w:left w:val="single" w:color="000000" w:sz="4" w:space="0"/>
              <w:bottom w:val="single" w:color="000000" w:sz="4" w:space="0"/>
              <w:right w:val="single" w:color="000000" w:sz="4" w:space="0"/>
            </w:tcBorders>
            <w:noWrap w:val="0"/>
            <w:vAlign w:val="center"/>
          </w:tcPr>
          <w:p>
            <w:pPr>
              <w:keepLines w:val="0"/>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2"/>
                <w:szCs w:val="22"/>
                <w:lang w:val="en-US" w:eastAsia="zh-CN"/>
              </w:rPr>
            </w:pPr>
            <w:r>
              <w:rPr>
                <w:rFonts w:hint="eastAsia" w:ascii="宋体" w:hAnsi="宋体" w:eastAsia="宋体" w:cs="宋体"/>
                <w:b w:val="0"/>
                <w:i w:val="0"/>
                <w:caps w:val="0"/>
                <w:color w:val="000000"/>
                <w:spacing w:val="0"/>
                <w:w w:val="100"/>
                <w:sz w:val="22"/>
                <w:szCs w:val="22"/>
                <w:lang w:val="en-US" w:eastAsia="zh-CN"/>
              </w:rPr>
              <w:t>投标单位需提供公司依法缴纳近三个月任意一个月的税收良好记录证明；（新成立的公司按实际发生提供）</w:t>
            </w:r>
            <w:r>
              <w:rPr>
                <w:rFonts w:hint="eastAsia" w:ascii="宋体" w:hAnsi="宋体" w:cs="宋体"/>
                <w:b w:val="0"/>
                <w:i w:val="0"/>
                <w:caps w:val="0"/>
                <w:color w:val="000000"/>
                <w:spacing w:val="0"/>
                <w:w w:val="100"/>
                <w:sz w:val="22"/>
                <w:szCs w:val="22"/>
                <w:lang w:val="en-US" w:eastAsia="zh-CN"/>
              </w:rPr>
              <w:t>。</w:t>
            </w: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5"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2"/>
                <w:szCs w:val="22"/>
                <w:lang w:eastAsia="zh-CN"/>
              </w:rPr>
            </w:pPr>
            <w:r>
              <w:rPr>
                <w:rFonts w:hint="eastAsia" w:ascii="宋体" w:hAnsi="宋体" w:eastAsia="宋体" w:cs="宋体"/>
                <w:b w:val="0"/>
                <w:bCs w:val="0"/>
                <w:i w:val="0"/>
                <w:caps w:val="0"/>
                <w:color w:val="000000"/>
                <w:spacing w:val="0"/>
                <w:w w:val="100"/>
                <w:kern w:val="0"/>
                <w:sz w:val="22"/>
                <w:szCs w:val="22"/>
                <w:lang w:val="en-US" w:eastAsia="zh-CN"/>
              </w:rPr>
              <w:t>7</w:t>
            </w:r>
          </w:p>
        </w:tc>
        <w:tc>
          <w:tcPr>
            <w:tcW w:w="2824" w:type="pct"/>
            <w:tcBorders>
              <w:top w:val="single" w:color="000000" w:sz="4" w:space="0"/>
              <w:left w:val="single" w:color="000000" w:sz="4" w:space="0"/>
              <w:bottom w:val="single" w:color="000000" w:sz="4" w:space="0"/>
              <w:right w:val="single" w:color="000000" w:sz="4" w:space="0"/>
            </w:tcBorders>
            <w:noWrap w:val="0"/>
            <w:vAlign w:val="center"/>
          </w:tcPr>
          <w:p>
            <w:pPr>
              <w:keepLines w:val="0"/>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2"/>
                <w:szCs w:val="22"/>
                <w:lang w:val="en-US" w:eastAsia="zh-CN"/>
              </w:rPr>
            </w:pPr>
            <w:r>
              <w:rPr>
                <w:rFonts w:hint="eastAsia" w:ascii="宋体" w:hAnsi="宋体" w:eastAsia="宋体" w:cs="宋体"/>
                <w:b w:val="0"/>
                <w:bCs w:val="0"/>
                <w:i w:val="0"/>
                <w:caps w:val="0"/>
                <w:color w:val="000000"/>
                <w:spacing w:val="0"/>
                <w:w w:val="100"/>
                <w:kern w:val="0"/>
                <w:sz w:val="22"/>
                <w:szCs w:val="22"/>
                <w:lang w:val="zh-CN" w:eastAsia="zh-CN" w:bidi="ar"/>
              </w:rPr>
              <w:t>在“信用中国”网站 被列入失信被执行人、重大税收违法案件当事人名单；“中国政府采购网”严重违法失信行为记录名单的（尚在处罚期内的）；“国家企业信用信息公示系统”列入经营异常名录信息、列入严重违法失信企业名单（黑名单）信息的企业投标商，拒绝参与该项目投标；</w:t>
            </w: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5"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9"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b w:val="0"/>
                <w:bCs w:val="0"/>
                <w:i w:val="0"/>
                <w:caps w:val="0"/>
                <w:color w:val="000000"/>
                <w:spacing w:val="0"/>
                <w:w w:val="100"/>
                <w:kern w:val="0"/>
                <w:sz w:val="22"/>
                <w:szCs w:val="22"/>
                <w:lang w:val="en-US" w:eastAsia="zh-CN"/>
              </w:rPr>
            </w:pPr>
            <w:r>
              <w:rPr>
                <w:rFonts w:hint="eastAsia" w:ascii="宋体" w:hAnsi="宋体" w:eastAsia="宋体" w:cs="宋体"/>
                <w:b w:val="0"/>
                <w:bCs w:val="0"/>
                <w:i w:val="0"/>
                <w:caps w:val="0"/>
                <w:color w:val="000000"/>
                <w:spacing w:val="0"/>
                <w:w w:val="100"/>
                <w:kern w:val="0"/>
                <w:sz w:val="22"/>
                <w:szCs w:val="22"/>
                <w:lang w:val="en-US" w:eastAsia="zh-CN"/>
              </w:rPr>
              <w:t>8</w:t>
            </w:r>
          </w:p>
        </w:tc>
        <w:tc>
          <w:tcPr>
            <w:tcW w:w="282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left"/>
              <w:textAlignment w:val="center"/>
              <w:rPr>
                <w:rFonts w:hint="eastAsia" w:ascii="宋体" w:hAnsi="宋体" w:eastAsia="宋体" w:cs="宋体"/>
                <w:b w:val="0"/>
                <w:i w:val="0"/>
                <w:caps w:val="0"/>
                <w:color w:val="000000"/>
                <w:spacing w:val="0"/>
                <w:w w:val="100"/>
                <w:kern w:val="0"/>
                <w:sz w:val="22"/>
                <w:szCs w:val="22"/>
                <w:lang w:val="zh-CN" w:eastAsia="zh-CN" w:bidi="ar"/>
              </w:rPr>
            </w:pPr>
            <w:r>
              <w:rPr>
                <w:rFonts w:hint="eastAsia" w:ascii="宋体" w:hAnsi="宋体" w:eastAsia="宋体" w:cs="宋体"/>
                <w:b w:val="0"/>
                <w:i w:val="0"/>
                <w:caps w:val="0"/>
                <w:color w:val="000000"/>
                <w:spacing w:val="0"/>
                <w:w w:val="100"/>
                <w:kern w:val="0"/>
                <w:sz w:val="22"/>
                <w:szCs w:val="22"/>
                <w:lang w:val="en-US" w:eastAsia="zh-CN" w:bidi="ar"/>
              </w:rPr>
              <w:t>提供针对本次项目《反商业贿赂承诺书》</w:t>
            </w: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5"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2"/>
                <w:szCs w:val="22"/>
                <w:lang w:eastAsia="zh-CN"/>
              </w:rPr>
            </w:pPr>
            <w:r>
              <w:rPr>
                <w:rFonts w:hint="eastAsia" w:ascii="宋体" w:hAnsi="宋体" w:eastAsia="宋体" w:cs="宋体"/>
                <w:b w:val="0"/>
                <w:bCs w:val="0"/>
                <w:i w:val="0"/>
                <w:caps w:val="0"/>
                <w:color w:val="000000"/>
                <w:spacing w:val="0"/>
                <w:w w:val="100"/>
                <w:kern w:val="0"/>
                <w:sz w:val="22"/>
                <w:szCs w:val="22"/>
                <w:lang w:val="en-US" w:eastAsia="zh-CN"/>
              </w:rPr>
              <w:t>9</w:t>
            </w:r>
          </w:p>
        </w:tc>
        <w:tc>
          <w:tcPr>
            <w:tcW w:w="282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left"/>
              <w:textAlignment w:val="center"/>
              <w:rPr>
                <w:rFonts w:hint="eastAsia" w:ascii="宋体" w:hAnsi="宋体" w:eastAsia="宋体" w:cs="宋体"/>
                <w:b w:val="0"/>
                <w:i w:val="0"/>
                <w:caps w:val="0"/>
                <w:color w:val="000000"/>
                <w:spacing w:val="0"/>
                <w:w w:val="100"/>
                <w:kern w:val="0"/>
                <w:sz w:val="22"/>
                <w:szCs w:val="22"/>
                <w:lang w:val="en-US" w:eastAsia="zh-CN" w:bidi="ar"/>
              </w:rPr>
            </w:pPr>
            <w:r>
              <w:rPr>
                <w:rFonts w:hint="eastAsia" w:ascii="宋体" w:hAnsi="宋体" w:eastAsia="宋体" w:cs="宋体"/>
                <w:b w:val="0"/>
                <w:i w:val="0"/>
                <w:caps w:val="0"/>
                <w:color w:val="000000"/>
                <w:spacing w:val="0"/>
                <w:w w:val="100"/>
                <w:kern w:val="0"/>
                <w:sz w:val="22"/>
                <w:szCs w:val="22"/>
                <w:lang w:val="en-US" w:eastAsia="zh-CN" w:bidi="ar"/>
              </w:rPr>
              <w:t>提供本单位在参加政府采购活动中前三年内无重大违法记录的承诺声明函</w:t>
            </w: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5"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center"/>
              <w:rPr>
                <w:rFonts w:hint="default" w:ascii="宋体" w:hAnsi="宋体" w:eastAsia="宋体" w:cs="宋体"/>
                <w:b w:val="0"/>
                <w:i w:val="0"/>
                <w:caps w:val="0"/>
                <w:color w:val="000000"/>
                <w:spacing w:val="0"/>
                <w:w w:val="100"/>
                <w:kern w:val="0"/>
                <w:sz w:val="22"/>
                <w:szCs w:val="22"/>
                <w:lang w:val="en-US" w:eastAsia="zh-CN" w:bidi="ar"/>
              </w:rPr>
            </w:pPr>
            <w:r>
              <w:rPr>
                <w:rFonts w:hint="eastAsia" w:ascii="宋体" w:hAnsi="宋体" w:eastAsia="宋体" w:cs="宋体"/>
                <w:b w:val="0"/>
                <w:i w:val="0"/>
                <w:caps w:val="0"/>
                <w:color w:val="000000"/>
                <w:spacing w:val="0"/>
                <w:w w:val="100"/>
                <w:kern w:val="0"/>
                <w:sz w:val="22"/>
                <w:szCs w:val="22"/>
                <w:lang w:val="en-US" w:eastAsia="zh-CN" w:bidi="ar"/>
              </w:rPr>
              <w:t>10</w:t>
            </w:r>
          </w:p>
        </w:tc>
        <w:tc>
          <w:tcPr>
            <w:tcW w:w="282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left"/>
              <w:textAlignment w:val="center"/>
              <w:rPr>
                <w:rFonts w:hint="eastAsia" w:ascii="宋体" w:hAnsi="宋体" w:eastAsia="宋体" w:cs="宋体"/>
                <w:b w:val="0"/>
                <w:i w:val="0"/>
                <w:caps w:val="0"/>
                <w:color w:val="000000"/>
                <w:spacing w:val="0"/>
                <w:w w:val="100"/>
                <w:kern w:val="0"/>
                <w:sz w:val="22"/>
                <w:szCs w:val="22"/>
                <w:lang w:val="en-US" w:eastAsia="zh-CN" w:bidi="ar"/>
              </w:rPr>
            </w:pPr>
            <w:r>
              <w:rPr>
                <w:rFonts w:hint="eastAsia" w:ascii="宋体" w:hAnsi="宋体" w:eastAsia="宋体" w:cs="宋体"/>
                <w:b w:val="0"/>
                <w:i w:val="0"/>
                <w:caps w:val="0"/>
                <w:color w:val="000000"/>
                <w:spacing w:val="0"/>
                <w:w w:val="100"/>
                <w:kern w:val="0"/>
                <w:sz w:val="22"/>
                <w:szCs w:val="22"/>
                <w:lang w:val="en-US" w:eastAsia="zh-CN" w:bidi="ar"/>
              </w:rPr>
              <w:t>本项目不接受联合体投标。</w:t>
            </w: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5"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3154" w:type="pct"/>
            <w:gridSpan w:val="2"/>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1"/>
                <w:szCs w:val="21"/>
                <w:lang w:bidi="ar"/>
              </w:rPr>
              <w:t>结论（通过〝√〞，不通过〝×〞）（以上评审有任意一项不通过，则不进入下一环节）</w:t>
            </w: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0"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65" w:type="pct"/>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left"/>
              <w:textAlignment w:val="center"/>
              <w:rPr>
                <w:rFonts w:hint="eastAsia" w:ascii="宋体" w:hAnsi="宋体" w:eastAsia="宋体" w:cs="宋体"/>
                <w:b w:val="0"/>
                <w:i w:val="0"/>
                <w:caps w:val="0"/>
                <w:color w:val="000000"/>
                <w:spacing w:val="0"/>
                <w:w w:val="100"/>
                <w:kern w:val="0"/>
                <w:sz w:val="24"/>
                <w:szCs w:val="24"/>
                <w:lang w:val="en-US" w:eastAsia="zh-CN" w:bidi="ar"/>
              </w:rPr>
            </w:pPr>
            <w:r>
              <w:rPr>
                <w:rFonts w:hint="eastAsia" w:ascii="宋体" w:hAnsi="宋体" w:eastAsia="宋体" w:cs="宋体"/>
                <w:b w:val="0"/>
                <w:i w:val="0"/>
                <w:caps w:val="0"/>
                <w:color w:val="000000"/>
                <w:spacing w:val="0"/>
                <w:w w:val="100"/>
                <w:sz w:val="21"/>
                <w:szCs w:val="21"/>
                <w:lang w:bidi="ar"/>
              </w:rPr>
              <w:t>评标委员会成员签字：</w:t>
            </w:r>
          </w:p>
        </w:tc>
      </w:tr>
    </w:tbl>
    <w:p>
      <w:pPr>
        <w:rPr>
          <w:rFonts w:hint="eastAsia" w:ascii="宋体" w:hAnsi="宋体" w:cs="宋体"/>
          <w:bCs/>
          <w:sz w:val="24"/>
        </w:rPr>
      </w:pPr>
    </w:p>
    <w:p>
      <w:pPr>
        <w:pStyle w:val="6"/>
        <w:spacing w:line="240" w:lineRule="auto"/>
        <w:ind w:left="0" w:lef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符合性</w:t>
      </w:r>
      <w:r>
        <w:rPr>
          <w:rFonts w:hint="eastAsia" w:ascii="宋体" w:hAnsi="宋体" w:eastAsia="宋体" w:cs="宋体"/>
          <w:b/>
          <w:bCs w:val="0"/>
          <w:sz w:val="24"/>
          <w:szCs w:val="24"/>
        </w:rPr>
        <w:t>审查表</w:t>
      </w:r>
    </w:p>
    <w:p>
      <w:pPr>
        <w:pStyle w:val="2"/>
        <w:spacing w:line="240" w:lineRule="auto"/>
        <w:ind w:left="0" w:leftChars="0" w:firstLine="0" w:firstLineChars="0"/>
        <w:rPr>
          <w:rFonts w:hint="eastAsia" w:ascii="宋体" w:hAnsi="宋体" w:eastAsia="宋体" w:cs="宋体"/>
          <w:b/>
          <w:bCs/>
          <w:i w:val="0"/>
          <w:caps w:val="0"/>
          <w:color w:val="000000"/>
          <w:spacing w:val="0"/>
          <w:w w:val="100"/>
          <w:sz w:val="28"/>
          <w:szCs w:val="28"/>
        </w:rPr>
      </w:pPr>
      <w:r>
        <w:rPr>
          <w:rFonts w:hint="eastAsia" w:ascii="宋体" w:hAnsi="宋体" w:eastAsia="宋体" w:cs="宋体"/>
          <w:b w:val="0"/>
          <w:bCs/>
          <w:i w:val="0"/>
          <w:caps w:val="0"/>
          <w:color w:val="000000"/>
          <w:spacing w:val="0"/>
          <w:w w:val="100"/>
          <w:kern w:val="0"/>
          <w:sz w:val="24"/>
          <w:szCs w:val="24"/>
          <w:lang w:val="en-US" w:eastAsia="zh-CN" w:bidi="ar"/>
        </w:rPr>
        <w:t>项目名称：                                          项目编号：</w:t>
      </w:r>
    </w:p>
    <w:tbl>
      <w:tblPr>
        <w:tblStyle w:val="3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46"/>
        <w:gridCol w:w="5201"/>
        <w:gridCol w:w="722"/>
        <w:gridCol w:w="835"/>
        <w:gridCol w:w="811"/>
        <w:gridCol w:w="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1"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bidi="ar"/>
              </w:rPr>
              <w:t>序号</w:t>
            </w:r>
          </w:p>
        </w:tc>
        <w:tc>
          <w:tcPr>
            <w:tcW w:w="2859" w:type="pc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keepLines w:val="0"/>
              <w:widowControl/>
              <w:suppressLineNumbers w:val="0"/>
              <w:snapToGrid w:val="0"/>
              <w:spacing w:before="0" w:beforeAutospacing="0" w:after="0" w:afterAutospacing="0" w:line="240" w:lineRule="auto"/>
              <w:jc w:val="left"/>
              <w:textAlignment w:val="center"/>
              <w:rPr>
                <w:rFonts w:hint="eastAsia" w:ascii="宋体" w:hAnsi="宋体" w:eastAsia="宋体" w:cs="宋体"/>
                <w:b w:val="0"/>
                <w:i w:val="0"/>
                <w:caps w:val="0"/>
                <w:color w:val="000000"/>
                <w:spacing w:val="0"/>
                <w:w w:val="100"/>
                <w:kern w:val="0"/>
                <w:sz w:val="24"/>
                <w:szCs w:val="24"/>
                <w:lang w:val="en-US" w:eastAsia="zh-CN" w:bidi="ar"/>
              </w:rPr>
            </w:pPr>
            <w:r>
              <w:rPr>
                <w:rFonts w:hint="eastAsia" w:ascii="宋体" w:hAnsi="宋体" w:eastAsia="宋体" w:cs="宋体"/>
                <w:b w:val="0"/>
                <w:i w:val="0"/>
                <w:caps w:val="0"/>
                <w:color w:val="000000"/>
                <w:spacing w:val="0"/>
                <w:w w:val="100"/>
                <w:kern w:val="0"/>
                <w:sz w:val="24"/>
                <w:szCs w:val="24"/>
                <w:lang w:val="en-US" w:eastAsia="zh-CN" w:bidi="ar"/>
              </w:rPr>
              <w:t xml:space="preserve">                  </w:t>
            </w:r>
            <w:r>
              <w:rPr>
                <w:rFonts w:hint="eastAsia" w:ascii="宋体" w:hAnsi="宋体" w:cs="宋体"/>
                <w:b w:val="0"/>
                <w:i w:val="0"/>
                <w:caps w:val="0"/>
                <w:color w:val="000000"/>
                <w:spacing w:val="0"/>
                <w:w w:val="100"/>
                <w:kern w:val="0"/>
                <w:sz w:val="24"/>
                <w:szCs w:val="24"/>
                <w:lang w:val="en-US" w:eastAsia="zh-CN" w:bidi="ar"/>
              </w:rPr>
              <w:t xml:space="preserve">          </w:t>
            </w:r>
            <w:r>
              <w:rPr>
                <w:rFonts w:hint="eastAsia" w:ascii="宋体" w:hAnsi="宋体" w:eastAsia="宋体" w:cs="宋体"/>
                <w:b w:val="0"/>
                <w:i w:val="0"/>
                <w:caps w:val="0"/>
                <w:color w:val="000000"/>
                <w:spacing w:val="0"/>
                <w:w w:val="100"/>
                <w:kern w:val="0"/>
                <w:sz w:val="24"/>
                <w:szCs w:val="24"/>
                <w:lang w:val="en-US" w:eastAsia="zh-CN" w:bidi="ar"/>
              </w:rPr>
              <w:t xml:space="preserve"> 投标单位</w:t>
            </w:r>
          </w:p>
          <w:p>
            <w:pPr>
              <w:keepLines w:val="0"/>
              <w:widowControl/>
              <w:suppressLineNumbers w:val="0"/>
              <w:snapToGrid w:val="0"/>
              <w:spacing w:before="0" w:beforeAutospacing="0" w:after="0" w:afterAutospacing="0" w:line="240" w:lineRule="auto"/>
              <w:jc w:val="left"/>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bidi="ar"/>
              </w:rPr>
              <w:t xml:space="preserve">  </w:t>
            </w:r>
            <w:r>
              <w:rPr>
                <w:rFonts w:hint="eastAsia" w:ascii="宋体" w:hAnsi="宋体" w:cs="宋体"/>
                <w:b w:val="0"/>
                <w:i w:val="0"/>
                <w:caps w:val="0"/>
                <w:color w:val="000000"/>
                <w:spacing w:val="0"/>
                <w:w w:val="100"/>
                <w:kern w:val="0"/>
                <w:sz w:val="24"/>
                <w:szCs w:val="24"/>
                <w:lang w:val="en-US" w:eastAsia="zh-CN" w:bidi="ar"/>
              </w:rPr>
              <w:t xml:space="preserve"> </w:t>
            </w:r>
            <w:r>
              <w:rPr>
                <w:rFonts w:hint="eastAsia" w:ascii="宋体" w:hAnsi="宋体" w:eastAsia="宋体" w:cs="宋体"/>
                <w:b w:val="0"/>
                <w:i w:val="0"/>
                <w:caps w:val="0"/>
                <w:color w:val="000000"/>
                <w:spacing w:val="0"/>
                <w:w w:val="100"/>
                <w:kern w:val="0"/>
                <w:sz w:val="24"/>
                <w:szCs w:val="24"/>
                <w:lang w:val="en-US" w:eastAsia="zh-CN" w:bidi="ar"/>
              </w:rPr>
              <w:t xml:space="preserve"> 审查内容</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lang w:val="en-US"/>
              </w:rPr>
            </w:pPr>
            <w:r>
              <w:rPr>
                <w:rFonts w:hint="eastAsia" w:ascii="宋体" w:hAnsi="宋体" w:eastAsia="宋体" w:cs="宋体"/>
                <w:b w:val="0"/>
                <w:i w:val="0"/>
                <w:caps w:val="0"/>
                <w:color w:val="000000"/>
                <w:spacing w:val="0"/>
                <w:w w:val="100"/>
                <w:sz w:val="24"/>
                <w:szCs w:val="24"/>
                <w:lang w:eastAsia="zh-CN"/>
              </w:rPr>
              <w:t>投标人</w:t>
            </w:r>
            <w:r>
              <w:rPr>
                <w:rFonts w:hint="eastAsia" w:ascii="宋体" w:hAnsi="宋体" w:eastAsia="宋体" w:cs="宋体"/>
                <w:b w:val="0"/>
                <w:i w:val="0"/>
                <w:caps w:val="0"/>
                <w:color w:val="000000"/>
                <w:spacing w:val="0"/>
                <w:w w:val="100"/>
                <w:sz w:val="24"/>
                <w:szCs w:val="24"/>
                <w:lang w:val="en-US" w:eastAsia="zh-CN"/>
              </w:rPr>
              <w:t>A</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lang w:val="en-US"/>
              </w:rPr>
            </w:pPr>
            <w:r>
              <w:rPr>
                <w:rFonts w:hint="eastAsia" w:ascii="宋体" w:hAnsi="宋体" w:eastAsia="宋体" w:cs="宋体"/>
                <w:b w:val="0"/>
                <w:i w:val="0"/>
                <w:caps w:val="0"/>
                <w:color w:val="000000"/>
                <w:spacing w:val="0"/>
                <w:w w:val="100"/>
                <w:sz w:val="24"/>
                <w:szCs w:val="24"/>
                <w:lang w:eastAsia="zh-CN"/>
              </w:rPr>
              <w:t>投标人</w:t>
            </w:r>
            <w:r>
              <w:rPr>
                <w:rFonts w:hint="eastAsia" w:ascii="宋体" w:hAnsi="宋体" w:eastAsia="宋体" w:cs="宋体"/>
                <w:b w:val="0"/>
                <w:i w:val="0"/>
                <w:caps w:val="0"/>
                <w:color w:val="000000"/>
                <w:spacing w:val="0"/>
                <w:w w:val="100"/>
                <w:sz w:val="24"/>
                <w:szCs w:val="24"/>
                <w:lang w:val="en-US" w:eastAsia="zh-CN"/>
              </w:rPr>
              <w:t>B</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lang w:val="en-US"/>
              </w:rPr>
            </w:pPr>
            <w:r>
              <w:rPr>
                <w:rFonts w:hint="eastAsia" w:ascii="宋体" w:hAnsi="宋体" w:eastAsia="宋体" w:cs="宋体"/>
                <w:b w:val="0"/>
                <w:i w:val="0"/>
                <w:caps w:val="0"/>
                <w:color w:val="000000"/>
                <w:spacing w:val="0"/>
                <w:w w:val="100"/>
                <w:sz w:val="24"/>
                <w:szCs w:val="24"/>
                <w:lang w:eastAsia="zh-CN"/>
              </w:rPr>
              <w:t>投标人</w:t>
            </w:r>
            <w:r>
              <w:rPr>
                <w:rFonts w:hint="eastAsia" w:ascii="宋体" w:hAnsi="宋体" w:eastAsia="宋体" w:cs="宋体"/>
                <w:b w:val="0"/>
                <w:i w:val="0"/>
                <w:caps w:val="0"/>
                <w:color w:val="000000"/>
                <w:spacing w:val="0"/>
                <w:w w:val="100"/>
                <w:sz w:val="24"/>
                <w:szCs w:val="24"/>
                <w:lang w:val="en-US" w:eastAsia="zh-CN"/>
              </w:rPr>
              <w:t>C</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eastAsia="zh-CN"/>
              </w:rPr>
              <w:t>投标人</w:t>
            </w:r>
            <w:r>
              <w:rPr>
                <w:rFonts w:hint="eastAsia" w:ascii="宋体" w:hAnsi="宋体" w:eastAsia="宋体" w:cs="宋体"/>
                <w:b w:val="0"/>
                <w:i w:val="0"/>
                <w:caps w:val="0"/>
                <w:color w:val="000000"/>
                <w:spacing w:val="0"/>
                <w:w w:val="100"/>
                <w:sz w:val="24"/>
                <w:szCs w:val="24"/>
                <w:lang w:val="en-US" w:eastAsia="zh-CN"/>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4"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bidi="ar"/>
              </w:rPr>
              <w:t>1</w:t>
            </w:r>
          </w:p>
        </w:tc>
        <w:tc>
          <w:tcPr>
            <w:tcW w:w="285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r>
              <w:rPr>
                <w:rFonts w:hint="eastAsia" w:hAnsi="宋体" w:cs="宋体"/>
                <w:b w:val="0"/>
                <w:i w:val="0"/>
                <w:caps w:val="0"/>
                <w:color w:val="000000"/>
                <w:spacing w:val="0"/>
                <w:w w:val="100"/>
                <w:sz w:val="24"/>
                <w:szCs w:val="16"/>
              </w:rPr>
              <w:t>需要提交的证明文件不全，或者不符合招标文件标明的证明文件要求的；</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3"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bidi="ar"/>
              </w:rPr>
              <w:t>2</w:t>
            </w:r>
          </w:p>
        </w:tc>
        <w:tc>
          <w:tcPr>
            <w:tcW w:w="285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r>
              <w:rPr>
                <w:rFonts w:hint="eastAsia" w:hAnsi="宋体" w:cs="宋体"/>
                <w:b w:val="0"/>
                <w:i w:val="0"/>
                <w:caps w:val="0"/>
                <w:color w:val="000000"/>
                <w:spacing w:val="0"/>
                <w:w w:val="100"/>
                <w:sz w:val="24"/>
                <w:szCs w:val="16"/>
              </w:rPr>
              <w:t>响应文件无法定代表人签字,或未提供法定代表人授权委托书、投标声明书或者填写项目不齐全的；</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2"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bidi="ar"/>
              </w:rPr>
              <w:t>3</w:t>
            </w:r>
          </w:p>
        </w:tc>
        <w:tc>
          <w:tcPr>
            <w:tcW w:w="285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r>
              <w:rPr>
                <w:rFonts w:hint="eastAsia" w:hAnsi="宋体" w:cs="宋体"/>
                <w:b w:val="0"/>
                <w:i w:val="0"/>
                <w:caps w:val="0"/>
                <w:color w:val="000000"/>
                <w:spacing w:val="0"/>
                <w:w w:val="100"/>
                <w:sz w:val="24"/>
                <w:szCs w:val="16"/>
              </w:rPr>
              <w:t>投标代表人未能出具身份证明或与法定代表人授权委托人身份不符的；</w:t>
            </w:r>
          </w:p>
        </w:tc>
        <w:tc>
          <w:tcPr>
            <w:tcW w:w="397"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59"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4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2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bidi="ar"/>
              </w:rPr>
              <w:t>4</w:t>
            </w:r>
          </w:p>
        </w:tc>
        <w:tc>
          <w:tcPr>
            <w:tcW w:w="285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r>
              <w:rPr>
                <w:rFonts w:hint="eastAsia" w:hAnsi="宋体" w:cs="宋体"/>
                <w:b w:val="0"/>
                <w:i w:val="0"/>
                <w:caps w:val="0"/>
                <w:color w:val="000000"/>
                <w:spacing w:val="0"/>
                <w:w w:val="100"/>
                <w:sz w:val="24"/>
                <w:szCs w:val="16"/>
              </w:rPr>
              <w:t>响应文件不齐全或者内容虚假的；</w:t>
            </w:r>
          </w:p>
        </w:tc>
        <w:tc>
          <w:tcPr>
            <w:tcW w:w="397"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59"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4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2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5"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bidi="ar"/>
              </w:rPr>
              <w:t>5</w:t>
            </w:r>
          </w:p>
        </w:tc>
        <w:tc>
          <w:tcPr>
            <w:tcW w:w="285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r>
              <w:rPr>
                <w:rFonts w:hint="eastAsia" w:hAnsi="宋体" w:cs="宋体"/>
                <w:b w:val="0"/>
                <w:i w:val="0"/>
                <w:caps w:val="0"/>
                <w:color w:val="000000"/>
                <w:spacing w:val="0"/>
                <w:w w:val="100"/>
                <w:sz w:val="24"/>
                <w:szCs w:val="16"/>
              </w:rPr>
              <w:t>响应文件的实质性内容未使用中文表述、意思表述不明确、前后矛盾或者使用计量单位不符合招标文件要求的（经评标委员会认定并允许其当场更正的笔误除外）</w:t>
            </w:r>
          </w:p>
        </w:tc>
        <w:tc>
          <w:tcPr>
            <w:tcW w:w="397"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59"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4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2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bidi="ar"/>
              </w:rPr>
              <w:t>6</w:t>
            </w:r>
          </w:p>
        </w:tc>
        <w:tc>
          <w:tcPr>
            <w:tcW w:w="285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技术性能、技术参数是否满足招标文件要求；</w:t>
            </w:r>
          </w:p>
        </w:tc>
        <w:tc>
          <w:tcPr>
            <w:tcW w:w="397"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59"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4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2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bidi="ar"/>
              </w:rPr>
              <w:t>7</w:t>
            </w:r>
          </w:p>
        </w:tc>
        <w:tc>
          <w:tcPr>
            <w:tcW w:w="285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r>
              <w:rPr>
                <w:rFonts w:hint="eastAsia" w:hAnsi="宋体" w:cs="宋体"/>
                <w:b w:val="0"/>
                <w:i w:val="0"/>
                <w:caps w:val="0"/>
                <w:color w:val="000000"/>
                <w:spacing w:val="0"/>
                <w:w w:val="100"/>
                <w:sz w:val="24"/>
                <w:szCs w:val="16"/>
              </w:rPr>
              <w:t>投标报价是否不高于</w:t>
            </w:r>
            <w:r>
              <w:rPr>
                <w:rFonts w:hint="eastAsia" w:hAnsi="宋体" w:cs="宋体"/>
                <w:b w:val="0"/>
                <w:i w:val="0"/>
                <w:caps w:val="0"/>
                <w:color w:val="000000"/>
                <w:spacing w:val="0"/>
                <w:w w:val="100"/>
                <w:sz w:val="24"/>
                <w:szCs w:val="16"/>
                <w:lang w:val="en-US" w:eastAsia="zh-CN"/>
              </w:rPr>
              <w:t>最高限</w:t>
            </w:r>
            <w:r>
              <w:rPr>
                <w:rFonts w:hint="eastAsia" w:hAnsi="宋体" w:cs="宋体"/>
                <w:b w:val="0"/>
                <w:i w:val="0"/>
                <w:caps w:val="0"/>
                <w:color w:val="000000"/>
                <w:spacing w:val="0"/>
                <w:w w:val="100"/>
                <w:sz w:val="24"/>
                <w:szCs w:val="16"/>
              </w:rPr>
              <w:t>价；</w:t>
            </w:r>
          </w:p>
        </w:tc>
        <w:tc>
          <w:tcPr>
            <w:tcW w:w="397"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59"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4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2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2"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default" w:ascii="宋体" w:hAnsi="宋体" w:eastAsia="宋体" w:cs="宋体"/>
                <w:b w:val="0"/>
                <w:i w:val="0"/>
                <w:caps w:val="0"/>
                <w:color w:val="000000"/>
                <w:spacing w:val="0"/>
                <w:w w:val="100"/>
                <w:kern w:val="0"/>
                <w:sz w:val="24"/>
                <w:szCs w:val="24"/>
                <w:lang w:val="en-US" w:eastAsia="zh-CN" w:bidi="ar"/>
              </w:rPr>
            </w:pPr>
            <w:r>
              <w:rPr>
                <w:rFonts w:hint="eastAsia" w:ascii="宋体" w:hAnsi="宋体" w:eastAsia="宋体" w:cs="宋体"/>
                <w:b w:val="0"/>
                <w:i w:val="0"/>
                <w:caps w:val="0"/>
                <w:color w:val="000000"/>
                <w:spacing w:val="0"/>
                <w:w w:val="100"/>
                <w:kern w:val="0"/>
                <w:sz w:val="24"/>
                <w:szCs w:val="24"/>
                <w:lang w:val="en-US" w:eastAsia="zh-CN" w:bidi="ar"/>
              </w:rPr>
              <w:t>8</w:t>
            </w:r>
          </w:p>
        </w:tc>
        <w:tc>
          <w:tcPr>
            <w:tcW w:w="285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hAnsi="宋体" w:cs="宋体"/>
                <w:b w:val="0"/>
                <w:i w:val="0"/>
                <w:caps w:val="0"/>
                <w:color w:val="000000"/>
                <w:spacing w:val="0"/>
                <w:w w:val="100"/>
                <w:sz w:val="24"/>
                <w:szCs w:val="16"/>
              </w:rPr>
            </w:pPr>
            <w:r>
              <w:rPr>
                <w:rFonts w:hint="eastAsia" w:ascii="宋体" w:hAnsi="宋体" w:eastAsia="宋体" w:cs="宋体"/>
                <w:b w:val="0"/>
                <w:i w:val="0"/>
                <w:caps w:val="0"/>
                <w:color w:val="000000"/>
                <w:spacing w:val="0"/>
                <w:w w:val="100"/>
                <w:sz w:val="24"/>
                <w:szCs w:val="24"/>
              </w:rPr>
              <w:t>投标人是否对同一招标项目做出两个以上报价而未明确效力；</w:t>
            </w:r>
          </w:p>
        </w:tc>
        <w:tc>
          <w:tcPr>
            <w:tcW w:w="397"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59"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4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2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default" w:ascii="宋体" w:hAnsi="宋体" w:eastAsia="宋体" w:cs="宋体"/>
                <w:b w:val="0"/>
                <w:i w:val="0"/>
                <w:caps w:val="0"/>
                <w:color w:val="000000"/>
                <w:spacing w:val="0"/>
                <w:w w:val="100"/>
                <w:kern w:val="0"/>
                <w:sz w:val="24"/>
                <w:szCs w:val="24"/>
                <w:lang w:val="en-US" w:eastAsia="zh-CN" w:bidi="ar"/>
              </w:rPr>
            </w:pPr>
            <w:r>
              <w:rPr>
                <w:rFonts w:hint="eastAsia" w:ascii="宋体" w:hAnsi="宋体" w:eastAsia="宋体" w:cs="宋体"/>
                <w:b w:val="0"/>
                <w:i w:val="0"/>
                <w:caps w:val="0"/>
                <w:color w:val="000000"/>
                <w:spacing w:val="0"/>
                <w:w w:val="100"/>
                <w:kern w:val="0"/>
                <w:sz w:val="24"/>
                <w:szCs w:val="24"/>
                <w:lang w:val="en-US" w:eastAsia="zh-CN" w:bidi="ar"/>
              </w:rPr>
              <w:t>9</w:t>
            </w:r>
          </w:p>
        </w:tc>
        <w:tc>
          <w:tcPr>
            <w:tcW w:w="285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r>
              <w:rPr>
                <w:rFonts w:hint="eastAsia" w:hAnsi="宋体" w:cs="宋体"/>
                <w:b w:val="0"/>
                <w:i w:val="0"/>
                <w:caps w:val="0"/>
                <w:color w:val="000000"/>
                <w:spacing w:val="0"/>
                <w:w w:val="100"/>
                <w:sz w:val="24"/>
                <w:szCs w:val="16"/>
              </w:rPr>
              <w:t>投标有效期、</w:t>
            </w:r>
            <w:r>
              <w:rPr>
                <w:rFonts w:hint="eastAsia" w:hAnsi="宋体" w:cs="宋体"/>
                <w:b w:val="0"/>
                <w:i w:val="0"/>
                <w:caps w:val="0"/>
                <w:color w:val="000000"/>
                <w:spacing w:val="0"/>
                <w:w w:val="100"/>
                <w:sz w:val="24"/>
                <w:szCs w:val="16"/>
                <w:lang w:val="en-US" w:eastAsia="zh-CN"/>
              </w:rPr>
              <w:t>供货</w:t>
            </w:r>
            <w:r>
              <w:rPr>
                <w:rFonts w:hint="eastAsia" w:hAnsi="宋体" w:cs="宋体"/>
                <w:b w:val="0"/>
                <w:i w:val="0"/>
                <w:caps w:val="0"/>
                <w:color w:val="000000"/>
                <w:spacing w:val="0"/>
                <w:w w:val="100"/>
                <w:sz w:val="24"/>
                <w:szCs w:val="16"/>
              </w:rPr>
              <w:t>期限等相关条款能满足招标文件要求的；</w:t>
            </w:r>
          </w:p>
        </w:tc>
        <w:tc>
          <w:tcPr>
            <w:tcW w:w="397"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59"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4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2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9"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default" w:ascii="宋体" w:hAnsi="宋体" w:eastAsia="宋体" w:cs="宋体"/>
                <w:b w:val="0"/>
                <w:i w:val="0"/>
                <w:caps w:val="0"/>
                <w:color w:val="000000"/>
                <w:spacing w:val="0"/>
                <w:w w:val="100"/>
                <w:kern w:val="0"/>
                <w:sz w:val="24"/>
                <w:szCs w:val="24"/>
                <w:lang w:val="en-US" w:eastAsia="zh-CN" w:bidi="ar"/>
              </w:rPr>
            </w:pPr>
            <w:r>
              <w:rPr>
                <w:rFonts w:hint="eastAsia" w:ascii="宋体" w:hAnsi="宋体" w:eastAsia="宋体" w:cs="宋体"/>
                <w:b w:val="0"/>
                <w:i w:val="0"/>
                <w:caps w:val="0"/>
                <w:color w:val="000000"/>
                <w:spacing w:val="0"/>
                <w:w w:val="100"/>
                <w:kern w:val="0"/>
                <w:sz w:val="24"/>
                <w:szCs w:val="24"/>
                <w:lang w:val="en-US" w:eastAsia="zh-CN" w:bidi="ar"/>
              </w:rPr>
              <w:t>10</w:t>
            </w:r>
          </w:p>
        </w:tc>
        <w:tc>
          <w:tcPr>
            <w:tcW w:w="285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r>
              <w:rPr>
                <w:rFonts w:hint="eastAsia" w:hAnsi="宋体" w:cs="宋体"/>
                <w:b w:val="0"/>
                <w:i w:val="0"/>
                <w:caps w:val="0"/>
                <w:color w:val="000000"/>
                <w:spacing w:val="0"/>
                <w:w w:val="100"/>
                <w:sz w:val="24"/>
                <w:szCs w:val="16"/>
              </w:rPr>
              <w:t>未实质性响应招标文件要求或者响应文件有招标方不能接受的附加条件的；</w:t>
            </w:r>
          </w:p>
        </w:tc>
        <w:tc>
          <w:tcPr>
            <w:tcW w:w="397"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59"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4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2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4" w:hRule="atLeast"/>
          <w:jc w:val="center"/>
        </w:trPr>
        <w:tc>
          <w:tcPr>
            <w:tcW w:w="410" w:type="pct"/>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center"/>
              <w:textAlignment w:val="center"/>
              <w:rPr>
                <w:rFonts w:hint="default" w:ascii="宋体" w:hAnsi="宋体" w:eastAsia="宋体" w:cs="宋体"/>
                <w:b w:val="0"/>
                <w:i w:val="0"/>
                <w:caps w:val="0"/>
                <w:color w:val="000000"/>
                <w:spacing w:val="0"/>
                <w:w w:val="100"/>
                <w:kern w:val="0"/>
                <w:sz w:val="24"/>
                <w:szCs w:val="24"/>
                <w:lang w:val="en-US" w:eastAsia="zh-CN" w:bidi="ar"/>
              </w:rPr>
            </w:pPr>
            <w:r>
              <w:rPr>
                <w:rFonts w:hint="eastAsia" w:ascii="宋体" w:hAnsi="宋体" w:eastAsia="宋体" w:cs="宋体"/>
                <w:b w:val="0"/>
                <w:i w:val="0"/>
                <w:caps w:val="0"/>
                <w:color w:val="000000"/>
                <w:spacing w:val="0"/>
                <w:w w:val="100"/>
                <w:kern w:val="0"/>
                <w:sz w:val="24"/>
                <w:szCs w:val="24"/>
                <w:lang w:val="en-US" w:eastAsia="zh-CN" w:bidi="ar"/>
              </w:rPr>
              <w:t>11</w:t>
            </w:r>
          </w:p>
        </w:tc>
        <w:tc>
          <w:tcPr>
            <w:tcW w:w="285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szCs w:val="24"/>
              </w:rPr>
            </w:pPr>
            <w:r>
              <w:rPr>
                <w:rFonts w:hint="eastAsia" w:hAnsi="宋体" w:cs="宋体"/>
                <w:b w:val="0"/>
                <w:i w:val="0"/>
                <w:caps w:val="0"/>
                <w:color w:val="000000"/>
                <w:spacing w:val="0"/>
                <w:w w:val="100"/>
                <w:sz w:val="24"/>
                <w:szCs w:val="16"/>
              </w:rPr>
              <w:t>响应文件标明的响应或偏离与事实不符或伪造证明文件等虚假投标的；</w:t>
            </w:r>
          </w:p>
        </w:tc>
        <w:tc>
          <w:tcPr>
            <w:tcW w:w="397"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59"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4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c>
          <w:tcPr>
            <w:tcW w:w="426" w:type="pct"/>
            <w:tcBorders>
              <w:top w:val="single" w:color="000000" w:sz="4" w:space="0"/>
              <w:left w:val="single" w:color="000000" w:sz="4" w:space="0"/>
              <w:bottom w:val="single" w:color="000000" w:sz="4" w:space="0"/>
              <w:right w:val="single" w:color="000000" w:sz="4" w:space="0"/>
            </w:tcBorders>
            <w:noWrap w:val="0"/>
            <w:vAlign w:val="bottom"/>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left"/>
              <w:textAlignment w:val="center"/>
              <w:rPr>
                <w:rFonts w:hint="eastAsia" w:ascii="宋体" w:hAnsi="宋体" w:eastAsia="宋体" w:cs="宋体"/>
                <w:b w:val="0"/>
                <w:i w:val="0"/>
                <w:caps w:val="0"/>
                <w:color w:val="000000"/>
                <w:spacing w:val="0"/>
                <w:w w:val="100"/>
                <w:kern w:val="0"/>
                <w:sz w:val="24"/>
                <w:szCs w:val="24"/>
                <w:lang w:val="en-US" w:eastAsia="zh-CN" w:bidi="ar"/>
              </w:rPr>
            </w:pPr>
            <w:r>
              <w:rPr>
                <w:rFonts w:hint="eastAsia" w:ascii="宋体" w:hAnsi="宋体" w:eastAsia="宋体" w:cs="宋体"/>
                <w:b w:val="0"/>
                <w:i w:val="0"/>
                <w:caps w:val="0"/>
                <w:color w:val="000000"/>
                <w:spacing w:val="0"/>
                <w:w w:val="100"/>
                <w:kern w:val="0"/>
                <w:sz w:val="24"/>
                <w:szCs w:val="24"/>
                <w:lang w:val="en-US" w:eastAsia="zh-CN" w:bidi="ar"/>
              </w:rPr>
              <w:t>注：通过的打“√”；未通过的打“×”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kern w:val="0"/>
                <w:sz w:val="24"/>
                <w:szCs w:val="24"/>
                <w:lang w:val="en-US" w:eastAsia="zh-CN" w:bidi="ar"/>
              </w:rPr>
            </w:pPr>
            <w:r>
              <w:rPr>
                <w:rFonts w:hint="eastAsia" w:hAnsi="宋体" w:cs="宋体"/>
                <w:b/>
                <w:i w:val="0"/>
                <w:caps w:val="0"/>
                <w:color w:val="000000"/>
                <w:spacing w:val="0"/>
                <w:w w:val="100"/>
                <w:sz w:val="24"/>
                <w:szCs w:val="16"/>
              </w:rPr>
              <w:t>评标委员会成员签名：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8"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Lines w:val="0"/>
              <w:widowControl/>
              <w:suppressLineNumbers w:val="0"/>
              <w:snapToGrid w:val="0"/>
              <w:spacing w:before="0" w:beforeAutospacing="0" w:after="0" w:afterAutospacing="0" w:line="240" w:lineRule="auto"/>
              <w:jc w:val="left"/>
              <w:textAlignment w:val="center"/>
              <w:rPr>
                <w:rFonts w:hint="eastAsia" w:ascii="宋体" w:hAnsi="宋体" w:eastAsia="宋体" w:cs="宋体"/>
                <w:b w:val="0"/>
                <w:i w:val="0"/>
                <w:caps w:val="0"/>
                <w:color w:val="000000"/>
                <w:spacing w:val="0"/>
                <w:w w:val="100"/>
                <w:kern w:val="0"/>
                <w:sz w:val="24"/>
                <w:szCs w:val="24"/>
                <w:lang w:val="en-US" w:eastAsia="zh-CN" w:bidi="ar"/>
              </w:rPr>
            </w:pPr>
            <w:r>
              <w:rPr>
                <w:rFonts w:hint="eastAsia" w:hAnsi="宋体" w:cs="宋体"/>
                <w:b/>
                <w:bCs/>
                <w:i w:val="0"/>
                <w:caps w:val="0"/>
                <w:color w:val="000000"/>
                <w:spacing w:val="0"/>
                <w:w w:val="100"/>
                <w:sz w:val="24"/>
                <w:szCs w:val="16"/>
              </w:rPr>
              <w:t>备注：如果响应文件中有一项未通过上述审查标准，评标委员会将认定整个响应文件不响应招标文件而予以</w:t>
            </w:r>
            <w:r>
              <w:rPr>
                <w:rFonts w:hint="eastAsia" w:hAnsi="宋体" w:cs="宋体"/>
                <w:b/>
                <w:bCs/>
                <w:i w:val="0"/>
                <w:caps w:val="0"/>
                <w:color w:val="000000"/>
                <w:spacing w:val="0"/>
                <w:w w:val="100"/>
                <w:sz w:val="24"/>
                <w:szCs w:val="16"/>
                <w:lang w:val="en-US" w:eastAsia="zh-CN"/>
              </w:rPr>
              <w:t>无效</w:t>
            </w:r>
            <w:r>
              <w:rPr>
                <w:rFonts w:hint="eastAsia" w:hAnsi="宋体" w:cs="宋体"/>
                <w:b/>
                <w:bCs/>
                <w:i w:val="0"/>
                <w:caps w:val="0"/>
                <w:color w:val="000000"/>
                <w:spacing w:val="0"/>
                <w:w w:val="100"/>
                <w:sz w:val="24"/>
                <w:szCs w:val="16"/>
              </w:rPr>
              <w:t>标，并且不允许供应商通过修改或撤销其不符合要求的差异或保留，使之成为具有响应性的投标。</w:t>
            </w:r>
          </w:p>
        </w:tc>
      </w:tr>
    </w:tbl>
    <w:p>
      <w:pPr>
        <w:pStyle w:val="6"/>
        <w:rPr>
          <w:rFonts w:hint="eastAsia"/>
        </w:rPr>
      </w:pPr>
    </w:p>
    <w:p>
      <w:pPr>
        <w:rPr>
          <w:rFonts w:hint="eastAsia" w:ascii="宋体" w:hAnsi="宋体" w:cs="宋体"/>
        </w:rPr>
      </w:pPr>
    </w:p>
    <w:p>
      <w:pPr>
        <w:pStyle w:val="6"/>
        <w:spacing w:line="240" w:lineRule="auto"/>
        <w:ind w:left="0" w:leftChars="0" w:firstLine="0" w:firstLineChars="0"/>
        <w:jc w:val="center"/>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详细评审表</w:t>
      </w:r>
    </w:p>
    <w:tbl>
      <w:tblPr>
        <w:tblStyle w:val="3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446"/>
        <w:gridCol w:w="806"/>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8"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评分</w:t>
            </w:r>
          </w:p>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项目</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评审项目</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分值</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评 标 要 点 及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tcBorders>
              <w:top w:val="single" w:color="auto" w:sz="4" w:space="0"/>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报价部分</w:t>
            </w:r>
          </w:p>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（30分）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投标报价</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30分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sz w:val="24"/>
                <w:szCs w:val="24"/>
                <w:lang w:val="en-US"/>
              </w:rPr>
            </w:pPr>
            <w:r>
              <w:rPr>
                <w:rFonts w:hint="eastAsia" w:ascii="宋体" w:hAnsi="宋体" w:eastAsia="宋体" w:cs="宋体"/>
                <w:bCs/>
                <w:sz w:val="24"/>
                <w:szCs w:val="24"/>
              </w:rPr>
              <w:t>评标基准价=有效投标报价的最低值，有效投标报价等于基准值的得满分，投标报价得分=（评标基准价/投标报价）×价格权重×100。有效投标报价为通过初步审查的供应商报价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678"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商务部分</w:t>
            </w:r>
          </w:p>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（10分）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项目业绩</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both"/>
              <w:outlineLvl w:val="9"/>
              <w:rPr>
                <w:rFonts w:hint="eastAsia" w:ascii="宋体" w:hAnsi="宋体" w:eastAsia="宋体" w:cs="宋体"/>
                <w:bCs/>
                <w:sz w:val="24"/>
                <w:szCs w:val="24"/>
              </w:rPr>
            </w:pPr>
            <w:r>
              <w:rPr>
                <w:rFonts w:hint="eastAsia" w:ascii="宋体" w:hAnsi="宋体" w:eastAsia="宋体" w:cs="宋体"/>
                <w:bCs/>
                <w:sz w:val="24"/>
                <w:szCs w:val="24"/>
              </w:rPr>
              <w:t>根据供应商近</w:t>
            </w:r>
            <w:r>
              <w:rPr>
                <w:rFonts w:hint="eastAsia" w:ascii="宋体" w:hAnsi="宋体" w:eastAsia="宋体" w:cs="宋体"/>
                <w:bCs/>
                <w:sz w:val="24"/>
                <w:szCs w:val="24"/>
                <w:lang w:val="en-US" w:eastAsia="zh-CN"/>
              </w:rPr>
              <w:t>2</w:t>
            </w:r>
            <w:r>
              <w:rPr>
                <w:rFonts w:hint="eastAsia" w:ascii="宋体" w:hAnsi="宋体" w:eastAsia="宋体" w:cs="宋体"/>
                <w:bCs/>
                <w:sz w:val="24"/>
                <w:szCs w:val="24"/>
              </w:rPr>
              <w:t>年（20</w:t>
            </w:r>
            <w:r>
              <w:rPr>
                <w:rFonts w:hint="eastAsia" w:ascii="宋体" w:hAnsi="宋体" w:eastAsia="宋体" w:cs="宋体"/>
                <w:bCs/>
                <w:sz w:val="24"/>
                <w:szCs w:val="24"/>
                <w:lang w:val="en-US" w:eastAsia="zh-CN"/>
              </w:rPr>
              <w:t>21</w:t>
            </w:r>
            <w:r>
              <w:rPr>
                <w:rFonts w:hint="eastAsia" w:ascii="宋体" w:hAnsi="宋体" w:eastAsia="宋体" w:cs="宋体"/>
                <w:bCs/>
                <w:sz w:val="24"/>
                <w:szCs w:val="24"/>
              </w:rPr>
              <w:t>年以来至投标截止日）的与本项目相同或相似的项目业绩（标书内附成交通知书</w:t>
            </w:r>
            <w:r>
              <w:rPr>
                <w:rFonts w:hint="eastAsia" w:ascii="宋体" w:hAnsi="宋体" w:eastAsia="宋体" w:cs="宋体"/>
                <w:bCs/>
                <w:sz w:val="24"/>
                <w:szCs w:val="24"/>
                <w:lang w:val="en-US" w:eastAsia="zh-CN"/>
              </w:rPr>
              <w:t>及</w:t>
            </w:r>
            <w:r>
              <w:rPr>
                <w:rFonts w:hint="eastAsia" w:ascii="宋体" w:hAnsi="宋体" w:eastAsia="宋体" w:cs="宋体"/>
                <w:bCs/>
                <w:sz w:val="24"/>
                <w:szCs w:val="24"/>
              </w:rPr>
              <w:t>合同扫描件），有一项得</w:t>
            </w:r>
            <w:r>
              <w:rPr>
                <w:rFonts w:hint="eastAsia" w:ascii="宋体" w:hAnsi="宋体" w:eastAsia="宋体" w:cs="宋体"/>
                <w:bCs/>
                <w:sz w:val="24"/>
                <w:szCs w:val="24"/>
                <w:lang w:val="en-US" w:eastAsia="zh-CN"/>
              </w:rPr>
              <w:t>1</w:t>
            </w:r>
            <w:r>
              <w:rPr>
                <w:rFonts w:hint="eastAsia" w:ascii="宋体" w:hAnsi="宋体" w:eastAsia="宋体" w:cs="宋体"/>
                <w:bCs/>
                <w:sz w:val="24"/>
                <w:szCs w:val="24"/>
              </w:rPr>
              <w:t>分，最高6分；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保修服务承诺及措施</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4分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保修服务承诺及措施，保修服务响应时间及人员岗位设置合理，在缺陷责任期内保障本项目全面达到合格标准，得4分，缺失或描述不完善每项扣1分。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技术部分（60分）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工程概况及特点</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工程概况及特点叙述正确，符合项目实际情况的得6分；工程概况及特点叙述存在缺漏、不准确的得2分；工程概括及特点不能符合项目实际情况的不得分。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施工方案</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15分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施工方案应能符合工程实际情况，提高生产率、缩短工期、提高质量、降低消耗、减轻劳动强度提高进度提案；施工方法先进、采用新工艺、新技术；执行国家强制性条文；制定了质量通病的防治措施等综合打分。方案完整、可行、准确，完全符合项目实际情况的得15分；每存在一处缺漏或不详实、不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施工准备计划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8分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施工技术、现场、物资与机械、队伍准备计划应能充分保证工程需要等综合打分。计划内容完整可行、符合项目实际情况的得8分；每存在一处缺漏或不详实的扣2分，扣完为止。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施工进度计划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进度计划应在空间和时间上做合理的统筹安排且符合施工的科学规律等综合打分。计划完整、科学、符合项目实际情况的得6分；计划内容完整但空间及时间安排不合理的得2分；计划存在缺漏，不科学、不能符合项目实际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现场文明施工</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1分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措施应符合工程实际情况，切实可行，提供措施及承诺的得1分，未提供不得分。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劳动力需用量计划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劳动力需用量计划应是根据工程进度计划的安排计算出的，并与工程进度计划相一致。提供劳动力需用量计划得6分，每存在一处缺漏或不详实的扣2分，扣完为止。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质量、进度、安全保证措施和体系</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8分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工程质量、进度、安全保证措施完整、合理、应符合科学的施工规律、国家规定的强制性标准并有针对性，同时要符合项目实际情况，切实可行得8分；每有一项缺失或不详实准确的扣2分，扣完为止。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售后服务方案</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sz w:val="24"/>
                <w:szCs w:val="24"/>
              </w:rPr>
            </w:pPr>
            <w:r>
              <w:rPr>
                <w:rFonts w:hint="eastAsia" w:ascii="宋体" w:hAnsi="宋体" w:eastAsia="宋体" w:cs="宋体"/>
                <w:bCs/>
                <w:sz w:val="24"/>
                <w:szCs w:val="24"/>
              </w:rPr>
              <w:t>10分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1、视企业承诺的售后服务方案，方案完整，符合项目实际情况的得5分；方案有缺漏、不完整的不得分。</w:t>
            </w:r>
          </w:p>
          <w:p>
            <w:pPr>
              <w:kinsoku w:val="0"/>
              <w:overflowPunct w:val="0"/>
              <w:spacing w:line="24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2、维修能力证明，提供承诺函的得2分，未提供不得分。</w:t>
            </w:r>
          </w:p>
          <w:p>
            <w:pPr>
              <w:kinsoku w:val="0"/>
              <w:overflowPunct w:val="0"/>
              <w:spacing w:line="24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3、根据提供的针对客户当地实际情况制定售后服务承诺，提供承诺函得3分，未提供不得分。</w:t>
            </w:r>
          </w:p>
        </w:tc>
      </w:tr>
      <w:bookmarkEnd w:id="63"/>
      <w:bookmarkEnd w:id="64"/>
    </w:tbl>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sz w:val="24"/>
          <w:szCs w:val="24"/>
          <w:highlight w:val="white"/>
        </w:rPr>
      </w:pPr>
      <w:bookmarkStart w:id="65" w:name="_Toc17560"/>
      <w:bookmarkStart w:id="66" w:name="_Toc28810"/>
    </w:p>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sz w:val="24"/>
          <w:szCs w:val="24"/>
          <w:highlight w:val="white"/>
        </w:rPr>
      </w:pPr>
      <w:r>
        <w:rPr>
          <w:rFonts w:hint="eastAsia" w:ascii="宋体" w:hAnsi="宋体" w:eastAsia="宋体" w:cs="宋体"/>
          <w:b/>
          <w:sz w:val="24"/>
          <w:szCs w:val="24"/>
          <w:highlight w:val="white"/>
        </w:rPr>
        <w:t>三.推荐成交供应商</w:t>
      </w:r>
      <w:bookmarkEnd w:id="65"/>
      <w:bookmarkEnd w:id="66"/>
    </w:p>
    <w:p>
      <w:pPr>
        <w:kinsoku w:val="0"/>
        <w:overflowPunct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insoku w:val="0"/>
        <w:overflowPunct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2.评分计算方法解释</w:t>
      </w:r>
    </w:p>
    <w:p>
      <w:pPr>
        <w:kinsoku w:val="0"/>
        <w:overflowPunct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（1）供应商的评审得分是指所有磋商小组成员对其评分的算术平均值。</w:t>
      </w:r>
    </w:p>
    <w:p>
      <w:pPr>
        <w:kinsoku w:val="0"/>
        <w:overflowPunct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（2）计算过程中，算术平均值保留2位小数（百分比亦取2位小数），第三位小数四舍五入。</w:t>
      </w:r>
    </w:p>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sz w:val="24"/>
          <w:szCs w:val="24"/>
          <w:highlight w:val="white"/>
        </w:rPr>
      </w:pPr>
      <w:bookmarkStart w:id="67" w:name="_Toc15185"/>
      <w:bookmarkStart w:id="68" w:name="_Toc13826"/>
      <w:r>
        <w:rPr>
          <w:rFonts w:hint="eastAsia" w:ascii="宋体" w:hAnsi="宋体" w:eastAsia="宋体" w:cs="宋体"/>
          <w:b/>
          <w:sz w:val="24"/>
          <w:szCs w:val="24"/>
          <w:highlight w:val="white"/>
        </w:rPr>
        <w:t>四.确定成交供应商</w:t>
      </w:r>
      <w:bookmarkEnd w:id="67"/>
      <w:bookmarkEnd w:id="68"/>
    </w:p>
    <w:p>
      <w:pPr>
        <w:kinsoku w:val="0"/>
        <w:overflowPunct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1.采购代理机构应当在评审结束后2个工作日内将评审报告送采购人确认。</w:t>
      </w:r>
    </w:p>
    <w:p>
      <w:pPr>
        <w:kinsoku w:val="0"/>
        <w:overflowPunct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bookmarkStart w:id="69" w:name="_Toc7149"/>
      <w:bookmarkStart w:id="70" w:name="_Toc13730"/>
      <w:bookmarkStart w:id="71" w:name="_Toc9140"/>
      <w:bookmarkStart w:id="72" w:name="_Toc529952599"/>
      <w:bookmarkStart w:id="73" w:name="_Toc30232"/>
      <w:bookmarkStart w:id="74" w:name="_Toc256000023"/>
      <w:bookmarkStart w:id="75" w:name="_Toc20330"/>
    </w:p>
    <w:p>
      <w:pPr>
        <w:kinsoku w:val="0"/>
        <w:overflowPunct w:val="0"/>
        <w:spacing w:line="360" w:lineRule="auto"/>
        <w:jc w:val="left"/>
        <w:outlineLvl w:val="9"/>
        <w:rPr>
          <w:rFonts w:hint="eastAsia" w:ascii="宋体" w:hAnsi="宋体" w:eastAsia="宋体" w:cs="宋体"/>
          <w:bCs/>
          <w:sz w:val="24"/>
          <w:szCs w:val="24"/>
        </w:rPr>
      </w:pPr>
    </w:p>
    <w:p>
      <w:pPr>
        <w:kinsoku w:val="0"/>
        <w:overflowPunct w:val="0"/>
        <w:spacing w:line="360" w:lineRule="auto"/>
        <w:jc w:val="left"/>
        <w:outlineLvl w:val="9"/>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4"/>
        <w:rPr>
          <w:rFonts w:hint="eastAsia" w:ascii="宋体" w:hAnsi="宋体" w:eastAsia="宋体" w:cs="宋体"/>
          <w:bCs/>
          <w:sz w:val="24"/>
          <w:szCs w:val="24"/>
        </w:rPr>
      </w:pPr>
    </w:p>
    <w:p>
      <w:pPr>
        <w:pStyle w:val="4"/>
        <w:rPr>
          <w:rFonts w:hint="eastAsia" w:ascii="宋体" w:hAnsi="宋体" w:eastAsia="宋体" w:cs="宋体"/>
          <w:bCs/>
          <w:sz w:val="24"/>
          <w:szCs w:val="24"/>
        </w:rPr>
      </w:pPr>
    </w:p>
    <w:p>
      <w:pPr>
        <w:pStyle w:val="4"/>
        <w:rPr>
          <w:rFonts w:hint="eastAsia" w:ascii="宋体" w:hAnsi="宋体" w:eastAsia="宋体" w:cs="宋体"/>
          <w:bCs/>
          <w:sz w:val="24"/>
          <w:szCs w:val="24"/>
        </w:rPr>
      </w:pPr>
    </w:p>
    <w:p>
      <w:pPr>
        <w:pStyle w:val="4"/>
        <w:rPr>
          <w:rFonts w:hint="eastAsia" w:ascii="宋体" w:hAnsi="宋体" w:eastAsia="宋体" w:cs="宋体"/>
          <w:bCs/>
          <w:sz w:val="24"/>
          <w:szCs w:val="24"/>
        </w:rPr>
      </w:pPr>
    </w:p>
    <w:p>
      <w:pPr>
        <w:pStyle w:val="4"/>
        <w:rPr>
          <w:rFonts w:hint="eastAsia" w:ascii="宋体" w:hAnsi="宋体" w:eastAsia="宋体" w:cs="宋体"/>
          <w:bCs/>
          <w:sz w:val="24"/>
          <w:szCs w:val="24"/>
        </w:rPr>
      </w:pPr>
    </w:p>
    <w:p>
      <w:pPr>
        <w:pStyle w:val="4"/>
        <w:rPr>
          <w:rFonts w:hint="eastAsia" w:ascii="宋体" w:hAnsi="宋体" w:eastAsia="宋体" w:cs="宋体"/>
          <w:bCs/>
          <w:sz w:val="24"/>
          <w:szCs w:val="24"/>
        </w:rPr>
      </w:pPr>
    </w:p>
    <w:p>
      <w:pPr>
        <w:pStyle w:val="4"/>
        <w:rPr>
          <w:rFonts w:hint="eastAsia" w:ascii="宋体" w:hAnsi="宋体" w:eastAsia="宋体" w:cs="宋体"/>
          <w:bCs/>
          <w:sz w:val="24"/>
          <w:szCs w:val="24"/>
        </w:rPr>
      </w:pPr>
    </w:p>
    <w:p>
      <w:pPr>
        <w:kinsoku w:val="0"/>
        <w:overflowPunct w:val="0"/>
        <w:spacing w:line="360" w:lineRule="auto"/>
        <w:jc w:val="left"/>
        <w:outlineLvl w:val="9"/>
        <w:rPr>
          <w:rFonts w:hint="eastAsia" w:ascii="宋体" w:hAnsi="宋体" w:eastAsia="宋体" w:cs="宋体"/>
          <w:bCs/>
          <w:sz w:val="24"/>
          <w:szCs w:val="24"/>
        </w:rPr>
      </w:pPr>
    </w:p>
    <w:p>
      <w:pPr>
        <w:spacing w:line="360" w:lineRule="auto"/>
        <w:jc w:val="center"/>
        <w:outlineLvl w:val="0"/>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第四章  政府采购合同格式</w:t>
      </w:r>
      <w:bookmarkEnd w:id="69"/>
      <w:bookmarkEnd w:id="70"/>
      <w:bookmarkEnd w:id="71"/>
      <w:bookmarkEnd w:id="72"/>
      <w:bookmarkEnd w:id="73"/>
      <w:bookmarkEnd w:id="74"/>
      <w:bookmarkEnd w:id="75"/>
    </w:p>
    <w:p>
      <w:pPr>
        <w:rPr>
          <w:rFonts w:hint="eastAsia" w:ascii="宋体" w:hAnsi="宋体" w:eastAsia="宋体" w:cs="宋体"/>
          <w:b/>
          <w:bCs/>
          <w:lang w:eastAsia="zh-CN"/>
        </w:rPr>
      </w:pPr>
      <w:bookmarkStart w:id="76" w:name="EB0241872a782746df84ab771927209b83"/>
      <w:bookmarkStart w:id="77" w:name="_Toc20420"/>
      <w:bookmarkStart w:id="78" w:name="_Toc529952600"/>
      <w:bookmarkStart w:id="79" w:name="_Toc28066"/>
      <w:bookmarkStart w:id="80" w:name="_Toc256000024"/>
      <w:r>
        <w:rPr>
          <w:rFonts w:hint="eastAsia" w:ascii="宋体" w:hAnsi="宋体" w:cs="宋体"/>
          <w:b/>
          <w:bCs/>
          <w:lang w:eastAsia="zh-CN"/>
        </w:rPr>
        <w:t>（</w:t>
      </w:r>
      <w:r>
        <w:rPr>
          <w:rFonts w:hint="eastAsia" w:ascii="宋体" w:hAnsi="宋体" w:cs="宋体"/>
          <w:b/>
          <w:bCs/>
          <w:lang w:val="en-US" w:eastAsia="zh-CN"/>
        </w:rPr>
        <w:t>仅供参考</w:t>
      </w:r>
      <w:r>
        <w:rPr>
          <w:rFonts w:hint="eastAsia" w:ascii="宋体" w:hAnsi="宋体" w:cs="宋体"/>
          <w:b/>
          <w:bCs/>
          <w:lang w:eastAsia="zh-CN"/>
        </w:rPr>
        <w:t>）</w:t>
      </w:r>
    </w:p>
    <w:bookmarkEnd w:id="76"/>
    <w:p>
      <w:pPr>
        <w:rPr>
          <w:rFonts w:ascii="宋体" w:hAnsi="宋体" w:cs="宋体"/>
          <w:color w:val="000080"/>
          <w:sz w:val="24"/>
          <w:szCs w:val="24"/>
        </w:rPr>
      </w:pPr>
    </w:p>
    <w:p>
      <w:pPr>
        <w:jc w:val="center"/>
        <w:outlineLvl w:val="9"/>
        <w:rPr>
          <w:rFonts w:hint="eastAsia" w:ascii="宋体" w:hAnsi="宋体" w:cs="宋体"/>
          <w:sz w:val="32"/>
          <w:szCs w:val="32"/>
        </w:rPr>
      </w:pPr>
    </w:p>
    <w:p>
      <w:pPr>
        <w:jc w:val="left"/>
        <w:rPr>
          <w:rFonts w:ascii="宋体" w:hAnsi="宋体"/>
          <w:bCs/>
          <w:color w:val="000000"/>
          <w:sz w:val="32"/>
          <w:szCs w:val="32"/>
        </w:rPr>
      </w:pPr>
      <w:r>
        <w:rPr>
          <w:rFonts w:hint="eastAsia" w:cs="仿宋_GB2312"/>
        </w:rPr>
        <w:t>（</w:t>
      </w:r>
      <w:r>
        <w:rPr>
          <w:rFonts w:ascii="宋体" w:hAnsi="宋体"/>
          <w:bCs/>
          <w:color w:val="000000"/>
          <w:sz w:val="32"/>
          <w:szCs w:val="32"/>
        </w:rPr>
        <w:t>GF—2017—0201</w:t>
      </w:r>
      <w:r>
        <w:rPr>
          <w:rFonts w:hint="eastAsia" w:ascii="宋体" w:hAnsi="宋体"/>
          <w:bCs/>
          <w:color w:val="000000"/>
          <w:sz w:val="32"/>
          <w:szCs w:val="32"/>
        </w:rPr>
        <w:t>）</w:t>
      </w:r>
    </w:p>
    <w:p>
      <w:pPr>
        <w:jc w:val="center"/>
        <w:rPr>
          <w:rFonts w:eastAsia="华文中宋"/>
          <w:b/>
          <w:bCs/>
          <w:color w:val="000000"/>
          <w:sz w:val="52"/>
          <w:szCs w:val="52"/>
        </w:rPr>
      </w:pPr>
    </w:p>
    <w:p>
      <w:pPr>
        <w:jc w:val="center"/>
        <w:rPr>
          <w:rFonts w:eastAsia="华文中宋"/>
          <w:b/>
          <w:bCs/>
          <w:color w:val="000000"/>
          <w:sz w:val="52"/>
          <w:szCs w:val="52"/>
        </w:rPr>
      </w:pPr>
    </w:p>
    <w:p>
      <w:pPr>
        <w:jc w:val="center"/>
        <w:rPr>
          <w:rFonts w:ascii="宋体" w:hAnsi="宋体"/>
          <w:b/>
          <w:color w:val="000000"/>
          <w:sz w:val="52"/>
          <w:szCs w:val="52"/>
        </w:rPr>
      </w:pPr>
    </w:p>
    <w:p>
      <w:pPr>
        <w:jc w:val="center"/>
        <w:rPr>
          <w:rFonts w:ascii="宋体" w:hAnsi="宋体"/>
          <w:b/>
          <w:color w:val="000000"/>
          <w:sz w:val="52"/>
          <w:szCs w:val="52"/>
        </w:rPr>
      </w:pPr>
      <w:r>
        <w:rPr>
          <w:rFonts w:ascii="宋体" w:hAnsi="宋体"/>
          <w:b/>
          <w:color w:val="000000"/>
          <w:sz w:val="72"/>
          <w:szCs w:val="52"/>
        </w:rPr>
        <w:t>建设工程施工合同</w:t>
      </w:r>
      <w:r>
        <w:rPr>
          <w:rFonts w:ascii="宋体" w:hAnsi="宋体"/>
          <w:b/>
          <w:color w:val="000000"/>
          <w:sz w:val="52"/>
          <w:szCs w:val="52"/>
        </w:rPr>
        <w:br w:type="textWrapping"/>
      </w:r>
      <w:r>
        <w:rPr>
          <w:rFonts w:ascii="宋体" w:hAnsi="宋体"/>
          <w:b/>
          <w:color w:val="000000"/>
          <w:sz w:val="52"/>
          <w:szCs w:val="52"/>
        </w:rPr>
        <w:t>（示范文本）</w:t>
      </w:r>
    </w:p>
    <w:p>
      <w:pPr>
        <w:jc w:val="center"/>
        <w:rPr>
          <w:rFonts w:ascii="宋体" w:hAnsi="宋体"/>
          <w:b/>
          <w:color w:val="000000"/>
          <w:sz w:val="52"/>
          <w:szCs w:val="52"/>
        </w:rPr>
      </w:pPr>
    </w:p>
    <w:p>
      <w:pPr>
        <w:jc w:val="center"/>
        <w:rPr>
          <w:rFonts w:ascii="宋体" w:hAnsi="宋体"/>
          <w:b/>
          <w:color w:val="000000"/>
          <w:sz w:val="72"/>
          <w:szCs w:val="72"/>
        </w:rPr>
      </w:pPr>
    </w:p>
    <w:p>
      <w:pPr>
        <w:jc w:val="center"/>
        <w:rPr>
          <w:rFonts w:ascii="宋体" w:hAnsi="宋体"/>
          <w:b/>
          <w:color w:val="000000"/>
          <w:sz w:val="72"/>
          <w:szCs w:val="72"/>
        </w:rPr>
      </w:pPr>
    </w:p>
    <w:p>
      <w:pPr>
        <w:jc w:val="center"/>
        <w:rPr>
          <w:rFonts w:ascii="宋体" w:hAnsi="宋体"/>
          <w:b/>
          <w:color w:val="000000"/>
          <w:sz w:val="52"/>
          <w:szCs w:val="52"/>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ind w:right="2719" w:rightChars="1295" w:firstLine="2738" w:firstLineChars="1304"/>
        <w:jc w:val="distribute"/>
        <w:rPr>
          <w:rFonts w:ascii="宋体" w:hAnsi="宋体"/>
          <w:b/>
          <w:color w:val="000000"/>
          <w:sz w:val="32"/>
          <w:szCs w:val="28"/>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1"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wrap="square" upright="1"/>
                    </wps:wsp>
                  </a:graphicData>
                </a:graphic>
              </wp:anchor>
            </w:drawing>
          </mc:Choice>
          <mc:Fallback>
            <w:pict>
              <v:shape id="文本框 3"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HNLXHYAAAACQEAAA8AAAAAAAAAAQAg&#10;AAAAIgAAAGRycy9kb3ducmV2LnhtbFBLAQIUABQAAAAIAIdO4kDiSLYiDgIAABoEAAAOAAAAAAAA&#10;AAEAIAAAACcBAABkcnMvZTJvRG9jLnhtbFBLBQYAAAAABgAGAFkBAACnBQ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ascii="宋体" w:hAnsi="宋体"/>
          <w:b/>
          <w:color w:val="000000"/>
          <w:sz w:val="32"/>
          <w:szCs w:val="28"/>
        </w:rPr>
        <w:t>住房城乡建设部</w:t>
      </w:r>
    </w:p>
    <w:p>
      <w:pPr>
        <w:ind w:right="2719" w:rightChars="1295" w:firstLine="2750" w:firstLineChars="856"/>
        <w:jc w:val="distribute"/>
        <w:rPr>
          <w:rFonts w:ascii="宋体" w:hAnsi="宋体"/>
          <w:b/>
          <w:color w:val="000000"/>
          <w:sz w:val="32"/>
          <w:szCs w:val="28"/>
        </w:rPr>
      </w:pPr>
      <w:r>
        <w:rPr>
          <w:rFonts w:ascii="宋体" w:hAnsi="宋体"/>
          <w:b/>
          <w:color w:val="000000"/>
          <w:sz w:val="32"/>
          <w:szCs w:val="28"/>
        </w:rPr>
        <w:t>国家工商行政管理总局</w:t>
      </w:r>
    </w:p>
    <w:p>
      <w:pPr>
        <w:rPr>
          <w:rFonts w:ascii="宋体" w:hAnsi="宋体"/>
          <w:b/>
          <w:color w:val="000000"/>
        </w:rPr>
      </w:pPr>
    </w:p>
    <w:p>
      <w:pPr>
        <w:rPr>
          <w:rFonts w:hint="eastAsia"/>
        </w:rPr>
      </w:pPr>
      <w:bookmarkStart w:id="81" w:name="_Toc296890982"/>
      <w:bookmarkStart w:id="82" w:name="_Toc296503025"/>
    </w:p>
    <w:p>
      <w:pPr>
        <w:rPr>
          <w:rFonts w:hint="eastAsia"/>
        </w:rPr>
      </w:pPr>
    </w:p>
    <w:p>
      <w:pPr>
        <w:jc w:val="center"/>
        <w:rPr>
          <w:rFonts w:hint="eastAsia"/>
          <w:b/>
          <w:sz w:val="32"/>
          <w:szCs w:val="20"/>
        </w:rPr>
      </w:pPr>
      <w:r>
        <w:rPr>
          <w:rFonts w:hint="eastAsia"/>
          <w:b/>
          <w:sz w:val="32"/>
          <w:szCs w:val="20"/>
        </w:rPr>
        <w:t>说  明</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bCs/>
          <w:sz w:val="21"/>
          <w:szCs w:val="21"/>
        </w:rPr>
      </w:pPr>
      <w:r>
        <w:rPr>
          <w:rFonts w:hint="eastAsia" w:ascii="宋体" w:hAnsi="宋体" w:eastAsia="宋体" w:cs="宋体"/>
          <w:bCs/>
          <w:sz w:val="21"/>
          <w:szCs w:val="21"/>
        </w:rPr>
        <w:t>一、《示范文本》的组成</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《示范文本》由合同协议书、通用合同条款和专用合同条款三部分组成。</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（一）合同协议书</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（二）通用合同条款</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通用合同条款是合同当事人根据《中华人民共和国建筑法》、《中华人民共和国合同法》等法律法规的规定，就工程建设的实施及相关事项，对合同当事人的权利义务作出的原则性约定。</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（三）专用合同条款</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1.专用合同条款的编号应与相应的通用合同条款的编号一致；</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2.合同当事人可以通过对专用合同条款的修改，满足具体建设工程的特殊要求，避免直接修改通用合同条款；</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3.在专用合同条款中有横道线的地方，合同当事人可针对相应的通用合同条款进行细化、完善、补充、修改或另行约定；如无细化、完善、补充、修改或另行约定，则填写“无”或划“/”。</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二、《示范文本》的性质和适用范围</w:t>
      </w:r>
    </w:p>
    <w:p>
      <w:pPr>
        <w:pStyle w:val="247"/>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247"/>
        <w:rPr>
          <w:rFonts w:hint="eastAsia"/>
        </w:rPr>
      </w:pPr>
    </w:p>
    <w:p>
      <w:pPr>
        <w:pStyle w:val="247"/>
        <w:jc w:val="center"/>
        <w:rPr>
          <w:b/>
          <w:bCs/>
          <w:szCs w:val="24"/>
        </w:rPr>
      </w:pPr>
      <w:r>
        <w:rPr>
          <w:b/>
          <w:bCs/>
          <w:szCs w:val="24"/>
        </w:rPr>
        <w:t>目</w:t>
      </w:r>
      <w:r>
        <w:rPr>
          <w:rFonts w:hint="eastAsia"/>
          <w:b/>
          <w:bCs/>
          <w:szCs w:val="24"/>
        </w:rPr>
        <w:t xml:space="preserve">  </w:t>
      </w:r>
      <w:r>
        <w:rPr>
          <w:b/>
          <w:bCs/>
          <w:szCs w:val="24"/>
        </w:rPr>
        <w:t>录</w:t>
      </w:r>
    </w:p>
    <w:p>
      <w:pPr>
        <w:pStyle w:val="21"/>
        <w:tabs>
          <w:tab w:val="right" w:leader="dot" w:pos="9070"/>
        </w:tabs>
      </w:pPr>
      <w:r>
        <w:rPr>
          <w:szCs w:val="24"/>
        </w:rPr>
        <w:fldChar w:fldCharType="begin"/>
      </w:r>
      <w:r>
        <w:rPr>
          <w:szCs w:val="24"/>
        </w:rPr>
        <w:instrText xml:space="preserve"> TOC \o "1-5" \h \z \u </w:instrText>
      </w:r>
      <w:r>
        <w:rPr>
          <w:szCs w:val="24"/>
        </w:rPr>
        <w:fldChar w:fldCharType="separate"/>
      </w:r>
      <w:r>
        <w:rPr>
          <w:szCs w:val="24"/>
        </w:rPr>
        <w:fldChar w:fldCharType="begin"/>
      </w:r>
      <w:r>
        <w:rPr>
          <w:szCs w:val="24"/>
        </w:rPr>
        <w:instrText xml:space="preserve"> HYPERLINK \l _Toc5732 </w:instrText>
      </w:r>
      <w:r>
        <w:rPr>
          <w:szCs w:val="24"/>
        </w:rPr>
        <w:fldChar w:fldCharType="separate"/>
      </w:r>
      <w:r>
        <w:rPr>
          <w:rFonts w:hint="eastAsia" w:ascii="宋体" w:hAnsi="宋体" w:eastAsia="宋体" w:cs="宋体"/>
          <w:bCs/>
          <w:szCs w:val="24"/>
        </w:rPr>
        <w:t>第一部分 合同协议书</w:t>
      </w:r>
      <w:r>
        <w:tab/>
      </w:r>
      <w:r>
        <w:fldChar w:fldCharType="begin"/>
      </w:r>
      <w:r>
        <w:instrText xml:space="preserve"> PAGEREF _Toc5732 \h </w:instrText>
      </w:r>
      <w:r>
        <w:fldChar w:fldCharType="separate"/>
      </w:r>
      <w:r>
        <w:t>29</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_Toc5816 </w:instrText>
      </w:r>
      <w:r>
        <w:rPr>
          <w:szCs w:val="24"/>
        </w:rPr>
        <w:fldChar w:fldCharType="separate"/>
      </w:r>
      <w:r>
        <w:rPr>
          <w:rFonts w:hint="eastAsia" w:ascii="宋体" w:hAnsi="宋体" w:eastAsia="宋体" w:cs="宋体"/>
          <w:szCs w:val="24"/>
        </w:rPr>
        <w:t>一、工程概况</w:t>
      </w:r>
      <w:r>
        <w:tab/>
      </w:r>
      <w:r>
        <w:fldChar w:fldCharType="begin"/>
      </w:r>
      <w:r>
        <w:instrText xml:space="preserve"> PAGEREF _Toc5816 \h </w:instrText>
      </w:r>
      <w:r>
        <w:fldChar w:fldCharType="separate"/>
      </w:r>
      <w:r>
        <w:t>29</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_Toc10372 </w:instrText>
      </w:r>
      <w:r>
        <w:rPr>
          <w:szCs w:val="24"/>
        </w:rPr>
        <w:fldChar w:fldCharType="separate"/>
      </w:r>
      <w:r>
        <w:rPr>
          <w:rFonts w:hint="eastAsia" w:ascii="宋体" w:hAnsi="宋体" w:eastAsia="宋体" w:cs="宋体"/>
          <w:szCs w:val="24"/>
        </w:rPr>
        <w:t>二、合同工期</w:t>
      </w:r>
      <w:r>
        <w:tab/>
      </w:r>
      <w:r>
        <w:fldChar w:fldCharType="begin"/>
      </w:r>
      <w:r>
        <w:instrText xml:space="preserve"> PAGEREF _Toc10372 \h </w:instrText>
      </w:r>
      <w:r>
        <w:fldChar w:fldCharType="separate"/>
      </w:r>
      <w:r>
        <w:t>29</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_Toc30641 </w:instrText>
      </w:r>
      <w:r>
        <w:rPr>
          <w:szCs w:val="24"/>
        </w:rPr>
        <w:fldChar w:fldCharType="separate"/>
      </w:r>
      <w:r>
        <w:rPr>
          <w:rFonts w:hint="eastAsia" w:ascii="宋体" w:hAnsi="宋体" w:eastAsia="宋体" w:cs="宋体"/>
          <w:szCs w:val="24"/>
        </w:rPr>
        <w:t>三、质量标准</w:t>
      </w:r>
      <w:r>
        <w:tab/>
      </w:r>
      <w:r>
        <w:fldChar w:fldCharType="begin"/>
      </w:r>
      <w:r>
        <w:instrText xml:space="preserve"> PAGEREF _Toc30641 \h </w:instrText>
      </w:r>
      <w:r>
        <w:fldChar w:fldCharType="separate"/>
      </w:r>
      <w:r>
        <w:t>29</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_Toc1449 </w:instrText>
      </w:r>
      <w:r>
        <w:rPr>
          <w:szCs w:val="24"/>
        </w:rPr>
        <w:fldChar w:fldCharType="separate"/>
      </w:r>
      <w:r>
        <w:rPr>
          <w:rFonts w:hint="eastAsia" w:ascii="宋体" w:hAnsi="宋体" w:eastAsia="宋体" w:cs="宋体"/>
          <w:szCs w:val="24"/>
        </w:rPr>
        <w:t>四、签约合同价与合同价格形式</w:t>
      </w:r>
      <w:r>
        <w:tab/>
      </w:r>
      <w:r>
        <w:fldChar w:fldCharType="begin"/>
      </w:r>
      <w:r>
        <w:instrText xml:space="preserve"> PAGEREF _Toc1449 \h </w:instrText>
      </w:r>
      <w:r>
        <w:fldChar w:fldCharType="separate"/>
      </w:r>
      <w:r>
        <w:t>29</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_Toc3510 </w:instrText>
      </w:r>
      <w:r>
        <w:rPr>
          <w:szCs w:val="24"/>
        </w:rPr>
        <w:fldChar w:fldCharType="separate"/>
      </w:r>
      <w:r>
        <w:rPr>
          <w:rFonts w:hint="eastAsia" w:ascii="宋体" w:hAnsi="宋体" w:eastAsia="宋体" w:cs="宋体"/>
          <w:szCs w:val="24"/>
        </w:rPr>
        <w:t>五、项目经理</w:t>
      </w:r>
      <w:r>
        <w:tab/>
      </w:r>
      <w:r>
        <w:fldChar w:fldCharType="begin"/>
      </w:r>
      <w:r>
        <w:instrText xml:space="preserve"> PAGEREF _Toc3510 \h </w:instrText>
      </w:r>
      <w:r>
        <w:fldChar w:fldCharType="separate"/>
      </w:r>
      <w:r>
        <w:t>30</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_Toc12898 </w:instrText>
      </w:r>
      <w:r>
        <w:rPr>
          <w:szCs w:val="24"/>
        </w:rPr>
        <w:fldChar w:fldCharType="separate"/>
      </w:r>
      <w:r>
        <w:rPr>
          <w:rFonts w:hint="eastAsia" w:ascii="宋体" w:hAnsi="宋体" w:eastAsia="宋体" w:cs="宋体"/>
          <w:szCs w:val="24"/>
        </w:rPr>
        <w:t>六、合同文件构成</w:t>
      </w:r>
      <w:r>
        <w:tab/>
      </w:r>
      <w:r>
        <w:fldChar w:fldCharType="begin"/>
      </w:r>
      <w:r>
        <w:instrText xml:space="preserve"> PAGEREF _Toc12898 \h </w:instrText>
      </w:r>
      <w:r>
        <w:fldChar w:fldCharType="separate"/>
      </w:r>
      <w:r>
        <w:t>30</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_Toc21976 </w:instrText>
      </w:r>
      <w:r>
        <w:rPr>
          <w:szCs w:val="24"/>
        </w:rPr>
        <w:fldChar w:fldCharType="separate"/>
      </w:r>
      <w:r>
        <w:rPr>
          <w:rFonts w:hint="eastAsia" w:ascii="宋体" w:hAnsi="宋体" w:eastAsia="宋体" w:cs="宋体"/>
          <w:szCs w:val="24"/>
        </w:rPr>
        <w:t>七、承诺</w:t>
      </w:r>
      <w:r>
        <w:tab/>
      </w:r>
      <w:r>
        <w:fldChar w:fldCharType="begin"/>
      </w:r>
      <w:r>
        <w:instrText xml:space="preserve"> PAGEREF _Toc21976 \h </w:instrText>
      </w:r>
      <w:r>
        <w:fldChar w:fldCharType="separate"/>
      </w:r>
      <w:r>
        <w:t>30</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_Toc7985 </w:instrText>
      </w:r>
      <w:r>
        <w:rPr>
          <w:szCs w:val="24"/>
        </w:rPr>
        <w:fldChar w:fldCharType="separate"/>
      </w:r>
      <w:r>
        <w:rPr>
          <w:rFonts w:hint="eastAsia" w:ascii="宋体" w:hAnsi="宋体" w:eastAsia="宋体" w:cs="宋体"/>
          <w:bCs w:val="0"/>
          <w:szCs w:val="24"/>
        </w:rPr>
        <w:t>八、词语含义</w:t>
      </w:r>
      <w:r>
        <w:tab/>
      </w:r>
      <w:r>
        <w:fldChar w:fldCharType="begin"/>
      </w:r>
      <w:r>
        <w:instrText xml:space="preserve"> PAGEREF _Toc7985 \h </w:instrText>
      </w:r>
      <w:r>
        <w:fldChar w:fldCharType="separate"/>
      </w:r>
      <w:r>
        <w:t>30</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_Toc12133 </w:instrText>
      </w:r>
      <w:r>
        <w:rPr>
          <w:szCs w:val="24"/>
        </w:rPr>
        <w:fldChar w:fldCharType="separate"/>
      </w:r>
      <w:r>
        <w:rPr>
          <w:rFonts w:hint="eastAsia" w:ascii="宋体" w:hAnsi="宋体" w:eastAsia="宋体" w:cs="宋体"/>
          <w:bCs w:val="0"/>
          <w:szCs w:val="24"/>
        </w:rPr>
        <w:t>九、签订时间</w:t>
      </w:r>
      <w:r>
        <w:tab/>
      </w:r>
      <w:r>
        <w:fldChar w:fldCharType="begin"/>
      </w:r>
      <w:r>
        <w:instrText xml:space="preserve"> PAGEREF _Toc12133 \h </w:instrText>
      </w:r>
      <w:r>
        <w:fldChar w:fldCharType="separate"/>
      </w:r>
      <w:r>
        <w:t>30</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_Toc25532 </w:instrText>
      </w:r>
      <w:r>
        <w:rPr>
          <w:szCs w:val="24"/>
        </w:rPr>
        <w:fldChar w:fldCharType="separate"/>
      </w:r>
      <w:r>
        <w:rPr>
          <w:rFonts w:hint="eastAsia" w:ascii="宋体" w:hAnsi="宋体" w:eastAsia="宋体" w:cs="宋体"/>
          <w:bCs w:val="0"/>
          <w:szCs w:val="24"/>
        </w:rPr>
        <w:t>十、签订地点</w:t>
      </w:r>
      <w:r>
        <w:tab/>
      </w:r>
      <w:r>
        <w:fldChar w:fldCharType="begin"/>
      </w:r>
      <w:r>
        <w:instrText xml:space="preserve"> PAGEREF _Toc25532 \h </w:instrText>
      </w:r>
      <w:r>
        <w:fldChar w:fldCharType="separate"/>
      </w:r>
      <w:r>
        <w:t>30</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_Toc23244 </w:instrText>
      </w:r>
      <w:r>
        <w:rPr>
          <w:szCs w:val="24"/>
        </w:rPr>
        <w:fldChar w:fldCharType="separate"/>
      </w:r>
      <w:r>
        <w:rPr>
          <w:rFonts w:hint="eastAsia" w:ascii="宋体" w:hAnsi="宋体" w:eastAsia="宋体" w:cs="宋体"/>
          <w:bCs w:val="0"/>
          <w:szCs w:val="24"/>
        </w:rPr>
        <w:t>十一、补充协议</w:t>
      </w:r>
      <w:r>
        <w:tab/>
      </w:r>
      <w:r>
        <w:fldChar w:fldCharType="begin"/>
      </w:r>
      <w:r>
        <w:instrText xml:space="preserve"> PAGEREF _Toc23244 \h </w:instrText>
      </w:r>
      <w:r>
        <w:fldChar w:fldCharType="separate"/>
      </w:r>
      <w:r>
        <w:t>31</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_Toc12434 </w:instrText>
      </w:r>
      <w:r>
        <w:rPr>
          <w:szCs w:val="24"/>
        </w:rPr>
        <w:fldChar w:fldCharType="separate"/>
      </w:r>
      <w:r>
        <w:rPr>
          <w:rFonts w:hint="eastAsia" w:ascii="宋体" w:hAnsi="宋体" w:eastAsia="宋体" w:cs="宋体"/>
          <w:bCs w:val="0"/>
          <w:szCs w:val="24"/>
        </w:rPr>
        <w:t>十二、合同生效</w:t>
      </w:r>
      <w:r>
        <w:tab/>
      </w:r>
      <w:r>
        <w:fldChar w:fldCharType="begin"/>
      </w:r>
      <w:r>
        <w:instrText xml:space="preserve"> PAGEREF _Toc12434 \h </w:instrText>
      </w:r>
      <w:r>
        <w:fldChar w:fldCharType="separate"/>
      </w:r>
      <w:r>
        <w:t>31</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_Toc22739 </w:instrText>
      </w:r>
      <w:r>
        <w:rPr>
          <w:szCs w:val="24"/>
        </w:rPr>
        <w:fldChar w:fldCharType="separate"/>
      </w:r>
      <w:r>
        <w:rPr>
          <w:rFonts w:hint="eastAsia" w:ascii="宋体" w:hAnsi="宋体" w:eastAsia="宋体" w:cs="宋体"/>
          <w:bCs w:val="0"/>
          <w:szCs w:val="24"/>
        </w:rPr>
        <w:t>十三、合同份数</w:t>
      </w:r>
      <w:r>
        <w:tab/>
      </w:r>
      <w:r>
        <w:fldChar w:fldCharType="begin"/>
      </w:r>
      <w:r>
        <w:instrText xml:space="preserve"> PAGEREF _Toc22739 \h </w:instrText>
      </w:r>
      <w:r>
        <w:fldChar w:fldCharType="separate"/>
      </w:r>
      <w:r>
        <w:t>- 29 -</w:t>
      </w:r>
      <w:r>
        <w:fldChar w:fldCharType="end"/>
      </w:r>
      <w:r>
        <w:rPr>
          <w:szCs w:val="24"/>
        </w:rPr>
        <w:fldChar w:fldCharType="end"/>
      </w:r>
    </w:p>
    <w:p>
      <w:pPr>
        <w:pStyle w:val="21"/>
        <w:tabs>
          <w:tab w:val="right" w:leader="dot" w:pos="9070"/>
        </w:tabs>
      </w:pPr>
      <w:r>
        <w:rPr>
          <w:szCs w:val="24"/>
        </w:rPr>
        <w:fldChar w:fldCharType="begin"/>
      </w:r>
      <w:r>
        <w:rPr>
          <w:szCs w:val="24"/>
        </w:rPr>
        <w:instrText xml:space="preserve"> HYPERLINK \l _Toc5124 </w:instrText>
      </w:r>
      <w:r>
        <w:rPr>
          <w:szCs w:val="24"/>
        </w:rPr>
        <w:fldChar w:fldCharType="separate"/>
      </w:r>
      <w:r>
        <w:rPr>
          <w:rFonts w:hint="eastAsia" w:ascii="宋体" w:hAnsi="宋体" w:eastAsia="宋体" w:cs="宋体"/>
          <w:szCs w:val="24"/>
        </w:rPr>
        <w:t>第二部分 通用合同条款</w:t>
      </w:r>
      <w:r>
        <w:tab/>
      </w:r>
      <w:r>
        <w:fldChar w:fldCharType="begin"/>
      </w:r>
      <w:r>
        <w:instrText xml:space="preserve"> PAGEREF _Toc5124 \h </w:instrText>
      </w:r>
      <w:r>
        <w:fldChar w:fldCharType="separate"/>
      </w:r>
      <w:r>
        <w:t>32</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_Toc29832 </w:instrText>
      </w:r>
      <w:r>
        <w:rPr>
          <w:szCs w:val="24"/>
        </w:rPr>
        <w:fldChar w:fldCharType="separate"/>
      </w:r>
      <w:r>
        <w:rPr>
          <w:rFonts w:hint="eastAsia" w:ascii="宋体" w:hAnsi="宋体" w:eastAsia="宋体" w:cs="宋体"/>
          <w:szCs w:val="24"/>
        </w:rPr>
        <w:t>1. 一般约定</w:t>
      </w:r>
      <w:r>
        <w:tab/>
      </w:r>
      <w:r>
        <w:fldChar w:fldCharType="begin"/>
      </w:r>
      <w:r>
        <w:instrText xml:space="preserve"> PAGEREF _Toc29832 \h </w:instrText>
      </w:r>
      <w:r>
        <w:fldChar w:fldCharType="separate"/>
      </w:r>
      <w:r>
        <w:t>32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_Toc21220 </w:instrText>
      </w:r>
      <w:r>
        <w:rPr>
          <w:szCs w:val="24"/>
        </w:rPr>
        <w:fldChar w:fldCharType="separate"/>
      </w:r>
      <w:r>
        <w:rPr>
          <w:rFonts w:hint="eastAsia" w:ascii="宋体" w:hAnsi="宋体" w:eastAsia="宋体" w:cs="宋体"/>
          <w:szCs w:val="24"/>
        </w:rPr>
        <w:t>1.1词语定义与解释</w:t>
      </w:r>
      <w:r>
        <w:tab/>
      </w:r>
      <w:r>
        <w:fldChar w:fldCharType="begin"/>
      </w:r>
      <w:r>
        <w:instrText xml:space="preserve"> PAGEREF _Toc21220 \h </w:instrText>
      </w:r>
      <w:r>
        <w:fldChar w:fldCharType="separate"/>
      </w:r>
      <w:r>
        <w:t>32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_Toc21895 </w:instrText>
      </w:r>
      <w:r>
        <w:rPr>
          <w:szCs w:val="24"/>
        </w:rPr>
        <w:fldChar w:fldCharType="separate"/>
      </w:r>
      <w:r>
        <w:rPr>
          <w:rFonts w:hint="eastAsia" w:ascii="宋体" w:hAnsi="宋体" w:eastAsia="宋体" w:cs="宋体"/>
          <w:bCs w:val="0"/>
          <w:szCs w:val="24"/>
        </w:rPr>
        <w:t>1.2语言文字</w:t>
      </w:r>
      <w:r>
        <w:tab/>
      </w:r>
      <w:r>
        <w:fldChar w:fldCharType="begin"/>
      </w:r>
      <w:r>
        <w:instrText xml:space="preserve"> PAGEREF _Toc21895 \h </w:instrText>
      </w:r>
      <w:r>
        <w:fldChar w:fldCharType="separate"/>
      </w:r>
      <w:r>
        <w:t>34</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_Toc23596 </w:instrText>
      </w:r>
      <w:r>
        <w:rPr>
          <w:szCs w:val="24"/>
        </w:rPr>
        <w:fldChar w:fldCharType="separate"/>
      </w:r>
      <w:r>
        <w:rPr>
          <w:rFonts w:hint="eastAsia" w:ascii="宋体" w:hAnsi="宋体" w:eastAsia="宋体" w:cs="宋体"/>
          <w:bCs w:val="0"/>
          <w:szCs w:val="24"/>
        </w:rPr>
        <w:t>1.3法律</w:t>
      </w:r>
      <w:r>
        <w:tab/>
      </w:r>
      <w:r>
        <w:fldChar w:fldCharType="begin"/>
      </w:r>
      <w:r>
        <w:instrText xml:space="preserve"> PAGEREF _Toc23596 \h </w:instrText>
      </w:r>
      <w:r>
        <w:fldChar w:fldCharType="separate"/>
      </w:r>
      <w:r>
        <w:t>34</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_Toc9605 </w:instrText>
      </w:r>
      <w:r>
        <w:rPr>
          <w:szCs w:val="24"/>
        </w:rPr>
        <w:fldChar w:fldCharType="separate"/>
      </w:r>
      <w:r>
        <w:rPr>
          <w:rFonts w:hint="eastAsia" w:ascii="宋体" w:hAnsi="宋体" w:eastAsia="宋体" w:cs="宋体"/>
          <w:bCs w:val="0"/>
          <w:szCs w:val="24"/>
        </w:rPr>
        <w:t>1.4 标准和规范</w:t>
      </w:r>
      <w:r>
        <w:tab/>
      </w:r>
      <w:r>
        <w:fldChar w:fldCharType="begin"/>
      </w:r>
      <w:r>
        <w:instrText xml:space="preserve"> PAGEREF _Toc9605 \h </w:instrText>
      </w:r>
      <w:r>
        <w:fldChar w:fldCharType="separate"/>
      </w:r>
      <w:r>
        <w:t>35</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_Toc22226 </w:instrText>
      </w:r>
      <w:r>
        <w:rPr>
          <w:szCs w:val="24"/>
        </w:rPr>
        <w:fldChar w:fldCharType="separate"/>
      </w:r>
      <w:r>
        <w:rPr>
          <w:rFonts w:hint="eastAsia" w:ascii="宋体" w:hAnsi="宋体" w:eastAsia="宋体" w:cs="宋体"/>
          <w:bCs w:val="0"/>
          <w:szCs w:val="24"/>
        </w:rPr>
        <w:t>1.5 合同文件的优先顺序</w:t>
      </w:r>
      <w:r>
        <w:tab/>
      </w:r>
      <w:r>
        <w:fldChar w:fldCharType="begin"/>
      </w:r>
      <w:r>
        <w:instrText xml:space="preserve"> PAGEREF _Toc22226 \h </w:instrText>
      </w:r>
      <w:r>
        <w:fldChar w:fldCharType="separate"/>
      </w:r>
      <w:r>
        <w:t>35</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_Toc27471 </w:instrText>
      </w:r>
      <w:r>
        <w:rPr>
          <w:szCs w:val="24"/>
        </w:rPr>
        <w:fldChar w:fldCharType="separate"/>
      </w:r>
      <w:r>
        <w:rPr>
          <w:rFonts w:hint="eastAsia" w:ascii="宋体" w:hAnsi="宋体" w:eastAsia="宋体" w:cs="宋体"/>
          <w:bCs w:val="0"/>
          <w:szCs w:val="24"/>
        </w:rPr>
        <w:t>1.6图纸和承包人文件</w:t>
      </w:r>
      <w:r>
        <w:tab/>
      </w:r>
      <w:r>
        <w:fldChar w:fldCharType="begin"/>
      </w:r>
      <w:r>
        <w:instrText xml:space="preserve"> PAGEREF _Toc27471 \h </w:instrText>
      </w:r>
      <w:r>
        <w:fldChar w:fldCharType="separate"/>
      </w:r>
      <w:r>
        <w:t>35</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_Toc861 </w:instrText>
      </w:r>
      <w:r>
        <w:rPr>
          <w:szCs w:val="24"/>
        </w:rPr>
        <w:fldChar w:fldCharType="separate"/>
      </w:r>
      <w:r>
        <w:rPr>
          <w:rFonts w:hint="eastAsia" w:ascii="宋体" w:hAnsi="宋体" w:eastAsia="宋体" w:cs="宋体"/>
          <w:bCs w:val="0"/>
          <w:szCs w:val="24"/>
        </w:rPr>
        <w:t>1.7联络</w:t>
      </w:r>
      <w:r>
        <w:tab/>
      </w:r>
      <w:r>
        <w:fldChar w:fldCharType="begin"/>
      </w:r>
      <w:r>
        <w:instrText xml:space="preserve"> PAGEREF _Toc861 \h </w:instrText>
      </w:r>
      <w:r>
        <w:fldChar w:fldCharType="separate"/>
      </w:r>
      <w:r>
        <w:t>36</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_Toc3734 </w:instrText>
      </w:r>
      <w:r>
        <w:rPr>
          <w:szCs w:val="24"/>
        </w:rPr>
        <w:fldChar w:fldCharType="separate"/>
      </w:r>
      <w:r>
        <w:rPr>
          <w:rFonts w:hint="eastAsia" w:ascii="宋体" w:hAnsi="宋体" w:eastAsia="宋体" w:cs="宋体"/>
          <w:bCs w:val="0"/>
          <w:szCs w:val="24"/>
        </w:rPr>
        <w:t>1.8严禁贿赂</w:t>
      </w:r>
      <w:r>
        <w:tab/>
      </w:r>
      <w:r>
        <w:fldChar w:fldCharType="begin"/>
      </w:r>
      <w:r>
        <w:instrText xml:space="preserve"> PAGEREF _Toc3734 \h </w:instrText>
      </w:r>
      <w:r>
        <w:fldChar w:fldCharType="separate"/>
      </w:r>
      <w:r>
        <w:t>36</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_Toc14064 </w:instrText>
      </w:r>
      <w:r>
        <w:rPr>
          <w:szCs w:val="24"/>
        </w:rPr>
        <w:fldChar w:fldCharType="separate"/>
      </w:r>
      <w:r>
        <w:rPr>
          <w:rFonts w:hint="eastAsia" w:ascii="宋体" w:hAnsi="宋体" w:eastAsia="宋体" w:cs="宋体"/>
          <w:bCs w:val="0"/>
          <w:szCs w:val="24"/>
        </w:rPr>
        <w:t>1.9化石、文物</w:t>
      </w:r>
      <w:r>
        <w:tab/>
      </w:r>
      <w:r>
        <w:fldChar w:fldCharType="begin"/>
      </w:r>
      <w:r>
        <w:instrText xml:space="preserve"> PAGEREF _Toc14064 \h </w:instrText>
      </w:r>
      <w:r>
        <w:fldChar w:fldCharType="separate"/>
      </w:r>
      <w:r>
        <w:t>36</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_Toc21311 </w:instrText>
      </w:r>
      <w:r>
        <w:rPr>
          <w:szCs w:val="24"/>
        </w:rPr>
        <w:fldChar w:fldCharType="separate"/>
      </w:r>
      <w:r>
        <w:rPr>
          <w:rFonts w:hint="eastAsia" w:ascii="宋体" w:hAnsi="宋体" w:eastAsia="宋体" w:cs="宋体"/>
          <w:bCs w:val="0"/>
          <w:szCs w:val="24"/>
        </w:rPr>
        <w:t>1.10交通运输</w:t>
      </w:r>
      <w:r>
        <w:tab/>
      </w:r>
      <w:r>
        <w:fldChar w:fldCharType="begin"/>
      </w:r>
      <w:r>
        <w:instrText xml:space="preserve"> PAGEREF _Toc21311 \h </w:instrText>
      </w:r>
      <w:r>
        <w:fldChar w:fldCharType="separate"/>
      </w:r>
      <w:r>
        <w:t>37</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_Toc9195 </w:instrText>
      </w:r>
      <w:r>
        <w:rPr>
          <w:szCs w:val="24"/>
        </w:rPr>
        <w:fldChar w:fldCharType="separate"/>
      </w:r>
      <w:r>
        <w:rPr>
          <w:rFonts w:hint="eastAsia" w:ascii="宋体" w:hAnsi="宋体" w:eastAsia="宋体" w:cs="宋体"/>
          <w:bCs w:val="0"/>
          <w:szCs w:val="24"/>
        </w:rPr>
        <w:t>1.11知识产权</w:t>
      </w:r>
      <w:r>
        <w:tab/>
      </w:r>
      <w:r>
        <w:fldChar w:fldCharType="begin"/>
      </w:r>
      <w:r>
        <w:instrText xml:space="preserve"> PAGEREF _Toc9195 \h </w:instrText>
      </w:r>
      <w:r>
        <w:fldChar w:fldCharType="separate"/>
      </w:r>
      <w:r>
        <w:t>38</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_Toc20496 </w:instrText>
      </w:r>
      <w:r>
        <w:rPr>
          <w:szCs w:val="24"/>
        </w:rPr>
        <w:fldChar w:fldCharType="separate"/>
      </w:r>
      <w:r>
        <w:rPr>
          <w:rFonts w:hint="eastAsia" w:ascii="宋体" w:hAnsi="宋体" w:eastAsia="宋体" w:cs="宋体"/>
          <w:bCs w:val="0"/>
          <w:szCs w:val="24"/>
        </w:rPr>
        <w:t>1.12保密</w:t>
      </w:r>
      <w:r>
        <w:tab/>
      </w:r>
      <w:r>
        <w:fldChar w:fldCharType="begin"/>
      </w:r>
      <w:r>
        <w:instrText xml:space="preserve"> PAGEREF _Toc20496 \h </w:instrText>
      </w:r>
      <w:r>
        <w:fldChar w:fldCharType="separate"/>
      </w:r>
      <w:r>
        <w:t>38</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_Toc1104 </w:instrText>
      </w:r>
      <w:r>
        <w:rPr>
          <w:szCs w:val="24"/>
        </w:rPr>
        <w:fldChar w:fldCharType="separate"/>
      </w:r>
      <w:r>
        <w:rPr>
          <w:rFonts w:hint="eastAsia" w:ascii="宋体" w:hAnsi="宋体" w:eastAsia="宋体" w:cs="宋体"/>
          <w:bCs w:val="0"/>
          <w:szCs w:val="24"/>
        </w:rPr>
        <w:t>1.13工程量清单错误的修正</w:t>
      </w:r>
      <w:r>
        <w:tab/>
      </w:r>
      <w:r>
        <w:fldChar w:fldCharType="begin"/>
      </w:r>
      <w:r>
        <w:instrText xml:space="preserve"> PAGEREF _Toc1104 \h </w:instrText>
      </w:r>
      <w:r>
        <w:fldChar w:fldCharType="separate"/>
      </w:r>
      <w:r>
        <w:t>38</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_Toc17398 </w:instrText>
      </w:r>
      <w:r>
        <w:rPr>
          <w:szCs w:val="24"/>
        </w:rPr>
        <w:fldChar w:fldCharType="separate"/>
      </w:r>
      <w:r>
        <w:rPr>
          <w:rFonts w:hint="eastAsia" w:ascii="宋体" w:hAnsi="宋体" w:eastAsia="宋体" w:cs="宋体"/>
          <w:szCs w:val="24"/>
        </w:rPr>
        <w:t>2. 发包人</w:t>
      </w:r>
      <w:r>
        <w:tab/>
      </w:r>
      <w:r>
        <w:fldChar w:fldCharType="begin"/>
      </w:r>
      <w:r>
        <w:instrText xml:space="preserve"> PAGEREF _Toc17398 \h </w:instrText>
      </w:r>
      <w:r>
        <w:fldChar w:fldCharType="separate"/>
      </w:r>
      <w:r>
        <w:t>39</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_Toc7305 </w:instrText>
      </w:r>
      <w:r>
        <w:rPr>
          <w:szCs w:val="24"/>
        </w:rPr>
        <w:fldChar w:fldCharType="separate"/>
      </w:r>
      <w:r>
        <w:rPr>
          <w:rFonts w:hint="eastAsia" w:ascii="宋体" w:hAnsi="宋体" w:eastAsia="宋体" w:cs="宋体"/>
          <w:bCs w:val="0"/>
          <w:szCs w:val="24"/>
        </w:rPr>
        <w:t>2.1 许可或批准</w:t>
      </w:r>
      <w:r>
        <w:tab/>
      </w:r>
      <w:r>
        <w:fldChar w:fldCharType="begin"/>
      </w:r>
      <w:r>
        <w:instrText xml:space="preserve"> PAGEREF _Toc7305 \h </w:instrText>
      </w:r>
      <w:r>
        <w:fldChar w:fldCharType="separate"/>
      </w:r>
      <w:r>
        <w:t>39</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_Toc1583 </w:instrText>
      </w:r>
      <w:r>
        <w:rPr>
          <w:szCs w:val="24"/>
        </w:rPr>
        <w:fldChar w:fldCharType="separate"/>
      </w:r>
      <w:r>
        <w:rPr>
          <w:rFonts w:hint="eastAsia" w:ascii="宋体" w:hAnsi="宋体" w:eastAsia="宋体" w:cs="宋体"/>
          <w:bCs w:val="0"/>
          <w:szCs w:val="24"/>
        </w:rPr>
        <w:t>2.2 发包人代表</w:t>
      </w:r>
      <w:r>
        <w:tab/>
      </w:r>
      <w:r>
        <w:fldChar w:fldCharType="begin"/>
      </w:r>
      <w:r>
        <w:instrText xml:space="preserve"> PAGEREF _Toc1583 \h </w:instrText>
      </w:r>
      <w:r>
        <w:fldChar w:fldCharType="separate"/>
      </w:r>
      <w:r>
        <w:t>39</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_Toc336 </w:instrText>
      </w:r>
      <w:r>
        <w:rPr>
          <w:szCs w:val="24"/>
        </w:rPr>
        <w:fldChar w:fldCharType="separate"/>
      </w:r>
      <w:r>
        <w:rPr>
          <w:rFonts w:hint="eastAsia" w:ascii="宋体" w:hAnsi="宋体" w:eastAsia="宋体" w:cs="宋体"/>
          <w:bCs w:val="0"/>
          <w:szCs w:val="24"/>
        </w:rPr>
        <w:t>2.3 发包人人员</w:t>
      </w:r>
      <w:r>
        <w:tab/>
      </w:r>
      <w:r>
        <w:fldChar w:fldCharType="begin"/>
      </w:r>
      <w:r>
        <w:instrText xml:space="preserve"> PAGEREF _Toc336 \h </w:instrText>
      </w:r>
      <w:r>
        <w:fldChar w:fldCharType="separate"/>
      </w:r>
      <w:r>
        <w:t>39</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_Toc28963 </w:instrText>
      </w:r>
      <w:r>
        <w:rPr>
          <w:szCs w:val="24"/>
        </w:rPr>
        <w:fldChar w:fldCharType="separate"/>
      </w:r>
      <w:r>
        <w:rPr>
          <w:rFonts w:hint="eastAsia" w:ascii="宋体" w:hAnsi="宋体" w:eastAsia="宋体" w:cs="宋体"/>
          <w:bCs w:val="0"/>
          <w:szCs w:val="24"/>
        </w:rPr>
        <w:t>2.4 施工现场、施工条件和基础资料的提供</w:t>
      </w:r>
      <w:r>
        <w:tab/>
      </w:r>
      <w:r>
        <w:fldChar w:fldCharType="begin"/>
      </w:r>
      <w:r>
        <w:instrText xml:space="preserve"> PAGEREF _Toc28963 \h </w:instrText>
      </w:r>
      <w:r>
        <w:fldChar w:fldCharType="separate"/>
      </w:r>
      <w:r>
        <w:t>39</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_Toc8633 </w:instrText>
      </w:r>
      <w:r>
        <w:rPr>
          <w:szCs w:val="24"/>
        </w:rPr>
        <w:fldChar w:fldCharType="separate"/>
      </w:r>
      <w:r>
        <w:rPr>
          <w:rFonts w:hint="eastAsia" w:ascii="宋体" w:hAnsi="宋体" w:eastAsia="宋体" w:cs="宋体"/>
          <w:bCs w:val="0"/>
          <w:szCs w:val="24"/>
        </w:rPr>
        <w:t>2.5 资金来源证明及支付担保</w:t>
      </w:r>
      <w:r>
        <w:tab/>
      </w:r>
      <w:r>
        <w:fldChar w:fldCharType="begin"/>
      </w:r>
      <w:r>
        <w:instrText xml:space="preserve"> PAGEREF _Toc8633 \h </w:instrText>
      </w:r>
      <w:r>
        <w:fldChar w:fldCharType="separate"/>
      </w:r>
      <w:r>
        <w:t>40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_Toc25781 </w:instrText>
      </w:r>
      <w:r>
        <w:rPr>
          <w:szCs w:val="24"/>
        </w:rPr>
        <w:fldChar w:fldCharType="separate"/>
      </w:r>
      <w:r>
        <w:rPr>
          <w:rFonts w:hint="eastAsia" w:ascii="宋体" w:hAnsi="宋体" w:eastAsia="宋体" w:cs="宋体"/>
          <w:bCs w:val="0"/>
          <w:szCs w:val="24"/>
        </w:rPr>
        <w:t>2.6 支付合同价款</w:t>
      </w:r>
      <w:r>
        <w:tab/>
      </w:r>
      <w:r>
        <w:fldChar w:fldCharType="begin"/>
      </w:r>
      <w:r>
        <w:instrText xml:space="preserve"> PAGEREF _Toc25781 \h </w:instrText>
      </w:r>
      <w:r>
        <w:fldChar w:fldCharType="separate"/>
      </w:r>
      <w:r>
        <w:t>40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_Toc24245 </w:instrText>
      </w:r>
      <w:r>
        <w:rPr>
          <w:szCs w:val="24"/>
        </w:rPr>
        <w:fldChar w:fldCharType="separate"/>
      </w:r>
      <w:r>
        <w:rPr>
          <w:rFonts w:hint="eastAsia" w:ascii="宋体" w:hAnsi="宋体" w:eastAsia="宋体" w:cs="宋体"/>
          <w:bCs w:val="0"/>
          <w:szCs w:val="24"/>
        </w:rPr>
        <w:t>2.7 组织竣工验收</w:t>
      </w:r>
      <w:r>
        <w:tab/>
      </w:r>
      <w:r>
        <w:fldChar w:fldCharType="begin"/>
      </w:r>
      <w:r>
        <w:instrText xml:space="preserve"> PAGEREF _Toc24245 \h </w:instrText>
      </w:r>
      <w:r>
        <w:fldChar w:fldCharType="separate"/>
      </w:r>
      <w:r>
        <w:t>40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_Toc9288 </w:instrText>
      </w:r>
      <w:r>
        <w:rPr>
          <w:szCs w:val="24"/>
        </w:rPr>
        <w:fldChar w:fldCharType="separate"/>
      </w:r>
      <w:r>
        <w:rPr>
          <w:rFonts w:hint="eastAsia" w:ascii="宋体" w:hAnsi="宋体" w:eastAsia="宋体" w:cs="宋体"/>
          <w:bCs w:val="0"/>
          <w:szCs w:val="24"/>
        </w:rPr>
        <w:t>2.8 现场统一管理协议</w:t>
      </w:r>
      <w:r>
        <w:tab/>
      </w:r>
      <w:r>
        <w:fldChar w:fldCharType="begin"/>
      </w:r>
      <w:r>
        <w:instrText xml:space="preserve"> PAGEREF _Toc9288 \h </w:instrText>
      </w:r>
      <w:r>
        <w:fldChar w:fldCharType="separate"/>
      </w:r>
      <w:r>
        <w:t>40</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_Toc903 </w:instrText>
      </w:r>
      <w:r>
        <w:rPr>
          <w:szCs w:val="24"/>
        </w:rPr>
        <w:fldChar w:fldCharType="separate"/>
      </w:r>
      <w:r>
        <w:rPr>
          <w:rFonts w:hint="eastAsia" w:ascii="宋体" w:hAnsi="宋体" w:eastAsia="宋体" w:cs="宋体"/>
          <w:szCs w:val="24"/>
        </w:rPr>
        <w:t>3. 承包人</w:t>
      </w:r>
      <w:r>
        <w:tab/>
      </w:r>
      <w:r>
        <w:fldChar w:fldCharType="begin"/>
      </w:r>
      <w:r>
        <w:instrText xml:space="preserve"> PAGEREF _Toc903 \h </w:instrText>
      </w:r>
      <w:r>
        <w:fldChar w:fldCharType="separate"/>
      </w:r>
      <w:r>
        <w:t>40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_Toc13780 </w:instrText>
      </w:r>
      <w:r>
        <w:rPr>
          <w:szCs w:val="24"/>
        </w:rPr>
        <w:fldChar w:fldCharType="separate"/>
      </w:r>
      <w:r>
        <w:rPr>
          <w:rFonts w:hint="eastAsia" w:ascii="宋体" w:hAnsi="宋体" w:eastAsia="宋体" w:cs="宋体"/>
          <w:bCs w:val="0"/>
          <w:szCs w:val="24"/>
        </w:rPr>
        <w:t>3.1 承包人的一般义务</w:t>
      </w:r>
      <w:r>
        <w:tab/>
      </w:r>
      <w:r>
        <w:fldChar w:fldCharType="begin"/>
      </w:r>
      <w:r>
        <w:instrText xml:space="preserve"> PAGEREF _Toc13780 \h </w:instrText>
      </w:r>
      <w:r>
        <w:fldChar w:fldCharType="separate"/>
      </w:r>
      <w:r>
        <w:t>40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_Toc20222 </w:instrText>
      </w:r>
      <w:r>
        <w:rPr>
          <w:szCs w:val="24"/>
        </w:rPr>
        <w:fldChar w:fldCharType="separate"/>
      </w:r>
      <w:r>
        <w:rPr>
          <w:rFonts w:hint="eastAsia" w:ascii="宋体" w:hAnsi="宋体" w:eastAsia="宋体" w:cs="宋体"/>
          <w:bCs w:val="0"/>
          <w:szCs w:val="24"/>
        </w:rPr>
        <w:t>3.2 项目经理</w:t>
      </w:r>
      <w:r>
        <w:tab/>
      </w:r>
      <w:r>
        <w:fldChar w:fldCharType="begin"/>
      </w:r>
      <w:r>
        <w:instrText xml:space="preserve"> PAGEREF _Toc20222 \h </w:instrText>
      </w:r>
      <w:r>
        <w:fldChar w:fldCharType="separate"/>
      </w:r>
      <w:r>
        <w:t>41</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_Toc21182 </w:instrText>
      </w:r>
      <w:r>
        <w:rPr>
          <w:szCs w:val="24"/>
        </w:rPr>
        <w:fldChar w:fldCharType="separate"/>
      </w:r>
      <w:r>
        <w:rPr>
          <w:rFonts w:hint="eastAsia" w:ascii="宋体" w:hAnsi="宋体" w:eastAsia="宋体" w:cs="宋体"/>
          <w:bCs w:val="0"/>
          <w:szCs w:val="24"/>
        </w:rPr>
        <w:t>3.3 承包人人员</w:t>
      </w:r>
      <w:r>
        <w:tab/>
      </w:r>
      <w:r>
        <w:fldChar w:fldCharType="begin"/>
      </w:r>
      <w:r>
        <w:instrText xml:space="preserve"> PAGEREF _Toc21182 \h </w:instrText>
      </w:r>
      <w:r>
        <w:fldChar w:fldCharType="separate"/>
      </w:r>
      <w:r>
        <w:t>42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_Toc31607 </w:instrText>
      </w:r>
      <w:r>
        <w:rPr>
          <w:szCs w:val="24"/>
        </w:rPr>
        <w:fldChar w:fldCharType="separate"/>
      </w:r>
      <w:r>
        <w:rPr>
          <w:rFonts w:hint="eastAsia" w:ascii="宋体" w:hAnsi="宋体" w:eastAsia="宋体" w:cs="宋体"/>
          <w:bCs w:val="0"/>
          <w:szCs w:val="24"/>
        </w:rPr>
        <w:t>3.4 承包人现场查勘</w:t>
      </w:r>
      <w:r>
        <w:tab/>
      </w:r>
      <w:r>
        <w:fldChar w:fldCharType="begin"/>
      </w:r>
      <w:r>
        <w:instrText xml:space="preserve"> PAGEREF _Toc31607 \h </w:instrText>
      </w:r>
      <w:r>
        <w:fldChar w:fldCharType="separate"/>
      </w:r>
      <w:r>
        <w:t>42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_Toc16462 </w:instrText>
      </w:r>
      <w:r>
        <w:rPr>
          <w:szCs w:val="24"/>
        </w:rPr>
        <w:fldChar w:fldCharType="separate"/>
      </w:r>
      <w:r>
        <w:rPr>
          <w:rFonts w:hint="eastAsia" w:ascii="宋体" w:hAnsi="宋体" w:eastAsia="宋体" w:cs="宋体"/>
          <w:bCs w:val="0"/>
          <w:szCs w:val="24"/>
        </w:rPr>
        <w:t>3.5 分包</w:t>
      </w:r>
      <w:r>
        <w:tab/>
      </w:r>
      <w:r>
        <w:fldChar w:fldCharType="begin"/>
      </w:r>
      <w:r>
        <w:instrText xml:space="preserve"> PAGEREF _Toc16462 \h </w:instrText>
      </w:r>
      <w:r>
        <w:fldChar w:fldCharType="separate"/>
      </w:r>
      <w:r>
        <w:t>43</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_Toc25586 </w:instrText>
      </w:r>
      <w:r>
        <w:rPr>
          <w:szCs w:val="24"/>
        </w:rPr>
        <w:fldChar w:fldCharType="separate"/>
      </w:r>
      <w:r>
        <w:rPr>
          <w:rFonts w:hint="eastAsia" w:ascii="宋体" w:hAnsi="宋体" w:eastAsia="宋体" w:cs="宋体"/>
          <w:bCs w:val="0"/>
          <w:szCs w:val="24"/>
        </w:rPr>
        <w:t>3.6 工程照管与成品、半成品保护</w:t>
      </w:r>
      <w:r>
        <w:tab/>
      </w:r>
      <w:r>
        <w:fldChar w:fldCharType="begin"/>
      </w:r>
      <w:r>
        <w:instrText xml:space="preserve"> PAGEREF _Toc25586 \h </w:instrText>
      </w:r>
      <w:r>
        <w:fldChar w:fldCharType="separate"/>
      </w:r>
      <w:r>
        <w:t>43</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_Toc21754 </w:instrText>
      </w:r>
      <w:r>
        <w:rPr>
          <w:szCs w:val="24"/>
        </w:rPr>
        <w:fldChar w:fldCharType="separate"/>
      </w:r>
      <w:r>
        <w:rPr>
          <w:rFonts w:hint="eastAsia" w:ascii="宋体" w:hAnsi="宋体" w:eastAsia="宋体" w:cs="宋体"/>
          <w:bCs w:val="0"/>
          <w:szCs w:val="24"/>
        </w:rPr>
        <w:t>3.7 履约担保</w:t>
      </w:r>
      <w:r>
        <w:tab/>
      </w:r>
      <w:r>
        <w:fldChar w:fldCharType="begin"/>
      </w:r>
      <w:r>
        <w:instrText xml:space="preserve"> PAGEREF _Toc21754 \h </w:instrText>
      </w:r>
      <w:r>
        <w:fldChar w:fldCharType="separate"/>
      </w:r>
      <w:r>
        <w:t>44</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_Toc5820 </w:instrText>
      </w:r>
      <w:r>
        <w:rPr>
          <w:szCs w:val="24"/>
        </w:rPr>
        <w:fldChar w:fldCharType="separate"/>
      </w:r>
      <w:r>
        <w:rPr>
          <w:rFonts w:hint="eastAsia" w:ascii="宋体" w:hAnsi="宋体" w:eastAsia="宋体" w:cs="宋体"/>
          <w:bCs w:val="0"/>
          <w:szCs w:val="24"/>
        </w:rPr>
        <w:t>3.8 联合体</w:t>
      </w:r>
      <w:r>
        <w:tab/>
      </w:r>
      <w:r>
        <w:fldChar w:fldCharType="begin"/>
      </w:r>
      <w:r>
        <w:instrText xml:space="preserve"> PAGEREF _Toc5820 \h </w:instrText>
      </w:r>
      <w:r>
        <w:fldChar w:fldCharType="separate"/>
      </w:r>
      <w:r>
        <w:t>44</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_Toc22747 </w:instrText>
      </w:r>
      <w:r>
        <w:rPr>
          <w:szCs w:val="24"/>
        </w:rPr>
        <w:fldChar w:fldCharType="separate"/>
      </w:r>
      <w:r>
        <w:rPr>
          <w:rFonts w:hint="eastAsia" w:ascii="宋体" w:hAnsi="宋体" w:eastAsia="宋体" w:cs="宋体"/>
          <w:szCs w:val="24"/>
        </w:rPr>
        <w:t>4. 监理人</w:t>
      </w:r>
      <w:r>
        <w:tab/>
      </w:r>
      <w:r>
        <w:fldChar w:fldCharType="begin"/>
      </w:r>
      <w:r>
        <w:instrText xml:space="preserve"> PAGEREF _Toc22747 \h </w:instrText>
      </w:r>
      <w:r>
        <w:fldChar w:fldCharType="separate"/>
      </w:r>
      <w:r>
        <w:t>44</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_Toc27260 </w:instrText>
      </w:r>
      <w:r>
        <w:rPr>
          <w:szCs w:val="24"/>
        </w:rPr>
        <w:fldChar w:fldCharType="separate"/>
      </w:r>
      <w:r>
        <w:rPr>
          <w:rFonts w:hint="eastAsia" w:ascii="宋体" w:hAnsi="宋体" w:eastAsia="宋体" w:cs="宋体"/>
          <w:bCs w:val="0"/>
          <w:szCs w:val="24"/>
        </w:rPr>
        <w:t>4.1监理人的一般规定</w:t>
      </w:r>
      <w:r>
        <w:tab/>
      </w:r>
      <w:r>
        <w:fldChar w:fldCharType="begin"/>
      </w:r>
      <w:r>
        <w:instrText xml:space="preserve"> PAGEREF _Toc27260 \h </w:instrText>
      </w:r>
      <w:r>
        <w:fldChar w:fldCharType="separate"/>
      </w:r>
      <w:r>
        <w:t>44</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_Toc8974 </w:instrText>
      </w:r>
      <w:r>
        <w:rPr>
          <w:szCs w:val="24"/>
        </w:rPr>
        <w:fldChar w:fldCharType="separate"/>
      </w:r>
      <w:r>
        <w:rPr>
          <w:rFonts w:hint="eastAsia" w:ascii="宋体" w:hAnsi="宋体" w:eastAsia="宋体" w:cs="宋体"/>
          <w:bCs w:val="0"/>
          <w:szCs w:val="24"/>
        </w:rPr>
        <w:t>4.2监理人员</w:t>
      </w:r>
      <w:r>
        <w:tab/>
      </w:r>
      <w:r>
        <w:fldChar w:fldCharType="begin"/>
      </w:r>
      <w:r>
        <w:instrText xml:space="preserve"> PAGEREF _Toc8974 \h </w:instrText>
      </w:r>
      <w:r>
        <w:fldChar w:fldCharType="separate"/>
      </w:r>
      <w:r>
        <w:t>44</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_Toc4266 </w:instrText>
      </w:r>
      <w:r>
        <w:rPr>
          <w:szCs w:val="24"/>
        </w:rPr>
        <w:fldChar w:fldCharType="separate"/>
      </w:r>
      <w:r>
        <w:rPr>
          <w:rFonts w:hint="eastAsia" w:ascii="宋体" w:hAnsi="宋体" w:eastAsia="宋体" w:cs="宋体"/>
          <w:bCs w:val="0"/>
          <w:szCs w:val="24"/>
        </w:rPr>
        <w:t>4.3监理人的指示</w:t>
      </w:r>
      <w:r>
        <w:tab/>
      </w:r>
      <w:r>
        <w:fldChar w:fldCharType="begin"/>
      </w:r>
      <w:r>
        <w:instrText xml:space="preserve"> PAGEREF _Toc4266 \h </w:instrText>
      </w:r>
      <w:r>
        <w:fldChar w:fldCharType="separate"/>
      </w:r>
      <w:r>
        <w:t>44</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_Toc8907 </w:instrText>
      </w:r>
      <w:r>
        <w:rPr>
          <w:szCs w:val="24"/>
        </w:rPr>
        <w:fldChar w:fldCharType="separate"/>
      </w:r>
      <w:r>
        <w:rPr>
          <w:rFonts w:hint="eastAsia" w:ascii="宋体" w:hAnsi="宋体" w:eastAsia="宋体" w:cs="宋体"/>
          <w:bCs w:val="0"/>
          <w:szCs w:val="24"/>
        </w:rPr>
        <w:t>4.4 商定或确定</w:t>
      </w:r>
      <w:r>
        <w:tab/>
      </w:r>
      <w:r>
        <w:fldChar w:fldCharType="begin"/>
      </w:r>
      <w:r>
        <w:instrText xml:space="preserve"> PAGEREF _Toc8907 \h </w:instrText>
      </w:r>
      <w:r>
        <w:fldChar w:fldCharType="separate"/>
      </w:r>
      <w:r>
        <w:t>45</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_Toc14520 </w:instrText>
      </w:r>
      <w:r>
        <w:rPr>
          <w:szCs w:val="24"/>
        </w:rPr>
        <w:fldChar w:fldCharType="separate"/>
      </w:r>
      <w:r>
        <w:rPr>
          <w:rFonts w:hint="eastAsia" w:ascii="宋体" w:hAnsi="宋体" w:eastAsia="宋体" w:cs="宋体"/>
          <w:szCs w:val="24"/>
        </w:rPr>
        <w:t>5. 工程质量</w:t>
      </w:r>
      <w:r>
        <w:tab/>
      </w:r>
      <w:r>
        <w:fldChar w:fldCharType="begin"/>
      </w:r>
      <w:r>
        <w:instrText xml:space="preserve"> PAGEREF _Toc14520 \h </w:instrText>
      </w:r>
      <w:r>
        <w:fldChar w:fldCharType="separate"/>
      </w:r>
      <w:r>
        <w:t>45</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_Toc14962 </w:instrText>
      </w:r>
      <w:r>
        <w:rPr>
          <w:szCs w:val="24"/>
        </w:rPr>
        <w:fldChar w:fldCharType="separate"/>
      </w:r>
      <w:r>
        <w:rPr>
          <w:rFonts w:hint="eastAsia" w:ascii="宋体" w:hAnsi="宋体" w:eastAsia="宋体" w:cs="宋体"/>
          <w:bCs w:val="0"/>
          <w:szCs w:val="24"/>
        </w:rPr>
        <w:t>5.1质量要求</w:t>
      </w:r>
      <w:r>
        <w:tab/>
      </w:r>
      <w:r>
        <w:fldChar w:fldCharType="begin"/>
      </w:r>
      <w:r>
        <w:instrText xml:space="preserve"> PAGEREF _Toc14962 \h </w:instrText>
      </w:r>
      <w:r>
        <w:fldChar w:fldCharType="separate"/>
      </w:r>
      <w:r>
        <w:t>- 34 -</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_Toc12654 </w:instrText>
      </w:r>
      <w:r>
        <w:rPr>
          <w:szCs w:val="24"/>
        </w:rPr>
        <w:fldChar w:fldCharType="separate"/>
      </w:r>
      <w:r>
        <w:rPr>
          <w:rFonts w:hint="eastAsia" w:ascii="宋体" w:hAnsi="宋体" w:eastAsia="宋体" w:cs="宋体"/>
          <w:bCs w:val="0"/>
          <w:szCs w:val="24"/>
        </w:rPr>
        <w:t>5.2质量保证措施</w:t>
      </w:r>
      <w:r>
        <w:tab/>
      </w:r>
      <w:r>
        <w:fldChar w:fldCharType="begin"/>
      </w:r>
      <w:r>
        <w:instrText xml:space="preserve"> PAGEREF _Toc12654 \h </w:instrText>
      </w:r>
      <w:r>
        <w:fldChar w:fldCharType="separate"/>
      </w:r>
      <w:r>
        <w:t>45</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_Toc17388 </w:instrText>
      </w:r>
      <w:r>
        <w:rPr>
          <w:szCs w:val="24"/>
        </w:rPr>
        <w:fldChar w:fldCharType="separate"/>
      </w:r>
      <w:r>
        <w:rPr>
          <w:rFonts w:hint="eastAsia" w:ascii="宋体" w:hAnsi="宋体" w:eastAsia="宋体" w:cs="宋体"/>
          <w:bCs w:val="0"/>
          <w:szCs w:val="24"/>
        </w:rPr>
        <w:t>5.3 隐蔽工程检查</w:t>
      </w:r>
      <w:r>
        <w:tab/>
      </w:r>
      <w:r>
        <w:fldChar w:fldCharType="begin"/>
      </w:r>
      <w:r>
        <w:instrText xml:space="preserve"> PAGEREF _Toc17388 \h </w:instrText>
      </w:r>
      <w:r>
        <w:fldChar w:fldCharType="separate"/>
      </w:r>
      <w:r>
        <w:t>46</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_Toc8782 </w:instrText>
      </w:r>
      <w:r>
        <w:rPr>
          <w:szCs w:val="24"/>
        </w:rPr>
        <w:fldChar w:fldCharType="separate"/>
      </w:r>
      <w:r>
        <w:rPr>
          <w:rFonts w:hint="eastAsia" w:ascii="宋体" w:hAnsi="宋体" w:eastAsia="宋体" w:cs="宋体"/>
          <w:bCs w:val="0"/>
          <w:szCs w:val="24"/>
        </w:rPr>
        <w:t>5.4不合格工程的处理</w:t>
      </w:r>
      <w:r>
        <w:tab/>
      </w:r>
      <w:r>
        <w:fldChar w:fldCharType="begin"/>
      </w:r>
      <w:r>
        <w:instrText xml:space="preserve"> PAGEREF _Toc8782 \h </w:instrText>
      </w:r>
      <w:r>
        <w:fldChar w:fldCharType="separate"/>
      </w:r>
      <w:r>
        <w:t>47</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_Toc4357 </w:instrText>
      </w:r>
      <w:r>
        <w:rPr>
          <w:szCs w:val="24"/>
        </w:rPr>
        <w:fldChar w:fldCharType="separate"/>
      </w:r>
      <w:r>
        <w:rPr>
          <w:rFonts w:hint="eastAsia" w:ascii="宋体" w:hAnsi="宋体" w:eastAsia="宋体" w:cs="宋体"/>
          <w:bCs w:val="0"/>
          <w:szCs w:val="24"/>
        </w:rPr>
        <w:t>5.5 质量争议检测</w:t>
      </w:r>
      <w:r>
        <w:tab/>
      </w:r>
      <w:r>
        <w:fldChar w:fldCharType="begin"/>
      </w:r>
      <w:r>
        <w:instrText xml:space="preserve"> PAGEREF _Toc4357 \h </w:instrText>
      </w:r>
      <w:r>
        <w:fldChar w:fldCharType="separate"/>
      </w:r>
      <w:r>
        <w:t>47</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_Toc1277 </w:instrText>
      </w:r>
      <w:r>
        <w:rPr>
          <w:szCs w:val="24"/>
        </w:rPr>
        <w:fldChar w:fldCharType="separate"/>
      </w:r>
      <w:r>
        <w:rPr>
          <w:rFonts w:hint="eastAsia" w:ascii="宋体" w:hAnsi="宋体" w:eastAsia="宋体" w:cs="宋体"/>
          <w:szCs w:val="24"/>
        </w:rPr>
        <w:t>6. 安全文明施工与环境保护</w:t>
      </w:r>
      <w:r>
        <w:tab/>
      </w:r>
      <w:r>
        <w:fldChar w:fldCharType="begin"/>
      </w:r>
      <w:r>
        <w:instrText xml:space="preserve"> PAGEREF _Toc1277 \h </w:instrText>
      </w:r>
      <w:r>
        <w:fldChar w:fldCharType="separate"/>
      </w:r>
      <w:r>
        <w:t>47</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_Toc4014 </w:instrText>
      </w:r>
      <w:r>
        <w:rPr>
          <w:szCs w:val="24"/>
        </w:rPr>
        <w:fldChar w:fldCharType="separate"/>
      </w:r>
      <w:r>
        <w:rPr>
          <w:rFonts w:hint="eastAsia" w:ascii="宋体" w:hAnsi="宋体" w:eastAsia="宋体" w:cs="宋体"/>
          <w:bCs w:val="0"/>
          <w:szCs w:val="24"/>
        </w:rPr>
        <w:t>6.1安全文明施工</w:t>
      </w:r>
      <w:r>
        <w:tab/>
      </w:r>
      <w:r>
        <w:fldChar w:fldCharType="begin"/>
      </w:r>
      <w:r>
        <w:instrText xml:space="preserve"> PAGEREF _Toc4014 \h </w:instrText>
      </w:r>
      <w:r>
        <w:fldChar w:fldCharType="separate"/>
      </w:r>
      <w:r>
        <w:t>47</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_Toc1791 </w:instrText>
      </w:r>
      <w:r>
        <w:rPr>
          <w:szCs w:val="24"/>
        </w:rPr>
        <w:fldChar w:fldCharType="separate"/>
      </w:r>
      <w:r>
        <w:rPr>
          <w:rFonts w:hint="eastAsia" w:ascii="宋体" w:hAnsi="宋体" w:eastAsia="宋体" w:cs="宋体"/>
          <w:bCs w:val="0"/>
          <w:szCs w:val="24"/>
        </w:rPr>
        <w:t>6.2 职业健康</w:t>
      </w:r>
      <w:r>
        <w:tab/>
      </w:r>
      <w:r>
        <w:fldChar w:fldCharType="begin"/>
      </w:r>
      <w:r>
        <w:instrText xml:space="preserve"> PAGEREF _Toc1791 \h </w:instrText>
      </w:r>
      <w:r>
        <w:fldChar w:fldCharType="separate"/>
      </w:r>
      <w:r>
        <w:t>49</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_Toc14671 </w:instrText>
      </w:r>
      <w:r>
        <w:rPr>
          <w:szCs w:val="24"/>
        </w:rPr>
        <w:fldChar w:fldCharType="separate"/>
      </w:r>
      <w:r>
        <w:rPr>
          <w:rFonts w:hint="eastAsia" w:ascii="宋体" w:hAnsi="宋体" w:eastAsia="宋体" w:cs="宋体"/>
          <w:bCs w:val="0"/>
          <w:szCs w:val="24"/>
        </w:rPr>
        <w:t>6.3 环境保护</w:t>
      </w:r>
      <w:r>
        <w:tab/>
      </w:r>
      <w:r>
        <w:fldChar w:fldCharType="begin"/>
      </w:r>
      <w:r>
        <w:instrText xml:space="preserve"> PAGEREF _Toc14671 \h </w:instrText>
      </w:r>
      <w:r>
        <w:fldChar w:fldCharType="separate"/>
      </w:r>
      <w:r>
        <w:t>50</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_Toc32330 </w:instrText>
      </w:r>
      <w:r>
        <w:rPr>
          <w:szCs w:val="24"/>
        </w:rPr>
        <w:fldChar w:fldCharType="separate"/>
      </w:r>
      <w:r>
        <w:rPr>
          <w:rFonts w:hint="eastAsia" w:ascii="宋体" w:hAnsi="宋体" w:eastAsia="宋体" w:cs="宋体"/>
          <w:szCs w:val="24"/>
        </w:rPr>
        <w:t>7. 工期和进度</w:t>
      </w:r>
      <w:r>
        <w:tab/>
      </w:r>
      <w:r>
        <w:fldChar w:fldCharType="begin"/>
      </w:r>
      <w:r>
        <w:instrText xml:space="preserve"> PAGEREF _Toc32330 \h </w:instrText>
      </w:r>
      <w:r>
        <w:fldChar w:fldCharType="separate"/>
      </w:r>
      <w:r>
        <w:t>50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_Toc28037 </w:instrText>
      </w:r>
      <w:r>
        <w:rPr>
          <w:szCs w:val="24"/>
        </w:rPr>
        <w:fldChar w:fldCharType="separate"/>
      </w:r>
      <w:r>
        <w:rPr>
          <w:rFonts w:hint="eastAsia" w:ascii="宋体" w:hAnsi="宋体" w:eastAsia="宋体" w:cs="宋体"/>
          <w:bCs w:val="0"/>
          <w:szCs w:val="24"/>
        </w:rPr>
        <w:t>7.1施工组织设计</w:t>
      </w:r>
      <w:r>
        <w:tab/>
      </w:r>
      <w:r>
        <w:fldChar w:fldCharType="begin"/>
      </w:r>
      <w:r>
        <w:instrText xml:space="preserve"> PAGEREF _Toc28037 \h </w:instrText>
      </w:r>
      <w:r>
        <w:fldChar w:fldCharType="separate"/>
      </w:r>
      <w:r>
        <w:t>50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_Toc12157 </w:instrText>
      </w:r>
      <w:r>
        <w:rPr>
          <w:szCs w:val="24"/>
        </w:rPr>
        <w:fldChar w:fldCharType="separate"/>
      </w:r>
      <w:r>
        <w:rPr>
          <w:rFonts w:hint="eastAsia" w:ascii="宋体" w:hAnsi="宋体" w:eastAsia="宋体" w:cs="宋体"/>
          <w:bCs w:val="0"/>
          <w:szCs w:val="24"/>
        </w:rPr>
        <w:t>7.2 施工进度计划</w:t>
      </w:r>
      <w:r>
        <w:tab/>
      </w:r>
      <w:r>
        <w:fldChar w:fldCharType="begin"/>
      </w:r>
      <w:r>
        <w:instrText xml:space="preserve"> PAGEREF _Toc12157 \h </w:instrText>
      </w:r>
      <w:r>
        <w:fldChar w:fldCharType="separate"/>
      </w:r>
      <w:r>
        <w:t>51</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_Toc7177 </w:instrText>
      </w:r>
      <w:r>
        <w:rPr>
          <w:szCs w:val="24"/>
        </w:rPr>
        <w:fldChar w:fldCharType="separate"/>
      </w:r>
      <w:r>
        <w:rPr>
          <w:rFonts w:hint="eastAsia" w:ascii="宋体" w:hAnsi="宋体" w:eastAsia="宋体" w:cs="宋体"/>
          <w:bCs w:val="0"/>
          <w:szCs w:val="24"/>
        </w:rPr>
        <w:t>7.3 开工</w:t>
      </w:r>
      <w:r>
        <w:tab/>
      </w:r>
      <w:r>
        <w:fldChar w:fldCharType="begin"/>
      </w:r>
      <w:r>
        <w:instrText xml:space="preserve"> PAGEREF _Toc7177 \h </w:instrText>
      </w:r>
      <w:r>
        <w:fldChar w:fldCharType="separate"/>
      </w:r>
      <w:r>
        <w:t>51</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_Toc23228 </w:instrText>
      </w:r>
      <w:r>
        <w:rPr>
          <w:szCs w:val="24"/>
        </w:rPr>
        <w:fldChar w:fldCharType="separate"/>
      </w:r>
      <w:r>
        <w:rPr>
          <w:rFonts w:hint="eastAsia" w:ascii="宋体" w:hAnsi="宋体" w:eastAsia="宋体" w:cs="宋体"/>
          <w:bCs w:val="0"/>
          <w:szCs w:val="24"/>
        </w:rPr>
        <w:t>7.4测量放线</w:t>
      </w:r>
      <w:r>
        <w:tab/>
      </w:r>
      <w:r>
        <w:fldChar w:fldCharType="begin"/>
      </w:r>
      <w:r>
        <w:instrText xml:space="preserve"> PAGEREF _Toc23228 \h </w:instrText>
      </w:r>
      <w:r>
        <w:fldChar w:fldCharType="separate"/>
      </w:r>
      <w:r>
        <w:t>51</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_Toc32399 </w:instrText>
      </w:r>
      <w:r>
        <w:rPr>
          <w:szCs w:val="24"/>
        </w:rPr>
        <w:fldChar w:fldCharType="separate"/>
      </w:r>
      <w:r>
        <w:rPr>
          <w:rFonts w:hint="eastAsia" w:ascii="宋体" w:hAnsi="宋体" w:eastAsia="宋体" w:cs="宋体"/>
          <w:bCs w:val="0"/>
          <w:szCs w:val="24"/>
        </w:rPr>
        <w:t>7.5 工期延误</w:t>
      </w:r>
      <w:r>
        <w:tab/>
      </w:r>
      <w:r>
        <w:fldChar w:fldCharType="begin"/>
      </w:r>
      <w:r>
        <w:instrText xml:space="preserve"> PAGEREF _Toc32399 \h </w:instrText>
      </w:r>
      <w:r>
        <w:fldChar w:fldCharType="separate"/>
      </w:r>
      <w:r>
        <w:t>52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_Toc27776 </w:instrText>
      </w:r>
      <w:r>
        <w:rPr>
          <w:szCs w:val="24"/>
        </w:rPr>
        <w:fldChar w:fldCharType="separate"/>
      </w:r>
      <w:r>
        <w:rPr>
          <w:rFonts w:hint="eastAsia" w:ascii="宋体" w:hAnsi="宋体" w:eastAsia="宋体" w:cs="宋体"/>
          <w:bCs w:val="0"/>
          <w:szCs w:val="24"/>
        </w:rPr>
        <w:t>7.6 不利物质条件</w:t>
      </w:r>
      <w:r>
        <w:tab/>
      </w:r>
      <w:r>
        <w:fldChar w:fldCharType="begin"/>
      </w:r>
      <w:r>
        <w:instrText xml:space="preserve"> PAGEREF _Toc27776 \h </w:instrText>
      </w:r>
      <w:r>
        <w:fldChar w:fldCharType="separate"/>
      </w:r>
      <w:r>
        <w:t>52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_Toc27359 </w:instrText>
      </w:r>
      <w:r>
        <w:rPr>
          <w:szCs w:val="24"/>
        </w:rPr>
        <w:fldChar w:fldCharType="separate"/>
      </w:r>
      <w:r>
        <w:rPr>
          <w:rFonts w:hint="eastAsia" w:ascii="宋体" w:hAnsi="宋体" w:eastAsia="宋体" w:cs="宋体"/>
          <w:bCs w:val="0"/>
          <w:szCs w:val="24"/>
        </w:rPr>
        <w:t>7.7 异常恶劣的气候条件</w:t>
      </w:r>
      <w:r>
        <w:tab/>
      </w:r>
      <w:r>
        <w:fldChar w:fldCharType="begin"/>
      </w:r>
      <w:r>
        <w:instrText xml:space="preserve"> PAGEREF _Toc27359 \h </w:instrText>
      </w:r>
      <w:r>
        <w:fldChar w:fldCharType="separate"/>
      </w:r>
      <w:r>
        <w:t>52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_Toc23007 </w:instrText>
      </w:r>
      <w:r>
        <w:rPr>
          <w:szCs w:val="24"/>
        </w:rPr>
        <w:fldChar w:fldCharType="separate"/>
      </w:r>
      <w:r>
        <w:rPr>
          <w:rFonts w:hint="eastAsia" w:ascii="宋体" w:hAnsi="宋体" w:eastAsia="宋体" w:cs="宋体"/>
          <w:bCs w:val="0"/>
          <w:szCs w:val="24"/>
        </w:rPr>
        <w:t>7.8 暂停施工</w:t>
      </w:r>
      <w:r>
        <w:tab/>
      </w:r>
      <w:r>
        <w:fldChar w:fldCharType="begin"/>
      </w:r>
      <w:r>
        <w:instrText xml:space="preserve"> PAGEREF _Toc23007 \h </w:instrText>
      </w:r>
      <w:r>
        <w:fldChar w:fldCharType="separate"/>
      </w:r>
      <w:r>
        <w:t>53</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_Toc18039 </w:instrText>
      </w:r>
      <w:r>
        <w:rPr>
          <w:szCs w:val="24"/>
        </w:rPr>
        <w:fldChar w:fldCharType="separate"/>
      </w:r>
      <w:r>
        <w:rPr>
          <w:rFonts w:hint="eastAsia" w:ascii="宋体" w:hAnsi="宋体" w:eastAsia="宋体" w:cs="宋体"/>
          <w:bCs w:val="0"/>
          <w:szCs w:val="24"/>
        </w:rPr>
        <w:t>7.9提前竣工</w:t>
      </w:r>
      <w:r>
        <w:tab/>
      </w:r>
      <w:r>
        <w:fldChar w:fldCharType="begin"/>
      </w:r>
      <w:r>
        <w:instrText xml:space="preserve"> PAGEREF _Toc18039 \h </w:instrText>
      </w:r>
      <w:r>
        <w:fldChar w:fldCharType="separate"/>
      </w:r>
      <w:r>
        <w:t>54</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_Toc11286 </w:instrText>
      </w:r>
      <w:r>
        <w:rPr>
          <w:szCs w:val="24"/>
        </w:rPr>
        <w:fldChar w:fldCharType="separate"/>
      </w:r>
      <w:r>
        <w:rPr>
          <w:rFonts w:hint="eastAsia" w:ascii="宋体" w:hAnsi="宋体" w:eastAsia="宋体" w:cs="宋体"/>
          <w:szCs w:val="24"/>
        </w:rPr>
        <w:t>8. 材料与设备</w:t>
      </w:r>
      <w:r>
        <w:tab/>
      </w:r>
      <w:r>
        <w:fldChar w:fldCharType="begin"/>
      </w:r>
      <w:r>
        <w:instrText xml:space="preserve"> PAGEREF _Toc11286 \h </w:instrText>
      </w:r>
      <w:r>
        <w:fldChar w:fldCharType="separate"/>
      </w:r>
      <w:r>
        <w:t>54</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_Toc12404 </w:instrText>
      </w:r>
      <w:r>
        <w:rPr>
          <w:szCs w:val="24"/>
        </w:rPr>
        <w:fldChar w:fldCharType="separate"/>
      </w:r>
      <w:r>
        <w:rPr>
          <w:rFonts w:hint="eastAsia" w:ascii="宋体" w:hAnsi="宋体" w:eastAsia="宋体" w:cs="宋体"/>
          <w:bCs w:val="0"/>
          <w:szCs w:val="24"/>
        </w:rPr>
        <w:t>8.1发包人供应材料与工程设备</w:t>
      </w:r>
      <w:r>
        <w:tab/>
      </w:r>
      <w:r>
        <w:fldChar w:fldCharType="begin"/>
      </w:r>
      <w:r>
        <w:instrText xml:space="preserve"> PAGEREF _Toc12404 \h </w:instrText>
      </w:r>
      <w:r>
        <w:fldChar w:fldCharType="separate"/>
      </w:r>
      <w:r>
        <w:t>54</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_Toc7514 </w:instrText>
      </w:r>
      <w:r>
        <w:rPr>
          <w:szCs w:val="24"/>
        </w:rPr>
        <w:fldChar w:fldCharType="separate"/>
      </w:r>
      <w:r>
        <w:rPr>
          <w:rFonts w:hint="eastAsia" w:ascii="宋体" w:hAnsi="宋体" w:eastAsia="宋体" w:cs="宋体"/>
          <w:bCs w:val="0"/>
          <w:szCs w:val="24"/>
        </w:rPr>
        <w:t>8.2承包人采购材料与工程设备</w:t>
      </w:r>
      <w:r>
        <w:tab/>
      </w:r>
      <w:r>
        <w:fldChar w:fldCharType="begin"/>
      </w:r>
      <w:r>
        <w:instrText xml:space="preserve"> PAGEREF _Toc7514 \h </w:instrText>
      </w:r>
      <w:r>
        <w:fldChar w:fldCharType="separate"/>
      </w:r>
      <w:r>
        <w:t>54</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_Toc23449 </w:instrText>
      </w:r>
      <w:r>
        <w:rPr>
          <w:szCs w:val="24"/>
        </w:rPr>
        <w:fldChar w:fldCharType="separate"/>
      </w:r>
      <w:r>
        <w:rPr>
          <w:rFonts w:hint="eastAsia" w:ascii="宋体" w:hAnsi="宋体" w:eastAsia="宋体" w:cs="宋体"/>
          <w:bCs w:val="0"/>
          <w:szCs w:val="24"/>
        </w:rPr>
        <w:t>8.3材料与工程设备的接收与拒收</w:t>
      </w:r>
      <w:r>
        <w:tab/>
      </w:r>
      <w:r>
        <w:fldChar w:fldCharType="begin"/>
      </w:r>
      <w:r>
        <w:instrText xml:space="preserve"> PAGEREF _Toc23449 \h </w:instrText>
      </w:r>
      <w:r>
        <w:fldChar w:fldCharType="separate"/>
      </w:r>
      <w:r>
        <w:t>55</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_Toc31034 </w:instrText>
      </w:r>
      <w:r>
        <w:rPr>
          <w:szCs w:val="24"/>
        </w:rPr>
        <w:fldChar w:fldCharType="separate"/>
      </w:r>
      <w:r>
        <w:rPr>
          <w:rFonts w:hint="eastAsia" w:ascii="宋体" w:hAnsi="宋体" w:eastAsia="宋体" w:cs="宋体"/>
          <w:bCs w:val="0"/>
          <w:szCs w:val="24"/>
        </w:rPr>
        <w:t>8.4材料与工程设备的保管与使用</w:t>
      </w:r>
      <w:r>
        <w:tab/>
      </w:r>
      <w:r>
        <w:fldChar w:fldCharType="begin"/>
      </w:r>
      <w:r>
        <w:instrText xml:space="preserve"> PAGEREF _Toc31034 \h </w:instrText>
      </w:r>
      <w:r>
        <w:fldChar w:fldCharType="separate"/>
      </w:r>
      <w:r>
        <w:t>55</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_Toc8615 </w:instrText>
      </w:r>
      <w:r>
        <w:rPr>
          <w:szCs w:val="24"/>
        </w:rPr>
        <w:fldChar w:fldCharType="separate"/>
      </w:r>
      <w:r>
        <w:rPr>
          <w:rFonts w:hint="eastAsia" w:ascii="宋体" w:hAnsi="宋体" w:eastAsia="宋体" w:cs="宋体"/>
          <w:bCs w:val="0"/>
          <w:szCs w:val="24"/>
        </w:rPr>
        <w:t>8.5禁止使用不合格的材料和工程设备</w:t>
      </w:r>
      <w:r>
        <w:tab/>
      </w:r>
      <w:r>
        <w:fldChar w:fldCharType="begin"/>
      </w:r>
      <w:r>
        <w:instrText xml:space="preserve"> PAGEREF _Toc8615 \h </w:instrText>
      </w:r>
      <w:r>
        <w:fldChar w:fldCharType="separate"/>
      </w:r>
      <w:r>
        <w:t>55</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_Toc17697 </w:instrText>
      </w:r>
      <w:r>
        <w:rPr>
          <w:szCs w:val="24"/>
        </w:rPr>
        <w:fldChar w:fldCharType="separate"/>
      </w:r>
      <w:r>
        <w:rPr>
          <w:rFonts w:hint="eastAsia" w:ascii="宋体" w:hAnsi="宋体" w:eastAsia="宋体" w:cs="宋体"/>
          <w:bCs w:val="0"/>
          <w:szCs w:val="24"/>
        </w:rPr>
        <w:t>8.6 样品</w:t>
      </w:r>
      <w:r>
        <w:tab/>
      </w:r>
      <w:r>
        <w:fldChar w:fldCharType="begin"/>
      </w:r>
      <w:r>
        <w:instrText xml:space="preserve"> PAGEREF _Toc17697 \h </w:instrText>
      </w:r>
      <w:r>
        <w:fldChar w:fldCharType="separate"/>
      </w:r>
      <w:r>
        <w:t>56</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_Toc25191 </w:instrText>
      </w:r>
      <w:r>
        <w:rPr>
          <w:szCs w:val="24"/>
        </w:rPr>
        <w:fldChar w:fldCharType="separate"/>
      </w:r>
      <w:r>
        <w:rPr>
          <w:rFonts w:hint="eastAsia" w:ascii="宋体" w:hAnsi="宋体" w:eastAsia="宋体" w:cs="宋体"/>
          <w:bCs w:val="0"/>
          <w:szCs w:val="24"/>
        </w:rPr>
        <w:t>8.7材料与工程设备的替代</w:t>
      </w:r>
      <w:r>
        <w:tab/>
      </w:r>
      <w:r>
        <w:fldChar w:fldCharType="begin"/>
      </w:r>
      <w:r>
        <w:instrText xml:space="preserve"> PAGEREF _Toc25191 \h </w:instrText>
      </w:r>
      <w:r>
        <w:fldChar w:fldCharType="separate"/>
      </w:r>
      <w:r>
        <w:t>56</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_Toc6569 </w:instrText>
      </w:r>
      <w:r>
        <w:rPr>
          <w:szCs w:val="24"/>
        </w:rPr>
        <w:fldChar w:fldCharType="separate"/>
      </w:r>
      <w:r>
        <w:rPr>
          <w:rFonts w:hint="eastAsia" w:ascii="宋体" w:hAnsi="宋体" w:eastAsia="宋体" w:cs="宋体"/>
          <w:bCs w:val="0"/>
          <w:szCs w:val="24"/>
        </w:rPr>
        <w:t>8.8施工设备和临时设施</w:t>
      </w:r>
      <w:r>
        <w:tab/>
      </w:r>
      <w:r>
        <w:fldChar w:fldCharType="begin"/>
      </w:r>
      <w:r>
        <w:instrText xml:space="preserve"> PAGEREF _Toc6569 \h </w:instrText>
      </w:r>
      <w:r>
        <w:fldChar w:fldCharType="separate"/>
      </w:r>
      <w:r>
        <w:t>57</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_Toc5141 </w:instrText>
      </w:r>
      <w:r>
        <w:rPr>
          <w:szCs w:val="24"/>
        </w:rPr>
        <w:fldChar w:fldCharType="separate"/>
      </w:r>
      <w:r>
        <w:rPr>
          <w:rFonts w:hint="eastAsia" w:ascii="宋体" w:hAnsi="宋体" w:eastAsia="宋体" w:cs="宋体"/>
          <w:bCs w:val="0"/>
          <w:szCs w:val="24"/>
        </w:rPr>
        <w:t>8.9材料与设备专用要求</w:t>
      </w:r>
      <w:r>
        <w:tab/>
      </w:r>
      <w:r>
        <w:fldChar w:fldCharType="begin"/>
      </w:r>
      <w:r>
        <w:instrText xml:space="preserve"> PAGEREF _Toc5141 \h </w:instrText>
      </w:r>
      <w:r>
        <w:fldChar w:fldCharType="separate"/>
      </w:r>
      <w:r>
        <w:t>57</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_Toc7147 </w:instrText>
      </w:r>
      <w:r>
        <w:rPr>
          <w:szCs w:val="24"/>
        </w:rPr>
        <w:fldChar w:fldCharType="separate"/>
      </w:r>
      <w:r>
        <w:rPr>
          <w:rFonts w:hint="eastAsia" w:ascii="宋体" w:hAnsi="宋体" w:eastAsia="宋体" w:cs="宋体"/>
          <w:szCs w:val="24"/>
        </w:rPr>
        <w:t>9. 试验与检验</w:t>
      </w:r>
      <w:r>
        <w:tab/>
      </w:r>
      <w:r>
        <w:fldChar w:fldCharType="begin"/>
      </w:r>
      <w:r>
        <w:instrText xml:space="preserve"> PAGEREF _Toc7147 \h </w:instrText>
      </w:r>
      <w:r>
        <w:fldChar w:fldCharType="separate"/>
      </w:r>
      <w:r>
        <w:t>57</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_Toc22539 </w:instrText>
      </w:r>
      <w:r>
        <w:rPr>
          <w:szCs w:val="24"/>
        </w:rPr>
        <w:fldChar w:fldCharType="separate"/>
      </w:r>
      <w:r>
        <w:rPr>
          <w:rFonts w:hint="eastAsia" w:ascii="宋体" w:hAnsi="宋体" w:eastAsia="宋体" w:cs="宋体"/>
          <w:bCs w:val="0"/>
          <w:szCs w:val="24"/>
        </w:rPr>
        <w:t>9.1试验设备与试验人员</w:t>
      </w:r>
      <w:r>
        <w:tab/>
      </w:r>
      <w:r>
        <w:fldChar w:fldCharType="begin"/>
      </w:r>
      <w:r>
        <w:instrText xml:space="preserve"> PAGEREF _Toc22539 \h </w:instrText>
      </w:r>
      <w:r>
        <w:fldChar w:fldCharType="separate"/>
      </w:r>
      <w:r>
        <w:t>57</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_Toc15857 </w:instrText>
      </w:r>
      <w:r>
        <w:rPr>
          <w:szCs w:val="24"/>
        </w:rPr>
        <w:fldChar w:fldCharType="separate"/>
      </w:r>
      <w:r>
        <w:rPr>
          <w:rFonts w:hint="eastAsia" w:ascii="宋体" w:hAnsi="宋体" w:eastAsia="宋体" w:cs="宋体"/>
          <w:bCs w:val="0"/>
          <w:szCs w:val="24"/>
        </w:rPr>
        <w:t>9.2取样</w:t>
      </w:r>
      <w:r>
        <w:tab/>
      </w:r>
      <w:r>
        <w:fldChar w:fldCharType="begin"/>
      </w:r>
      <w:r>
        <w:instrText xml:space="preserve"> PAGEREF _Toc15857 \h </w:instrText>
      </w:r>
      <w:r>
        <w:fldChar w:fldCharType="separate"/>
      </w:r>
      <w:r>
        <w:t>58</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_Toc15838 </w:instrText>
      </w:r>
      <w:r>
        <w:rPr>
          <w:szCs w:val="24"/>
        </w:rPr>
        <w:fldChar w:fldCharType="separate"/>
      </w:r>
      <w:r>
        <w:rPr>
          <w:rFonts w:hint="eastAsia" w:ascii="宋体" w:hAnsi="宋体" w:eastAsia="宋体" w:cs="宋体"/>
          <w:bCs w:val="0"/>
          <w:szCs w:val="24"/>
        </w:rPr>
        <w:t>9.3材料、工程设备和工程的试验和检验</w:t>
      </w:r>
      <w:r>
        <w:tab/>
      </w:r>
      <w:r>
        <w:fldChar w:fldCharType="begin"/>
      </w:r>
      <w:r>
        <w:instrText xml:space="preserve"> PAGEREF _Toc15838 \h </w:instrText>
      </w:r>
      <w:r>
        <w:fldChar w:fldCharType="separate"/>
      </w:r>
      <w:r>
        <w:t>58</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_Toc26599 </w:instrText>
      </w:r>
      <w:r>
        <w:rPr>
          <w:szCs w:val="24"/>
        </w:rPr>
        <w:fldChar w:fldCharType="separate"/>
      </w:r>
      <w:r>
        <w:rPr>
          <w:rFonts w:hint="eastAsia" w:ascii="宋体" w:hAnsi="宋体" w:eastAsia="宋体" w:cs="宋体"/>
          <w:bCs w:val="0"/>
          <w:szCs w:val="24"/>
        </w:rPr>
        <w:t>9.4现场工艺试验</w:t>
      </w:r>
      <w:r>
        <w:tab/>
      </w:r>
      <w:r>
        <w:fldChar w:fldCharType="begin"/>
      </w:r>
      <w:r>
        <w:instrText xml:space="preserve"> PAGEREF _Toc26599 \h </w:instrText>
      </w:r>
      <w:r>
        <w:fldChar w:fldCharType="separate"/>
      </w:r>
      <w:r>
        <w:t>58</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_Toc28750 </w:instrText>
      </w:r>
      <w:r>
        <w:rPr>
          <w:szCs w:val="24"/>
        </w:rPr>
        <w:fldChar w:fldCharType="separate"/>
      </w:r>
      <w:r>
        <w:rPr>
          <w:rFonts w:hint="eastAsia" w:ascii="宋体" w:hAnsi="宋体" w:eastAsia="宋体" w:cs="宋体"/>
          <w:szCs w:val="24"/>
        </w:rPr>
        <w:t>10. 变更</w:t>
      </w:r>
      <w:r>
        <w:tab/>
      </w:r>
      <w:r>
        <w:fldChar w:fldCharType="begin"/>
      </w:r>
      <w:r>
        <w:instrText xml:space="preserve"> PAGEREF _Toc28750 \h </w:instrText>
      </w:r>
      <w:r>
        <w:fldChar w:fldCharType="separate"/>
      </w:r>
      <w:r>
        <w:t>58</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_Toc30667 </w:instrText>
      </w:r>
      <w:r>
        <w:rPr>
          <w:szCs w:val="24"/>
        </w:rPr>
        <w:fldChar w:fldCharType="separate"/>
      </w:r>
      <w:r>
        <w:rPr>
          <w:rFonts w:hint="eastAsia" w:ascii="宋体" w:hAnsi="宋体" w:eastAsia="宋体" w:cs="宋体"/>
          <w:bCs w:val="0"/>
          <w:szCs w:val="24"/>
        </w:rPr>
        <w:t>10.1变更的范围</w:t>
      </w:r>
      <w:r>
        <w:tab/>
      </w:r>
      <w:r>
        <w:fldChar w:fldCharType="begin"/>
      </w:r>
      <w:r>
        <w:instrText xml:space="preserve"> PAGEREF _Toc30667 \h </w:instrText>
      </w:r>
      <w:r>
        <w:fldChar w:fldCharType="separate"/>
      </w:r>
      <w:r>
        <w:t>58</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_Toc8877 </w:instrText>
      </w:r>
      <w:r>
        <w:rPr>
          <w:szCs w:val="24"/>
        </w:rPr>
        <w:fldChar w:fldCharType="separate"/>
      </w:r>
      <w:r>
        <w:rPr>
          <w:rFonts w:hint="eastAsia" w:ascii="宋体" w:hAnsi="宋体" w:eastAsia="宋体" w:cs="宋体"/>
          <w:bCs w:val="0"/>
          <w:szCs w:val="24"/>
        </w:rPr>
        <w:t>10.2变更权</w:t>
      </w:r>
      <w:r>
        <w:tab/>
      </w:r>
      <w:r>
        <w:fldChar w:fldCharType="begin"/>
      </w:r>
      <w:r>
        <w:instrText xml:space="preserve"> PAGEREF _Toc8877 \h </w:instrText>
      </w:r>
      <w:r>
        <w:fldChar w:fldCharType="separate"/>
      </w:r>
      <w:r>
        <w:t>59</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_Toc13226 </w:instrText>
      </w:r>
      <w:r>
        <w:rPr>
          <w:szCs w:val="24"/>
        </w:rPr>
        <w:fldChar w:fldCharType="separate"/>
      </w:r>
      <w:r>
        <w:rPr>
          <w:rFonts w:hint="eastAsia" w:ascii="宋体" w:hAnsi="宋体" w:eastAsia="宋体" w:cs="宋体"/>
          <w:bCs w:val="0"/>
          <w:szCs w:val="24"/>
        </w:rPr>
        <w:t>10.3变更程序</w:t>
      </w:r>
      <w:r>
        <w:tab/>
      </w:r>
      <w:r>
        <w:fldChar w:fldCharType="begin"/>
      </w:r>
      <w:r>
        <w:instrText xml:space="preserve"> PAGEREF _Toc13226 \h </w:instrText>
      </w:r>
      <w:r>
        <w:fldChar w:fldCharType="separate"/>
      </w:r>
      <w:r>
        <w:t>59</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_Toc2744 </w:instrText>
      </w:r>
      <w:r>
        <w:rPr>
          <w:szCs w:val="24"/>
        </w:rPr>
        <w:fldChar w:fldCharType="separate"/>
      </w:r>
      <w:r>
        <w:rPr>
          <w:rFonts w:hint="eastAsia" w:ascii="宋体" w:hAnsi="宋体" w:eastAsia="宋体" w:cs="宋体"/>
          <w:bCs w:val="0"/>
          <w:szCs w:val="24"/>
        </w:rPr>
        <w:t>10.4变更估价</w:t>
      </w:r>
      <w:r>
        <w:tab/>
      </w:r>
      <w:r>
        <w:fldChar w:fldCharType="begin"/>
      </w:r>
      <w:r>
        <w:instrText xml:space="preserve"> PAGEREF _Toc2744 \h </w:instrText>
      </w:r>
      <w:r>
        <w:fldChar w:fldCharType="separate"/>
      </w:r>
      <w:r>
        <w:t>59</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_Toc27306 </w:instrText>
      </w:r>
      <w:r>
        <w:rPr>
          <w:szCs w:val="24"/>
        </w:rPr>
        <w:fldChar w:fldCharType="separate"/>
      </w:r>
      <w:r>
        <w:rPr>
          <w:rFonts w:hint="eastAsia" w:ascii="宋体" w:hAnsi="宋体" w:eastAsia="宋体" w:cs="宋体"/>
          <w:bCs w:val="0"/>
          <w:szCs w:val="24"/>
        </w:rPr>
        <w:t>10.5承包人的合理化建议</w:t>
      </w:r>
      <w:r>
        <w:tab/>
      </w:r>
      <w:r>
        <w:fldChar w:fldCharType="begin"/>
      </w:r>
      <w:r>
        <w:instrText xml:space="preserve"> PAGEREF _Toc27306 \h </w:instrText>
      </w:r>
      <w:r>
        <w:fldChar w:fldCharType="separate"/>
      </w:r>
      <w:r>
        <w:t>60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_Toc20978 </w:instrText>
      </w:r>
      <w:r>
        <w:rPr>
          <w:szCs w:val="24"/>
        </w:rPr>
        <w:fldChar w:fldCharType="separate"/>
      </w:r>
      <w:r>
        <w:rPr>
          <w:rFonts w:hint="eastAsia" w:ascii="宋体" w:hAnsi="宋体" w:eastAsia="宋体" w:cs="宋体"/>
          <w:bCs w:val="0"/>
          <w:szCs w:val="24"/>
        </w:rPr>
        <w:t>10.6变更引起的工期调整</w:t>
      </w:r>
      <w:r>
        <w:tab/>
      </w:r>
      <w:r>
        <w:fldChar w:fldCharType="begin"/>
      </w:r>
      <w:r>
        <w:instrText xml:space="preserve"> PAGEREF _Toc20978 \h </w:instrText>
      </w:r>
      <w:r>
        <w:fldChar w:fldCharType="separate"/>
      </w:r>
      <w:r>
        <w:t>60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_Toc9068 </w:instrText>
      </w:r>
      <w:r>
        <w:rPr>
          <w:szCs w:val="24"/>
        </w:rPr>
        <w:fldChar w:fldCharType="separate"/>
      </w:r>
      <w:r>
        <w:rPr>
          <w:rFonts w:hint="eastAsia" w:ascii="宋体" w:hAnsi="宋体" w:eastAsia="宋体" w:cs="宋体"/>
          <w:bCs w:val="0"/>
          <w:szCs w:val="24"/>
        </w:rPr>
        <w:t>10.7暂估价</w:t>
      </w:r>
      <w:r>
        <w:tab/>
      </w:r>
      <w:r>
        <w:fldChar w:fldCharType="begin"/>
      </w:r>
      <w:r>
        <w:instrText xml:space="preserve"> PAGEREF _Toc9068 \h </w:instrText>
      </w:r>
      <w:r>
        <w:fldChar w:fldCharType="separate"/>
      </w:r>
      <w:r>
        <w:t>60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_Toc760 </w:instrText>
      </w:r>
      <w:r>
        <w:rPr>
          <w:szCs w:val="24"/>
        </w:rPr>
        <w:fldChar w:fldCharType="separate"/>
      </w:r>
      <w:r>
        <w:rPr>
          <w:rFonts w:hint="eastAsia" w:ascii="宋体" w:hAnsi="宋体" w:eastAsia="宋体" w:cs="宋体"/>
          <w:bCs w:val="0"/>
          <w:szCs w:val="24"/>
        </w:rPr>
        <w:t>10.8暂列金额</w:t>
      </w:r>
      <w:r>
        <w:tab/>
      </w:r>
      <w:r>
        <w:fldChar w:fldCharType="begin"/>
      </w:r>
      <w:r>
        <w:instrText xml:space="preserve"> PAGEREF _Toc760 \h </w:instrText>
      </w:r>
      <w:r>
        <w:fldChar w:fldCharType="separate"/>
      </w:r>
      <w:r>
        <w:t>61</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_Toc27284 </w:instrText>
      </w:r>
      <w:r>
        <w:rPr>
          <w:szCs w:val="24"/>
        </w:rPr>
        <w:fldChar w:fldCharType="separate"/>
      </w:r>
      <w:r>
        <w:rPr>
          <w:rFonts w:hint="eastAsia" w:ascii="宋体" w:hAnsi="宋体" w:eastAsia="宋体" w:cs="宋体"/>
          <w:bCs w:val="0"/>
          <w:szCs w:val="24"/>
        </w:rPr>
        <w:t>10.9计日工</w:t>
      </w:r>
      <w:r>
        <w:tab/>
      </w:r>
      <w:r>
        <w:fldChar w:fldCharType="begin"/>
      </w:r>
      <w:r>
        <w:instrText xml:space="preserve"> PAGEREF _Toc27284 \h </w:instrText>
      </w:r>
      <w:r>
        <w:fldChar w:fldCharType="separate"/>
      </w:r>
      <w:r>
        <w:t>61</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_Toc23154 </w:instrText>
      </w:r>
      <w:r>
        <w:rPr>
          <w:szCs w:val="24"/>
        </w:rPr>
        <w:fldChar w:fldCharType="separate"/>
      </w:r>
      <w:r>
        <w:rPr>
          <w:rFonts w:hint="eastAsia" w:ascii="宋体" w:hAnsi="宋体" w:eastAsia="宋体" w:cs="宋体"/>
          <w:szCs w:val="24"/>
        </w:rPr>
        <w:t>11. 价格调整</w:t>
      </w:r>
      <w:r>
        <w:tab/>
      </w:r>
      <w:r>
        <w:fldChar w:fldCharType="begin"/>
      </w:r>
      <w:r>
        <w:instrText xml:space="preserve"> PAGEREF _Toc23154 \h </w:instrText>
      </w:r>
      <w:r>
        <w:fldChar w:fldCharType="separate"/>
      </w:r>
      <w:r>
        <w:t>62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_Toc10869 </w:instrText>
      </w:r>
      <w:r>
        <w:rPr>
          <w:szCs w:val="24"/>
        </w:rPr>
        <w:fldChar w:fldCharType="separate"/>
      </w:r>
      <w:r>
        <w:rPr>
          <w:rFonts w:hint="eastAsia" w:ascii="宋体" w:hAnsi="宋体" w:eastAsia="宋体" w:cs="宋体"/>
          <w:bCs w:val="0"/>
          <w:szCs w:val="24"/>
        </w:rPr>
        <w:t>11.1市场价格波动引起的调整</w:t>
      </w:r>
      <w:r>
        <w:tab/>
      </w:r>
      <w:r>
        <w:fldChar w:fldCharType="begin"/>
      </w:r>
      <w:r>
        <w:instrText xml:space="preserve"> PAGEREF _Toc10869 \h </w:instrText>
      </w:r>
      <w:r>
        <w:fldChar w:fldCharType="separate"/>
      </w:r>
      <w:r>
        <w:t>62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_Toc24711 </w:instrText>
      </w:r>
      <w:r>
        <w:rPr>
          <w:szCs w:val="24"/>
        </w:rPr>
        <w:fldChar w:fldCharType="separate"/>
      </w:r>
      <w:r>
        <w:rPr>
          <w:rFonts w:hint="eastAsia" w:ascii="宋体" w:hAnsi="宋体" w:eastAsia="宋体" w:cs="宋体"/>
          <w:bCs w:val="0"/>
          <w:szCs w:val="24"/>
        </w:rPr>
        <w:t>11.2法律变化引起的调整</w:t>
      </w:r>
      <w:r>
        <w:tab/>
      </w:r>
      <w:r>
        <w:fldChar w:fldCharType="begin"/>
      </w:r>
      <w:r>
        <w:instrText xml:space="preserve"> PAGEREF _Toc24711 \h </w:instrText>
      </w:r>
      <w:r>
        <w:fldChar w:fldCharType="separate"/>
      </w:r>
      <w:r>
        <w:t>64</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_Toc32049 </w:instrText>
      </w:r>
      <w:r>
        <w:rPr>
          <w:szCs w:val="24"/>
        </w:rPr>
        <w:fldChar w:fldCharType="separate"/>
      </w:r>
      <w:r>
        <w:rPr>
          <w:rFonts w:hint="eastAsia" w:ascii="宋体" w:hAnsi="宋体" w:eastAsia="宋体" w:cs="宋体"/>
          <w:szCs w:val="24"/>
        </w:rPr>
        <w:t>12. 合同价格、计量与支付</w:t>
      </w:r>
      <w:r>
        <w:tab/>
      </w:r>
      <w:r>
        <w:fldChar w:fldCharType="begin"/>
      </w:r>
      <w:r>
        <w:instrText xml:space="preserve"> PAGEREF _Toc32049 \h </w:instrText>
      </w:r>
      <w:r>
        <w:fldChar w:fldCharType="separate"/>
      </w:r>
      <w:r>
        <w:t>64</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_Toc5890 </w:instrText>
      </w:r>
      <w:r>
        <w:rPr>
          <w:szCs w:val="24"/>
        </w:rPr>
        <w:fldChar w:fldCharType="separate"/>
      </w:r>
      <w:r>
        <w:rPr>
          <w:rFonts w:hint="eastAsia" w:ascii="宋体" w:hAnsi="宋体" w:eastAsia="宋体" w:cs="宋体"/>
          <w:bCs w:val="0"/>
          <w:szCs w:val="24"/>
        </w:rPr>
        <w:t>12.1 合同价格形式</w:t>
      </w:r>
      <w:r>
        <w:tab/>
      </w:r>
      <w:r>
        <w:fldChar w:fldCharType="begin"/>
      </w:r>
      <w:r>
        <w:instrText xml:space="preserve"> PAGEREF _Toc5890 \h </w:instrText>
      </w:r>
      <w:r>
        <w:fldChar w:fldCharType="separate"/>
      </w:r>
      <w:r>
        <w:t>64</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_Toc13522 </w:instrText>
      </w:r>
      <w:r>
        <w:rPr>
          <w:szCs w:val="24"/>
        </w:rPr>
        <w:fldChar w:fldCharType="separate"/>
      </w:r>
      <w:r>
        <w:rPr>
          <w:rFonts w:hint="eastAsia" w:ascii="宋体" w:hAnsi="宋体" w:eastAsia="宋体" w:cs="宋体"/>
          <w:bCs w:val="0"/>
          <w:szCs w:val="24"/>
        </w:rPr>
        <w:t>12.2预付款</w:t>
      </w:r>
      <w:r>
        <w:tab/>
      </w:r>
      <w:r>
        <w:fldChar w:fldCharType="begin"/>
      </w:r>
      <w:r>
        <w:instrText xml:space="preserve"> PAGEREF _Toc13522 \h </w:instrText>
      </w:r>
      <w:r>
        <w:fldChar w:fldCharType="separate"/>
      </w:r>
      <w:r>
        <w:t>65</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_Toc10633 </w:instrText>
      </w:r>
      <w:r>
        <w:rPr>
          <w:szCs w:val="24"/>
        </w:rPr>
        <w:fldChar w:fldCharType="separate"/>
      </w:r>
      <w:r>
        <w:rPr>
          <w:rFonts w:hint="eastAsia" w:ascii="宋体" w:hAnsi="宋体" w:eastAsia="宋体" w:cs="宋体"/>
          <w:bCs w:val="0"/>
          <w:szCs w:val="24"/>
        </w:rPr>
        <w:t>12.3计量</w:t>
      </w:r>
      <w:r>
        <w:tab/>
      </w:r>
      <w:r>
        <w:fldChar w:fldCharType="begin"/>
      </w:r>
      <w:r>
        <w:instrText xml:space="preserve"> PAGEREF _Toc10633 \h </w:instrText>
      </w:r>
      <w:r>
        <w:fldChar w:fldCharType="separate"/>
      </w:r>
      <w:r>
        <w:t>65</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_Toc28962 </w:instrText>
      </w:r>
      <w:r>
        <w:rPr>
          <w:szCs w:val="24"/>
        </w:rPr>
        <w:fldChar w:fldCharType="separate"/>
      </w:r>
      <w:r>
        <w:rPr>
          <w:rFonts w:hint="eastAsia" w:ascii="宋体" w:hAnsi="宋体" w:eastAsia="宋体" w:cs="宋体"/>
          <w:bCs w:val="0"/>
          <w:szCs w:val="24"/>
        </w:rPr>
        <w:t>12.4工程进度款支付</w:t>
      </w:r>
      <w:r>
        <w:tab/>
      </w:r>
      <w:r>
        <w:fldChar w:fldCharType="begin"/>
      </w:r>
      <w:r>
        <w:instrText xml:space="preserve"> PAGEREF _Toc28962 \h </w:instrText>
      </w:r>
      <w:r>
        <w:fldChar w:fldCharType="separate"/>
      </w:r>
      <w:r>
        <w:t>66</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_Toc14479 </w:instrText>
      </w:r>
      <w:r>
        <w:rPr>
          <w:szCs w:val="24"/>
        </w:rPr>
        <w:fldChar w:fldCharType="separate"/>
      </w:r>
      <w:r>
        <w:rPr>
          <w:rFonts w:hint="eastAsia" w:ascii="宋体" w:hAnsi="宋体" w:eastAsia="宋体" w:cs="宋体"/>
          <w:bCs w:val="0"/>
          <w:szCs w:val="24"/>
        </w:rPr>
        <w:t>12.5支付账户</w:t>
      </w:r>
      <w:r>
        <w:tab/>
      </w:r>
      <w:r>
        <w:fldChar w:fldCharType="begin"/>
      </w:r>
      <w:r>
        <w:instrText xml:space="preserve"> PAGEREF _Toc14479 \h </w:instrText>
      </w:r>
      <w:r>
        <w:fldChar w:fldCharType="separate"/>
      </w:r>
      <w:r>
        <w:t>68</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_Toc6476 </w:instrText>
      </w:r>
      <w:r>
        <w:rPr>
          <w:szCs w:val="24"/>
        </w:rPr>
        <w:fldChar w:fldCharType="separate"/>
      </w:r>
      <w:r>
        <w:rPr>
          <w:rFonts w:hint="eastAsia" w:ascii="宋体" w:hAnsi="宋体" w:eastAsia="宋体" w:cs="宋体"/>
          <w:szCs w:val="24"/>
        </w:rPr>
        <w:t>13. 验收和工程试车</w:t>
      </w:r>
      <w:r>
        <w:tab/>
      </w:r>
      <w:r>
        <w:fldChar w:fldCharType="begin"/>
      </w:r>
      <w:r>
        <w:instrText xml:space="preserve"> PAGEREF _Toc6476 \h </w:instrText>
      </w:r>
      <w:r>
        <w:fldChar w:fldCharType="separate"/>
      </w:r>
      <w:r>
        <w:t>68</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_Toc23796 </w:instrText>
      </w:r>
      <w:r>
        <w:rPr>
          <w:szCs w:val="24"/>
        </w:rPr>
        <w:fldChar w:fldCharType="separate"/>
      </w:r>
      <w:r>
        <w:rPr>
          <w:rFonts w:hint="eastAsia" w:ascii="宋体" w:hAnsi="宋体" w:eastAsia="宋体" w:cs="宋体"/>
          <w:bCs w:val="0"/>
          <w:szCs w:val="24"/>
        </w:rPr>
        <w:t>13.1分部分项工程验收</w:t>
      </w:r>
      <w:r>
        <w:tab/>
      </w:r>
      <w:r>
        <w:fldChar w:fldCharType="begin"/>
      </w:r>
      <w:r>
        <w:instrText xml:space="preserve"> PAGEREF _Toc23796 \h </w:instrText>
      </w:r>
      <w:r>
        <w:fldChar w:fldCharType="separate"/>
      </w:r>
      <w:r>
        <w:t>68</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_Toc32659 </w:instrText>
      </w:r>
      <w:r>
        <w:rPr>
          <w:szCs w:val="24"/>
        </w:rPr>
        <w:fldChar w:fldCharType="separate"/>
      </w:r>
      <w:r>
        <w:rPr>
          <w:rFonts w:hint="eastAsia" w:ascii="宋体" w:hAnsi="宋体" w:eastAsia="宋体" w:cs="宋体"/>
          <w:bCs w:val="0"/>
          <w:szCs w:val="24"/>
        </w:rPr>
        <w:t>13.2竣工验收</w:t>
      </w:r>
      <w:r>
        <w:tab/>
      </w:r>
      <w:r>
        <w:fldChar w:fldCharType="begin"/>
      </w:r>
      <w:r>
        <w:instrText xml:space="preserve"> PAGEREF _Toc32659 \h </w:instrText>
      </w:r>
      <w:r>
        <w:fldChar w:fldCharType="separate"/>
      </w:r>
      <w:r>
        <w:t>68</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_Toc12642 </w:instrText>
      </w:r>
      <w:r>
        <w:rPr>
          <w:szCs w:val="24"/>
        </w:rPr>
        <w:fldChar w:fldCharType="separate"/>
      </w:r>
      <w:r>
        <w:rPr>
          <w:rFonts w:hint="eastAsia" w:ascii="宋体" w:hAnsi="宋体" w:eastAsia="宋体" w:cs="宋体"/>
          <w:bCs w:val="0"/>
          <w:szCs w:val="24"/>
        </w:rPr>
        <w:t>13.3工程试车</w:t>
      </w:r>
      <w:r>
        <w:tab/>
      </w:r>
      <w:r>
        <w:fldChar w:fldCharType="begin"/>
      </w:r>
      <w:r>
        <w:instrText xml:space="preserve"> PAGEREF _Toc12642 \h </w:instrText>
      </w:r>
      <w:r>
        <w:fldChar w:fldCharType="separate"/>
      </w:r>
      <w:r>
        <w:t>70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_Toc26523 </w:instrText>
      </w:r>
      <w:r>
        <w:rPr>
          <w:szCs w:val="24"/>
        </w:rPr>
        <w:fldChar w:fldCharType="separate"/>
      </w:r>
      <w:r>
        <w:rPr>
          <w:rFonts w:hint="eastAsia" w:ascii="宋体" w:hAnsi="宋体" w:eastAsia="宋体" w:cs="宋体"/>
          <w:bCs w:val="0"/>
          <w:szCs w:val="24"/>
        </w:rPr>
        <w:t>13.4提前交付单位工程的验收</w:t>
      </w:r>
      <w:r>
        <w:tab/>
      </w:r>
      <w:r>
        <w:fldChar w:fldCharType="begin"/>
      </w:r>
      <w:r>
        <w:instrText xml:space="preserve"> PAGEREF _Toc26523 \h </w:instrText>
      </w:r>
      <w:r>
        <w:fldChar w:fldCharType="separate"/>
      </w:r>
      <w:r>
        <w:t>70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_Toc22515 </w:instrText>
      </w:r>
      <w:r>
        <w:rPr>
          <w:szCs w:val="24"/>
        </w:rPr>
        <w:fldChar w:fldCharType="separate"/>
      </w:r>
      <w:r>
        <w:rPr>
          <w:rFonts w:hint="eastAsia" w:ascii="宋体" w:hAnsi="宋体" w:eastAsia="宋体" w:cs="宋体"/>
          <w:bCs w:val="0"/>
          <w:szCs w:val="24"/>
        </w:rPr>
        <w:t>13.5 施工期运行</w:t>
      </w:r>
      <w:r>
        <w:tab/>
      </w:r>
      <w:r>
        <w:fldChar w:fldCharType="begin"/>
      </w:r>
      <w:r>
        <w:instrText xml:space="preserve"> PAGEREF _Toc22515 \h </w:instrText>
      </w:r>
      <w:r>
        <w:fldChar w:fldCharType="separate"/>
      </w:r>
      <w:r>
        <w:t>71</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_Toc11284 </w:instrText>
      </w:r>
      <w:r>
        <w:rPr>
          <w:szCs w:val="24"/>
        </w:rPr>
        <w:fldChar w:fldCharType="separate"/>
      </w:r>
      <w:r>
        <w:rPr>
          <w:rFonts w:hint="eastAsia" w:ascii="宋体" w:hAnsi="宋体" w:eastAsia="宋体" w:cs="宋体"/>
          <w:bCs w:val="0"/>
          <w:szCs w:val="24"/>
        </w:rPr>
        <w:t>13.6 竣工退场</w:t>
      </w:r>
      <w:r>
        <w:tab/>
      </w:r>
      <w:r>
        <w:fldChar w:fldCharType="begin"/>
      </w:r>
      <w:r>
        <w:instrText xml:space="preserve"> PAGEREF _Toc11284 \h </w:instrText>
      </w:r>
      <w:r>
        <w:fldChar w:fldCharType="separate"/>
      </w:r>
      <w:r>
        <w:t>71</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_Toc26018 </w:instrText>
      </w:r>
      <w:r>
        <w:rPr>
          <w:szCs w:val="24"/>
        </w:rPr>
        <w:fldChar w:fldCharType="separate"/>
      </w:r>
      <w:r>
        <w:rPr>
          <w:rFonts w:hint="eastAsia" w:ascii="宋体" w:hAnsi="宋体" w:eastAsia="宋体" w:cs="宋体"/>
          <w:szCs w:val="24"/>
        </w:rPr>
        <w:t>14. 竣工结算</w:t>
      </w:r>
      <w:r>
        <w:tab/>
      </w:r>
      <w:r>
        <w:fldChar w:fldCharType="begin"/>
      </w:r>
      <w:r>
        <w:instrText xml:space="preserve"> PAGEREF _Toc26018 \h </w:instrText>
      </w:r>
      <w:r>
        <w:fldChar w:fldCharType="separate"/>
      </w:r>
      <w:r>
        <w:t>72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_Toc26326 </w:instrText>
      </w:r>
      <w:r>
        <w:rPr>
          <w:szCs w:val="24"/>
        </w:rPr>
        <w:fldChar w:fldCharType="separate"/>
      </w:r>
      <w:r>
        <w:rPr>
          <w:rFonts w:hint="eastAsia" w:ascii="宋体" w:hAnsi="宋体" w:eastAsia="宋体" w:cs="宋体"/>
          <w:bCs w:val="0"/>
          <w:szCs w:val="24"/>
        </w:rPr>
        <w:t>14.1 竣工结算申请</w:t>
      </w:r>
      <w:r>
        <w:tab/>
      </w:r>
      <w:r>
        <w:fldChar w:fldCharType="begin"/>
      </w:r>
      <w:r>
        <w:instrText xml:space="preserve"> PAGEREF _Toc26326 \h </w:instrText>
      </w:r>
      <w:r>
        <w:fldChar w:fldCharType="separate"/>
      </w:r>
      <w:r>
        <w:t>72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_Toc10893 </w:instrText>
      </w:r>
      <w:r>
        <w:rPr>
          <w:szCs w:val="24"/>
        </w:rPr>
        <w:fldChar w:fldCharType="separate"/>
      </w:r>
      <w:r>
        <w:rPr>
          <w:rFonts w:hint="eastAsia" w:ascii="宋体" w:hAnsi="宋体" w:eastAsia="宋体" w:cs="宋体"/>
          <w:bCs w:val="0"/>
          <w:szCs w:val="24"/>
        </w:rPr>
        <w:t>14.2 竣工结算审核</w:t>
      </w:r>
      <w:r>
        <w:tab/>
      </w:r>
      <w:r>
        <w:fldChar w:fldCharType="begin"/>
      </w:r>
      <w:r>
        <w:instrText xml:space="preserve"> PAGEREF _Toc10893 \h </w:instrText>
      </w:r>
      <w:r>
        <w:fldChar w:fldCharType="separate"/>
      </w:r>
      <w:r>
        <w:t>72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_Toc22180 </w:instrText>
      </w:r>
      <w:r>
        <w:rPr>
          <w:szCs w:val="24"/>
        </w:rPr>
        <w:fldChar w:fldCharType="separate"/>
      </w:r>
      <w:r>
        <w:rPr>
          <w:rFonts w:hint="eastAsia" w:ascii="宋体" w:hAnsi="宋体" w:eastAsia="宋体" w:cs="宋体"/>
          <w:bCs w:val="0"/>
          <w:szCs w:val="24"/>
        </w:rPr>
        <w:t>14.3 甩项竣工协议</w:t>
      </w:r>
      <w:r>
        <w:tab/>
      </w:r>
      <w:r>
        <w:fldChar w:fldCharType="begin"/>
      </w:r>
      <w:r>
        <w:instrText xml:space="preserve"> PAGEREF _Toc22180 \h </w:instrText>
      </w:r>
      <w:r>
        <w:fldChar w:fldCharType="separate"/>
      </w:r>
      <w:r>
        <w:t>72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_Toc17691 </w:instrText>
      </w:r>
      <w:r>
        <w:rPr>
          <w:szCs w:val="24"/>
        </w:rPr>
        <w:fldChar w:fldCharType="separate"/>
      </w:r>
      <w:r>
        <w:rPr>
          <w:rFonts w:hint="eastAsia" w:ascii="宋体" w:hAnsi="宋体" w:eastAsia="宋体" w:cs="宋体"/>
          <w:bCs w:val="0"/>
          <w:szCs w:val="24"/>
        </w:rPr>
        <w:t>14.4 最终结清</w:t>
      </w:r>
      <w:r>
        <w:tab/>
      </w:r>
      <w:r>
        <w:fldChar w:fldCharType="begin"/>
      </w:r>
      <w:r>
        <w:instrText xml:space="preserve"> PAGEREF _Toc17691 \h </w:instrText>
      </w:r>
      <w:r>
        <w:fldChar w:fldCharType="separate"/>
      </w:r>
      <w:r>
        <w:t>73</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_Toc22574 </w:instrText>
      </w:r>
      <w:r>
        <w:rPr>
          <w:szCs w:val="24"/>
        </w:rPr>
        <w:fldChar w:fldCharType="separate"/>
      </w:r>
      <w:r>
        <w:rPr>
          <w:rFonts w:hint="eastAsia" w:ascii="宋体" w:hAnsi="宋体" w:eastAsia="宋体" w:cs="宋体"/>
          <w:szCs w:val="24"/>
        </w:rPr>
        <w:t>15. 缺陷责任与保修</w:t>
      </w:r>
      <w:r>
        <w:tab/>
      </w:r>
      <w:r>
        <w:fldChar w:fldCharType="begin"/>
      </w:r>
      <w:r>
        <w:instrText xml:space="preserve"> PAGEREF _Toc22574 \h </w:instrText>
      </w:r>
      <w:r>
        <w:fldChar w:fldCharType="separate"/>
      </w:r>
      <w:r>
        <w:t>73</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_Toc8066 </w:instrText>
      </w:r>
      <w:r>
        <w:rPr>
          <w:szCs w:val="24"/>
        </w:rPr>
        <w:fldChar w:fldCharType="separate"/>
      </w:r>
      <w:r>
        <w:rPr>
          <w:rFonts w:hint="eastAsia" w:ascii="宋体" w:hAnsi="宋体" w:eastAsia="宋体" w:cs="宋体"/>
          <w:bCs w:val="0"/>
          <w:szCs w:val="24"/>
        </w:rPr>
        <w:t>15.1 工程保修的原则</w:t>
      </w:r>
      <w:r>
        <w:tab/>
      </w:r>
      <w:r>
        <w:fldChar w:fldCharType="begin"/>
      </w:r>
      <w:r>
        <w:instrText xml:space="preserve"> PAGEREF _Toc8066 \h </w:instrText>
      </w:r>
      <w:r>
        <w:fldChar w:fldCharType="separate"/>
      </w:r>
      <w:r>
        <w:t>73</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_Toc13327 </w:instrText>
      </w:r>
      <w:r>
        <w:rPr>
          <w:szCs w:val="24"/>
        </w:rPr>
        <w:fldChar w:fldCharType="separate"/>
      </w:r>
      <w:r>
        <w:rPr>
          <w:rFonts w:hint="eastAsia" w:ascii="宋体" w:hAnsi="宋体" w:eastAsia="宋体" w:cs="宋体"/>
          <w:bCs w:val="0"/>
          <w:szCs w:val="24"/>
        </w:rPr>
        <w:t>15.2 缺陷责任期</w:t>
      </w:r>
      <w:r>
        <w:tab/>
      </w:r>
      <w:r>
        <w:fldChar w:fldCharType="begin"/>
      </w:r>
      <w:r>
        <w:instrText xml:space="preserve"> PAGEREF _Toc13327 \h </w:instrText>
      </w:r>
      <w:r>
        <w:fldChar w:fldCharType="separate"/>
      </w:r>
      <w:r>
        <w:t>73</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_Toc12861 </w:instrText>
      </w:r>
      <w:r>
        <w:rPr>
          <w:szCs w:val="24"/>
        </w:rPr>
        <w:fldChar w:fldCharType="separate"/>
      </w:r>
      <w:r>
        <w:rPr>
          <w:rFonts w:hint="eastAsia" w:ascii="宋体" w:hAnsi="宋体" w:eastAsia="宋体" w:cs="宋体"/>
          <w:bCs w:val="0"/>
          <w:szCs w:val="24"/>
        </w:rPr>
        <w:t>15.3 质量保证金</w:t>
      </w:r>
      <w:r>
        <w:tab/>
      </w:r>
      <w:r>
        <w:fldChar w:fldCharType="begin"/>
      </w:r>
      <w:r>
        <w:instrText xml:space="preserve"> PAGEREF _Toc12861 \h </w:instrText>
      </w:r>
      <w:r>
        <w:fldChar w:fldCharType="separate"/>
      </w:r>
      <w:r>
        <w:t>74</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_Toc20956 </w:instrText>
      </w:r>
      <w:r>
        <w:rPr>
          <w:szCs w:val="24"/>
        </w:rPr>
        <w:fldChar w:fldCharType="separate"/>
      </w:r>
      <w:r>
        <w:rPr>
          <w:rFonts w:hint="eastAsia" w:ascii="宋体" w:hAnsi="宋体" w:eastAsia="宋体" w:cs="宋体"/>
          <w:bCs w:val="0"/>
          <w:szCs w:val="24"/>
        </w:rPr>
        <w:t>15.4 保修</w:t>
      </w:r>
      <w:r>
        <w:tab/>
      </w:r>
      <w:r>
        <w:fldChar w:fldCharType="begin"/>
      </w:r>
      <w:r>
        <w:instrText xml:space="preserve"> PAGEREF _Toc20956 \h </w:instrText>
      </w:r>
      <w:r>
        <w:fldChar w:fldCharType="separate"/>
      </w:r>
      <w:r>
        <w:t>75</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_Toc31605 </w:instrText>
      </w:r>
      <w:r>
        <w:rPr>
          <w:szCs w:val="24"/>
        </w:rPr>
        <w:fldChar w:fldCharType="separate"/>
      </w:r>
      <w:r>
        <w:rPr>
          <w:rFonts w:hint="eastAsia" w:ascii="宋体" w:hAnsi="宋体" w:eastAsia="宋体" w:cs="宋体"/>
          <w:szCs w:val="24"/>
        </w:rPr>
        <w:t>16. 违约</w:t>
      </w:r>
      <w:r>
        <w:tab/>
      </w:r>
      <w:r>
        <w:fldChar w:fldCharType="begin"/>
      </w:r>
      <w:r>
        <w:instrText xml:space="preserve"> PAGEREF _Toc31605 \h </w:instrText>
      </w:r>
      <w:r>
        <w:fldChar w:fldCharType="separate"/>
      </w:r>
      <w:r>
        <w:t>76</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_Toc8315 </w:instrText>
      </w:r>
      <w:r>
        <w:rPr>
          <w:szCs w:val="24"/>
        </w:rPr>
        <w:fldChar w:fldCharType="separate"/>
      </w:r>
      <w:r>
        <w:rPr>
          <w:rFonts w:hint="eastAsia" w:ascii="宋体" w:hAnsi="宋体" w:eastAsia="宋体" w:cs="宋体"/>
          <w:bCs w:val="0"/>
          <w:szCs w:val="24"/>
        </w:rPr>
        <w:t>16.1 发包人违约</w:t>
      </w:r>
      <w:r>
        <w:tab/>
      </w:r>
      <w:r>
        <w:fldChar w:fldCharType="begin"/>
      </w:r>
      <w:r>
        <w:instrText xml:space="preserve"> PAGEREF _Toc8315 \h </w:instrText>
      </w:r>
      <w:r>
        <w:fldChar w:fldCharType="separate"/>
      </w:r>
      <w:r>
        <w:t>76</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_Toc23144 </w:instrText>
      </w:r>
      <w:r>
        <w:rPr>
          <w:szCs w:val="24"/>
        </w:rPr>
        <w:fldChar w:fldCharType="separate"/>
      </w:r>
      <w:r>
        <w:rPr>
          <w:rFonts w:hint="eastAsia" w:ascii="宋体" w:hAnsi="宋体" w:eastAsia="宋体" w:cs="宋体"/>
          <w:bCs w:val="0"/>
          <w:szCs w:val="24"/>
        </w:rPr>
        <w:t>16.2 承包人违约</w:t>
      </w:r>
      <w:r>
        <w:tab/>
      </w:r>
      <w:r>
        <w:fldChar w:fldCharType="begin"/>
      </w:r>
      <w:r>
        <w:instrText xml:space="preserve"> PAGEREF _Toc23144 \h </w:instrText>
      </w:r>
      <w:r>
        <w:fldChar w:fldCharType="separate"/>
      </w:r>
      <w:r>
        <w:t>77</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_Toc18008 </w:instrText>
      </w:r>
      <w:r>
        <w:rPr>
          <w:szCs w:val="24"/>
        </w:rPr>
        <w:fldChar w:fldCharType="separate"/>
      </w:r>
      <w:r>
        <w:rPr>
          <w:rFonts w:hint="eastAsia" w:ascii="宋体" w:hAnsi="宋体" w:eastAsia="宋体" w:cs="宋体"/>
          <w:bCs w:val="0"/>
          <w:szCs w:val="24"/>
        </w:rPr>
        <w:t>16.3 第三人造成的违约</w:t>
      </w:r>
      <w:r>
        <w:tab/>
      </w:r>
      <w:r>
        <w:fldChar w:fldCharType="begin"/>
      </w:r>
      <w:r>
        <w:instrText xml:space="preserve"> PAGEREF _Toc18008 \h </w:instrText>
      </w:r>
      <w:r>
        <w:fldChar w:fldCharType="separate"/>
      </w:r>
      <w:r>
        <w:t>78</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_Toc14160 </w:instrText>
      </w:r>
      <w:r>
        <w:rPr>
          <w:szCs w:val="24"/>
        </w:rPr>
        <w:fldChar w:fldCharType="separate"/>
      </w:r>
      <w:r>
        <w:rPr>
          <w:rFonts w:hint="eastAsia" w:ascii="宋体" w:hAnsi="宋体" w:eastAsia="宋体" w:cs="宋体"/>
          <w:szCs w:val="24"/>
        </w:rPr>
        <w:t>17. 不可抗力</w:t>
      </w:r>
      <w:r>
        <w:tab/>
      </w:r>
      <w:r>
        <w:fldChar w:fldCharType="begin"/>
      </w:r>
      <w:r>
        <w:instrText xml:space="preserve"> PAGEREF _Toc14160 \h </w:instrText>
      </w:r>
      <w:r>
        <w:fldChar w:fldCharType="separate"/>
      </w:r>
      <w:r>
        <w:t>78</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_Toc61 </w:instrText>
      </w:r>
      <w:r>
        <w:rPr>
          <w:szCs w:val="24"/>
        </w:rPr>
        <w:fldChar w:fldCharType="separate"/>
      </w:r>
      <w:r>
        <w:rPr>
          <w:rFonts w:hint="eastAsia" w:ascii="宋体" w:hAnsi="宋体" w:eastAsia="宋体" w:cs="宋体"/>
          <w:bCs w:val="0"/>
          <w:szCs w:val="24"/>
        </w:rPr>
        <w:t>17.1 不可抗力的确认</w:t>
      </w:r>
      <w:r>
        <w:tab/>
      </w:r>
      <w:r>
        <w:fldChar w:fldCharType="begin"/>
      </w:r>
      <w:r>
        <w:instrText xml:space="preserve"> PAGEREF _Toc61 \h </w:instrText>
      </w:r>
      <w:r>
        <w:fldChar w:fldCharType="separate"/>
      </w:r>
      <w:r>
        <w:t>78</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_Toc25447 </w:instrText>
      </w:r>
      <w:r>
        <w:rPr>
          <w:szCs w:val="24"/>
        </w:rPr>
        <w:fldChar w:fldCharType="separate"/>
      </w:r>
      <w:r>
        <w:rPr>
          <w:rFonts w:hint="eastAsia" w:ascii="宋体" w:hAnsi="宋体" w:eastAsia="宋体" w:cs="宋体"/>
          <w:bCs w:val="0"/>
          <w:szCs w:val="24"/>
        </w:rPr>
        <w:t>17.2 不可抗力的通知</w:t>
      </w:r>
      <w:r>
        <w:tab/>
      </w:r>
      <w:r>
        <w:fldChar w:fldCharType="begin"/>
      </w:r>
      <w:r>
        <w:instrText xml:space="preserve"> PAGEREF _Toc25447 \h </w:instrText>
      </w:r>
      <w:r>
        <w:fldChar w:fldCharType="separate"/>
      </w:r>
      <w:r>
        <w:t>78</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_Toc3020 </w:instrText>
      </w:r>
      <w:r>
        <w:rPr>
          <w:szCs w:val="24"/>
        </w:rPr>
        <w:fldChar w:fldCharType="separate"/>
      </w:r>
      <w:r>
        <w:rPr>
          <w:rFonts w:hint="eastAsia" w:ascii="宋体" w:hAnsi="宋体" w:eastAsia="宋体" w:cs="宋体"/>
          <w:bCs w:val="0"/>
          <w:szCs w:val="24"/>
        </w:rPr>
        <w:t>17.3 不可抗力后果的承担</w:t>
      </w:r>
      <w:r>
        <w:tab/>
      </w:r>
      <w:r>
        <w:fldChar w:fldCharType="begin"/>
      </w:r>
      <w:r>
        <w:instrText xml:space="preserve"> PAGEREF _Toc3020 \h </w:instrText>
      </w:r>
      <w:r>
        <w:fldChar w:fldCharType="separate"/>
      </w:r>
      <w:r>
        <w:t>79</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_Toc14821 </w:instrText>
      </w:r>
      <w:r>
        <w:rPr>
          <w:szCs w:val="24"/>
        </w:rPr>
        <w:fldChar w:fldCharType="separate"/>
      </w:r>
      <w:r>
        <w:rPr>
          <w:rFonts w:hint="eastAsia" w:ascii="宋体" w:hAnsi="宋体" w:eastAsia="宋体" w:cs="宋体"/>
          <w:bCs w:val="0"/>
          <w:szCs w:val="24"/>
        </w:rPr>
        <w:t>17.4 因不可抗力解除合同</w:t>
      </w:r>
      <w:r>
        <w:tab/>
      </w:r>
      <w:r>
        <w:fldChar w:fldCharType="begin"/>
      </w:r>
      <w:r>
        <w:instrText xml:space="preserve"> PAGEREF _Toc14821 \h </w:instrText>
      </w:r>
      <w:r>
        <w:fldChar w:fldCharType="separate"/>
      </w:r>
      <w:r>
        <w:t>79</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_Toc8945 </w:instrText>
      </w:r>
      <w:r>
        <w:rPr>
          <w:szCs w:val="24"/>
        </w:rPr>
        <w:fldChar w:fldCharType="separate"/>
      </w:r>
      <w:r>
        <w:rPr>
          <w:rFonts w:hint="eastAsia" w:ascii="宋体" w:hAnsi="宋体" w:eastAsia="宋体" w:cs="宋体"/>
          <w:szCs w:val="24"/>
        </w:rPr>
        <w:t>18. 保险</w:t>
      </w:r>
      <w:r>
        <w:tab/>
      </w:r>
      <w:r>
        <w:fldChar w:fldCharType="begin"/>
      </w:r>
      <w:r>
        <w:instrText xml:space="preserve"> PAGEREF _Toc8945 \h </w:instrText>
      </w:r>
      <w:r>
        <w:fldChar w:fldCharType="separate"/>
      </w:r>
      <w:r>
        <w:t>80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_Toc4666 </w:instrText>
      </w:r>
      <w:r>
        <w:rPr>
          <w:szCs w:val="24"/>
        </w:rPr>
        <w:fldChar w:fldCharType="separate"/>
      </w:r>
      <w:r>
        <w:rPr>
          <w:rFonts w:hint="eastAsia" w:ascii="宋体" w:hAnsi="宋体" w:eastAsia="宋体" w:cs="宋体"/>
          <w:bCs w:val="0"/>
          <w:szCs w:val="24"/>
        </w:rPr>
        <w:t>18.1 工程保险</w:t>
      </w:r>
      <w:r>
        <w:tab/>
      </w:r>
      <w:r>
        <w:fldChar w:fldCharType="begin"/>
      </w:r>
      <w:r>
        <w:instrText xml:space="preserve"> PAGEREF _Toc4666 \h </w:instrText>
      </w:r>
      <w:r>
        <w:fldChar w:fldCharType="separate"/>
      </w:r>
      <w:r>
        <w:t>80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_Toc30664 </w:instrText>
      </w:r>
      <w:r>
        <w:rPr>
          <w:szCs w:val="24"/>
        </w:rPr>
        <w:fldChar w:fldCharType="separate"/>
      </w:r>
      <w:r>
        <w:rPr>
          <w:rFonts w:hint="eastAsia" w:ascii="宋体" w:hAnsi="宋体" w:eastAsia="宋体" w:cs="宋体"/>
          <w:bCs w:val="0"/>
          <w:szCs w:val="24"/>
        </w:rPr>
        <w:t>18.2 工伤保险</w:t>
      </w:r>
      <w:r>
        <w:tab/>
      </w:r>
      <w:r>
        <w:fldChar w:fldCharType="begin"/>
      </w:r>
      <w:r>
        <w:instrText xml:space="preserve"> PAGEREF _Toc30664 \h </w:instrText>
      </w:r>
      <w:r>
        <w:fldChar w:fldCharType="separate"/>
      </w:r>
      <w:r>
        <w:t>80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_Toc21713 </w:instrText>
      </w:r>
      <w:r>
        <w:rPr>
          <w:szCs w:val="24"/>
        </w:rPr>
        <w:fldChar w:fldCharType="separate"/>
      </w:r>
      <w:r>
        <w:rPr>
          <w:rFonts w:hint="eastAsia" w:ascii="宋体" w:hAnsi="宋体" w:eastAsia="宋体" w:cs="宋体"/>
          <w:bCs w:val="0"/>
          <w:szCs w:val="24"/>
        </w:rPr>
        <w:t>18.3其他保险</w:t>
      </w:r>
      <w:r>
        <w:tab/>
      </w:r>
      <w:r>
        <w:fldChar w:fldCharType="begin"/>
      </w:r>
      <w:r>
        <w:instrText xml:space="preserve"> PAGEREF _Toc21713 \h </w:instrText>
      </w:r>
      <w:r>
        <w:fldChar w:fldCharType="separate"/>
      </w:r>
      <w:r>
        <w:t>80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_Toc23753 </w:instrText>
      </w:r>
      <w:r>
        <w:rPr>
          <w:szCs w:val="24"/>
        </w:rPr>
        <w:fldChar w:fldCharType="separate"/>
      </w:r>
      <w:r>
        <w:rPr>
          <w:rFonts w:hint="eastAsia" w:ascii="宋体" w:hAnsi="宋体" w:eastAsia="宋体" w:cs="宋体"/>
          <w:bCs w:val="0"/>
          <w:szCs w:val="24"/>
        </w:rPr>
        <w:t>18.4持续保险</w:t>
      </w:r>
      <w:r>
        <w:tab/>
      </w:r>
      <w:r>
        <w:fldChar w:fldCharType="begin"/>
      </w:r>
      <w:r>
        <w:instrText xml:space="preserve"> PAGEREF _Toc23753 \h </w:instrText>
      </w:r>
      <w:r>
        <w:fldChar w:fldCharType="separate"/>
      </w:r>
      <w:r>
        <w:t>80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_Toc20248 </w:instrText>
      </w:r>
      <w:r>
        <w:rPr>
          <w:szCs w:val="24"/>
        </w:rPr>
        <w:fldChar w:fldCharType="separate"/>
      </w:r>
      <w:r>
        <w:rPr>
          <w:rFonts w:hint="eastAsia" w:ascii="宋体" w:hAnsi="宋体" w:eastAsia="宋体" w:cs="宋体"/>
          <w:bCs w:val="0"/>
          <w:szCs w:val="24"/>
        </w:rPr>
        <w:t>18.5 保险凭证</w:t>
      </w:r>
      <w:r>
        <w:tab/>
      </w:r>
      <w:r>
        <w:fldChar w:fldCharType="begin"/>
      </w:r>
      <w:r>
        <w:instrText xml:space="preserve"> PAGEREF _Toc20248 \h </w:instrText>
      </w:r>
      <w:r>
        <w:fldChar w:fldCharType="separate"/>
      </w:r>
      <w:r>
        <w:t>80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_Toc25399 </w:instrText>
      </w:r>
      <w:r>
        <w:rPr>
          <w:szCs w:val="24"/>
        </w:rPr>
        <w:fldChar w:fldCharType="separate"/>
      </w:r>
      <w:r>
        <w:rPr>
          <w:rFonts w:hint="eastAsia" w:ascii="宋体" w:hAnsi="宋体" w:eastAsia="宋体" w:cs="宋体"/>
          <w:bCs w:val="0"/>
          <w:szCs w:val="24"/>
        </w:rPr>
        <w:t>18.6 未按约定投保的补救</w:t>
      </w:r>
      <w:r>
        <w:tab/>
      </w:r>
      <w:r>
        <w:fldChar w:fldCharType="begin"/>
      </w:r>
      <w:r>
        <w:instrText xml:space="preserve"> PAGEREF _Toc25399 \h </w:instrText>
      </w:r>
      <w:r>
        <w:fldChar w:fldCharType="separate"/>
      </w:r>
      <w:r>
        <w:t>80</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_Toc2214 </w:instrText>
      </w:r>
      <w:r>
        <w:rPr>
          <w:szCs w:val="24"/>
        </w:rPr>
        <w:fldChar w:fldCharType="separate"/>
      </w:r>
      <w:r>
        <w:rPr>
          <w:rFonts w:hint="eastAsia" w:ascii="宋体" w:hAnsi="宋体" w:eastAsia="宋体" w:cs="宋体"/>
          <w:bCs w:val="0"/>
          <w:szCs w:val="24"/>
        </w:rPr>
        <w:t>18.7 通知义务</w:t>
      </w:r>
      <w:r>
        <w:tab/>
      </w:r>
      <w:r>
        <w:fldChar w:fldCharType="begin"/>
      </w:r>
      <w:r>
        <w:instrText xml:space="preserve"> PAGEREF _Toc2214 \h </w:instrText>
      </w:r>
      <w:r>
        <w:fldChar w:fldCharType="separate"/>
      </w:r>
      <w:r>
        <w:t>81</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_Toc18981 </w:instrText>
      </w:r>
      <w:r>
        <w:rPr>
          <w:szCs w:val="24"/>
        </w:rPr>
        <w:fldChar w:fldCharType="separate"/>
      </w:r>
      <w:r>
        <w:rPr>
          <w:rFonts w:hint="eastAsia" w:ascii="宋体" w:hAnsi="宋体" w:eastAsia="宋体" w:cs="宋体"/>
          <w:szCs w:val="24"/>
        </w:rPr>
        <w:t>19. 索赔</w:t>
      </w:r>
      <w:r>
        <w:tab/>
      </w:r>
      <w:r>
        <w:fldChar w:fldCharType="begin"/>
      </w:r>
      <w:r>
        <w:instrText xml:space="preserve"> PAGEREF _Toc18981 \h </w:instrText>
      </w:r>
      <w:r>
        <w:fldChar w:fldCharType="separate"/>
      </w:r>
      <w:r>
        <w:t>81</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_Toc10932 </w:instrText>
      </w:r>
      <w:r>
        <w:rPr>
          <w:szCs w:val="24"/>
        </w:rPr>
        <w:fldChar w:fldCharType="separate"/>
      </w:r>
      <w:r>
        <w:rPr>
          <w:rFonts w:hint="eastAsia" w:ascii="宋体" w:hAnsi="宋体" w:eastAsia="宋体" w:cs="宋体"/>
          <w:bCs w:val="0"/>
          <w:szCs w:val="24"/>
        </w:rPr>
        <w:t>19.1承包人的索赔</w:t>
      </w:r>
      <w:r>
        <w:tab/>
      </w:r>
      <w:r>
        <w:fldChar w:fldCharType="begin"/>
      </w:r>
      <w:r>
        <w:instrText xml:space="preserve"> PAGEREF _Toc10932 \h </w:instrText>
      </w:r>
      <w:r>
        <w:fldChar w:fldCharType="separate"/>
      </w:r>
      <w:r>
        <w:t>81</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_Toc10898 </w:instrText>
      </w:r>
      <w:r>
        <w:rPr>
          <w:szCs w:val="24"/>
        </w:rPr>
        <w:fldChar w:fldCharType="separate"/>
      </w:r>
      <w:r>
        <w:rPr>
          <w:rFonts w:hint="eastAsia" w:ascii="宋体" w:hAnsi="宋体" w:eastAsia="宋体" w:cs="宋体"/>
          <w:bCs w:val="0"/>
          <w:szCs w:val="24"/>
        </w:rPr>
        <w:t>19.2 对承包人索赔的处理</w:t>
      </w:r>
      <w:r>
        <w:tab/>
      </w:r>
      <w:r>
        <w:fldChar w:fldCharType="begin"/>
      </w:r>
      <w:r>
        <w:instrText xml:space="preserve"> PAGEREF _Toc10898 \h </w:instrText>
      </w:r>
      <w:r>
        <w:fldChar w:fldCharType="separate"/>
      </w:r>
      <w:r>
        <w:t>81</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_Toc21577 </w:instrText>
      </w:r>
      <w:r>
        <w:rPr>
          <w:szCs w:val="24"/>
        </w:rPr>
        <w:fldChar w:fldCharType="separate"/>
      </w:r>
      <w:r>
        <w:rPr>
          <w:rFonts w:hint="eastAsia" w:ascii="宋体" w:hAnsi="宋体" w:eastAsia="宋体" w:cs="宋体"/>
          <w:bCs w:val="0"/>
          <w:szCs w:val="24"/>
        </w:rPr>
        <w:t>19.3发包人的索赔</w:t>
      </w:r>
      <w:r>
        <w:tab/>
      </w:r>
      <w:r>
        <w:fldChar w:fldCharType="begin"/>
      </w:r>
      <w:r>
        <w:instrText xml:space="preserve"> PAGEREF _Toc21577 \h </w:instrText>
      </w:r>
      <w:r>
        <w:fldChar w:fldCharType="separate"/>
      </w:r>
      <w:r>
        <w:t>81</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_Toc29028 </w:instrText>
      </w:r>
      <w:r>
        <w:rPr>
          <w:szCs w:val="24"/>
        </w:rPr>
        <w:fldChar w:fldCharType="separate"/>
      </w:r>
      <w:r>
        <w:rPr>
          <w:rFonts w:hint="eastAsia" w:ascii="宋体" w:hAnsi="宋体" w:eastAsia="宋体" w:cs="宋体"/>
          <w:bCs w:val="0"/>
          <w:szCs w:val="24"/>
        </w:rPr>
        <w:t>19.4 对发包人索赔的处理</w:t>
      </w:r>
      <w:r>
        <w:tab/>
      </w:r>
      <w:r>
        <w:fldChar w:fldCharType="begin"/>
      </w:r>
      <w:r>
        <w:instrText xml:space="preserve"> PAGEREF _Toc29028 \h </w:instrText>
      </w:r>
      <w:r>
        <w:fldChar w:fldCharType="separate"/>
      </w:r>
      <w:r>
        <w:t>82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_Toc18624 </w:instrText>
      </w:r>
      <w:r>
        <w:rPr>
          <w:szCs w:val="24"/>
        </w:rPr>
        <w:fldChar w:fldCharType="separate"/>
      </w:r>
      <w:r>
        <w:rPr>
          <w:rFonts w:hint="eastAsia" w:ascii="宋体" w:hAnsi="宋体" w:eastAsia="宋体" w:cs="宋体"/>
          <w:bCs w:val="0"/>
          <w:szCs w:val="24"/>
        </w:rPr>
        <w:t>19.5 提出索赔的期限</w:t>
      </w:r>
      <w:r>
        <w:tab/>
      </w:r>
      <w:r>
        <w:fldChar w:fldCharType="begin"/>
      </w:r>
      <w:r>
        <w:instrText xml:space="preserve"> PAGEREF _Toc18624 \h </w:instrText>
      </w:r>
      <w:r>
        <w:fldChar w:fldCharType="separate"/>
      </w:r>
      <w:r>
        <w:t>82</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_Toc32339 </w:instrText>
      </w:r>
      <w:r>
        <w:rPr>
          <w:szCs w:val="24"/>
        </w:rPr>
        <w:fldChar w:fldCharType="separate"/>
      </w:r>
      <w:r>
        <w:rPr>
          <w:rFonts w:hint="eastAsia" w:ascii="宋体" w:hAnsi="宋体" w:eastAsia="宋体" w:cs="宋体"/>
          <w:szCs w:val="24"/>
        </w:rPr>
        <w:t>20. 争议解决</w:t>
      </w:r>
      <w:r>
        <w:tab/>
      </w:r>
      <w:r>
        <w:fldChar w:fldCharType="begin"/>
      </w:r>
      <w:r>
        <w:instrText xml:space="preserve"> PAGEREF _Toc32339 \h </w:instrText>
      </w:r>
      <w:r>
        <w:fldChar w:fldCharType="separate"/>
      </w:r>
      <w:r>
        <w:t>82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_Toc5016 </w:instrText>
      </w:r>
      <w:r>
        <w:rPr>
          <w:szCs w:val="24"/>
        </w:rPr>
        <w:fldChar w:fldCharType="separate"/>
      </w:r>
      <w:r>
        <w:rPr>
          <w:rFonts w:hint="eastAsia" w:ascii="宋体" w:hAnsi="宋体" w:eastAsia="宋体" w:cs="宋体"/>
          <w:bCs w:val="0"/>
          <w:szCs w:val="24"/>
        </w:rPr>
        <w:t>20.1和解</w:t>
      </w:r>
      <w:r>
        <w:tab/>
      </w:r>
      <w:r>
        <w:fldChar w:fldCharType="begin"/>
      </w:r>
      <w:r>
        <w:instrText xml:space="preserve"> PAGEREF _Toc5016 \h </w:instrText>
      </w:r>
      <w:r>
        <w:fldChar w:fldCharType="separate"/>
      </w:r>
      <w:r>
        <w:t>82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_Toc14074 </w:instrText>
      </w:r>
      <w:r>
        <w:rPr>
          <w:szCs w:val="24"/>
        </w:rPr>
        <w:fldChar w:fldCharType="separate"/>
      </w:r>
      <w:r>
        <w:rPr>
          <w:rFonts w:hint="eastAsia" w:ascii="宋体" w:hAnsi="宋体" w:eastAsia="宋体" w:cs="宋体"/>
          <w:bCs w:val="0"/>
          <w:szCs w:val="24"/>
        </w:rPr>
        <w:t>20.2调解</w:t>
      </w:r>
      <w:r>
        <w:tab/>
      </w:r>
      <w:r>
        <w:fldChar w:fldCharType="begin"/>
      </w:r>
      <w:r>
        <w:instrText xml:space="preserve"> PAGEREF _Toc14074 \h </w:instrText>
      </w:r>
      <w:r>
        <w:fldChar w:fldCharType="separate"/>
      </w:r>
      <w:r>
        <w:t>82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_Toc21423 </w:instrText>
      </w:r>
      <w:r>
        <w:rPr>
          <w:szCs w:val="24"/>
        </w:rPr>
        <w:fldChar w:fldCharType="separate"/>
      </w:r>
      <w:r>
        <w:rPr>
          <w:rFonts w:hint="eastAsia" w:ascii="宋体" w:hAnsi="宋体" w:eastAsia="宋体" w:cs="宋体"/>
          <w:bCs w:val="0"/>
          <w:szCs w:val="24"/>
        </w:rPr>
        <w:t>20.3争议评审</w:t>
      </w:r>
      <w:r>
        <w:tab/>
      </w:r>
      <w:r>
        <w:fldChar w:fldCharType="begin"/>
      </w:r>
      <w:r>
        <w:instrText xml:space="preserve"> PAGEREF _Toc21423 \h </w:instrText>
      </w:r>
      <w:r>
        <w:fldChar w:fldCharType="separate"/>
      </w:r>
      <w:r>
        <w:t>82</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_Toc6061 </w:instrText>
      </w:r>
      <w:r>
        <w:rPr>
          <w:szCs w:val="24"/>
        </w:rPr>
        <w:fldChar w:fldCharType="separate"/>
      </w:r>
      <w:r>
        <w:rPr>
          <w:rFonts w:hint="eastAsia" w:ascii="宋体" w:hAnsi="宋体" w:eastAsia="宋体" w:cs="宋体"/>
          <w:bCs w:val="0"/>
          <w:szCs w:val="24"/>
        </w:rPr>
        <w:t>20.4仲裁或诉讼</w:t>
      </w:r>
      <w:r>
        <w:tab/>
      </w:r>
      <w:r>
        <w:fldChar w:fldCharType="begin"/>
      </w:r>
      <w:r>
        <w:instrText xml:space="preserve"> PAGEREF _Toc6061 \h </w:instrText>
      </w:r>
      <w:r>
        <w:fldChar w:fldCharType="separate"/>
      </w:r>
      <w:r>
        <w:t>83</w:t>
      </w:r>
      <w:r>
        <w:fldChar w:fldCharType="end"/>
      </w:r>
      <w:r>
        <w:rPr>
          <w:szCs w:val="24"/>
        </w:rPr>
        <w:fldChar w:fldCharType="end"/>
      </w:r>
    </w:p>
    <w:p>
      <w:pPr>
        <w:pStyle w:val="20"/>
        <w:tabs>
          <w:tab w:val="right" w:leader="dot" w:pos="9070"/>
        </w:tabs>
      </w:pPr>
      <w:r>
        <w:rPr>
          <w:szCs w:val="24"/>
        </w:rPr>
        <w:fldChar w:fldCharType="begin"/>
      </w:r>
      <w:r>
        <w:rPr>
          <w:szCs w:val="24"/>
        </w:rPr>
        <w:instrText xml:space="preserve"> HYPERLINK \l _Toc12624 </w:instrText>
      </w:r>
      <w:r>
        <w:rPr>
          <w:szCs w:val="24"/>
        </w:rPr>
        <w:fldChar w:fldCharType="separate"/>
      </w:r>
      <w:r>
        <w:rPr>
          <w:rFonts w:hint="eastAsia" w:ascii="宋体" w:hAnsi="宋体" w:eastAsia="宋体" w:cs="宋体"/>
          <w:bCs w:val="0"/>
          <w:szCs w:val="24"/>
        </w:rPr>
        <w:t>20.5争议解决条款效力</w:t>
      </w:r>
      <w:r>
        <w:tab/>
      </w:r>
      <w:r>
        <w:fldChar w:fldCharType="begin"/>
      </w:r>
      <w:r>
        <w:instrText xml:space="preserve"> PAGEREF _Toc12624 \h </w:instrText>
      </w:r>
      <w:r>
        <w:fldChar w:fldCharType="separate"/>
      </w:r>
      <w:r>
        <w:t>83</w:t>
      </w:r>
      <w:r>
        <w:fldChar w:fldCharType="end"/>
      </w:r>
      <w:r>
        <w:rPr>
          <w:szCs w:val="24"/>
        </w:rPr>
        <w:fldChar w:fldCharType="end"/>
      </w:r>
    </w:p>
    <w:p>
      <w:pPr>
        <w:pStyle w:val="21"/>
        <w:tabs>
          <w:tab w:val="right" w:leader="dot" w:pos="9070"/>
        </w:tabs>
      </w:pPr>
      <w:r>
        <w:rPr>
          <w:szCs w:val="24"/>
        </w:rPr>
        <w:fldChar w:fldCharType="begin"/>
      </w:r>
      <w:r>
        <w:rPr>
          <w:szCs w:val="24"/>
        </w:rPr>
        <w:instrText xml:space="preserve"> HYPERLINK \l _Toc22467 </w:instrText>
      </w:r>
      <w:r>
        <w:rPr>
          <w:szCs w:val="24"/>
        </w:rPr>
        <w:fldChar w:fldCharType="separate"/>
      </w:r>
      <w:r>
        <w:rPr>
          <w:rFonts w:hint="eastAsia" w:ascii="宋体" w:hAnsi="宋体" w:eastAsia="宋体" w:cs="宋体"/>
          <w:szCs w:val="24"/>
        </w:rPr>
        <w:t>第三部分 专用合同条款</w:t>
      </w:r>
      <w:r>
        <w:tab/>
      </w:r>
      <w:r>
        <w:fldChar w:fldCharType="begin"/>
      </w:r>
      <w:r>
        <w:instrText xml:space="preserve"> PAGEREF _Toc22467 \h </w:instrText>
      </w:r>
      <w:r>
        <w:fldChar w:fldCharType="separate"/>
      </w:r>
      <w:r>
        <w:t>84</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_Toc24000 </w:instrText>
      </w:r>
      <w:r>
        <w:rPr>
          <w:szCs w:val="24"/>
        </w:rPr>
        <w:fldChar w:fldCharType="separate"/>
      </w:r>
      <w:r>
        <w:rPr>
          <w:rFonts w:hint="eastAsia" w:ascii="宋体" w:hAnsi="宋体" w:eastAsia="宋体" w:cs="宋体"/>
          <w:szCs w:val="24"/>
        </w:rPr>
        <w:t>1. 一般约定</w:t>
      </w:r>
      <w:r>
        <w:tab/>
      </w:r>
      <w:r>
        <w:fldChar w:fldCharType="begin"/>
      </w:r>
      <w:r>
        <w:instrText xml:space="preserve"> PAGEREF _Toc24000 \h </w:instrText>
      </w:r>
      <w:r>
        <w:fldChar w:fldCharType="separate"/>
      </w:r>
      <w:r>
        <w:t>84</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_Toc9594 </w:instrText>
      </w:r>
      <w:r>
        <w:rPr>
          <w:szCs w:val="24"/>
        </w:rPr>
        <w:fldChar w:fldCharType="separate"/>
      </w:r>
      <w:r>
        <w:rPr>
          <w:rFonts w:hint="eastAsia" w:ascii="宋体" w:hAnsi="宋体" w:eastAsia="宋体" w:cs="宋体"/>
          <w:szCs w:val="24"/>
        </w:rPr>
        <w:t>2. 发包人</w:t>
      </w:r>
      <w:r>
        <w:tab/>
      </w:r>
      <w:r>
        <w:fldChar w:fldCharType="begin"/>
      </w:r>
      <w:r>
        <w:instrText xml:space="preserve"> PAGEREF _Toc9594 \h </w:instrText>
      </w:r>
      <w:r>
        <w:fldChar w:fldCharType="separate"/>
      </w:r>
      <w:r>
        <w:t>86</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_Toc12334 </w:instrText>
      </w:r>
      <w:r>
        <w:rPr>
          <w:szCs w:val="24"/>
        </w:rPr>
        <w:fldChar w:fldCharType="separate"/>
      </w:r>
      <w:r>
        <w:rPr>
          <w:rFonts w:hint="eastAsia" w:ascii="宋体" w:hAnsi="宋体" w:eastAsia="宋体" w:cs="宋体"/>
          <w:szCs w:val="24"/>
        </w:rPr>
        <w:t>3. 承包人</w:t>
      </w:r>
      <w:r>
        <w:tab/>
      </w:r>
      <w:r>
        <w:fldChar w:fldCharType="begin"/>
      </w:r>
      <w:r>
        <w:instrText xml:space="preserve"> PAGEREF _Toc12334 \h </w:instrText>
      </w:r>
      <w:r>
        <w:fldChar w:fldCharType="separate"/>
      </w:r>
      <w:r>
        <w:t>87</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_Toc23960 </w:instrText>
      </w:r>
      <w:r>
        <w:rPr>
          <w:szCs w:val="24"/>
        </w:rPr>
        <w:fldChar w:fldCharType="separate"/>
      </w:r>
      <w:r>
        <w:rPr>
          <w:rFonts w:hint="eastAsia" w:ascii="宋体" w:hAnsi="宋体" w:eastAsia="宋体" w:cs="宋体"/>
          <w:szCs w:val="24"/>
        </w:rPr>
        <w:t>4. 监理人</w:t>
      </w:r>
      <w:r>
        <w:tab/>
      </w:r>
      <w:r>
        <w:fldChar w:fldCharType="begin"/>
      </w:r>
      <w:r>
        <w:instrText xml:space="preserve"> PAGEREF _Toc23960 \h </w:instrText>
      </w:r>
      <w:r>
        <w:fldChar w:fldCharType="separate"/>
      </w:r>
      <w:r>
        <w:t>89</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_Toc21304 </w:instrText>
      </w:r>
      <w:r>
        <w:rPr>
          <w:szCs w:val="24"/>
        </w:rPr>
        <w:fldChar w:fldCharType="separate"/>
      </w:r>
      <w:r>
        <w:rPr>
          <w:rFonts w:hint="eastAsia" w:ascii="宋体" w:hAnsi="宋体" w:eastAsia="宋体" w:cs="宋体"/>
          <w:szCs w:val="24"/>
        </w:rPr>
        <w:t>5. 工程质量</w:t>
      </w:r>
      <w:r>
        <w:tab/>
      </w:r>
      <w:r>
        <w:fldChar w:fldCharType="begin"/>
      </w:r>
      <w:r>
        <w:instrText xml:space="preserve"> PAGEREF _Toc21304 \h </w:instrText>
      </w:r>
      <w:r>
        <w:fldChar w:fldCharType="separate"/>
      </w:r>
      <w:r>
        <w:t>89</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_Toc1397 </w:instrText>
      </w:r>
      <w:r>
        <w:rPr>
          <w:szCs w:val="24"/>
        </w:rPr>
        <w:fldChar w:fldCharType="separate"/>
      </w:r>
      <w:r>
        <w:rPr>
          <w:rFonts w:hint="eastAsia" w:ascii="宋体" w:hAnsi="宋体" w:eastAsia="宋体" w:cs="宋体"/>
          <w:szCs w:val="24"/>
        </w:rPr>
        <w:t>6. 安全文明施工与环境保护</w:t>
      </w:r>
      <w:r>
        <w:tab/>
      </w:r>
      <w:r>
        <w:fldChar w:fldCharType="begin"/>
      </w:r>
      <w:r>
        <w:instrText xml:space="preserve"> PAGEREF _Toc1397 \h </w:instrText>
      </w:r>
      <w:r>
        <w:fldChar w:fldCharType="separate"/>
      </w:r>
      <w:r>
        <w:t>90</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_Toc20309 </w:instrText>
      </w:r>
      <w:r>
        <w:rPr>
          <w:szCs w:val="24"/>
        </w:rPr>
        <w:fldChar w:fldCharType="separate"/>
      </w:r>
      <w:r>
        <w:rPr>
          <w:rFonts w:hint="eastAsia" w:ascii="宋体" w:hAnsi="宋体" w:eastAsia="宋体" w:cs="宋体"/>
          <w:szCs w:val="24"/>
        </w:rPr>
        <w:t>7. 工期和进度</w:t>
      </w:r>
      <w:r>
        <w:tab/>
      </w:r>
      <w:r>
        <w:fldChar w:fldCharType="begin"/>
      </w:r>
      <w:r>
        <w:instrText xml:space="preserve"> PAGEREF _Toc20309 \h </w:instrText>
      </w:r>
      <w:r>
        <w:fldChar w:fldCharType="separate"/>
      </w:r>
      <w:r>
        <w:t>90</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_Toc16927 </w:instrText>
      </w:r>
      <w:r>
        <w:rPr>
          <w:szCs w:val="24"/>
        </w:rPr>
        <w:fldChar w:fldCharType="separate"/>
      </w:r>
      <w:r>
        <w:rPr>
          <w:rFonts w:hint="eastAsia" w:ascii="宋体" w:hAnsi="宋体" w:eastAsia="宋体" w:cs="宋体"/>
          <w:szCs w:val="24"/>
        </w:rPr>
        <w:t>8. 材料与设备</w:t>
      </w:r>
      <w:r>
        <w:tab/>
      </w:r>
      <w:r>
        <w:fldChar w:fldCharType="begin"/>
      </w:r>
      <w:r>
        <w:instrText xml:space="preserve"> PAGEREF _Toc16927 \h </w:instrText>
      </w:r>
      <w:r>
        <w:fldChar w:fldCharType="separate"/>
      </w:r>
      <w:r>
        <w:t>91</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_Toc25070 </w:instrText>
      </w:r>
      <w:r>
        <w:rPr>
          <w:szCs w:val="24"/>
        </w:rPr>
        <w:fldChar w:fldCharType="separate"/>
      </w:r>
      <w:r>
        <w:rPr>
          <w:rFonts w:hint="eastAsia" w:ascii="宋体" w:hAnsi="宋体" w:eastAsia="宋体" w:cs="宋体"/>
          <w:szCs w:val="24"/>
        </w:rPr>
        <w:t>9. 试验与检验</w:t>
      </w:r>
      <w:r>
        <w:tab/>
      </w:r>
      <w:r>
        <w:fldChar w:fldCharType="begin"/>
      </w:r>
      <w:r>
        <w:instrText xml:space="preserve"> PAGEREF _Toc25070 \h </w:instrText>
      </w:r>
      <w:r>
        <w:fldChar w:fldCharType="separate"/>
      </w:r>
      <w:r>
        <w:t>92</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_Toc7593 </w:instrText>
      </w:r>
      <w:r>
        <w:rPr>
          <w:szCs w:val="24"/>
        </w:rPr>
        <w:fldChar w:fldCharType="separate"/>
      </w:r>
      <w:r>
        <w:rPr>
          <w:rFonts w:hint="eastAsia" w:ascii="宋体" w:hAnsi="宋体" w:eastAsia="宋体" w:cs="宋体"/>
          <w:szCs w:val="24"/>
        </w:rPr>
        <w:t>10. 变更</w:t>
      </w:r>
      <w:r>
        <w:tab/>
      </w:r>
      <w:r>
        <w:fldChar w:fldCharType="begin"/>
      </w:r>
      <w:r>
        <w:instrText xml:space="preserve"> PAGEREF _Toc7593 \h </w:instrText>
      </w:r>
      <w:r>
        <w:fldChar w:fldCharType="separate"/>
      </w:r>
      <w:r>
        <w:t>92</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_Toc19952 </w:instrText>
      </w:r>
      <w:r>
        <w:rPr>
          <w:szCs w:val="24"/>
        </w:rPr>
        <w:fldChar w:fldCharType="separate"/>
      </w:r>
      <w:r>
        <w:rPr>
          <w:rFonts w:hint="eastAsia" w:ascii="宋体" w:hAnsi="宋体" w:eastAsia="宋体" w:cs="宋体"/>
          <w:szCs w:val="24"/>
        </w:rPr>
        <w:t>11. 价格调整</w:t>
      </w:r>
      <w:r>
        <w:tab/>
      </w:r>
      <w:r>
        <w:fldChar w:fldCharType="begin"/>
      </w:r>
      <w:r>
        <w:instrText xml:space="preserve"> PAGEREF _Toc19952 \h </w:instrText>
      </w:r>
      <w:r>
        <w:fldChar w:fldCharType="separate"/>
      </w:r>
      <w:r>
        <w:t>93</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_Toc13287 </w:instrText>
      </w:r>
      <w:r>
        <w:rPr>
          <w:szCs w:val="24"/>
        </w:rPr>
        <w:fldChar w:fldCharType="separate"/>
      </w:r>
      <w:r>
        <w:rPr>
          <w:rFonts w:hint="eastAsia" w:ascii="宋体" w:hAnsi="宋体" w:eastAsia="宋体" w:cs="宋体"/>
          <w:szCs w:val="24"/>
        </w:rPr>
        <w:t>12. 合同价格、计量与支付</w:t>
      </w:r>
      <w:r>
        <w:tab/>
      </w:r>
      <w:r>
        <w:fldChar w:fldCharType="begin"/>
      </w:r>
      <w:r>
        <w:instrText xml:space="preserve"> PAGEREF _Toc13287 \h </w:instrText>
      </w:r>
      <w:r>
        <w:fldChar w:fldCharType="separate"/>
      </w:r>
      <w:r>
        <w:t>94</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_Toc31245 </w:instrText>
      </w:r>
      <w:r>
        <w:rPr>
          <w:szCs w:val="24"/>
        </w:rPr>
        <w:fldChar w:fldCharType="separate"/>
      </w:r>
      <w:r>
        <w:rPr>
          <w:rFonts w:hint="eastAsia" w:ascii="宋体" w:hAnsi="宋体" w:eastAsia="宋体" w:cs="宋体"/>
          <w:szCs w:val="24"/>
        </w:rPr>
        <w:t>13. 验收和工程试车</w:t>
      </w:r>
      <w:r>
        <w:tab/>
      </w:r>
      <w:r>
        <w:fldChar w:fldCharType="begin"/>
      </w:r>
      <w:r>
        <w:instrText xml:space="preserve"> PAGEREF _Toc31245 \h </w:instrText>
      </w:r>
      <w:r>
        <w:fldChar w:fldCharType="separate"/>
      </w:r>
      <w:r>
        <w:t>95</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_Toc27177 </w:instrText>
      </w:r>
      <w:r>
        <w:rPr>
          <w:szCs w:val="24"/>
        </w:rPr>
        <w:fldChar w:fldCharType="separate"/>
      </w:r>
      <w:r>
        <w:rPr>
          <w:rFonts w:hint="eastAsia" w:ascii="宋体" w:hAnsi="宋体" w:eastAsia="宋体" w:cs="宋体"/>
          <w:szCs w:val="24"/>
        </w:rPr>
        <w:t>14. 竣工结算</w:t>
      </w:r>
      <w:r>
        <w:tab/>
      </w:r>
      <w:r>
        <w:fldChar w:fldCharType="begin"/>
      </w:r>
      <w:r>
        <w:instrText xml:space="preserve"> PAGEREF _Toc27177 \h </w:instrText>
      </w:r>
      <w:r>
        <w:fldChar w:fldCharType="separate"/>
      </w:r>
      <w:r>
        <w:t>96</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_Toc4632 </w:instrText>
      </w:r>
      <w:r>
        <w:rPr>
          <w:szCs w:val="24"/>
        </w:rPr>
        <w:fldChar w:fldCharType="separate"/>
      </w:r>
      <w:r>
        <w:rPr>
          <w:rFonts w:hint="eastAsia" w:ascii="宋体" w:hAnsi="宋体" w:eastAsia="宋体" w:cs="宋体"/>
          <w:szCs w:val="24"/>
        </w:rPr>
        <w:t>15. 缺陷责任期与保修</w:t>
      </w:r>
      <w:r>
        <w:tab/>
      </w:r>
      <w:r>
        <w:fldChar w:fldCharType="begin"/>
      </w:r>
      <w:r>
        <w:instrText xml:space="preserve"> PAGEREF _Toc4632 \h </w:instrText>
      </w:r>
      <w:r>
        <w:fldChar w:fldCharType="separate"/>
      </w:r>
      <w:r>
        <w:t>97</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_Toc12724 </w:instrText>
      </w:r>
      <w:r>
        <w:rPr>
          <w:szCs w:val="24"/>
        </w:rPr>
        <w:fldChar w:fldCharType="separate"/>
      </w:r>
      <w:r>
        <w:rPr>
          <w:rFonts w:hint="eastAsia" w:ascii="宋体" w:hAnsi="宋体" w:eastAsia="宋体" w:cs="宋体"/>
          <w:szCs w:val="24"/>
        </w:rPr>
        <w:t>16. 违约</w:t>
      </w:r>
      <w:r>
        <w:tab/>
      </w:r>
      <w:r>
        <w:fldChar w:fldCharType="begin"/>
      </w:r>
      <w:r>
        <w:instrText xml:space="preserve"> PAGEREF _Toc12724 \h </w:instrText>
      </w:r>
      <w:r>
        <w:fldChar w:fldCharType="separate"/>
      </w:r>
      <w:r>
        <w:t>98</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_Toc19478 </w:instrText>
      </w:r>
      <w:r>
        <w:rPr>
          <w:szCs w:val="24"/>
        </w:rPr>
        <w:fldChar w:fldCharType="separate"/>
      </w:r>
      <w:r>
        <w:rPr>
          <w:rFonts w:hint="eastAsia" w:ascii="宋体" w:hAnsi="宋体" w:eastAsia="宋体" w:cs="宋体"/>
          <w:szCs w:val="24"/>
        </w:rPr>
        <w:t>17. 不可抗力</w:t>
      </w:r>
      <w:r>
        <w:tab/>
      </w:r>
      <w:r>
        <w:fldChar w:fldCharType="begin"/>
      </w:r>
      <w:r>
        <w:instrText xml:space="preserve"> PAGEREF _Toc19478 \h </w:instrText>
      </w:r>
      <w:r>
        <w:fldChar w:fldCharType="separate"/>
      </w:r>
      <w:r>
        <w:t>99</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_Toc4866 </w:instrText>
      </w:r>
      <w:r>
        <w:rPr>
          <w:szCs w:val="24"/>
        </w:rPr>
        <w:fldChar w:fldCharType="separate"/>
      </w:r>
      <w:r>
        <w:rPr>
          <w:rFonts w:hint="eastAsia" w:ascii="宋体" w:hAnsi="宋体" w:eastAsia="宋体" w:cs="宋体"/>
          <w:szCs w:val="24"/>
        </w:rPr>
        <w:t>18. 保险</w:t>
      </w:r>
      <w:r>
        <w:tab/>
      </w:r>
      <w:r>
        <w:fldChar w:fldCharType="begin"/>
      </w:r>
      <w:r>
        <w:instrText xml:space="preserve"> PAGEREF _Toc4866 \h </w:instrText>
      </w:r>
      <w:r>
        <w:fldChar w:fldCharType="separate"/>
      </w:r>
      <w:r>
        <w:t>99</w:t>
      </w:r>
      <w:r>
        <w:fldChar w:fldCharType="end"/>
      </w:r>
      <w:r>
        <w:rPr>
          <w:szCs w:val="24"/>
        </w:rPr>
        <w:fldChar w:fldCharType="end"/>
      </w:r>
    </w:p>
    <w:p>
      <w:pPr>
        <w:pStyle w:val="6"/>
        <w:tabs>
          <w:tab w:val="right" w:leader="dot" w:pos="9070"/>
        </w:tabs>
      </w:pPr>
      <w:r>
        <w:rPr>
          <w:szCs w:val="24"/>
        </w:rPr>
        <w:fldChar w:fldCharType="begin"/>
      </w:r>
      <w:r>
        <w:rPr>
          <w:szCs w:val="24"/>
        </w:rPr>
        <w:instrText xml:space="preserve"> HYPERLINK \l _Toc14072 </w:instrText>
      </w:r>
      <w:r>
        <w:rPr>
          <w:szCs w:val="24"/>
        </w:rPr>
        <w:fldChar w:fldCharType="separate"/>
      </w:r>
      <w:r>
        <w:rPr>
          <w:rFonts w:hint="eastAsia" w:ascii="宋体" w:hAnsi="宋体" w:eastAsia="宋体" w:cs="宋体"/>
          <w:szCs w:val="24"/>
        </w:rPr>
        <w:t>20. 争议解决</w:t>
      </w:r>
      <w:r>
        <w:tab/>
      </w:r>
      <w:r>
        <w:fldChar w:fldCharType="begin"/>
      </w:r>
      <w:r>
        <w:instrText xml:space="preserve"> PAGEREF _Toc14072 \h </w:instrText>
      </w:r>
      <w:r>
        <w:fldChar w:fldCharType="separate"/>
      </w:r>
      <w:r>
        <w:t>99</w:t>
      </w:r>
      <w:r>
        <w:fldChar w:fldCharType="end"/>
      </w:r>
      <w:r>
        <w:rPr>
          <w:szCs w:val="24"/>
        </w:rPr>
        <w:fldChar w:fldCharType="end"/>
      </w:r>
    </w:p>
    <w:p>
      <w:pPr>
        <w:pStyle w:val="247"/>
        <w:rPr>
          <w:rFonts w:hint="eastAsia" w:ascii="宋体" w:hAnsi="宋体"/>
          <w:sz w:val="28"/>
          <w:szCs w:val="28"/>
        </w:rPr>
      </w:pPr>
      <w:r>
        <w:rPr>
          <w:szCs w:val="24"/>
        </w:rPr>
        <w:fldChar w:fldCharType="end"/>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9"/>
        <w:pageBreakBefore w:val="0"/>
        <w:widowControl w:val="0"/>
        <w:numPr>
          <w:ilvl w:val="0"/>
          <w:numId w:val="0"/>
        </w:numPr>
        <w:kinsoku/>
        <w:wordWrap/>
        <w:overflowPunct/>
        <w:topLinePunct w:val="0"/>
        <w:bidi w:val="0"/>
        <w:snapToGrid/>
        <w:spacing w:line="400" w:lineRule="exact"/>
        <w:ind w:leftChars="0"/>
        <w:jc w:val="center"/>
        <w:textAlignment w:val="auto"/>
        <w:rPr>
          <w:rFonts w:hint="eastAsia" w:ascii="宋体" w:hAnsi="宋体" w:eastAsia="宋体" w:cs="宋体"/>
          <w:b/>
          <w:bCs/>
          <w:sz w:val="24"/>
          <w:szCs w:val="24"/>
        </w:rPr>
      </w:pPr>
      <w:bookmarkStart w:id="83" w:name="_Toc5732"/>
      <w:r>
        <w:rPr>
          <w:rFonts w:hint="eastAsia" w:ascii="宋体" w:hAnsi="宋体" w:eastAsia="宋体" w:cs="宋体"/>
          <w:b/>
          <w:bCs/>
          <w:sz w:val="24"/>
          <w:szCs w:val="24"/>
        </w:rPr>
        <w:t>第一部分 合同协议书</w:t>
      </w:r>
      <w:bookmarkEnd w:id="81"/>
      <w:bookmarkEnd w:id="82"/>
      <w:bookmarkEnd w:id="83"/>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u w:val="single"/>
          <w:lang w:val="en-US" w:eastAsia="zh-CN"/>
        </w:rPr>
      </w:pPr>
      <w:r>
        <w:rPr>
          <w:rFonts w:hint="eastAsia" w:ascii="宋体" w:hAnsi="宋体" w:eastAsia="宋体" w:cs="宋体"/>
          <w:b/>
          <w:color w:val="000000"/>
          <w:sz w:val="24"/>
          <w:szCs w:val="24"/>
        </w:rPr>
        <w:t>发包人（全称）：</w:t>
      </w:r>
      <w:r>
        <w:rPr>
          <w:rFonts w:hint="eastAsia" w:ascii="宋体" w:hAnsi="宋体" w:eastAsia="宋体" w:cs="宋体"/>
          <w:b/>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承包人（全称）：</w:t>
      </w:r>
      <w:r>
        <w:rPr>
          <w:rFonts w:hint="eastAsia" w:ascii="宋体" w:hAnsi="宋体" w:eastAsia="宋体" w:cs="宋体"/>
          <w:b/>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根据《中华人民共和国合同法》、《中华人民共和国建筑法》及有关法律规定，遵循平等、自愿、公平和诚实信用的原则，双方就</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工程施工及有关事项协商一致，共同达成如下协议：</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84" w:name="_Toc5816"/>
      <w:r>
        <w:rPr>
          <w:rFonts w:hint="eastAsia" w:ascii="宋体" w:hAnsi="宋体" w:eastAsia="宋体" w:cs="宋体"/>
          <w:b w:val="0"/>
          <w:color w:val="000000"/>
          <w:sz w:val="24"/>
          <w:szCs w:val="24"/>
          <w:u w:val="none"/>
        </w:rPr>
        <w:t>一、工程概况</w:t>
      </w:r>
      <w:bookmarkEnd w:id="84"/>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color w:val="000000"/>
          <w:sz w:val="24"/>
          <w:szCs w:val="24"/>
          <w:u w:val="single"/>
        </w:rPr>
      </w:pPr>
      <w:r>
        <w:rPr>
          <w:rFonts w:hint="eastAsia" w:ascii="宋体" w:hAnsi="宋体" w:eastAsia="宋体" w:cs="宋体"/>
          <w:bCs/>
          <w:color w:val="000000"/>
          <w:sz w:val="24"/>
          <w:szCs w:val="24"/>
        </w:rPr>
        <w:t>1.工程名称</w:t>
      </w:r>
      <w:r>
        <w:rPr>
          <w:rFonts w:hint="eastAsia" w:ascii="宋体" w:hAnsi="宋体" w:eastAsia="宋体" w:cs="宋体"/>
          <w:color w:val="000000"/>
          <w:sz w:val="24"/>
          <w:szCs w:val="24"/>
        </w:rPr>
        <w:t>：</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2.工程地点：</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3.工程立项批准文号：</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Cs/>
          <w:color w:val="000000"/>
          <w:sz w:val="24"/>
          <w:szCs w:val="24"/>
        </w:rPr>
        <w:t>。</w:t>
      </w:r>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4.资金来源：</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Cs/>
          <w:color w:val="000000"/>
          <w:sz w:val="24"/>
          <w:szCs w:val="24"/>
        </w:rPr>
        <w:t>。</w:t>
      </w:r>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5.工程内容：</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Cs/>
          <w:color w:val="000000"/>
          <w:sz w:val="24"/>
          <w:szCs w:val="24"/>
        </w:rPr>
        <w:t>。</w:t>
      </w:r>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群体工程应附《承包人承揽工程项目一览表》（附件1）。</w:t>
      </w:r>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6.工程承包范围：</w:t>
      </w:r>
    </w:p>
    <w:p>
      <w:pPr>
        <w:pageBreakBefore w:val="0"/>
        <w:widowControl w:val="0"/>
        <w:kinsoku/>
        <w:wordWrap/>
        <w:overflowPunct/>
        <w:topLinePunct w:val="0"/>
        <w:bidi w:val="0"/>
        <w:snapToGrid/>
        <w:spacing w:line="400" w:lineRule="exact"/>
        <w:ind w:firstLine="465" w:firstLineChars="193"/>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85" w:name="_Toc10372"/>
      <w:r>
        <w:rPr>
          <w:rFonts w:hint="eastAsia" w:ascii="宋体" w:hAnsi="宋体" w:eastAsia="宋体" w:cs="宋体"/>
          <w:b w:val="0"/>
          <w:color w:val="000000"/>
          <w:sz w:val="24"/>
          <w:szCs w:val="24"/>
          <w:u w:val="none"/>
        </w:rPr>
        <w:t>二、合同工期</w:t>
      </w:r>
      <w:bookmarkEnd w:id="85"/>
    </w:p>
    <w:p>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计划开工日期：</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日。</w:t>
      </w:r>
    </w:p>
    <w:p>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计划竣工日期：</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日。</w:t>
      </w:r>
    </w:p>
    <w:p>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工期总日历天数：</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天。工期总日历天数与根据前述计划开竣工日期计算的工期天数不一致的，以工期总日历天数为准。</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86" w:name="_Toc30641"/>
      <w:r>
        <w:rPr>
          <w:rFonts w:hint="eastAsia" w:ascii="宋体" w:hAnsi="宋体" w:eastAsia="宋体" w:cs="宋体"/>
          <w:b w:val="0"/>
          <w:color w:val="000000"/>
          <w:sz w:val="24"/>
          <w:szCs w:val="24"/>
          <w:u w:val="none"/>
        </w:rPr>
        <w:t>三、质量标准</w:t>
      </w:r>
      <w:bookmarkEnd w:id="86"/>
    </w:p>
    <w:p>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工程质量符合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标准。</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87" w:name="_Toc1449"/>
      <w:r>
        <w:rPr>
          <w:rFonts w:hint="eastAsia" w:ascii="宋体" w:hAnsi="宋体" w:eastAsia="宋体" w:cs="宋体"/>
          <w:b w:val="0"/>
          <w:color w:val="000000"/>
          <w:sz w:val="24"/>
          <w:szCs w:val="24"/>
          <w:u w:val="none"/>
        </w:rPr>
        <w:t>四、签约合同价与合同价格形式</w:t>
      </w:r>
      <w:bookmarkEnd w:id="87"/>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1.签约合同价为：</w:t>
      </w:r>
    </w:p>
    <w:p>
      <w:pPr>
        <w:pageBreakBefore w:val="0"/>
        <w:widowControl w:val="0"/>
        <w:kinsoku/>
        <w:wordWrap/>
        <w:overflowPunct/>
        <w:topLinePunct w:val="0"/>
        <w:bidi w:val="0"/>
        <w:snapToGrid/>
        <w:spacing w:line="400" w:lineRule="exact"/>
        <w:ind w:firstLine="600" w:firstLineChars="2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其中：</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pPr>
        <w:pageBreakBefore w:val="0"/>
        <w:widowControl w:val="0"/>
        <w:kinsoku/>
        <w:wordWrap/>
        <w:overflowPunct/>
        <w:topLinePunct w:val="0"/>
        <w:bidi w:val="0"/>
        <w:snapToGrid/>
        <w:spacing w:line="400" w:lineRule="exact"/>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pPr>
        <w:pageBreakBefore w:val="0"/>
        <w:widowControl w:val="0"/>
        <w:kinsoku/>
        <w:wordWrap/>
        <w:overflowPunct/>
        <w:topLinePunct w:val="0"/>
        <w:bidi w:val="0"/>
        <w:snapToGrid/>
        <w:spacing w:line="400" w:lineRule="exact"/>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pPr>
        <w:pageBreakBefore w:val="0"/>
        <w:widowControl w:val="0"/>
        <w:kinsoku/>
        <w:wordWrap/>
        <w:overflowPunct/>
        <w:topLinePunct w:val="0"/>
        <w:bidi w:val="0"/>
        <w:snapToGrid/>
        <w:spacing w:line="400" w:lineRule="exact"/>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pPr>
        <w:pageBreakBefore w:val="0"/>
        <w:widowControl w:val="0"/>
        <w:kinsoku/>
        <w:wordWrap/>
        <w:overflowPunct/>
        <w:topLinePunct w:val="0"/>
        <w:bidi w:val="0"/>
        <w:snapToGrid/>
        <w:spacing w:line="400" w:lineRule="exact"/>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2.合同价格形式：</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88" w:name="_Toc3510"/>
      <w:r>
        <w:rPr>
          <w:rFonts w:hint="eastAsia" w:ascii="宋体" w:hAnsi="宋体" w:eastAsia="宋体" w:cs="宋体"/>
          <w:b w:val="0"/>
          <w:color w:val="000000"/>
          <w:sz w:val="24"/>
          <w:szCs w:val="24"/>
          <w:u w:val="none"/>
        </w:rPr>
        <w:t>五、项目经理</w:t>
      </w:r>
      <w:bookmarkEnd w:id="88"/>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承包人项目经理：</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89" w:name="_Toc12898"/>
      <w:r>
        <w:rPr>
          <w:rFonts w:hint="eastAsia" w:ascii="宋体" w:hAnsi="宋体" w:eastAsia="宋体" w:cs="宋体"/>
          <w:b w:val="0"/>
          <w:color w:val="000000"/>
          <w:sz w:val="24"/>
          <w:szCs w:val="24"/>
          <w:u w:val="none"/>
        </w:rPr>
        <w:t>六、合同文件构成</w:t>
      </w:r>
      <w:bookmarkEnd w:id="89"/>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本协议书与下列文件一起构成合同文件：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（1）中标通知书（如果有）；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（2）投标函及其附录（如果有）；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（3）专用合同条款及其附件；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（4）通用合同条款；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（5）技术标准和要求；</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（6）图纸；</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（7）已标价工程量清单或预算书；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（8）其他合同文件。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0" w:name="_Toc21976"/>
      <w:r>
        <w:rPr>
          <w:rFonts w:hint="eastAsia" w:ascii="宋体" w:hAnsi="宋体" w:eastAsia="宋体" w:cs="宋体"/>
          <w:b w:val="0"/>
          <w:color w:val="000000"/>
          <w:sz w:val="24"/>
          <w:szCs w:val="24"/>
          <w:u w:val="none"/>
        </w:rPr>
        <w:t>七、承诺</w:t>
      </w:r>
      <w:bookmarkEnd w:id="90"/>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1.发包人承诺按照法律规定履行项目审批手续、筹集工程建设资金并按照合同约定的期限和方式支付合同价款。</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2.承包人承诺按照法律规定及合同约定组织完成工程施工，确保工程质量和安全，不进行转包及违法分包，并在缺陷责任期及保修期内承担相应的工程维修责任。</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3.发包人和承包人通过招投标形式签订合同的，双方理解并承诺不再就同一工程另行签订与合同实质性内容相背离的协议。</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1" w:name="_Toc7985"/>
      <w:r>
        <w:rPr>
          <w:rFonts w:hint="eastAsia" w:ascii="宋体" w:hAnsi="宋体" w:eastAsia="宋体" w:cs="宋体"/>
          <w:b w:val="0"/>
          <w:color w:val="000000"/>
          <w:sz w:val="24"/>
          <w:szCs w:val="24"/>
          <w:u w:val="none"/>
        </w:rPr>
        <w:t>八、词语含义</w:t>
      </w:r>
      <w:bookmarkEnd w:id="91"/>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本协议书中词语含义与第二部分通用合同条款中赋予的含义相同。</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2" w:name="_Toc12133"/>
      <w:r>
        <w:rPr>
          <w:rFonts w:hint="eastAsia" w:ascii="宋体" w:hAnsi="宋体" w:eastAsia="宋体" w:cs="宋体"/>
          <w:b w:val="0"/>
          <w:color w:val="000000"/>
          <w:sz w:val="24"/>
          <w:szCs w:val="24"/>
          <w:u w:val="none"/>
        </w:rPr>
        <w:t>九、签订时间</w:t>
      </w:r>
      <w:bookmarkEnd w:id="92"/>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本合同于</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日签订。</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3" w:name="_Toc25532"/>
      <w:r>
        <w:rPr>
          <w:rFonts w:hint="eastAsia" w:ascii="宋体" w:hAnsi="宋体" w:eastAsia="宋体" w:cs="宋体"/>
          <w:b w:val="0"/>
          <w:color w:val="000000"/>
          <w:sz w:val="24"/>
          <w:szCs w:val="24"/>
          <w:u w:val="none"/>
        </w:rPr>
        <w:t>十、签订地点</w:t>
      </w:r>
      <w:bookmarkEnd w:id="93"/>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本合同在</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签订。</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4" w:name="_Toc23244"/>
      <w:r>
        <w:rPr>
          <w:rFonts w:hint="eastAsia" w:ascii="宋体" w:hAnsi="宋体" w:eastAsia="宋体" w:cs="宋体"/>
          <w:b w:val="0"/>
          <w:color w:val="000000"/>
          <w:sz w:val="24"/>
          <w:szCs w:val="24"/>
          <w:u w:val="none"/>
        </w:rPr>
        <w:t>十一、补充协议</w:t>
      </w:r>
      <w:bookmarkEnd w:id="94"/>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bCs/>
          <w:color w:val="000000"/>
          <w:sz w:val="24"/>
          <w:szCs w:val="24"/>
        </w:rPr>
        <w:t>合同未尽事宜，合同当事人另行签订补充协议，补充协议是合同的组成部分。</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5" w:name="_Toc12434"/>
      <w:r>
        <w:rPr>
          <w:rFonts w:hint="eastAsia" w:ascii="宋体" w:hAnsi="宋体" w:eastAsia="宋体" w:cs="宋体"/>
          <w:b w:val="0"/>
          <w:color w:val="000000"/>
          <w:sz w:val="24"/>
          <w:szCs w:val="24"/>
          <w:u w:val="none"/>
        </w:rPr>
        <w:t>十二、合同生效</w:t>
      </w:r>
      <w:bookmarkEnd w:id="95"/>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本合同自</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生效。</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r>
        <w:rPr>
          <w:rFonts w:hint="eastAsia" w:ascii="宋体" w:hAnsi="宋体" w:eastAsia="宋体" w:cs="宋体"/>
          <w:b w:val="0"/>
          <w:color w:val="000000"/>
          <w:sz w:val="24"/>
          <w:szCs w:val="24"/>
          <w:u w:val="none"/>
        </w:rPr>
        <w:t>十三、合同份数</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本合同一式</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份，均具有同等法律效力，发包人执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份，承包人执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发包人：  (公章)             承包人：  (公章)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  法定代表人或其委托代理人：</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（签字）                    （签字）</w:t>
      </w:r>
    </w:p>
    <w:p>
      <w:pPr>
        <w:pageBreakBefore w:val="0"/>
        <w:widowControl w:val="0"/>
        <w:tabs>
          <w:tab w:val="left" w:pos="4410"/>
        </w:tabs>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组织机构代码：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组织机构代码：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 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法定代表人：</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电子信箱：</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Style w:val="9"/>
        <w:pageBreakBefore w:val="0"/>
        <w:widowControl w:val="0"/>
        <w:numPr>
          <w:ilvl w:val="0"/>
          <w:numId w:val="0"/>
        </w:numPr>
        <w:kinsoku/>
        <w:wordWrap/>
        <w:overflowPunct/>
        <w:topLinePunct w:val="0"/>
        <w:bidi w:val="0"/>
        <w:snapToGrid/>
        <w:spacing w:line="400" w:lineRule="exact"/>
        <w:ind w:leftChars="0"/>
        <w:jc w:val="center"/>
        <w:textAlignment w:val="auto"/>
        <w:rPr>
          <w:rFonts w:hint="eastAsia" w:ascii="宋体" w:hAnsi="宋体" w:eastAsia="宋体" w:cs="宋体"/>
          <w:b/>
          <w:bCs/>
          <w:sz w:val="24"/>
          <w:szCs w:val="24"/>
        </w:rPr>
      </w:pPr>
      <w:bookmarkStart w:id="96" w:name="_Toc5124"/>
      <w:r>
        <w:rPr>
          <w:rFonts w:hint="eastAsia" w:ascii="宋体" w:hAnsi="宋体" w:eastAsia="宋体" w:cs="宋体"/>
          <w:b/>
          <w:bCs/>
          <w:sz w:val="24"/>
          <w:szCs w:val="24"/>
        </w:rPr>
        <w:t>第二部分 通用合同条款</w:t>
      </w:r>
      <w:bookmarkEnd w:id="96"/>
      <w:bookmarkStart w:id="97" w:name="_Toc337558727"/>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8" w:name="_Toc29832"/>
      <w:r>
        <w:rPr>
          <w:rFonts w:hint="eastAsia" w:ascii="宋体" w:hAnsi="宋体" w:eastAsia="宋体" w:cs="宋体"/>
          <w:b w:val="0"/>
          <w:color w:val="000000"/>
          <w:sz w:val="24"/>
          <w:szCs w:val="24"/>
          <w:u w:val="none"/>
        </w:rPr>
        <w:t>1.</w:t>
      </w:r>
      <w:bookmarkStart w:id="99" w:name="_Toc303538973"/>
      <w:bookmarkEnd w:id="99"/>
      <w:bookmarkStart w:id="100" w:name="_Toc303538975"/>
      <w:bookmarkEnd w:id="100"/>
      <w:bookmarkStart w:id="101" w:name="_Toc303538974"/>
      <w:bookmarkEnd w:id="101"/>
      <w:bookmarkStart w:id="102" w:name="_Toc303538976"/>
      <w:bookmarkEnd w:id="102"/>
      <w:bookmarkStart w:id="103" w:name="_Toc303538972"/>
      <w:bookmarkEnd w:id="103"/>
      <w:bookmarkStart w:id="104" w:name="_Toc296346528"/>
      <w:bookmarkStart w:id="105" w:name="_Toc296503027"/>
      <w:r>
        <w:rPr>
          <w:rFonts w:hint="eastAsia" w:ascii="宋体" w:hAnsi="宋体" w:eastAsia="宋体" w:cs="宋体"/>
          <w:b w:val="0"/>
          <w:color w:val="000000"/>
          <w:sz w:val="24"/>
          <w:szCs w:val="24"/>
          <w:u w:val="none"/>
        </w:rPr>
        <w:t xml:space="preserve"> 一般约定</w:t>
      </w:r>
      <w:bookmarkEnd w:id="97"/>
      <w:bookmarkEnd w:id="98"/>
      <w:bookmarkEnd w:id="104"/>
      <w:bookmarkEnd w:id="105"/>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color w:val="000000"/>
          <w:sz w:val="24"/>
          <w:szCs w:val="24"/>
        </w:rPr>
      </w:pPr>
      <w:bookmarkStart w:id="106" w:name="_Toc296346529"/>
      <w:bookmarkStart w:id="107" w:name="_Toc337558728"/>
      <w:bookmarkStart w:id="108" w:name="_Toc296503028"/>
      <w:bookmarkStart w:id="109" w:name="_Toc21220"/>
      <w:r>
        <w:rPr>
          <w:rFonts w:hint="eastAsia" w:ascii="宋体" w:hAnsi="宋体" w:eastAsia="宋体" w:cs="宋体"/>
          <w:b w:val="0"/>
          <w:color w:val="000000"/>
          <w:sz w:val="24"/>
          <w:szCs w:val="24"/>
        </w:rPr>
        <w:t>1.1词语定义</w:t>
      </w:r>
      <w:bookmarkEnd w:id="106"/>
      <w:bookmarkEnd w:id="107"/>
      <w:bookmarkEnd w:id="108"/>
      <w:r>
        <w:rPr>
          <w:rFonts w:hint="eastAsia" w:ascii="宋体" w:hAnsi="宋体" w:eastAsia="宋体" w:cs="宋体"/>
          <w:b w:val="0"/>
          <w:color w:val="000000"/>
          <w:sz w:val="24"/>
          <w:szCs w:val="24"/>
        </w:rPr>
        <w:t>与解释</w:t>
      </w:r>
      <w:bookmarkEnd w:id="109"/>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合同协议书、通用合同条款、专用合同条款中的下列词语具有本款所赋予的含义：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 合同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000000"/>
          <w:sz w:val="24"/>
          <w:szCs w:val="24"/>
        </w:rPr>
        <w:t>及其附件</w:t>
      </w:r>
      <w:r>
        <w:rPr>
          <w:rFonts w:hint="eastAsia" w:ascii="宋体" w:hAnsi="宋体" w:eastAsia="宋体" w:cs="宋体"/>
          <w:color w:val="000000"/>
          <w:kern w:val="0"/>
          <w:sz w:val="24"/>
          <w:szCs w:val="24"/>
        </w:rPr>
        <w:t>、通用合同条款、技术标准和要求、图纸、已标价工程量清单或预算书以及其他合同文件。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1.1.1.2 合同协议书：是指构成合同的由发包人和承包人共同签署的称为“合同协议书”的书面文件。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1.1.1.3 中标通知书：是指构成合同的由发包人通知承包人中标的书面文件。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1.1.1.4 投标函：是指构成合同的由承包人填写并签署的用于投标的称为“投标函”的文件。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1.1.1.5 投标函附录：是指构成合同的附在投标函后的称为“投标函附录”的文件。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1.1.1.6 技术标准和要求：是指构成合同的施工应当遵守的或指导施工的国家、行业或地方的技术标准和要求，以及合同约定的技术标准和要求。</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pPr>
        <w:pageBreakBefore w:val="0"/>
        <w:widowControl w:val="0"/>
        <w:kinsoku/>
        <w:wordWrap/>
        <w:overflowPunct/>
        <w:topLinePunct w:val="0"/>
        <w:autoSpaceDE w:val="0"/>
        <w:autoSpaceDN w:val="0"/>
        <w:bidi w:val="0"/>
        <w:adjustRightInd w:val="0"/>
        <w:snapToGrid/>
        <w:spacing w:line="400" w:lineRule="exact"/>
        <w:ind w:firstLine="468" w:firstLineChars="195"/>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1.1.1.8 已标价工程量清单：是指构成合同的由承包人按照规定的格式和要求填写并标明价格的工程量清单，包括说明和表格。</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1.1.1.9 预算书：是指构成合同的由承包人按照发包人规定的格式和要求编制的工程预算文件。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 其他合同文件：是指经合同当事人约定的与工程施工有关的具有合同约束力的文件或书面协议。合同当事人可以在专用合同条款中进行约定。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 合同当事人及其他相关方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1.1.2.1 合同当事人：是指发包人和（或）承包人。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1.1.2.2 发包人：是指与承包人签订合同协议书的当事人及取得该当事人资格的合法继承人。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1.1.2.3 承包人：是指与发包人签订合同协议书的，具有相应工程施工承包资质的当事人及取得该当事人资格的合法继承人。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1.1.2.4 监理人：是指在专用合同条款中指明的，受发包人委托按照法律规定进行工程监督管理的法人或其他组织。</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1.1.2.5 设计人：是指在专用合同条款中指明的，受发包人委托负责工程设计并具备相应工程设计资质的法人或其他组织。</w:t>
      </w:r>
    </w:p>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1.1.2.6 分包人：</w:t>
      </w:r>
      <w:bookmarkStart w:id="110" w:name="#go5"/>
      <w:bookmarkEnd w:id="110"/>
      <w:r>
        <w:rPr>
          <w:rFonts w:hint="eastAsia" w:ascii="宋体" w:hAnsi="宋体" w:eastAsia="宋体" w:cs="宋体"/>
          <w:color w:val="000000"/>
          <w:kern w:val="0"/>
          <w:sz w:val="24"/>
          <w:szCs w:val="24"/>
        </w:rPr>
        <w:t>是指按照法律规定和合同约定，分包部分工程或工作，并与承包人签订分包合同的具有相应资质的法人。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1.1.2.7 发包人代表：是指由发包人任命并派驻施工现场在发包人授权范围内行使发包人权利的人。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1.1.2.8 项目经理：是指由承包人任命并派驻施工现场，在承包人授权范围内负责合同履行，且按照法律规定具有相应资格的项目负责人。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1.1.2.9 总监理工程师：是指由监理人任命并派驻施工现场进行工程监理的总负责人。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 工程和设备</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 工程：是指与合同协议书中工程承包范围对应的永久工程和（或）临时工程。</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1.1.3.2 永久工程：是指按合同约定建造并移交给发包人的工程，包括工程设备。</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1.1.3.3 临时工程：是指为完成合同约定的永久工程所修建的各类临时性工程，不包括施工设备。</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1.1.3.4 单位工程：是指在合同协议书中指明的，具备独立施工条件并能形成独立使用功能的永久工程。</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1.1.3.5 工程设备：是指构成永久工程的机电设备、金属结构设备、仪器及其他类似的设备和装置。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1.1.3.6 施工设备：是指为完成合同约定的各项工作所需的设备、器具和其他物品，但不包括工程设备、临时工程和材料。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1.1.3.7 施工现场：是指用于工程施工的场所，以及在专用合同条款中指明作为施工场所组成部分的其他场所，包括永久占地和临时占地。</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1.1.3.8临时设施：是指为完成合同约定的各项工作所服务的临时性生产和生活设施。</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永久占地：是指专用合同条款中指明为实施工程需永久占用的土地。</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1.1.3.10 临时占地：是指专用合同条款中指明为实施工程需要临时占用的土地。</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 日期和期限</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1.1.4.2 竣工日期：包括计划竣工日期和实际竣工日期。计划竣工日期是指合同协议书约定的竣工日期；实际竣工日期按照第13.2.3项〔竣工日期〕的约定确定。 </w:t>
      </w:r>
    </w:p>
    <w:p>
      <w:pPr>
        <w:pageBreakBefore w:val="0"/>
        <w:widowControl w:val="0"/>
        <w:kinsoku/>
        <w:wordWrap/>
        <w:overflowPunct/>
        <w:topLinePunct w:val="0"/>
        <w:bidi w:val="0"/>
        <w:snapToGrid/>
        <w:spacing w:line="400" w:lineRule="exact"/>
        <w:ind w:firstLine="487" w:firstLineChars="203"/>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1.1.4.3 工期：是指在合同协议书约定的承包人完成工程所需的期限，包括按照合同约定所作的期限变更。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1.1.4.4 缺陷责任期：是指承包人按照合同约定承担缺陷修复义务，且发包人预留质量保证金（已缴纳履约保证金的除外）的期限，自工程实际竣工日期起计算。</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1.1.4.5 保修期：是指承包人按照合同约定对工程承担保修责任的期限，从工程竣工验收合格之日起计算。</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1.1.4.6 基准日期：招标发包的工程以投标截止日前28天的日期为基准日期，直接发包的工程以合同签订日前28天的日期为基准日期。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1.1.4.7 天：除特别指明外，均指日历天。合同中按天计算时间的，开始当天不计入，从次日开始计算，期限最后一天的截止时间为当天24:00时。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 合同价格和费用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1.1.5.1 签约合同价：是指</w:t>
      </w:r>
      <w:r>
        <w:rPr>
          <w:rFonts w:hint="eastAsia" w:ascii="宋体" w:hAnsi="宋体" w:eastAsia="宋体" w:cs="宋体"/>
          <w:color w:val="000000"/>
          <w:sz w:val="24"/>
          <w:szCs w:val="24"/>
        </w:rPr>
        <w:t>发包人和承包人在合同协议书中确定的总金额，包括安全文明施工费、暂估价及暂列金额等。</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1.1.5.2 合同价格：是指发包人用于支付承包人按照合同约定完成承包范围内全部工作的金额，包括合同履行过程中按合同约定发生的价格变化。</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1.1.5.3 费用：是指为履行合同所发生的或将要发生的所有必需的开支，包括管理费和应分摊的其他费用，但不包括利润。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1.1.5.4 暂估价：是指发包人在工程量清单或预算书中提供的用于支付必然发生但暂时不能确定价格的材料、工程设备的单价、专业工程以及服务工作的金额。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1.1.5.6 计日工：是指合同履行过程中，承包人完成发包人提出的零星工作或需要采用计日工计价的变更工作时，按合同中约定的单价计价的一种方式。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1.1.5.7 质量保证金</w:t>
      </w:r>
      <w:bookmarkStart w:id="111" w:name="#go2"/>
      <w:bookmarkEnd w:id="111"/>
      <w:r>
        <w:rPr>
          <w:rFonts w:hint="eastAsia" w:ascii="宋体" w:hAnsi="宋体" w:eastAsia="宋体" w:cs="宋体"/>
          <w:color w:val="000000"/>
          <w:kern w:val="0"/>
          <w:sz w:val="24"/>
          <w:szCs w:val="24"/>
        </w:rPr>
        <w:t>：是指按照第15.3款〔质量保证金〕约定承包人用于保证其在缺陷责任期内履行缺陷修补义务的担保</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1.1.5.8 总价项目：是指在现行国家、行业以及地方的计量规则中无工程量计算规则，在已标价工程量清单或预算书中以总价或以费率形式计算的项目。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1.1.6 其他</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1.1.6.1 书面形式：是指合同文件、信函、电报、传真等可以有形地表现所载内容的形式。</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12" w:name="_Toc21895"/>
      <w:bookmarkStart w:id="113" w:name="_Toc337558729"/>
      <w:bookmarkStart w:id="114" w:name="_Toc296346530"/>
      <w:bookmarkStart w:id="115" w:name="_Toc296503029"/>
      <w:r>
        <w:rPr>
          <w:rFonts w:hint="eastAsia" w:ascii="宋体" w:hAnsi="宋体" w:eastAsia="宋体" w:cs="宋体"/>
          <w:b w:val="0"/>
          <w:bCs w:val="0"/>
          <w:color w:val="000000"/>
          <w:sz w:val="24"/>
          <w:szCs w:val="24"/>
        </w:rPr>
        <w:t>1.2语言文字</w:t>
      </w:r>
      <w:bookmarkEnd w:id="112"/>
      <w:bookmarkEnd w:id="113"/>
      <w:bookmarkEnd w:id="114"/>
      <w:bookmarkEnd w:id="115"/>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合同以中国的汉语简体文字编写、解释和说明。合同当事人在专用合同条款中约定使用两种以上语言时，汉语为优先解释和说明合同的语言。</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16" w:name="_Toc296503030"/>
      <w:bookmarkStart w:id="117" w:name="_Toc23596"/>
      <w:bookmarkStart w:id="118" w:name="_Toc296346531"/>
      <w:bookmarkStart w:id="119" w:name="_Toc337558730"/>
      <w:r>
        <w:rPr>
          <w:rFonts w:hint="eastAsia" w:ascii="宋体" w:hAnsi="宋体" w:eastAsia="宋体" w:cs="宋体"/>
          <w:b w:val="0"/>
          <w:bCs w:val="0"/>
          <w:color w:val="000000"/>
          <w:sz w:val="24"/>
          <w:szCs w:val="24"/>
        </w:rPr>
        <w:t>1.3法律</w:t>
      </w:r>
      <w:bookmarkEnd w:id="116"/>
      <w:bookmarkEnd w:id="117"/>
      <w:bookmarkEnd w:id="118"/>
      <w:bookmarkEnd w:id="119"/>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合同所称法律是指中华人民共和国法律、行政法规、部门规章，以及工程所在地的地方性法规、自治条例、单行条例和地方政府规章等。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合同当事人可以在专用合同条款中约定合同适用的其他规范性文件。</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20" w:name="_Toc9605"/>
      <w:r>
        <w:rPr>
          <w:rFonts w:hint="eastAsia" w:ascii="宋体" w:hAnsi="宋体" w:eastAsia="宋体" w:cs="宋体"/>
          <w:b w:val="0"/>
          <w:bCs w:val="0"/>
          <w:color w:val="000000"/>
          <w:sz w:val="24"/>
          <w:szCs w:val="24"/>
        </w:rPr>
        <w:t>1.4 标准和规范</w:t>
      </w:r>
      <w:bookmarkEnd w:id="120"/>
    </w:p>
    <w:p>
      <w:pPr>
        <w:pageBreakBefore w:val="0"/>
        <w:widowControl w:val="0"/>
        <w:kinsoku/>
        <w:wordWrap/>
        <w:overflowPunct/>
        <w:topLinePunct w:val="0"/>
        <w:autoSpaceDE w:val="0"/>
        <w:autoSpaceDN w:val="0"/>
        <w:bidi w:val="0"/>
        <w:adjustRightInd w:val="0"/>
        <w:snapToGrid/>
        <w:spacing w:line="400" w:lineRule="exact"/>
        <w:ind w:firstLine="64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1.4.1 适用于工程的国家标准、行业标准、工程所在地的地方性标准，以及相应的规范、规程等，合同当事人有特别要求的，应在专用合同条款中约定。</w:t>
      </w:r>
    </w:p>
    <w:p>
      <w:pPr>
        <w:pageBreakBefore w:val="0"/>
        <w:widowControl w:val="0"/>
        <w:kinsoku/>
        <w:wordWrap/>
        <w:overflowPunct/>
        <w:topLinePunct w:val="0"/>
        <w:autoSpaceDE w:val="0"/>
        <w:autoSpaceDN w:val="0"/>
        <w:bidi w:val="0"/>
        <w:adjustRightInd w:val="0"/>
        <w:snapToGrid/>
        <w:spacing w:line="400" w:lineRule="exact"/>
        <w:ind w:firstLine="64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 发包人要求使用国外标准、规范的，发包人负责提供原文版本和中文译本，并在专用合同条款中约定提供标准规范的名称、份数和时间。</w:t>
      </w:r>
    </w:p>
    <w:p>
      <w:pPr>
        <w:pageBreakBefore w:val="0"/>
        <w:widowControl w:val="0"/>
        <w:kinsoku/>
        <w:wordWrap/>
        <w:overflowPunct/>
        <w:topLinePunct w:val="0"/>
        <w:autoSpaceDE w:val="0"/>
        <w:autoSpaceDN w:val="0"/>
        <w:bidi w:val="0"/>
        <w:adjustRightInd w:val="0"/>
        <w:snapToGrid/>
        <w:spacing w:line="400" w:lineRule="exact"/>
        <w:ind w:firstLine="64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21" w:name="_Toc22226"/>
      <w:r>
        <w:rPr>
          <w:rFonts w:hint="eastAsia" w:ascii="宋体" w:hAnsi="宋体" w:eastAsia="宋体" w:cs="宋体"/>
          <w:b w:val="0"/>
          <w:bCs w:val="0"/>
          <w:color w:val="000000"/>
          <w:sz w:val="24"/>
          <w:szCs w:val="24"/>
        </w:rPr>
        <w:t>1</w:t>
      </w:r>
      <w:bookmarkStart w:id="122" w:name="_Toc337558731"/>
      <w:bookmarkStart w:id="123" w:name="_Toc296346532"/>
      <w:bookmarkStart w:id="124" w:name="_Toc296503031"/>
      <w:r>
        <w:rPr>
          <w:rFonts w:hint="eastAsia" w:ascii="宋体" w:hAnsi="宋体" w:eastAsia="宋体" w:cs="宋体"/>
          <w:b w:val="0"/>
          <w:bCs w:val="0"/>
          <w:color w:val="000000"/>
          <w:sz w:val="24"/>
          <w:szCs w:val="24"/>
        </w:rPr>
        <w:t>.5 合同文件的优先顺序</w:t>
      </w:r>
      <w:bookmarkEnd w:id="121"/>
    </w:p>
    <w:bookmarkEnd w:id="122"/>
    <w:bookmarkEnd w:id="123"/>
    <w:bookmarkEnd w:id="124"/>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组成合同的各项文件应互相解释，互为说明。除专用合同条款另有约定外，解释合同文件的优先顺序如下：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（1）合同协议书；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（2）中标通知书（如果有）；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（3）投标函及其附录（如果有）；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（4）专用合同条款</w:t>
      </w:r>
      <w:r>
        <w:rPr>
          <w:rFonts w:hint="eastAsia" w:ascii="宋体" w:hAnsi="宋体" w:eastAsia="宋体" w:cs="宋体"/>
          <w:color w:val="000000"/>
          <w:sz w:val="24"/>
          <w:szCs w:val="24"/>
        </w:rPr>
        <w:t>及其附件</w:t>
      </w:r>
      <w:r>
        <w:rPr>
          <w:rFonts w:hint="eastAsia" w:ascii="宋体" w:hAnsi="宋体" w:eastAsia="宋体" w:cs="宋体"/>
          <w:color w:val="000000"/>
          <w:kern w:val="0"/>
          <w:sz w:val="24"/>
          <w:szCs w:val="24"/>
        </w:rPr>
        <w:t>；</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（5）通用合同条款；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（6）技术标准和要求；</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（7）图纸；</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（8）已标价工程量清单或预算书；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（9）其他合同文件。</w:t>
      </w:r>
    </w:p>
    <w:p>
      <w:pPr>
        <w:pageBreakBefore w:val="0"/>
        <w:widowControl w:val="0"/>
        <w:kinsoku/>
        <w:wordWrap/>
        <w:overflowPunct/>
        <w:topLinePunct w:val="0"/>
        <w:bidi w:val="0"/>
        <w:snapToGrid/>
        <w:spacing w:line="400" w:lineRule="exact"/>
        <w:ind w:firstLine="511" w:firstLineChars="21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w:t>
      </w:r>
    </w:p>
    <w:p>
      <w:pPr>
        <w:pageBreakBefore w:val="0"/>
        <w:widowControl w:val="0"/>
        <w:kinsoku/>
        <w:wordWrap/>
        <w:overflowPunct/>
        <w:topLinePunct w:val="0"/>
        <w:bidi w:val="0"/>
        <w:snapToGrid/>
        <w:spacing w:line="400" w:lineRule="exact"/>
        <w:ind w:firstLine="511" w:firstLineChars="21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在合同订立及履行过程中形成的与合同有关的文件均构成合同文件组成部分，并根据其性质确定优先解释顺序。</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25" w:name="_Toc27471"/>
      <w:r>
        <w:rPr>
          <w:rFonts w:hint="eastAsia" w:ascii="宋体" w:hAnsi="宋体" w:eastAsia="宋体" w:cs="宋体"/>
          <w:b w:val="0"/>
          <w:bCs w:val="0"/>
          <w:color w:val="000000"/>
          <w:sz w:val="24"/>
          <w:szCs w:val="24"/>
        </w:rPr>
        <w:t>1</w:t>
      </w:r>
      <w:bookmarkStart w:id="126" w:name="_Toc337558732"/>
      <w:bookmarkStart w:id="127" w:name="_Toc296503032"/>
      <w:bookmarkStart w:id="128" w:name="_Toc296346533"/>
      <w:r>
        <w:rPr>
          <w:rFonts w:hint="eastAsia" w:ascii="宋体" w:hAnsi="宋体" w:eastAsia="宋体" w:cs="宋体"/>
          <w:b w:val="0"/>
          <w:bCs w:val="0"/>
          <w:color w:val="000000"/>
          <w:sz w:val="24"/>
          <w:szCs w:val="24"/>
        </w:rPr>
        <w:t>.6图纸和承包人文件</w:t>
      </w:r>
      <w:bookmarkEnd w:id="125"/>
    </w:p>
    <w:bookmarkEnd w:id="126"/>
    <w:bookmarkEnd w:id="127"/>
    <w:bookmarkEnd w:id="128"/>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 图纸的提供和交底</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因发包人未按合同约定提供图纸导致承包人费用增加和（或）工期延误的，按照第7.5.1项〔因发包人原因导致工期延误〕约定办理。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 图纸的错误</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1.6.3 图纸的修改和补充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1.6.4 承包人文件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承包人应按照专用合同条款的约定提供应当由其编制的与工程施工有关的文件，并按照专用合同条款约定的期限、数量和形式提交监理人，并由监理人报送发包人。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1.6.5 图纸和承包人文件的保管</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除专用合同条款另有约定外，承包人应在施工现场另外保存一套完整的图纸和承包人文件，供发包人、监理人及有关人员进行工程检查时使用。</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29" w:name="_Toc861"/>
      <w:r>
        <w:rPr>
          <w:rFonts w:hint="eastAsia" w:ascii="宋体" w:hAnsi="宋体" w:eastAsia="宋体" w:cs="宋体"/>
          <w:b w:val="0"/>
          <w:bCs w:val="0"/>
          <w:color w:val="000000"/>
          <w:sz w:val="24"/>
          <w:szCs w:val="24"/>
        </w:rPr>
        <w:t>1</w:t>
      </w:r>
      <w:bookmarkStart w:id="130" w:name="_Toc296503033"/>
      <w:bookmarkStart w:id="131" w:name="_Toc337558733"/>
      <w:bookmarkStart w:id="132" w:name="_Toc296346534"/>
      <w:r>
        <w:rPr>
          <w:rFonts w:hint="eastAsia" w:ascii="宋体" w:hAnsi="宋体" w:eastAsia="宋体" w:cs="宋体"/>
          <w:b w:val="0"/>
          <w:bCs w:val="0"/>
          <w:color w:val="000000"/>
          <w:sz w:val="24"/>
          <w:szCs w:val="24"/>
        </w:rPr>
        <w:t>.7联络</w:t>
      </w:r>
      <w:bookmarkEnd w:id="129"/>
    </w:p>
    <w:bookmarkEnd w:id="130"/>
    <w:bookmarkEnd w:id="131"/>
    <w:bookmarkEnd w:id="13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 与合同有关的通知、批准、证明、证书、指示、指令、要求、请求、同意、意见、确定和决定等，均应采用书面形式，并应在合同约定的期限内送达接收人和送达地点。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发包人和承包人应在专用合同条款中约定各自的送达接收人和送达地点。任何一方合同当事人指定的接收人或送达地点发生变动的，应提前3天以书面形式通知对方。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FF0000"/>
          <w:kern w:val="0"/>
          <w:sz w:val="24"/>
          <w:szCs w:val="24"/>
        </w:rPr>
      </w:pPr>
      <w:r>
        <w:rPr>
          <w:rFonts w:hint="eastAsia" w:ascii="宋体" w:hAnsi="宋体" w:eastAsia="宋体" w:cs="宋体"/>
          <w:color w:val="000000"/>
          <w:kern w:val="0"/>
          <w:sz w:val="24"/>
          <w:szCs w:val="24"/>
        </w:rPr>
        <w:t>1.7.3 发包人和承包人应当及时签收另一方送达至送达地点和指定接收人的来往信函。拒不签收的，由此增加的费用和（或）延误的工期由拒绝接收一方承担。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33" w:name="_Toc3734"/>
      <w:r>
        <w:rPr>
          <w:rFonts w:hint="eastAsia" w:ascii="宋体" w:hAnsi="宋体" w:eastAsia="宋体" w:cs="宋体"/>
          <w:b w:val="0"/>
          <w:bCs w:val="0"/>
          <w:color w:val="000000"/>
          <w:sz w:val="24"/>
          <w:szCs w:val="24"/>
        </w:rPr>
        <w:t>1</w:t>
      </w:r>
      <w:bookmarkStart w:id="134" w:name="_Toc337558734"/>
      <w:bookmarkStart w:id="135" w:name="_Toc296503035"/>
      <w:bookmarkStart w:id="136" w:name="_Toc296346536"/>
      <w:r>
        <w:rPr>
          <w:rFonts w:hint="eastAsia" w:ascii="宋体" w:hAnsi="宋体" w:eastAsia="宋体" w:cs="宋体"/>
          <w:b w:val="0"/>
          <w:bCs w:val="0"/>
          <w:color w:val="000000"/>
          <w:sz w:val="24"/>
          <w:szCs w:val="24"/>
        </w:rPr>
        <w:t>.8严禁贿赂</w:t>
      </w:r>
      <w:bookmarkEnd w:id="133"/>
    </w:p>
    <w:bookmarkEnd w:id="134"/>
    <w:bookmarkEnd w:id="135"/>
    <w:bookmarkEnd w:id="13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合同当事人不得以贿赂或变相贿赂的方式，谋取非法利益或损害对方权益。因一方合同当事人的贿赂造成对方损失的，应赔偿损失，并承担相应的法律责任。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37" w:name="_Toc14064"/>
      <w:r>
        <w:rPr>
          <w:rFonts w:hint="eastAsia" w:ascii="宋体" w:hAnsi="宋体" w:eastAsia="宋体" w:cs="宋体"/>
          <w:b w:val="0"/>
          <w:bCs w:val="0"/>
          <w:color w:val="000000"/>
          <w:sz w:val="24"/>
          <w:szCs w:val="24"/>
        </w:rPr>
        <w:t>1</w:t>
      </w:r>
      <w:bookmarkStart w:id="138" w:name="_Toc296503036"/>
      <w:bookmarkStart w:id="139" w:name="_Toc337558735"/>
      <w:bookmarkStart w:id="140" w:name="_Toc296346537"/>
      <w:r>
        <w:rPr>
          <w:rFonts w:hint="eastAsia" w:ascii="宋体" w:hAnsi="宋体" w:eastAsia="宋体" w:cs="宋体"/>
          <w:b w:val="0"/>
          <w:bCs w:val="0"/>
          <w:color w:val="000000"/>
          <w:sz w:val="24"/>
          <w:szCs w:val="24"/>
        </w:rPr>
        <w:t>.9化石、文物</w:t>
      </w:r>
      <w:bookmarkEnd w:id="137"/>
    </w:p>
    <w:bookmarkEnd w:id="138"/>
    <w:bookmarkEnd w:id="139"/>
    <w:bookmarkEnd w:id="14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发包人、监理人和承包人应按有关政府行政管理部门要求采取妥善的保护措施，由此增加的费用和（或）延误的工期由发包人承担。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承包人发现文物后不及时报告或隐瞒不报，致使文物丢失或损坏的，应赔偿损失，并承担相应的法律责任。</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41" w:name="_Toc21311"/>
      <w:r>
        <w:rPr>
          <w:rFonts w:hint="eastAsia" w:ascii="宋体" w:hAnsi="宋体" w:eastAsia="宋体" w:cs="宋体"/>
          <w:b w:val="0"/>
          <w:bCs w:val="0"/>
          <w:color w:val="000000"/>
          <w:sz w:val="24"/>
          <w:szCs w:val="24"/>
        </w:rPr>
        <w:t>1</w:t>
      </w:r>
      <w:bookmarkStart w:id="142" w:name="_Toc337558736"/>
      <w:r>
        <w:rPr>
          <w:rFonts w:hint="eastAsia" w:ascii="宋体" w:hAnsi="宋体" w:eastAsia="宋体" w:cs="宋体"/>
          <w:b w:val="0"/>
          <w:bCs w:val="0"/>
          <w:color w:val="000000"/>
          <w:sz w:val="24"/>
          <w:szCs w:val="24"/>
        </w:rPr>
        <w:t>.10交通运输</w:t>
      </w:r>
      <w:bookmarkEnd w:id="141"/>
    </w:p>
    <w:bookmarkEnd w:id="142"/>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1.10.1 出入现场的权利</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1.10.2 场外交通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1.10.3场内交通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场外交通和场内交通的边界由合同当事人在专用合同条款中约定。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1.10.4 超大件和超重件的运输</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1.10.5 道路和桥梁的损坏责任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因承包人运输造成施工场地内外公共道路和桥梁损坏的，由承包人承担修复损坏的全部费用和可能引起的赔偿。</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1.10.6 水路和航空运输</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43" w:name="_Toc9195"/>
      <w:r>
        <w:rPr>
          <w:rFonts w:hint="eastAsia" w:ascii="宋体" w:hAnsi="宋体" w:eastAsia="宋体" w:cs="宋体"/>
          <w:b w:val="0"/>
          <w:bCs w:val="0"/>
          <w:color w:val="000000"/>
          <w:sz w:val="24"/>
          <w:szCs w:val="24"/>
        </w:rPr>
        <w:t>1</w:t>
      </w:r>
      <w:bookmarkStart w:id="144" w:name="_Toc337558737"/>
      <w:bookmarkStart w:id="145" w:name="_Toc296503037"/>
      <w:bookmarkStart w:id="146" w:name="_Toc296346538"/>
      <w:r>
        <w:rPr>
          <w:rFonts w:hint="eastAsia" w:ascii="宋体" w:hAnsi="宋体" w:eastAsia="宋体" w:cs="宋体"/>
          <w:b w:val="0"/>
          <w:bCs w:val="0"/>
          <w:color w:val="000000"/>
          <w:sz w:val="24"/>
          <w:szCs w:val="24"/>
        </w:rPr>
        <w:t>.11知识产权</w:t>
      </w:r>
      <w:bookmarkEnd w:id="143"/>
      <w:r>
        <w:rPr>
          <w:rFonts w:hint="eastAsia" w:ascii="宋体" w:hAnsi="宋体" w:eastAsia="宋体" w:cs="宋体"/>
          <w:b w:val="0"/>
          <w:bCs w:val="0"/>
          <w:color w:val="000000"/>
          <w:sz w:val="24"/>
          <w:szCs w:val="24"/>
        </w:rPr>
        <w:t xml:space="preserve"> </w:t>
      </w:r>
      <w:bookmarkEnd w:id="144"/>
    </w:p>
    <w:bookmarkEnd w:id="145"/>
    <w:bookmarkEnd w:id="14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1.11.4 除专用合同条款另有约定外，承包人在合同签订前和签订时已确定采用的专利、专有技术、技术秘密的使用费已包含在签约合同价中。</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47" w:name="_Toc20496"/>
      <w:r>
        <w:rPr>
          <w:rFonts w:hint="eastAsia" w:ascii="宋体" w:hAnsi="宋体" w:eastAsia="宋体" w:cs="宋体"/>
          <w:b w:val="0"/>
          <w:bCs w:val="0"/>
          <w:color w:val="000000"/>
          <w:sz w:val="24"/>
          <w:szCs w:val="24"/>
        </w:rPr>
        <w:t>1</w:t>
      </w:r>
      <w:bookmarkStart w:id="148" w:name="_Toc337558738"/>
      <w:r>
        <w:rPr>
          <w:rFonts w:hint="eastAsia" w:ascii="宋体" w:hAnsi="宋体" w:eastAsia="宋体" w:cs="宋体"/>
          <w:b w:val="0"/>
          <w:bCs w:val="0"/>
          <w:color w:val="000000"/>
          <w:sz w:val="24"/>
          <w:szCs w:val="24"/>
        </w:rPr>
        <w:t>.12保密</w:t>
      </w:r>
      <w:bookmarkEnd w:id="147"/>
    </w:p>
    <w:bookmarkEnd w:id="148"/>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除法律规定或合同另有约定外，未经发包人同意，承包人不得将发包人提供的图纸、文件以及声明需要保密的资料信息等商业秘密泄露给第三方。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除法律规定或合同另有约定外，未经承包人同意，发包人不得将承包人提供的技术秘密及声明需要保密的资料信息等商业秘密泄露给第三方。</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49" w:name="_Toc1104"/>
      <w:r>
        <w:rPr>
          <w:rFonts w:hint="eastAsia" w:ascii="宋体" w:hAnsi="宋体" w:eastAsia="宋体" w:cs="宋体"/>
          <w:b w:val="0"/>
          <w:bCs w:val="0"/>
          <w:color w:val="000000"/>
          <w:sz w:val="24"/>
          <w:szCs w:val="24"/>
        </w:rPr>
        <w:t>1.13工程量清单错误的修正</w:t>
      </w:r>
      <w:bookmarkEnd w:id="149"/>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除专用合同条款另有约定外，发包人提供的工程量清单，应被认为是准确的和完整的。出现下列情形之一时，发包人应予以修正，并相应调整合同价格：</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（1）工程量清单存在缺项、漏项的；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（2）工程量清单偏差超出专用合同条款约定的工程量偏差范围的；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（3）未按照国家现行计量规范强制性规定计量的。</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50" w:name="_Toc17398"/>
      <w:r>
        <w:rPr>
          <w:rFonts w:hint="eastAsia" w:ascii="宋体" w:hAnsi="宋体" w:eastAsia="宋体" w:cs="宋体"/>
          <w:b w:val="0"/>
          <w:color w:val="000000"/>
          <w:sz w:val="24"/>
          <w:szCs w:val="24"/>
          <w:u w:val="none"/>
        </w:rPr>
        <w:t>2</w:t>
      </w:r>
      <w:bookmarkStart w:id="151" w:name="_Toc296503038"/>
      <w:bookmarkStart w:id="152" w:name="_Toc337558739"/>
      <w:bookmarkStart w:id="153" w:name="_Toc296346539"/>
      <w:bookmarkStart w:id="154" w:name="OLE_LINK1"/>
      <w:bookmarkStart w:id="155" w:name="OLE_LINK2"/>
      <w:r>
        <w:rPr>
          <w:rFonts w:hint="eastAsia" w:ascii="宋体" w:hAnsi="宋体" w:eastAsia="宋体" w:cs="宋体"/>
          <w:b w:val="0"/>
          <w:color w:val="000000"/>
          <w:sz w:val="24"/>
          <w:szCs w:val="24"/>
          <w:u w:val="none"/>
        </w:rPr>
        <w:t>. 发包人</w:t>
      </w:r>
      <w:bookmarkEnd w:id="150"/>
    </w:p>
    <w:bookmarkEnd w:id="151"/>
    <w:bookmarkEnd w:id="152"/>
    <w:bookmarkEnd w:id="153"/>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56" w:name="_Toc7305"/>
      <w:r>
        <w:rPr>
          <w:rFonts w:hint="eastAsia" w:ascii="宋体" w:hAnsi="宋体" w:eastAsia="宋体" w:cs="宋体"/>
          <w:b w:val="0"/>
          <w:bCs w:val="0"/>
          <w:color w:val="000000"/>
          <w:sz w:val="24"/>
          <w:szCs w:val="24"/>
        </w:rPr>
        <w:t>2</w:t>
      </w:r>
      <w:bookmarkStart w:id="157" w:name="_Toc337558740"/>
      <w:bookmarkStart w:id="158" w:name="_Toc296503039"/>
      <w:bookmarkStart w:id="159" w:name="_Toc296346540"/>
      <w:r>
        <w:rPr>
          <w:rFonts w:hint="eastAsia" w:ascii="宋体" w:hAnsi="宋体" w:eastAsia="宋体" w:cs="宋体"/>
          <w:b w:val="0"/>
          <w:bCs w:val="0"/>
          <w:color w:val="000000"/>
          <w:sz w:val="24"/>
          <w:szCs w:val="24"/>
        </w:rPr>
        <w:t>.1 许可或批准</w:t>
      </w:r>
      <w:bookmarkEnd w:id="156"/>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因发包人原因未能及时办理完毕前述许可、批准或备案，由发包人承担由此增加的费用和（或）延误的工期，并支付承包人合理的利润。</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60" w:name="_Toc1583"/>
      <w:r>
        <w:rPr>
          <w:rFonts w:hint="eastAsia" w:ascii="宋体" w:hAnsi="宋体" w:eastAsia="宋体" w:cs="宋体"/>
          <w:b w:val="0"/>
          <w:bCs w:val="0"/>
          <w:color w:val="000000"/>
          <w:sz w:val="24"/>
          <w:szCs w:val="24"/>
        </w:rPr>
        <w:t>2.2 发包人代表</w:t>
      </w:r>
      <w:bookmarkEnd w:id="160"/>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发包人代表不能按照合同约定履行其职责及义务，并导致合同无法继续正常履行的，承包人可以要求发包人撤换发包人代表。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不属于法定必须监理的工程，监理人的职权可以由发包人代表或发包人指定的其他人员行使。</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61" w:name="_Toc336"/>
      <w:r>
        <w:rPr>
          <w:rFonts w:hint="eastAsia" w:ascii="宋体" w:hAnsi="宋体" w:eastAsia="宋体" w:cs="宋体"/>
          <w:b w:val="0"/>
          <w:bCs w:val="0"/>
          <w:color w:val="000000"/>
          <w:sz w:val="24"/>
          <w:szCs w:val="24"/>
        </w:rPr>
        <w:t>2.3 发包人人员</w:t>
      </w:r>
      <w:bookmarkEnd w:id="161"/>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发包人应要求在施工现场的发包人人员遵守法律及有关安全、质量、环境保护、文明施工等规定，并保障承包人免于承受因发包人人员未遵守上述要求给承包人造成的损失和责任。</w:t>
      </w:r>
    </w:p>
    <w:p>
      <w:pPr>
        <w:pageBreakBefore w:val="0"/>
        <w:widowControl w:val="0"/>
        <w:kinsoku/>
        <w:wordWrap/>
        <w:overflowPunct/>
        <w:topLinePunct w:val="0"/>
        <w:bidi w:val="0"/>
        <w:snapToGrid/>
        <w:spacing w:line="400" w:lineRule="exact"/>
        <w:ind w:firstLine="64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发包人人员包括发包人代表及其他由发包人派驻施工现场的人员。</w:t>
      </w:r>
      <w:bookmarkEnd w:id="157"/>
      <w:bookmarkEnd w:id="158"/>
      <w:bookmarkEnd w:id="159"/>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62" w:name="_Toc28963"/>
      <w:r>
        <w:rPr>
          <w:rFonts w:hint="eastAsia" w:ascii="宋体" w:hAnsi="宋体" w:eastAsia="宋体" w:cs="宋体"/>
          <w:b w:val="0"/>
          <w:bCs w:val="0"/>
          <w:color w:val="000000"/>
          <w:sz w:val="24"/>
          <w:szCs w:val="24"/>
        </w:rPr>
        <w:t>2</w:t>
      </w:r>
      <w:bookmarkStart w:id="163" w:name="_Toc296346541"/>
      <w:bookmarkStart w:id="164" w:name="_Toc296503040"/>
      <w:bookmarkStart w:id="165" w:name="_Toc337558741"/>
      <w:r>
        <w:rPr>
          <w:rFonts w:hint="eastAsia" w:ascii="宋体" w:hAnsi="宋体" w:eastAsia="宋体" w:cs="宋体"/>
          <w:b w:val="0"/>
          <w:bCs w:val="0"/>
          <w:color w:val="000000"/>
          <w:sz w:val="24"/>
          <w:szCs w:val="24"/>
        </w:rPr>
        <w:t>.4 施工现场、施工条件和基础资料的提供</w:t>
      </w:r>
      <w:bookmarkEnd w:id="162"/>
      <w:bookmarkEnd w:id="163"/>
      <w:bookmarkEnd w:id="164"/>
      <w:bookmarkEnd w:id="165"/>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2.4.1 提供施工现场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w:t>
      </w:r>
      <w:bookmarkEnd w:id="154"/>
      <w:bookmarkEnd w:id="155"/>
      <w:r>
        <w:rPr>
          <w:rFonts w:hint="eastAsia" w:ascii="宋体" w:hAnsi="宋体" w:eastAsia="宋体" w:cs="宋体"/>
          <w:color w:val="000000"/>
          <w:kern w:val="0"/>
          <w:sz w:val="24"/>
          <w:szCs w:val="24"/>
        </w:rPr>
        <w:t>专用合同条款另有约定外，发包人应最迟于开工日期7天前向承包人移交施工现场。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2.4.2 提供施工条件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除专用合同条款另有约定外，发包人应负责提供施工所需要的条件，包括：</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（1）将施工用水、电力、通讯线路等施工所必需的条件接至施工现场内；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（2）保证向承包人提供正常施工所需要的进入施工现场的交通条件；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（3）协调处理施工现场周围地下管线和邻近建筑物、构筑物、古树名木的保护工作，并承担相关费用；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（4）按照专用合同条款约定应提供的其他设施和条件。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2.4.3 提供基础资料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按照法律规定确需在开工后方能提供的基础资料，发包人应尽其努力及时地在相应工程施工前的合理期限内提供，合理期限应以不影响承包人的正常施工为限。</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2.4.4 逾期提供的责任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因发包人原因未能按合同约定及时向承包人提供施工现场、施工条件、基础资料的，由发包人承担由此增加的费用和（或）延误的工期。</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66" w:name="_Toc8633"/>
      <w:r>
        <w:rPr>
          <w:rFonts w:hint="eastAsia" w:ascii="宋体" w:hAnsi="宋体" w:eastAsia="宋体" w:cs="宋体"/>
          <w:b w:val="0"/>
          <w:bCs w:val="0"/>
          <w:color w:val="000000"/>
          <w:sz w:val="24"/>
          <w:szCs w:val="24"/>
        </w:rPr>
        <w:t>2</w:t>
      </w:r>
      <w:bookmarkStart w:id="167" w:name="_Toc296503042"/>
      <w:bookmarkStart w:id="168" w:name="_Toc337558745"/>
      <w:bookmarkStart w:id="169" w:name="_Toc296346543"/>
      <w:r>
        <w:rPr>
          <w:rFonts w:hint="eastAsia" w:ascii="宋体" w:hAnsi="宋体" w:eastAsia="宋体" w:cs="宋体"/>
          <w:b w:val="0"/>
          <w:bCs w:val="0"/>
          <w:color w:val="000000"/>
          <w:sz w:val="24"/>
          <w:szCs w:val="24"/>
        </w:rPr>
        <w:t>.5 资</w:t>
      </w:r>
      <w:bookmarkEnd w:id="167"/>
      <w:bookmarkEnd w:id="168"/>
      <w:bookmarkEnd w:id="169"/>
      <w:r>
        <w:rPr>
          <w:rFonts w:hint="eastAsia" w:ascii="宋体" w:hAnsi="宋体" w:eastAsia="宋体" w:cs="宋体"/>
          <w:b w:val="0"/>
          <w:bCs w:val="0"/>
          <w:color w:val="000000"/>
          <w:sz w:val="24"/>
          <w:szCs w:val="24"/>
        </w:rPr>
        <w:t>金来源证明及支付担保</w:t>
      </w:r>
      <w:bookmarkEnd w:id="166"/>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除专用合同条款另有约定外，发包人应在收到承包人要求提供资金来源证明的书面通知后28天内，向承包人提供能够按照合同约定支付合同价款的相应资金来源证明。</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70" w:name="_Toc25781"/>
      <w:r>
        <w:rPr>
          <w:rFonts w:hint="eastAsia" w:ascii="宋体" w:hAnsi="宋体" w:eastAsia="宋体" w:cs="宋体"/>
          <w:b w:val="0"/>
          <w:bCs w:val="0"/>
          <w:color w:val="000000"/>
          <w:sz w:val="24"/>
          <w:szCs w:val="24"/>
        </w:rPr>
        <w:t>2.6 支付合同价款</w:t>
      </w:r>
      <w:bookmarkEnd w:id="170"/>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发包人应按合同约定向承包人及时支付合同价款。</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71" w:name="_Toc24245"/>
      <w:r>
        <w:rPr>
          <w:rFonts w:hint="eastAsia" w:ascii="宋体" w:hAnsi="宋体" w:eastAsia="宋体" w:cs="宋体"/>
          <w:b w:val="0"/>
          <w:bCs w:val="0"/>
          <w:color w:val="000000"/>
          <w:sz w:val="24"/>
          <w:szCs w:val="24"/>
        </w:rPr>
        <w:t>2.7 组织竣工验收</w:t>
      </w:r>
      <w:bookmarkEnd w:id="171"/>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发包人应按合同约定及时组织竣工验收。</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72" w:name="_Toc9288"/>
      <w:r>
        <w:rPr>
          <w:rFonts w:hint="eastAsia" w:ascii="宋体" w:hAnsi="宋体" w:eastAsia="宋体" w:cs="宋体"/>
          <w:b w:val="0"/>
          <w:bCs w:val="0"/>
          <w:color w:val="000000"/>
          <w:sz w:val="24"/>
          <w:szCs w:val="24"/>
        </w:rPr>
        <w:t>2.8 现场统一管理协议</w:t>
      </w:r>
      <w:bookmarkEnd w:id="172"/>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发包人应与承包人、由发包人直接发包的专业工程的承包人签订施工现场统一管理协议，明确各方的权利义务。施工现场统一管理协议作为专用合同条款的附件。</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73" w:name="_Toc903"/>
      <w:r>
        <w:rPr>
          <w:rFonts w:hint="eastAsia" w:ascii="宋体" w:hAnsi="宋体" w:eastAsia="宋体" w:cs="宋体"/>
          <w:b w:val="0"/>
          <w:color w:val="000000"/>
          <w:sz w:val="24"/>
          <w:szCs w:val="24"/>
          <w:u w:val="none"/>
        </w:rPr>
        <w:t>3</w:t>
      </w:r>
      <w:bookmarkStart w:id="174" w:name="_Toc337558746"/>
      <w:bookmarkStart w:id="175" w:name="_Toc296346546"/>
      <w:bookmarkStart w:id="176" w:name="_Toc296503045"/>
      <w:r>
        <w:rPr>
          <w:rFonts w:hint="eastAsia" w:ascii="宋体" w:hAnsi="宋体" w:eastAsia="宋体" w:cs="宋体"/>
          <w:b w:val="0"/>
          <w:color w:val="000000"/>
          <w:sz w:val="24"/>
          <w:szCs w:val="24"/>
          <w:u w:val="none"/>
        </w:rPr>
        <w:t>. 承包人</w:t>
      </w:r>
      <w:bookmarkEnd w:id="173"/>
    </w:p>
    <w:bookmarkEnd w:id="174"/>
    <w:bookmarkEnd w:id="175"/>
    <w:bookmarkEnd w:id="176"/>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77" w:name="_Toc13780"/>
      <w:r>
        <w:rPr>
          <w:rFonts w:hint="eastAsia" w:ascii="宋体" w:hAnsi="宋体" w:eastAsia="宋体" w:cs="宋体"/>
          <w:b w:val="0"/>
          <w:bCs w:val="0"/>
          <w:color w:val="000000"/>
          <w:sz w:val="24"/>
          <w:szCs w:val="24"/>
        </w:rPr>
        <w:t>3</w:t>
      </w:r>
      <w:bookmarkStart w:id="178" w:name="_Toc296346547"/>
      <w:bookmarkStart w:id="179" w:name="_Toc296503046"/>
      <w:bookmarkStart w:id="180" w:name="_Toc337558747"/>
      <w:r>
        <w:rPr>
          <w:rFonts w:hint="eastAsia" w:ascii="宋体" w:hAnsi="宋体" w:eastAsia="宋体" w:cs="宋体"/>
          <w:b w:val="0"/>
          <w:bCs w:val="0"/>
          <w:color w:val="000000"/>
          <w:sz w:val="24"/>
          <w:szCs w:val="24"/>
        </w:rPr>
        <w:t>.1 承包人的一般义务</w:t>
      </w:r>
      <w:bookmarkEnd w:id="177"/>
    </w:p>
    <w:bookmarkEnd w:id="178"/>
    <w:bookmarkEnd w:id="179"/>
    <w:bookmarkEnd w:id="18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承包人在履行合同过程中应遵守法律和工程建设标准规范，并履行以下义务：</w:t>
      </w:r>
    </w:p>
    <w:p>
      <w:pPr>
        <w:pageBreakBefore w:val="0"/>
        <w:widowControl w:val="0"/>
        <w:numPr>
          <w:ilvl w:val="0"/>
          <w:numId w:val="11"/>
        </w:numPr>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办理法律规定应由承包人办理的许可和批准，并将办理结果书面报送发包人留存；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（2）按法律规定和合同约定完成工程，并在保修期内承担保修义务；</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（3）按法律规定和合同约定采取施工安全和环境保护措施，办理工伤保险，确保工程及人员、材料、设备和设施的安全；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（4）按合同约定的工作内容和施工进度要求，编制施工组织设计和施工措施计划，并对所有施工作业和施工方法的完备性和安全可靠性负责；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（6）按照第6.3款〔环境保护〕约定负责施工场地及其周边环境与生态的保护工作；</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（7）按第6.1款〔安全文明施工〕约定采取施工安全措施，确保工程及其人员、材料、设备和设施的安全，防止因工程施工造成的人身伤害和财产损失；</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（8）将发包人按合同约定支付的各项价款专用于合同工程，且应及时支付其雇用人员工资，并及时向分包人支付合同价款；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（9）按照法律规定和合同约定编制竣工资料，完成竣工资料立卷及归档，并按专用合同条款约定的竣工资料的套数、内容、时间等要求移交发包人；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（10）应履行的其他义务。</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81" w:name="_Toc20222"/>
      <w:r>
        <w:rPr>
          <w:rFonts w:hint="eastAsia" w:ascii="宋体" w:hAnsi="宋体" w:eastAsia="宋体" w:cs="宋体"/>
          <w:b w:val="0"/>
          <w:bCs w:val="0"/>
          <w:color w:val="000000"/>
          <w:sz w:val="24"/>
          <w:szCs w:val="24"/>
        </w:rPr>
        <w:t>3</w:t>
      </w:r>
      <w:bookmarkStart w:id="182" w:name="_Toc337558748"/>
      <w:bookmarkStart w:id="183" w:name="_Toc296503047"/>
      <w:bookmarkStart w:id="184" w:name="_Toc296346548"/>
      <w:r>
        <w:rPr>
          <w:rFonts w:hint="eastAsia" w:ascii="宋体" w:hAnsi="宋体" w:eastAsia="宋体" w:cs="宋体"/>
          <w:b w:val="0"/>
          <w:bCs w:val="0"/>
          <w:color w:val="000000"/>
          <w:sz w:val="24"/>
          <w:szCs w:val="24"/>
        </w:rPr>
        <w:t>.2 项目经理</w:t>
      </w:r>
      <w:bookmarkEnd w:id="181"/>
    </w:p>
    <w:bookmarkEnd w:id="182"/>
    <w:bookmarkEnd w:id="183"/>
    <w:bookmarkEnd w:id="184"/>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承包人违反上述约定的，应按照专用合同条款的约定，承担违约责任。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85" w:name="_Toc21182"/>
      <w:r>
        <w:rPr>
          <w:rFonts w:hint="eastAsia" w:ascii="宋体" w:hAnsi="宋体" w:eastAsia="宋体" w:cs="宋体"/>
          <w:b w:val="0"/>
          <w:bCs w:val="0"/>
          <w:color w:val="000000"/>
          <w:sz w:val="24"/>
          <w:szCs w:val="24"/>
        </w:rPr>
        <w:t>3</w:t>
      </w:r>
      <w:bookmarkStart w:id="186" w:name="_Toc296346549"/>
      <w:bookmarkStart w:id="187" w:name="_Toc296503048"/>
      <w:bookmarkStart w:id="188" w:name="_Toc337558749"/>
      <w:r>
        <w:rPr>
          <w:rFonts w:hint="eastAsia" w:ascii="宋体" w:hAnsi="宋体" w:eastAsia="宋体" w:cs="宋体"/>
          <w:b w:val="0"/>
          <w:bCs w:val="0"/>
          <w:color w:val="000000"/>
          <w:sz w:val="24"/>
          <w:szCs w:val="24"/>
        </w:rPr>
        <w:t xml:space="preserve">.3 </w:t>
      </w:r>
      <w:bookmarkEnd w:id="186"/>
      <w:bookmarkEnd w:id="187"/>
      <w:r>
        <w:rPr>
          <w:rFonts w:hint="eastAsia" w:ascii="宋体" w:hAnsi="宋体" w:eastAsia="宋体" w:cs="宋体"/>
          <w:b w:val="0"/>
          <w:bCs w:val="0"/>
          <w:color w:val="000000"/>
          <w:sz w:val="24"/>
          <w:szCs w:val="24"/>
        </w:rPr>
        <w:t>承包人人员</w:t>
      </w:r>
      <w:bookmarkEnd w:id="185"/>
    </w:p>
    <w:bookmarkEnd w:id="188"/>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特殊工种作业人员均应持有相应的资格证明，监理人可以随时检查。</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3.3.5 承包人擅自更换主要施工管理人员，或前述人员未经监理人或发包人同意擅自离开施工现场的，应按照专用合同条款约定承担违约责任。</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89" w:name="_Toc31607"/>
      <w:r>
        <w:rPr>
          <w:rFonts w:hint="eastAsia" w:ascii="宋体" w:hAnsi="宋体" w:eastAsia="宋体" w:cs="宋体"/>
          <w:b w:val="0"/>
          <w:bCs w:val="0"/>
          <w:color w:val="000000"/>
          <w:sz w:val="24"/>
          <w:szCs w:val="24"/>
        </w:rPr>
        <w:t>3</w:t>
      </w:r>
      <w:bookmarkStart w:id="190" w:name="_Toc337558750"/>
      <w:bookmarkStart w:id="191" w:name="_Toc296503050"/>
      <w:bookmarkStart w:id="192" w:name="_Toc296346551"/>
      <w:r>
        <w:rPr>
          <w:rFonts w:hint="eastAsia" w:ascii="宋体" w:hAnsi="宋体" w:eastAsia="宋体" w:cs="宋体"/>
          <w:b w:val="0"/>
          <w:bCs w:val="0"/>
          <w:color w:val="000000"/>
          <w:sz w:val="24"/>
          <w:szCs w:val="24"/>
        </w:rPr>
        <w:t>.4 承包人现场查勘</w:t>
      </w:r>
      <w:bookmarkEnd w:id="189"/>
    </w:p>
    <w:bookmarkEnd w:id="190"/>
    <w:bookmarkEnd w:id="191"/>
    <w:bookmarkEnd w:id="19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承包人应对基于发包人按照第2.4.3项〔提供基础资料〕提交的基础资料所做出的解释和推断负责，但因基础资料存在错误、遗漏导致承包人解释或推断失实的，由发包人承担责任。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93" w:name="_Toc16462"/>
      <w:r>
        <w:rPr>
          <w:rFonts w:hint="eastAsia" w:ascii="宋体" w:hAnsi="宋体" w:eastAsia="宋体" w:cs="宋体"/>
          <w:b w:val="0"/>
          <w:bCs w:val="0"/>
          <w:color w:val="000000"/>
          <w:sz w:val="24"/>
          <w:szCs w:val="24"/>
        </w:rPr>
        <w:t>3</w:t>
      </w:r>
      <w:bookmarkStart w:id="194" w:name="_Toc337558751"/>
      <w:bookmarkStart w:id="195" w:name="_Toc296346552"/>
      <w:bookmarkStart w:id="196" w:name="_Toc296503051"/>
      <w:r>
        <w:rPr>
          <w:rFonts w:hint="eastAsia" w:ascii="宋体" w:hAnsi="宋体" w:eastAsia="宋体" w:cs="宋体"/>
          <w:b w:val="0"/>
          <w:bCs w:val="0"/>
          <w:color w:val="000000"/>
          <w:sz w:val="24"/>
          <w:szCs w:val="24"/>
        </w:rPr>
        <w:t>.5 分包</w:t>
      </w:r>
      <w:bookmarkEnd w:id="193"/>
    </w:p>
    <w:bookmarkEnd w:id="194"/>
    <w:bookmarkEnd w:id="195"/>
    <w:bookmarkEnd w:id="196"/>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3.5.1 分包的一般约定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承包人不得以劳务分包的名义转包或违法分包工程。</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3.5.2 分包的确定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3.5.3 分包管理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承包人应向监理人提交分包人的主要施工管理人员表，并对分包人的施工人员进行实名制管理，包括但不限于进出场管理、登记造册以及各种证照的办理。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3.5.4 分包合同价款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（1）除本项第（2）目约定的情况或专用合同条款另有约定外，分包合同价款由承包人与分包人结算，未经承包人同意，发包人不得向分包人支付分包工程价款；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（2）生效法律文书要求发包人向分包人支付分包合同价款的，发包人有权从应付承包人工程款中扣除该部分款项。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3.5.5 分包合同权益的转让</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97" w:name="_Toc25586"/>
      <w:r>
        <w:rPr>
          <w:rFonts w:hint="eastAsia" w:ascii="宋体" w:hAnsi="宋体" w:eastAsia="宋体" w:cs="宋体"/>
          <w:b w:val="0"/>
          <w:bCs w:val="0"/>
          <w:color w:val="000000"/>
          <w:sz w:val="24"/>
          <w:szCs w:val="24"/>
        </w:rPr>
        <w:t>3.6 工程照管与成品、半成品保护</w:t>
      </w:r>
      <w:bookmarkEnd w:id="197"/>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（1）除专用合同条款另有约定外，自发包人向承包人移交施工现场之日起，承包人应负责照管工程及工程相关的材料、工程设备，直到颁发工程接收证书之日止。</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（2）在承包人负责照管期间，因承包人原因造成工程、材料、工程设备损坏的，由承包人负责修复或更换，并承担由此增加的费用和（或）延误的工期。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198" w:name="_Toc21754"/>
      <w:r>
        <w:rPr>
          <w:rFonts w:hint="eastAsia" w:ascii="宋体" w:hAnsi="宋体" w:eastAsia="宋体" w:cs="宋体"/>
          <w:b w:val="0"/>
          <w:bCs w:val="0"/>
          <w:color w:val="000000"/>
          <w:sz w:val="24"/>
          <w:szCs w:val="24"/>
        </w:rPr>
        <w:t>3</w:t>
      </w:r>
      <w:bookmarkStart w:id="199" w:name="_Toc337558752"/>
      <w:bookmarkStart w:id="200" w:name="_Toc296503052"/>
      <w:bookmarkStart w:id="201" w:name="_Toc296346553"/>
      <w:r>
        <w:rPr>
          <w:rFonts w:hint="eastAsia" w:ascii="宋体" w:hAnsi="宋体" w:eastAsia="宋体" w:cs="宋体"/>
          <w:b w:val="0"/>
          <w:bCs w:val="0"/>
          <w:color w:val="000000"/>
          <w:sz w:val="24"/>
          <w:szCs w:val="24"/>
        </w:rPr>
        <w:t>.7 履约担保</w:t>
      </w:r>
      <w:bookmarkEnd w:id="198"/>
    </w:p>
    <w:bookmarkEnd w:id="199"/>
    <w:bookmarkEnd w:id="200"/>
    <w:bookmarkEnd w:id="201"/>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因承包人原因导致工期延长的，继续提供履约担保所增加的费用由承包人承担；非因承包人原因导致工期延长的，继续提供履约担保所增加的费用由发包人承担。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02" w:name="_Toc5820"/>
      <w:r>
        <w:rPr>
          <w:rFonts w:hint="eastAsia" w:ascii="宋体" w:hAnsi="宋体" w:eastAsia="宋体" w:cs="宋体"/>
          <w:b w:val="0"/>
          <w:bCs w:val="0"/>
          <w:color w:val="000000"/>
          <w:sz w:val="24"/>
          <w:szCs w:val="24"/>
        </w:rPr>
        <w:t>3.8 联合体</w:t>
      </w:r>
      <w:bookmarkEnd w:id="202"/>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3.8.1 联合体各方应共同与发包人签订合同协议书。联合体各方应为履行合同向发包人承担连带责任。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3.8.2 联合体协议经发包人确认后作为合同附件。在履行合同过程中，未经发包人同意，不得修改联合体协议。</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3.8.3 联合体牵头人负责与发包人和监理人联系，并接受指示，负责组织联合体各成员全面履行合同。</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203" w:name="_Toc22747"/>
      <w:r>
        <w:rPr>
          <w:rFonts w:hint="eastAsia" w:ascii="宋体" w:hAnsi="宋体" w:eastAsia="宋体" w:cs="宋体"/>
          <w:b w:val="0"/>
          <w:color w:val="000000"/>
          <w:sz w:val="24"/>
          <w:szCs w:val="24"/>
          <w:u w:val="none"/>
        </w:rPr>
        <w:t>4</w:t>
      </w:r>
      <w:bookmarkStart w:id="204" w:name="_Toc296503053"/>
      <w:bookmarkStart w:id="205" w:name="_Toc296346554"/>
      <w:bookmarkStart w:id="206" w:name="_Toc337558753"/>
      <w:r>
        <w:rPr>
          <w:rFonts w:hint="eastAsia" w:ascii="宋体" w:hAnsi="宋体" w:eastAsia="宋体" w:cs="宋体"/>
          <w:b w:val="0"/>
          <w:color w:val="000000"/>
          <w:sz w:val="24"/>
          <w:szCs w:val="24"/>
          <w:u w:val="none"/>
        </w:rPr>
        <w:t>. 监</w:t>
      </w:r>
      <w:bookmarkEnd w:id="204"/>
      <w:bookmarkEnd w:id="205"/>
      <w:r>
        <w:rPr>
          <w:rFonts w:hint="eastAsia" w:ascii="宋体" w:hAnsi="宋体" w:eastAsia="宋体" w:cs="宋体"/>
          <w:b w:val="0"/>
          <w:color w:val="000000"/>
          <w:sz w:val="24"/>
          <w:szCs w:val="24"/>
          <w:u w:val="none"/>
        </w:rPr>
        <w:t>理人</w:t>
      </w:r>
      <w:bookmarkEnd w:id="203"/>
    </w:p>
    <w:bookmarkEnd w:id="206"/>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07" w:name="_Toc27260"/>
      <w:r>
        <w:rPr>
          <w:rFonts w:hint="eastAsia" w:ascii="宋体" w:hAnsi="宋体" w:eastAsia="宋体" w:cs="宋体"/>
          <w:b w:val="0"/>
          <w:bCs w:val="0"/>
          <w:color w:val="000000"/>
          <w:sz w:val="24"/>
          <w:szCs w:val="24"/>
        </w:rPr>
        <w:t>4</w:t>
      </w:r>
      <w:bookmarkStart w:id="208" w:name="_Toc296346555"/>
      <w:bookmarkStart w:id="209" w:name="_Toc337558754"/>
      <w:bookmarkStart w:id="210" w:name="_Toc296503054"/>
      <w:r>
        <w:rPr>
          <w:rFonts w:hint="eastAsia" w:ascii="宋体" w:hAnsi="宋体" w:eastAsia="宋体" w:cs="宋体"/>
          <w:b w:val="0"/>
          <w:bCs w:val="0"/>
          <w:color w:val="000000"/>
          <w:sz w:val="24"/>
          <w:szCs w:val="24"/>
        </w:rPr>
        <w:t>.1监理人的一般规定</w:t>
      </w:r>
      <w:bookmarkEnd w:id="207"/>
    </w:p>
    <w:bookmarkEnd w:id="208"/>
    <w:bookmarkEnd w:id="209"/>
    <w:bookmarkEnd w:id="21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除专用合同条款另有约定外，监理人在施工现场的办公场所、生活场所由承包人提供，所发生的费用由发包人承担。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11" w:name="_Toc8974"/>
      <w:r>
        <w:rPr>
          <w:rFonts w:hint="eastAsia" w:ascii="宋体" w:hAnsi="宋体" w:eastAsia="宋体" w:cs="宋体"/>
          <w:b w:val="0"/>
          <w:bCs w:val="0"/>
          <w:color w:val="000000"/>
          <w:sz w:val="24"/>
          <w:szCs w:val="24"/>
        </w:rPr>
        <w:t>4</w:t>
      </w:r>
      <w:bookmarkStart w:id="212" w:name="_Toc337558755"/>
      <w:r>
        <w:rPr>
          <w:rFonts w:hint="eastAsia" w:ascii="宋体" w:hAnsi="宋体" w:eastAsia="宋体" w:cs="宋体"/>
          <w:b w:val="0"/>
          <w:bCs w:val="0"/>
          <w:color w:val="000000"/>
          <w:sz w:val="24"/>
          <w:szCs w:val="24"/>
        </w:rPr>
        <w:t>.2监理人员</w:t>
      </w:r>
      <w:bookmarkEnd w:id="211"/>
    </w:p>
    <w:bookmarkEnd w:id="21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13" w:name="_Toc4266"/>
      <w:r>
        <w:rPr>
          <w:rFonts w:hint="eastAsia" w:ascii="宋体" w:hAnsi="宋体" w:eastAsia="宋体" w:cs="宋体"/>
          <w:b w:val="0"/>
          <w:bCs w:val="0"/>
          <w:color w:val="000000"/>
          <w:sz w:val="24"/>
          <w:szCs w:val="24"/>
        </w:rPr>
        <w:t>4</w:t>
      </w:r>
      <w:bookmarkStart w:id="214" w:name="_Toc296346556"/>
      <w:bookmarkStart w:id="215" w:name="_Toc296503055"/>
      <w:bookmarkStart w:id="216" w:name="_Toc337558756"/>
      <w:r>
        <w:rPr>
          <w:rFonts w:hint="eastAsia" w:ascii="宋体" w:hAnsi="宋体" w:eastAsia="宋体" w:cs="宋体"/>
          <w:b w:val="0"/>
          <w:bCs w:val="0"/>
          <w:color w:val="000000"/>
          <w:sz w:val="24"/>
          <w:szCs w:val="24"/>
        </w:rPr>
        <w:t>.3</w:t>
      </w:r>
      <w:bookmarkEnd w:id="214"/>
      <w:bookmarkEnd w:id="215"/>
      <w:r>
        <w:rPr>
          <w:rFonts w:hint="eastAsia" w:ascii="宋体" w:hAnsi="宋体" w:eastAsia="宋体" w:cs="宋体"/>
          <w:b w:val="0"/>
          <w:bCs w:val="0"/>
          <w:color w:val="000000"/>
          <w:sz w:val="24"/>
          <w:szCs w:val="24"/>
        </w:rPr>
        <w:t>监理人的指</w:t>
      </w:r>
      <w:bookmarkEnd w:id="216"/>
      <w:r>
        <w:rPr>
          <w:rFonts w:hint="eastAsia" w:ascii="宋体" w:hAnsi="宋体" w:eastAsia="宋体" w:cs="宋体"/>
          <w:b w:val="0"/>
          <w:bCs w:val="0"/>
          <w:color w:val="000000"/>
          <w:sz w:val="24"/>
          <w:szCs w:val="24"/>
        </w:rPr>
        <w:t>示</w:t>
      </w:r>
      <w:bookmarkEnd w:id="213"/>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承包人对监理人发出的指示有疑问的，应向监理人提出书面异议，监理人应在48小时内对该指示予以确认、更改或撤销，监理人逾期未回复的，承包人有权拒绝执行上述指示。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17" w:name="_Toc8907"/>
      <w:r>
        <w:rPr>
          <w:rFonts w:hint="eastAsia" w:ascii="宋体" w:hAnsi="宋体" w:eastAsia="宋体" w:cs="宋体"/>
          <w:b w:val="0"/>
          <w:bCs w:val="0"/>
          <w:color w:val="000000"/>
          <w:sz w:val="24"/>
          <w:szCs w:val="24"/>
        </w:rPr>
        <w:t>4</w:t>
      </w:r>
      <w:bookmarkStart w:id="218" w:name="_Toc337558757"/>
      <w:bookmarkStart w:id="219" w:name="_Toc296503057"/>
      <w:bookmarkStart w:id="220" w:name="_Toc296346558"/>
      <w:r>
        <w:rPr>
          <w:rFonts w:hint="eastAsia" w:ascii="宋体" w:hAnsi="宋体" w:eastAsia="宋体" w:cs="宋体"/>
          <w:b w:val="0"/>
          <w:bCs w:val="0"/>
          <w:color w:val="000000"/>
          <w:sz w:val="24"/>
          <w:szCs w:val="24"/>
        </w:rPr>
        <w:t>.4 商定或确定</w:t>
      </w:r>
      <w:bookmarkEnd w:id="217"/>
    </w:p>
    <w:bookmarkEnd w:id="218"/>
    <w:bookmarkEnd w:id="219"/>
    <w:bookmarkEnd w:id="22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合同当事人进行商定或确定时，总监理工程师应当会同合同当事人尽量通过协商达成一致，不能达成一致的，由总监理工程师按照合同约定审慎做出公正的确定。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221" w:name="_Toc14520"/>
      <w:r>
        <w:rPr>
          <w:rFonts w:hint="eastAsia" w:ascii="宋体" w:hAnsi="宋体" w:eastAsia="宋体" w:cs="宋体"/>
          <w:b w:val="0"/>
          <w:color w:val="000000"/>
          <w:sz w:val="24"/>
          <w:szCs w:val="24"/>
          <w:u w:val="none"/>
        </w:rPr>
        <w:t>5</w:t>
      </w:r>
      <w:bookmarkStart w:id="222" w:name="_Toc337558758"/>
      <w:r>
        <w:rPr>
          <w:rFonts w:hint="eastAsia" w:ascii="宋体" w:hAnsi="宋体" w:eastAsia="宋体" w:cs="宋体"/>
          <w:b w:val="0"/>
          <w:color w:val="000000"/>
          <w:sz w:val="24"/>
          <w:szCs w:val="24"/>
          <w:u w:val="none"/>
        </w:rPr>
        <w:t>. 工程质量</w:t>
      </w:r>
      <w:bookmarkEnd w:id="221"/>
    </w:p>
    <w:bookmarkEnd w:id="222"/>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w:t>
      </w:r>
      <w:bookmarkStart w:id="223" w:name="_Toc337558759"/>
      <w:r>
        <w:rPr>
          <w:rFonts w:hint="eastAsia" w:ascii="宋体" w:hAnsi="宋体" w:eastAsia="宋体" w:cs="宋体"/>
          <w:b w:val="0"/>
          <w:bCs w:val="0"/>
          <w:color w:val="000000"/>
          <w:sz w:val="24"/>
          <w:szCs w:val="24"/>
        </w:rPr>
        <w:t>.1质量要求</w:t>
      </w:r>
    </w:p>
    <w:bookmarkEnd w:id="223"/>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 工程质量标准必须符合现行国家有关工程施工质量验收规范和标准的要求。有关工程质量的特殊标准或要求由合同当事人在专用合同条款中约定。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5.1.2 因发包人原因造成工程质量未达到合同约定标准的，由发包人承担由此增加的费用和（或）延误的工期，并支付承包人合理的利润。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5.1.3 因承包人原因造成工程质量未达到合同约定标准的，发包人有权要求承包人返工直至工程质量达到合同约定的标准为止，并由承包人承担由此增加的费用和（或）延误的工期。</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24" w:name="_Toc12654"/>
      <w:r>
        <w:rPr>
          <w:rFonts w:hint="eastAsia" w:ascii="宋体" w:hAnsi="宋体" w:eastAsia="宋体" w:cs="宋体"/>
          <w:b w:val="0"/>
          <w:bCs w:val="0"/>
          <w:color w:val="000000"/>
          <w:sz w:val="24"/>
          <w:szCs w:val="24"/>
        </w:rPr>
        <w:t>5</w:t>
      </w:r>
      <w:bookmarkStart w:id="225" w:name="_Toc337558760"/>
      <w:r>
        <w:rPr>
          <w:rFonts w:hint="eastAsia" w:ascii="宋体" w:hAnsi="宋体" w:eastAsia="宋体" w:cs="宋体"/>
          <w:b w:val="0"/>
          <w:bCs w:val="0"/>
          <w:color w:val="000000"/>
          <w:sz w:val="24"/>
          <w:szCs w:val="24"/>
        </w:rPr>
        <w:t>.2质量保证措施</w:t>
      </w:r>
      <w:bookmarkEnd w:id="224"/>
    </w:p>
    <w:bookmarkEnd w:id="225"/>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5.2.1 发包人的质量管理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发包人应按照法律规定及合同约定完成与工程质量有关的各项工作。</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5.2.2 承包人的质量管理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承包人应对施工人员进行质量教育和技术培训，定期考核施工人员的劳动技能，严格执行施工规范和操作规程。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5.2.3 监理人的质量检查和检验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26" w:name="_Toc17388"/>
      <w:r>
        <w:rPr>
          <w:rFonts w:hint="eastAsia" w:ascii="宋体" w:hAnsi="宋体" w:eastAsia="宋体" w:cs="宋体"/>
          <w:b w:val="0"/>
          <w:bCs w:val="0"/>
          <w:color w:val="000000"/>
          <w:sz w:val="24"/>
          <w:szCs w:val="24"/>
        </w:rPr>
        <w:t>5</w:t>
      </w:r>
      <w:bookmarkStart w:id="227" w:name="_Toc337558761"/>
      <w:r>
        <w:rPr>
          <w:rFonts w:hint="eastAsia" w:ascii="宋体" w:hAnsi="宋体" w:eastAsia="宋体" w:cs="宋体"/>
          <w:b w:val="0"/>
          <w:bCs w:val="0"/>
          <w:color w:val="000000"/>
          <w:sz w:val="24"/>
          <w:szCs w:val="24"/>
        </w:rPr>
        <w:t>.3 隐蔽工程检查</w:t>
      </w:r>
      <w:bookmarkEnd w:id="226"/>
    </w:p>
    <w:bookmarkEnd w:id="227"/>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5.3.1承包人自检</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承包人应当对工程隐蔽部位进行自检，并经自检确认是否具备覆盖条件。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5.3.2检查程序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5.3.3 重新检查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5.3.4 承包人私自覆盖</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28" w:name="_Toc8782"/>
      <w:r>
        <w:rPr>
          <w:rFonts w:hint="eastAsia" w:ascii="宋体" w:hAnsi="宋体" w:eastAsia="宋体" w:cs="宋体"/>
          <w:b w:val="0"/>
          <w:bCs w:val="0"/>
          <w:color w:val="000000"/>
          <w:sz w:val="24"/>
          <w:szCs w:val="24"/>
        </w:rPr>
        <w:t>5</w:t>
      </w:r>
      <w:bookmarkStart w:id="229" w:name="_Toc337558762"/>
      <w:r>
        <w:rPr>
          <w:rFonts w:hint="eastAsia" w:ascii="宋体" w:hAnsi="宋体" w:eastAsia="宋体" w:cs="宋体"/>
          <w:b w:val="0"/>
          <w:bCs w:val="0"/>
          <w:color w:val="000000"/>
          <w:sz w:val="24"/>
          <w:szCs w:val="24"/>
        </w:rPr>
        <w:t>.4不合格工程的处理</w:t>
      </w:r>
      <w:bookmarkEnd w:id="228"/>
    </w:p>
    <w:bookmarkEnd w:id="229"/>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5.4.2 因发包人原因造成工程不合格的，由此增加的费用和（或）延误的工期由发包人承担，并支付承包人合理的利润。</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30" w:name="_Toc4357"/>
      <w:r>
        <w:rPr>
          <w:rFonts w:hint="eastAsia" w:ascii="宋体" w:hAnsi="宋体" w:eastAsia="宋体" w:cs="宋体"/>
          <w:b w:val="0"/>
          <w:bCs w:val="0"/>
          <w:color w:val="000000"/>
          <w:sz w:val="24"/>
          <w:szCs w:val="24"/>
        </w:rPr>
        <w:t>5.5 质量争议检测</w:t>
      </w:r>
      <w:bookmarkEnd w:id="230"/>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合同当事人对工程质量有争议的，由双方协商确定的工程质量检测机构鉴定，由此产生的费用及因此造成的损失，由责任方承担。</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合同当事人均有责任的，由双方根据其责任分别承担。合同当事人无法达成一致的，按照第4.4款〔商定或确定〕执行。</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231" w:name="_Toc1277"/>
      <w:r>
        <w:rPr>
          <w:rFonts w:hint="eastAsia" w:ascii="宋体" w:hAnsi="宋体" w:eastAsia="宋体" w:cs="宋体"/>
          <w:b w:val="0"/>
          <w:color w:val="000000"/>
          <w:sz w:val="24"/>
          <w:szCs w:val="24"/>
          <w:u w:val="none"/>
        </w:rPr>
        <w:t>6</w:t>
      </w:r>
      <w:bookmarkStart w:id="232" w:name="_Toc337558763"/>
      <w:r>
        <w:rPr>
          <w:rFonts w:hint="eastAsia" w:ascii="宋体" w:hAnsi="宋体" w:eastAsia="宋体" w:cs="宋体"/>
          <w:b w:val="0"/>
          <w:color w:val="000000"/>
          <w:sz w:val="24"/>
          <w:szCs w:val="24"/>
          <w:u w:val="none"/>
        </w:rPr>
        <w:t>. 安全文明施工与环境保护</w:t>
      </w:r>
      <w:bookmarkEnd w:id="231"/>
    </w:p>
    <w:bookmarkEnd w:id="232"/>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33" w:name="_Toc4014"/>
      <w:r>
        <w:rPr>
          <w:rFonts w:hint="eastAsia" w:ascii="宋体" w:hAnsi="宋体" w:eastAsia="宋体" w:cs="宋体"/>
          <w:b w:val="0"/>
          <w:bCs w:val="0"/>
          <w:color w:val="000000"/>
          <w:sz w:val="24"/>
          <w:szCs w:val="24"/>
        </w:rPr>
        <w:t>6</w:t>
      </w:r>
      <w:bookmarkStart w:id="234" w:name="_Toc337558764"/>
      <w:r>
        <w:rPr>
          <w:rFonts w:hint="eastAsia" w:ascii="宋体" w:hAnsi="宋体" w:eastAsia="宋体" w:cs="宋体"/>
          <w:b w:val="0"/>
          <w:bCs w:val="0"/>
          <w:color w:val="000000"/>
          <w:sz w:val="24"/>
          <w:szCs w:val="24"/>
        </w:rPr>
        <w:t>.1安全文明施工</w:t>
      </w:r>
      <w:bookmarkEnd w:id="233"/>
    </w:p>
    <w:bookmarkEnd w:id="234"/>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6.1.1安全生产要求</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000000"/>
          <w:kern w:val="0"/>
          <w:sz w:val="24"/>
          <w:szCs w:val="24"/>
        </w:rPr>
        <w:t>政府有关行政管理部门</w:t>
      </w:r>
      <w:r>
        <w:rPr>
          <w:rFonts w:hint="eastAsia" w:ascii="宋体" w:hAnsi="宋体" w:eastAsia="宋体" w:cs="宋体"/>
          <w:color w:val="000000"/>
          <w:sz w:val="24"/>
          <w:szCs w:val="24"/>
        </w:rPr>
        <w:t>采取应急措施。</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因安全生产需要暂停施工的，按照第7.8款〔暂停施工〕的约定执行。</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6.1.2 安全生产保证措施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承包人应当按照有关</w:t>
      </w:r>
      <w:r>
        <w:rPr>
          <w:rFonts w:hint="eastAsia" w:ascii="宋体" w:hAnsi="宋体" w:eastAsia="宋体" w:cs="宋体"/>
          <w:color w:val="000000"/>
          <w:kern w:val="0"/>
          <w:sz w:val="24"/>
          <w:szCs w:val="24"/>
        </w:rPr>
        <w:t>规定编制安全技术措施或者专项施工方案，</w:t>
      </w:r>
      <w:r>
        <w:rPr>
          <w:rFonts w:hint="eastAsia" w:ascii="宋体" w:hAnsi="宋体" w:eastAsia="宋体" w:cs="宋体"/>
          <w:color w:val="000000"/>
          <w:sz w:val="24"/>
          <w:szCs w:val="24"/>
        </w:rPr>
        <w:t>建立安全生产责任制度、治安保卫制度及安全生产教育培训制度，并</w:t>
      </w:r>
      <w:r>
        <w:rPr>
          <w:rFonts w:hint="eastAsia" w:ascii="宋体" w:hAnsi="宋体" w:eastAsia="宋体" w:cs="宋体"/>
          <w:color w:val="000000"/>
          <w:kern w:val="0"/>
          <w:sz w:val="24"/>
          <w:szCs w:val="24"/>
        </w:rPr>
        <w:t>按安全生产法律规定及合同约定履行安全职责，如实</w:t>
      </w:r>
      <w:r>
        <w:rPr>
          <w:rFonts w:hint="eastAsia" w:ascii="宋体" w:hAnsi="宋体" w:eastAsia="宋体" w:cs="宋体"/>
          <w:color w:val="000000"/>
          <w:sz w:val="24"/>
          <w:szCs w:val="24"/>
        </w:rPr>
        <w:t>编制工程安全生产的有关记录，</w:t>
      </w:r>
      <w:r>
        <w:rPr>
          <w:rFonts w:hint="eastAsia" w:ascii="宋体" w:hAnsi="宋体" w:eastAsia="宋体" w:cs="宋体"/>
          <w:color w:val="000000"/>
          <w:kern w:val="0"/>
          <w:sz w:val="24"/>
          <w:szCs w:val="24"/>
        </w:rPr>
        <w:t>接受发包人、监理人及政府安全监督部门的检查与监督。</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6.1.3特别安全生产事项</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需单独编制危险性较大分部分项专项工程施工方案的，及要求进行专家论证的超过一定规模的危险性较大的分部分项工程，承包人应及时编制和组织论证。</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6.1.4 治安保卫</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除专用合同条款另有约定外，发包人应与当地公安部门协商，在现场建立治安管理机构或联防组织，统一管理施工场地的治安保卫事项，履行合同工程的治安保卫职责。</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发包人和承包人除应协助现场治安管理机构或联防组织维护施工场地的社会治安外，还应做好包括生活区在内的各自管辖区的治安保卫工作。</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6.1.5 文明施工</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6.1.6 安全文明施工费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安全文明施工费由发包人承担，发包人不得以任何形式扣减该部分费用。因基准日期后合同所适用的法律或政府有关规定发生变化，增加的安全文明施工费由发包人承担。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6.1.7 紧急情况处理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6.1.8 事故处理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 安全生产责任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6.1.9.1 发包人的安全责任</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发包人应负责赔偿以下各种情况造成的损失：</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（1）工程或工程的任何部分对土地的占用所造成的第三者财产损失；</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（2）由于发包人原因在施工场地及其毗邻地带造成的第三者人身伤亡和财产损失；</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（3）由于发包人原因对承包人、监理人造成的人员人身伤亡和财产损失；</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（4）由于发包人原因造成的发包人自身人员的人身伤害以及财产损失。</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6.1.9.2 承包人的安全责任</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由于承包人原因在施工场地内及其毗邻地带造成的发包人、监理人以及第三者人员伤亡和财产损失，由承包人负责赔偿。</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35" w:name="_Toc1791"/>
      <w:r>
        <w:rPr>
          <w:rFonts w:hint="eastAsia" w:ascii="宋体" w:hAnsi="宋体" w:eastAsia="宋体" w:cs="宋体"/>
          <w:b w:val="0"/>
          <w:bCs w:val="0"/>
          <w:color w:val="000000"/>
          <w:sz w:val="24"/>
          <w:szCs w:val="24"/>
        </w:rPr>
        <w:t>6</w:t>
      </w:r>
      <w:bookmarkStart w:id="236" w:name="_Toc337558765"/>
      <w:r>
        <w:rPr>
          <w:rFonts w:hint="eastAsia" w:ascii="宋体" w:hAnsi="宋体" w:eastAsia="宋体" w:cs="宋体"/>
          <w:b w:val="0"/>
          <w:bCs w:val="0"/>
          <w:color w:val="000000"/>
          <w:sz w:val="24"/>
          <w:szCs w:val="24"/>
        </w:rPr>
        <w:t>.2 职业健康</w:t>
      </w:r>
      <w:bookmarkEnd w:id="235"/>
    </w:p>
    <w:bookmarkEnd w:id="23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6.2.1 劳动保护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6.2.2 生活条件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37" w:name="_Toc14671"/>
      <w:r>
        <w:rPr>
          <w:rFonts w:hint="eastAsia" w:ascii="宋体" w:hAnsi="宋体" w:eastAsia="宋体" w:cs="宋体"/>
          <w:b w:val="0"/>
          <w:bCs w:val="0"/>
          <w:color w:val="000000"/>
          <w:sz w:val="24"/>
          <w:szCs w:val="24"/>
        </w:rPr>
        <w:t>6</w:t>
      </w:r>
      <w:bookmarkStart w:id="238" w:name="_Toc337558766"/>
      <w:r>
        <w:rPr>
          <w:rFonts w:hint="eastAsia" w:ascii="宋体" w:hAnsi="宋体" w:eastAsia="宋体" w:cs="宋体"/>
          <w:b w:val="0"/>
          <w:bCs w:val="0"/>
          <w:color w:val="000000"/>
          <w:sz w:val="24"/>
          <w:szCs w:val="24"/>
        </w:rPr>
        <w:t>.3 环境保护</w:t>
      </w:r>
      <w:bookmarkEnd w:id="237"/>
    </w:p>
    <w:bookmarkEnd w:id="238"/>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承包人应当承担因其原因引起的环境污染侵权损害赔偿责任，因上述环境污染引起纠纷而导致暂停施工的，由此增加的费用和（或）延误的工期由承包人承担。</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239" w:name="_Toc32330"/>
      <w:r>
        <w:rPr>
          <w:rFonts w:hint="eastAsia" w:ascii="宋体" w:hAnsi="宋体" w:eastAsia="宋体" w:cs="宋体"/>
          <w:b w:val="0"/>
          <w:color w:val="000000"/>
          <w:sz w:val="24"/>
          <w:szCs w:val="24"/>
          <w:u w:val="none"/>
        </w:rPr>
        <w:t>7</w:t>
      </w:r>
      <w:bookmarkStart w:id="240" w:name="_Toc337558767"/>
      <w:r>
        <w:rPr>
          <w:rFonts w:hint="eastAsia" w:ascii="宋体" w:hAnsi="宋体" w:eastAsia="宋体" w:cs="宋体"/>
          <w:b w:val="0"/>
          <w:color w:val="000000"/>
          <w:sz w:val="24"/>
          <w:szCs w:val="24"/>
          <w:u w:val="none"/>
        </w:rPr>
        <w:t>. 工期和进度</w:t>
      </w:r>
      <w:bookmarkEnd w:id="239"/>
    </w:p>
    <w:bookmarkEnd w:id="240"/>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41" w:name="_Toc28037"/>
      <w:r>
        <w:rPr>
          <w:rFonts w:hint="eastAsia" w:ascii="宋体" w:hAnsi="宋体" w:eastAsia="宋体" w:cs="宋体"/>
          <w:b w:val="0"/>
          <w:bCs w:val="0"/>
          <w:color w:val="000000"/>
          <w:sz w:val="24"/>
          <w:szCs w:val="24"/>
        </w:rPr>
        <w:t>7</w:t>
      </w:r>
      <w:bookmarkStart w:id="242" w:name="_Toc337558768"/>
      <w:bookmarkStart w:id="243" w:name="_Toc296503066"/>
      <w:bookmarkStart w:id="244" w:name="_Toc296346567"/>
      <w:r>
        <w:rPr>
          <w:rFonts w:hint="eastAsia" w:ascii="宋体" w:hAnsi="宋体" w:eastAsia="宋体" w:cs="宋体"/>
          <w:b w:val="0"/>
          <w:bCs w:val="0"/>
          <w:color w:val="000000"/>
          <w:sz w:val="24"/>
          <w:szCs w:val="24"/>
        </w:rPr>
        <w:t>.1施工组织设计</w:t>
      </w:r>
      <w:bookmarkEnd w:id="241"/>
    </w:p>
    <w:bookmarkEnd w:id="24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7.1.1</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施工组织设计的内容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施工组织设计应包含以下内容：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（1）施工方案；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（2）施工现场平面布置图；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（3）施工进度计划和保证措施；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（4）劳动力及材料供应计划；</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（5）施工机械设备的选用；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（6）质量保证体系及措施；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（7）安全生产、文明施工措施；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（8）环境保护、成本控制措施；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（9）合同当事人约定的其他内容。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7.1.2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施工组织设计的提交和修改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施工进度计划的编制和修改按照第7.2款〔施工进度计划〕执行。</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45" w:name="_Toc12157"/>
      <w:r>
        <w:rPr>
          <w:rFonts w:hint="eastAsia" w:ascii="宋体" w:hAnsi="宋体" w:eastAsia="宋体" w:cs="宋体"/>
          <w:b w:val="0"/>
          <w:bCs w:val="0"/>
          <w:color w:val="000000"/>
          <w:sz w:val="24"/>
          <w:szCs w:val="24"/>
        </w:rPr>
        <w:t>7</w:t>
      </w:r>
      <w:bookmarkStart w:id="246" w:name="_Toc337558769"/>
      <w:r>
        <w:rPr>
          <w:rFonts w:hint="eastAsia" w:ascii="宋体" w:hAnsi="宋体" w:eastAsia="宋体" w:cs="宋体"/>
          <w:b w:val="0"/>
          <w:bCs w:val="0"/>
          <w:color w:val="000000"/>
          <w:sz w:val="24"/>
          <w:szCs w:val="24"/>
        </w:rPr>
        <w:t>.2 施工进度计划</w:t>
      </w:r>
      <w:bookmarkEnd w:id="245"/>
    </w:p>
    <w:bookmarkEnd w:id="24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7.2.1 施工进度计划的编制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7.2.2 施工进度计划的修订</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47" w:name="_Toc7177"/>
      <w:r>
        <w:rPr>
          <w:rFonts w:hint="eastAsia" w:ascii="宋体" w:hAnsi="宋体" w:eastAsia="宋体" w:cs="宋体"/>
          <w:b w:val="0"/>
          <w:bCs w:val="0"/>
          <w:color w:val="000000"/>
          <w:sz w:val="24"/>
          <w:szCs w:val="24"/>
        </w:rPr>
        <w:t>7</w:t>
      </w:r>
      <w:bookmarkStart w:id="248" w:name="_Toc337558770"/>
      <w:r>
        <w:rPr>
          <w:rFonts w:hint="eastAsia" w:ascii="宋体" w:hAnsi="宋体" w:eastAsia="宋体" w:cs="宋体"/>
          <w:b w:val="0"/>
          <w:bCs w:val="0"/>
          <w:color w:val="000000"/>
          <w:sz w:val="24"/>
          <w:szCs w:val="24"/>
        </w:rPr>
        <w:t>.3 开工</w:t>
      </w:r>
      <w:bookmarkEnd w:id="247"/>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7.3.1 开工准备</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除专用合同条款另有约定外，合同当事人应按约定完成开工准备工作。</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7.3.2 开工通知</w:t>
      </w:r>
    </w:p>
    <w:bookmarkEnd w:id="248"/>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49" w:name="_Toc23228"/>
      <w:r>
        <w:rPr>
          <w:rFonts w:hint="eastAsia" w:ascii="宋体" w:hAnsi="宋体" w:eastAsia="宋体" w:cs="宋体"/>
          <w:b w:val="0"/>
          <w:bCs w:val="0"/>
          <w:color w:val="000000"/>
          <w:sz w:val="24"/>
          <w:szCs w:val="24"/>
        </w:rPr>
        <w:t>7.4测量放线</w:t>
      </w:r>
      <w:bookmarkEnd w:id="249"/>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施工过程中对施工现场内水准点等测量标志物的保护工作由承包人负责。</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50" w:name="_Toc32399"/>
      <w:r>
        <w:rPr>
          <w:rFonts w:hint="eastAsia" w:ascii="宋体" w:hAnsi="宋体" w:eastAsia="宋体" w:cs="宋体"/>
          <w:b w:val="0"/>
          <w:bCs w:val="0"/>
          <w:color w:val="000000"/>
          <w:sz w:val="24"/>
          <w:szCs w:val="24"/>
        </w:rPr>
        <w:t>7</w:t>
      </w:r>
      <w:bookmarkEnd w:id="243"/>
      <w:bookmarkEnd w:id="244"/>
      <w:bookmarkStart w:id="251" w:name="_Toc296503073"/>
      <w:bookmarkStart w:id="252" w:name="_Toc337558772"/>
      <w:bookmarkStart w:id="253" w:name="_Toc296346574"/>
      <w:r>
        <w:rPr>
          <w:rFonts w:hint="eastAsia" w:ascii="宋体" w:hAnsi="宋体" w:eastAsia="宋体" w:cs="宋体"/>
          <w:b w:val="0"/>
          <w:bCs w:val="0"/>
          <w:color w:val="000000"/>
          <w:sz w:val="24"/>
          <w:szCs w:val="24"/>
        </w:rPr>
        <w:t>.5 工期延误</w:t>
      </w:r>
      <w:bookmarkEnd w:id="250"/>
    </w:p>
    <w:bookmarkEnd w:id="251"/>
    <w:bookmarkEnd w:id="252"/>
    <w:bookmarkEnd w:id="253"/>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7.5.1 因发包人原因导致工期延误</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在合同履行过程中，因下列情况导致工期延误和（或）费用增加的，由发包人承担由此延误的工期和（或）增加的费用，且发包人应支付承包人合理的利润：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（1）发包人未能按合同约定提供图纸或所提供图纸不符合合同约定的；</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（2）发包人未能按合同约定提供施工现场、施工条件、基础资料、许可、批准等开工条件的；</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（3）发包人提供的测量基准点、基准线和水准点及其书面资料存在错误或疏漏的；</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（4）发包人未能在计划开工日期之日起7天内同意下达开工通知的；</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（5）发包人未能按合同约定日期支付工程预付款、进度款或竣工结算款的；</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（6）监理人未按合同约定发出指示、批准等文件的；</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（7）专用合同条款中约定的其他情形。</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7.5.2 因承包人原因导致工期延误</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bookmarkStart w:id="254" w:name="_Toc296346577"/>
      <w:bookmarkStart w:id="255" w:name="_Toc296503076"/>
      <w:r>
        <w:rPr>
          <w:rFonts w:hint="eastAsia" w:ascii="宋体" w:hAnsi="宋体" w:eastAsia="宋体" w:cs="宋体"/>
          <w:color w:val="000000"/>
          <w:kern w:val="0"/>
          <w:sz w:val="24"/>
          <w:szCs w:val="24"/>
        </w:rPr>
        <w:t>因</w:t>
      </w:r>
      <w:bookmarkEnd w:id="254"/>
      <w:bookmarkEnd w:id="255"/>
      <w:r>
        <w:rPr>
          <w:rFonts w:hint="eastAsia" w:ascii="宋体" w:hAnsi="宋体" w:eastAsia="宋体" w:cs="宋体"/>
          <w:color w:val="000000"/>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56" w:name="_Toc27776"/>
      <w:r>
        <w:rPr>
          <w:rFonts w:hint="eastAsia" w:ascii="宋体" w:hAnsi="宋体" w:eastAsia="宋体" w:cs="宋体"/>
          <w:b w:val="0"/>
          <w:bCs w:val="0"/>
          <w:color w:val="000000"/>
          <w:sz w:val="24"/>
          <w:szCs w:val="24"/>
        </w:rPr>
        <w:t>7</w:t>
      </w:r>
      <w:bookmarkStart w:id="257" w:name="_Toc296503074"/>
      <w:bookmarkStart w:id="258" w:name="_Toc296346575"/>
      <w:bookmarkStart w:id="259" w:name="_Toc337558773"/>
      <w:bookmarkStart w:id="260" w:name="_Toc296346578"/>
      <w:bookmarkStart w:id="261" w:name="_Toc296503077"/>
      <w:r>
        <w:rPr>
          <w:rFonts w:hint="eastAsia" w:ascii="宋体" w:hAnsi="宋体" w:eastAsia="宋体" w:cs="宋体"/>
          <w:b w:val="0"/>
          <w:bCs w:val="0"/>
          <w:color w:val="000000"/>
          <w:sz w:val="24"/>
          <w:szCs w:val="24"/>
        </w:rPr>
        <w:t>.6 不利物质条件</w:t>
      </w:r>
      <w:bookmarkEnd w:id="256"/>
    </w:p>
    <w:bookmarkEnd w:id="257"/>
    <w:bookmarkEnd w:id="258"/>
    <w:bookmarkEnd w:id="259"/>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62" w:name="_Toc27359"/>
      <w:r>
        <w:rPr>
          <w:rFonts w:hint="eastAsia" w:ascii="宋体" w:hAnsi="宋体" w:eastAsia="宋体" w:cs="宋体"/>
          <w:b w:val="0"/>
          <w:bCs w:val="0"/>
          <w:color w:val="000000"/>
          <w:sz w:val="24"/>
          <w:szCs w:val="24"/>
        </w:rPr>
        <w:t>7</w:t>
      </w:r>
      <w:bookmarkStart w:id="263" w:name="_Toc296503075"/>
      <w:bookmarkStart w:id="264" w:name="_Toc337558774"/>
      <w:bookmarkStart w:id="265" w:name="_Toc296346576"/>
      <w:r>
        <w:rPr>
          <w:rFonts w:hint="eastAsia" w:ascii="宋体" w:hAnsi="宋体" w:eastAsia="宋体" w:cs="宋体"/>
          <w:b w:val="0"/>
          <w:bCs w:val="0"/>
          <w:color w:val="000000"/>
          <w:sz w:val="24"/>
          <w:szCs w:val="24"/>
        </w:rPr>
        <w:t>.7 异常恶劣的气候条件</w:t>
      </w:r>
      <w:bookmarkEnd w:id="262"/>
    </w:p>
    <w:bookmarkEnd w:id="263"/>
    <w:bookmarkEnd w:id="264"/>
    <w:bookmarkEnd w:id="265"/>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66" w:name="_Toc23007"/>
      <w:r>
        <w:rPr>
          <w:rFonts w:hint="eastAsia" w:ascii="宋体" w:hAnsi="宋体" w:eastAsia="宋体" w:cs="宋体"/>
          <w:b w:val="0"/>
          <w:bCs w:val="0"/>
          <w:color w:val="000000"/>
          <w:sz w:val="24"/>
          <w:szCs w:val="24"/>
        </w:rPr>
        <w:t>7</w:t>
      </w:r>
      <w:bookmarkStart w:id="267" w:name="_Toc337558775"/>
      <w:r>
        <w:rPr>
          <w:rFonts w:hint="eastAsia" w:ascii="宋体" w:hAnsi="宋体" w:eastAsia="宋体" w:cs="宋体"/>
          <w:b w:val="0"/>
          <w:bCs w:val="0"/>
          <w:color w:val="000000"/>
          <w:sz w:val="24"/>
          <w:szCs w:val="24"/>
        </w:rPr>
        <w:t>.8 暂停施工</w:t>
      </w:r>
      <w:bookmarkEnd w:id="266"/>
    </w:p>
    <w:bookmarkEnd w:id="260"/>
    <w:bookmarkEnd w:id="261"/>
    <w:bookmarkEnd w:id="267"/>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7.8.1发包人原因引起的暂停施工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因发包人原因引起暂停施工的，监理人经发包人同意后，应及时下达暂停施工指示。情况紧急且监理人未及时下达暂停施工指示的，按照第7.8.4项〔紧急情况下的暂停施工〕执行。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因发包人原因引起的暂停施工，发包人应承担由此增加的费用和（或）延误的工期，</w:t>
      </w:r>
      <w:r>
        <w:rPr>
          <w:rFonts w:hint="eastAsia" w:ascii="宋体" w:hAnsi="宋体" w:eastAsia="宋体" w:cs="宋体"/>
          <w:kern w:val="0"/>
          <w:sz w:val="24"/>
          <w:szCs w:val="24"/>
        </w:rPr>
        <w:t>并支付承包人</w:t>
      </w:r>
      <w:r>
        <w:rPr>
          <w:rFonts w:hint="eastAsia" w:ascii="宋体" w:hAnsi="宋体" w:eastAsia="宋体" w:cs="宋体"/>
          <w:color w:val="000000"/>
          <w:kern w:val="0"/>
          <w:sz w:val="24"/>
          <w:szCs w:val="24"/>
        </w:rPr>
        <w:t>合理的利润。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7.8.2 承包人原因引起的暂停施工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7.8.3 指示暂停施工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监理人认为有必要时，并经发包人批准后，可向承包人作出暂停施工的指示，承包人应按监理人指示暂停施工。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7.8.4 紧急情况下的暂停施工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7.8.5 暂停施工后的复工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承包人无故拖延和拒绝复工的，承包人承担由此增加的费用和（或）延误的工期；因发包人原因无法按时复工的，按照第7.5.1项〔因发包人原因导致工期延误〕约定办理。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7.8.6 暂停施工持续56天以上</w:t>
      </w:r>
    </w:p>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pageBreakBefore w:val="0"/>
        <w:widowControl w:val="0"/>
        <w:kinsoku/>
        <w:wordWrap/>
        <w:overflowPunct/>
        <w:topLinePunct w:val="0"/>
        <w:bidi w:val="0"/>
        <w:snapToGrid/>
        <w:spacing w:line="400" w:lineRule="exact"/>
        <w:ind w:left="16" w:firstLine="468" w:firstLineChars="195"/>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7.8.7 暂停施工期间的工程照管</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暂停施工期间，承包人应负责妥善照管工程并提供安全保障，由此增加的费用由责任方承担。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7.8.8 暂停施工的措施</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暂停施工期间，发包人和承包人均应采取必要的措施确保工程质量及安全，防止因暂停施工扩大损失。</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68" w:name="_Toc18039"/>
      <w:r>
        <w:rPr>
          <w:rFonts w:hint="eastAsia" w:ascii="宋体" w:hAnsi="宋体" w:eastAsia="宋体" w:cs="宋体"/>
          <w:b w:val="0"/>
          <w:bCs w:val="0"/>
          <w:color w:val="000000"/>
          <w:sz w:val="24"/>
          <w:szCs w:val="24"/>
        </w:rPr>
        <w:t>7.9提前竣工</w:t>
      </w:r>
      <w:bookmarkEnd w:id="268"/>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7.9.2 发包人要求承包人提前竣工，或承包人提出提前竣工的建议能够给发包人带来效益的，合同当事人可以在专用合同条款中约定提前竣工的奖励。</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269" w:name="_Toc11286"/>
      <w:r>
        <w:rPr>
          <w:rFonts w:hint="eastAsia" w:ascii="宋体" w:hAnsi="宋体" w:eastAsia="宋体" w:cs="宋体"/>
          <w:b w:val="0"/>
          <w:color w:val="000000"/>
          <w:sz w:val="24"/>
          <w:szCs w:val="24"/>
          <w:u w:val="none"/>
        </w:rPr>
        <w:t>8</w:t>
      </w:r>
      <w:bookmarkStart w:id="270" w:name="_Toc337558776"/>
      <w:bookmarkStart w:id="271" w:name="_Toc296346559"/>
      <w:bookmarkStart w:id="272" w:name="_Toc296503058"/>
      <w:r>
        <w:rPr>
          <w:rFonts w:hint="eastAsia" w:ascii="宋体" w:hAnsi="宋体" w:eastAsia="宋体" w:cs="宋体"/>
          <w:b w:val="0"/>
          <w:color w:val="000000"/>
          <w:sz w:val="24"/>
          <w:szCs w:val="24"/>
          <w:u w:val="none"/>
        </w:rPr>
        <w:t>. 材料与设备</w:t>
      </w:r>
      <w:bookmarkEnd w:id="269"/>
    </w:p>
    <w:bookmarkEnd w:id="270"/>
    <w:bookmarkEnd w:id="271"/>
    <w:bookmarkEnd w:id="272"/>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73" w:name="_Toc12404"/>
      <w:r>
        <w:rPr>
          <w:rFonts w:hint="eastAsia" w:ascii="宋体" w:hAnsi="宋体" w:eastAsia="宋体" w:cs="宋体"/>
          <w:b w:val="0"/>
          <w:bCs w:val="0"/>
          <w:color w:val="000000"/>
          <w:sz w:val="24"/>
          <w:szCs w:val="24"/>
        </w:rPr>
        <w:t>8</w:t>
      </w:r>
      <w:bookmarkStart w:id="274" w:name="_Toc296503059"/>
      <w:bookmarkStart w:id="275" w:name="_Toc296346560"/>
      <w:bookmarkStart w:id="276" w:name="_Toc337558777"/>
      <w:bookmarkStart w:id="277" w:name="_Toc468936960"/>
      <w:r>
        <w:rPr>
          <w:rFonts w:hint="eastAsia" w:ascii="宋体" w:hAnsi="宋体" w:eastAsia="宋体" w:cs="宋体"/>
          <w:b w:val="0"/>
          <w:bCs w:val="0"/>
          <w:color w:val="000000"/>
          <w:sz w:val="24"/>
          <w:szCs w:val="24"/>
        </w:rPr>
        <w:t>.1发包人供应材料与工程设备</w:t>
      </w:r>
      <w:bookmarkEnd w:id="273"/>
    </w:p>
    <w:bookmarkEnd w:id="274"/>
    <w:bookmarkEnd w:id="275"/>
    <w:bookmarkEnd w:id="27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发包人自行供应材料、工程设备的，应在签订合同时在专用合同条款的附件《发包人供应材料设备一览表》中明确材料、工程设备的品种、规格、型号、数量、单价、质量等级和送达地点。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78" w:name="_Toc7514"/>
      <w:r>
        <w:rPr>
          <w:rFonts w:hint="eastAsia" w:ascii="宋体" w:hAnsi="宋体" w:eastAsia="宋体" w:cs="宋体"/>
          <w:b w:val="0"/>
          <w:bCs w:val="0"/>
          <w:color w:val="000000"/>
          <w:sz w:val="24"/>
          <w:szCs w:val="24"/>
        </w:rPr>
        <w:t>8</w:t>
      </w:r>
      <w:bookmarkStart w:id="279" w:name="_Toc337558778"/>
      <w:bookmarkStart w:id="280" w:name="_Toc296503060"/>
      <w:bookmarkStart w:id="281" w:name="_Toc296346561"/>
      <w:r>
        <w:rPr>
          <w:rFonts w:hint="eastAsia" w:ascii="宋体" w:hAnsi="宋体" w:eastAsia="宋体" w:cs="宋体"/>
          <w:b w:val="0"/>
          <w:bCs w:val="0"/>
          <w:color w:val="000000"/>
          <w:sz w:val="24"/>
          <w:szCs w:val="24"/>
        </w:rPr>
        <w:t>.2承包人采购材料与工程设备</w:t>
      </w:r>
      <w:bookmarkEnd w:id="278"/>
    </w:p>
    <w:bookmarkEnd w:id="279"/>
    <w:bookmarkEnd w:id="280"/>
    <w:bookmarkEnd w:id="281"/>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82" w:name="_Toc23449"/>
      <w:r>
        <w:rPr>
          <w:rFonts w:hint="eastAsia" w:ascii="宋体" w:hAnsi="宋体" w:eastAsia="宋体" w:cs="宋体"/>
          <w:b w:val="0"/>
          <w:bCs w:val="0"/>
          <w:color w:val="000000"/>
          <w:sz w:val="24"/>
          <w:szCs w:val="24"/>
        </w:rPr>
        <w:t>8</w:t>
      </w:r>
      <w:bookmarkStart w:id="283" w:name="_Toc296346562"/>
      <w:bookmarkStart w:id="284" w:name="_Toc337558779"/>
      <w:bookmarkStart w:id="285" w:name="_Toc296503061"/>
      <w:r>
        <w:rPr>
          <w:rFonts w:hint="eastAsia" w:ascii="宋体" w:hAnsi="宋体" w:eastAsia="宋体" w:cs="宋体"/>
          <w:b w:val="0"/>
          <w:bCs w:val="0"/>
          <w:color w:val="000000"/>
          <w:sz w:val="24"/>
          <w:szCs w:val="24"/>
        </w:rPr>
        <w:t>.3材料与工程设备的接收与拒收</w:t>
      </w:r>
      <w:bookmarkEnd w:id="282"/>
    </w:p>
    <w:bookmarkEnd w:id="283"/>
    <w:bookmarkEnd w:id="284"/>
    <w:bookmarkEnd w:id="285"/>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发包人提供的材料和工程设备的规格、数量或质量不符合合同约定的，或因发包人原因导致交货日期延误或交货地点变更等情况的，按照第16.1款〔发包人违约〕约定办理。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8.3.2 承包人采购的材料和工程设备，应保证产品质量合格，承包人应在材料和工程设备到货前24小时通知监理人检验。承</w:t>
      </w:r>
      <w:bookmarkStart w:id="286" w:name="_Toc250655469"/>
      <w:r>
        <w:rPr>
          <w:rFonts w:hint="eastAsia" w:ascii="宋体" w:hAnsi="宋体" w:eastAsia="宋体" w:cs="宋体"/>
          <w:color w:val="000000"/>
          <w:kern w:val="0"/>
          <w:sz w:val="24"/>
          <w:szCs w:val="24"/>
        </w:rPr>
        <w:t>包人进行永久设备、材料的制造和生产的，应符合相关质量标准，并向监理人提交材料的样本以及有关资料，并应在使用该材料或工程设备之前获得监理人同意。</w:t>
      </w:r>
    </w:p>
    <w:bookmarkEnd w:id="286"/>
    <w:p>
      <w:pPr>
        <w:pageBreakBefore w:val="0"/>
        <w:widowControl w:val="0"/>
        <w:kinsoku/>
        <w:wordWrap/>
        <w:overflowPunct/>
        <w:topLinePunct w:val="0"/>
        <w:autoSpaceDE w:val="0"/>
        <w:autoSpaceDN w:val="0"/>
        <w:bidi w:val="0"/>
        <w:adjustRightInd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87" w:name="_Toc31034"/>
      <w:r>
        <w:rPr>
          <w:rFonts w:hint="eastAsia" w:ascii="宋体" w:hAnsi="宋体" w:eastAsia="宋体" w:cs="宋体"/>
          <w:b w:val="0"/>
          <w:bCs w:val="0"/>
          <w:color w:val="000000"/>
          <w:sz w:val="24"/>
          <w:szCs w:val="24"/>
        </w:rPr>
        <w:t>8</w:t>
      </w:r>
      <w:bookmarkStart w:id="288" w:name="_Toc337558780"/>
      <w:bookmarkStart w:id="289" w:name="_Toc296346563"/>
      <w:bookmarkStart w:id="290" w:name="_Toc296503062"/>
      <w:r>
        <w:rPr>
          <w:rFonts w:hint="eastAsia" w:ascii="宋体" w:hAnsi="宋体" w:eastAsia="宋体" w:cs="宋体"/>
          <w:b w:val="0"/>
          <w:bCs w:val="0"/>
          <w:color w:val="000000"/>
          <w:sz w:val="24"/>
          <w:szCs w:val="24"/>
        </w:rPr>
        <w:t>.4材料与工程设备的保管与使用</w:t>
      </w:r>
      <w:bookmarkEnd w:id="287"/>
    </w:p>
    <w:bookmarkEnd w:id="288"/>
    <w:bookmarkEnd w:id="289"/>
    <w:bookmarkEnd w:id="29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8.4.1 发包人供应</w:t>
      </w:r>
      <w:r>
        <w:rPr>
          <w:rFonts w:hint="eastAsia" w:ascii="宋体" w:hAnsi="宋体" w:eastAsia="宋体" w:cs="宋体"/>
          <w:color w:val="000000"/>
          <w:sz w:val="24"/>
          <w:szCs w:val="24"/>
        </w:rPr>
        <w:t>材料与</w:t>
      </w:r>
      <w:r>
        <w:rPr>
          <w:rFonts w:hint="eastAsia" w:ascii="宋体" w:hAnsi="宋体" w:eastAsia="宋体" w:cs="宋体"/>
          <w:color w:val="000000"/>
          <w:kern w:val="0"/>
          <w:sz w:val="24"/>
          <w:szCs w:val="24"/>
        </w:rPr>
        <w:t>工程</w:t>
      </w:r>
      <w:r>
        <w:rPr>
          <w:rFonts w:hint="eastAsia" w:ascii="宋体" w:hAnsi="宋体" w:eastAsia="宋体" w:cs="宋体"/>
          <w:color w:val="000000"/>
          <w:sz w:val="24"/>
          <w:szCs w:val="24"/>
        </w:rPr>
        <w:t>设备的保管与使用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发包人供应的材料和工程设备使用前，由承包人负责检验，检验费用由发包人承担，不合格的不得使用。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8.4.2 承包人采购</w:t>
      </w:r>
      <w:r>
        <w:rPr>
          <w:rFonts w:hint="eastAsia" w:ascii="宋体" w:hAnsi="宋体" w:eastAsia="宋体" w:cs="宋体"/>
          <w:color w:val="000000"/>
          <w:sz w:val="24"/>
          <w:szCs w:val="24"/>
        </w:rPr>
        <w:t>材料与</w:t>
      </w:r>
      <w:r>
        <w:rPr>
          <w:rFonts w:hint="eastAsia" w:ascii="宋体" w:hAnsi="宋体" w:eastAsia="宋体" w:cs="宋体"/>
          <w:color w:val="000000"/>
          <w:kern w:val="0"/>
          <w:sz w:val="24"/>
          <w:szCs w:val="24"/>
        </w:rPr>
        <w:t>工程</w:t>
      </w:r>
      <w:r>
        <w:rPr>
          <w:rFonts w:hint="eastAsia" w:ascii="宋体" w:hAnsi="宋体" w:eastAsia="宋体" w:cs="宋体"/>
          <w:color w:val="000000"/>
          <w:sz w:val="24"/>
          <w:szCs w:val="24"/>
        </w:rPr>
        <w:t>设备的保管与使用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发包人或监理人发现承包人使用不符合设计或有关标准要求的材料和工程设备时，有权要求承包人进行修复、拆除或重新采购，由此增加的费用和（或）延误的工期，由承包人承担。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91" w:name="_Toc8615"/>
      <w:r>
        <w:rPr>
          <w:rFonts w:hint="eastAsia" w:ascii="宋体" w:hAnsi="宋体" w:eastAsia="宋体" w:cs="宋体"/>
          <w:b w:val="0"/>
          <w:bCs w:val="0"/>
          <w:color w:val="000000"/>
          <w:sz w:val="24"/>
          <w:szCs w:val="24"/>
        </w:rPr>
        <w:t>8.5禁止使用不合格的材料和工程设备</w:t>
      </w:r>
      <w:bookmarkEnd w:id="291"/>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8.5.1 监理人有权拒绝承包人提供的不合格材料或工程设备，并要求承包人立即进行更换。监理人应在更换后再次进行检查和检验，由此增加的费用和（或）延误的工期由承包人承担。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8.5.2 监理人发现承包人使用了不合格的材料和工程设备，承包人应按照监理人的指示立即改正，并禁止在工程中继续使用不合格的材料和工程设备。</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8.5.3 发包人提供的材料或工程设备不符合合同要求的，承包人有权拒绝，并可要求发包人更换，由此增加的费用和（或）延误的工期由发包人承担，并支付承包人合理的利润。</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92" w:name="_Toc17697"/>
      <w:r>
        <w:rPr>
          <w:rFonts w:hint="eastAsia" w:ascii="宋体" w:hAnsi="宋体" w:eastAsia="宋体" w:cs="宋体"/>
          <w:b w:val="0"/>
          <w:bCs w:val="0"/>
          <w:color w:val="000000"/>
          <w:sz w:val="24"/>
          <w:szCs w:val="24"/>
        </w:rPr>
        <w:t>8.6 样品</w:t>
      </w:r>
      <w:bookmarkEnd w:id="292"/>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需要承包人报送样品的材料或工程设备，样品的种类、名称、规格、数量等要求均应在专用合同条款中约定。样品的报送程序如下：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（3）经发包人和监理人审批确认的样品应按约定的方法封样，封存的样品作为检验工程相关部分的标准之一。承包人在施工过程中不得使用与样品不符的材料或工程设备。</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8.6.2 样品的保管</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经批准的样品应由监理人负责封存于现场，承包人应在现场为保存样品提供适当和固定的场所并保持适当和良好的存储环境条件。</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93" w:name="_Toc25191"/>
      <w:r>
        <w:rPr>
          <w:rFonts w:hint="eastAsia" w:ascii="宋体" w:hAnsi="宋体" w:eastAsia="宋体" w:cs="宋体"/>
          <w:b w:val="0"/>
          <w:bCs w:val="0"/>
          <w:color w:val="000000"/>
          <w:sz w:val="24"/>
          <w:szCs w:val="24"/>
        </w:rPr>
        <w:t>8.7材料与工程设备的替代</w:t>
      </w:r>
      <w:bookmarkEnd w:id="293"/>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8.7.1 出现下列情况需要使用替代材料和工程设备的，承包人应按照第8.7.2项约定的程序执行：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（1）基准日期后生效的法律规定禁止使用的；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（2）发包人要求使用替代品的；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（3）因其他原因必须使用替代品的。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8.7.2 承包人应在使用替代材料和工程设备28天前书面通知监理人，并附下列文件：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（1）被替代的材料和工程设备的名称、数量、规格、型号、品牌、性能、价格及其他相关资料；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（2）替代品的名称、数量、规格、型号、品牌、性能、价格及其他相关资料；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（3）替代品与被替代产品之间的差异以及使用替代品可能对工程产生的影响；</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（4）替代品与被替代产品的价格差异；</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（5）使用替代品的理由和原因说明；</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（6）监理人要求的其他文件。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监理人应在收到通知后14天内向承包人发出经发包人签认的书面指示；监理人逾期发出书面指示的，视为发包人和监理人同意使用替代品。</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94" w:name="_Toc6569"/>
      <w:r>
        <w:rPr>
          <w:rFonts w:hint="eastAsia" w:ascii="宋体" w:hAnsi="宋体" w:eastAsia="宋体" w:cs="宋体"/>
          <w:b w:val="0"/>
          <w:bCs w:val="0"/>
          <w:color w:val="000000"/>
          <w:sz w:val="24"/>
          <w:szCs w:val="24"/>
        </w:rPr>
        <w:t>8.8施工设备和临时设施</w:t>
      </w:r>
      <w:bookmarkEnd w:id="294"/>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8.8.1 承包人提供的施工设备和临时设施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除专用合同条款另有约定外，承包人应自行承担修建临时设施的费用，需要临时占地的，应由发包人办理申请手续并承担相应费用。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8.8.2发包人提供的施工设备和临时设施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发包人提供的施工设备或临时设施在专用合同条款中约定。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8.8.3要求承包人增加或更换施工设备</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295" w:name="_Toc5141"/>
      <w:r>
        <w:rPr>
          <w:rFonts w:hint="eastAsia" w:ascii="宋体" w:hAnsi="宋体" w:eastAsia="宋体" w:cs="宋体"/>
          <w:b w:val="0"/>
          <w:bCs w:val="0"/>
          <w:color w:val="000000"/>
          <w:sz w:val="24"/>
          <w:szCs w:val="24"/>
        </w:rPr>
        <w:t>8</w:t>
      </w:r>
      <w:bookmarkStart w:id="296" w:name="_Toc296346564"/>
      <w:bookmarkStart w:id="297" w:name="_Toc337558781"/>
      <w:bookmarkStart w:id="298" w:name="_Toc296503063"/>
      <w:r>
        <w:rPr>
          <w:rFonts w:hint="eastAsia" w:ascii="宋体" w:hAnsi="宋体" w:eastAsia="宋体" w:cs="宋体"/>
          <w:b w:val="0"/>
          <w:bCs w:val="0"/>
          <w:color w:val="000000"/>
          <w:sz w:val="24"/>
          <w:szCs w:val="24"/>
        </w:rPr>
        <w:t>.9材料与设备专用要求</w:t>
      </w:r>
      <w:bookmarkEnd w:id="295"/>
    </w:p>
    <w:bookmarkEnd w:id="296"/>
    <w:bookmarkEnd w:id="297"/>
    <w:bookmarkEnd w:id="298"/>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77"/>
      <w:r>
        <w:rPr>
          <w:rFonts w:hint="eastAsia" w:ascii="宋体" w:hAnsi="宋体" w:eastAsia="宋体" w:cs="宋体"/>
          <w:color w:val="000000"/>
          <w:kern w:val="0"/>
          <w:sz w:val="24"/>
          <w:szCs w:val="24"/>
        </w:rPr>
        <w:t>经发包人批准，承包人可以根据施工进度计划撤走闲置的施工设备和其他物品。</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299" w:name="_Toc7147"/>
      <w:r>
        <w:rPr>
          <w:rFonts w:hint="eastAsia" w:ascii="宋体" w:hAnsi="宋体" w:eastAsia="宋体" w:cs="宋体"/>
          <w:b w:val="0"/>
          <w:color w:val="000000"/>
          <w:sz w:val="24"/>
          <w:szCs w:val="24"/>
          <w:u w:val="none"/>
        </w:rPr>
        <w:t>9</w:t>
      </w:r>
      <w:bookmarkStart w:id="300" w:name="_Toc337558782"/>
      <w:bookmarkStart w:id="301" w:name="_Toc296503083"/>
      <w:bookmarkStart w:id="302" w:name="_Toc296346584"/>
      <w:r>
        <w:rPr>
          <w:rFonts w:hint="eastAsia" w:ascii="宋体" w:hAnsi="宋体" w:eastAsia="宋体" w:cs="宋体"/>
          <w:b w:val="0"/>
          <w:color w:val="000000"/>
          <w:sz w:val="24"/>
          <w:szCs w:val="24"/>
          <w:u w:val="none"/>
        </w:rPr>
        <w:t>. 试验与检验</w:t>
      </w:r>
      <w:bookmarkEnd w:id="299"/>
    </w:p>
    <w:bookmarkEnd w:id="300"/>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03" w:name="_Toc22539"/>
      <w:r>
        <w:rPr>
          <w:rFonts w:hint="eastAsia" w:ascii="宋体" w:hAnsi="宋体" w:eastAsia="宋体" w:cs="宋体"/>
          <w:b w:val="0"/>
          <w:bCs w:val="0"/>
          <w:color w:val="000000"/>
          <w:sz w:val="24"/>
          <w:szCs w:val="24"/>
        </w:rPr>
        <w:t>9</w:t>
      </w:r>
      <w:bookmarkStart w:id="304" w:name="_Toc337558783"/>
      <w:r>
        <w:rPr>
          <w:rFonts w:hint="eastAsia" w:ascii="宋体" w:hAnsi="宋体" w:eastAsia="宋体" w:cs="宋体"/>
          <w:b w:val="0"/>
          <w:bCs w:val="0"/>
          <w:color w:val="000000"/>
          <w:sz w:val="24"/>
          <w:szCs w:val="24"/>
        </w:rPr>
        <w:t>.1试验设备与试验人员</w:t>
      </w:r>
      <w:bookmarkEnd w:id="303"/>
    </w:p>
    <w:bookmarkEnd w:id="304"/>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9.1.2 承包人应按专用合同条款的约定提供试验设备、取样装置、试验场所和试验条件，并向监理人提交相应进场计划表。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承包人配置的试验设备要符合相应试验规程的要求并经过具有资质的检测单位检测，且在正式使用该试验设备前，需要经过监理人与承包人共同校定。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9.1.3 承包人应向监理人提交试验人员的名单及其岗位、资格等证明资料，试验人员必须能够熟练进行相应的检测试验，承包人对试验人员的试验程序和试验结果的正确性负责。</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05" w:name="_Toc15857"/>
      <w:r>
        <w:rPr>
          <w:rFonts w:hint="eastAsia" w:ascii="宋体" w:hAnsi="宋体" w:eastAsia="宋体" w:cs="宋体"/>
          <w:b w:val="0"/>
          <w:bCs w:val="0"/>
          <w:color w:val="000000"/>
          <w:sz w:val="24"/>
          <w:szCs w:val="24"/>
        </w:rPr>
        <w:t>9</w:t>
      </w:r>
      <w:bookmarkStart w:id="306" w:name="_Toc337558784"/>
      <w:r>
        <w:rPr>
          <w:rFonts w:hint="eastAsia" w:ascii="宋体" w:hAnsi="宋体" w:eastAsia="宋体" w:cs="宋体"/>
          <w:b w:val="0"/>
          <w:bCs w:val="0"/>
          <w:color w:val="000000"/>
          <w:sz w:val="24"/>
          <w:szCs w:val="24"/>
        </w:rPr>
        <w:t>.2取样</w:t>
      </w:r>
      <w:bookmarkEnd w:id="305"/>
    </w:p>
    <w:bookmarkEnd w:id="306"/>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试验属于自检性质的，承包人可以单独取样。试验属于监理人抽检性质的，可由监理人取样，也可由承包人的试验人员在监理人的监督下取样。</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07" w:name="_Toc15838"/>
      <w:r>
        <w:rPr>
          <w:rFonts w:hint="eastAsia" w:ascii="宋体" w:hAnsi="宋体" w:eastAsia="宋体" w:cs="宋体"/>
          <w:b w:val="0"/>
          <w:bCs w:val="0"/>
          <w:color w:val="000000"/>
          <w:sz w:val="24"/>
          <w:szCs w:val="24"/>
        </w:rPr>
        <w:t>9</w:t>
      </w:r>
      <w:bookmarkStart w:id="308" w:name="_Toc337558785"/>
      <w:r>
        <w:rPr>
          <w:rFonts w:hint="eastAsia" w:ascii="宋体" w:hAnsi="宋体" w:eastAsia="宋体" w:cs="宋体"/>
          <w:b w:val="0"/>
          <w:bCs w:val="0"/>
          <w:color w:val="000000"/>
          <w:sz w:val="24"/>
          <w:szCs w:val="24"/>
        </w:rPr>
        <w:t>.3材料、工程设备和工程的试验和检验</w:t>
      </w:r>
      <w:bookmarkEnd w:id="307"/>
    </w:p>
    <w:bookmarkEnd w:id="308"/>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09" w:name="_Toc26599"/>
      <w:r>
        <w:rPr>
          <w:rFonts w:hint="eastAsia" w:ascii="宋体" w:hAnsi="宋体" w:eastAsia="宋体" w:cs="宋体"/>
          <w:b w:val="0"/>
          <w:bCs w:val="0"/>
          <w:color w:val="000000"/>
          <w:sz w:val="24"/>
          <w:szCs w:val="24"/>
        </w:rPr>
        <w:t>9</w:t>
      </w:r>
      <w:bookmarkStart w:id="310" w:name="_Toc337558786"/>
      <w:r>
        <w:rPr>
          <w:rFonts w:hint="eastAsia" w:ascii="宋体" w:hAnsi="宋体" w:eastAsia="宋体" w:cs="宋体"/>
          <w:b w:val="0"/>
          <w:bCs w:val="0"/>
          <w:color w:val="000000"/>
          <w:sz w:val="24"/>
          <w:szCs w:val="24"/>
        </w:rPr>
        <w:t>.4现场工艺试验</w:t>
      </w:r>
      <w:bookmarkEnd w:id="309"/>
    </w:p>
    <w:bookmarkEnd w:id="310"/>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311" w:name="_Toc28750"/>
      <w:r>
        <w:rPr>
          <w:rFonts w:hint="eastAsia" w:ascii="宋体" w:hAnsi="宋体" w:eastAsia="宋体" w:cs="宋体"/>
          <w:b w:val="0"/>
          <w:color w:val="000000"/>
          <w:sz w:val="24"/>
          <w:szCs w:val="24"/>
          <w:u w:val="none"/>
        </w:rPr>
        <w:t>1</w:t>
      </w:r>
      <w:bookmarkStart w:id="312" w:name="_Toc337558787"/>
      <w:r>
        <w:rPr>
          <w:rFonts w:hint="eastAsia" w:ascii="宋体" w:hAnsi="宋体" w:eastAsia="宋体" w:cs="宋体"/>
          <w:b w:val="0"/>
          <w:color w:val="000000"/>
          <w:sz w:val="24"/>
          <w:szCs w:val="24"/>
          <w:u w:val="none"/>
        </w:rPr>
        <w:t>0. 变更</w:t>
      </w:r>
      <w:bookmarkEnd w:id="301"/>
      <w:bookmarkEnd w:id="302"/>
      <w:bookmarkEnd w:id="311"/>
    </w:p>
    <w:bookmarkEnd w:id="312"/>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13" w:name="_Toc30667"/>
      <w:r>
        <w:rPr>
          <w:rFonts w:hint="eastAsia" w:ascii="宋体" w:hAnsi="宋体" w:eastAsia="宋体" w:cs="宋体"/>
          <w:b w:val="0"/>
          <w:bCs w:val="0"/>
          <w:color w:val="000000"/>
          <w:sz w:val="24"/>
          <w:szCs w:val="24"/>
        </w:rPr>
        <w:t>1</w:t>
      </w:r>
      <w:bookmarkStart w:id="314" w:name="_Toc296346585"/>
      <w:bookmarkStart w:id="315" w:name="_Toc337558788"/>
      <w:bookmarkStart w:id="316" w:name="_Toc296503084"/>
      <w:r>
        <w:rPr>
          <w:rFonts w:hint="eastAsia" w:ascii="宋体" w:hAnsi="宋体" w:eastAsia="宋体" w:cs="宋体"/>
          <w:b w:val="0"/>
          <w:bCs w:val="0"/>
          <w:color w:val="000000"/>
          <w:sz w:val="24"/>
          <w:szCs w:val="24"/>
        </w:rPr>
        <w:t>0.1变更的范围</w:t>
      </w:r>
      <w:bookmarkEnd w:id="313"/>
    </w:p>
    <w:bookmarkEnd w:id="314"/>
    <w:bookmarkEnd w:id="315"/>
    <w:bookmarkEnd w:id="31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除专用合同条款另有约定外，合同履行过程中发生以下情形的，应按照本条约定进行变更：</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（1）增加或减少合同中任何工作，或追加额外的工作；</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（2）取消合同中任何工作，但转由他人实施的工作除外；</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（3）改变合同中任何工作的质量标准或其他特性；</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（4）改变工程的基线、标高、位置和尺寸；</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（5）改变工程的时间安排或实施顺序。</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17" w:name="_Toc8877"/>
      <w:r>
        <w:rPr>
          <w:rFonts w:hint="eastAsia" w:ascii="宋体" w:hAnsi="宋体" w:eastAsia="宋体" w:cs="宋体"/>
          <w:b w:val="0"/>
          <w:bCs w:val="0"/>
          <w:color w:val="000000"/>
          <w:sz w:val="24"/>
          <w:szCs w:val="24"/>
        </w:rPr>
        <w:t>1</w:t>
      </w:r>
      <w:bookmarkStart w:id="318" w:name="_Toc337558789"/>
      <w:bookmarkStart w:id="319" w:name="_Toc296503085"/>
      <w:bookmarkStart w:id="320" w:name="_Toc296346586"/>
      <w:r>
        <w:rPr>
          <w:rFonts w:hint="eastAsia" w:ascii="宋体" w:hAnsi="宋体" w:eastAsia="宋体" w:cs="宋体"/>
          <w:b w:val="0"/>
          <w:bCs w:val="0"/>
          <w:color w:val="000000"/>
          <w:sz w:val="24"/>
          <w:szCs w:val="24"/>
        </w:rPr>
        <w:t>0.2变更权</w:t>
      </w:r>
      <w:bookmarkEnd w:id="317"/>
    </w:p>
    <w:bookmarkEnd w:id="318"/>
    <w:bookmarkEnd w:id="319"/>
    <w:bookmarkEnd w:id="32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涉及设计变更的，应由设计人提供变更后的图纸和说明。如变更超过原设计标准或批准的建设规模时，发包人应及时办理规划、设计变更等审批手续。</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21" w:name="_Toc13226"/>
      <w:r>
        <w:rPr>
          <w:rFonts w:hint="eastAsia" w:ascii="宋体" w:hAnsi="宋体" w:eastAsia="宋体" w:cs="宋体"/>
          <w:b w:val="0"/>
          <w:bCs w:val="0"/>
          <w:color w:val="000000"/>
          <w:sz w:val="24"/>
          <w:szCs w:val="24"/>
        </w:rPr>
        <w:t>1</w:t>
      </w:r>
      <w:bookmarkStart w:id="322" w:name="_Toc337558790"/>
      <w:bookmarkStart w:id="323" w:name="_Toc296503086"/>
      <w:bookmarkStart w:id="324" w:name="_Toc296346587"/>
      <w:r>
        <w:rPr>
          <w:rFonts w:hint="eastAsia" w:ascii="宋体" w:hAnsi="宋体" w:eastAsia="宋体" w:cs="宋体"/>
          <w:b w:val="0"/>
          <w:bCs w:val="0"/>
          <w:color w:val="000000"/>
          <w:sz w:val="24"/>
          <w:szCs w:val="24"/>
        </w:rPr>
        <w:t>0.3变更程序</w:t>
      </w:r>
      <w:bookmarkEnd w:id="321"/>
    </w:p>
    <w:bookmarkEnd w:id="322"/>
    <w:bookmarkEnd w:id="323"/>
    <w:bookmarkEnd w:id="324"/>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r>
        <w:rPr>
          <w:rFonts w:hint="eastAsia" w:ascii="宋体" w:hAnsi="宋体" w:eastAsia="宋体" w:cs="宋体"/>
          <w:color w:val="000000"/>
          <w:kern w:val="0"/>
          <w:sz w:val="24"/>
          <w:szCs w:val="24"/>
        </w:rPr>
        <w:t>.3.1 发包人提出变更</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发包人提出变更的，应通过监理人向承包人发出变更指示，变更指示应说明计划变更的工程范围和变更的内容。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r>
        <w:rPr>
          <w:rFonts w:hint="eastAsia" w:ascii="宋体" w:hAnsi="宋体" w:eastAsia="宋体" w:cs="宋体"/>
          <w:color w:val="000000"/>
          <w:kern w:val="0"/>
          <w:sz w:val="24"/>
          <w:szCs w:val="24"/>
        </w:rPr>
        <w:t>.3.2 监理人提出变更建议</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10.3.3 变更执行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25" w:name="_Toc2744"/>
      <w:r>
        <w:rPr>
          <w:rFonts w:hint="eastAsia" w:ascii="宋体" w:hAnsi="宋体" w:eastAsia="宋体" w:cs="宋体"/>
          <w:b w:val="0"/>
          <w:bCs w:val="0"/>
          <w:color w:val="000000"/>
          <w:sz w:val="24"/>
          <w:szCs w:val="24"/>
        </w:rPr>
        <w:t>1</w:t>
      </w:r>
      <w:bookmarkStart w:id="326" w:name="_Toc296346588"/>
      <w:bookmarkStart w:id="327" w:name="_Toc296503087"/>
      <w:bookmarkStart w:id="328" w:name="_Toc337558791"/>
      <w:r>
        <w:rPr>
          <w:rFonts w:hint="eastAsia" w:ascii="宋体" w:hAnsi="宋体" w:eastAsia="宋体" w:cs="宋体"/>
          <w:b w:val="0"/>
          <w:bCs w:val="0"/>
          <w:color w:val="000000"/>
          <w:sz w:val="24"/>
          <w:szCs w:val="24"/>
        </w:rPr>
        <w:t>0.4变更估价</w:t>
      </w:r>
      <w:bookmarkEnd w:id="325"/>
    </w:p>
    <w:bookmarkEnd w:id="326"/>
    <w:bookmarkEnd w:id="327"/>
    <w:bookmarkEnd w:id="328"/>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10.4.1 变更估价原则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除专用合同条款另有约定外，变更估价按照本款约定处理：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（1）已标价工程量清单或预算书有相同项目的，按照相同项目单价认定；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（2）已标价工程量清单或预算书中无相同项目，但有类似项目的，参照类似项目的单价认定；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10.4.2 变更估价程序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因变更引起的价格调整应计入最近一期的进度款中支付。</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29" w:name="_Toc27306"/>
      <w:r>
        <w:rPr>
          <w:rFonts w:hint="eastAsia" w:ascii="宋体" w:hAnsi="宋体" w:eastAsia="宋体" w:cs="宋体"/>
          <w:b w:val="0"/>
          <w:bCs w:val="0"/>
          <w:color w:val="000000"/>
          <w:sz w:val="24"/>
          <w:szCs w:val="24"/>
        </w:rPr>
        <w:t>1</w:t>
      </w:r>
      <w:bookmarkStart w:id="330" w:name="_Toc337558792"/>
      <w:bookmarkStart w:id="331" w:name="_Toc296503094"/>
      <w:bookmarkStart w:id="332" w:name="_Toc296346595"/>
      <w:r>
        <w:rPr>
          <w:rFonts w:hint="eastAsia" w:ascii="宋体" w:hAnsi="宋体" w:eastAsia="宋体" w:cs="宋体"/>
          <w:b w:val="0"/>
          <w:bCs w:val="0"/>
          <w:color w:val="000000"/>
          <w:sz w:val="24"/>
          <w:szCs w:val="24"/>
        </w:rPr>
        <w:t>0.5承包人的合理化建议</w:t>
      </w:r>
      <w:bookmarkEnd w:id="329"/>
    </w:p>
    <w:bookmarkEnd w:id="330"/>
    <w:bookmarkEnd w:id="331"/>
    <w:bookmarkEnd w:id="33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承包人提出合理化建议的，应向监理人提交合理化建议说明，说明建议的内容和理由，以及实施该建议对合同价格和工期的影响。</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合理化建议降低了合同价格或者提高了工程经济效益的，发包人可对承包人给予奖励，奖励的方法和金额在专用合同条款中约定。</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33" w:name="_Toc20978"/>
      <w:r>
        <w:rPr>
          <w:rFonts w:hint="eastAsia" w:ascii="宋体" w:hAnsi="宋体" w:eastAsia="宋体" w:cs="宋体"/>
          <w:b w:val="0"/>
          <w:bCs w:val="0"/>
          <w:color w:val="000000"/>
          <w:sz w:val="24"/>
          <w:szCs w:val="24"/>
        </w:rPr>
        <w:t>1</w:t>
      </w:r>
      <w:bookmarkStart w:id="334" w:name="_Toc337558793"/>
      <w:r>
        <w:rPr>
          <w:rFonts w:hint="eastAsia" w:ascii="宋体" w:hAnsi="宋体" w:eastAsia="宋体" w:cs="宋体"/>
          <w:b w:val="0"/>
          <w:bCs w:val="0"/>
          <w:color w:val="000000"/>
          <w:sz w:val="24"/>
          <w:szCs w:val="24"/>
        </w:rPr>
        <w:t>0.6变更引起的工期调整</w:t>
      </w:r>
      <w:bookmarkEnd w:id="333"/>
      <w:bookmarkEnd w:id="334"/>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因变更引起工期变化的，合同当事人均可要求调整合同工期，由合同当事人按照第4.4款〔商定或确定〕并参考工程所在地的工期定额标准确定增减工期天数。</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35" w:name="_Toc9068"/>
      <w:r>
        <w:rPr>
          <w:rFonts w:hint="eastAsia" w:ascii="宋体" w:hAnsi="宋体" w:eastAsia="宋体" w:cs="宋体"/>
          <w:b w:val="0"/>
          <w:bCs w:val="0"/>
          <w:color w:val="000000"/>
          <w:sz w:val="24"/>
          <w:szCs w:val="24"/>
        </w:rPr>
        <w:t>10.7暂估价</w:t>
      </w:r>
      <w:bookmarkEnd w:id="335"/>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暂估价专业分包工程、服务、材料和工程设备的明细由合同当事人在专用合同条款中约定。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10.7.1</w:t>
      </w:r>
      <w:r>
        <w:rPr>
          <w:rFonts w:hint="eastAsia" w:ascii="宋体" w:hAnsi="宋体" w:eastAsia="宋体" w:cs="宋体"/>
          <w:color w:val="000000"/>
          <w:kern w:val="0"/>
          <w:sz w:val="24"/>
          <w:szCs w:val="24"/>
        </w:rPr>
        <w:t xml:space="preserve"> 依法必须招标的暂估价项目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对于依法必须招标的暂估价项目，采取以下第1种方式确定。合同当事人也可以在专用合同条款中选择其他招标方式。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第1种方式：对于依法必须招标的暂估价项目，由承包人招标，对该暂估价项目的确认和批准按照以下约定执行：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10.7.2</w:t>
      </w:r>
      <w:r>
        <w:rPr>
          <w:rFonts w:hint="eastAsia" w:ascii="宋体" w:hAnsi="宋体" w:eastAsia="宋体" w:cs="宋体"/>
          <w:color w:val="000000"/>
          <w:kern w:val="0"/>
          <w:sz w:val="24"/>
          <w:szCs w:val="24"/>
        </w:rPr>
        <w:t>不属于依法必须招标的暂估价项目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除专用合同条款另有约定外，对于不属于依法必须招标的暂估价项目，采取以下第1种方式确定：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第1种方式：对于不属于依法必须招标的暂估价项目，按本项约定确认和批准：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（2）发包人认为承包人确定的供应商、分包人无法满足工程质量或合同要求的，发包人可以要求承包人重新确定暂估价项目的供应商、分包人;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（3）承包人应当在签订暂估价合同后7天内，将暂估价合同副本报送发包人留存。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第2种方式：承包人按照第10.7.1项〔依法必须招标的暂估价项目〕约定的第1种方式确定暂估价项目。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承包人具备实施暂估价项目的资格和条件的，经发包人和承包人协商一致后，可由承包人自行实施暂估价项目，合同当事人可以在专用合同条款约定具体事项。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36" w:name="_Toc760"/>
      <w:r>
        <w:rPr>
          <w:rFonts w:hint="eastAsia" w:ascii="宋体" w:hAnsi="宋体" w:eastAsia="宋体" w:cs="宋体"/>
          <w:b w:val="0"/>
          <w:bCs w:val="0"/>
          <w:color w:val="000000"/>
          <w:sz w:val="24"/>
          <w:szCs w:val="24"/>
        </w:rPr>
        <w:t>1</w:t>
      </w:r>
      <w:bookmarkStart w:id="337" w:name="_Toc337558794"/>
      <w:bookmarkStart w:id="338" w:name="_Toc296346591"/>
      <w:bookmarkStart w:id="339" w:name="_Toc296503090"/>
      <w:bookmarkStart w:id="340" w:name="_Toc322522561"/>
      <w:r>
        <w:rPr>
          <w:rFonts w:hint="eastAsia" w:ascii="宋体" w:hAnsi="宋体" w:eastAsia="宋体" w:cs="宋体"/>
          <w:b w:val="0"/>
          <w:bCs w:val="0"/>
          <w:color w:val="000000"/>
          <w:sz w:val="24"/>
          <w:szCs w:val="24"/>
        </w:rPr>
        <w:t>0.8暂列金额</w:t>
      </w:r>
      <w:bookmarkEnd w:id="336"/>
    </w:p>
    <w:bookmarkEnd w:id="337"/>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暂列金额应按照发包人的要求使用，发包人的要求应通过监理人发出。合同当事人可以在专用合同条款中协商确定有关事项。</w:t>
      </w:r>
    </w:p>
    <w:bookmarkEnd w:id="338"/>
    <w:bookmarkEnd w:id="339"/>
    <w:bookmarkEnd w:id="340"/>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41" w:name="_Toc27284"/>
      <w:r>
        <w:rPr>
          <w:rFonts w:hint="eastAsia" w:ascii="宋体" w:hAnsi="宋体" w:eastAsia="宋体" w:cs="宋体"/>
          <w:b w:val="0"/>
          <w:bCs w:val="0"/>
          <w:color w:val="000000"/>
          <w:sz w:val="24"/>
          <w:szCs w:val="24"/>
        </w:rPr>
        <w:t>1</w:t>
      </w:r>
      <w:bookmarkStart w:id="342" w:name="_Toc296503091"/>
      <w:bookmarkStart w:id="343" w:name="_Toc296346592"/>
      <w:bookmarkStart w:id="344" w:name="_Toc337558796"/>
      <w:r>
        <w:rPr>
          <w:rFonts w:hint="eastAsia" w:ascii="宋体" w:hAnsi="宋体" w:eastAsia="宋体" w:cs="宋体"/>
          <w:b w:val="0"/>
          <w:bCs w:val="0"/>
          <w:color w:val="000000"/>
          <w:sz w:val="24"/>
          <w:szCs w:val="24"/>
        </w:rPr>
        <w:t>0.9计日工</w:t>
      </w:r>
      <w:bookmarkEnd w:id="341"/>
      <w:bookmarkEnd w:id="342"/>
      <w:bookmarkEnd w:id="343"/>
      <w:bookmarkEnd w:id="344"/>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采用计日工计价的任何一项工作，承包人应在该项工作实施过程中，每天提交以下报表和有关凭证报送监理人审查：</w:t>
      </w:r>
    </w:p>
    <w:p>
      <w:pPr>
        <w:pageBreakBefore w:val="0"/>
        <w:widowControl w:val="0"/>
        <w:kinsoku/>
        <w:wordWrap/>
        <w:overflowPunct/>
        <w:topLinePunct w:val="0"/>
        <w:bidi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（1）工作名称、内容和数量；</w:t>
      </w:r>
    </w:p>
    <w:p>
      <w:pPr>
        <w:pageBreakBefore w:val="0"/>
        <w:widowControl w:val="0"/>
        <w:kinsoku/>
        <w:wordWrap/>
        <w:overflowPunct/>
        <w:topLinePunct w:val="0"/>
        <w:bidi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（2）投入该工作的所有人员的姓名、专业、工种、级别和耗用工时；</w:t>
      </w:r>
    </w:p>
    <w:p>
      <w:pPr>
        <w:pageBreakBefore w:val="0"/>
        <w:widowControl w:val="0"/>
        <w:kinsoku/>
        <w:wordWrap/>
        <w:overflowPunct/>
        <w:topLinePunct w:val="0"/>
        <w:bidi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（3）投入该工作的材料类别和数量；</w:t>
      </w:r>
    </w:p>
    <w:p>
      <w:pPr>
        <w:pageBreakBefore w:val="0"/>
        <w:widowControl w:val="0"/>
        <w:kinsoku/>
        <w:wordWrap/>
        <w:overflowPunct/>
        <w:topLinePunct w:val="0"/>
        <w:bidi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（4）投入该工作的施工设备型号、台数和耗用台时；</w:t>
      </w:r>
    </w:p>
    <w:p>
      <w:pPr>
        <w:pageBreakBefore w:val="0"/>
        <w:widowControl w:val="0"/>
        <w:kinsoku/>
        <w:wordWrap/>
        <w:overflowPunct/>
        <w:topLinePunct w:val="0"/>
        <w:bidi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（5）其他有关资料和凭证。</w:t>
      </w:r>
    </w:p>
    <w:p>
      <w:pPr>
        <w:pageBreakBefore w:val="0"/>
        <w:widowControl w:val="0"/>
        <w:kinsoku/>
        <w:wordWrap/>
        <w:overflowPunct/>
        <w:topLinePunct w:val="0"/>
        <w:bidi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计日工由承包人汇总后，列入最近一期进度付款申请单，由监理人审查并经发包人批准后列入进度付款。</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345" w:name="_Toc23154"/>
      <w:r>
        <w:rPr>
          <w:rFonts w:hint="eastAsia" w:ascii="宋体" w:hAnsi="宋体" w:eastAsia="宋体" w:cs="宋体"/>
          <w:b w:val="0"/>
          <w:color w:val="000000"/>
          <w:sz w:val="24"/>
          <w:szCs w:val="24"/>
          <w:u w:val="none"/>
        </w:rPr>
        <w:t>11. 价格调整</w:t>
      </w:r>
      <w:bookmarkEnd w:id="345"/>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46" w:name="_Toc10869"/>
      <w:bookmarkStart w:id="347" w:name="_Toc296346593"/>
      <w:bookmarkStart w:id="348" w:name="_Toc296503092"/>
      <w:bookmarkStart w:id="349" w:name="_Toc337558797"/>
      <w:r>
        <w:rPr>
          <w:rFonts w:hint="eastAsia" w:ascii="宋体" w:hAnsi="宋体" w:eastAsia="宋体" w:cs="宋体"/>
          <w:b w:val="0"/>
          <w:bCs w:val="0"/>
          <w:color w:val="000000"/>
          <w:sz w:val="24"/>
          <w:szCs w:val="24"/>
        </w:rPr>
        <w:t>11.1市场价格波动引起的调整</w:t>
      </w:r>
      <w:bookmarkEnd w:id="346"/>
    </w:p>
    <w:bookmarkEnd w:id="347"/>
    <w:bookmarkEnd w:id="348"/>
    <w:bookmarkEnd w:id="349"/>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除专用合同条款另有约定外，市场价格波动超过合同当事人约定的范围，合同价格应当调整。合同当事人可以在专用合同条款中约定选择以下一种方式对合同价格进行调整：</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（1）价格调整公式</w:t>
      </w:r>
    </w:p>
    <w:p>
      <w:pPr>
        <w:pageBreakBefore w:val="0"/>
        <w:widowControl w:val="0"/>
        <w:tabs>
          <w:tab w:val="left" w:pos="0"/>
          <w:tab w:val="left" w:pos="360"/>
          <w:tab w:val="left" w:pos="540"/>
        </w:tabs>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因人工、材料和设备等价格波动影响合同价格时，根据专用合同条款中约定的数据，按以下公式计算差额并调整合同价格：</w:t>
      </w:r>
    </w:p>
    <w:p>
      <w:pPr>
        <w:pageBreakBefore w:val="0"/>
        <w:widowControl w:val="0"/>
        <w:tabs>
          <w:tab w:val="left" w:pos="0"/>
          <w:tab w:val="left" w:pos="360"/>
          <w:tab w:val="left" w:pos="540"/>
        </w:tabs>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position w:val="-30"/>
          <w:sz w:val="24"/>
          <w:szCs w:val="24"/>
        </w:rPr>
        <w:object>
          <v:shape id="_x0000_i1025" o:spt="75" type="#_x0000_t75" style="height:43.9pt;width:359.85pt;" o:ole="t" filled="f" stroked="f" coordsize="21600,21600">
            <v:path/>
            <v:fill on="f" focussize="0,0"/>
            <v:stroke on="f"/>
            <v:imagedata r:id="rId16" o:title=""/>
            <o:lock v:ext="edit" grouping="f" rotation="f" text="f" aspectratio="t"/>
            <w10:wrap type="none"/>
            <w10:anchorlock/>
          </v:shape>
          <o:OLEObject Type="Embed" ProgID="Equation.KSEE3" ShapeID="_x0000_i1025" DrawAspect="Content" ObjectID="_1468075725" r:id="rId15">
            <o:LockedField>false</o:LockedField>
          </o:OLEObject>
        </w:object>
      </w:r>
    </w:p>
    <w:p>
      <w:pPr>
        <w:pageBreakBefore w:val="0"/>
        <w:widowControl w:val="0"/>
        <w:tabs>
          <w:tab w:val="left" w:pos="0"/>
          <w:tab w:val="left" w:pos="360"/>
          <w:tab w:val="left" w:pos="540"/>
        </w:tabs>
        <w:kinsoku/>
        <w:wordWrap/>
        <w:overflowPunct/>
        <w:topLinePunct w:val="0"/>
        <w:bidi w:val="0"/>
        <w:snapToGrid/>
        <w:spacing w:line="400" w:lineRule="exact"/>
        <w:ind w:firstLine="64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公式中：ΔP——需调整的价格差额；</w:t>
      </w:r>
    </w:p>
    <w:p>
      <w:pPr>
        <w:pageBreakBefore w:val="0"/>
        <w:widowControl w:val="0"/>
        <w:tabs>
          <w:tab w:val="left" w:pos="0"/>
          <w:tab w:val="left" w:pos="360"/>
          <w:tab w:val="left" w:pos="540"/>
        </w:tabs>
        <w:kinsoku/>
        <w:wordWrap/>
        <w:overflowPunct/>
        <w:topLinePunct w:val="0"/>
        <w:bidi w:val="0"/>
        <w:snapToGrid/>
        <w:spacing w:line="400" w:lineRule="exact"/>
        <w:ind w:firstLine="1440" w:firstLineChars="600"/>
        <w:textAlignment w:val="auto"/>
        <w:rPr>
          <w:rFonts w:hint="eastAsia" w:ascii="宋体" w:hAnsi="宋体" w:eastAsia="宋体" w:cs="宋体"/>
          <w:color w:val="000000"/>
          <w:sz w:val="24"/>
          <w:szCs w:val="24"/>
        </w:rPr>
      </w:pPr>
      <w:r>
        <w:rPr>
          <w:rFonts w:hint="eastAsia" w:ascii="宋体" w:hAnsi="宋体" w:eastAsia="宋体" w:cs="宋体"/>
          <w:color w:val="000000"/>
          <w:position w:val="-6"/>
          <w:sz w:val="24"/>
          <w:szCs w:val="24"/>
        </w:rPr>
        <w:object>
          <v:shape id="_x0000_i1026" o:spt="75" type="#_x0000_t75" style="height:17.95pt;width:17.95pt;" o:ole="t" filled="f" stroked="f" coordsize="21600,21600">
            <v:path/>
            <v:fill on="f" focussize="0,0"/>
            <v:stroke on="f"/>
            <v:imagedata r:id="rId18" o:title=""/>
            <o:lock v:ext="edit" grouping="f" rotation="f" text="f" aspectratio="t"/>
            <w10:wrap type="none"/>
            <w10:anchorlock/>
          </v:shape>
          <o:OLEObject Type="Embed" ProgID="Equation.KSEE3" ShapeID="_x0000_i1026" DrawAspect="Content" ObjectID="_1468075726" r:id="rId17">
            <o:LockedField>false</o:LockedField>
          </o:OLEObject>
        </w:object>
      </w:r>
      <w:r>
        <w:rPr>
          <w:rFonts w:hint="eastAsia" w:ascii="宋体" w:hAnsi="宋体" w:eastAsia="宋体" w:cs="宋体"/>
          <w:color w:val="00000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A——定值权重（即不调部分的权重）；</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7" o:spt="75" type="#_x0000_t75" style="height:21.05pt;width:101pt;" o:ole="t" filled="f" stroked="f" coordsize="21600,21600">
            <v:path/>
            <v:fill on="f" focussize="0,0"/>
            <v:stroke on="f"/>
            <v:imagedata r:id="rId20" o:title=""/>
            <o:lock v:ext="edit" grouping="f" rotation="f" text="f" aspectratio="t"/>
            <w10:wrap type="none"/>
            <w10:anchorlock/>
          </v:shape>
          <o:OLEObject Type="Embed" ProgID="Equation.KSEE3" ShapeID="_x0000_i1027" DrawAspect="Content" ObjectID="_1468075727" r:id="rId19">
            <o:LockedField>false</o:LockedField>
          </o:OLEObject>
        </w:object>
      </w:r>
      <w:r>
        <w:rPr>
          <w:rFonts w:hint="eastAsia" w:ascii="宋体" w:hAnsi="宋体" w:eastAsia="宋体" w:cs="宋体"/>
          <w:color w:val="000000"/>
          <w:sz w:val="24"/>
          <w:szCs w:val="24"/>
        </w:rPr>
        <w:t>——各可调因子的变值权重（即可调部分的权重），为各可调因子在签约合同价中所占的比例；</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8" o:spt="75" type="#_x0000_t75" style="height:20.6pt;width:102.05pt;" o:ole="t" filled="f" stroked="f" coordsize="21600,21600">
            <v:path/>
            <v:fill on="f" focussize="0,0"/>
            <v:stroke on="f"/>
            <v:imagedata r:id="rId22" o:title=""/>
            <o:lock v:ext="edit" grouping="f" rotation="f" text="f" aspectratio="t"/>
            <w10:wrap type="none"/>
            <w10:anchorlock/>
          </v:shape>
          <o:OLEObject Type="Embed" ProgID="Equation.KSEE3" ShapeID="_x0000_i1028" DrawAspect="Content" ObjectID="_1468075728" r:id="rId21">
            <o:LockedField>false</o:LockedField>
          </o:OLEObject>
        </w:object>
      </w:r>
      <w:r>
        <w:rPr>
          <w:rFonts w:hint="eastAsia" w:ascii="宋体" w:hAnsi="宋体" w:eastAsia="宋体" w:cs="宋体"/>
          <w:color w:val="000000"/>
          <w:sz w:val="24"/>
          <w:szCs w:val="24"/>
        </w:rPr>
        <w:t>——各可调因子的现行价格指数，指约定的付款证书相关周期最后一天的前42天的各可调因子的价格指数；</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9" o:spt="75" type="#_x0000_t75" style="height:20.2pt;width:108pt;" o:ole="t" filled="f" stroked="f" coordsize="21600,21600">
            <v:path/>
            <v:fill on="f" focussize="0,0"/>
            <v:stroke on="f"/>
            <v:imagedata r:id="rId24" o:title=""/>
            <o:lock v:ext="edit" grouping="f" rotation="f" text="f" aspectratio="t"/>
            <w10:wrap type="none"/>
            <w10:anchorlock/>
          </v:shape>
          <o:OLEObject Type="Embed" ProgID="Equation.KSEE3" ShapeID="_x0000_i1029" DrawAspect="Content" ObjectID="_1468075729" r:id="rId23">
            <o:LockedField>false</o:LockedField>
          </o:OLEObject>
        </w:object>
      </w:r>
      <w:r>
        <w:rPr>
          <w:rFonts w:hint="eastAsia" w:ascii="宋体" w:hAnsi="宋体" w:eastAsia="宋体" w:cs="宋体"/>
          <w:color w:val="000000"/>
          <w:sz w:val="24"/>
          <w:szCs w:val="24"/>
        </w:rPr>
        <w:t>——各可调因子的基本价格指数，指基准日期的各可调因子的价格指数。</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（2）暂时确定调整差额</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在计算调整差额时无现行价格指数的，合同当事人同意暂用前次价格指数计算。实际价格指数有调整的，合同当事人进行相应调整。</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（3）权重的调整</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因变更导致合同约定的权重不合理时，按照第4.4款〔商定或确定〕执行。</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（4）因承包人原因工期延误后的价格调整</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（2）材料、工程设备价格变化的价款调整按照发包人提供的基准价格，按以下风险范围规定执行:</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③承包人在已标价工程量清单或预算书中载明材料单价等于基准价格的：除专用合同条款另有约定外，合同履行期间材料单价涨跌幅以基准价格为基础超过±5%时，其超过部分据实调整。</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bookmarkStart w:id="350" w:name="OLE_LINK3"/>
      <w:r>
        <w:rPr>
          <w:rFonts w:hint="eastAsia" w:ascii="宋体" w:hAnsi="宋体" w:eastAsia="宋体" w:cs="宋体"/>
          <w:color w:val="000000"/>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（3）施工机械台班单价或施工机械使用费发生变化超过省级或行业建设主管部门或其授权的工程造价管理机构规定的范围时，按规定调整合同价格。</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第3种方式：专用合同条款约定的其他方式。</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51" w:name="_Toc24711"/>
      <w:bookmarkStart w:id="352" w:name="_Toc296346594"/>
      <w:bookmarkStart w:id="353" w:name="_Toc296503093"/>
      <w:bookmarkStart w:id="354" w:name="_Toc337558798"/>
      <w:r>
        <w:rPr>
          <w:rFonts w:hint="eastAsia" w:ascii="宋体" w:hAnsi="宋体" w:eastAsia="宋体" w:cs="宋体"/>
          <w:b w:val="0"/>
          <w:bCs w:val="0"/>
          <w:color w:val="000000"/>
          <w:sz w:val="24"/>
          <w:szCs w:val="24"/>
        </w:rPr>
        <w:t>11.2法律变化引起的调整</w:t>
      </w:r>
      <w:bookmarkEnd w:id="351"/>
    </w:p>
    <w:bookmarkEnd w:id="352"/>
    <w:bookmarkEnd w:id="353"/>
    <w:bookmarkEnd w:id="354"/>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因法律变化引起的合同价格和工期调整，合同当事人无法达成一致的，由总监理工程师按第4.4款〔商定或确定〕的约定处理。</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因承包人原因造成工期延误，在工期延误期间出现法律变化的，由此增加的费用和（或）延误的工期由承包人承担。</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355" w:name="_Toc32049"/>
      <w:bookmarkStart w:id="356" w:name="_Toc337558799"/>
      <w:bookmarkStart w:id="357" w:name="_Toc296503096"/>
      <w:bookmarkStart w:id="358" w:name="_Toc296346597"/>
      <w:r>
        <w:rPr>
          <w:rFonts w:hint="eastAsia" w:ascii="宋体" w:hAnsi="宋体" w:eastAsia="宋体" w:cs="宋体"/>
          <w:b w:val="0"/>
          <w:color w:val="000000"/>
          <w:sz w:val="24"/>
          <w:szCs w:val="24"/>
          <w:u w:val="none"/>
        </w:rPr>
        <w:t>12. 合同价格、计量与支付</w:t>
      </w:r>
      <w:bookmarkEnd w:id="355"/>
    </w:p>
    <w:bookmarkEnd w:id="356"/>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59" w:name="_Toc5890"/>
      <w:bookmarkStart w:id="360" w:name="_Toc337558800"/>
      <w:r>
        <w:rPr>
          <w:rFonts w:hint="eastAsia" w:ascii="宋体" w:hAnsi="宋体" w:eastAsia="宋体" w:cs="宋体"/>
          <w:b w:val="0"/>
          <w:bCs w:val="0"/>
          <w:color w:val="000000"/>
          <w:sz w:val="24"/>
          <w:szCs w:val="24"/>
        </w:rPr>
        <w:t>12.1 合同价</w:t>
      </w:r>
      <w:bookmarkEnd w:id="357"/>
      <w:bookmarkEnd w:id="358"/>
      <w:r>
        <w:rPr>
          <w:rFonts w:hint="eastAsia" w:ascii="宋体" w:hAnsi="宋体" w:eastAsia="宋体" w:cs="宋体"/>
          <w:b w:val="0"/>
          <w:bCs w:val="0"/>
          <w:color w:val="000000"/>
          <w:sz w:val="24"/>
          <w:szCs w:val="24"/>
        </w:rPr>
        <w:t>格形式</w:t>
      </w:r>
      <w:bookmarkEnd w:id="359"/>
    </w:p>
    <w:bookmarkEnd w:id="36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发包人和承包人应在合同协议书中选择下列一种合同价格形式：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1.单价合同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单价合同是指合同当事人约定以工程量清单及其综合单价进行合同价格计算、调整和确认的建设工程施工合同，</w:t>
      </w:r>
      <w:r>
        <w:rPr>
          <w:rFonts w:hint="eastAsia" w:ascii="宋体" w:hAnsi="宋体" w:eastAsia="宋体" w:cs="宋体"/>
          <w:sz w:val="24"/>
          <w:szCs w:val="24"/>
        </w:rPr>
        <w:t>在约定的范围内合同单价不作调整</w:t>
      </w:r>
      <w:r>
        <w:rPr>
          <w:rFonts w:hint="eastAsia" w:ascii="宋体" w:hAnsi="宋体" w:eastAsia="宋体" w:cs="宋体"/>
          <w:color w:val="000000"/>
          <w:kern w:val="0"/>
          <w:sz w:val="24"/>
          <w:szCs w:val="24"/>
        </w:rPr>
        <w:t>。合同当事人应在专用合同条款中约定综合单价包含的风险范围和风险费用的计算方法</w:t>
      </w:r>
      <w:r>
        <w:rPr>
          <w:rFonts w:hint="eastAsia" w:ascii="宋体" w:hAnsi="宋体" w:eastAsia="宋体" w:cs="宋体"/>
          <w:sz w:val="24"/>
          <w:szCs w:val="24"/>
        </w:rPr>
        <w:t>，</w:t>
      </w:r>
      <w:r>
        <w:rPr>
          <w:rFonts w:hint="eastAsia" w:ascii="宋体" w:hAnsi="宋体" w:eastAsia="宋体" w:cs="宋体"/>
          <w:color w:val="000000"/>
          <w:kern w:val="0"/>
          <w:sz w:val="24"/>
          <w:szCs w:val="24"/>
        </w:rPr>
        <w:t>并约定风险范围以外的合同价格的调整方法，其中因市场价格波动引起的调整按第11.1款〔市场价格波动引起的调整〕约定执行。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总价合同是指合同当事人约定以施工图、已标价工程量清单或预算书及有关条件进行合同价格计算、调整和确认的建设工程施工合同，</w:t>
      </w:r>
      <w:r>
        <w:rPr>
          <w:rFonts w:hint="eastAsia" w:ascii="宋体" w:hAnsi="宋体" w:eastAsia="宋体" w:cs="宋体"/>
          <w:sz w:val="24"/>
          <w:szCs w:val="24"/>
        </w:rPr>
        <w:t>在约定的范围内合同总价不作调整</w:t>
      </w:r>
      <w:r>
        <w:rPr>
          <w:rFonts w:hint="eastAsia" w:ascii="宋体" w:hAnsi="宋体" w:eastAsia="宋体" w:cs="宋体"/>
          <w:color w:val="000000"/>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3.其它价格形式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合同当事人可在专用合同条款中约定其他合同价格形式。</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61" w:name="_Toc296503097"/>
      <w:bookmarkStart w:id="362" w:name="_Toc296346598"/>
      <w:bookmarkStart w:id="363" w:name="_Toc13522"/>
      <w:bookmarkStart w:id="364" w:name="_Toc337558801"/>
      <w:r>
        <w:rPr>
          <w:rFonts w:hint="eastAsia" w:ascii="宋体" w:hAnsi="宋体" w:eastAsia="宋体" w:cs="宋体"/>
          <w:b w:val="0"/>
          <w:bCs w:val="0"/>
          <w:color w:val="000000"/>
          <w:sz w:val="24"/>
          <w:szCs w:val="24"/>
        </w:rPr>
        <w:t>12.2预</w:t>
      </w:r>
      <w:bookmarkEnd w:id="361"/>
      <w:bookmarkEnd w:id="362"/>
      <w:bookmarkStart w:id="365" w:name="_Toc296503100"/>
      <w:bookmarkStart w:id="366" w:name="_Toc296346601"/>
      <w:r>
        <w:rPr>
          <w:rFonts w:hint="eastAsia" w:ascii="宋体" w:hAnsi="宋体" w:eastAsia="宋体" w:cs="宋体"/>
          <w:b w:val="0"/>
          <w:bCs w:val="0"/>
          <w:color w:val="000000"/>
          <w:sz w:val="24"/>
          <w:szCs w:val="24"/>
        </w:rPr>
        <w:t>付款</w:t>
      </w:r>
      <w:bookmarkEnd w:id="363"/>
    </w:p>
    <w:bookmarkEnd w:id="364"/>
    <w:bookmarkEnd w:id="365"/>
    <w:bookmarkEnd w:id="366"/>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12.2.</w:t>
      </w:r>
      <w:r>
        <w:rPr>
          <w:rFonts w:hint="eastAsia" w:ascii="宋体" w:hAnsi="宋体" w:eastAsia="宋体" w:cs="宋体"/>
          <w:color w:val="000000"/>
          <w:kern w:val="0"/>
          <w:sz w:val="24"/>
          <w:szCs w:val="24"/>
        </w:rPr>
        <w:t>1预付款的支付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除专用合同条款另有约定外，预付款在进度付款中同比例扣回。</w:t>
      </w:r>
      <w:bookmarkEnd w:id="350"/>
      <w:r>
        <w:rPr>
          <w:rFonts w:hint="eastAsia" w:ascii="宋体" w:hAnsi="宋体" w:eastAsia="宋体" w:cs="宋体"/>
          <w:color w:val="000000"/>
          <w:kern w:val="0"/>
          <w:sz w:val="24"/>
          <w:szCs w:val="24"/>
        </w:rPr>
        <w:t>在颁发工程接收证书前，提前解除合同的，尚未扣完的预付款应与合同价款一并结算。</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发包人逾期支付预付款超过7天的，承包人有权向发包人发出要求预付的催告通知，发包人收到通知后7天内仍未支付的，承包人有权暂停施工，并按第16.1.1项〔发包人违约的情形〕执行。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发包人在工程款中逐期扣回预付款后，预付款担保额度应相应减少，但剩余的预付款担保金额不得低于未被扣回的预付款金额。</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67" w:name="_Toc10633"/>
      <w:bookmarkStart w:id="368" w:name="_Toc337558802"/>
      <w:r>
        <w:rPr>
          <w:rFonts w:hint="eastAsia" w:ascii="宋体" w:hAnsi="宋体" w:eastAsia="宋体" w:cs="宋体"/>
          <w:b w:val="0"/>
          <w:bCs w:val="0"/>
          <w:color w:val="000000"/>
          <w:sz w:val="24"/>
          <w:szCs w:val="24"/>
        </w:rPr>
        <w:t>12.3计量</w:t>
      </w:r>
      <w:bookmarkEnd w:id="367"/>
    </w:p>
    <w:bookmarkEnd w:id="368"/>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12.3.1 计量原则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工程量计量按照合同约定的工程量计算规则、图纸及变更指示等进行计量。工程量计算规则应以相关的国家标准、行业标准等为依据，由合同当事人在专用合同条款中约定。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12.3.2 计量周期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除专用合同条款另有约定外，工程量的计量按月进行。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12.3.3 单价合同的计量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除专用合同条款另有约定外，单价合同的计量按照本项约定执行：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（1）承包人应于每月25日向监理人报送上月20日至当月19日已完成的工程量报告，并附具进度付款申请单、已完成工程量报表和有关资料。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（3）监理人未在收到承包人提交的工程量报表后的7天内完成审核的，承包人报送的工程量报告中的工程量视为承包人实际完成的工程量，据此计算工程价款。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12.3.4 总价合同的计量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除专用合同条款另有约定外，按月计量支付的总价合同，按照本项约定执行：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（1）承包人应于每月25日向监理人报送上月20日至当月19日已完成的工程量报告，并附具进度付款申请单、已完成工程量报表和有关资料。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（3）监理人未在收到承包人提交的工程量报表后的7天内完成复核的，承包人提交的工程量报告中的工程量视为承包人实际完成的工程量。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12.3.5 总价合同采用支付分解表计量支付的，可以按照第12.3.4项〔总价合同的计量〕约定进行计量，但合同价款按照支付分解表进行支付。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12.3.6 其他价格形式合同的计量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合同当事人可在专用合同条款中约定其他价格形式合同的计量方式和程序。</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69" w:name="_Toc296346602"/>
      <w:bookmarkStart w:id="370" w:name="_Toc296503101"/>
      <w:bookmarkStart w:id="371" w:name="_Toc28962"/>
      <w:bookmarkStart w:id="372" w:name="_Toc337558803"/>
      <w:r>
        <w:rPr>
          <w:rFonts w:hint="eastAsia" w:ascii="宋体" w:hAnsi="宋体" w:eastAsia="宋体" w:cs="宋体"/>
          <w:b w:val="0"/>
          <w:bCs w:val="0"/>
          <w:color w:val="000000"/>
          <w:sz w:val="24"/>
          <w:szCs w:val="24"/>
        </w:rPr>
        <w:t>12.4工程进度款支</w:t>
      </w:r>
      <w:bookmarkEnd w:id="369"/>
      <w:bookmarkEnd w:id="370"/>
      <w:r>
        <w:rPr>
          <w:rFonts w:hint="eastAsia" w:ascii="宋体" w:hAnsi="宋体" w:eastAsia="宋体" w:cs="宋体"/>
          <w:b w:val="0"/>
          <w:bCs w:val="0"/>
          <w:color w:val="000000"/>
          <w:sz w:val="24"/>
          <w:szCs w:val="24"/>
        </w:rPr>
        <w:t>付</w:t>
      </w:r>
      <w:bookmarkEnd w:id="371"/>
    </w:p>
    <w:bookmarkEnd w:id="37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.1 付款周期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除专用合同条款另有约定外，付款周期应按照第12.3.2项〔计量周期〕的约定与计量周期保持一致。</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.2 进度付款申请单的编制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除专用合同条款另有约定外，进度付款申请单应包括下列内容：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（1）截至本次付款周期已完成工作对应的金额；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（2）根据第10条〔变更〕应增加和扣减的变更金额；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（3）根据第12.2款〔预付款〕约定应支付的预付款和扣减的返还预付款；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（4）根据第15.3款〔质量保证金〕约定应扣减的质量保证金；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（5）根据第19条〔索赔〕应增加和扣减的索赔金额；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（6）对已签发的进度款支付证书中出现错误的修正，应在本次进度付款中支付或扣除的金额；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（7）根据合同约定应增加和扣减的其他金额。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12.4.3 进度付款申请单的提交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（1）单价合同进度付款申请单的提交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（2）总价合同进度付款申请单的提交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总价合同按月计量支付的，承包人按照第12.3.4项〔总价合同的计量〕约定的时间按月向监理人提交进度付款申请单，并附上已完成工程量报表和有关资料。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总价合同按支付分解表支付的，承包人应按照第12.4.6项〔支付分解表〕及第12.4.2项〔进度付款申请单的编制〕的约定向监理人提交进度付款申请单。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（3）其他价格形式合同的进度付款申请单的提交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合同当事人可在专用合同条款中约定其他价格形式合同的进度付款申请单的编制和提交程序。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.4 进度款审核和支付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（3）发包人签发进度款支付证书或临时进度款支付证书，不表明发包人已同意、批准或接受了承包人完成的相应部分的工作。</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12.4.5 进度付款的修正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12.4.6 支付分解表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1.支付分解表的编制要求</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（1）支付分解表中所列的每期付款金额，应为第12.4.2项〔进度付款申请单的编制〕第（1）目的估算金额；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（2）实际进度与施工进度计划不一致的，合同当事人可按照第4.4款〔商定或确定〕修改支付分解表；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（3）不采用支付分解表的，承包人应向发包人和监理人提交按季度编制的支付估算分解表，用于支付参考。</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2.总价合同支付分解表的编制与审批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（3）发包人逾期未完成支付分解表审批的，也未及时要求承包人进行修正和提供补充资料的，则承包人提交的支付分解表视为已经获得发包人批准。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3.单价合同的总价项目支付分解表的编制与审批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73" w:name="_Toc14479"/>
      <w:r>
        <w:rPr>
          <w:rFonts w:hint="eastAsia" w:ascii="宋体" w:hAnsi="宋体" w:eastAsia="宋体" w:cs="宋体"/>
          <w:b w:val="0"/>
          <w:bCs w:val="0"/>
          <w:color w:val="000000"/>
          <w:sz w:val="24"/>
          <w:szCs w:val="24"/>
        </w:rPr>
        <w:t>12.5支付账户</w:t>
      </w:r>
      <w:bookmarkEnd w:id="373"/>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发包人应将合同价款支付至合同协议书中约定的承包人账户。</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374" w:name="_Toc6476"/>
      <w:bookmarkStart w:id="375" w:name="_Toc322522574"/>
      <w:bookmarkStart w:id="376" w:name="_Toc296346607"/>
      <w:bookmarkStart w:id="377" w:name="_Toc296503106"/>
      <w:bookmarkStart w:id="378" w:name="_Toc337558804"/>
      <w:r>
        <w:rPr>
          <w:rFonts w:hint="eastAsia" w:ascii="宋体" w:hAnsi="宋体" w:eastAsia="宋体" w:cs="宋体"/>
          <w:b w:val="0"/>
          <w:color w:val="000000"/>
          <w:sz w:val="24"/>
          <w:szCs w:val="24"/>
          <w:u w:val="none"/>
        </w:rPr>
        <w:t>13. 验收和工程试车</w:t>
      </w:r>
      <w:bookmarkEnd w:id="374"/>
    </w:p>
    <w:bookmarkEnd w:id="375"/>
    <w:bookmarkEnd w:id="376"/>
    <w:bookmarkEnd w:id="377"/>
    <w:bookmarkEnd w:id="378"/>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79" w:name="_Toc23796"/>
      <w:bookmarkStart w:id="380" w:name="_Toc337558805"/>
      <w:bookmarkStart w:id="381" w:name="_Toc296503110"/>
      <w:bookmarkStart w:id="382" w:name="_Toc296346611"/>
      <w:r>
        <w:rPr>
          <w:rFonts w:hint="eastAsia" w:ascii="宋体" w:hAnsi="宋体" w:eastAsia="宋体" w:cs="宋体"/>
          <w:b w:val="0"/>
          <w:bCs w:val="0"/>
          <w:color w:val="000000"/>
          <w:sz w:val="24"/>
          <w:szCs w:val="24"/>
        </w:rPr>
        <w:t>13.1分部分项工程验收</w:t>
      </w:r>
      <w:bookmarkEnd w:id="379"/>
    </w:p>
    <w:bookmarkEnd w:id="380"/>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13.1.1 分部分项工程质量应符合国家有关工程施工验收规范、标准及合同约定，承包人应按照施工组织设计的要求完成分部分项工程施工。</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13.1.2 除专用合同条款另有约定外，分部分项工程经承包人自检合格并具备验收条件的，承包人应提前48小时通知监理人进行验收。</w:t>
      </w:r>
      <w:r>
        <w:rPr>
          <w:rFonts w:hint="eastAsia" w:ascii="宋体" w:hAnsi="宋体" w:eastAsia="宋体" w:cs="宋体"/>
          <w:color w:val="000000"/>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000000"/>
          <w:sz w:val="24"/>
          <w:szCs w:val="24"/>
        </w:rPr>
        <w:t>分部分项工程未经验收的，不得进入下一道工序施工。</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分部分项工程的验收资料应当作为竣工资料的组成部分。</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83" w:name="_Toc32659"/>
      <w:bookmarkStart w:id="384" w:name="_Toc337558806"/>
      <w:r>
        <w:rPr>
          <w:rFonts w:hint="eastAsia" w:ascii="宋体" w:hAnsi="宋体" w:eastAsia="宋体" w:cs="宋体"/>
          <w:b w:val="0"/>
          <w:bCs w:val="0"/>
          <w:color w:val="000000"/>
          <w:sz w:val="24"/>
          <w:szCs w:val="24"/>
        </w:rPr>
        <w:t>13.2竣工验收</w:t>
      </w:r>
      <w:bookmarkEnd w:id="383"/>
    </w:p>
    <w:bookmarkEnd w:id="381"/>
    <w:bookmarkEnd w:id="382"/>
    <w:bookmarkEnd w:id="384"/>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13.2.1竣工验收条件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工程具备以下条件的，承包人可以申请竣工验收：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（1）除发包人同意的甩项工作和缺陷修补工作外，合同范围内的全部工程以及有关工作，包括合同要求的试验、试运行以及检验均已完成，并符合合同要求；</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（2）已按合同约定编制了甩项工作和缺陷修补工作清单以及相应的施工计划；</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（3）已按合同约定的内容和份数备齐竣工资料。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13.2.2竣工验收程序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除专用合同条款另有约定外，承包人申请竣工验收的，应当按照以下程序进行：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（3）竣工验收合格的，发包人应在验收合格后14天内向承包人签发工程接收证书。发包人无正当理由逾期不颁发工程接收证书的，自验收合格后第15天起视为已颁发工程接收证书。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13.2.3竣工日期</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85" w:name="#go14"/>
      <w:bookmarkEnd w:id="385"/>
      <w:r>
        <w:rPr>
          <w:rFonts w:hint="eastAsia" w:ascii="宋体" w:hAnsi="宋体" w:eastAsia="宋体" w:cs="宋体"/>
          <w:color w:val="000000"/>
          <w:kern w:val="0"/>
          <w:sz w:val="24"/>
          <w:szCs w:val="24"/>
        </w:rPr>
        <w:t>收申请报告的日期为实际竣工日期；工程未经竣工验收，发包人擅自使用的，以转移占有工程之日为实际竣工日期。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13.2.4 拒绝接收全部或部分工程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13.2.5 移交、接收全部与部分工程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除专用合同条款另有约定外，合同当事人应当在颁发工程接收证书后7天内完成工程的移交。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86" w:name="_Toc12642"/>
      <w:bookmarkStart w:id="387" w:name="_Toc296346612"/>
      <w:bookmarkStart w:id="388" w:name="_Toc337558807"/>
      <w:bookmarkStart w:id="389" w:name="_Toc296503111"/>
      <w:r>
        <w:rPr>
          <w:rFonts w:hint="eastAsia" w:ascii="宋体" w:hAnsi="宋体" w:eastAsia="宋体" w:cs="宋体"/>
          <w:b w:val="0"/>
          <w:bCs w:val="0"/>
          <w:color w:val="000000"/>
          <w:sz w:val="24"/>
          <w:szCs w:val="24"/>
        </w:rPr>
        <w:t>13.3工程试车</w:t>
      </w:r>
      <w:bookmarkEnd w:id="386"/>
    </w:p>
    <w:bookmarkEnd w:id="387"/>
    <w:bookmarkEnd w:id="388"/>
    <w:bookmarkEnd w:id="389"/>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13.3.1试车程序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工程需要试车的，除专用合同条款另有约定外，试车内容应与承包人承包范围相一致，试车费用由承包人承担。工程试车应按如下程序进行：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13.3.2 试车中的责任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如需进行投料试车的，发包人应在工程竣工验收后组织投料试车。发包人要求在工程竣工验收前进行或需要承包人配合时，应征得承包人同意，并在专用合同条款中约定有关事项。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90" w:name="_Toc26523"/>
      <w:bookmarkStart w:id="391" w:name="_Toc337558808"/>
      <w:r>
        <w:rPr>
          <w:rFonts w:hint="eastAsia" w:ascii="宋体" w:hAnsi="宋体" w:eastAsia="宋体" w:cs="宋体"/>
          <w:b w:val="0"/>
          <w:bCs w:val="0"/>
          <w:color w:val="000000"/>
          <w:sz w:val="24"/>
          <w:szCs w:val="24"/>
        </w:rPr>
        <w:t>13.4提前交付单位工程的验收</w:t>
      </w:r>
      <w:bookmarkEnd w:id="390"/>
    </w:p>
    <w:bookmarkEnd w:id="391"/>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13.4.2 发包人要求在工程竣工前交付单位工程，由此导致承包人费用增加和（或）工期延误的，由发包人承担由此增加的费用和（或）延误的工期，并支付承包人合理的利润。</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92" w:name="_Toc22515"/>
      <w:r>
        <w:rPr>
          <w:rFonts w:hint="eastAsia" w:ascii="宋体" w:hAnsi="宋体" w:eastAsia="宋体" w:cs="宋体"/>
          <w:b w:val="0"/>
          <w:bCs w:val="0"/>
          <w:color w:val="000000"/>
          <w:sz w:val="24"/>
          <w:szCs w:val="24"/>
        </w:rPr>
        <w:t>13.5 施工期运行</w:t>
      </w:r>
      <w:bookmarkEnd w:id="392"/>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13.5.2 在施工期运行中发现工程或工程设备损坏或存在缺陷的，由承包人按第15.2款〔缺陷责任期〕约定进行修复。</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393" w:name="_Toc296503112"/>
      <w:bookmarkStart w:id="394" w:name="_Toc296346613"/>
      <w:bookmarkStart w:id="395" w:name="_Toc11284"/>
      <w:bookmarkStart w:id="396" w:name="_Toc337558809"/>
      <w:r>
        <w:rPr>
          <w:rFonts w:hint="eastAsia" w:ascii="宋体" w:hAnsi="宋体" w:eastAsia="宋体" w:cs="宋体"/>
          <w:b w:val="0"/>
          <w:bCs w:val="0"/>
          <w:color w:val="000000"/>
          <w:sz w:val="24"/>
          <w:szCs w:val="24"/>
        </w:rPr>
        <w:t>13.6 竣工退</w:t>
      </w:r>
      <w:bookmarkEnd w:id="393"/>
      <w:bookmarkEnd w:id="394"/>
      <w:r>
        <w:rPr>
          <w:rFonts w:hint="eastAsia" w:ascii="宋体" w:hAnsi="宋体" w:eastAsia="宋体" w:cs="宋体"/>
          <w:b w:val="0"/>
          <w:bCs w:val="0"/>
          <w:color w:val="000000"/>
          <w:sz w:val="24"/>
          <w:szCs w:val="24"/>
        </w:rPr>
        <w:t>场</w:t>
      </w:r>
      <w:bookmarkEnd w:id="395"/>
    </w:p>
    <w:bookmarkEnd w:id="396"/>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颁发工程接收证书后，承包人应按以下要求对施工现场进行清理：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（1）施工现场内残留的垃圾已全部清除出场；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（2）临时工程已拆除，场地已进行清理、平整或复原；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（3）按合同约定应撤离的人员、承包人施工设备和剩余的材料，包括废弃的施工设备和材料，已按计划撤离施工现场；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（4）施工现场周边及其附近道路、河道的施工堆积物，已全部清理；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（5）施工现场其他场地清理工作已全部完成。</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13.6.2 地表还原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397" w:name="_Toc26018"/>
      <w:bookmarkStart w:id="398" w:name="_Toc337558810"/>
      <w:bookmarkStart w:id="399" w:name="_Toc296346614"/>
      <w:bookmarkStart w:id="400" w:name="_Toc296503113"/>
      <w:r>
        <w:rPr>
          <w:rFonts w:hint="eastAsia" w:ascii="宋体" w:hAnsi="宋体" w:eastAsia="宋体" w:cs="宋体"/>
          <w:b w:val="0"/>
          <w:color w:val="000000"/>
          <w:sz w:val="24"/>
          <w:szCs w:val="24"/>
          <w:u w:val="none"/>
        </w:rPr>
        <w:t>14. 竣工结算</w:t>
      </w:r>
      <w:bookmarkEnd w:id="397"/>
    </w:p>
    <w:bookmarkEnd w:id="398"/>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01" w:name="_Toc26326"/>
      <w:bookmarkStart w:id="402" w:name="_Toc337558811"/>
      <w:r>
        <w:rPr>
          <w:rFonts w:hint="eastAsia" w:ascii="宋体" w:hAnsi="宋体" w:eastAsia="宋体" w:cs="宋体"/>
          <w:b w:val="0"/>
          <w:bCs w:val="0"/>
          <w:color w:val="000000"/>
          <w:sz w:val="24"/>
          <w:szCs w:val="24"/>
        </w:rPr>
        <w:t>14.1 竣工结算申请</w:t>
      </w:r>
      <w:bookmarkEnd w:id="401"/>
    </w:p>
    <w:bookmarkEnd w:id="40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除专用合同条款另有约定外，</w:t>
      </w:r>
      <w:r>
        <w:rPr>
          <w:rFonts w:hint="eastAsia" w:ascii="宋体" w:hAnsi="宋体" w:eastAsia="宋体" w:cs="宋体"/>
          <w:color w:val="000000"/>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除专用合同条款另有约定外，竣工结算申请单应包括以下内容：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（1）竣工结算合同价格；</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（2）发包人已支付承包人的款项；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（3）应扣留的质量保证金。已缴纳履约保证金的或提供其他工程质量担保方式的除外；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（4）发包人应支付承包人的合同价款。</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03" w:name="_Toc10893"/>
      <w:bookmarkStart w:id="404" w:name="_Toc337558812"/>
      <w:r>
        <w:rPr>
          <w:rFonts w:hint="eastAsia" w:ascii="宋体" w:hAnsi="宋体" w:eastAsia="宋体" w:cs="宋体"/>
          <w:b w:val="0"/>
          <w:bCs w:val="0"/>
          <w:color w:val="000000"/>
          <w:sz w:val="24"/>
          <w:szCs w:val="24"/>
        </w:rPr>
        <w:t>14.2 竣工结算审核</w:t>
      </w:r>
      <w:bookmarkEnd w:id="403"/>
    </w:p>
    <w:bookmarkEnd w:id="404"/>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000000"/>
          <w:sz w:val="24"/>
          <w:szCs w:val="24"/>
        </w:rPr>
        <w:t>发包人对竣工</w:t>
      </w:r>
      <w:r>
        <w:rPr>
          <w:rFonts w:hint="eastAsia" w:ascii="宋体" w:hAnsi="宋体" w:eastAsia="宋体" w:cs="宋体"/>
          <w:color w:val="000000"/>
          <w:kern w:val="0"/>
          <w:sz w:val="24"/>
          <w:szCs w:val="24"/>
        </w:rPr>
        <w:t>结算</w:t>
      </w:r>
      <w:r>
        <w:rPr>
          <w:rFonts w:hint="eastAsia" w:ascii="宋体" w:hAnsi="宋体" w:eastAsia="宋体" w:cs="宋体"/>
          <w:color w:val="000000"/>
          <w:sz w:val="24"/>
          <w:szCs w:val="24"/>
        </w:rPr>
        <w:t>申请单有异议的，有权要求承包人进行修正和提供补充资料，承包人应提交修正后的竣工</w:t>
      </w:r>
      <w:r>
        <w:rPr>
          <w:rFonts w:hint="eastAsia" w:ascii="宋体" w:hAnsi="宋体" w:eastAsia="宋体" w:cs="宋体"/>
          <w:color w:val="000000"/>
          <w:kern w:val="0"/>
          <w:sz w:val="24"/>
          <w:szCs w:val="24"/>
        </w:rPr>
        <w:t>结算</w:t>
      </w:r>
      <w:r>
        <w:rPr>
          <w:rFonts w:hint="eastAsia" w:ascii="宋体" w:hAnsi="宋体" w:eastAsia="宋体" w:cs="宋体"/>
          <w:color w:val="000000"/>
          <w:sz w:val="24"/>
          <w:szCs w:val="24"/>
        </w:rPr>
        <w:t>申请单。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05" w:name="_Toc22180"/>
      <w:bookmarkStart w:id="406" w:name="_Toc337558813"/>
      <w:r>
        <w:rPr>
          <w:rFonts w:hint="eastAsia" w:ascii="宋体" w:hAnsi="宋体" w:eastAsia="宋体" w:cs="宋体"/>
          <w:b w:val="0"/>
          <w:bCs w:val="0"/>
          <w:color w:val="000000"/>
          <w:sz w:val="24"/>
          <w:szCs w:val="24"/>
        </w:rPr>
        <w:t>14.3 甩项竣工协议</w:t>
      </w:r>
      <w:bookmarkEnd w:id="405"/>
    </w:p>
    <w:bookmarkEnd w:id="406"/>
    <w:p>
      <w:pPr>
        <w:pageBreakBefore w:val="0"/>
        <w:widowControl w:val="0"/>
        <w:kinsoku/>
        <w:wordWrap/>
        <w:overflowPunct/>
        <w:topLinePunct w:val="0"/>
        <w:autoSpaceDE w:val="0"/>
        <w:autoSpaceDN w:val="0"/>
        <w:bidi w:val="0"/>
        <w:adjustRightInd w:val="0"/>
        <w:snapToGrid/>
        <w:spacing w:line="400" w:lineRule="exact"/>
        <w:ind w:firstLine="470" w:firstLineChars="196"/>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07" w:name="_Toc17691"/>
      <w:bookmarkStart w:id="408" w:name="_Toc337558814"/>
      <w:r>
        <w:rPr>
          <w:rFonts w:hint="eastAsia" w:ascii="宋体" w:hAnsi="宋体" w:eastAsia="宋体" w:cs="宋体"/>
          <w:b w:val="0"/>
          <w:bCs w:val="0"/>
          <w:color w:val="000000"/>
          <w:sz w:val="24"/>
          <w:szCs w:val="24"/>
        </w:rPr>
        <w:t>14.4 最终结清</w:t>
      </w:r>
      <w:bookmarkEnd w:id="407"/>
    </w:p>
    <w:bookmarkEnd w:id="408"/>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（1）除专用合同条款另有约定外，承包人应在缺陷责任期终止证书颁发后7天内，按专用合同条款约定的份数向发包人提交最终结清申请单，并提供相关证明材料。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w:t>
      </w:r>
      <w:r>
        <w:rPr>
          <w:rFonts w:hint="eastAsia" w:ascii="宋体" w:hAnsi="宋体" w:eastAsia="宋体" w:cs="宋体"/>
          <w:color w:val="000000"/>
          <w:kern w:val="0"/>
          <w:sz w:val="24"/>
          <w:szCs w:val="24"/>
        </w:rPr>
        <w:t>最终结清申请单</w:t>
      </w:r>
      <w:r>
        <w:rPr>
          <w:rFonts w:hint="eastAsia" w:ascii="宋体" w:hAnsi="宋体" w:eastAsia="宋体" w:cs="宋体"/>
          <w:color w:val="000000"/>
          <w:sz w:val="24"/>
          <w:szCs w:val="24"/>
        </w:rPr>
        <w:t>应列明质量保证金、应扣除的质量保证金、缺陷责任期内发生的增减费用。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（2）发包人对最终结清申请单内容有异议的，有权要求承包人进行修正和提供补充资料，承包人应向发包人提交修正后的最终结清申请单。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14.4.2 最终结清证书和支付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（3）承包人对发包人颁发的最终结清证书有异议的，按第20条〔争议解决〕的约定办理。</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409" w:name="_Toc22574"/>
      <w:bookmarkStart w:id="410" w:name="_Toc337558815"/>
      <w:r>
        <w:rPr>
          <w:rFonts w:hint="eastAsia" w:ascii="宋体" w:hAnsi="宋体" w:eastAsia="宋体" w:cs="宋体"/>
          <w:b w:val="0"/>
          <w:color w:val="000000"/>
          <w:sz w:val="24"/>
          <w:szCs w:val="24"/>
          <w:u w:val="none"/>
        </w:rPr>
        <w:t>15. 缺陷责任与保修</w:t>
      </w:r>
      <w:bookmarkEnd w:id="409"/>
    </w:p>
    <w:bookmarkEnd w:id="399"/>
    <w:bookmarkEnd w:id="400"/>
    <w:bookmarkEnd w:id="410"/>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11" w:name="_Toc8066"/>
      <w:bookmarkStart w:id="412" w:name="_Toc337558816"/>
      <w:bookmarkStart w:id="413" w:name="_Toc296503114"/>
      <w:bookmarkStart w:id="414" w:name="_Toc296346615"/>
      <w:r>
        <w:rPr>
          <w:rFonts w:hint="eastAsia" w:ascii="宋体" w:hAnsi="宋体" w:eastAsia="宋体" w:cs="宋体"/>
          <w:b w:val="0"/>
          <w:bCs w:val="0"/>
          <w:color w:val="000000"/>
          <w:sz w:val="24"/>
          <w:szCs w:val="24"/>
        </w:rPr>
        <w:t>15.1 工程保修的原则</w:t>
      </w:r>
      <w:bookmarkEnd w:id="411"/>
    </w:p>
    <w:bookmarkEnd w:id="41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在工程移交发包人后，因承包人原因产生的质量缺陷，承包人应承担质量缺陷责任和保修义务。缺陷责任期届满，承包人仍应按合同约定的工程各部位保修年限承担保修义务。</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15" w:name="_Toc13327"/>
      <w:bookmarkStart w:id="416" w:name="_Toc337558817"/>
      <w:r>
        <w:rPr>
          <w:rFonts w:hint="eastAsia" w:ascii="宋体" w:hAnsi="宋体" w:eastAsia="宋体" w:cs="宋体"/>
          <w:b w:val="0"/>
          <w:bCs w:val="0"/>
          <w:color w:val="000000"/>
          <w:sz w:val="24"/>
          <w:szCs w:val="24"/>
        </w:rPr>
        <w:t>15.2 缺陷责任期</w:t>
      </w:r>
      <w:bookmarkEnd w:id="413"/>
      <w:bookmarkEnd w:id="414"/>
      <w:bookmarkEnd w:id="415"/>
    </w:p>
    <w:bookmarkEnd w:id="41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15.2.1 缺陷责任期从工程通过竣工验收之日起计算，合同当事人应在专用合同条款约定缺陷责任期的具体期限，但该期限最长不超过24个月。</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000000"/>
          <w:sz w:val="24"/>
          <w:szCs w:val="24"/>
        </w:rPr>
        <w:t>包人延长缺陷责任期，</w:t>
      </w:r>
      <w:r>
        <w:rPr>
          <w:rFonts w:hint="eastAsia" w:ascii="宋体" w:hAnsi="宋体" w:eastAsia="宋体" w:cs="宋体"/>
          <w:color w:val="000000"/>
          <w:kern w:val="0"/>
          <w:sz w:val="24"/>
          <w:szCs w:val="24"/>
        </w:rPr>
        <w:t>并应在原缺陷责任期届满前发出延长通知。</w:t>
      </w:r>
      <w:r>
        <w:rPr>
          <w:rFonts w:hint="eastAsia" w:ascii="宋体" w:hAnsi="宋体" w:eastAsia="宋体" w:cs="宋体"/>
          <w:bCs/>
          <w:color w:val="000000"/>
          <w:sz w:val="24"/>
          <w:szCs w:val="24"/>
        </w:rPr>
        <w:t>但缺陷责任期（含延长部分）最长</w:t>
      </w:r>
      <w:r>
        <w:rPr>
          <w:rFonts w:hint="eastAsia" w:ascii="宋体" w:hAnsi="宋体" w:eastAsia="宋体" w:cs="宋体"/>
          <w:color w:val="000000"/>
          <w:kern w:val="0"/>
          <w:sz w:val="24"/>
          <w:szCs w:val="24"/>
        </w:rPr>
        <w:t>不能超过24个月。</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由他人原因造成的缺陷，发包人负责组织维修，承包人不承担费用，且发包人不得从保证金中扣除费用。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15.2.3 任何一项缺陷或损坏修复后，经检查证明其影响了工程或工程设备的使用性能，承包人应重新进行合同约定的试验和试运行，试验和试运行的全部费用应由责任方承担。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17" w:name="_Toc12861"/>
      <w:bookmarkStart w:id="418" w:name="_Toc337558818"/>
      <w:bookmarkStart w:id="419" w:name="_Toc296346616"/>
      <w:bookmarkStart w:id="420" w:name="_Toc296503115"/>
      <w:r>
        <w:rPr>
          <w:rFonts w:hint="eastAsia" w:ascii="宋体" w:hAnsi="宋体" w:eastAsia="宋体" w:cs="宋体"/>
          <w:b w:val="0"/>
          <w:bCs w:val="0"/>
          <w:color w:val="000000"/>
          <w:sz w:val="24"/>
          <w:szCs w:val="24"/>
        </w:rPr>
        <w:t>15.3 质量保证金</w:t>
      </w:r>
      <w:bookmarkEnd w:id="417"/>
    </w:p>
    <w:bookmarkEnd w:id="418"/>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经合同当事人协商一致扣留质量保证金的，应在专用合同条款中予以明确。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在工程项目竣工前，承包人已经提供履约担保的，发包人不得同时预留工程质量保证金。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15.3.1 承包人提供质量保证金的方式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承包人提供质量保证金有以下三种方式：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（2）相应比例的工程款；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（3）双方约定的其他方式。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除专用合同条款另有约定外，质量保证金原则上采用上述第（1）种方式。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15.3.2 质量保证金的扣留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质量保证金的扣留有以下三种方式：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w:t>
      </w:r>
      <w:bookmarkStart w:id="421" w:name="#go6"/>
      <w:bookmarkEnd w:id="421"/>
      <w:r>
        <w:rPr>
          <w:rFonts w:hint="eastAsia" w:ascii="宋体" w:hAnsi="宋体" w:eastAsia="宋体" w:cs="宋体"/>
          <w:color w:val="000000"/>
          <w:kern w:val="0"/>
          <w:sz w:val="24"/>
          <w:szCs w:val="24"/>
        </w:rPr>
        <w:t>程竣工结算时一次性扣留质量保证金；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（3）双方约定的其他扣留方式。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除专用合同条款另有约定外，质量保证金的扣留原则上采用上述第（1）种方式。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w:t>
      </w:r>
      <w:bookmarkStart w:id="422" w:name="#go4"/>
      <w:bookmarkEnd w:id="422"/>
      <w:r>
        <w:rPr>
          <w:rFonts w:hint="eastAsia" w:ascii="宋体" w:hAnsi="宋体" w:eastAsia="宋体" w:cs="宋体"/>
          <w:color w:val="000000"/>
          <w:kern w:val="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发包人在退还质量保证金的同时按照中国人民银行发布的同期同类贷款基准利率支付利息。</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15.3.3 </w:t>
      </w:r>
      <w:r>
        <w:rPr>
          <w:rFonts w:hint="eastAsia" w:ascii="宋体" w:hAnsi="宋体" w:eastAsia="宋体" w:cs="宋体"/>
          <w:color w:val="000000"/>
          <w:sz w:val="24"/>
          <w:szCs w:val="24"/>
        </w:rPr>
        <w:t>质量保证金</w:t>
      </w:r>
      <w:r>
        <w:rPr>
          <w:rFonts w:hint="eastAsia" w:ascii="宋体" w:hAnsi="宋体" w:eastAsia="宋体" w:cs="宋体"/>
          <w:color w:val="000000"/>
          <w:kern w:val="0"/>
          <w:sz w:val="24"/>
          <w:szCs w:val="24"/>
        </w:rPr>
        <w:t>的退还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缺陷责任期内，承包人认真履行合同约定的责任，到期后，承包人可向发包人申请返还保证金。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发包人和承包人对保证金预留、返还以及工程维修质量、费用有争议的，按本合同第20条约定的争议和纠纷解决程序处理。</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23" w:name="_Toc20956"/>
      <w:bookmarkStart w:id="424" w:name="_Toc337558819"/>
      <w:r>
        <w:rPr>
          <w:rFonts w:hint="eastAsia" w:ascii="宋体" w:hAnsi="宋体" w:eastAsia="宋体" w:cs="宋体"/>
          <w:b w:val="0"/>
          <w:bCs w:val="0"/>
          <w:color w:val="000000"/>
          <w:sz w:val="24"/>
          <w:szCs w:val="24"/>
        </w:rPr>
        <w:t>15.4 保修</w:t>
      </w:r>
      <w:bookmarkEnd w:id="423"/>
    </w:p>
    <w:bookmarkEnd w:id="419"/>
    <w:bookmarkEnd w:id="420"/>
    <w:bookmarkEnd w:id="424"/>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15.4.1保修责任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发包人未经竣工验收擅自使用工程的，保修期自</w:t>
      </w:r>
      <w:r>
        <w:rPr>
          <w:rFonts w:hint="eastAsia" w:ascii="宋体" w:hAnsi="宋体" w:eastAsia="宋体" w:cs="宋体"/>
          <w:color w:val="000000"/>
          <w:kern w:val="0"/>
          <w:sz w:val="24"/>
          <w:szCs w:val="24"/>
        </w:rPr>
        <w:t>转移占有之日起算</w:t>
      </w:r>
      <w:r>
        <w:rPr>
          <w:rFonts w:hint="eastAsia" w:ascii="宋体" w:hAnsi="宋体" w:eastAsia="宋体" w:cs="宋体"/>
          <w:color w:val="000000"/>
          <w:sz w:val="24"/>
          <w:szCs w:val="24"/>
        </w:rPr>
        <w:t>。</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15.4.2 修复费用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保修期内，修复的费用按照以下约定处理：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（1）保修期内，因承包人原因造成工程的缺陷、损坏，承包人应负责修复，并承担修复的费用以及因工程的缺陷、损坏造成的人身伤害和财产损失；</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（2）保修期内，因发包人使用不当造成工程的缺陷、损坏，可以委托承包人修复，但发包人应承担修复的费用，并支付承包人合理利润；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（3）因其他原因造成工程的缺陷、损坏，可以委托承包人修复，发包人应承担修复的费用，并支付承包人合理的利润，因工程的缺陷、损坏造成的人身伤害和财产损失由责任方承担。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15.4.3 修复通知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15.4.4 未能修复</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15.4.5 承包人出入权</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425" w:name="_Toc31605"/>
      <w:bookmarkStart w:id="426" w:name="_Toc337558820"/>
      <w:r>
        <w:rPr>
          <w:rFonts w:hint="eastAsia" w:ascii="宋体" w:hAnsi="宋体" w:eastAsia="宋体" w:cs="宋体"/>
          <w:b w:val="0"/>
          <w:color w:val="000000"/>
          <w:sz w:val="24"/>
          <w:szCs w:val="24"/>
          <w:u w:val="none"/>
        </w:rPr>
        <w:t>16. 违约</w:t>
      </w:r>
      <w:bookmarkEnd w:id="425"/>
    </w:p>
    <w:bookmarkEnd w:id="426"/>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27" w:name="_Toc296503129"/>
      <w:bookmarkStart w:id="428" w:name="_Toc296346630"/>
      <w:bookmarkStart w:id="429" w:name="_Toc8315"/>
      <w:bookmarkStart w:id="430" w:name="_Toc337558821"/>
      <w:r>
        <w:rPr>
          <w:rFonts w:hint="eastAsia" w:ascii="宋体" w:hAnsi="宋体" w:eastAsia="宋体" w:cs="宋体"/>
          <w:b w:val="0"/>
          <w:bCs w:val="0"/>
          <w:color w:val="000000"/>
          <w:sz w:val="24"/>
          <w:szCs w:val="24"/>
        </w:rPr>
        <w:t>16.1 发</w:t>
      </w:r>
      <w:bookmarkEnd w:id="427"/>
      <w:bookmarkEnd w:id="428"/>
      <w:r>
        <w:rPr>
          <w:rFonts w:hint="eastAsia" w:ascii="宋体" w:hAnsi="宋体" w:eastAsia="宋体" w:cs="宋体"/>
          <w:b w:val="0"/>
          <w:bCs w:val="0"/>
          <w:color w:val="000000"/>
          <w:sz w:val="24"/>
          <w:szCs w:val="24"/>
        </w:rPr>
        <w:t>包人违约</w:t>
      </w:r>
      <w:bookmarkEnd w:id="429"/>
    </w:p>
    <w:bookmarkEnd w:id="43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16.1.1 发包人违约的情形</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在合同履行过程中发生的下列情形，属于发包人违约：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（1）因发包人原因未能在计划开工日期前7天内下达开工通知的；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（2）因发包人原因未能按合同约定支付合同价款的；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（3）发包人违反第10.1款〔变更的范围〕第（2）项约定，自行实施被取消的工作或转由他人实施的；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（5）因发包人违反合同约定造成暂停施工的；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（7）发包人明确表示或者以其行为表明不履行合同主要义务的；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（8）发包人未能按照合同约定履行其他义务的。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16.1.2 发包人违约的责任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发包人应承担因其违约给承包人增加的费用和（或）延误的工期，并支付承包人合理的利润。此外，合同当事人可在专用合同条款中另行约定发包人违约责任的承担方式和计算方法。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16.1.3 因发包人违约解除合同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16.1.4 因发包人违约解除合同后的付款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承包人按照本款约定解除合同的，发包人应在解除合同后28天内支付下列款项，并解除履约担保：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（1）合同解除前所完成工作的价款；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（2）承包人为工程施工订购并已付款的材料、工程设备和其他物品的价款；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（3）承包人撤离施工现场以及遣散承包人人员的款项；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（4）按照合同约定在合同解除前应支付的违约金；</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（5）按照合同约定应当支付给承包人的其他款项；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（6）按照合同约定应退还的质量保证金；</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（7）因解除合同给承包人造成的损失。</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合同当事人未能就解除合同后的结清达成一致的，按照第20条〔争议解决〕的约定处理。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承包人应妥善做好已完工程和与工程有关的已购材料、工程设备的保护和移交工作，并将施工设备和人员撤出施工现场，发包人应为承包人撤出提供必要条件。</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31" w:name="_Toc23144"/>
      <w:bookmarkStart w:id="432" w:name="_Toc337558822"/>
      <w:bookmarkStart w:id="433" w:name="_Toc296346632"/>
      <w:bookmarkStart w:id="434" w:name="_Toc296503131"/>
      <w:r>
        <w:rPr>
          <w:rFonts w:hint="eastAsia" w:ascii="宋体" w:hAnsi="宋体" w:eastAsia="宋体" w:cs="宋体"/>
          <w:b w:val="0"/>
          <w:bCs w:val="0"/>
          <w:color w:val="000000"/>
          <w:sz w:val="24"/>
          <w:szCs w:val="24"/>
        </w:rPr>
        <w:t>16.2 承包人违约</w:t>
      </w:r>
      <w:bookmarkEnd w:id="431"/>
    </w:p>
    <w:bookmarkEnd w:id="432"/>
    <w:bookmarkEnd w:id="433"/>
    <w:bookmarkEnd w:id="434"/>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在合同履行过程中发生的下列情形，属于承包人违约：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（1）承包人违反合同约定进行转包或违法分包的；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（2）承包人违反合同约定采购和使用不合格的材料和工程设备的；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（3）因承包人原因导致工程质量不符合合同要求的；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（4）承包人违反第8.9款〔材料与设备专用要求〕的约定，未经批准，私自将已按照合同约定进入施工现场的材料或设备撤离施工现场的；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（5）承包人未能按施工进度计划及时完成合同约定的工作，造成工期延误的；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（6）承包人在缺陷责任期及保修期内，未能在合理期限对工程缺陷进行修复，或拒绝按发包人要求进行修复的；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（7）承包人明确表示或者以其行为表明不履行合同主要义务的；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（8）承包人未能按照合同约定履行其他义务的。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承包人发生除本项第（7）目约定以外的其他违约情况时，监理人可向承包人发出整改通知，要求其在指定的期限内改正。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 承包人违约的责任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承包人应承担因其违约行为而增加的费用和（或）延误的工期。此外，合同当事人可在专用合同条款中另行约定承包人违约责任的承担方式和计算方法。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16.2.3 因承包人违约解除合同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16.2.4因承包人违约解除合同后的处理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因承包人原因导致合同解除的，则合同当事人应在合同解除后28天内完成估价、付款和清算，并按以下约定执行：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（1）合同解除后，按第4.4款〔商定或确定〕商定或确定承包人实际完成工作对应的合同价款，以及承包人已提供的材料、工程设备、施工设备和临时工程等的价值；</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（2）合同解除后，承包人应支付的违约金；</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（3）合同解除后，因解除合同给发包人造成的损失；</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（4）合同解除后，承包人应按照发包人要求和监理人的指示完成现场的清理和撤离；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（5）发包人和承包人应在合同解除后进行清算，出具最终结清付款证书，结清全部款项。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16.2.5采购合同权益转让</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35" w:name="_Toc18008"/>
      <w:r>
        <w:rPr>
          <w:rFonts w:hint="eastAsia" w:ascii="宋体" w:hAnsi="宋体" w:eastAsia="宋体" w:cs="宋体"/>
          <w:b w:val="0"/>
          <w:bCs w:val="0"/>
          <w:color w:val="000000"/>
          <w:sz w:val="24"/>
          <w:szCs w:val="24"/>
        </w:rPr>
        <w:t>16.3 第三人造成的违约</w:t>
      </w:r>
      <w:bookmarkEnd w:id="435"/>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在履行合同过程中，一方当事人因第三人的原因造成违约的，应当向对方当事人承担违约责任。一方当事人和第三人之间的纠纷，依照法律规定或者按照约定解决。</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436" w:name="_Toc14160"/>
      <w:bookmarkStart w:id="437" w:name="_Toc337558823"/>
      <w:bookmarkStart w:id="438" w:name="_Toc296503116"/>
      <w:bookmarkStart w:id="439" w:name="_Toc296346617"/>
      <w:r>
        <w:rPr>
          <w:rFonts w:hint="eastAsia" w:ascii="宋体" w:hAnsi="宋体" w:eastAsia="宋体" w:cs="宋体"/>
          <w:b w:val="0"/>
          <w:color w:val="000000"/>
          <w:sz w:val="24"/>
          <w:szCs w:val="24"/>
          <w:u w:val="none"/>
        </w:rPr>
        <w:t>17. 不可抗力</w:t>
      </w:r>
      <w:bookmarkEnd w:id="436"/>
      <w:r>
        <w:rPr>
          <w:rFonts w:hint="eastAsia" w:ascii="宋体" w:hAnsi="宋体" w:eastAsia="宋体" w:cs="宋体"/>
          <w:b w:val="0"/>
          <w:color w:val="000000"/>
          <w:sz w:val="24"/>
          <w:szCs w:val="24"/>
          <w:u w:val="none"/>
        </w:rPr>
        <w:t xml:space="preserve"> </w:t>
      </w:r>
      <w:bookmarkEnd w:id="437"/>
      <w:bookmarkEnd w:id="438"/>
      <w:bookmarkEnd w:id="439"/>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40" w:name="_Toc61"/>
      <w:bookmarkStart w:id="441" w:name="_Toc296503117"/>
      <w:bookmarkStart w:id="442" w:name="_Toc337558824"/>
      <w:bookmarkStart w:id="443" w:name="_Toc296346618"/>
      <w:r>
        <w:rPr>
          <w:rFonts w:hint="eastAsia" w:ascii="宋体" w:hAnsi="宋体" w:eastAsia="宋体" w:cs="宋体"/>
          <w:b w:val="0"/>
          <w:bCs w:val="0"/>
          <w:color w:val="000000"/>
          <w:sz w:val="24"/>
          <w:szCs w:val="24"/>
        </w:rPr>
        <w:t>17.1 不可抗力的确认</w:t>
      </w:r>
      <w:bookmarkEnd w:id="440"/>
    </w:p>
    <w:bookmarkEnd w:id="441"/>
    <w:bookmarkEnd w:id="442"/>
    <w:bookmarkEnd w:id="443"/>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44" w:name="_Toc25447"/>
      <w:bookmarkStart w:id="445" w:name="_Toc337558825"/>
      <w:bookmarkStart w:id="446" w:name="_Toc296346619"/>
      <w:bookmarkStart w:id="447" w:name="_Toc296503118"/>
      <w:r>
        <w:rPr>
          <w:rFonts w:hint="eastAsia" w:ascii="宋体" w:hAnsi="宋体" w:eastAsia="宋体" w:cs="宋体"/>
          <w:b w:val="0"/>
          <w:bCs w:val="0"/>
          <w:color w:val="000000"/>
          <w:sz w:val="24"/>
          <w:szCs w:val="24"/>
        </w:rPr>
        <w:t>17.2 不可抗力的通知</w:t>
      </w:r>
      <w:bookmarkEnd w:id="444"/>
    </w:p>
    <w:bookmarkEnd w:id="445"/>
    <w:bookmarkEnd w:id="446"/>
    <w:bookmarkEnd w:id="447"/>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合同一方当事人遇到不可抗力事件，使其履行合同义务受到阻碍时，应立即通知合同另一方当事人和监理人，书面说明不可抗力和受阻碍的详细情况，并提供必要的证明。</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48" w:name="_Toc3020"/>
      <w:bookmarkStart w:id="449" w:name="_Toc296503119"/>
      <w:bookmarkStart w:id="450" w:name="_Toc337558826"/>
      <w:bookmarkStart w:id="451" w:name="_Toc296346620"/>
      <w:r>
        <w:rPr>
          <w:rFonts w:hint="eastAsia" w:ascii="宋体" w:hAnsi="宋体" w:eastAsia="宋体" w:cs="宋体"/>
          <w:b w:val="0"/>
          <w:bCs w:val="0"/>
          <w:color w:val="000000"/>
          <w:sz w:val="24"/>
          <w:szCs w:val="24"/>
        </w:rPr>
        <w:t>17.3 不可抗力后果的承担</w:t>
      </w:r>
      <w:bookmarkEnd w:id="448"/>
    </w:p>
    <w:bookmarkEnd w:id="449"/>
    <w:bookmarkEnd w:id="450"/>
    <w:bookmarkEnd w:id="451"/>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17.3.1 不可抗力引起的后果及造成的损失由合同当事人按照法律规定及合同约定各自承担。不可抗力发生前已完成的工程应当按照合同约定进行计量支付。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17.3.2 不可抗力导致的人员伤亡、财产损失、费用增加和（或）工期延误等后果，由合同当事人按以下原则承担：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（1）永久工程、已运至施工现场的材料和工程设备的损坏，以及因工程损坏造成的第三人人员伤亡和财产损失由发包人承担；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（2）承包人施工设备的损坏由承包人承担；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（3）发包人和承包人承担各自人员伤亡和财产的损失；</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（5）因不可抗力引起或将引起工期延误，发包人要求赶工的，由此增加的赶工费用由发包人承担；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（6）承包人在停工期间按照发包人要求照管、清理和修复工程的费用由发包人承担。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不可抗力发生后，合同当事人均应采取措施尽量避免和减少损失的扩大，任何一方当事人没有采取有效措施导致损失扩大的，应对扩大的损失承担责任。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因合同一方迟延履行合同义务，在迟延履行期间遭遇不可抗力的，不免除其违约责任。</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52" w:name="_Toc14821"/>
      <w:bookmarkStart w:id="453" w:name="_Toc337558827"/>
      <w:r>
        <w:rPr>
          <w:rFonts w:hint="eastAsia" w:ascii="宋体" w:hAnsi="宋体" w:eastAsia="宋体" w:cs="宋体"/>
          <w:b w:val="0"/>
          <w:bCs w:val="0"/>
          <w:color w:val="000000"/>
          <w:sz w:val="24"/>
          <w:szCs w:val="24"/>
        </w:rPr>
        <w:t>17.4 因不可抗力解除合同</w:t>
      </w:r>
      <w:bookmarkEnd w:id="452"/>
    </w:p>
    <w:bookmarkEnd w:id="453"/>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（1）合同解除前承包人已完成工作的价款；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（2）承包人为工程订购的并已交付给承包人，或承包人有责任接受交付的材料、工程设备和其他物品的价款；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（3）发包人要求承包人退货或解除订货合同而产生的费用，或因不能退货或解除合同而产生的损失；</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（4）承包人撤离施工现场以及遣散承包人人员的费用；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（5）按照合同约定在合同解除前应支付给承包人的其他款项；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（6）扣减承包人按照合同约定应向发包人支付的款项；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（7）双方商定或确定的其他款项。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除专用合同条款另有约定外，合同解除后，发包人应在商定或确定上述款项后28天内完成上述款项的支付。</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454" w:name="_Toc8945"/>
      <w:bookmarkStart w:id="455" w:name="_Toc296503120"/>
      <w:bookmarkStart w:id="456" w:name="_Toc337558828"/>
      <w:bookmarkStart w:id="457" w:name="_Toc296346621"/>
      <w:r>
        <w:rPr>
          <w:rFonts w:hint="eastAsia" w:ascii="宋体" w:hAnsi="宋体" w:eastAsia="宋体" w:cs="宋体"/>
          <w:b w:val="0"/>
          <w:color w:val="000000"/>
          <w:sz w:val="24"/>
          <w:szCs w:val="24"/>
          <w:u w:val="none"/>
        </w:rPr>
        <w:t>18. 保险</w:t>
      </w:r>
      <w:bookmarkEnd w:id="454"/>
    </w:p>
    <w:bookmarkEnd w:id="455"/>
    <w:bookmarkEnd w:id="456"/>
    <w:bookmarkEnd w:id="457"/>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58" w:name="_Toc4666"/>
      <w:bookmarkStart w:id="459" w:name="_Toc337558829"/>
      <w:bookmarkStart w:id="460" w:name="_Toc296346622"/>
      <w:bookmarkStart w:id="461" w:name="_Toc296503121"/>
      <w:r>
        <w:rPr>
          <w:rFonts w:hint="eastAsia" w:ascii="宋体" w:hAnsi="宋体" w:eastAsia="宋体" w:cs="宋体"/>
          <w:b w:val="0"/>
          <w:bCs w:val="0"/>
          <w:color w:val="000000"/>
          <w:sz w:val="24"/>
          <w:szCs w:val="24"/>
        </w:rPr>
        <w:t>18.1 工程保险</w:t>
      </w:r>
      <w:bookmarkEnd w:id="458"/>
    </w:p>
    <w:bookmarkEnd w:id="459"/>
    <w:bookmarkEnd w:id="460"/>
    <w:bookmarkEnd w:id="461"/>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除专用合同条款另有约定外，发包人应投保建筑工程一切险或安装工程一切险；发包人委托承包人投保的，因投保产生的保险费和其他相关费用由发包人承担。</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62" w:name="_Toc30664"/>
      <w:bookmarkStart w:id="463" w:name="_Toc296503122"/>
      <w:bookmarkStart w:id="464" w:name="_Toc337558830"/>
      <w:bookmarkStart w:id="465" w:name="_Toc296346623"/>
      <w:r>
        <w:rPr>
          <w:rFonts w:hint="eastAsia" w:ascii="宋体" w:hAnsi="宋体" w:eastAsia="宋体" w:cs="宋体"/>
          <w:b w:val="0"/>
          <w:bCs w:val="0"/>
          <w:color w:val="000000"/>
          <w:sz w:val="24"/>
          <w:szCs w:val="24"/>
        </w:rPr>
        <w:t>18.2 工伤保险</w:t>
      </w:r>
      <w:bookmarkEnd w:id="462"/>
    </w:p>
    <w:bookmarkEnd w:id="463"/>
    <w:bookmarkEnd w:id="464"/>
    <w:bookmarkEnd w:id="465"/>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18.2.1 发包人应依照法律规定参加工伤保险，并为在施工现场的全部员工办理工伤保险，缴纳工伤保险费，并要求监理人及由发包人为履行合同聘请的第三方依法参加工伤保险。</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18.2.2 承包人应依照法律规定参加工伤保险，并为其履行合同的全部员工办理工伤保险，缴纳工伤保险费，并要求分包人及由承包人为履行合同聘请的第三方依法参加工伤保险。</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66" w:name="_Toc21713"/>
      <w:bookmarkStart w:id="467" w:name="_Toc337558831"/>
      <w:bookmarkStart w:id="468" w:name="_Toc296503125"/>
      <w:bookmarkStart w:id="469" w:name="_Toc296346626"/>
      <w:r>
        <w:rPr>
          <w:rFonts w:hint="eastAsia" w:ascii="宋体" w:hAnsi="宋体" w:eastAsia="宋体" w:cs="宋体"/>
          <w:b w:val="0"/>
          <w:bCs w:val="0"/>
          <w:color w:val="000000"/>
          <w:sz w:val="24"/>
          <w:szCs w:val="24"/>
        </w:rPr>
        <w:t>18.3其他保险</w:t>
      </w:r>
      <w:bookmarkEnd w:id="466"/>
    </w:p>
    <w:bookmarkEnd w:id="467"/>
    <w:bookmarkEnd w:id="468"/>
    <w:bookmarkEnd w:id="469"/>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除专用合同条款另有约定外，承包人应为其施工设备等办理财产保险。</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70" w:name="_Toc23753"/>
      <w:r>
        <w:rPr>
          <w:rFonts w:hint="eastAsia" w:ascii="宋体" w:hAnsi="宋体" w:eastAsia="宋体" w:cs="宋体"/>
          <w:b w:val="0"/>
          <w:bCs w:val="0"/>
          <w:color w:val="000000"/>
          <w:sz w:val="24"/>
          <w:szCs w:val="24"/>
        </w:rPr>
        <w:t>18.4持续保险</w:t>
      </w:r>
      <w:bookmarkEnd w:id="470"/>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合同当事人应与保险人保持联系，使保险人能够随时了解工程实施中的变动，并确保按保险合同条款要求持续保险。</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71" w:name="_Toc20248"/>
      <w:bookmarkStart w:id="472" w:name="_Toc337558832"/>
      <w:bookmarkStart w:id="473" w:name="_Toc296503126"/>
      <w:bookmarkStart w:id="474" w:name="_Toc296346627"/>
      <w:r>
        <w:rPr>
          <w:rFonts w:hint="eastAsia" w:ascii="宋体" w:hAnsi="宋体" w:eastAsia="宋体" w:cs="宋体"/>
          <w:b w:val="0"/>
          <w:bCs w:val="0"/>
          <w:color w:val="000000"/>
          <w:sz w:val="24"/>
          <w:szCs w:val="24"/>
        </w:rPr>
        <w:t>18.5 保险凭证</w:t>
      </w:r>
      <w:bookmarkEnd w:id="471"/>
    </w:p>
    <w:bookmarkEnd w:id="472"/>
    <w:bookmarkEnd w:id="473"/>
    <w:bookmarkEnd w:id="474"/>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合同当事人应及时向另一方当事人提交其已投保的各项保险的凭证和保险单复印件。</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75" w:name="_Toc25399"/>
      <w:bookmarkStart w:id="476" w:name="_Toc296346628"/>
      <w:bookmarkStart w:id="477" w:name="_Toc337558833"/>
      <w:bookmarkStart w:id="478" w:name="_Toc296503127"/>
      <w:r>
        <w:rPr>
          <w:rFonts w:hint="eastAsia" w:ascii="宋体" w:hAnsi="宋体" w:eastAsia="宋体" w:cs="宋体"/>
          <w:b w:val="0"/>
          <w:bCs w:val="0"/>
          <w:color w:val="000000"/>
          <w:sz w:val="24"/>
          <w:szCs w:val="24"/>
        </w:rPr>
        <w:t>18.6 未按约定投保的补救</w:t>
      </w:r>
      <w:bookmarkEnd w:id="475"/>
    </w:p>
    <w:bookmarkEnd w:id="476"/>
    <w:bookmarkEnd w:id="477"/>
    <w:bookmarkEnd w:id="478"/>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18.6.1发包人未按合同约定办理保险，或未能使保险持续有效的，则承包人可代为办理，所需费用由发包人承担。发包人未按合同约定办理保险，导致未能得到足额赔偿的，由发包人负责补足。</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79" w:name="_Toc2214"/>
      <w:bookmarkStart w:id="480" w:name="_Toc337558834"/>
      <w:r>
        <w:rPr>
          <w:rFonts w:hint="eastAsia" w:ascii="宋体" w:hAnsi="宋体" w:eastAsia="宋体" w:cs="宋体"/>
          <w:b w:val="0"/>
          <w:bCs w:val="0"/>
          <w:color w:val="000000"/>
          <w:sz w:val="24"/>
          <w:szCs w:val="24"/>
        </w:rPr>
        <w:t>18.7 通知义务</w:t>
      </w:r>
      <w:bookmarkEnd w:id="479"/>
    </w:p>
    <w:bookmarkEnd w:id="480"/>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保险事故发生时，投保人应按照保险合同规定的条件和期限及时向保险人报告。发包人和承包人应当在知道保险事故发生后及时通知对方。</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481" w:name="_Toc18981"/>
      <w:bookmarkStart w:id="482" w:name="_Toc337558835"/>
      <w:bookmarkStart w:id="483" w:name="_Toc296346641"/>
      <w:bookmarkStart w:id="484" w:name="_Toc296503140"/>
      <w:r>
        <w:rPr>
          <w:rFonts w:hint="eastAsia" w:ascii="宋体" w:hAnsi="宋体" w:eastAsia="宋体" w:cs="宋体"/>
          <w:b w:val="0"/>
          <w:color w:val="000000"/>
          <w:sz w:val="24"/>
          <w:szCs w:val="24"/>
          <w:u w:val="none"/>
        </w:rPr>
        <w:t>19. 索赔</w:t>
      </w:r>
      <w:bookmarkEnd w:id="481"/>
    </w:p>
    <w:bookmarkEnd w:id="482"/>
    <w:bookmarkEnd w:id="483"/>
    <w:bookmarkEnd w:id="484"/>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85" w:name="_Toc10932"/>
      <w:bookmarkStart w:id="486" w:name="_Toc337558836"/>
      <w:bookmarkStart w:id="487" w:name="_Toc296346642"/>
      <w:bookmarkStart w:id="488" w:name="_Toc296503141"/>
      <w:r>
        <w:rPr>
          <w:rFonts w:hint="eastAsia" w:ascii="宋体" w:hAnsi="宋体" w:eastAsia="宋体" w:cs="宋体"/>
          <w:b w:val="0"/>
          <w:bCs w:val="0"/>
          <w:color w:val="000000"/>
          <w:sz w:val="24"/>
          <w:szCs w:val="24"/>
        </w:rPr>
        <w:t>19.1承包人的索赔</w:t>
      </w:r>
      <w:bookmarkEnd w:id="485"/>
    </w:p>
    <w:bookmarkEnd w:id="486"/>
    <w:bookmarkEnd w:id="487"/>
    <w:bookmarkEnd w:id="488"/>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根据合同约定，承包人认为有权得到追加付款和（或）延长工期的，应按以下程序向发包人提出索赔：</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（2）承包人应在发出索赔意向通知书后28天内，向监理人正式递交索赔报告；索赔报告应详细说明索赔理由以及要求追加的付款金额和（或）延长的工期，并附必要的记录和证明材料；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（3）索赔事件具有持续影响的，承包人应按合理时间间隔继续递交延续索赔通知，说明持续影响的实际情况和记录，列出累计的追加付款金额和（或）工期延长天数；</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（4）在索赔事件影响结束后28天内，承包人应向监理人递交最终索赔报告，说明最终要求索赔的追加付款金额和（或）延长的工期，并附必要的记录和证明材料。</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89" w:name="_Toc10898"/>
      <w:bookmarkStart w:id="490" w:name="_Toc337558837"/>
      <w:bookmarkStart w:id="491" w:name="_Toc296503142"/>
      <w:bookmarkStart w:id="492" w:name="_Toc296346643"/>
      <w:r>
        <w:rPr>
          <w:rFonts w:hint="eastAsia" w:ascii="宋体" w:hAnsi="宋体" w:eastAsia="宋体" w:cs="宋体"/>
          <w:b w:val="0"/>
          <w:bCs w:val="0"/>
          <w:color w:val="000000"/>
          <w:sz w:val="24"/>
          <w:szCs w:val="24"/>
        </w:rPr>
        <w:t>19.2 对承包人索赔的处理</w:t>
      </w:r>
      <w:bookmarkEnd w:id="489"/>
    </w:p>
    <w:bookmarkEnd w:id="490"/>
    <w:bookmarkEnd w:id="491"/>
    <w:bookmarkEnd w:id="49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对承包人索赔的处理如下：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（1）监理人应在收到索赔报告后14天内完成审查并报送发包人。监理人对索赔报告存在异议的，有权要求承包人提交全部原始记录副本；</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（3）承包人接受索赔处理结果的，索赔款项在当期进度款中进行支付；承包人不接受索赔处理结果的，按照第20条〔争议解决〕约定处理。</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93" w:name="_Toc21577"/>
      <w:bookmarkStart w:id="494" w:name="_Toc296503143"/>
      <w:bookmarkStart w:id="495" w:name="_Toc296346644"/>
      <w:bookmarkStart w:id="496" w:name="_Toc337558838"/>
      <w:r>
        <w:rPr>
          <w:rFonts w:hint="eastAsia" w:ascii="宋体" w:hAnsi="宋体" w:eastAsia="宋体" w:cs="宋体"/>
          <w:b w:val="0"/>
          <w:bCs w:val="0"/>
          <w:color w:val="000000"/>
          <w:sz w:val="24"/>
          <w:szCs w:val="24"/>
        </w:rPr>
        <w:t>19.3发包人的索赔</w:t>
      </w:r>
      <w:bookmarkEnd w:id="493"/>
    </w:p>
    <w:bookmarkEnd w:id="494"/>
    <w:bookmarkEnd w:id="495"/>
    <w:bookmarkEnd w:id="49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根据合同约定，发包人认为有权得到赔付金额和（或）延长缺陷责任期的，监理人应向承包人发出通知并附有详细的证明。</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497" w:name="_Toc29028"/>
      <w:bookmarkStart w:id="498" w:name="_Toc296503144"/>
      <w:bookmarkStart w:id="499" w:name="_Toc337558839"/>
      <w:bookmarkStart w:id="500" w:name="_Toc296346645"/>
      <w:r>
        <w:rPr>
          <w:rFonts w:hint="eastAsia" w:ascii="宋体" w:hAnsi="宋体" w:eastAsia="宋体" w:cs="宋体"/>
          <w:b w:val="0"/>
          <w:bCs w:val="0"/>
          <w:color w:val="000000"/>
          <w:sz w:val="24"/>
          <w:szCs w:val="24"/>
        </w:rPr>
        <w:t>19.4 对发包人索赔的处理</w:t>
      </w:r>
      <w:bookmarkEnd w:id="497"/>
    </w:p>
    <w:bookmarkEnd w:id="498"/>
    <w:bookmarkEnd w:id="499"/>
    <w:bookmarkEnd w:id="50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对发包人索赔的处理如下：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（1）承包人收到发包人提交的索赔报告后，应及时审查索赔报告的内容、查验发包人证明材料；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（2）承包人应在收到索赔报告或有关索赔的进一步证明材料后28天内，将索赔处理结果答复发包人。如果承包人未在上述期限内作出答复的，则视为对发包人索赔要求的认可；</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（3）承包人接受索赔处理结果的，发包人可从应支付给承包人的合同价款中扣除赔付的金额或延长缺陷责任期；发包人不接受索赔处理结果的，按第20条〔争议解决〕约定处理。</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01" w:name="_Toc18624"/>
      <w:r>
        <w:rPr>
          <w:rFonts w:hint="eastAsia" w:ascii="宋体" w:hAnsi="宋体" w:eastAsia="宋体" w:cs="宋体"/>
          <w:b w:val="0"/>
          <w:bCs w:val="0"/>
          <w:color w:val="000000"/>
          <w:sz w:val="24"/>
          <w:szCs w:val="24"/>
        </w:rPr>
        <w:t>19.5 提出索赔的期限</w:t>
      </w:r>
      <w:bookmarkEnd w:id="501"/>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（1）承包人按第14.2款〔竣工结算审核〕约定接收竣工付款证书后，应被视为已无权再提出在工程接收证书颁发前所发生的任何索赔。</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（2）承包人按第14.4款〔最终结清〕提交的最终结清申请单中，只限于提出工程接收证书颁发后发生的索赔。提出索赔的期限自接受最终结清证书时终止。</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02" w:name="_Toc32339"/>
      <w:r>
        <w:rPr>
          <w:rFonts w:hint="eastAsia" w:ascii="宋体" w:hAnsi="宋体" w:eastAsia="宋体" w:cs="宋体"/>
          <w:b w:val="0"/>
          <w:color w:val="000000"/>
          <w:sz w:val="24"/>
          <w:szCs w:val="24"/>
          <w:u w:val="none"/>
        </w:rPr>
        <w:t>20</w:t>
      </w:r>
      <w:bookmarkStart w:id="503" w:name="_Toc296346647"/>
      <w:bookmarkStart w:id="504" w:name="_Toc337558840"/>
      <w:bookmarkStart w:id="505" w:name="_Toc296503146"/>
      <w:r>
        <w:rPr>
          <w:rFonts w:hint="eastAsia" w:ascii="宋体" w:hAnsi="宋体" w:eastAsia="宋体" w:cs="宋体"/>
          <w:b w:val="0"/>
          <w:color w:val="000000"/>
          <w:sz w:val="24"/>
          <w:szCs w:val="24"/>
          <w:u w:val="none"/>
        </w:rPr>
        <w:t>. 争议解决</w:t>
      </w:r>
      <w:bookmarkEnd w:id="502"/>
    </w:p>
    <w:bookmarkEnd w:id="503"/>
    <w:bookmarkEnd w:id="504"/>
    <w:bookmarkEnd w:id="505"/>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06" w:name="_Toc5016"/>
      <w:bookmarkStart w:id="507" w:name="_Toc337558841"/>
      <w:bookmarkStart w:id="508" w:name="_Toc296346648"/>
      <w:bookmarkStart w:id="509" w:name="_Toc296503147"/>
      <w:r>
        <w:rPr>
          <w:rFonts w:hint="eastAsia" w:ascii="宋体" w:hAnsi="宋体" w:eastAsia="宋体" w:cs="宋体"/>
          <w:b w:val="0"/>
          <w:bCs w:val="0"/>
          <w:color w:val="000000"/>
          <w:sz w:val="24"/>
          <w:szCs w:val="24"/>
        </w:rPr>
        <w:t>20.1和解</w:t>
      </w:r>
      <w:bookmarkEnd w:id="506"/>
    </w:p>
    <w:bookmarkEnd w:id="507"/>
    <w:bookmarkEnd w:id="508"/>
    <w:bookmarkEnd w:id="509"/>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合同当事人可以就争议自行和解，自行和解达成协议的经双方签字并盖章后作为合同补充文件，双方均应遵照执行。</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10" w:name="_Toc14074"/>
      <w:r>
        <w:rPr>
          <w:rFonts w:hint="eastAsia" w:ascii="宋体" w:hAnsi="宋体" w:eastAsia="宋体" w:cs="宋体"/>
          <w:b w:val="0"/>
          <w:bCs w:val="0"/>
          <w:color w:val="000000"/>
          <w:sz w:val="24"/>
          <w:szCs w:val="24"/>
        </w:rPr>
        <w:t>20</w:t>
      </w:r>
      <w:bookmarkStart w:id="511" w:name="_Toc337558842"/>
      <w:bookmarkStart w:id="512" w:name="_Toc296503148"/>
      <w:bookmarkStart w:id="513" w:name="_Toc296346649"/>
      <w:r>
        <w:rPr>
          <w:rFonts w:hint="eastAsia" w:ascii="宋体" w:hAnsi="宋体" w:eastAsia="宋体" w:cs="宋体"/>
          <w:b w:val="0"/>
          <w:bCs w:val="0"/>
          <w:color w:val="000000"/>
          <w:sz w:val="24"/>
          <w:szCs w:val="24"/>
        </w:rPr>
        <w:t>.2调解</w:t>
      </w:r>
      <w:bookmarkEnd w:id="510"/>
    </w:p>
    <w:bookmarkEnd w:id="511"/>
    <w:bookmarkEnd w:id="512"/>
    <w:bookmarkEnd w:id="513"/>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合同当事人可以就争议请求建设行政主管部门、行业协会或其他第三方进行调解，调解达成协议的，经双方签字并盖章后作为合同补充文件，双方均应遵照执行。</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14" w:name="_Toc21423"/>
      <w:bookmarkStart w:id="515" w:name="_Toc337558843"/>
      <w:bookmarkStart w:id="516" w:name="_Toc296346650"/>
      <w:bookmarkStart w:id="517" w:name="_Toc296503149"/>
      <w:r>
        <w:rPr>
          <w:rFonts w:hint="eastAsia" w:ascii="宋体" w:hAnsi="宋体" w:eastAsia="宋体" w:cs="宋体"/>
          <w:b w:val="0"/>
          <w:bCs w:val="0"/>
          <w:color w:val="000000"/>
          <w:sz w:val="24"/>
          <w:szCs w:val="24"/>
        </w:rPr>
        <w:t>20.3争议评审</w:t>
      </w:r>
      <w:bookmarkEnd w:id="514"/>
    </w:p>
    <w:bookmarkEnd w:id="515"/>
    <w:bookmarkEnd w:id="516"/>
    <w:bookmarkEnd w:id="517"/>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合同当事人在专用合同条款中约定采取争议评审方式解决争议以及评审规则，并按下列约定执行：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20.3.1 争议评审小组的确定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除专用合同条款另有约定外，评审员报酬由发包人和承包人各承担一半。</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20.3.2 争议评审小组的决定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20.3.3 争议评审小组决定的效力</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争议评审小组作出的书面决定经合同当事人签字确认后，对双方具有约束力，双方应遵照执行。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任何一方当事人不接受争议评审小组决定或不履行争议评审小组决定的，双方可选择采用其他争议解决方式。</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18" w:name="_Toc6061"/>
      <w:bookmarkStart w:id="519" w:name="_Toc296346651"/>
      <w:bookmarkStart w:id="520" w:name="_Toc296503150"/>
      <w:bookmarkStart w:id="521" w:name="_Toc337558844"/>
      <w:r>
        <w:rPr>
          <w:rFonts w:hint="eastAsia" w:ascii="宋体" w:hAnsi="宋体" w:eastAsia="宋体" w:cs="宋体"/>
          <w:b w:val="0"/>
          <w:bCs w:val="0"/>
          <w:color w:val="000000"/>
          <w:sz w:val="24"/>
          <w:szCs w:val="24"/>
        </w:rPr>
        <w:t>20.4仲裁或诉讼</w:t>
      </w:r>
      <w:bookmarkEnd w:id="518"/>
    </w:p>
    <w:bookmarkEnd w:id="519"/>
    <w:bookmarkEnd w:id="520"/>
    <w:bookmarkEnd w:id="521"/>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因合同及合同有关事项产生的争议，合同当事人可以在专用合同条款中约定以下一种方式解决争议：</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（1）向约定的仲裁委员会申请仲裁；</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（2）向有管辖权的人民法院起诉。</w:t>
      </w:r>
    </w:p>
    <w:p>
      <w:pPr>
        <w:pStyle w:val="11"/>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22" w:name="_Toc12624"/>
      <w:bookmarkStart w:id="523" w:name="_Toc296503152"/>
      <w:bookmarkStart w:id="524" w:name="_Toc296346653"/>
      <w:bookmarkStart w:id="525" w:name="_Toc337558845"/>
      <w:r>
        <w:rPr>
          <w:rFonts w:hint="eastAsia" w:ascii="宋体" w:hAnsi="宋体" w:eastAsia="宋体" w:cs="宋体"/>
          <w:b w:val="0"/>
          <w:bCs w:val="0"/>
          <w:color w:val="000000"/>
          <w:sz w:val="24"/>
          <w:szCs w:val="24"/>
        </w:rPr>
        <w:t>20.5争议解决条款效力</w:t>
      </w:r>
      <w:bookmarkEnd w:id="522"/>
    </w:p>
    <w:bookmarkEnd w:id="523"/>
    <w:bookmarkEnd w:id="524"/>
    <w:bookmarkEnd w:id="525"/>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合同有关争议解决的条款独立存在，合同的变更、解除、终止、无效或者被撤销均不影响其效力。 </w:t>
      </w:r>
    </w:p>
    <w:p>
      <w:pPr>
        <w:pStyle w:val="9"/>
        <w:pageBreakBefore w:val="0"/>
        <w:widowControl w:val="0"/>
        <w:numPr>
          <w:ilvl w:val="0"/>
          <w:numId w:val="0"/>
        </w:numPr>
        <w:kinsoku/>
        <w:wordWrap/>
        <w:overflowPunct/>
        <w:topLinePunct w:val="0"/>
        <w:bidi w:val="0"/>
        <w:snapToGrid/>
        <w:spacing w:line="400" w:lineRule="exact"/>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br w:type="page"/>
      </w:r>
      <w:bookmarkStart w:id="526" w:name="_Toc22467"/>
      <w:r>
        <w:rPr>
          <w:rFonts w:hint="eastAsia" w:ascii="宋体" w:hAnsi="宋体" w:eastAsia="宋体" w:cs="宋体"/>
          <w:b/>
          <w:bCs/>
          <w:sz w:val="24"/>
          <w:szCs w:val="24"/>
        </w:rPr>
        <w:t>第三部分 专用合同条款</w:t>
      </w:r>
      <w:bookmarkEnd w:id="526"/>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27" w:name="_Toc24000"/>
      <w:r>
        <w:rPr>
          <w:rFonts w:hint="eastAsia" w:ascii="宋体" w:hAnsi="宋体" w:eastAsia="宋体" w:cs="宋体"/>
          <w:b w:val="0"/>
          <w:color w:val="000000"/>
          <w:sz w:val="24"/>
          <w:szCs w:val="24"/>
          <w:u w:val="none"/>
        </w:rPr>
        <w:t>1</w:t>
      </w:r>
      <w:bookmarkStart w:id="528" w:name="_Toc296891196"/>
      <w:bookmarkStart w:id="529" w:name="_Toc296890984"/>
      <w:bookmarkStart w:id="530" w:name="_Toc296347155"/>
      <w:bookmarkStart w:id="531" w:name="_Toc292559866"/>
      <w:bookmarkStart w:id="532" w:name="_Toc296503156"/>
      <w:bookmarkStart w:id="533" w:name="_Toc297048342"/>
      <w:bookmarkStart w:id="534" w:name="_Toc296944495"/>
      <w:bookmarkStart w:id="535" w:name="_Toc292559361"/>
      <w:bookmarkStart w:id="536" w:name="_Toc296346657"/>
      <w:bookmarkStart w:id="537" w:name="_Toc297120456"/>
      <w:r>
        <w:rPr>
          <w:rFonts w:hint="eastAsia" w:ascii="宋体" w:hAnsi="宋体" w:eastAsia="宋体" w:cs="宋体"/>
          <w:b w:val="0"/>
          <w:color w:val="000000"/>
          <w:sz w:val="24"/>
          <w:szCs w:val="24"/>
          <w:u w:val="none"/>
        </w:rPr>
        <w:t>. 一般约定</w:t>
      </w:r>
      <w:bookmarkEnd w:id="527"/>
    </w:p>
    <w:bookmarkEnd w:id="528"/>
    <w:bookmarkEnd w:id="529"/>
    <w:bookmarkEnd w:id="530"/>
    <w:bookmarkEnd w:id="531"/>
    <w:bookmarkEnd w:id="532"/>
    <w:bookmarkEnd w:id="533"/>
    <w:bookmarkEnd w:id="534"/>
    <w:bookmarkEnd w:id="535"/>
    <w:bookmarkEnd w:id="536"/>
    <w:bookmarkEnd w:id="537"/>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 词语定义</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1.1.1合同</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1.1.1.10其他合同文件包括：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 合同当事人及其他相关方</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1.1.2.4监理人：</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1.1.2.5 设计人：</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 工程和设备</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pageBreakBefore w:val="0"/>
        <w:widowControl w:val="0"/>
        <w:kinsoku/>
        <w:wordWrap/>
        <w:overflowPunct/>
        <w:topLinePunct w:val="0"/>
        <w:autoSpaceDE w:val="0"/>
        <w:autoSpaceDN w:val="0"/>
        <w:bidi w:val="0"/>
        <w:adjustRightInd w:val="0"/>
        <w:snapToGrid/>
        <w:spacing w:line="400" w:lineRule="exact"/>
        <w:ind w:left="596" w:leftChars="284"/>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pPr>
        <w:pageBreakBefore w:val="0"/>
        <w:widowControl w:val="0"/>
        <w:kinsoku/>
        <w:wordWrap/>
        <w:overflowPunct/>
        <w:topLinePunct w:val="0"/>
        <w:bidi w:val="0"/>
        <w:snapToGrid/>
        <w:spacing w:line="400" w:lineRule="exact"/>
        <w:ind w:left="596" w:leftChars="284"/>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1.4.2 发包人提供国外标准、规范的名称：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发包人提供国外标准、规范的份数：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发包人提供国外标准、规范的名称：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left="596" w:leftChars="284"/>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1.4.3发包人对工程的技术标准和功能要求的特殊要求：</w:t>
      </w:r>
      <w:r>
        <w:rPr>
          <w:rFonts w:hint="eastAsia" w:ascii="宋体" w:hAnsi="宋体" w:eastAsia="宋体" w:cs="宋体"/>
          <w:color w:val="000000"/>
          <w:kern w:val="0"/>
          <w:sz w:val="24"/>
          <w:szCs w:val="24"/>
          <w:u w:val="single"/>
          <w:lang w:val="en-US" w:eastAsia="zh-CN"/>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1.6.4 承包人文件</w:t>
      </w:r>
    </w:p>
    <w:p>
      <w:pPr>
        <w:pageBreakBefore w:val="0"/>
        <w:widowControl w:val="0"/>
        <w:kinsoku/>
        <w:wordWrap/>
        <w:overflowPunct/>
        <w:topLinePunct w:val="0"/>
        <w:bidi w:val="0"/>
        <w:snapToGrid/>
        <w:spacing w:line="400" w:lineRule="exact"/>
        <w:ind w:left="596" w:leftChars="284"/>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1.6.5 现场图纸准备</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 联络</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天内将与合同有关的通知、批准、证明、证书、指示、指令、要求、请求、同意、意见、确定和决定等书面函件送达对方当事人。</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发包人接收文件的地点：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1.10 交通运输</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bookmarkStart w:id="538" w:name="_Toc303539100"/>
      <w:bookmarkStart w:id="539" w:name="_Toc312677986"/>
      <w:bookmarkStart w:id="540" w:name="_Toc300934943"/>
      <w:bookmarkStart w:id="541" w:name="_Toc318581155"/>
      <w:bookmarkStart w:id="542" w:name="_Toc304295521"/>
      <w:r>
        <w:rPr>
          <w:rFonts w:hint="eastAsia" w:ascii="宋体" w:hAnsi="宋体" w:eastAsia="宋体" w:cs="宋体"/>
          <w:sz w:val="24"/>
          <w:szCs w:val="24"/>
        </w:rPr>
        <w:t>.10.1 出入现场的权利</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sz w:val="24"/>
          <w:szCs w:val="24"/>
        </w:rPr>
        <w:t>关于出入现场的权利的约定：</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bookmarkEnd w:id="538"/>
    <w:bookmarkEnd w:id="539"/>
    <w:bookmarkEnd w:id="540"/>
    <w:bookmarkEnd w:id="541"/>
    <w:bookmarkEnd w:id="542"/>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bookmarkStart w:id="543" w:name="_Toc318581156"/>
      <w:bookmarkStart w:id="544" w:name="_Toc304295522"/>
      <w:bookmarkStart w:id="545" w:name="_Toc312677987"/>
      <w:bookmarkStart w:id="546" w:name="_Toc300934944"/>
      <w:bookmarkStart w:id="547" w:name="_Toc303539101"/>
      <w:r>
        <w:rPr>
          <w:rFonts w:hint="eastAsia" w:ascii="宋体" w:hAnsi="宋体" w:eastAsia="宋体" w:cs="宋体"/>
          <w:sz w:val="24"/>
          <w:szCs w:val="24"/>
        </w:rPr>
        <w:t>.10.3 场内交通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关于场外交通和场内交通的边界的约定：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w:t>
      </w:r>
    </w:p>
    <w:bookmarkEnd w:id="543"/>
    <w:bookmarkEnd w:id="544"/>
    <w:bookmarkEnd w:id="545"/>
    <w:bookmarkEnd w:id="546"/>
    <w:bookmarkEnd w:id="547"/>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bookmarkStart w:id="548" w:name="_Toc318581157"/>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1.10.4超大件和超重件的运输</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bookmarkEnd w:id="548"/>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 知识产权</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left="596" w:leftChars="284"/>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left="596" w:leftChars="284"/>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1.13工程量清单错误的修正</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出现工程量清单错误时，是否调整合同价格：</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允许调整合同价格的工程量偏差范围：</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49" w:name="_Toc9594"/>
      <w:r>
        <w:rPr>
          <w:rFonts w:hint="eastAsia" w:ascii="宋体" w:hAnsi="宋体" w:eastAsia="宋体" w:cs="宋体"/>
          <w:b w:val="0"/>
          <w:color w:val="000000"/>
          <w:sz w:val="24"/>
          <w:szCs w:val="24"/>
          <w:u w:val="none"/>
        </w:rPr>
        <w:t>2</w:t>
      </w:r>
      <w:bookmarkStart w:id="550" w:name="_Toc297120457"/>
      <w:bookmarkStart w:id="551" w:name="_Toc296890985"/>
      <w:bookmarkStart w:id="552" w:name="_Toc296503157"/>
      <w:bookmarkStart w:id="553" w:name="_Toc292559362"/>
      <w:bookmarkStart w:id="554" w:name="_Toc297048343"/>
      <w:bookmarkStart w:id="555" w:name="_Toc296347156"/>
      <w:bookmarkStart w:id="556" w:name="_Toc296346658"/>
      <w:bookmarkStart w:id="557" w:name="_Toc296944496"/>
      <w:bookmarkStart w:id="558" w:name="_Toc292559867"/>
      <w:bookmarkStart w:id="559" w:name="_Toc296891197"/>
      <w:r>
        <w:rPr>
          <w:rFonts w:hint="eastAsia" w:ascii="宋体" w:hAnsi="宋体" w:eastAsia="宋体" w:cs="宋体"/>
          <w:b w:val="0"/>
          <w:color w:val="000000"/>
          <w:sz w:val="24"/>
          <w:szCs w:val="24"/>
          <w:u w:val="none"/>
        </w:rPr>
        <w:t>. 发包人</w:t>
      </w:r>
      <w:bookmarkEnd w:id="549"/>
    </w:p>
    <w:bookmarkEnd w:id="550"/>
    <w:bookmarkEnd w:id="551"/>
    <w:bookmarkEnd w:id="552"/>
    <w:bookmarkEnd w:id="553"/>
    <w:bookmarkEnd w:id="554"/>
    <w:bookmarkEnd w:id="555"/>
    <w:bookmarkEnd w:id="556"/>
    <w:bookmarkEnd w:id="557"/>
    <w:bookmarkEnd w:id="558"/>
    <w:bookmarkEnd w:id="559"/>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 发包人代表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发包人代表：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2.4.1 提供施工现场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2.4.2 提供施工条件</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发包人是否提供支付担保：</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60" w:name="_Toc12334"/>
      <w:r>
        <w:rPr>
          <w:rFonts w:hint="eastAsia" w:ascii="宋体" w:hAnsi="宋体" w:eastAsia="宋体" w:cs="宋体"/>
          <w:b w:val="0"/>
          <w:color w:val="000000"/>
          <w:sz w:val="24"/>
          <w:szCs w:val="24"/>
          <w:u w:val="none"/>
        </w:rPr>
        <w:t>3</w:t>
      </w:r>
      <w:bookmarkStart w:id="561" w:name="_Toc292559363"/>
      <w:bookmarkStart w:id="562" w:name="_Toc296347157"/>
      <w:bookmarkStart w:id="563" w:name="_Toc296890986"/>
      <w:bookmarkStart w:id="564" w:name="_Toc296944497"/>
      <w:bookmarkStart w:id="565" w:name="_Toc297120458"/>
      <w:bookmarkStart w:id="566" w:name="_Toc296503158"/>
      <w:bookmarkStart w:id="567" w:name="_Toc296346659"/>
      <w:bookmarkStart w:id="568" w:name="_Toc292559868"/>
      <w:bookmarkStart w:id="569" w:name="_Toc296891198"/>
      <w:bookmarkStart w:id="570" w:name="_Toc297048344"/>
      <w:r>
        <w:rPr>
          <w:rFonts w:hint="eastAsia" w:ascii="宋体" w:hAnsi="宋体" w:eastAsia="宋体" w:cs="宋体"/>
          <w:b w:val="0"/>
          <w:color w:val="000000"/>
          <w:sz w:val="24"/>
          <w:szCs w:val="24"/>
          <w:u w:val="none"/>
        </w:rPr>
        <w:t>. 承包人</w:t>
      </w:r>
      <w:bookmarkEnd w:id="560"/>
    </w:p>
    <w:bookmarkEnd w:id="561"/>
    <w:bookmarkEnd w:id="562"/>
    <w:bookmarkEnd w:id="563"/>
    <w:bookmarkEnd w:id="564"/>
    <w:bookmarkEnd w:id="565"/>
    <w:bookmarkEnd w:id="566"/>
    <w:bookmarkEnd w:id="567"/>
    <w:bookmarkEnd w:id="568"/>
    <w:bookmarkEnd w:id="569"/>
    <w:bookmarkEnd w:id="570"/>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（9）</w:t>
      </w:r>
      <w:r>
        <w:rPr>
          <w:rFonts w:hint="eastAsia" w:ascii="宋体" w:hAnsi="宋体" w:eastAsia="宋体" w:cs="宋体"/>
          <w:color w:val="000000"/>
          <w:sz w:val="24"/>
          <w:szCs w:val="24"/>
        </w:rPr>
        <w:t>承包人提交的竣工资料的内容：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承包人需要提交的竣工资料套数：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left="638" w:leftChars="304"/>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承包人提交的竣工资料的费用承担：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left="638" w:leftChars="304"/>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承包人提交的竣工资料移交时间：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承包人提交的竣工资料形式要求：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kern w:val="0"/>
          <w:sz w:val="24"/>
          <w:szCs w:val="24"/>
        </w:rPr>
        <w:t>（10）承包人应履行的其他义务：</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项目经理</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3.2.1 </w:t>
      </w:r>
      <w:r>
        <w:rPr>
          <w:rFonts w:hint="eastAsia" w:ascii="宋体" w:hAnsi="宋体" w:eastAsia="宋体" w:cs="宋体"/>
          <w:color w:val="000000"/>
          <w:sz w:val="24"/>
          <w:szCs w:val="24"/>
        </w:rPr>
        <w:t>项目经理：</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关于项目经理每月在施工现场的时间要求：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承包人未提交劳动合同，以及没有为项目经理缴纳社会保险证明的违约责任：</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kern w:val="0"/>
          <w:sz w:val="24"/>
          <w:szCs w:val="24"/>
        </w:rPr>
        <w:t>项目经理未经批准，擅自离开施工现场的违约责任：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3.2.3 承包人擅自更换项目经理的违约责任：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承包人无正当理由拒绝更换项目经理的违约责任：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 承包人人员</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3.3.1 承包人提交项目管理机构及施工现场管理人员安排报告的期限：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3.3.3 承包人无正当理由拒绝撤换主要施工管理人员的违约责任：</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3.3.4 承包人主要施工管理人员离开施工现场的批准要求：</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3.3.5承包人擅自更换主要施工管理人员的违约责任：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承包人主要施工管理人员擅自离开施工现场的违约责任：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571" w:name="_Toc303539102"/>
      <w:bookmarkStart w:id="572" w:name="_Toc312677988"/>
      <w:bookmarkStart w:id="573" w:name="_Toc304295523"/>
      <w:bookmarkStart w:id="574" w:name="_Toc300934945"/>
      <w:bookmarkStart w:id="575" w:name="_Toc297120459"/>
      <w:bookmarkStart w:id="576" w:name="_Toc296346660"/>
      <w:bookmarkStart w:id="577" w:name="_Toc296891199"/>
      <w:bookmarkStart w:id="578" w:name="_Toc292559869"/>
      <w:bookmarkStart w:id="579" w:name="_Toc296503159"/>
      <w:bookmarkStart w:id="580" w:name="_Toc297048345"/>
      <w:bookmarkStart w:id="581" w:name="_Toc292559364"/>
      <w:bookmarkStart w:id="582" w:name="_Toc296347158"/>
      <w:bookmarkStart w:id="583" w:name="_Toc297216151"/>
      <w:bookmarkStart w:id="584" w:name="_Toc296944498"/>
      <w:bookmarkStart w:id="585" w:name="_Toc296890987"/>
      <w:bookmarkStart w:id="586" w:name="_Toc297123492"/>
      <w:r>
        <w:rPr>
          <w:rFonts w:hint="eastAsia" w:ascii="宋体" w:hAnsi="宋体" w:eastAsia="宋体" w:cs="宋体"/>
          <w:color w:val="000000"/>
          <w:sz w:val="24"/>
          <w:szCs w:val="24"/>
        </w:rPr>
        <w:t>.5 分包</w:t>
      </w:r>
    </w:p>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bookmarkStart w:id="587" w:name="_Toc296891200"/>
      <w:bookmarkStart w:id="588" w:name="_Toc296944499"/>
      <w:bookmarkStart w:id="589" w:name="_Toc296347159"/>
      <w:bookmarkStart w:id="590" w:name="_Toc303539103"/>
      <w:bookmarkStart w:id="591" w:name="_Toc297048346"/>
      <w:bookmarkStart w:id="592" w:name="_Toc297123493"/>
      <w:bookmarkStart w:id="593" w:name="_Toc297120460"/>
      <w:bookmarkStart w:id="594" w:name="_Toc297216152"/>
      <w:bookmarkStart w:id="595" w:name="_Toc292559870"/>
      <w:bookmarkStart w:id="596" w:name="_Toc304295524"/>
      <w:bookmarkStart w:id="597" w:name="_Toc300934946"/>
      <w:bookmarkStart w:id="598" w:name="_Toc296890988"/>
      <w:bookmarkStart w:id="599" w:name="_Toc296503160"/>
      <w:bookmarkStart w:id="600" w:name="_Toc292559365"/>
      <w:bookmarkStart w:id="601" w:name="_Toc296346661"/>
      <w:bookmarkStart w:id="602" w:name="_Toc318581158"/>
      <w:bookmarkStart w:id="603" w:name="_Toc312677989"/>
      <w:r>
        <w:rPr>
          <w:rFonts w:hint="eastAsia" w:ascii="宋体" w:hAnsi="宋体" w:eastAsia="宋体" w:cs="宋体"/>
          <w:sz w:val="24"/>
          <w:szCs w:val="24"/>
        </w:rPr>
        <w:t>.5.1 分包的一般约定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主体结构、关键性工作的范围：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4" w:name="_Toc296944500"/>
      <w:bookmarkStart w:id="605" w:name="_Toc296891201"/>
      <w:bookmarkStart w:id="606" w:name="_Toc296890989"/>
      <w:bookmarkStart w:id="607" w:name="_Toc297216153"/>
      <w:bookmarkStart w:id="608" w:name="_Toc297048347"/>
      <w:bookmarkStart w:id="609" w:name="_Toc296347160"/>
      <w:bookmarkStart w:id="610" w:name="_Toc297120461"/>
      <w:bookmarkStart w:id="611" w:name="_Toc304295525"/>
      <w:bookmarkStart w:id="612" w:name="_Toc303539104"/>
      <w:bookmarkStart w:id="613" w:name="_Toc297123494"/>
      <w:bookmarkStart w:id="614" w:name="_Toc296346662"/>
      <w:bookmarkStart w:id="615" w:name="_Toc296503161"/>
      <w:bookmarkStart w:id="616" w:name="_Toc300934947"/>
    </w:p>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bookmarkStart w:id="617" w:name="_Toc318581159"/>
      <w:bookmarkStart w:id="618" w:name="_Toc312677990"/>
      <w:r>
        <w:rPr>
          <w:rFonts w:hint="eastAsia" w:ascii="宋体" w:hAnsi="宋体" w:eastAsia="宋体" w:cs="宋体"/>
          <w:sz w:val="24"/>
          <w:szCs w:val="24"/>
        </w:rPr>
        <w:t>.5.2分包的确定</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分包合同价款</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617"/>
    <w:bookmarkEnd w:id="618"/>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pageBreakBefore w:val="0"/>
        <w:widowControl w:val="0"/>
        <w:kinsoku/>
        <w:wordWrap/>
        <w:overflowPunct/>
        <w:topLinePunct w:val="0"/>
        <w:bidi w:val="0"/>
        <w:snapToGrid/>
        <w:spacing w:before="120" w:after="120" w:line="400" w:lineRule="exact"/>
        <w:ind w:firstLine="480" w:firstLineChars="200"/>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承包人负责照管工程及工程相关的材料、工程设备的起始时间：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619" w:name="_Toc23960"/>
      <w:r>
        <w:rPr>
          <w:rFonts w:hint="eastAsia" w:ascii="宋体" w:hAnsi="宋体" w:eastAsia="宋体" w:cs="宋体"/>
          <w:b w:val="0"/>
          <w:color w:val="000000"/>
          <w:sz w:val="24"/>
          <w:szCs w:val="24"/>
          <w:u w:val="none"/>
        </w:rPr>
        <w:t>4</w:t>
      </w:r>
      <w:bookmarkStart w:id="620" w:name="_Toc296944501"/>
      <w:bookmarkStart w:id="621" w:name="_Toc292559366"/>
      <w:bookmarkStart w:id="622" w:name="_Toc292559871"/>
      <w:bookmarkStart w:id="623" w:name="_Toc297120462"/>
      <w:bookmarkStart w:id="624" w:name="_Toc296890990"/>
      <w:bookmarkStart w:id="625" w:name="_Toc296503162"/>
      <w:bookmarkStart w:id="626" w:name="_Toc296891202"/>
      <w:bookmarkStart w:id="627" w:name="_Toc267251413"/>
      <w:bookmarkStart w:id="628" w:name="_Toc297048348"/>
      <w:bookmarkStart w:id="629" w:name="_Toc296346663"/>
      <w:bookmarkStart w:id="630" w:name="_Toc296347161"/>
      <w:r>
        <w:rPr>
          <w:rFonts w:hint="eastAsia" w:ascii="宋体" w:hAnsi="宋体" w:eastAsia="宋体" w:cs="宋体"/>
          <w:b w:val="0"/>
          <w:color w:val="000000"/>
          <w:sz w:val="24"/>
          <w:szCs w:val="24"/>
          <w:u w:val="none"/>
        </w:rPr>
        <w:t>. 监</w:t>
      </w:r>
      <w:bookmarkEnd w:id="620"/>
      <w:bookmarkEnd w:id="621"/>
      <w:bookmarkEnd w:id="622"/>
      <w:bookmarkEnd w:id="623"/>
      <w:bookmarkEnd w:id="624"/>
      <w:bookmarkEnd w:id="625"/>
      <w:bookmarkEnd w:id="626"/>
      <w:bookmarkEnd w:id="627"/>
      <w:bookmarkEnd w:id="628"/>
      <w:bookmarkEnd w:id="629"/>
      <w:bookmarkEnd w:id="630"/>
      <w:r>
        <w:rPr>
          <w:rFonts w:hint="eastAsia" w:ascii="宋体" w:hAnsi="宋体" w:eastAsia="宋体" w:cs="宋体"/>
          <w:b w:val="0"/>
          <w:color w:val="000000"/>
          <w:sz w:val="24"/>
          <w:szCs w:val="24"/>
          <w:u w:val="none"/>
        </w:rPr>
        <w:t>理人</w:t>
      </w:r>
      <w:bookmarkEnd w:id="619"/>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 监理人员</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总监理工程师：</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4.4 商定或确定</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bookmarkStart w:id="631" w:name="_Toc267251418"/>
      <w:r>
        <w:rPr>
          <w:rFonts w:hint="eastAsia" w:ascii="宋体" w:hAnsi="宋体" w:eastAsia="宋体" w:cs="宋体"/>
          <w:color w:val="000000"/>
          <w:sz w:val="24"/>
          <w:szCs w:val="24"/>
        </w:rPr>
        <w:t>在发包人和承包人不能通过协商达成一致意见时，发包人授权监理人对以下事项进行确定：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632" w:name="_Toc21304"/>
      <w:r>
        <w:rPr>
          <w:rFonts w:hint="eastAsia" w:ascii="宋体" w:hAnsi="宋体" w:eastAsia="宋体" w:cs="宋体"/>
          <w:b w:val="0"/>
          <w:color w:val="000000"/>
          <w:sz w:val="24"/>
          <w:szCs w:val="24"/>
          <w:u w:val="none"/>
        </w:rPr>
        <w:t>5</w:t>
      </w:r>
      <w:bookmarkEnd w:id="631"/>
      <w:bookmarkStart w:id="633" w:name="_Toc296890991"/>
      <w:bookmarkStart w:id="634" w:name="_Toc297048349"/>
      <w:bookmarkStart w:id="635" w:name="_Toc296347162"/>
      <w:bookmarkStart w:id="636" w:name="_Toc292559367"/>
      <w:bookmarkStart w:id="637" w:name="_Toc297120463"/>
      <w:bookmarkStart w:id="638" w:name="_Toc296891203"/>
      <w:bookmarkStart w:id="639" w:name="_Toc296944502"/>
      <w:bookmarkStart w:id="640" w:name="_Toc292559872"/>
      <w:bookmarkStart w:id="641" w:name="_Toc296503163"/>
      <w:bookmarkStart w:id="642" w:name="_Toc296346664"/>
      <w:r>
        <w:rPr>
          <w:rFonts w:hint="eastAsia" w:ascii="宋体" w:hAnsi="宋体" w:eastAsia="宋体" w:cs="宋体"/>
          <w:b w:val="0"/>
          <w:color w:val="000000"/>
          <w:sz w:val="24"/>
          <w:szCs w:val="24"/>
          <w:u w:val="none"/>
        </w:rPr>
        <w:t>. 工程质量</w:t>
      </w:r>
      <w:bookmarkEnd w:id="632"/>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 质量要求</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5</w:t>
      </w:r>
      <w:bookmarkStart w:id="643" w:name="_Toc318581164"/>
      <w:bookmarkStart w:id="644" w:name="_Toc312677997"/>
      <w:bookmarkStart w:id="645" w:name="_Toc303539106"/>
      <w:bookmarkStart w:id="646" w:name="_Toc300934949"/>
      <w:bookmarkStart w:id="647" w:name="_Toc304295527"/>
      <w:bookmarkStart w:id="648" w:name="_Toc297216155"/>
      <w:bookmarkStart w:id="649" w:name="_Toc297123496"/>
      <w:r>
        <w:rPr>
          <w:rFonts w:hint="eastAsia" w:ascii="宋体" w:hAnsi="宋体" w:eastAsia="宋体" w:cs="宋体"/>
          <w:sz w:val="24"/>
          <w:szCs w:val="24"/>
        </w:rPr>
        <w:t>.1.1 特殊质量标准和要求：</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 隐蔽工程检查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650" w:name="_Toc1397"/>
      <w:r>
        <w:rPr>
          <w:rFonts w:hint="eastAsia" w:ascii="宋体" w:hAnsi="宋体" w:eastAsia="宋体" w:cs="宋体"/>
          <w:b w:val="0"/>
          <w:color w:val="000000"/>
          <w:sz w:val="24"/>
          <w:szCs w:val="24"/>
          <w:u w:val="none"/>
        </w:rPr>
        <w:t>6. 安全文明施工与环境保护</w:t>
      </w:r>
      <w:bookmarkEnd w:id="650"/>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6.1安全文明施工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6.1.1</w:t>
      </w:r>
      <w:r>
        <w:rPr>
          <w:rFonts w:hint="eastAsia" w:ascii="宋体" w:hAnsi="宋体" w:eastAsia="宋体" w:cs="宋体"/>
          <w:color w:val="000000"/>
          <w:sz w:val="24"/>
          <w:szCs w:val="24"/>
        </w:rPr>
        <w:t xml:space="preserve"> 项目安全生产的达标目标及相应事项的约定：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关于编制施工场地治安管理计划的约定：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6.1.5 文明施工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643"/>
    <w:bookmarkEnd w:id="644"/>
    <w:bookmarkEnd w:id="645"/>
    <w:bookmarkEnd w:id="646"/>
    <w:bookmarkEnd w:id="647"/>
    <w:bookmarkEnd w:id="648"/>
    <w:bookmarkEnd w:id="649"/>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651" w:name="_Toc20309"/>
      <w:r>
        <w:rPr>
          <w:rFonts w:hint="eastAsia" w:ascii="宋体" w:hAnsi="宋体" w:eastAsia="宋体" w:cs="宋体"/>
          <w:b w:val="0"/>
          <w:color w:val="000000"/>
          <w:sz w:val="24"/>
          <w:szCs w:val="24"/>
          <w:u w:val="none"/>
        </w:rPr>
        <w:t>7. 工期和进度</w:t>
      </w:r>
      <w:bookmarkEnd w:id="651"/>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 施工组织设计</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7.1.1 </w:t>
      </w:r>
      <w:r>
        <w:rPr>
          <w:rFonts w:hint="eastAsia" w:ascii="宋体" w:hAnsi="宋体" w:eastAsia="宋体" w:cs="宋体"/>
          <w:color w:val="000000"/>
          <w:sz w:val="24"/>
          <w:szCs w:val="24"/>
        </w:rPr>
        <w:t>合</w:t>
      </w:r>
      <w:r>
        <w:rPr>
          <w:rFonts w:hint="eastAsia" w:ascii="宋体" w:hAnsi="宋体" w:eastAsia="宋体" w:cs="宋体"/>
          <w:color w:val="000000"/>
          <w:kern w:val="0"/>
          <w:sz w:val="24"/>
          <w:szCs w:val="24"/>
        </w:rPr>
        <w:t>同当事人约定的施工组织设计应包括的其他内容：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7.1.2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施工组织设计的提交和修改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52" w:name="_Toc300934966"/>
      <w:bookmarkStart w:id="653" w:name="_Toc312678005"/>
      <w:bookmarkStart w:id="654" w:name="_Toc304295541"/>
      <w:bookmarkStart w:id="655" w:name="_Toc297123514"/>
      <w:bookmarkStart w:id="656" w:name="_Toc312677479"/>
      <w:bookmarkStart w:id="657" w:name="_Toc297216173"/>
      <w:bookmarkStart w:id="658" w:name="_Toc303539123"/>
      <w:r>
        <w:rPr>
          <w:rFonts w:hint="eastAsia" w:ascii="宋体" w:hAnsi="宋体" w:eastAsia="宋体" w:cs="宋体"/>
          <w:color w:val="000000"/>
          <w:sz w:val="24"/>
          <w:szCs w:val="24"/>
        </w:rPr>
        <w:t>.2 施工进度计划</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7.2.2 施工进度计划的修订</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7.3 开工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pPr>
        <w:pageBreakBefore w:val="0"/>
        <w:widowControl w:val="0"/>
        <w:kinsoku/>
        <w:wordWrap/>
        <w:overflowPunct/>
        <w:topLinePunct w:val="0"/>
        <w:bidi w:val="0"/>
        <w:snapToGrid/>
        <w:spacing w:line="400" w:lineRule="exact"/>
        <w:ind w:firstLine="645"/>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645"/>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关于发包人应完成的其他开工准备工作及期限：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关于承包人应完成的其他开工准备工作及期限：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7.3.2开工通知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天内发出开工通知的，承包人有权提出价格调整要求，或者解除合同。</w:t>
      </w:r>
    </w:p>
    <w:bookmarkEnd w:id="652"/>
    <w:bookmarkEnd w:id="653"/>
    <w:bookmarkEnd w:id="654"/>
    <w:bookmarkEnd w:id="655"/>
    <w:bookmarkEnd w:id="656"/>
    <w:bookmarkEnd w:id="657"/>
    <w:bookmarkEnd w:id="658"/>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59" w:name="_Toc312678010"/>
      <w:bookmarkStart w:id="660" w:name="_Toc300934968"/>
      <w:bookmarkStart w:id="661" w:name="_Toc297216175"/>
      <w:bookmarkStart w:id="662" w:name="_Toc297123516"/>
      <w:bookmarkStart w:id="663" w:name="_Toc304295546"/>
      <w:bookmarkStart w:id="664" w:name="_Toc303539125"/>
      <w:bookmarkStart w:id="665" w:name="_Toc312677484"/>
      <w:r>
        <w:rPr>
          <w:rFonts w:hint="eastAsia" w:ascii="宋体" w:hAnsi="宋体" w:eastAsia="宋体" w:cs="宋体"/>
          <w:color w:val="000000"/>
          <w:sz w:val="24"/>
          <w:szCs w:val="24"/>
        </w:rPr>
        <w:t>.5 工期延误</w:t>
      </w:r>
    </w:p>
    <w:bookmarkEnd w:id="659"/>
    <w:bookmarkEnd w:id="660"/>
    <w:bookmarkEnd w:id="661"/>
    <w:bookmarkEnd w:id="662"/>
    <w:bookmarkEnd w:id="663"/>
    <w:bookmarkEnd w:id="664"/>
    <w:bookmarkEnd w:id="665"/>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bookmarkStart w:id="666" w:name="_Toc312677486"/>
      <w:bookmarkStart w:id="667" w:name="_Toc318581169"/>
      <w:bookmarkStart w:id="668" w:name="_Toc312678012"/>
      <w:bookmarkStart w:id="669" w:name="_Toc300934970"/>
      <w:bookmarkStart w:id="670" w:name="_Toc297123518"/>
      <w:bookmarkStart w:id="671" w:name="_Toc303539127"/>
      <w:bookmarkStart w:id="672" w:name="_Toc297216177"/>
      <w:bookmarkStart w:id="673" w:name="_Toc304295548"/>
      <w:r>
        <w:rPr>
          <w:rFonts w:hint="eastAsia" w:ascii="宋体" w:hAnsi="宋体" w:eastAsia="宋体" w:cs="宋体"/>
          <w:sz w:val="24"/>
          <w:szCs w:val="24"/>
        </w:rPr>
        <w:t>.5.2 因承包人原因导致工期延误</w:t>
      </w:r>
    </w:p>
    <w:bookmarkEnd w:id="666"/>
    <w:bookmarkEnd w:id="667"/>
    <w:bookmarkEnd w:id="668"/>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因</w:t>
      </w:r>
      <w:bookmarkStart w:id="674" w:name="_Toc312678013"/>
      <w:bookmarkStart w:id="675" w:name="_Toc312677487"/>
      <w:bookmarkStart w:id="676" w:name="_Toc318581170"/>
      <w:r>
        <w:rPr>
          <w:rFonts w:hint="eastAsia" w:ascii="宋体" w:hAnsi="宋体" w:eastAsia="宋体" w:cs="宋体"/>
          <w:sz w:val="24"/>
          <w:szCs w:val="24"/>
        </w:rPr>
        <w:t>承包人原因造成工期延误，逾期竣工违约金的计算方法为：</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669"/>
      <w:bookmarkEnd w:id="670"/>
      <w:bookmarkEnd w:id="671"/>
      <w:bookmarkEnd w:id="672"/>
      <w:bookmarkEnd w:id="673"/>
      <w:bookmarkEnd w:id="674"/>
      <w:bookmarkEnd w:id="675"/>
    </w:p>
    <w:bookmarkEnd w:id="676"/>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因承包人原因造成工期延误，逾</w:t>
      </w:r>
      <w:bookmarkStart w:id="677" w:name="_Toc312678014"/>
      <w:bookmarkStart w:id="678" w:name="_Toc318581171"/>
      <w:r>
        <w:rPr>
          <w:rFonts w:hint="eastAsia" w:ascii="宋体" w:hAnsi="宋体" w:eastAsia="宋体" w:cs="宋体"/>
          <w:sz w:val="24"/>
          <w:szCs w:val="24"/>
        </w:rPr>
        <w:t>期竣工违约金的上限：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677"/>
    <w:bookmarkEnd w:id="678"/>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79" w:name="_Toc303539128"/>
      <w:bookmarkStart w:id="680" w:name="_Toc297216178"/>
      <w:bookmarkStart w:id="681" w:name="_Toc300934971"/>
      <w:bookmarkStart w:id="682" w:name="_Toc297123519"/>
      <w:bookmarkStart w:id="683" w:name="_Toc312678015"/>
      <w:bookmarkStart w:id="684" w:name="_Toc304295549"/>
      <w:r>
        <w:rPr>
          <w:rFonts w:hint="eastAsia" w:ascii="宋体" w:hAnsi="宋体" w:eastAsia="宋体" w:cs="宋体"/>
          <w:color w:val="000000"/>
          <w:sz w:val="24"/>
          <w:szCs w:val="24"/>
        </w:rPr>
        <w:t>.6 不</w:t>
      </w:r>
      <w:bookmarkEnd w:id="679"/>
      <w:bookmarkEnd w:id="680"/>
      <w:bookmarkEnd w:id="681"/>
      <w:bookmarkEnd w:id="682"/>
      <w:bookmarkEnd w:id="683"/>
      <w:bookmarkEnd w:id="684"/>
      <w:r>
        <w:rPr>
          <w:rFonts w:hint="eastAsia" w:ascii="宋体" w:hAnsi="宋体" w:eastAsia="宋体" w:cs="宋体"/>
          <w:color w:val="000000"/>
          <w:sz w:val="24"/>
          <w:szCs w:val="24"/>
        </w:rPr>
        <w:t>利物质条件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bookmarkStart w:id="685" w:name="_Toc303539129"/>
      <w:bookmarkStart w:id="686" w:name="_Toc300934972"/>
      <w:bookmarkStart w:id="687" w:name="_Toc297216179"/>
      <w:bookmarkStart w:id="688" w:name="_Toc318581172"/>
      <w:bookmarkStart w:id="689" w:name="_Toc297123520"/>
      <w:bookmarkStart w:id="690" w:name="_Toc312678016"/>
      <w:bookmarkStart w:id="691" w:name="_Toc304295550"/>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685"/>
    <w:bookmarkEnd w:id="686"/>
    <w:bookmarkEnd w:id="687"/>
    <w:bookmarkEnd w:id="688"/>
    <w:bookmarkEnd w:id="689"/>
    <w:bookmarkEnd w:id="690"/>
    <w:bookmarkEnd w:id="691"/>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92" w:name="_Toc297123521"/>
      <w:bookmarkStart w:id="693" w:name="_Toc304295551"/>
      <w:bookmarkStart w:id="694" w:name="_Toc312678017"/>
      <w:bookmarkStart w:id="695" w:name="_Toc297216180"/>
      <w:bookmarkStart w:id="696" w:name="_Toc300934973"/>
      <w:bookmarkStart w:id="697" w:name="_Toc303539130"/>
      <w:r>
        <w:rPr>
          <w:rFonts w:hint="eastAsia" w:ascii="宋体" w:hAnsi="宋体" w:eastAsia="宋体" w:cs="宋体"/>
          <w:color w:val="000000"/>
          <w:sz w:val="24"/>
          <w:szCs w:val="24"/>
        </w:rPr>
        <w:t>.7异常恶劣的气候条件</w:t>
      </w:r>
    </w:p>
    <w:bookmarkEnd w:id="692"/>
    <w:bookmarkEnd w:id="693"/>
    <w:bookmarkEnd w:id="694"/>
    <w:bookmarkEnd w:id="695"/>
    <w:bookmarkEnd w:id="696"/>
    <w:bookmarkEnd w:id="697"/>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7.9 提前竣工的奖励</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698" w:name="_Toc16927"/>
      <w:r>
        <w:rPr>
          <w:rFonts w:hint="eastAsia" w:ascii="宋体" w:hAnsi="宋体" w:eastAsia="宋体" w:cs="宋体"/>
          <w:b w:val="0"/>
          <w:color w:val="000000"/>
          <w:sz w:val="24"/>
          <w:szCs w:val="24"/>
          <w:u w:val="none"/>
        </w:rPr>
        <w:t>8. 材料与设备</w:t>
      </w:r>
      <w:bookmarkEnd w:id="698"/>
    </w:p>
    <w:bookmarkEnd w:id="633"/>
    <w:bookmarkEnd w:id="634"/>
    <w:bookmarkEnd w:id="635"/>
    <w:bookmarkEnd w:id="636"/>
    <w:bookmarkEnd w:id="637"/>
    <w:bookmarkEnd w:id="638"/>
    <w:bookmarkEnd w:id="639"/>
    <w:bookmarkEnd w:id="640"/>
    <w:bookmarkEnd w:id="641"/>
    <w:bookmarkEnd w:id="642"/>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bookmarkStart w:id="699" w:name="_Toc292559877"/>
      <w:bookmarkStart w:id="700" w:name="_Toc297216186"/>
      <w:bookmarkStart w:id="701" w:name="_Toc296346668"/>
      <w:bookmarkStart w:id="702" w:name="_Toc296944506"/>
      <w:bookmarkStart w:id="703" w:name="_Toc296503167"/>
      <w:bookmarkStart w:id="704" w:name="_Toc312677493"/>
      <w:bookmarkStart w:id="705" w:name="_Toc296891207"/>
      <w:bookmarkStart w:id="706" w:name="_Toc303539136"/>
      <w:bookmarkStart w:id="707" w:name="_Toc297123527"/>
      <w:bookmarkStart w:id="708" w:name="_Toc297120467"/>
      <w:bookmarkStart w:id="709" w:name="_Toc292559372"/>
      <w:bookmarkStart w:id="710" w:name="_Toc312678019"/>
      <w:bookmarkStart w:id="711" w:name="_Toc297048353"/>
      <w:bookmarkStart w:id="712" w:name="_Toc300934979"/>
      <w:bookmarkStart w:id="713" w:name="_Toc280868654"/>
      <w:bookmarkStart w:id="714" w:name="_Toc296347166"/>
      <w:bookmarkStart w:id="715" w:name="_Toc304295556"/>
      <w:bookmarkStart w:id="716" w:name="_Toc296890995"/>
      <w:bookmarkStart w:id="717" w:name="_Toc267251424"/>
      <w:bookmarkStart w:id="718" w:name="_Toc280868656"/>
      <w:bookmarkStart w:id="719" w:name="_Toc280868655"/>
      <w:r>
        <w:rPr>
          <w:rFonts w:hint="eastAsia" w:ascii="宋体" w:hAnsi="宋体" w:eastAsia="宋体" w:cs="宋体"/>
          <w:color w:val="000000"/>
          <w:sz w:val="24"/>
          <w:szCs w:val="24"/>
        </w:rPr>
        <w:t>.4材料与工程设备的保管与使用</w:t>
      </w:r>
    </w:p>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8</w:t>
      </w:r>
      <w:bookmarkStart w:id="720" w:name="_Toc292559373"/>
      <w:bookmarkStart w:id="721" w:name="_Toc292559878"/>
      <w:bookmarkStart w:id="722" w:name="_Toc296346669"/>
      <w:bookmarkStart w:id="723" w:name="_Toc312677494"/>
      <w:bookmarkStart w:id="724" w:name="_Toc300934980"/>
      <w:bookmarkStart w:id="725" w:name="_Toc318581173"/>
      <w:bookmarkStart w:id="726" w:name="_Toc304295557"/>
      <w:bookmarkStart w:id="727" w:name="_Toc296347167"/>
      <w:bookmarkStart w:id="728" w:name="_Toc297123528"/>
      <w:bookmarkStart w:id="729" w:name="_Toc296944507"/>
      <w:bookmarkStart w:id="730" w:name="_Toc297120468"/>
      <w:bookmarkStart w:id="731" w:name="_Toc296503168"/>
      <w:bookmarkStart w:id="732" w:name="_Toc297216187"/>
      <w:bookmarkStart w:id="733" w:name="_Toc297048354"/>
      <w:bookmarkStart w:id="734" w:name="_Toc312678020"/>
      <w:bookmarkStart w:id="735" w:name="_Toc296890996"/>
      <w:bookmarkStart w:id="736" w:name="_Toc296891208"/>
      <w:bookmarkStart w:id="737" w:name="_Toc303539137"/>
      <w:r>
        <w:rPr>
          <w:rFonts w:hint="eastAsia" w:ascii="宋体" w:hAnsi="宋体" w:eastAsia="宋体" w:cs="宋体"/>
          <w:sz w:val="24"/>
          <w:szCs w:val="24"/>
        </w:rPr>
        <w:t>.4.1发包人供应的材料设备的保管费用的承担：</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720"/>
      <w:bookmarkEnd w:id="721"/>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8.6 样品</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rPr>
        <w:t>需要承包人报送样品的材料或工程设备，样品的种类、名称、规格、数量要求：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8.8 施工设备和临时设施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738" w:name="_Toc25070"/>
      <w:r>
        <w:rPr>
          <w:rFonts w:hint="eastAsia" w:ascii="宋体" w:hAnsi="宋体" w:eastAsia="宋体" w:cs="宋体"/>
          <w:b w:val="0"/>
          <w:color w:val="000000"/>
          <w:sz w:val="24"/>
          <w:szCs w:val="24"/>
          <w:u w:val="none"/>
        </w:rPr>
        <w:t>9</w:t>
      </w:r>
      <w:bookmarkEnd w:id="717"/>
      <w:bookmarkEnd w:id="718"/>
      <w:bookmarkEnd w:id="719"/>
      <w:bookmarkStart w:id="739" w:name="_Toc312677495"/>
      <w:bookmarkStart w:id="740" w:name="_Toc303539139"/>
      <w:bookmarkStart w:id="741" w:name="_Toc300934982"/>
      <w:bookmarkStart w:id="742" w:name="_Toc297216192"/>
      <w:bookmarkStart w:id="743" w:name="_Toc297123533"/>
      <w:bookmarkStart w:id="744" w:name="_Toc304295559"/>
      <w:bookmarkStart w:id="745" w:name="_Toc312678021"/>
      <w:bookmarkStart w:id="746" w:name="_Toc267251427"/>
      <w:bookmarkStart w:id="747" w:name="_Toc292559883"/>
      <w:bookmarkStart w:id="748" w:name="_Toc296503173"/>
      <w:bookmarkStart w:id="749" w:name="_Toc296944512"/>
      <w:bookmarkStart w:id="750" w:name="_Toc296347172"/>
      <w:bookmarkStart w:id="751" w:name="_Toc292559378"/>
      <w:bookmarkStart w:id="752" w:name="_Toc297048359"/>
      <w:bookmarkStart w:id="753" w:name="_Toc296891001"/>
      <w:bookmarkStart w:id="754" w:name="_Toc296891213"/>
      <w:bookmarkStart w:id="755" w:name="_Toc297120473"/>
      <w:bookmarkStart w:id="756" w:name="_Toc296346674"/>
      <w:bookmarkStart w:id="757" w:name="_Toc267251428"/>
      <w:r>
        <w:rPr>
          <w:rFonts w:hint="eastAsia" w:ascii="宋体" w:hAnsi="宋体" w:eastAsia="宋体" w:cs="宋体"/>
          <w:b w:val="0"/>
          <w:color w:val="000000"/>
          <w:sz w:val="24"/>
          <w:szCs w:val="24"/>
          <w:u w:val="none"/>
        </w:rPr>
        <w:t>. 试验与检验</w:t>
      </w:r>
      <w:bookmarkEnd w:id="738"/>
    </w:p>
    <w:bookmarkEnd w:id="739"/>
    <w:bookmarkEnd w:id="740"/>
    <w:bookmarkEnd w:id="741"/>
    <w:bookmarkEnd w:id="742"/>
    <w:bookmarkEnd w:id="743"/>
    <w:bookmarkEnd w:id="744"/>
    <w:bookmarkEnd w:id="745"/>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758" w:name="_Toc303539140"/>
      <w:bookmarkStart w:id="759" w:name="_Toc300934983"/>
      <w:bookmarkStart w:id="760" w:name="_Toc312677496"/>
      <w:bookmarkStart w:id="761" w:name="_Toc312678022"/>
      <w:bookmarkStart w:id="762" w:name="_Toc297216193"/>
      <w:bookmarkStart w:id="763" w:name="_Toc297123534"/>
      <w:bookmarkStart w:id="764" w:name="_Toc304295560"/>
      <w:r>
        <w:rPr>
          <w:rFonts w:hint="eastAsia" w:ascii="宋体" w:hAnsi="宋体" w:eastAsia="宋体" w:cs="宋体"/>
          <w:color w:val="000000"/>
          <w:sz w:val="24"/>
          <w:szCs w:val="24"/>
        </w:rPr>
        <w:t>.1试验设备与试验人员</w:t>
      </w:r>
    </w:p>
    <w:bookmarkEnd w:id="758"/>
    <w:bookmarkEnd w:id="759"/>
    <w:bookmarkEnd w:id="760"/>
    <w:bookmarkEnd w:id="761"/>
    <w:bookmarkEnd w:id="762"/>
    <w:bookmarkEnd w:id="763"/>
    <w:bookmarkEnd w:id="764"/>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w:t>
      </w:r>
      <w:bookmarkStart w:id="765" w:name="_Toc312678023"/>
      <w:bookmarkStart w:id="766" w:name="_Toc312677497"/>
      <w:bookmarkStart w:id="767" w:name="_Toc303539141"/>
      <w:bookmarkStart w:id="768" w:name="_Toc297123535"/>
      <w:bookmarkStart w:id="769" w:name="_Toc300934984"/>
      <w:bookmarkStart w:id="770" w:name="_Toc297216194"/>
      <w:bookmarkStart w:id="771" w:name="_Toc304295561"/>
      <w:bookmarkStart w:id="772" w:name="_Toc318581174"/>
      <w:r>
        <w:rPr>
          <w:rFonts w:hint="eastAsia" w:ascii="宋体" w:hAnsi="宋体" w:eastAsia="宋体" w:cs="宋体"/>
          <w:sz w:val="24"/>
          <w:szCs w:val="24"/>
        </w:rPr>
        <w:t>.1.2 试验设备</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施工现场需要配置的试验场所：</w:t>
      </w:r>
      <w:bookmarkEnd w:id="765"/>
      <w:bookmarkEnd w:id="766"/>
      <w:bookmarkEnd w:id="767"/>
      <w:bookmarkEnd w:id="768"/>
      <w:bookmarkEnd w:id="769"/>
      <w:bookmarkEnd w:id="770"/>
      <w:bookmarkEnd w:id="771"/>
      <w:bookmarkStart w:id="773" w:name="_Toc312677498"/>
      <w:bookmarkStart w:id="774" w:name="_Toc300934985"/>
      <w:bookmarkStart w:id="775" w:name="_Toc304295562"/>
      <w:bookmarkStart w:id="776" w:name="_Toc297216195"/>
      <w:bookmarkStart w:id="777" w:name="_Toc297123536"/>
      <w:bookmarkStart w:id="778" w:name="_Toc303539142"/>
      <w:bookmarkStart w:id="779" w:name="_Toc312678024"/>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施工现场需要配备的试验设备：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施工现场需要具备的其他试验条件：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772"/>
    <w:bookmarkEnd w:id="773"/>
    <w:bookmarkEnd w:id="774"/>
    <w:bookmarkEnd w:id="775"/>
    <w:bookmarkEnd w:id="776"/>
    <w:bookmarkEnd w:id="777"/>
    <w:bookmarkEnd w:id="778"/>
    <w:bookmarkEnd w:id="779"/>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780" w:name="_Toc7593"/>
      <w:r>
        <w:rPr>
          <w:rFonts w:hint="eastAsia" w:ascii="宋体" w:hAnsi="宋体" w:eastAsia="宋体" w:cs="宋体"/>
          <w:b w:val="0"/>
          <w:color w:val="000000"/>
          <w:sz w:val="24"/>
          <w:szCs w:val="24"/>
          <w:u w:val="none"/>
        </w:rPr>
        <w:t>1</w:t>
      </w:r>
      <w:bookmarkEnd w:id="746"/>
      <w:bookmarkEnd w:id="747"/>
      <w:bookmarkEnd w:id="748"/>
      <w:bookmarkEnd w:id="749"/>
      <w:bookmarkEnd w:id="750"/>
      <w:bookmarkEnd w:id="751"/>
      <w:bookmarkEnd w:id="752"/>
      <w:bookmarkEnd w:id="753"/>
      <w:bookmarkEnd w:id="754"/>
      <w:bookmarkEnd w:id="755"/>
      <w:bookmarkEnd w:id="756"/>
      <w:bookmarkEnd w:id="757"/>
      <w:bookmarkStart w:id="781" w:name="_Toc292559903"/>
      <w:bookmarkStart w:id="782" w:name="_Toc304295566"/>
      <w:bookmarkStart w:id="783" w:name="_Toc297120493"/>
      <w:bookmarkStart w:id="784" w:name="_Toc296891233"/>
      <w:bookmarkStart w:id="785" w:name="_Toc297216199"/>
      <w:bookmarkStart w:id="786" w:name="_Toc296891021"/>
      <w:bookmarkStart w:id="787" w:name="_Toc296347192"/>
      <w:bookmarkStart w:id="788" w:name="_Toc296944532"/>
      <w:bookmarkStart w:id="789" w:name="_Toc303539146"/>
      <w:bookmarkStart w:id="790" w:name="_Toc297048379"/>
      <w:bookmarkStart w:id="791" w:name="_Toc297123540"/>
      <w:bookmarkStart w:id="792" w:name="_Toc292559398"/>
      <w:bookmarkStart w:id="793" w:name="_Toc296346694"/>
      <w:bookmarkStart w:id="794" w:name="_Toc296503193"/>
      <w:bookmarkStart w:id="795" w:name="_Toc300934989"/>
      <w:bookmarkStart w:id="796" w:name="_Toc312678025"/>
      <w:bookmarkStart w:id="797" w:name="_Toc312677499"/>
      <w:bookmarkStart w:id="798" w:name="_Toc267251433"/>
      <w:bookmarkStart w:id="799" w:name="_Toc267251440"/>
      <w:bookmarkStart w:id="800" w:name="_Toc267251439"/>
      <w:bookmarkStart w:id="801" w:name="_Toc267251441"/>
      <w:bookmarkStart w:id="802" w:name="_Toc267251437"/>
      <w:bookmarkStart w:id="803" w:name="_Toc267251435"/>
      <w:bookmarkStart w:id="804" w:name="_Toc267251442"/>
      <w:r>
        <w:rPr>
          <w:rFonts w:hint="eastAsia" w:ascii="宋体" w:hAnsi="宋体" w:eastAsia="宋体" w:cs="宋体"/>
          <w:b w:val="0"/>
          <w:color w:val="000000"/>
          <w:sz w:val="24"/>
          <w:szCs w:val="24"/>
          <w:u w:val="none"/>
        </w:rPr>
        <w:t>0. 变更</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bookmarkEnd w:id="796"/>
    <w:bookmarkEnd w:id="797"/>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805" w:name="_Toc297120494"/>
      <w:bookmarkStart w:id="806" w:name="_Toc312677500"/>
      <w:bookmarkStart w:id="807" w:name="_Toc296891234"/>
      <w:bookmarkStart w:id="808" w:name="_Toc297123541"/>
      <w:bookmarkStart w:id="809" w:name="_Toc296503194"/>
      <w:bookmarkStart w:id="810" w:name="_Toc297216200"/>
      <w:bookmarkStart w:id="811" w:name="_Toc304295567"/>
      <w:bookmarkStart w:id="812" w:name="_Toc300934990"/>
      <w:bookmarkStart w:id="813" w:name="_Toc292559399"/>
      <w:bookmarkStart w:id="814" w:name="_Toc297048380"/>
      <w:bookmarkStart w:id="815" w:name="_Toc296891022"/>
      <w:bookmarkStart w:id="816" w:name="_Toc296347193"/>
      <w:bookmarkStart w:id="817" w:name="_Toc303539147"/>
      <w:bookmarkStart w:id="818" w:name="_Toc312678026"/>
      <w:bookmarkStart w:id="819" w:name="_Toc296944533"/>
      <w:bookmarkStart w:id="820" w:name="_Toc296346695"/>
      <w:bookmarkStart w:id="821" w:name="_Toc292559904"/>
      <w:r>
        <w:rPr>
          <w:rFonts w:hint="eastAsia" w:ascii="宋体" w:hAnsi="宋体" w:eastAsia="宋体" w:cs="宋体"/>
          <w:color w:val="000000"/>
          <w:sz w:val="24"/>
          <w:szCs w:val="24"/>
        </w:rPr>
        <w:t>0.1变更的范围</w:t>
      </w:r>
    </w:p>
    <w:p>
      <w:pPr>
        <w:pageBreakBefore w:val="0"/>
        <w:widowControl w:val="0"/>
        <w:kinsoku/>
        <w:wordWrap/>
        <w:overflowPunct/>
        <w:topLinePunct w:val="0"/>
        <w:bidi w:val="0"/>
        <w:snapToGrid/>
        <w:spacing w:line="400" w:lineRule="exact"/>
        <w:ind w:firstLine="6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关于变更的范围的约定：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10.4 变更估价</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10.4.1 变更估价原则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关于变更估价的约定: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Start w:id="822" w:name="_Toc296347196"/>
      <w:bookmarkStart w:id="823" w:name="_Toc296503197"/>
      <w:bookmarkStart w:id="824" w:name="_Toc292559907"/>
      <w:bookmarkStart w:id="825" w:name="_Toc296891237"/>
      <w:bookmarkStart w:id="826" w:name="_Toc297216203"/>
      <w:bookmarkStart w:id="827" w:name="_Toc297123544"/>
      <w:bookmarkStart w:id="828" w:name="_Toc292559402"/>
      <w:bookmarkStart w:id="829" w:name="_Toc296346698"/>
      <w:bookmarkStart w:id="830" w:name="_Toc297120497"/>
      <w:bookmarkStart w:id="831" w:name="_Toc303539150"/>
      <w:bookmarkStart w:id="832" w:name="_Toc297048383"/>
      <w:bookmarkStart w:id="833" w:name="_Toc296944536"/>
      <w:bookmarkStart w:id="834" w:name="_Toc296891025"/>
      <w:bookmarkStart w:id="835" w:name="_Toc300934993"/>
      <w:bookmarkStart w:id="836" w:name="_Toc312677503"/>
      <w:bookmarkStart w:id="837" w:name="_Toc312678029"/>
      <w:bookmarkStart w:id="838" w:name="_Toc304295570"/>
      <w:r>
        <w:rPr>
          <w:rFonts w:hint="eastAsia" w:ascii="宋体" w:hAnsi="宋体" w:eastAsia="宋体" w:cs="宋体"/>
          <w:color w:val="000000"/>
          <w:sz w:val="24"/>
          <w:szCs w:val="24"/>
        </w:rPr>
        <w:t>0.5承</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Start w:id="839" w:name="_Toc296944542"/>
      <w:bookmarkStart w:id="840" w:name="_Toc296891243"/>
      <w:bookmarkStart w:id="841" w:name="_Toc303539151"/>
      <w:bookmarkStart w:id="842" w:name="_Toc292559408"/>
      <w:bookmarkStart w:id="843" w:name="_Toc292559913"/>
      <w:bookmarkStart w:id="844" w:name="_Toc296891031"/>
      <w:bookmarkStart w:id="845" w:name="_Toc296503203"/>
      <w:bookmarkStart w:id="846" w:name="_Toc297123545"/>
      <w:bookmarkStart w:id="847" w:name="_Toc296346704"/>
      <w:bookmarkStart w:id="848" w:name="_Toc296347202"/>
      <w:bookmarkStart w:id="849" w:name="_Toc297048389"/>
      <w:bookmarkStart w:id="850" w:name="_Toc297120503"/>
      <w:bookmarkStart w:id="851" w:name="_Toc297216204"/>
      <w:bookmarkStart w:id="852" w:name="_Toc300934994"/>
      <w:r>
        <w:rPr>
          <w:rFonts w:hint="eastAsia" w:ascii="宋体" w:hAnsi="宋体" w:eastAsia="宋体" w:cs="宋体"/>
          <w:color w:val="000000"/>
          <w:sz w:val="24"/>
          <w:szCs w:val="24"/>
        </w:rPr>
        <w:t>包人的合理化建议</w:t>
      </w:r>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承</w:t>
      </w:r>
      <w:bookmarkStart w:id="853" w:name="_Toc296891032"/>
      <w:bookmarkStart w:id="854" w:name="_Toc296503204"/>
      <w:bookmarkStart w:id="855" w:name="_Toc300934995"/>
      <w:bookmarkStart w:id="856" w:name="_Toc297216205"/>
      <w:bookmarkStart w:id="857" w:name="_Toc296891244"/>
      <w:bookmarkStart w:id="858" w:name="_Toc297048390"/>
      <w:bookmarkStart w:id="859" w:name="_Toc318581175"/>
      <w:bookmarkStart w:id="860" w:name="_Toc297123546"/>
      <w:bookmarkStart w:id="861" w:name="_Toc304295571"/>
      <w:bookmarkStart w:id="862" w:name="_Toc303539152"/>
      <w:bookmarkStart w:id="863" w:name="_Toc312678030"/>
      <w:bookmarkStart w:id="864" w:name="_Toc296944543"/>
      <w:bookmarkStart w:id="865" w:name="_Toc292559409"/>
      <w:bookmarkStart w:id="866" w:name="_Toc312677504"/>
      <w:bookmarkStart w:id="867" w:name="_Toc297120504"/>
      <w:bookmarkStart w:id="868" w:name="_Toc296347203"/>
      <w:bookmarkStart w:id="869" w:name="_Toc296346705"/>
      <w:bookmarkStart w:id="870" w:name="_Toc292559914"/>
      <w:r>
        <w:rPr>
          <w:rFonts w:hint="eastAsia" w:ascii="宋体" w:hAnsi="宋体" w:eastAsia="宋体" w:cs="宋体"/>
          <w:sz w:val="24"/>
          <w:szCs w:val="24"/>
        </w:rPr>
        <w:t>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871" w:name="_Toc296891027"/>
      <w:bookmarkStart w:id="872" w:name="_Toc297123548"/>
      <w:bookmarkStart w:id="873" w:name="_Toc296503199"/>
      <w:bookmarkStart w:id="874" w:name="_Toc296346700"/>
      <w:bookmarkStart w:id="875" w:name="_Toc297120499"/>
      <w:bookmarkStart w:id="876" w:name="_Toc312678033"/>
      <w:bookmarkStart w:id="877" w:name="_Toc292559404"/>
      <w:bookmarkStart w:id="878" w:name="_Toc297216207"/>
      <w:bookmarkStart w:id="879" w:name="_Toc296891239"/>
      <w:bookmarkStart w:id="880" w:name="_Toc296347198"/>
      <w:bookmarkStart w:id="881" w:name="_Toc312677507"/>
      <w:bookmarkStart w:id="882" w:name="_Toc297048385"/>
      <w:bookmarkStart w:id="883" w:name="_Toc292559909"/>
      <w:bookmarkStart w:id="884" w:name="_Toc304295574"/>
      <w:bookmarkStart w:id="885" w:name="_Toc296944538"/>
      <w:bookmarkStart w:id="886" w:name="_Toc300934997"/>
      <w:bookmarkStart w:id="887" w:name="_Toc303539154"/>
      <w:r>
        <w:rPr>
          <w:rFonts w:hint="eastAsia" w:ascii="宋体" w:hAnsi="宋体" w:eastAsia="宋体" w:cs="宋体"/>
          <w:color w:val="000000"/>
          <w:sz w:val="24"/>
          <w:szCs w:val="24"/>
        </w:rPr>
        <w:t>0.7 暂估价</w:t>
      </w:r>
    </w:p>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暂</w:t>
      </w:r>
      <w:bookmarkStart w:id="888" w:name="_Toc318581176"/>
      <w:bookmarkStart w:id="889" w:name="_Toc312678034"/>
      <w:bookmarkStart w:id="890" w:name="_Toc312677508"/>
      <w:r>
        <w:rPr>
          <w:rFonts w:hint="eastAsia" w:ascii="宋体" w:hAnsi="宋体" w:eastAsia="宋体" w:cs="宋体"/>
          <w:kern w:val="0"/>
          <w:sz w:val="24"/>
          <w:szCs w:val="24"/>
        </w:rPr>
        <w:t>估价材料和工程设备的明细详见附件11：《</w:t>
      </w:r>
      <w:r>
        <w:rPr>
          <w:rFonts w:hint="eastAsia" w:ascii="宋体" w:hAnsi="宋体" w:eastAsia="宋体" w:cs="宋体"/>
          <w:color w:val="000000"/>
          <w:sz w:val="24"/>
          <w:szCs w:val="24"/>
        </w:rPr>
        <w:t>暂估价一览表》</w:t>
      </w:r>
      <w:r>
        <w:rPr>
          <w:rFonts w:hint="eastAsia" w:ascii="宋体" w:hAnsi="宋体" w:eastAsia="宋体" w:cs="宋体"/>
          <w:kern w:val="0"/>
          <w:sz w:val="24"/>
          <w:szCs w:val="24"/>
        </w:rPr>
        <w:t>。</w:t>
      </w:r>
    </w:p>
    <w:bookmarkEnd w:id="888"/>
    <w:bookmarkEnd w:id="889"/>
    <w:bookmarkEnd w:id="890"/>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bookmarkStart w:id="891" w:name="_Toc318581177"/>
      <w:bookmarkStart w:id="892" w:name="_Toc312677509"/>
      <w:bookmarkStart w:id="893" w:name="_Toc312678035"/>
      <w:r>
        <w:rPr>
          <w:rFonts w:hint="eastAsia" w:ascii="宋体" w:hAnsi="宋体" w:eastAsia="宋体" w:cs="宋体"/>
          <w:sz w:val="24"/>
          <w:szCs w:val="24"/>
        </w:rPr>
        <w:t>0.7.1 依法必须招标的暂估价项目</w:t>
      </w:r>
    </w:p>
    <w:bookmarkEnd w:id="891"/>
    <w:bookmarkEnd w:id="892"/>
    <w:bookmarkEnd w:id="893"/>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种方式确定。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种方式确定。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10.8 暂列金额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rPr>
        <w:t>合同当事人关于暂列金额使用的约定：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color w:val="000000"/>
          <w:kern w:val="0"/>
          <w:sz w:val="24"/>
          <w:szCs w:val="24"/>
        </w:rPr>
        <w:t>。</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894" w:name="_Toc19952"/>
      <w:r>
        <w:rPr>
          <w:rFonts w:hint="eastAsia" w:ascii="宋体" w:hAnsi="宋体" w:eastAsia="宋体" w:cs="宋体"/>
          <w:b w:val="0"/>
          <w:color w:val="000000"/>
          <w:sz w:val="24"/>
          <w:szCs w:val="24"/>
          <w:u w:val="none"/>
        </w:rPr>
        <w:t>11. 价格调整</w:t>
      </w:r>
      <w:bookmarkEnd w:id="894"/>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bookmarkStart w:id="895" w:name="_Toc297048387"/>
      <w:bookmarkStart w:id="896" w:name="_Toc296346702"/>
      <w:bookmarkStart w:id="897" w:name="_Toc296347200"/>
      <w:bookmarkStart w:id="898" w:name="_Toc304295577"/>
      <w:bookmarkStart w:id="899" w:name="_Toc297123550"/>
      <w:bookmarkStart w:id="900" w:name="_Toc292559911"/>
      <w:bookmarkStart w:id="901" w:name="_Toc296944540"/>
      <w:bookmarkStart w:id="902" w:name="_Toc296503201"/>
      <w:bookmarkStart w:id="903" w:name="_Toc297216209"/>
      <w:bookmarkStart w:id="904" w:name="_Toc296891029"/>
      <w:bookmarkStart w:id="905" w:name="_Toc300935000"/>
      <w:bookmarkStart w:id="906" w:name="_Toc292559406"/>
      <w:bookmarkStart w:id="907" w:name="_Toc303539157"/>
      <w:bookmarkStart w:id="908" w:name="_Toc297120501"/>
      <w:bookmarkStart w:id="909" w:name="_Toc312678039"/>
      <w:bookmarkStart w:id="910" w:name="_Toc296891241"/>
      <w:r>
        <w:rPr>
          <w:rFonts w:hint="eastAsia" w:ascii="宋体" w:hAnsi="宋体" w:eastAsia="宋体" w:cs="宋体"/>
          <w:color w:val="000000"/>
          <w:sz w:val="24"/>
          <w:szCs w:val="24"/>
        </w:rPr>
        <w:t>11.1 市场价格波动引起的调整</w:t>
      </w:r>
    </w:p>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因市场价格波动调整合同价格，采用以下</w:t>
      </w:r>
      <w:r>
        <w:rPr>
          <w:rFonts w:hint="eastAsia" w:ascii="宋体" w:hAnsi="宋体" w:eastAsia="宋体" w:cs="宋体"/>
          <w:sz w:val="24"/>
          <w:szCs w:val="24"/>
        </w:rPr>
        <w:t>第</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种方式对合同价格进行调整：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关于各可调因子、定值和变值权重，以及基本价格指数及其来源的约定：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（2）关于基准价格的约定：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%时，或材料单价跌幅以已标价工程量清单或预算书中载明材料单价为基础超过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%时，材料单价涨幅以已标价工程量清单或预算书中载明材料单价为基础超过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pageBreakBefore w:val="0"/>
        <w:widowControl w:val="0"/>
        <w:kinsoku/>
        <w:wordWrap/>
        <w:overflowPunct/>
        <w:topLinePunct w:val="0"/>
        <w:bidi w:val="0"/>
        <w:snapToGrid/>
        <w:spacing w:line="400" w:lineRule="exact"/>
        <w:ind w:firstLine="64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pageBreakBefore w:val="0"/>
        <w:widowControl w:val="0"/>
        <w:kinsoku/>
        <w:wordWrap/>
        <w:overflowPunct/>
        <w:topLinePunct w:val="0"/>
        <w:bidi w:val="0"/>
        <w:snapToGrid/>
        <w:spacing w:line="400" w:lineRule="exact"/>
        <w:ind w:firstLine="645"/>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第3种方式：其他价格调整方式：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798"/>
    <w:bookmarkEnd w:id="799"/>
    <w:bookmarkEnd w:id="800"/>
    <w:bookmarkEnd w:id="801"/>
    <w:bookmarkEnd w:id="802"/>
    <w:bookmarkEnd w:id="803"/>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11" w:name="_Toc296944544"/>
      <w:bookmarkStart w:id="912" w:name="_Toc297048391"/>
      <w:bookmarkStart w:id="913" w:name="_Toc296503205"/>
      <w:bookmarkStart w:id="914" w:name="_Toc296891245"/>
      <w:bookmarkStart w:id="915" w:name="_Toc297120505"/>
      <w:bookmarkStart w:id="916" w:name="_Toc296346706"/>
      <w:bookmarkStart w:id="917" w:name="_Toc292559410"/>
      <w:bookmarkStart w:id="918" w:name="_Toc296347204"/>
      <w:bookmarkStart w:id="919" w:name="_Toc292559915"/>
      <w:bookmarkStart w:id="920" w:name="_Toc296891033"/>
      <w:bookmarkStart w:id="921" w:name="_Toc13287"/>
      <w:bookmarkStart w:id="922" w:name="_Toc297123552"/>
      <w:bookmarkStart w:id="923" w:name="_Toc303539159"/>
      <w:bookmarkStart w:id="924" w:name="_Toc300935002"/>
      <w:bookmarkStart w:id="925" w:name="_Toc297216211"/>
      <w:bookmarkStart w:id="926" w:name="_Toc312678040"/>
      <w:bookmarkStart w:id="927" w:name="_Toc304295579"/>
      <w:r>
        <w:rPr>
          <w:rFonts w:hint="eastAsia" w:ascii="宋体" w:hAnsi="宋体" w:eastAsia="宋体" w:cs="宋体"/>
          <w:b w:val="0"/>
          <w:color w:val="000000"/>
          <w:sz w:val="24"/>
          <w:szCs w:val="24"/>
          <w:u w:val="none"/>
        </w:rPr>
        <w:t xml:space="preserve">12. </w:t>
      </w:r>
      <w:bookmarkEnd w:id="911"/>
      <w:bookmarkEnd w:id="912"/>
      <w:bookmarkEnd w:id="913"/>
      <w:bookmarkEnd w:id="914"/>
      <w:bookmarkEnd w:id="915"/>
      <w:bookmarkEnd w:id="916"/>
      <w:bookmarkEnd w:id="917"/>
      <w:bookmarkEnd w:id="918"/>
      <w:bookmarkEnd w:id="919"/>
      <w:bookmarkEnd w:id="920"/>
      <w:r>
        <w:rPr>
          <w:rFonts w:hint="eastAsia" w:ascii="宋体" w:hAnsi="宋体" w:eastAsia="宋体" w:cs="宋体"/>
          <w:b w:val="0"/>
          <w:color w:val="000000"/>
          <w:sz w:val="24"/>
          <w:szCs w:val="24"/>
          <w:u w:val="none"/>
        </w:rPr>
        <w:t>合同价格、计量与支付</w:t>
      </w:r>
      <w:bookmarkEnd w:id="921"/>
    </w:p>
    <w:bookmarkEnd w:id="922"/>
    <w:bookmarkEnd w:id="923"/>
    <w:bookmarkEnd w:id="924"/>
    <w:bookmarkEnd w:id="925"/>
    <w:bookmarkEnd w:id="926"/>
    <w:bookmarkEnd w:id="927"/>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bookmarkStart w:id="928" w:name="_Toc292559916"/>
      <w:bookmarkStart w:id="929" w:name="_Toc292559411"/>
      <w:bookmarkStart w:id="930" w:name="_Toc267251461"/>
      <w:bookmarkStart w:id="931" w:name="_Toc296891034"/>
      <w:bookmarkStart w:id="932" w:name="_Toc297120506"/>
      <w:bookmarkStart w:id="933" w:name="_Toc296503206"/>
      <w:bookmarkStart w:id="934" w:name="_Toc296346707"/>
      <w:bookmarkStart w:id="935" w:name="_Toc296347205"/>
      <w:bookmarkStart w:id="936" w:name="_Toc297048392"/>
      <w:bookmarkStart w:id="937" w:name="_Toc296891246"/>
      <w:bookmarkStart w:id="938" w:name="_Toc296944545"/>
      <w:bookmarkStart w:id="939" w:name="_Toc303539160"/>
      <w:bookmarkStart w:id="940" w:name="_Toc297123553"/>
      <w:bookmarkStart w:id="941" w:name="_Toc297216212"/>
      <w:bookmarkStart w:id="942" w:name="_Toc304295580"/>
      <w:bookmarkStart w:id="943" w:name="_Toc312678041"/>
      <w:bookmarkStart w:id="944" w:name="_Toc300935003"/>
      <w:r>
        <w:rPr>
          <w:rFonts w:hint="eastAsia" w:ascii="宋体" w:hAnsi="宋体" w:eastAsia="宋体" w:cs="宋体"/>
          <w:color w:val="000000"/>
          <w:sz w:val="24"/>
          <w:szCs w:val="24"/>
        </w:rPr>
        <w:t>12.1 合</w:t>
      </w:r>
      <w:bookmarkEnd w:id="928"/>
      <w:bookmarkEnd w:id="929"/>
      <w:bookmarkEnd w:id="930"/>
      <w:r>
        <w:rPr>
          <w:rFonts w:hint="eastAsia" w:ascii="宋体" w:hAnsi="宋体" w:eastAsia="宋体" w:cs="宋体"/>
          <w:color w:val="000000"/>
          <w:sz w:val="24"/>
          <w:szCs w:val="24"/>
        </w:rPr>
        <w:t>同价</w:t>
      </w:r>
      <w:bookmarkEnd w:id="931"/>
      <w:bookmarkEnd w:id="932"/>
      <w:bookmarkEnd w:id="933"/>
      <w:bookmarkEnd w:id="934"/>
      <w:bookmarkEnd w:id="935"/>
      <w:bookmarkEnd w:id="936"/>
      <w:bookmarkEnd w:id="937"/>
      <w:bookmarkEnd w:id="938"/>
      <w:r>
        <w:rPr>
          <w:rFonts w:hint="eastAsia" w:ascii="宋体" w:hAnsi="宋体" w:eastAsia="宋体" w:cs="宋体"/>
          <w:color w:val="000000"/>
          <w:sz w:val="24"/>
          <w:szCs w:val="24"/>
        </w:rPr>
        <w:t>格形式</w:t>
      </w:r>
    </w:p>
    <w:bookmarkEnd w:id="939"/>
    <w:bookmarkEnd w:id="940"/>
    <w:bookmarkEnd w:id="941"/>
    <w:bookmarkEnd w:id="942"/>
    <w:bookmarkEnd w:id="943"/>
    <w:bookmarkEnd w:id="944"/>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综合单价包含的风险范围：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总价包含的风险范围：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bookmarkStart w:id="945" w:name="_Toc300935004"/>
      <w:bookmarkStart w:id="946" w:name="_Toc304295581"/>
      <w:bookmarkStart w:id="947" w:name="_Toc312678042"/>
      <w:bookmarkStart w:id="948" w:name="_Toc297123554"/>
      <w:bookmarkStart w:id="949" w:name="_Toc303539161"/>
      <w:bookmarkStart w:id="950" w:name="_Toc297216213"/>
      <w:bookmarkStart w:id="951" w:name="_Toc292559917"/>
      <w:bookmarkStart w:id="952" w:name="_Toc296891247"/>
      <w:bookmarkStart w:id="953" w:name="_Toc296347206"/>
      <w:bookmarkStart w:id="954" w:name="_Toc297120507"/>
      <w:bookmarkStart w:id="955" w:name="_Toc292559412"/>
      <w:bookmarkStart w:id="956" w:name="_Toc296503207"/>
      <w:bookmarkStart w:id="957" w:name="_Toc297048393"/>
      <w:bookmarkStart w:id="958" w:name="_Toc296891035"/>
      <w:bookmarkStart w:id="959" w:name="_Toc296346708"/>
      <w:bookmarkStart w:id="960" w:name="_Toc296944546"/>
      <w:r>
        <w:rPr>
          <w:rFonts w:hint="eastAsia" w:ascii="宋体" w:hAnsi="宋体" w:eastAsia="宋体" w:cs="宋体"/>
          <w:color w:val="000000"/>
          <w:sz w:val="24"/>
          <w:szCs w:val="24"/>
        </w:rPr>
        <w:t>12.2 预付款</w:t>
      </w:r>
    </w:p>
    <w:bookmarkEnd w:id="945"/>
    <w:bookmarkEnd w:id="946"/>
    <w:bookmarkEnd w:id="947"/>
    <w:bookmarkEnd w:id="948"/>
    <w:bookmarkEnd w:id="949"/>
    <w:bookmarkEnd w:id="950"/>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12.2.1 预付款的支付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预付款担保的形式为：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951"/>
    <w:bookmarkEnd w:id="952"/>
    <w:bookmarkEnd w:id="953"/>
    <w:bookmarkEnd w:id="954"/>
    <w:bookmarkEnd w:id="955"/>
    <w:bookmarkEnd w:id="956"/>
    <w:bookmarkEnd w:id="957"/>
    <w:bookmarkEnd w:id="958"/>
    <w:bookmarkEnd w:id="959"/>
    <w:bookmarkEnd w:id="960"/>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关于总价合同计量的约定：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w:t>
      </w:r>
      <w:r>
        <w:rPr>
          <w:rFonts w:hint="eastAsia" w:ascii="宋体" w:hAnsi="宋体" w:eastAsia="宋体" w:cs="宋体"/>
          <w:color w:val="000000"/>
          <w:kern w:val="0"/>
          <w:sz w:val="24"/>
          <w:szCs w:val="24"/>
        </w:rPr>
        <w:t xml:space="preserve">12.3.4 </w:t>
      </w: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〔总价合同的计量〕</w:t>
      </w:r>
      <w:r>
        <w:rPr>
          <w:rFonts w:hint="eastAsia" w:ascii="宋体" w:hAnsi="宋体" w:eastAsia="宋体" w:cs="宋体"/>
          <w:color w:val="000000"/>
          <w:sz w:val="24"/>
          <w:szCs w:val="24"/>
        </w:rPr>
        <w:t>约定进行计量：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bookmarkStart w:id="961" w:name="_Toc297048397"/>
      <w:bookmarkStart w:id="962" w:name="_Toc296944550"/>
      <w:bookmarkStart w:id="963" w:name="_Toc303539163"/>
      <w:bookmarkStart w:id="964" w:name="_Toc297123556"/>
      <w:bookmarkStart w:id="965" w:name="_Toc296347210"/>
      <w:bookmarkStart w:id="966" w:name="_Toc296346712"/>
      <w:bookmarkStart w:id="967" w:name="_Toc296891251"/>
      <w:bookmarkStart w:id="968" w:name="_Toc300935006"/>
      <w:bookmarkStart w:id="969" w:name="_Toc296891039"/>
      <w:bookmarkStart w:id="970" w:name="_Toc296503211"/>
      <w:bookmarkStart w:id="971" w:name="_Toc292559416"/>
      <w:bookmarkStart w:id="972" w:name="_Toc292559921"/>
      <w:bookmarkStart w:id="973" w:name="_Toc297216215"/>
      <w:bookmarkStart w:id="974" w:name="_Toc297120511"/>
      <w:r>
        <w:rPr>
          <w:rFonts w:hint="eastAsia" w:ascii="宋体" w:hAnsi="宋体" w:eastAsia="宋体" w:cs="宋体"/>
          <w:color w:val="000000"/>
          <w:sz w:val="24"/>
          <w:szCs w:val="24"/>
        </w:rPr>
        <w:t>12.4.1 付款周期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r>
        <w:rPr>
          <w:rFonts w:hint="eastAsia" w:ascii="宋体" w:hAnsi="宋体" w:eastAsia="宋体" w:cs="宋体"/>
          <w:color w:val="000000"/>
          <w:sz w:val="24"/>
          <w:szCs w:val="24"/>
        </w:rPr>
        <w:t>2.4.3 进度付款申请单的提交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（1）监理人审查并报送发包人的期限：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发包人完成审批并签发进度款支付证书的期限：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（2）发包人支付进度款的期限：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600" w:firstLineChars="25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600" w:firstLineChars="2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4800" w:hanging="4800" w:hangingChars="20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3、单价合同的总价项目支付分解表的编制与审批：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804"/>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75" w:name="_Toc31245"/>
      <w:bookmarkStart w:id="976" w:name="_Toc304295593"/>
      <w:bookmarkStart w:id="977" w:name="_Toc297048405"/>
      <w:bookmarkStart w:id="978" w:name="_Toc303539172"/>
      <w:bookmarkStart w:id="979" w:name="_Toc292559929"/>
      <w:bookmarkStart w:id="980" w:name="_Toc297120519"/>
      <w:bookmarkStart w:id="981" w:name="_Toc297123564"/>
      <w:bookmarkStart w:id="982" w:name="_Toc300935015"/>
      <w:bookmarkStart w:id="983" w:name="_Toc296347218"/>
      <w:bookmarkStart w:id="984" w:name="_Toc296503219"/>
      <w:bookmarkStart w:id="985" w:name="_Toc297216223"/>
      <w:bookmarkStart w:id="986" w:name="_Toc292559424"/>
      <w:bookmarkStart w:id="987" w:name="_Toc296891259"/>
      <w:bookmarkStart w:id="988" w:name="_Toc296944558"/>
      <w:bookmarkStart w:id="989" w:name="_Toc296346720"/>
      <w:bookmarkStart w:id="990" w:name="_Toc312678053"/>
      <w:bookmarkStart w:id="991" w:name="_Toc296891047"/>
      <w:r>
        <w:rPr>
          <w:rFonts w:hint="eastAsia" w:ascii="宋体" w:hAnsi="宋体" w:eastAsia="宋体" w:cs="宋体"/>
          <w:b w:val="0"/>
          <w:color w:val="000000"/>
          <w:sz w:val="24"/>
          <w:szCs w:val="24"/>
          <w:u w:val="none"/>
        </w:rPr>
        <w:t>13. 验收和工程试车</w:t>
      </w:r>
      <w:bookmarkEnd w:id="975"/>
    </w:p>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b/>
          <w:color w:val="000000"/>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bookmarkStart w:id="992" w:name="_Toc296346724"/>
      <w:bookmarkStart w:id="993" w:name="_Toc296944562"/>
      <w:bookmarkStart w:id="994" w:name="_Toc297120523"/>
      <w:bookmarkStart w:id="995" w:name="_Toc304295596"/>
      <w:bookmarkStart w:id="996" w:name="_Toc297048409"/>
      <w:bookmarkStart w:id="997" w:name="_Toc296503223"/>
      <w:bookmarkStart w:id="998" w:name="_Toc296891263"/>
      <w:bookmarkStart w:id="999" w:name="_Toc292559428"/>
      <w:bookmarkStart w:id="1000" w:name="_Toc292559933"/>
      <w:bookmarkStart w:id="1001" w:name="_Toc296891051"/>
      <w:bookmarkStart w:id="1002" w:name="_Toc300935016"/>
      <w:bookmarkStart w:id="1003" w:name="_Toc297123565"/>
      <w:bookmarkStart w:id="1004" w:name="_Toc312678056"/>
      <w:bookmarkStart w:id="1005" w:name="_Toc303539173"/>
      <w:bookmarkStart w:id="1006" w:name="_Toc297216224"/>
      <w:bookmarkStart w:id="1007" w:name="_Toc296347222"/>
      <w:bookmarkStart w:id="1008" w:name="_Toc267251476"/>
      <w:bookmarkStart w:id="1009" w:name="_Toc267251472"/>
      <w:bookmarkStart w:id="1010" w:name="_Toc267251474"/>
      <w:bookmarkStart w:id="1011" w:name="_Toc267251475"/>
      <w:bookmarkStart w:id="1012" w:name="_Toc267251471"/>
      <w:bookmarkStart w:id="1013" w:name="_Toc267251473"/>
      <w:bookmarkStart w:id="1014" w:name="_Toc267251470"/>
      <w:r>
        <w:rPr>
          <w:rFonts w:hint="eastAsia" w:ascii="宋体" w:hAnsi="宋体" w:eastAsia="宋体" w:cs="宋体"/>
          <w:color w:val="000000"/>
          <w:sz w:val="24"/>
          <w:szCs w:val="24"/>
        </w:rPr>
        <w:t>13.2 竣工验收</w:t>
      </w:r>
    </w:p>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bookmarkStart w:id="1015" w:name="_Toc280868704"/>
      <w:bookmarkStart w:id="1016" w:name="_Toc280868705"/>
      <w:bookmarkStart w:id="1017" w:name="_Toc280868706"/>
      <w:bookmarkStart w:id="1018" w:name="_Toc280868707"/>
      <w:bookmarkStart w:id="1019" w:name="_Toc280868708"/>
      <w:bookmarkStart w:id="1020" w:name="_Toc280868709"/>
      <w:r>
        <w:rPr>
          <w:rFonts w:hint="eastAsia" w:ascii="宋体" w:hAnsi="宋体" w:eastAsia="宋体" w:cs="宋体"/>
          <w:color w:val="000000"/>
          <w:sz w:val="24"/>
          <w:szCs w:val="24"/>
        </w:rPr>
        <w:t>13.2.2竣工验收程序</w:t>
      </w:r>
    </w:p>
    <w:bookmarkEnd w:id="1015"/>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关于竣工验收程序的约定：</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4800" w:hanging="4800" w:hangingChars="20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发包人不按照本项约定组织竣工验收、颁发工程接收证书的违约金的计算方法：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016"/>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bookmarkEnd w:id="1017"/>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承包人向发包人移交工程的期限：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kern w:val="0"/>
          <w:sz w:val="24"/>
          <w:szCs w:val="24"/>
        </w:rPr>
        <w:t>发包人未按本合同约定接收全部或部分工程的，违约金的计算方法为：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bookmarkEnd w:id="1018"/>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13.3 工程试车</w:t>
      </w:r>
    </w:p>
    <w:bookmarkEnd w:id="1019"/>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13.6 竣工退场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承包人完成竣工退场的期限：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021" w:name="_Toc27177"/>
      <w:r>
        <w:rPr>
          <w:rFonts w:hint="eastAsia" w:ascii="宋体" w:hAnsi="宋体" w:eastAsia="宋体" w:cs="宋体"/>
          <w:b w:val="0"/>
          <w:color w:val="000000"/>
          <w:sz w:val="24"/>
          <w:szCs w:val="24"/>
          <w:u w:val="none"/>
        </w:rPr>
        <w:t>14. 竣工结算</w:t>
      </w:r>
      <w:bookmarkEnd w:id="1021"/>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14.1 竣工结算申请</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承包人提交竣工结算申请单的期限：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14.2 竣工结算审核</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发包人审批竣工付款申请单的期限：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发包人完成竣工付款的期限：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14.4 最终结清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 xml:space="preserve">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14.4.2 最终结清证书和支付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008"/>
    <w:bookmarkEnd w:id="1009"/>
    <w:bookmarkEnd w:id="1010"/>
    <w:bookmarkEnd w:id="1011"/>
    <w:bookmarkEnd w:id="1012"/>
    <w:bookmarkEnd w:id="1013"/>
    <w:bookmarkEnd w:id="1014"/>
    <w:bookmarkEnd w:id="1020"/>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022" w:name="_Toc4632"/>
      <w:bookmarkStart w:id="1023" w:name="_Toc267251483"/>
      <w:bookmarkStart w:id="1024" w:name="_Toc267251484"/>
      <w:bookmarkStart w:id="1025" w:name="_Toc267251482"/>
      <w:bookmarkStart w:id="1026" w:name="_Toc267251485"/>
      <w:bookmarkStart w:id="1027" w:name="_Toc267251490"/>
      <w:bookmarkStart w:id="1028" w:name="_Toc267251488"/>
      <w:bookmarkStart w:id="1029" w:name="_Toc267251486"/>
      <w:bookmarkStart w:id="1030" w:name="_Toc267251489"/>
      <w:bookmarkStart w:id="1031" w:name="_Toc267251501"/>
      <w:bookmarkStart w:id="1032" w:name="_Toc267251497"/>
      <w:bookmarkStart w:id="1033" w:name="_Toc267251502"/>
      <w:bookmarkStart w:id="1034" w:name="_Toc267251493"/>
      <w:bookmarkStart w:id="1035" w:name="_Toc267251496"/>
      <w:bookmarkStart w:id="1036" w:name="_Toc267251498"/>
      <w:bookmarkStart w:id="1037" w:name="_Toc267251491"/>
      <w:bookmarkStart w:id="1038" w:name="_Toc267251499"/>
      <w:bookmarkStart w:id="1039" w:name="_Toc267251503"/>
      <w:bookmarkStart w:id="1040" w:name="_Toc267251494"/>
      <w:bookmarkStart w:id="1041" w:name="_Toc267251492"/>
      <w:bookmarkStart w:id="1042" w:name="_Toc267251495"/>
      <w:bookmarkStart w:id="1043" w:name="_Toc267251504"/>
      <w:bookmarkStart w:id="1044" w:name="_Toc267251506"/>
      <w:bookmarkStart w:id="1045" w:name="_Toc267251507"/>
      <w:bookmarkStart w:id="1046" w:name="_Toc267251508"/>
      <w:bookmarkStart w:id="1047" w:name="_Toc267251511"/>
      <w:bookmarkStart w:id="1048" w:name="_Toc267251510"/>
      <w:bookmarkStart w:id="1049" w:name="_Toc267251514"/>
      <w:bookmarkStart w:id="1050" w:name="_Toc267251513"/>
      <w:bookmarkStart w:id="1051" w:name="_Toc267251509"/>
      <w:bookmarkStart w:id="1052" w:name="_Toc267251515"/>
      <w:r>
        <w:rPr>
          <w:rFonts w:hint="eastAsia" w:ascii="宋体" w:hAnsi="宋体" w:eastAsia="宋体" w:cs="宋体"/>
          <w:b w:val="0"/>
          <w:color w:val="000000"/>
          <w:sz w:val="24"/>
          <w:szCs w:val="24"/>
          <w:u w:val="none"/>
        </w:rPr>
        <w:t>15. 缺陷责任期与保修</w:t>
      </w:r>
      <w:bookmarkEnd w:id="1022"/>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15.2缺陷责任期</w:t>
      </w:r>
      <w:bookmarkEnd w:id="1023"/>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缺陷责任期的具体期限：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15.3 质量保证金</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质量保证金采用以下第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（1）质量保证金保函，保证金额为：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%的工程款；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关于质量保证金的补充约定：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1024"/>
    <w:bookmarkEnd w:id="1025"/>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15.4保修</w:t>
      </w:r>
    </w:p>
    <w:bookmarkEnd w:id="1026"/>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工程保修期为：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承包人收到保修通知并到达工程现场的合理时间：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1027"/>
    <w:bookmarkEnd w:id="1028"/>
    <w:bookmarkEnd w:id="1029"/>
    <w:bookmarkEnd w:id="1030"/>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053" w:name="_Toc12724"/>
      <w:bookmarkStart w:id="1054" w:name="_Toc280868717"/>
      <w:bookmarkStart w:id="1055" w:name="_Toc280868718"/>
      <w:r>
        <w:rPr>
          <w:rFonts w:hint="eastAsia" w:ascii="宋体" w:hAnsi="宋体" w:eastAsia="宋体" w:cs="宋体"/>
          <w:b w:val="0"/>
          <w:color w:val="000000"/>
          <w:sz w:val="24"/>
          <w:szCs w:val="24"/>
          <w:u w:val="none"/>
        </w:rPr>
        <w:t>16. 违约</w:t>
      </w:r>
      <w:bookmarkEnd w:id="1053"/>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 发包人违约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发包人违约的其他情形：</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ind w:left="1200" w:hanging="1200" w:hangingChars="5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left="1200" w:hanging="1200" w:hangingChars="5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16.1.2 发包人违约的责任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发包人违约责任的承担方式和计算方法：</w:t>
      </w:r>
    </w:p>
    <w:p>
      <w:pPr>
        <w:pageBreakBefore w:val="0"/>
        <w:widowControl w:val="0"/>
        <w:numPr>
          <w:ilvl w:val="0"/>
          <w:numId w:val="12"/>
        </w:numPr>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因发包人原因未能在计划开工日期前7天内下达开工通知的违约责任：</w:t>
      </w:r>
      <w:r>
        <w:rPr>
          <w:rFonts w:hint="eastAsia" w:ascii="宋体" w:hAnsi="宋体" w:eastAsia="宋体" w:cs="宋体"/>
          <w:color w:val="000000"/>
          <w:kern w:val="0"/>
          <w:sz w:val="24"/>
          <w:szCs w:val="24"/>
          <w:u w:val="single"/>
        </w:rPr>
        <w:t xml:space="preserve">     </w:t>
      </w:r>
    </w:p>
    <w:p>
      <w:pPr>
        <w:pageBreakBefore w:val="0"/>
        <w:widowControl w:val="0"/>
        <w:numPr>
          <w:ilvl w:val="0"/>
          <w:numId w:val="0"/>
        </w:numPr>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numPr>
          <w:ilvl w:val="0"/>
          <w:numId w:val="12"/>
        </w:numPr>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因发包人原因未能按合同约定支付合同价款的违约责任：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numPr>
          <w:ilvl w:val="0"/>
          <w:numId w:val="0"/>
        </w:numPr>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（3）发包人违反第10.1款〔变更的范围〕第（2）项约定，自行实施被取消的工作或转由他人实施的违约责任：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numPr>
          <w:ilvl w:val="0"/>
          <w:numId w:val="12"/>
        </w:numPr>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numPr>
          <w:ilvl w:val="0"/>
          <w:numId w:val="0"/>
        </w:numPr>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（5）因发包人违反合同约定造成暂停施工的违约责任：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（7）其他：</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承包人按16.1.1项〔发包人违约的情形〕约定暂停施工满</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天后发包人仍不纠正其违约行为并致使合同目的不能实现的，承包人有权解除合同。</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16.2 承包人违约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承包人违约的其他情形：</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16.2.2承包人违约的责任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承包人违约责任的承担方式和计算方法：</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ind w:left="1200" w:hanging="1200" w:hangingChars="5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pageBreakBefore w:val="0"/>
        <w:widowControl w:val="0"/>
        <w:kinsoku/>
        <w:wordWrap/>
        <w:overflowPunct/>
        <w:topLinePunct w:val="0"/>
        <w:bidi w:val="0"/>
        <w:snapToGrid/>
        <w:spacing w:before="120" w:after="120" w:line="400" w:lineRule="exact"/>
        <w:ind w:firstLine="480" w:firstLineChars="200"/>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关于承包人违约解除合同的特别约定：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before="120" w:after="120" w:line="4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before="120" w:after="120"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056" w:name="_Toc19478"/>
      <w:r>
        <w:rPr>
          <w:rFonts w:hint="eastAsia" w:ascii="宋体" w:hAnsi="宋体" w:eastAsia="宋体" w:cs="宋体"/>
          <w:b w:val="0"/>
          <w:color w:val="000000"/>
          <w:sz w:val="24"/>
          <w:szCs w:val="24"/>
          <w:u w:val="none"/>
        </w:rPr>
        <w:t>17. 不可抗力</w:t>
      </w:r>
      <w:bookmarkEnd w:id="1056"/>
      <w:r>
        <w:rPr>
          <w:rFonts w:hint="eastAsia" w:ascii="宋体" w:hAnsi="宋体" w:eastAsia="宋体" w:cs="宋体"/>
          <w:b w:val="0"/>
          <w:color w:val="000000"/>
          <w:sz w:val="24"/>
          <w:szCs w:val="24"/>
          <w:u w:val="none"/>
        </w:rPr>
        <w:t xml:space="preserve"> </w:t>
      </w:r>
      <w:bookmarkEnd w:id="1054"/>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17.1 不可抗力的确认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除通用合同条款约定的不可抗力事件之外，视为不可抗力的其他情形：</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before="120" w:after="120" w:line="4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天内完成款项的支付。</w:t>
      </w:r>
    </w:p>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057" w:name="_Toc4866"/>
      <w:r>
        <w:rPr>
          <w:rFonts w:hint="eastAsia" w:ascii="宋体" w:hAnsi="宋体" w:eastAsia="宋体" w:cs="宋体"/>
          <w:b w:val="0"/>
          <w:color w:val="000000"/>
          <w:sz w:val="24"/>
          <w:szCs w:val="24"/>
          <w:u w:val="none"/>
        </w:rPr>
        <w:t>18. 保险</w:t>
      </w:r>
      <w:bookmarkEnd w:id="1057"/>
    </w:p>
    <w:bookmarkEnd w:id="1055"/>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18.1 工程保险</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关于工程保险的特别约定：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18.3 其他保险</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18.7 通知义务</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031"/>
    <w:bookmarkEnd w:id="1032"/>
    <w:bookmarkEnd w:id="1033"/>
    <w:bookmarkEnd w:id="1034"/>
    <w:bookmarkEnd w:id="1035"/>
    <w:bookmarkEnd w:id="1036"/>
    <w:bookmarkEnd w:id="1037"/>
    <w:bookmarkEnd w:id="1038"/>
    <w:bookmarkEnd w:id="1039"/>
    <w:bookmarkEnd w:id="1040"/>
    <w:bookmarkEnd w:id="1041"/>
    <w:bookmarkEnd w:id="1042"/>
    <w:p>
      <w:pPr>
        <w:pStyle w:val="10"/>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058" w:name="_Toc14072"/>
      <w:r>
        <w:rPr>
          <w:rFonts w:hint="eastAsia" w:ascii="宋体" w:hAnsi="宋体" w:eastAsia="宋体" w:cs="宋体"/>
          <w:b w:val="0"/>
          <w:color w:val="000000"/>
          <w:sz w:val="24"/>
          <w:szCs w:val="24"/>
          <w:u w:val="none"/>
        </w:rPr>
        <w:t>20. 争议解决</w:t>
      </w:r>
      <w:bookmarkEnd w:id="1058"/>
    </w:p>
    <w:bookmarkEnd w:id="1043"/>
    <w:bookmarkEnd w:id="1044"/>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20.3 争</w:t>
      </w:r>
      <w:bookmarkEnd w:id="1045"/>
      <w:r>
        <w:rPr>
          <w:rFonts w:hint="eastAsia" w:ascii="宋体" w:hAnsi="宋体" w:eastAsia="宋体" w:cs="宋体"/>
          <w:color w:val="000000"/>
          <w:sz w:val="24"/>
          <w:szCs w:val="24"/>
        </w:rPr>
        <w:t>议评审</w:t>
      </w:r>
    </w:p>
    <w:p>
      <w:pPr>
        <w:pageBreakBefore w:val="0"/>
        <w:widowControl w:val="0"/>
        <w:kinsoku/>
        <w:wordWrap/>
        <w:overflowPunct/>
        <w:topLinePunct w:val="0"/>
        <w:bidi w:val="0"/>
        <w:snapToGrid/>
        <w:spacing w:line="400" w:lineRule="exact"/>
        <w:ind w:left="149" w:leftChars="71" w:firstLine="360" w:firstLineChars="15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选定争议评审员的期限：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其他事项的约定：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20.3.2 争议评审小组的决定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合同当事人关于本项的约定：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20.4仲裁或诉讼</w:t>
      </w:r>
      <w:bookmarkEnd w:id="1046"/>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人民法院起诉。</w:t>
      </w:r>
      <w:bookmarkEnd w:id="1047"/>
      <w:bookmarkEnd w:id="1048"/>
      <w:bookmarkEnd w:id="1049"/>
      <w:bookmarkEnd w:id="1050"/>
      <w:bookmarkEnd w:id="1051"/>
      <w:bookmarkEnd w:id="1052"/>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附件</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协议书附件：</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专用合同条款附件：</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附件8：履约担保格式</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附件9：预付款担保格式</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附件10：支付担保格式</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sectPr>
          <w:footerReference r:id="rId10" w:type="first"/>
          <w:pgSz w:w="11906" w:h="16838"/>
          <w:pgMar w:top="1134" w:right="1418" w:bottom="1134" w:left="1418" w:header="851" w:footer="992" w:gutter="0"/>
          <w:cols w:space="720" w:num="1"/>
          <w:titlePg/>
          <w:docGrid w:type="lines" w:linePitch="312" w:charSpace="0"/>
        </w:sectPr>
      </w:pPr>
      <w:r>
        <w:rPr>
          <w:rFonts w:hint="eastAsia" w:ascii="宋体" w:hAnsi="宋体" w:eastAsia="宋体" w:cs="宋体"/>
          <w:color w:val="000000"/>
          <w:sz w:val="24"/>
          <w:szCs w:val="24"/>
        </w:rPr>
        <w:t>附件11：暂估价一览表</w:t>
      </w:r>
    </w:p>
    <w:p>
      <w:pPr>
        <w:pageBreakBefore w:val="0"/>
        <w:widowControl w:val="0"/>
        <w:kinsoku/>
        <w:wordWrap/>
        <w:overflowPunct/>
        <w:topLinePunct w:val="0"/>
        <w:bidi w:val="0"/>
        <w:snapToGrid/>
        <w:spacing w:before="156" w:beforeLines="50" w:after="156" w:afterLines="50"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附件1：</w:t>
      </w:r>
    </w:p>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承包人承揽工程项目一览表</w:t>
      </w:r>
    </w:p>
    <w:tbl>
      <w:tblPr>
        <w:tblStyle w:val="34"/>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单位工程名称</w:t>
            </w:r>
          </w:p>
        </w:tc>
        <w:tc>
          <w:tcPr>
            <w:tcW w:w="1843"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建设规模</w:t>
            </w:r>
          </w:p>
        </w:tc>
        <w:tc>
          <w:tcPr>
            <w:tcW w:w="1417"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建筑面积(平方米)</w:t>
            </w:r>
          </w:p>
        </w:tc>
        <w:tc>
          <w:tcPr>
            <w:tcW w:w="2410"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结构形式</w:t>
            </w:r>
          </w:p>
        </w:tc>
        <w:tc>
          <w:tcPr>
            <w:tcW w:w="850"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层数</w:t>
            </w:r>
          </w:p>
        </w:tc>
        <w:tc>
          <w:tcPr>
            <w:tcW w:w="1560"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生产能力</w:t>
            </w:r>
          </w:p>
        </w:tc>
        <w:tc>
          <w:tcPr>
            <w:tcW w:w="2126"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设备安装内容</w:t>
            </w:r>
          </w:p>
        </w:tc>
        <w:tc>
          <w:tcPr>
            <w:tcW w:w="1417"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合同价格（元）</w:t>
            </w:r>
          </w:p>
        </w:tc>
        <w:tc>
          <w:tcPr>
            <w:tcW w:w="851"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开工日期</w:t>
            </w:r>
          </w:p>
        </w:tc>
        <w:tc>
          <w:tcPr>
            <w:tcW w:w="850"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rPr>
        <w:sectPr>
          <w:pgSz w:w="16838" w:h="11906" w:orient="landscape"/>
          <w:pgMar w:top="1554" w:right="1418" w:bottom="1531" w:left="1418" w:header="851" w:footer="992" w:gutter="0"/>
          <w:cols w:space="720" w:num="1"/>
          <w:docGrid w:type="linesAndChars" w:linePitch="312" w:charSpace="0"/>
        </w:sect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059" w:name="_Toc296944564"/>
      <w:bookmarkStart w:id="1060" w:name="_Toc296346726"/>
      <w:bookmarkStart w:id="1061" w:name="_Toc296347224"/>
      <w:bookmarkStart w:id="1062" w:name="_Toc296891265"/>
      <w:bookmarkStart w:id="1063" w:name="_Toc267261692"/>
      <w:bookmarkStart w:id="1064" w:name="_Toc296891053"/>
      <w:bookmarkStart w:id="1065" w:name="_Toc296503225"/>
      <w:r>
        <w:rPr>
          <w:rFonts w:hint="eastAsia" w:ascii="宋体" w:hAnsi="宋体" w:eastAsia="宋体" w:cs="宋体"/>
          <w:color w:val="000000"/>
          <w:sz w:val="24"/>
          <w:szCs w:val="24"/>
        </w:rPr>
        <w:t>件2：</w:t>
      </w:r>
    </w:p>
    <w:bookmarkEnd w:id="1059"/>
    <w:bookmarkEnd w:id="1060"/>
    <w:bookmarkEnd w:id="1061"/>
    <w:bookmarkEnd w:id="1062"/>
    <w:bookmarkEnd w:id="1063"/>
    <w:bookmarkEnd w:id="1064"/>
    <w:bookmarkEnd w:id="1065"/>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发包人供应材料设备一览表</w:t>
      </w:r>
    </w:p>
    <w:tbl>
      <w:tblPr>
        <w:tblStyle w:val="34"/>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21"/>
        <w:gridCol w:w="1087"/>
        <w:gridCol w:w="1208"/>
        <w:gridCol w:w="801"/>
        <w:gridCol w:w="724"/>
        <w:gridCol w:w="902"/>
        <w:gridCol w:w="844"/>
        <w:gridCol w:w="724"/>
        <w:gridCol w:w="1266"/>
        <w:gridCol w:w="8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6"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596"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材料、</w:t>
            </w:r>
          </w:p>
          <w:p>
            <w:pPr>
              <w:pStyle w:val="5"/>
              <w:keepNext/>
              <w:pageBreakBefore w:val="0"/>
              <w:widowControl w:val="0"/>
              <w:kinsoku/>
              <w:wordWrap/>
              <w:overflowPunct/>
              <w:topLinePunct w:val="0"/>
              <w:bidi w:val="0"/>
              <w:snapToGrid/>
              <w:spacing w:line="400" w:lineRule="exact"/>
              <w:ind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设备品种</w:t>
            </w:r>
          </w:p>
        </w:tc>
        <w:tc>
          <w:tcPr>
            <w:tcW w:w="662"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439"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397"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488"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463"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质量等级</w:t>
            </w:r>
          </w:p>
        </w:tc>
        <w:tc>
          <w:tcPr>
            <w:tcW w:w="397"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供应时间</w:t>
            </w:r>
          </w:p>
        </w:tc>
        <w:tc>
          <w:tcPr>
            <w:tcW w:w="694"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送达地点</w:t>
            </w:r>
          </w:p>
        </w:tc>
        <w:tc>
          <w:tcPr>
            <w:tcW w:w="463"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066" w:name="_Toc296891054"/>
      <w:bookmarkStart w:id="1067" w:name="_Toc296503226"/>
      <w:bookmarkStart w:id="1068" w:name="_Toc296347225"/>
      <w:bookmarkStart w:id="1069" w:name="_Toc296891266"/>
      <w:bookmarkStart w:id="1070" w:name="_Toc296346727"/>
      <w:bookmarkStart w:id="1071" w:name="_Toc267261693"/>
      <w:bookmarkStart w:id="1072" w:name="_Toc296944565"/>
      <w:r>
        <w:rPr>
          <w:rFonts w:hint="eastAsia" w:ascii="宋体" w:hAnsi="宋体" w:eastAsia="宋体" w:cs="宋体"/>
          <w:color w:val="000000"/>
          <w:sz w:val="24"/>
          <w:szCs w:val="24"/>
        </w:rPr>
        <w:t>件3：</w:t>
      </w:r>
      <w:bookmarkEnd w:id="1066"/>
      <w:bookmarkEnd w:id="1067"/>
      <w:bookmarkEnd w:id="1068"/>
      <w:bookmarkEnd w:id="1069"/>
      <w:bookmarkEnd w:id="1070"/>
      <w:bookmarkEnd w:id="1071"/>
      <w:bookmarkEnd w:id="1072"/>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发包人和承包人根据《中华人民共和国建筑法》和《建设工程质量管理条例》，经协商一致就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（工程全称）签订工程质量保修书。</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一、工程质量保修范围和内容</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承包人在质量保修期内，按照有关法律规定和合同约定，承担工程质量保修责任。</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二、质量保修期</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地基基础工程和主体结构工程为设计文件规定的工程合理使用年限；</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屋面防水工程、有防水要求的卫生间、房间和外墙面的防渗为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装修工程为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电气管线、给排水管道、设备安装工程为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sz w:val="24"/>
          <w:szCs w:val="24"/>
        </w:rPr>
        <w:t>．</w:t>
      </w:r>
      <w:r>
        <w:rPr>
          <w:rFonts w:hint="eastAsia" w:ascii="宋体" w:hAnsi="宋体" w:eastAsia="宋体" w:cs="宋体"/>
          <w:color w:val="000000"/>
          <w:sz w:val="24"/>
          <w:szCs w:val="24"/>
        </w:rPr>
        <w:t>供热与供冷系统为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个采暖期、供冷期；</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w:t>
      </w:r>
      <w:r>
        <w:rPr>
          <w:rFonts w:hint="eastAsia" w:ascii="宋体" w:hAnsi="宋体" w:eastAsia="宋体" w:cs="宋体"/>
          <w:color w:val="000000"/>
          <w:sz w:val="24"/>
          <w:szCs w:val="24"/>
        </w:rPr>
        <w:t>住宅小区内的给排水设施、道路等配套工程为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sz w:val="24"/>
          <w:szCs w:val="24"/>
        </w:rPr>
        <w:t>．</w:t>
      </w:r>
      <w:r>
        <w:rPr>
          <w:rFonts w:hint="eastAsia" w:ascii="宋体" w:hAnsi="宋体" w:eastAsia="宋体" w:cs="宋体"/>
          <w:color w:val="000000"/>
          <w:sz w:val="24"/>
          <w:szCs w:val="24"/>
        </w:rPr>
        <w:t>其他项目保修期限约定如下：</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质量保修期自工程竣工验收合格之日起计算。</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三、缺陷责任期</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工程缺陷责任期为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个月，缺陷责任期自工程通过竣工验收之日起计算。单位工程先于全部工程进行验收，单位工程缺陷责任期自单位工程验收合格之日起算。</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四、质量保修责任</w:t>
      </w:r>
    </w:p>
    <w:p>
      <w:pPr>
        <w:pageBreakBefore w:val="0"/>
        <w:widowControl w:val="0"/>
        <w:kinsoku/>
        <w:wordWrap/>
        <w:overflowPunct/>
        <w:topLinePunct w:val="0"/>
        <w:bidi w:val="0"/>
        <w:snapToGrid/>
        <w:spacing w:line="400" w:lineRule="exact"/>
        <w:ind w:left="105" w:leftChars="50" w:firstLine="491" w:firstLineChars="20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w:t>
      </w:r>
      <w:r>
        <w:rPr>
          <w:rFonts w:hint="eastAsia" w:ascii="宋体" w:hAnsi="宋体" w:eastAsia="宋体" w:cs="宋体"/>
          <w:color w:val="000000"/>
          <w:sz w:val="24"/>
          <w:szCs w:val="24"/>
        </w:rPr>
        <w:t>属于保修范围、内容的项目，承包人应当在接到保修通知之日起7天内派人保修。承包人不在约定期限内派人保修的，发包人可以委托他人修理。</w:t>
      </w:r>
    </w:p>
    <w:p>
      <w:pPr>
        <w:pageBreakBefore w:val="0"/>
        <w:widowControl w:val="0"/>
        <w:kinsoku/>
        <w:wordWrap/>
        <w:overflowPunct/>
        <w:topLinePunct w:val="0"/>
        <w:bidi w:val="0"/>
        <w:snapToGrid/>
        <w:spacing w:line="400" w:lineRule="exact"/>
        <w:ind w:left="105" w:leftChars="50" w:firstLine="491" w:firstLineChars="20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发生紧急事故需抢修的，承包人在接到事故通知后，应当立即到达事故现场抢修。</w:t>
      </w:r>
    </w:p>
    <w:p>
      <w:pPr>
        <w:pageBreakBefore w:val="0"/>
        <w:widowControl w:val="0"/>
        <w:kinsoku/>
        <w:wordWrap/>
        <w:overflowPunct/>
        <w:topLinePunct w:val="0"/>
        <w:bidi w:val="0"/>
        <w:snapToGrid/>
        <w:spacing w:line="400" w:lineRule="exact"/>
        <w:ind w:left="105" w:leftChars="50" w:firstLine="491" w:firstLineChars="20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ageBreakBefore w:val="0"/>
        <w:widowControl w:val="0"/>
        <w:kinsoku/>
        <w:wordWrap/>
        <w:overflowPunct/>
        <w:topLinePunct w:val="0"/>
        <w:bidi w:val="0"/>
        <w:snapToGrid/>
        <w:spacing w:line="400" w:lineRule="exact"/>
        <w:ind w:left="105" w:leftChars="50" w:firstLine="491" w:firstLineChars="20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五、保修费用</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保修费用由造成质量缺陷的责任方承担。</w:t>
      </w:r>
    </w:p>
    <w:p>
      <w:pPr>
        <w:pageBreakBefore w:val="0"/>
        <w:widowControl w:val="0"/>
        <w:kinsoku/>
        <w:wordWrap/>
        <w:overflowPunct/>
        <w:topLinePunct w:val="0"/>
        <w:bidi w:val="0"/>
        <w:snapToGrid/>
        <w:spacing w:line="400" w:lineRule="exact"/>
        <w:ind w:firstLine="600"/>
        <w:jc w:val="left"/>
        <w:textAlignment w:val="auto"/>
        <w:rPr>
          <w:rFonts w:hint="eastAsia"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56" w:firstLineChars="19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pageBreakBefore w:val="0"/>
        <w:widowControl w:val="0"/>
        <w:kinsoku/>
        <w:wordWrap/>
        <w:overflowPunct/>
        <w:topLinePunct w:val="0"/>
        <w:bidi w:val="0"/>
        <w:snapToGrid/>
        <w:spacing w:line="400" w:lineRule="exact"/>
        <w:ind w:firstLine="420"/>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承包人(公章)：</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附件4：</w:t>
      </w:r>
    </w:p>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主要建设工程文件目录</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文件名称</w:t>
            </w:r>
          </w:p>
        </w:tc>
        <w:tc>
          <w:tcPr>
            <w:tcW w:w="1276"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套数</w:t>
            </w:r>
          </w:p>
        </w:tc>
        <w:tc>
          <w:tcPr>
            <w:tcW w:w="1450"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费用（元）</w:t>
            </w:r>
          </w:p>
        </w:tc>
        <w:tc>
          <w:tcPr>
            <w:tcW w:w="1243" w:type="dxa"/>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w:t>
            </w:r>
          </w:p>
        </w:tc>
        <w:tc>
          <w:tcPr>
            <w:tcW w:w="1450" w:type="dxa"/>
            <w:tcBorders>
              <w:top w:val="single" w:color="auto" w:sz="12" w:space="0"/>
              <w:bottom w:val="double" w:color="auto" w:sz="6" w:space="0"/>
            </w:tcBorders>
            <w:noWrap w:val="0"/>
            <w:vAlign w:val="top"/>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noWrap w:val="0"/>
            <w:vAlign w:val="top"/>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073" w:name="_Toc267261698"/>
      <w:bookmarkStart w:id="1074" w:name="_Toc296503227"/>
      <w:bookmarkStart w:id="1075" w:name="_Toc296347226"/>
      <w:bookmarkStart w:id="1076" w:name="_Toc296891055"/>
      <w:bookmarkStart w:id="1077" w:name="_Toc296346728"/>
      <w:bookmarkStart w:id="1078" w:name="_Toc296944566"/>
      <w:bookmarkStart w:id="1079" w:name="_Toc296891267"/>
      <w:r>
        <w:rPr>
          <w:rFonts w:hint="eastAsia" w:ascii="宋体" w:hAnsi="宋体" w:eastAsia="宋体" w:cs="宋体"/>
          <w:color w:val="000000"/>
          <w:sz w:val="24"/>
          <w:szCs w:val="24"/>
        </w:rPr>
        <w:t>件5：</w:t>
      </w:r>
    </w:p>
    <w:bookmarkEnd w:id="1073"/>
    <w:bookmarkEnd w:id="1074"/>
    <w:bookmarkEnd w:id="1075"/>
    <w:bookmarkEnd w:id="1076"/>
    <w:bookmarkEnd w:id="1077"/>
    <w:bookmarkEnd w:id="1078"/>
    <w:bookmarkEnd w:id="1079"/>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承包人用于本工程施工的机械设备表</w:t>
      </w:r>
    </w:p>
    <w:tbl>
      <w:tblPr>
        <w:tblStyle w:val="34"/>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81"/>
        <w:gridCol w:w="1318"/>
        <w:gridCol w:w="791"/>
        <w:gridCol w:w="984"/>
        <w:gridCol w:w="818"/>
        <w:gridCol w:w="948"/>
        <w:gridCol w:w="1377"/>
        <w:gridCol w:w="948"/>
        <w:gridCol w:w="8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722"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机械或设备名称</w:t>
            </w:r>
          </w:p>
        </w:tc>
        <w:tc>
          <w:tcPr>
            <w:tcW w:w="433"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539"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448"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c>
          <w:tcPr>
            <w:tcW w:w="519"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制造年份</w:t>
            </w:r>
          </w:p>
        </w:tc>
        <w:tc>
          <w:tcPr>
            <w:tcW w:w="754"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额定功率(kW)</w:t>
            </w:r>
          </w:p>
        </w:tc>
        <w:tc>
          <w:tcPr>
            <w:tcW w:w="519"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生产能力</w:t>
            </w:r>
          </w:p>
        </w:tc>
        <w:tc>
          <w:tcPr>
            <w:tcW w:w="469"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080" w:name="_Toc296503228"/>
      <w:bookmarkStart w:id="1081" w:name="_Toc296347227"/>
      <w:bookmarkStart w:id="1082" w:name="_Toc296346729"/>
      <w:bookmarkStart w:id="1083" w:name="_Toc267261699"/>
      <w:bookmarkStart w:id="1084" w:name="_Toc296891268"/>
      <w:bookmarkStart w:id="1085" w:name="_Toc296891056"/>
      <w:bookmarkStart w:id="1086" w:name="_Toc296944567"/>
      <w:r>
        <w:rPr>
          <w:rFonts w:hint="eastAsia" w:ascii="宋体" w:hAnsi="宋体" w:eastAsia="宋体" w:cs="宋体"/>
          <w:color w:val="000000"/>
          <w:sz w:val="24"/>
          <w:szCs w:val="24"/>
        </w:rPr>
        <w:t>件6：</w:t>
      </w:r>
    </w:p>
    <w:bookmarkEnd w:id="1080"/>
    <w:bookmarkEnd w:id="1081"/>
    <w:bookmarkEnd w:id="1082"/>
    <w:bookmarkEnd w:id="1083"/>
    <w:bookmarkEnd w:id="1084"/>
    <w:bookmarkEnd w:id="1085"/>
    <w:bookmarkEnd w:id="1086"/>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承包人主要施工管理人员表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38"/>
        <w:gridCol w:w="1318"/>
        <w:gridCol w:w="1055"/>
        <w:gridCol w:w="1055"/>
        <w:gridCol w:w="3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w:t>
            </w:r>
          </w:p>
        </w:tc>
        <w:tc>
          <w:tcPr>
            <w:tcW w:w="722"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578"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578"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2167"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项目主管</w:t>
            </w:r>
          </w:p>
        </w:tc>
        <w:tc>
          <w:tcPr>
            <w:tcW w:w="722"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项目经理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项目副经理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造价管理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质量管理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材料管理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计划管理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restart"/>
            <w:tcBorders>
              <w:top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tcBorders>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tcBorders>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tcBorders>
              <w:bottom w:val="single" w:color="auto" w:sz="12"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tcBorders>
              <w:bottom w:val="single" w:color="auto" w:sz="12"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single" w:color="auto" w:sz="12"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single" w:color="auto" w:sz="12"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tcBorders>
              <w:bottom w:val="single" w:color="auto" w:sz="12"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1087" w:name="_Toc296503229"/>
      <w:bookmarkStart w:id="1088" w:name="_Toc296347228"/>
      <w:bookmarkStart w:id="1089" w:name="_Toc296891269"/>
      <w:bookmarkStart w:id="1090" w:name="_Toc296891057"/>
      <w:bookmarkStart w:id="1091" w:name="_Toc296346730"/>
      <w:bookmarkStart w:id="1092" w:name="_Toc296944568"/>
      <w:r>
        <w:rPr>
          <w:rFonts w:hint="eastAsia" w:ascii="宋体" w:hAnsi="宋体" w:eastAsia="宋体" w:cs="宋体"/>
          <w:color w:val="000000"/>
          <w:sz w:val="24"/>
          <w:szCs w:val="24"/>
        </w:rPr>
        <w:t>件7：</w:t>
      </w:r>
    </w:p>
    <w:bookmarkEnd w:id="1087"/>
    <w:bookmarkEnd w:id="1088"/>
    <w:bookmarkEnd w:id="1089"/>
    <w:bookmarkEnd w:id="1090"/>
    <w:bookmarkEnd w:id="1091"/>
    <w:bookmarkEnd w:id="1092"/>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分包人主要施工管理人员表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38"/>
        <w:gridCol w:w="1318"/>
        <w:gridCol w:w="1055"/>
        <w:gridCol w:w="1055"/>
        <w:gridCol w:w="3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w:t>
            </w:r>
          </w:p>
        </w:tc>
        <w:tc>
          <w:tcPr>
            <w:tcW w:w="722"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578"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578"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2167" w:type="pct"/>
            <w:tcBorders>
              <w:top w:val="single" w:color="auto" w:sz="12" w:space="0"/>
              <w:bottom w:val="doub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项目主管</w:t>
            </w:r>
          </w:p>
        </w:tc>
        <w:tc>
          <w:tcPr>
            <w:tcW w:w="722"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tcBorders>
              <w:top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000" w:type="pct"/>
            <w:gridSpan w:val="5"/>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项目经理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项目副经理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造价管理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质量管理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材料管理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计划管理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restart"/>
            <w:tcBorders>
              <w:top w:val="single" w:color="auto" w:sz="6"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tcBorders>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tcBorders>
              <w:bottom w:val="nil"/>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tcBorders>
              <w:bottom w:val="single" w:color="auto" w:sz="12"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tcBorders>
              <w:bottom w:val="single" w:color="auto" w:sz="12"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single" w:color="auto" w:sz="12"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single" w:color="auto" w:sz="12"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tcBorders>
              <w:bottom w:val="single" w:color="auto" w:sz="12" w:space="0"/>
            </w:tcBorders>
            <w:noWrap w:val="0"/>
            <w:vAlign w:val="center"/>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bookmarkStart w:id="1093" w:name="_Toc267261701"/>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094" w:name="_Toc296891059"/>
      <w:bookmarkStart w:id="1095" w:name="_Toc296347230"/>
      <w:bookmarkStart w:id="1096" w:name="_Toc296346732"/>
      <w:bookmarkStart w:id="1097" w:name="_Toc296944570"/>
      <w:bookmarkStart w:id="1098" w:name="_Toc296503231"/>
      <w:bookmarkStart w:id="1099" w:name="_Toc296891271"/>
      <w:r>
        <w:rPr>
          <w:rFonts w:hint="eastAsia" w:ascii="宋体" w:hAnsi="宋体" w:eastAsia="宋体" w:cs="宋体"/>
          <w:color w:val="000000"/>
          <w:sz w:val="24"/>
          <w:szCs w:val="24"/>
        </w:rPr>
        <w:t>件8：</w:t>
      </w:r>
    </w:p>
    <w:bookmarkEnd w:id="1093"/>
    <w:bookmarkEnd w:id="1094"/>
    <w:bookmarkEnd w:id="1095"/>
    <w:bookmarkEnd w:id="1096"/>
    <w:bookmarkEnd w:id="1097"/>
    <w:bookmarkEnd w:id="1098"/>
    <w:bookmarkEnd w:id="1099"/>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履约担保</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（发包人名称）：</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鉴于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（发包人名称，以下简称“发包人”）与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（承包人名称）（以下称“承包人”）于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（工程名称）施工及有关事项协商一致共同签订《建设工程施工合同》。我方愿意无条件地、不可撤销地就承包人履行与你方签订的合同，向你方提供连带责任担保。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担保金额人民币（大写）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担保有效期自你方与承包人签订的合同生效之日起至你方签发或应签发工程接收证书之日止。</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在本担保有效期内，因承包人违反合同约定的义务给你方造成经济损失时，我方在收到你方以书面形式提出的在担保金额内的赔偿要求后，在7天内无条件支付。</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你方和承包人按合同约定变更合同时，我方承担本担保规定的义务不变。</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 因本保函发生的纠纷，可由双方协商解决，协商不成的，任何一方均可提请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 本保函自我方法定代表人（或其授权代理人）签字并加盖公章之日起生效。</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担 保 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0" w:leftChars="0" w:firstLine="1058" w:firstLineChars="441"/>
        <w:jc w:val="left"/>
        <w:textAlignment w:val="auto"/>
        <w:rPr>
          <w:rFonts w:hint="eastAsia" w:ascii="宋体" w:hAnsi="宋体" w:eastAsia="宋体" w:cs="宋体"/>
          <w:color w:val="000000"/>
          <w:sz w:val="24"/>
          <w:szCs w:val="24"/>
          <w:u w:val="single"/>
        </w:rPr>
      </w:pP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100" w:name="_Toc296891060"/>
      <w:bookmarkStart w:id="1101" w:name="_Toc296347231"/>
      <w:bookmarkStart w:id="1102" w:name="_Toc296891272"/>
      <w:bookmarkStart w:id="1103" w:name="_Toc267261702"/>
      <w:bookmarkStart w:id="1104" w:name="_Toc296944571"/>
      <w:bookmarkStart w:id="1105" w:name="_Toc296346733"/>
      <w:bookmarkStart w:id="1106" w:name="_Toc296503232"/>
      <w:r>
        <w:rPr>
          <w:rFonts w:hint="eastAsia" w:ascii="宋体" w:hAnsi="宋体" w:eastAsia="宋体" w:cs="宋体"/>
          <w:color w:val="000000"/>
          <w:sz w:val="24"/>
          <w:szCs w:val="24"/>
        </w:rPr>
        <w:t>件9 ：</w:t>
      </w:r>
    </w:p>
    <w:bookmarkEnd w:id="1100"/>
    <w:bookmarkEnd w:id="1101"/>
    <w:bookmarkEnd w:id="1102"/>
    <w:bookmarkEnd w:id="1103"/>
    <w:bookmarkEnd w:id="1104"/>
    <w:bookmarkEnd w:id="1105"/>
    <w:bookmarkEnd w:id="1106"/>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预付款担保</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（发包人名称）：</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（承包人名称）（以下称“承包人”）与</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（发包人名称）（以下简称“发包人”）</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担保金额人民币（大写）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担保有效期自预付款支付给承包人起生效，至你方签发的进度款支付证书说明已完全扣清止。</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你方和承包人按合同约定变更合同时，我方承担本保函规定的义务不变。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 因本保函发生的纠纷，可由双方协商解决，协商不成的，任何一方均可提请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 本保函自我方法定代表人（或其授权代理人）签字并加盖公章之日起生效。</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107" w:name="_Toc296503233"/>
      <w:bookmarkStart w:id="1108" w:name="_Toc296891061"/>
      <w:bookmarkStart w:id="1109" w:name="_Toc296944572"/>
      <w:bookmarkStart w:id="1110" w:name="_Toc296891273"/>
      <w:bookmarkStart w:id="1111" w:name="_Toc296346734"/>
      <w:bookmarkStart w:id="1112" w:name="_Toc296347232"/>
      <w:r>
        <w:rPr>
          <w:rFonts w:hint="eastAsia" w:ascii="宋体" w:hAnsi="宋体" w:eastAsia="宋体" w:cs="宋体"/>
          <w:color w:val="000000"/>
          <w:sz w:val="24"/>
          <w:szCs w:val="24"/>
        </w:rPr>
        <w:t xml:space="preserve">件10:  </w:t>
      </w:r>
    </w:p>
    <w:bookmarkEnd w:id="1107"/>
    <w:bookmarkEnd w:id="1108"/>
    <w:bookmarkEnd w:id="1109"/>
    <w:bookmarkEnd w:id="1110"/>
    <w:bookmarkEnd w:id="1111"/>
    <w:bookmarkEnd w:id="1112"/>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支付担保</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鉴于你方作为承包人已经与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（发包人名称）（以下称“发包人”）于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（工程名称）《建设工程施工合同》（以下称“主合同”），应发包人的申请，我方愿就发包人履行主合同约定的工程款支付义务以保证的方式向你方提供如下担保：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一、保证的范围及保证金额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我方的保证范围是主合同约定的工程款。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本保函所称主合同约定的工程款是指主合同约定的除工程质量保证金以外的合同价款。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我方保证的金额是主合同约定的工程款的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%，数额最高不超过人民币元（大写：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二、保证的方式及保证期间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我方保证的方式为：连带责任保证。</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2.我方保证的期间为：自本合同生效之日起至主合同约定的工程款支付完毕之日后</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你方与发包人协议变更工程款支付日期的，经我方书面同意后，保证期间按照变更后的支付日期做相应调整。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三、承担保证责任的形式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我方承担保证责任的形式是代为支付。发包人未按主合同约定向你方支付工程款的，由我方在保证金额内代为支付。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四、代偿的安排</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你方要求我方承担保证责任的，应向我方发出书面索赔通知及发包人未支付主合同约定工程款的证明材料。索赔通知应写明要求索赔的金额，支付款项应到达的账号。</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我方收到你方的书面索赔通知及相应的证明材料后７天内无条件支付。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五、保证责任的解除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在本保函承诺的保证期间内，你方未书面向我方主张保证责任的，自保证期间届满次日起，我方保证责任解除。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发包人按主合同约定履行了工程款的全部支付义务的，自本保函承诺的保证期间届满次日起，我方保证责任解除。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我方按照本保函向你方履行保证责任所支付金额达到本保函保证金额时，自我方向你方支付（支付款项从我方账户划出）之日起，保证责任即解除。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按照法律法规的规定或出现应解除我方保证责任的其他情形的，我方在本保函项下的保证责任亦解除。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 我方解除保证责任后，你方应自我方保证责任解除之日起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个工作日内，将本保函原件返还我方。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六、免责条款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因你方违约致使发包人不能履行义务的，我方不承担保证责任。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依照法律法规的规定或你方与发包人的另行约定，免除发包人部分或全部义务的，我方亦免除其相应的保证责任。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因不可抗力造成发包人不能履行义务的，我方不承担保证责任。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七、争议解决</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因本保函或本保函相关事项发生的纠纷，可由双方协商解决，协商不成的，按下列第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人民法院起诉。</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八、保函的生效</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本保函自我方法定代表人（或其授权代理人）签字并加盖公章之日起生效。</w:t>
      </w:r>
    </w:p>
    <w:p>
      <w:pPr>
        <w:pageBreakBefore w:val="0"/>
        <w:widowControl w:val="0"/>
        <w:kinsoku/>
        <w:wordWrap/>
        <w:overflowPunct/>
        <w:topLinePunct w:val="0"/>
        <w:bidi w:val="0"/>
        <w:snapToGrid/>
        <w:spacing w:line="400" w:lineRule="exact"/>
        <w:ind w:right="6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pPr>
        <w:pageBreakBefore w:val="0"/>
        <w:widowControl w:val="0"/>
        <w:kinsoku/>
        <w:wordWrap/>
        <w:overflowPunct/>
        <w:topLinePunct w:val="0"/>
        <w:bidi w:val="0"/>
        <w:snapToGrid/>
        <w:spacing w:line="400" w:lineRule="exact"/>
        <w:ind w:right="1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right="150" w:firstLine="480" w:firstLineChars="200"/>
        <w:jc w:val="left"/>
        <w:textAlignment w:val="auto"/>
        <w:rPr>
          <w:rFonts w:hint="eastAsia" w:ascii="宋体" w:hAnsi="宋体" w:eastAsia="宋体" w:cs="宋体"/>
          <w:color w:val="000000"/>
          <w:sz w:val="24"/>
          <w:szCs w:val="24"/>
          <w:u w:val="single"/>
        </w:rPr>
      </w:pPr>
    </w:p>
    <w:p>
      <w:pPr>
        <w:pageBreakBefore w:val="0"/>
        <w:widowControl w:val="0"/>
        <w:kinsoku/>
        <w:wordWrap/>
        <w:overflowPunct/>
        <w:topLinePunct w:val="0"/>
        <w:bidi w:val="0"/>
        <w:snapToGrid/>
        <w:spacing w:line="400" w:lineRule="exact"/>
        <w:ind w:right="15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附件11：</w:t>
      </w:r>
    </w:p>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11-1：材料暂估价表</w:t>
      </w:r>
    </w:p>
    <w:tbl>
      <w:tblPr>
        <w:tblStyle w:val="34"/>
        <w:tblpPr w:leftFromText="180" w:rightFromText="180" w:vertAnchor="text" w:horzAnchor="page" w:tblpX="1551" w:tblpY="145"/>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97"/>
        <w:gridCol w:w="1995"/>
        <w:gridCol w:w="854"/>
        <w:gridCol w:w="778"/>
        <w:gridCol w:w="1360"/>
        <w:gridCol w:w="1425"/>
        <w:gridCol w:w="17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093" w:type="pct"/>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468" w:type="pct"/>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426" w:type="pct"/>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745" w:type="pct"/>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781" w:type="pct"/>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合价（元）</w:t>
            </w:r>
          </w:p>
        </w:tc>
        <w:tc>
          <w:tcPr>
            <w:tcW w:w="938" w:type="pct"/>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11-2：工程设备暂估价表</w:t>
      </w:r>
    </w:p>
    <w:tbl>
      <w:tblPr>
        <w:tblStyle w:val="34"/>
        <w:tblpPr w:leftFromText="180" w:rightFromText="180" w:vertAnchor="text" w:horzAnchor="page" w:tblpX="1527" w:tblpY="6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984" w:type="dxa"/>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851" w:type="dxa"/>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774" w:type="dxa"/>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352" w:type="dxa"/>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1418" w:type="dxa"/>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合价（元）</w:t>
            </w:r>
          </w:p>
        </w:tc>
        <w:tc>
          <w:tcPr>
            <w:tcW w:w="1701" w:type="dxa"/>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11-3：专业工程暂估价表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09"/>
        <w:gridCol w:w="2053"/>
        <w:gridCol w:w="4839"/>
        <w:gridCol w:w="13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125" w:type="pct"/>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专业工程名称</w:t>
            </w:r>
          </w:p>
        </w:tc>
        <w:tc>
          <w:tcPr>
            <w:tcW w:w="2652" w:type="pct"/>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工程内容</w:t>
            </w:r>
          </w:p>
        </w:tc>
        <w:tc>
          <w:tcPr>
            <w:tcW w:w="723" w:type="pct"/>
            <w:tcBorders>
              <w:top w:val="single" w:color="auto" w:sz="12" w:space="0"/>
              <w:bottom w:val="doub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tcBorders>
              <w:top w:val="double" w:color="auto" w:sz="6" w:space="0"/>
              <w:bottom w:val="single" w:color="auto" w:sz="6" w:space="0"/>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98"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tcBorders>
              <w:top w:val="nil"/>
            </w:tcBorders>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2"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3" w:type="pct"/>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4"/>
            <w:noWrap w:val="0"/>
            <w:vAlign w:val="top"/>
          </w:tcPr>
          <w:p>
            <w:pPr>
              <w:pStyle w:val="5"/>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小计：</w:t>
            </w:r>
          </w:p>
        </w:tc>
      </w:tr>
    </w:tbl>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Style w:val="4"/>
        <w:rPr>
          <w:rFonts w:hint="eastAsia"/>
          <w:lang w:val="en-US" w:eastAsia="zh-CN"/>
        </w:rPr>
      </w:pPr>
    </w:p>
    <w:p>
      <w:pPr>
        <w:kinsoku w:val="0"/>
        <w:overflowPunct w:val="0"/>
        <w:spacing w:line="360" w:lineRule="auto"/>
        <w:jc w:val="center"/>
        <w:outlineLvl w:val="0"/>
        <w:rPr>
          <w:rFonts w:hint="eastAsia" w:ascii="宋体" w:hAnsi="宋体" w:eastAsia="宋体" w:cs="宋体"/>
          <w:b/>
          <w:sz w:val="32"/>
          <w:szCs w:val="32"/>
          <w:lang w:val="en-US" w:eastAsia="zh-CN"/>
        </w:rPr>
      </w:pPr>
      <w:bookmarkStart w:id="1113" w:name="_Toc16084"/>
      <w:bookmarkStart w:id="1114" w:name="_Toc23309"/>
      <w:bookmarkStart w:id="1115" w:name="_Toc47"/>
      <w:r>
        <w:rPr>
          <w:rFonts w:hint="eastAsia" w:ascii="宋体" w:hAnsi="宋体" w:eastAsia="宋体" w:cs="宋体"/>
          <w:b/>
          <w:sz w:val="32"/>
          <w:szCs w:val="32"/>
          <w:lang w:val="en-US" w:eastAsia="zh-CN"/>
        </w:rPr>
        <w:t>第五章 工程量清单及技术标准</w:t>
      </w:r>
      <w:bookmarkEnd w:id="77"/>
      <w:bookmarkEnd w:id="78"/>
      <w:bookmarkEnd w:id="79"/>
      <w:bookmarkEnd w:id="80"/>
      <w:bookmarkEnd w:id="1113"/>
      <w:bookmarkEnd w:id="1114"/>
      <w:bookmarkEnd w:id="1115"/>
    </w:p>
    <w:p>
      <w:pPr>
        <w:kinsoku w:val="0"/>
        <w:overflowPunct w:val="0"/>
        <w:spacing w:line="360" w:lineRule="auto"/>
        <w:jc w:val="center"/>
        <w:outlineLvl w:val="0"/>
        <w:rPr>
          <w:rFonts w:hint="eastAsia" w:ascii="宋体" w:hAnsi="宋体" w:eastAsia="宋体" w:cs="宋体"/>
          <w:b/>
          <w:sz w:val="32"/>
          <w:szCs w:val="32"/>
          <w:lang w:val="en-US" w:eastAsia="zh-CN"/>
        </w:rPr>
      </w:pPr>
      <w:bookmarkStart w:id="1116" w:name="_Toc8076"/>
      <w:bookmarkStart w:id="1117" w:name="_Toc256000028"/>
      <w:bookmarkStart w:id="1118" w:name="_Toc17616"/>
      <w:bookmarkStart w:id="1119" w:name="_Toc529952601"/>
      <w:bookmarkStart w:id="1120" w:name="_Toc9479"/>
      <w:bookmarkStart w:id="1121" w:name="_Toc22819"/>
      <w:bookmarkStart w:id="1122" w:name="_Toc23930"/>
    </w:p>
    <w:p>
      <w:pPr>
        <w:pStyle w:val="2"/>
        <w:rPr>
          <w:rFonts w:hint="eastAsia" w:ascii="宋体" w:hAnsi="宋体" w:eastAsia="宋体" w:cs="宋体"/>
          <w:b/>
          <w:sz w:val="32"/>
          <w:szCs w:val="32"/>
          <w:lang w:val="en-US" w:eastAsia="zh-CN"/>
        </w:rPr>
      </w:pPr>
    </w:p>
    <w:p>
      <w:pPr>
        <w:pStyle w:val="4"/>
        <w:rPr>
          <w:rFonts w:hint="eastAsia" w:ascii="宋体" w:hAnsi="宋体" w:eastAsia="宋体" w:cs="宋体"/>
          <w:b/>
          <w:sz w:val="32"/>
          <w:szCs w:val="32"/>
          <w:lang w:val="en-US" w:eastAsia="zh-CN"/>
        </w:rPr>
      </w:pPr>
    </w:p>
    <w:p>
      <w:pPr>
        <w:pStyle w:val="4"/>
        <w:rPr>
          <w:rFonts w:hint="eastAsia" w:ascii="宋体" w:hAnsi="宋体" w:eastAsia="宋体" w:cs="宋体"/>
          <w:b/>
          <w:sz w:val="32"/>
          <w:szCs w:val="32"/>
          <w:lang w:val="en-US" w:eastAsia="zh-CN"/>
        </w:rPr>
      </w:pPr>
    </w:p>
    <w:p>
      <w:pPr>
        <w:kinsoku w:val="0"/>
        <w:overflowPunct w:val="0"/>
        <w:spacing w:line="360" w:lineRule="auto"/>
        <w:jc w:val="center"/>
        <w:outlineLvl w:val="0"/>
        <w:rPr>
          <w:rFonts w:hint="eastAsia" w:ascii="宋体" w:hAnsi="宋体" w:eastAsia="宋体" w:cs="宋体"/>
          <w:b/>
          <w:sz w:val="32"/>
          <w:szCs w:val="32"/>
          <w:lang w:val="en-US" w:eastAsia="zh-CN"/>
        </w:rPr>
      </w:pPr>
    </w:p>
    <w:p>
      <w:pPr>
        <w:kinsoku w:val="0"/>
        <w:overflowPunct w:val="0"/>
        <w:spacing w:line="360" w:lineRule="auto"/>
        <w:jc w:val="center"/>
        <w:outlineLvl w:val="0"/>
        <w:rPr>
          <w:rFonts w:hint="eastAsia" w:ascii="宋体" w:hAnsi="宋体" w:eastAsia="宋体" w:cs="宋体"/>
          <w:b/>
          <w:sz w:val="32"/>
          <w:szCs w:val="32"/>
          <w:lang w:val="en-US" w:eastAsia="zh-CN"/>
        </w:rPr>
      </w:pPr>
    </w:p>
    <w:p>
      <w:pPr>
        <w:kinsoku w:val="0"/>
        <w:overflowPunct w:val="0"/>
        <w:spacing w:line="360" w:lineRule="auto"/>
        <w:jc w:val="center"/>
        <w:outlineLvl w:val="0"/>
        <w:rPr>
          <w:rFonts w:hint="eastAsia" w:ascii="宋体" w:hAnsi="宋体" w:eastAsia="宋体" w:cs="宋体"/>
          <w:b/>
          <w:sz w:val="32"/>
          <w:szCs w:val="32"/>
          <w:lang w:val="en-US" w:eastAsia="zh-CN"/>
        </w:rPr>
      </w:pPr>
    </w:p>
    <w:p>
      <w:pPr>
        <w:kinsoku w:val="0"/>
        <w:overflowPunct w:val="0"/>
        <w:spacing w:line="360" w:lineRule="auto"/>
        <w:jc w:val="center"/>
        <w:outlineLvl w:val="0"/>
        <w:rPr>
          <w:rFonts w:hint="eastAsia" w:ascii="宋体" w:hAnsi="宋体" w:eastAsia="宋体" w:cs="宋体"/>
          <w:b/>
          <w:sz w:val="32"/>
          <w:szCs w:val="32"/>
          <w:lang w:val="en-US" w:eastAsia="zh-CN"/>
        </w:rPr>
      </w:pPr>
    </w:p>
    <w:p>
      <w:pPr>
        <w:kinsoku w:val="0"/>
        <w:overflowPunct w:val="0"/>
        <w:spacing w:line="360" w:lineRule="auto"/>
        <w:jc w:val="center"/>
        <w:outlineLvl w:val="0"/>
        <w:rPr>
          <w:rFonts w:hint="eastAsia" w:ascii="宋体" w:hAnsi="宋体" w:eastAsia="宋体" w:cs="宋体"/>
          <w:b/>
          <w:sz w:val="32"/>
          <w:szCs w:val="32"/>
          <w:lang w:val="en-US" w:eastAsia="zh-CN"/>
        </w:rPr>
      </w:pPr>
    </w:p>
    <w:p>
      <w:pPr>
        <w:pStyle w:val="2"/>
        <w:rPr>
          <w:rFonts w:hint="eastAsia" w:ascii="宋体" w:hAnsi="宋体" w:eastAsia="宋体" w:cs="宋体"/>
          <w:b/>
          <w:sz w:val="32"/>
          <w:szCs w:val="32"/>
          <w:lang w:val="en-US" w:eastAsia="zh-CN"/>
        </w:rPr>
      </w:pPr>
    </w:p>
    <w:p>
      <w:pPr>
        <w:pStyle w:val="4"/>
        <w:rPr>
          <w:rFonts w:hint="eastAsia" w:ascii="宋体" w:hAnsi="宋体" w:eastAsia="宋体" w:cs="宋体"/>
          <w:b/>
          <w:sz w:val="32"/>
          <w:szCs w:val="32"/>
          <w:lang w:val="en-US" w:eastAsia="zh-CN"/>
        </w:rPr>
      </w:pPr>
    </w:p>
    <w:p>
      <w:pPr>
        <w:pStyle w:val="4"/>
        <w:rPr>
          <w:rFonts w:hint="eastAsia" w:ascii="宋体" w:hAnsi="宋体" w:eastAsia="宋体" w:cs="宋体"/>
          <w:b/>
          <w:sz w:val="32"/>
          <w:szCs w:val="32"/>
          <w:lang w:val="en-US" w:eastAsia="zh-CN"/>
        </w:rPr>
      </w:pPr>
    </w:p>
    <w:p>
      <w:pPr>
        <w:pStyle w:val="4"/>
        <w:rPr>
          <w:rFonts w:hint="eastAsia" w:ascii="宋体" w:hAnsi="宋体" w:eastAsia="宋体" w:cs="宋体"/>
          <w:b/>
          <w:sz w:val="32"/>
          <w:szCs w:val="32"/>
          <w:lang w:val="en-US" w:eastAsia="zh-CN"/>
        </w:rPr>
      </w:pPr>
    </w:p>
    <w:p>
      <w:pPr>
        <w:pStyle w:val="4"/>
        <w:rPr>
          <w:rFonts w:hint="eastAsia" w:ascii="宋体" w:hAnsi="宋体" w:eastAsia="宋体" w:cs="宋体"/>
          <w:b/>
          <w:sz w:val="32"/>
          <w:szCs w:val="32"/>
          <w:lang w:val="en-US" w:eastAsia="zh-CN"/>
        </w:rPr>
      </w:pPr>
    </w:p>
    <w:p>
      <w:pPr>
        <w:pStyle w:val="4"/>
        <w:rPr>
          <w:rFonts w:hint="eastAsia" w:ascii="宋体" w:hAnsi="宋体" w:eastAsia="宋体" w:cs="宋体"/>
          <w:b/>
          <w:sz w:val="32"/>
          <w:szCs w:val="32"/>
          <w:lang w:val="en-US" w:eastAsia="zh-CN"/>
        </w:rPr>
      </w:pPr>
    </w:p>
    <w:p>
      <w:pPr>
        <w:pStyle w:val="4"/>
        <w:rPr>
          <w:rFonts w:hint="eastAsia" w:ascii="宋体" w:hAnsi="宋体" w:eastAsia="宋体" w:cs="宋体"/>
          <w:b/>
          <w:sz w:val="32"/>
          <w:szCs w:val="32"/>
          <w:lang w:val="en-US" w:eastAsia="zh-CN"/>
        </w:rPr>
      </w:pPr>
    </w:p>
    <w:p>
      <w:pPr>
        <w:pStyle w:val="4"/>
        <w:rPr>
          <w:rFonts w:hint="eastAsia" w:ascii="宋体" w:hAnsi="宋体" w:eastAsia="宋体" w:cs="宋体"/>
          <w:b/>
          <w:sz w:val="32"/>
          <w:szCs w:val="32"/>
          <w:lang w:val="en-US" w:eastAsia="zh-CN"/>
        </w:rPr>
      </w:pPr>
    </w:p>
    <w:p>
      <w:pPr>
        <w:pStyle w:val="4"/>
        <w:rPr>
          <w:rFonts w:hint="eastAsia" w:ascii="宋体" w:hAnsi="宋体" w:eastAsia="宋体" w:cs="宋体"/>
          <w:b/>
          <w:sz w:val="32"/>
          <w:szCs w:val="32"/>
          <w:lang w:val="en-US" w:eastAsia="zh-CN"/>
        </w:rPr>
      </w:pPr>
    </w:p>
    <w:p>
      <w:pPr>
        <w:kinsoku w:val="0"/>
        <w:overflowPunct w:val="0"/>
        <w:spacing w:line="360" w:lineRule="auto"/>
        <w:jc w:val="center"/>
        <w:outlineLvl w:val="0"/>
        <w:rPr>
          <w:rFonts w:hint="eastAsia" w:ascii="宋体" w:hAnsi="宋体" w:eastAsia="宋体" w:cs="宋体"/>
          <w:b/>
          <w:sz w:val="32"/>
          <w:szCs w:val="32"/>
          <w:lang w:val="en-US" w:eastAsia="zh-CN"/>
        </w:rPr>
      </w:pPr>
    </w:p>
    <w:p>
      <w:pPr>
        <w:kinsoku w:val="0"/>
        <w:overflowPunct w:val="0"/>
        <w:spacing w:line="360" w:lineRule="auto"/>
        <w:jc w:val="center"/>
        <w:outlineLvl w:val="0"/>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第六章  图纸</w:t>
      </w:r>
      <w:bookmarkEnd w:id="1116"/>
      <w:bookmarkEnd w:id="1117"/>
      <w:bookmarkEnd w:id="1118"/>
      <w:bookmarkEnd w:id="1119"/>
      <w:r>
        <w:rPr>
          <w:rFonts w:hint="eastAsia" w:ascii="宋体" w:hAnsi="宋体" w:eastAsia="宋体" w:cs="宋体"/>
          <w:b/>
          <w:sz w:val="32"/>
          <w:szCs w:val="32"/>
          <w:lang w:val="en-US" w:eastAsia="zh-CN"/>
        </w:rPr>
        <w:t>另附</w:t>
      </w:r>
      <w:bookmarkEnd w:id="1120"/>
      <w:bookmarkEnd w:id="1121"/>
      <w:bookmarkEnd w:id="1122"/>
    </w:p>
    <w:p>
      <w:pPr>
        <w:rPr>
          <w:rFonts w:hint="eastAsia" w:ascii="宋体" w:hAnsi="宋体" w:cs="宋体"/>
          <w:b/>
          <w:bCs/>
          <w:sz w:val="22"/>
          <w:szCs w:val="21"/>
          <w:highlight w:val="none"/>
          <w:lang w:val="en-US" w:eastAsia="zh-CN"/>
        </w:rPr>
      </w:pPr>
      <w:bookmarkStart w:id="1123" w:name="EB494e10445b284177a9350c3e96722e55"/>
    </w:p>
    <w:p>
      <w:pPr>
        <w:rPr>
          <w:rFonts w:hint="eastAsia" w:ascii="宋体" w:hAnsi="宋体" w:cs="宋体"/>
          <w:b/>
          <w:bCs/>
          <w:sz w:val="22"/>
          <w:szCs w:val="21"/>
          <w:highlight w:val="none"/>
          <w:lang w:val="en-US" w:eastAsia="zh-CN"/>
        </w:rPr>
      </w:pPr>
    </w:p>
    <w:p>
      <w:pPr>
        <w:jc w:val="center"/>
        <w:rPr>
          <w:rFonts w:hint="eastAsia" w:ascii="宋体" w:hAnsi="宋体" w:cs="宋体"/>
          <w:b/>
          <w:bCs/>
          <w:sz w:val="22"/>
          <w:szCs w:val="21"/>
          <w:highlight w:val="none"/>
          <w:lang w:val="en-US" w:eastAsia="zh-CN"/>
        </w:rPr>
      </w:pPr>
      <w:r>
        <w:rPr>
          <w:rFonts w:hint="eastAsia" w:ascii="宋体" w:hAnsi="宋体" w:cs="宋体"/>
          <w:b/>
          <w:bCs/>
          <w:sz w:val="22"/>
          <w:szCs w:val="21"/>
          <w:highlight w:val="none"/>
          <w:lang w:val="en-US" w:eastAsia="zh-CN"/>
        </w:rPr>
        <w:t>本项目无图纸</w:t>
      </w:r>
    </w:p>
    <w:p>
      <w:pPr>
        <w:pStyle w:val="2"/>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rPr>
          <w:rFonts w:hint="eastAsia" w:ascii="宋体" w:hAnsi="宋体" w:cs="宋体"/>
          <w:b/>
          <w:bCs/>
          <w:sz w:val="22"/>
          <w:szCs w:val="21"/>
          <w:highlight w:val="none"/>
          <w:lang w:val="en-US" w:eastAsia="zh-CN"/>
        </w:rPr>
      </w:pPr>
    </w:p>
    <w:p>
      <w:pPr>
        <w:pStyle w:val="4"/>
        <w:ind w:left="0" w:leftChars="0" w:firstLine="0" w:firstLineChars="0"/>
        <w:rPr>
          <w:rFonts w:hint="default" w:ascii="宋体" w:hAnsi="宋体" w:cs="宋体"/>
          <w:b/>
          <w:bCs/>
          <w:sz w:val="22"/>
          <w:szCs w:val="21"/>
          <w:highlight w:val="none"/>
          <w:lang w:val="en-US" w:eastAsia="zh-CN"/>
        </w:rPr>
      </w:pPr>
    </w:p>
    <w:bookmarkEnd w:id="1123"/>
    <w:p>
      <w:pPr>
        <w:kinsoku w:val="0"/>
        <w:overflowPunct w:val="0"/>
        <w:spacing w:line="360" w:lineRule="auto"/>
        <w:jc w:val="center"/>
        <w:outlineLvl w:val="0"/>
        <w:rPr>
          <w:rFonts w:hint="eastAsia" w:ascii="宋体" w:hAnsi="宋体" w:eastAsia="宋体" w:cs="宋体"/>
          <w:b/>
          <w:sz w:val="32"/>
          <w:szCs w:val="32"/>
          <w:lang w:val="en-US" w:eastAsia="zh-CN"/>
        </w:rPr>
      </w:pPr>
      <w:bookmarkStart w:id="1124" w:name="_Toc30879"/>
      <w:bookmarkStart w:id="1125" w:name="_Toc256000029"/>
      <w:bookmarkStart w:id="1126" w:name="_Toc5936"/>
      <w:bookmarkStart w:id="1127" w:name="_Toc25776"/>
      <w:bookmarkStart w:id="1128" w:name="_Toc9752"/>
      <w:bookmarkStart w:id="1129" w:name="_Toc529952602"/>
      <w:bookmarkStart w:id="1130" w:name="_Toc19130"/>
      <w:r>
        <w:rPr>
          <w:rFonts w:hint="eastAsia" w:ascii="宋体" w:hAnsi="宋体" w:eastAsia="宋体" w:cs="宋体"/>
          <w:b/>
          <w:sz w:val="32"/>
          <w:szCs w:val="32"/>
          <w:lang w:val="en-US" w:eastAsia="zh-CN"/>
        </w:rPr>
        <w:t>第七章 响应文件格式</w:t>
      </w:r>
      <w:bookmarkEnd w:id="1124"/>
      <w:bookmarkEnd w:id="1125"/>
      <w:bookmarkEnd w:id="1126"/>
      <w:bookmarkEnd w:id="1127"/>
      <w:bookmarkEnd w:id="1128"/>
      <w:bookmarkEnd w:id="1129"/>
      <w:bookmarkEnd w:id="1130"/>
    </w:p>
    <w:p>
      <w:pPr>
        <w:rPr>
          <w:rFonts w:hint="eastAsia" w:ascii="宋体" w:hAnsi="宋体" w:cs="宋体"/>
          <w:highlight w:val="red"/>
        </w:rPr>
      </w:pPr>
      <w:bookmarkStart w:id="1131" w:name="EB77e84d16e8514e3d843450083f22a83d"/>
    </w:p>
    <w:p>
      <w:pPr>
        <w:pStyle w:val="235"/>
        <w:spacing w:after="100" w:afterAutospacing="1"/>
        <w:jc w:val="center"/>
        <w:outlineLvl w:val="9"/>
        <w:rPr>
          <w:rFonts w:hint="eastAsia" w:ascii="宋体" w:hAnsi="宋体" w:eastAsia="宋体" w:cs="宋体"/>
        </w:rPr>
      </w:pPr>
      <w:bookmarkStart w:id="1132" w:name="_Toc29643"/>
      <w:bookmarkStart w:id="1133" w:name="_Toc27473"/>
      <w:bookmarkStart w:id="1134" w:name="_Toc28793"/>
      <w:r>
        <w:rPr>
          <w:rFonts w:hint="eastAsia" w:ascii="宋体" w:hAnsi="宋体" w:eastAsia="宋体" w:cs="宋体"/>
          <w:sz w:val="40"/>
        </w:rPr>
        <w:t>目    录</w:t>
      </w:r>
      <w:bookmarkEnd w:id="1132"/>
      <w:bookmarkEnd w:id="1133"/>
      <w:bookmarkEnd w:id="1134"/>
    </w:p>
    <w:p>
      <w:pPr>
        <w:pStyle w:val="235"/>
        <w:spacing w:after="100" w:afterAutospacing="1"/>
        <w:outlineLvl w:val="9"/>
        <w:rPr>
          <w:rFonts w:hint="eastAsia" w:ascii="宋体" w:hAnsi="宋体" w:eastAsia="宋体" w:cs="宋体"/>
          <w:sz w:val="24"/>
          <w:szCs w:val="21"/>
        </w:rPr>
      </w:pPr>
      <w:bookmarkStart w:id="1135" w:name="_Toc21481"/>
      <w:bookmarkStart w:id="1136" w:name="_Toc28827"/>
      <w:r>
        <w:rPr>
          <w:rFonts w:hint="eastAsia" w:ascii="宋体" w:hAnsi="宋体" w:eastAsia="宋体" w:cs="宋体"/>
          <w:sz w:val="24"/>
          <w:szCs w:val="21"/>
        </w:rPr>
        <w:t>一、投标文件封面</w:t>
      </w:r>
      <w:bookmarkEnd w:id="1135"/>
      <w:bookmarkEnd w:id="1136"/>
    </w:p>
    <w:p>
      <w:pPr>
        <w:pStyle w:val="235"/>
        <w:spacing w:after="100" w:afterAutospacing="1"/>
        <w:outlineLvl w:val="9"/>
        <w:rPr>
          <w:rFonts w:hint="eastAsia" w:ascii="宋体" w:hAnsi="宋体" w:eastAsia="宋体" w:cs="宋体"/>
          <w:sz w:val="24"/>
          <w:szCs w:val="21"/>
        </w:rPr>
      </w:pPr>
      <w:bookmarkStart w:id="1137" w:name="_Toc26828"/>
      <w:bookmarkStart w:id="1138" w:name="_Toc22739"/>
      <w:r>
        <w:rPr>
          <w:rFonts w:hint="eastAsia" w:ascii="宋体" w:hAnsi="宋体" w:eastAsia="宋体" w:cs="宋体"/>
          <w:sz w:val="24"/>
          <w:szCs w:val="21"/>
        </w:rPr>
        <w:t>二、供应商资格声明</w:t>
      </w:r>
      <w:bookmarkEnd w:id="1137"/>
      <w:bookmarkEnd w:id="1138"/>
    </w:p>
    <w:p>
      <w:pPr>
        <w:pStyle w:val="235"/>
        <w:spacing w:after="100" w:afterAutospacing="1"/>
        <w:outlineLvl w:val="9"/>
        <w:rPr>
          <w:rFonts w:hint="eastAsia" w:ascii="宋体" w:hAnsi="宋体" w:eastAsia="宋体" w:cs="宋体"/>
          <w:sz w:val="24"/>
          <w:szCs w:val="21"/>
        </w:rPr>
      </w:pPr>
      <w:bookmarkStart w:id="1139" w:name="_Toc28701"/>
      <w:bookmarkStart w:id="1140" w:name="_Toc19474"/>
      <w:r>
        <w:rPr>
          <w:rFonts w:hint="eastAsia" w:ascii="宋体" w:hAnsi="宋体" w:eastAsia="宋体" w:cs="宋体"/>
          <w:sz w:val="24"/>
          <w:szCs w:val="21"/>
        </w:rPr>
        <w:t>三、法定代表人身份证明或附有法定代表人身份证明的授权书</w:t>
      </w:r>
      <w:bookmarkEnd w:id="1139"/>
      <w:bookmarkEnd w:id="1140"/>
    </w:p>
    <w:p>
      <w:pPr>
        <w:pStyle w:val="235"/>
        <w:spacing w:after="100" w:afterAutospacing="1"/>
        <w:outlineLvl w:val="9"/>
        <w:rPr>
          <w:rFonts w:hint="eastAsia" w:ascii="宋体" w:hAnsi="宋体" w:eastAsia="宋体" w:cs="宋体"/>
          <w:sz w:val="24"/>
          <w:szCs w:val="21"/>
        </w:rPr>
      </w:pPr>
      <w:bookmarkStart w:id="1141" w:name="_Toc21152"/>
      <w:bookmarkStart w:id="1142" w:name="_Toc13980"/>
      <w:r>
        <w:rPr>
          <w:rFonts w:hint="eastAsia" w:ascii="宋体" w:hAnsi="宋体" w:eastAsia="宋体" w:cs="宋体"/>
          <w:sz w:val="24"/>
          <w:szCs w:val="21"/>
        </w:rPr>
        <w:t>四、近三年无重大违法记录信息证明文件</w:t>
      </w:r>
      <w:bookmarkEnd w:id="1141"/>
      <w:bookmarkEnd w:id="1142"/>
    </w:p>
    <w:p>
      <w:pPr>
        <w:pStyle w:val="235"/>
        <w:spacing w:after="100" w:afterAutospacing="1"/>
        <w:outlineLvl w:val="9"/>
        <w:rPr>
          <w:rFonts w:hint="eastAsia" w:ascii="宋体" w:hAnsi="宋体" w:eastAsia="宋体" w:cs="宋体"/>
          <w:sz w:val="24"/>
          <w:szCs w:val="21"/>
        </w:rPr>
      </w:pPr>
      <w:bookmarkStart w:id="1143" w:name="_Toc2427"/>
      <w:bookmarkStart w:id="1144" w:name="_Toc11075"/>
      <w:r>
        <w:rPr>
          <w:rFonts w:hint="eastAsia" w:ascii="宋体" w:hAnsi="宋体" w:eastAsia="宋体" w:cs="宋体"/>
          <w:sz w:val="24"/>
          <w:szCs w:val="21"/>
        </w:rPr>
        <w:t>五、其他资格证明文件</w:t>
      </w:r>
      <w:bookmarkEnd w:id="1143"/>
      <w:bookmarkEnd w:id="1144"/>
    </w:p>
    <w:p>
      <w:pPr>
        <w:pStyle w:val="235"/>
        <w:spacing w:after="100" w:afterAutospacing="1"/>
        <w:outlineLvl w:val="9"/>
        <w:rPr>
          <w:rFonts w:hint="eastAsia" w:ascii="宋体" w:hAnsi="宋体" w:eastAsia="宋体" w:cs="宋体"/>
          <w:sz w:val="24"/>
          <w:szCs w:val="21"/>
        </w:rPr>
      </w:pPr>
      <w:bookmarkStart w:id="1145" w:name="_Toc31609"/>
      <w:bookmarkStart w:id="1146" w:name="_Toc9249"/>
      <w:r>
        <w:rPr>
          <w:rFonts w:hint="eastAsia" w:ascii="宋体" w:hAnsi="宋体" w:eastAsia="宋体" w:cs="宋体"/>
          <w:sz w:val="24"/>
          <w:szCs w:val="21"/>
        </w:rPr>
        <w:t>六、</w:t>
      </w:r>
      <w:bookmarkEnd w:id="1145"/>
      <w:bookmarkEnd w:id="1146"/>
      <w:r>
        <w:rPr>
          <w:rFonts w:hint="eastAsia" w:ascii="宋体" w:hAnsi="宋体" w:eastAsia="宋体" w:cs="宋体"/>
          <w:sz w:val="24"/>
          <w:szCs w:val="21"/>
        </w:rPr>
        <w:t>投标保证金</w:t>
      </w:r>
    </w:p>
    <w:p>
      <w:pPr>
        <w:pStyle w:val="235"/>
        <w:spacing w:after="100" w:afterAutospacing="1"/>
        <w:outlineLvl w:val="9"/>
        <w:rPr>
          <w:rFonts w:hint="eastAsia" w:ascii="宋体" w:hAnsi="宋体" w:eastAsia="宋体" w:cs="宋体"/>
          <w:sz w:val="24"/>
          <w:szCs w:val="21"/>
        </w:rPr>
      </w:pPr>
      <w:bookmarkStart w:id="1147" w:name="_Toc3224"/>
      <w:bookmarkStart w:id="1148" w:name="_Toc6695"/>
      <w:r>
        <w:rPr>
          <w:rFonts w:hint="eastAsia" w:ascii="宋体" w:hAnsi="宋体" w:eastAsia="宋体" w:cs="宋体"/>
          <w:sz w:val="24"/>
          <w:szCs w:val="21"/>
        </w:rPr>
        <w:t>七、不参与围标串标承诺书</w:t>
      </w:r>
      <w:bookmarkEnd w:id="1147"/>
      <w:bookmarkEnd w:id="1148"/>
    </w:p>
    <w:p>
      <w:pPr>
        <w:pStyle w:val="235"/>
        <w:spacing w:after="100" w:afterAutospacing="1"/>
        <w:outlineLvl w:val="9"/>
        <w:rPr>
          <w:rFonts w:hint="eastAsia" w:ascii="宋体" w:hAnsi="宋体" w:eastAsia="宋体" w:cs="宋体"/>
          <w:sz w:val="24"/>
          <w:szCs w:val="21"/>
        </w:rPr>
      </w:pPr>
      <w:bookmarkStart w:id="1149" w:name="_Toc28448"/>
      <w:bookmarkStart w:id="1150" w:name="_Toc7013"/>
      <w:r>
        <w:rPr>
          <w:rFonts w:hint="eastAsia" w:ascii="宋体" w:hAnsi="宋体" w:eastAsia="宋体" w:cs="宋体"/>
          <w:sz w:val="24"/>
          <w:szCs w:val="21"/>
        </w:rPr>
        <w:t>八、中、小微企业声明函（中、小、微型企业产品价格需扣除的须提供）</w:t>
      </w:r>
      <w:bookmarkEnd w:id="1149"/>
      <w:bookmarkEnd w:id="1150"/>
    </w:p>
    <w:p>
      <w:pPr>
        <w:pStyle w:val="235"/>
        <w:spacing w:after="100" w:afterAutospacing="1"/>
        <w:outlineLvl w:val="9"/>
        <w:rPr>
          <w:rFonts w:hint="eastAsia" w:ascii="宋体" w:hAnsi="宋体" w:eastAsia="宋体" w:cs="宋体"/>
          <w:sz w:val="24"/>
          <w:szCs w:val="21"/>
        </w:rPr>
      </w:pPr>
      <w:bookmarkStart w:id="1151" w:name="_Toc25675"/>
      <w:bookmarkStart w:id="1152" w:name="_Toc7720"/>
      <w:r>
        <w:rPr>
          <w:rFonts w:hint="eastAsia" w:ascii="宋体" w:hAnsi="宋体" w:eastAsia="宋体" w:cs="宋体"/>
          <w:sz w:val="24"/>
          <w:szCs w:val="21"/>
        </w:rPr>
        <w:t>九、磋商申请</w:t>
      </w:r>
      <w:bookmarkEnd w:id="1151"/>
      <w:bookmarkEnd w:id="1152"/>
    </w:p>
    <w:p>
      <w:pPr>
        <w:pStyle w:val="235"/>
        <w:spacing w:after="100" w:afterAutospacing="1"/>
        <w:outlineLvl w:val="9"/>
        <w:rPr>
          <w:rFonts w:hint="eastAsia" w:ascii="宋体" w:hAnsi="宋体" w:eastAsia="宋体" w:cs="宋体"/>
          <w:sz w:val="24"/>
          <w:szCs w:val="21"/>
        </w:rPr>
      </w:pPr>
      <w:bookmarkStart w:id="1153" w:name="_Toc12572"/>
      <w:bookmarkStart w:id="1154" w:name="_Toc21302"/>
      <w:r>
        <w:rPr>
          <w:rFonts w:hint="eastAsia" w:ascii="宋体" w:hAnsi="宋体" w:eastAsia="宋体" w:cs="宋体"/>
          <w:sz w:val="24"/>
          <w:szCs w:val="21"/>
        </w:rPr>
        <w:t>十、磋商申请附录</w:t>
      </w:r>
      <w:bookmarkEnd w:id="1153"/>
      <w:bookmarkEnd w:id="1154"/>
    </w:p>
    <w:p>
      <w:pPr>
        <w:pStyle w:val="235"/>
        <w:spacing w:after="100" w:afterAutospacing="1"/>
        <w:outlineLvl w:val="9"/>
        <w:rPr>
          <w:rFonts w:hint="eastAsia" w:ascii="宋体" w:hAnsi="宋体" w:eastAsia="宋体" w:cs="宋体"/>
          <w:sz w:val="24"/>
          <w:szCs w:val="21"/>
        </w:rPr>
      </w:pPr>
      <w:bookmarkStart w:id="1155" w:name="_Toc27937"/>
      <w:bookmarkStart w:id="1156" w:name="_Toc23163"/>
      <w:r>
        <w:rPr>
          <w:rFonts w:hint="eastAsia" w:ascii="宋体" w:hAnsi="宋体" w:eastAsia="宋体" w:cs="宋体"/>
          <w:sz w:val="24"/>
          <w:szCs w:val="21"/>
        </w:rPr>
        <w:t>十一、已标价的工程量清单</w:t>
      </w:r>
      <w:bookmarkEnd w:id="1155"/>
      <w:bookmarkEnd w:id="1156"/>
    </w:p>
    <w:p>
      <w:pPr>
        <w:pStyle w:val="235"/>
        <w:spacing w:after="100" w:afterAutospacing="1"/>
        <w:outlineLvl w:val="9"/>
        <w:rPr>
          <w:rFonts w:hint="eastAsia" w:ascii="宋体" w:hAnsi="宋体" w:eastAsia="宋体" w:cs="宋体"/>
          <w:sz w:val="24"/>
          <w:szCs w:val="21"/>
        </w:rPr>
      </w:pPr>
      <w:bookmarkStart w:id="1157" w:name="_Toc23514"/>
      <w:bookmarkStart w:id="1158" w:name="_Toc13706"/>
      <w:r>
        <w:rPr>
          <w:rFonts w:hint="eastAsia" w:ascii="宋体" w:hAnsi="宋体" w:eastAsia="宋体" w:cs="宋体"/>
          <w:sz w:val="24"/>
          <w:szCs w:val="21"/>
        </w:rPr>
        <w:t>十二、联合体协议书格式（如有）</w:t>
      </w:r>
      <w:bookmarkEnd w:id="1157"/>
      <w:bookmarkEnd w:id="1158"/>
    </w:p>
    <w:p>
      <w:pPr>
        <w:pStyle w:val="235"/>
        <w:spacing w:after="100" w:afterAutospacing="1"/>
        <w:outlineLvl w:val="9"/>
        <w:rPr>
          <w:rFonts w:hint="eastAsia" w:ascii="宋体" w:hAnsi="宋体" w:eastAsia="宋体" w:cs="宋体"/>
          <w:sz w:val="24"/>
          <w:szCs w:val="21"/>
        </w:rPr>
      </w:pPr>
      <w:bookmarkStart w:id="1159" w:name="_Toc26864"/>
      <w:bookmarkStart w:id="1160" w:name="_Toc25336"/>
      <w:r>
        <w:rPr>
          <w:rFonts w:hint="eastAsia" w:ascii="宋体" w:hAnsi="宋体" w:eastAsia="宋体" w:cs="宋体"/>
          <w:sz w:val="24"/>
          <w:szCs w:val="21"/>
        </w:rPr>
        <w:t>十</w:t>
      </w:r>
      <w:r>
        <w:rPr>
          <w:rFonts w:hint="eastAsia" w:ascii="宋体" w:hAnsi="宋体" w:eastAsia="宋体" w:cs="宋体"/>
          <w:sz w:val="24"/>
          <w:szCs w:val="21"/>
          <w:lang w:val="en-US" w:eastAsia="zh-CN"/>
        </w:rPr>
        <w:t>三</w:t>
      </w:r>
      <w:r>
        <w:rPr>
          <w:rFonts w:hint="eastAsia" w:ascii="宋体" w:hAnsi="宋体" w:eastAsia="宋体" w:cs="宋体"/>
          <w:sz w:val="24"/>
          <w:szCs w:val="21"/>
        </w:rPr>
        <w:t>、施工组织设计</w:t>
      </w:r>
      <w:bookmarkEnd w:id="1159"/>
      <w:bookmarkEnd w:id="1160"/>
    </w:p>
    <w:p>
      <w:pPr>
        <w:pStyle w:val="235"/>
        <w:spacing w:after="100" w:afterAutospacing="1"/>
        <w:outlineLvl w:val="9"/>
        <w:rPr>
          <w:rFonts w:hint="eastAsia" w:ascii="宋体" w:hAnsi="宋体" w:eastAsia="宋体" w:cs="宋体"/>
          <w:sz w:val="24"/>
          <w:szCs w:val="21"/>
        </w:rPr>
      </w:pPr>
      <w:bookmarkStart w:id="1161" w:name="_Toc20564"/>
      <w:bookmarkStart w:id="1162" w:name="_Toc8875"/>
      <w:r>
        <w:rPr>
          <w:rFonts w:hint="eastAsia" w:ascii="宋体" w:hAnsi="宋体" w:eastAsia="宋体" w:cs="宋体"/>
          <w:sz w:val="24"/>
          <w:szCs w:val="21"/>
        </w:rPr>
        <w:t>十</w:t>
      </w:r>
      <w:r>
        <w:rPr>
          <w:rFonts w:hint="eastAsia" w:ascii="宋体" w:hAnsi="宋体" w:eastAsia="宋体" w:cs="宋体"/>
          <w:sz w:val="24"/>
          <w:szCs w:val="21"/>
          <w:lang w:val="en-US" w:eastAsia="zh-CN"/>
        </w:rPr>
        <w:t>四</w:t>
      </w:r>
      <w:r>
        <w:rPr>
          <w:rFonts w:hint="eastAsia" w:ascii="宋体" w:hAnsi="宋体" w:eastAsia="宋体" w:cs="宋体"/>
          <w:sz w:val="24"/>
          <w:szCs w:val="21"/>
        </w:rPr>
        <w:t>、项目管理机构组成表</w:t>
      </w:r>
      <w:bookmarkEnd w:id="1161"/>
      <w:bookmarkEnd w:id="1162"/>
    </w:p>
    <w:p>
      <w:pPr>
        <w:pStyle w:val="235"/>
        <w:spacing w:after="100" w:afterAutospacing="1"/>
        <w:outlineLvl w:val="9"/>
        <w:rPr>
          <w:rFonts w:hint="eastAsia" w:ascii="宋体" w:hAnsi="宋体" w:eastAsia="宋体" w:cs="宋体"/>
          <w:sz w:val="24"/>
          <w:szCs w:val="21"/>
        </w:rPr>
      </w:pPr>
      <w:bookmarkStart w:id="1163" w:name="_Toc528"/>
      <w:bookmarkStart w:id="1164" w:name="_Toc25913"/>
      <w:r>
        <w:rPr>
          <w:rFonts w:hint="eastAsia" w:ascii="宋体" w:hAnsi="宋体" w:eastAsia="宋体" w:cs="宋体"/>
          <w:sz w:val="24"/>
          <w:szCs w:val="21"/>
        </w:rPr>
        <w:t>十</w:t>
      </w:r>
      <w:r>
        <w:rPr>
          <w:rFonts w:hint="eastAsia" w:ascii="宋体" w:hAnsi="宋体" w:eastAsia="宋体" w:cs="宋体"/>
          <w:sz w:val="24"/>
          <w:szCs w:val="21"/>
          <w:lang w:val="en-US" w:eastAsia="zh-CN"/>
        </w:rPr>
        <w:t>五</w:t>
      </w:r>
      <w:r>
        <w:rPr>
          <w:rFonts w:hint="eastAsia" w:ascii="宋体" w:hAnsi="宋体" w:eastAsia="宋体" w:cs="宋体"/>
          <w:sz w:val="24"/>
          <w:szCs w:val="21"/>
        </w:rPr>
        <w:t>、项目经理简历表</w:t>
      </w:r>
      <w:bookmarkEnd w:id="1163"/>
      <w:bookmarkEnd w:id="1164"/>
    </w:p>
    <w:p>
      <w:pPr>
        <w:pStyle w:val="213"/>
        <w:outlineLvl w:val="9"/>
        <w:rPr>
          <w:rFonts w:hint="eastAsia" w:ascii="宋体" w:hAnsi="宋体" w:eastAsia="宋体" w:cs="宋体"/>
          <w:sz w:val="24"/>
          <w:szCs w:val="21"/>
        </w:rPr>
      </w:pPr>
      <w:bookmarkStart w:id="1165" w:name="_Toc32524"/>
      <w:bookmarkStart w:id="1166" w:name="_Toc2446"/>
      <w:bookmarkStart w:id="1167" w:name="_Toc22593"/>
      <w:r>
        <w:rPr>
          <w:rFonts w:hint="eastAsia" w:ascii="宋体" w:hAnsi="宋体" w:eastAsia="宋体" w:cs="宋体"/>
          <w:sz w:val="24"/>
          <w:szCs w:val="21"/>
        </w:rPr>
        <w:t>十</w:t>
      </w:r>
      <w:r>
        <w:rPr>
          <w:rFonts w:hint="eastAsia" w:ascii="宋体" w:hAnsi="宋体" w:eastAsia="宋体" w:cs="宋体"/>
          <w:sz w:val="24"/>
          <w:szCs w:val="21"/>
          <w:lang w:val="en-US" w:eastAsia="zh-CN"/>
        </w:rPr>
        <w:t>六</w:t>
      </w:r>
      <w:r>
        <w:rPr>
          <w:rFonts w:hint="eastAsia" w:ascii="宋体" w:hAnsi="宋体" w:eastAsia="宋体" w:cs="宋体"/>
          <w:sz w:val="24"/>
          <w:szCs w:val="21"/>
        </w:rPr>
        <w:t>、其他材料</w:t>
      </w:r>
      <w:bookmarkEnd w:id="1165"/>
      <w:bookmarkEnd w:id="1166"/>
      <w:bookmarkEnd w:id="1167"/>
      <w:bookmarkStart w:id="1168" w:name="_Toc24498"/>
      <w:bookmarkStart w:id="1169" w:name="_Toc6608"/>
      <w:bookmarkStart w:id="1170" w:name="_Toc256000030"/>
    </w:p>
    <w:p>
      <w:pPr>
        <w:pStyle w:val="213"/>
        <w:outlineLvl w:val="9"/>
        <w:rPr>
          <w:rFonts w:hint="eastAsia" w:ascii="宋体" w:hAnsi="宋体" w:eastAsia="宋体" w:cs="宋体"/>
          <w:sz w:val="24"/>
          <w:szCs w:val="21"/>
        </w:rPr>
      </w:pPr>
    </w:p>
    <w:p>
      <w:pPr>
        <w:pStyle w:val="213"/>
        <w:outlineLvl w:val="9"/>
        <w:rPr>
          <w:rFonts w:hint="eastAsia" w:ascii="宋体" w:hAnsi="宋体" w:eastAsia="宋体" w:cs="宋体"/>
          <w:sz w:val="24"/>
          <w:szCs w:val="21"/>
        </w:rPr>
      </w:pPr>
    </w:p>
    <w:p>
      <w:pPr>
        <w:pStyle w:val="213"/>
        <w:outlineLvl w:val="9"/>
        <w:rPr>
          <w:rFonts w:hint="eastAsia" w:ascii="宋体" w:hAnsi="宋体" w:eastAsia="宋体" w:cs="宋体"/>
          <w:sz w:val="24"/>
          <w:szCs w:val="21"/>
        </w:rPr>
      </w:pPr>
    </w:p>
    <w:p>
      <w:pPr>
        <w:pStyle w:val="213"/>
        <w:outlineLvl w:val="9"/>
        <w:rPr>
          <w:rFonts w:hint="eastAsia" w:ascii="宋体" w:hAnsi="宋体" w:eastAsia="宋体" w:cs="宋体"/>
          <w:sz w:val="24"/>
          <w:szCs w:val="21"/>
        </w:rPr>
      </w:pPr>
    </w:p>
    <w:p>
      <w:pPr>
        <w:pStyle w:val="213"/>
        <w:outlineLvl w:val="9"/>
        <w:rPr>
          <w:rFonts w:hint="eastAsia" w:ascii="宋体" w:hAnsi="宋体" w:eastAsia="宋体" w:cs="宋体"/>
          <w:sz w:val="24"/>
          <w:szCs w:val="21"/>
        </w:rPr>
      </w:pPr>
    </w:p>
    <w:p>
      <w:pPr>
        <w:pStyle w:val="213"/>
        <w:outlineLvl w:val="9"/>
        <w:rPr>
          <w:rFonts w:hint="eastAsia" w:ascii="宋体" w:hAnsi="宋体" w:eastAsia="宋体" w:cs="宋体"/>
          <w:sz w:val="24"/>
          <w:szCs w:val="21"/>
        </w:rPr>
      </w:pPr>
    </w:p>
    <w:p>
      <w:pPr>
        <w:pStyle w:val="213"/>
        <w:outlineLvl w:val="9"/>
        <w:rPr>
          <w:rFonts w:hint="eastAsia" w:ascii="宋体" w:hAnsi="宋体" w:eastAsia="宋体" w:cs="宋体"/>
          <w:sz w:val="24"/>
          <w:szCs w:val="21"/>
        </w:rPr>
      </w:pPr>
    </w:p>
    <w:p>
      <w:pPr>
        <w:pStyle w:val="213"/>
        <w:outlineLvl w:val="9"/>
        <w:rPr>
          <w:rFonts w:hint="eastAsia" w:ascii="宋体" w:hAnsi="宋体" w:eastAsia="宋体" w:cs="宋体"/>
          <w:sz w:val="24"/>
          <w:szCs w:val="21"/>
        </w:rPr>
      </w:pPr>
    </w:p>
    <w:p>
      <w:pPr>
        <w:pStyle w:val="213"/>
        <w:outlineLvl w:val="1"/>
        <w:rPr>
          <w:rFonts w:hint="eastAsia" w:ascii="宋体" w:hAnsi="宋体" w:eastAsia="宋体" w:cs="宋体"/>
        </w:rPr>
      </w:pPr>
      <w:bookmarkStart w:id="1171" w:name="_Toc7451"/>
      <w:bookmarkStart w:id="1172" w:name="_Toc32047"/>
      <w:r>
        <w:rPr>
          <w:rFonts w:hint="eastAsia" w:ascii="宋体" w:hAnsi="宋体" w:eastAsia="宋体" w:cs="宋体"/>
          <w:b/>
          <w:sz w:val="28"/>
          <w:szCs w:val="22"/>
          <w:lang w:val="en-US" w:eastAsia="zh-CN" w:bidi="ar-SA"/>
        </w:rPr>
        <w:t>一、投标文件封面</w:t>
      </w:r>
      <w:bookmarkEnd w:id="1168"/>
      <w:bookmarkEnd w:id="1169"/>
      <w:bookmarkEnd w:id="1170"/>
      <w:bookmarkEnd w:id="1171"/>
      <w:bookmarkEnd w:id="1172"/>
    </w:p>
    <w:p>
      <w:pPr>
        <w:pStyle w:val="120"/>
        <w:spacing w:line="360" w:lineRule="auto"/>
        <w:jc w:val="center"/>
        <w:rPr>
          <w:rFonts w:hint="eastAsia" w:ascii="宋体" w:hAnsi="宋体" w:cs="宋体"/>
          <w:color w:val="000000"/>
          <w:sz w:val="24"/>
        </w:rPr>
      </w:pPr>
    </w:p>
    <w:p>
      <w:pPr>
        <w:pStyle w:val="120"/>
        <w:spacing w:line="360" w:lineRule="auto"/>
        <w:jc w:val="center"/>
        <w:rPr>
          <w:rFonts w:hint="eastAsia" w:ascii="宋体" w:hAnsi="宋体" w:cs="宋体"/>
          <w:color w:val="000000"/>
          <w:sz w:val="24"/>
        </w:rPr>
      </w:pPr>
    </w:p>
    <w:p>
      <w:pPr>
        <w:pStyle w:val="120"/>
        <w:spacing w:line="360" w:lineRule="auto"/>
        <w:jc w:val="center"/>
        <w:rPr>
          <w:rFonts w:hint="eastAsia" w:ascii="宋体" w:hAnsi="宋体" w:cs="宋体"/>
          <w:color w:val="000000"/>
          <w:sz w:val="24"/>
        </w:rPr>
      </w:pPr>
    </w:p>
    <w:p>
      <w:pPr>
        <w:pStyle w:val="120"/>
        <w:spacing w:line="360" w:lineRule="auto"/>
        <w:jc w:val="center"/>
        <w:rPr>
          <w:rFonts w:hint="eastAsia" w:ascii="宋体" w:hAnsi="宋体" w:cs="宋体"/>
          <w:color w:val="000000"/>
          <w:sz w:val="24"/>
        </w:rPr>
      </w:pPr>
    </w:p>
    <w:p>
      <w:pPr>
        <w:pStyle w:val="120"/>
        <w:spacing w:line="360" w:lineRule="auto"/>
        <w:jc w:val="center"/>
        <w:rPr>
          <w:rFonts w:hint="eastAsia" w:ascii="宋体" w:hAnsi="宋体" w:cs="宋体"/>
          <w:color w:val="000000"/>
          <w:sz w:val="24"/>
        </w:rPr>
      </w:pPr>
    </w:p>
    <w:p>
      <w:pPr>
        <w:pStyle w:val="120"/>
        <w:spacing w:line="360" w:lineRule="auto"/>
        <w:jc w:val="center"/>
        <w:rPr>
          <w:rFonts w:hint="eastAsia" w:ascii="宋体" w:hAnsi="宋体" w:cs="宋体"/>
          <w:color w:val="000000"/>
          <w:sz w:val="24"/>
        </w:rPr>
      </w:pPr>
    </w:p>
    <w:p>
      <w:pPr>
        <w:pStyle w:val="12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b/>
          <w:bCs/>
          <w:color w:val="000000"/>
          <w:sz w:val="28"/>
          <w:szCs w:val="28"/>
        </w:rPr>
        <w:t>（项目名称）</w:t>
      </w:r>
    </w:p>
    <w:p>
      <w:pPr>
        <w:pStyle w:val="120"/>
        <w:spacing w:line="360" w:lineRule="auto"/>
        <w:jc w:val="center"/>
        <w:rPr>
          <w:rFonts w:hint="eastAsia" w:ascii="宋体" w:hAnsi="宋体" w:cs="宋体"/>
          <w:color w:val="000000"/>
          <w:sz w:val="28"/>
          <w:szCs w:val="28"/>
        </w:rPr>
      </w:pPr>
    </w:p>
    <w:p>
      <w:pPr>
        <w:pStyle w:val="120"/>
        <w:spacing w:line="360" w:lineRule="auto"/>
        <w:ind w:firstLine="1680" w:firstLineChars="600"/>
        <w:rPr>
          <w:rFonts w:hint="eastAsia"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b/>
          <w:bCs/>
          <w:color w:val="000000"/>
          <w:sz w:val="28"/>
          <w:szCs w:val="28"/>
        </w:rPr>
        <w:t>（包号）</w:t>
      </w:r>
    </w:p>
    <w:p>
      <w:pPr>
        <w:pStyle w:val="120"/>
        <w:spacing w:line="360" w:lineRule="auto"/>
        <w:jc w:val="center"/>
        <w:rPr>
          <w:rFonts w:hint="eastAsia" w:ascii="宋体" w:hAnsi="宋体" w:cs="宋体"/>
          <w:color w:val="000000"/>
          <w:sz w:val="24"/>
        </w:rPr>
      </w:pPr>
    </w:p>
    <w:p>
      <w:pPr>
        <w:pStyle w:val="120"/>
        <w:spacing w:line="360" w:lineRule="auto"/>
        <w:jc w:val="center"/>
        <w:rPr>
          <w:rFonts w:hint="eastAsia" w:ascii="宋体" w:hAnsi="宋体" w:cs="宋体"/>
          <w:color w:val="000000"/>
          <w:sz w:val="24"/>
        </w:rPr>
      </w:pPr>
    </w:p>
    <w:p>
      <w:pPr>
        <w:pStyle w:val="120"/>
        <w:spacing w:line="360" w:lineRule="auto"/>
        <w:jc w:val="center"/>
        <w:rPr>
          <w:rFonts w:hint="eastAsia" w:ascii="宋体" w:hAnsi="宋体" w:cs="宋体"/>
          <w:b/>
          <w:sz w:val="52"/>
          <w:szCs w:val="52"/>
        </w:rPr>
      </w:pPr>
      <w:r>
        <w:rPr>
          <w:rFonts w:hint="eastAsia" w:ascii="宋体" w:hAnsi="宋体" w:cs="宋体"/>
          <w:b/>
          <w:sz w:val="52"/>
          <w:szCs w:val="52"/>
        </w:rPr>
        <w:t>投标文件</w:t>
      </w:r>
    </w:p>
    <w:p>
      <w:pPr>
        <w:pStyle w:val="120"/>
        <w:spacing w:line="360" w:lineRule="auto"/>
        <w:jc w:val="center"/>
        <w:rPr>
          <w:rFonts w:hint="eastAsia" w:ascii="宋体" w:hAnsi="宋体" w:cs="宋体"/>
          <w:color w:val="000000"/>
          <w:sz w:val="24"/>
        </w:rPr>
      </w:pPr>
    </w:p>
    <w:p>
      <w:pPr>
        <w:pStyle w:val="120"/>
        <w:spacing w:line="360" w:lineRule="auto"/>
        <w:jc w:val="center"/>
        <w:rPr>
          <w:rFonts w:hint="eastAsia" w:ascii="宋体" w:hAnsi="宋体" w:cs="宋体"/>
          <w:color w:val="000000"/>
          <w:sz w:val="24"/>
        </w:rPr>
      </w:pPr>
    </w:p>
    <w:p>
      <w:pPr>
        <w:pStyle w:val="120"/>
        <w:spacing w:line="360" w:lineRule="auto"/>
        <w:jc w:val="center"/>
        <w:rPr>
          <w:rFonts w:hint="eastAsia" w:ascii="宋体" w:hAnsi="宋体" w:cs="宋体"/>
          <w:b/>
          <w:color w:val="000000"/>
          <w:sz w:val="24"/>
        </w:rPr>
      </w:pPr>
    </w:p>
    <w:p>
      <w:pPr>
        <w:pStyle w:val="120"/>
        <w:spacing w:line="360" w:lineRule="auto"/>
        <w:jc w:val="center"/>
        <w:rPr>
          <w:rFonts w:hint="eastAsia" w:ascii="宋体" w:hAnsi="宋体" w:cs="宋体"/>
          <w:b/>
          <w:color w:val="000000"/>
          <w:sz w:val="24"/>
        </w:rPr>
      </w:pPr>
    </w:p>
    <w:p>
      <w:pPr>
        <w:pStyle w:val="120"/>
        <w:spacing w:line="360" w:lineRule="auto"/>
        <w:jc w:val="center"/>
        <w:rPr>
          <w:rFonts w:hint="eastAsia" w:ascii="宋体" w:hAnsi="宋体" w:cs="宋体"/>
          <w:b/>
          <w:color w:val="000000"/>
          <w:sz w:val="24"/>
        </w:rPr>
      </w:pPr>
    </w:p>
    <w:p>
      <w:pPr>
        <w:pStyle w:val="120"/>
        <w:spacing w:line="360" w:lineRule="auto"/>
        <w:ind w:left="0" w:leftChars="0" w:firstLine="840" w:firstLineChars="300"/>
        <w:jc w:val="left"/>
        <w:rPr>
          <w:rFonts w:hint="eastAsia" w:ascii="宋体" w:hAnsi="宋体" w:cs="宋体"/>
          <w:color w:val="000000"/>
          <w:sz w:val="28"/>
          <w:szCs w:val="28"/>
          <w:u w:val="single"/>
        </w:rPr>
      </w:pPr>
      <w:r>
        <w:rPr>
          <w:rFonts w:hint="eastAsia" w:ascii="宋体" w:hAnsi="宋体" w:cs="宋体"/>
          <w:color w:val="000000"/>
          <w:sz w:val="28"/>
          <w:szCs w:val="28"/>
        </w:rPr>
        <w:t>投</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标</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人</w:t>
      </w:r>
      <w:r>
        <w:rPr>
          <w:rFonts w:hint="eastAsia" w:ascii="宋体" w:hAnsi="宋体" w:cs="宋体"/>
          <w:color w:val="000000"/>
          <w:sz w:val="28"/>
          <w:szCs w:val="28"/>
          <w:lang w:eastAsia="zh-CN"/>
        </w:rPr>
        <w:t>：</w:t>
      </w:r>
      <w:r>
        <w:rPr>
          <w:rFonts w:hint="eastAsia" w:ascii="宋体" w:hAnsi="宋体" w:cs="宋体"/>
          <w:color w:val="000000"/>
          <w:sz w:val="28"/>
          <w:szCs w:val="28"/>
          <w:u w:val="single"/>
        </w:rPr>
        <w:t xml:space="preserve">                     </w:t>
      </w:r>
      <w:r>
        <w:rPr>
          <w:rFonts w:hint="eastAsia" w:ascii="宋体" w:hAnsi="宋体" w:cs="宋体"/>
          <w:sz w:val="28"/>
          <w:szCs w:val="28"/>
        </w:rPr>
        <w:t>（</w:t>
      </w:r>
      <w:r>
        <w:rPr>
          <w:rFonts w:hint="eastAsia" w:ascii="宋体" w:hAnsi="宋体" w:cs="宋体"/>
          <w:sz w:val="28"/>
          <w:szCs w:val="28"/>
          <w:lang w:val="en-US" w:eastAsia="zh-CN"/>
        </w:rPr>
        <w:t>盖</w:t>
      </w:r>
      <w:r>
        <w:rPr>
          <w:rFonts w:hint="eastAsia" w:ascii="宋体" w:hAnsi="宋体" w:cs="宋体"/>
          <w:sz w:val="28"/>
          <w:szCs w:val="28"/>
        </w:rPr>
        <w:t>章）</w:t>
      </w:r>
    </w:p>
    <w:p>
      <w:pPr>
        <w:pStyle w:val="120"/>
        <w:spacing w:line="360" w:lineRule="auto"/>
        <w:ind w:left="0" w:leftChars="0" w:firstLine="840" w:firstLineChars="300"/>
        <w:jc w:val="left"/>
        <w:rPr>
          <w:rFonts w:hint="eastAsia" w:ascii="宋体" w:hAnsi="宋体" w:cs="宋体"/>
          <w:color w:val="000000"/>
          <w:sz w:val="28"/>
          <w:szCs w:val="28"/>
        </w:rPr>
      </w:pPr>
      <w:r>
        <w:rPr>
          <w:rFonts w:hint="eastAsia" w:ascii="宋体" w:hAnsi="宋体" w:cs="宋体"/>
          <w:color w:val="000000"/>
          <w:sz w:val="28"/>
          <w:szCs w:val="28"/>
        </w:rPr>
        <w:t>法定代表人</w:t>
      </w:r>
      <w:r>
        <w:rPr>
          <w:rFonts w:hint="eastAsia" w:ascii="宋体" w:hAnsi="宋体" w:cs="宋体"/>
          <w:color w:val="000000"/>
          <w:sz w:val="28"/>
          <w:szCs w:val="28"/>
          <w:lang w:eastAsia="zh-CN"/>
        </w:rPr>
        <w:t>：</w:t>
      </w:r>
      <w:r>
        <w:rPr>
          <w:rFonts w:hint="eastAsia" w:ascii="宋体" w:hAnsi="宋体" w:cs="宋体"/>
          <w:color w:val="000000"/>
          <w:sz w:val="28"/>
          <w:szCs w:val="28"/>
          <w:u w:val="single"/>
        </w:rPr>
        <w:t xml:space="preserve">                   </w:t>
      </w:r>
      <w:r>
        <w:rPr>
          <w:rFonts w:hint="eastAsia" w:ascii="宋体" w:hAnsi="宋体" w:cs="宋体"/>
          <w:color w:val="000000"/>
          <w:sz w:val="28"/>
          <w:szCs w:val="28"/>
        </w:rPr>
        <w:t>（</w:t>
      </w:r>
      <w:r>
        <w:rPr>
          <w:rFonts w:hint="eastAsia" w:ascii="宋体" w:hAnsi="宋体" w:cs="宋体"/>
          <w:color w:val="000000"/>
          <w:sz w:val="28"/>
          <w:szCs w:val="28"/>
          <w:lang w:val="en-US" w:eastAsia="zh-CN"/>
        </w:rPr>
        <w:t>签字或盖章</w:t>
      </w:r>
      <w:r>
        <w:rPr>
          <w:rFonts w:hint="eastAsia" w:ascii="宋体" w:hAnsi="宋体" w:cs="宋体"/>
          <w:color w:val="000000"/>
          <w:sz w:val="28"/>
          <w:szCs w:val="28"/>
        </w:rPr>
        <w:t>）</w:t>
      </w:r>
    </w:p>
    <w:p>
      <w:pPr>
        <w:pStyle w:val="120"/>
        <w:spacing w:line="360" w:lineRule="auto"/>
        <w:ind w:left="0" w:leftChars="0" w:firstLine="840" w:firstLineChars="300"/>
        <w:jc w:val="left"/>
        <w:rPr>
          <w:rFonts w:hint="eastAsia" w:ascii="宋体" w:hAnsi="宋体" w:eastAsia="宋体" w:cs="宋体"/>
          <w:color w:val="000000"/>
          <w:sz w:val="28"/>
          <w:szCs w:val="28"/>
        </w:rPr>
      </w:pPr>
      <w:r>
        <w:rPr>
          <w:rFonts w:hint="eastAsia" w:ascii="宋体" w:hAnsi="宋体" w:eastAsia="宋体" w:cs="宋体"/>
          <w:color w:val="000000"/>
          <w:sz w:val="28"/>
          <w:szCs w:val="28"/>
        </w:rPr>
        <w:t>日</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期</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（年/月/日）</w:t>
      </w:r>
      <w:bookmarkStart w:id="1173" w:name="_Toc10938"/>
      <w:bookmarkStart w:id="1174" w:name="_Toc3934"/>
      <w:bookmarkStart w:id="1175" w:name="_Toc256000031"/>
    </w:p>
    <w:p>
      <w:pPr>
        <w:pStyle w:val="143"/>
        <w:outlineLvl w:val="9"/>
        <w:rPr>
          <w:rFonts w:hint="eastAsia" w:ascii="宋体" w:hAnsi="宋体" w:cs="宋体"/>
          <w:color w:val="000000"/>
          <w:sz w:val="28"/>
          <w:szCs w:val="28"/>
        </w:rPr>
      </w:pPr>
    </w:p>
    <w:p>
      <w:pPr>
        <w:pStyle w:val="143"/>
        <w:outlineLvl w:val="9"/>
        <w:rPr>
          <w:rFonts w:hint="eastAsia" w:ascii="宋体" w:hAnsi="宋体" w:cs="宋体"/>
          <w:color w:val="000000"/>
          <w:sz w:val="28"/>
          <w:szCs w:val="28"/>
        </w:rPr>
      </w:pPr>
    </w:p>
    <w:p>
      <w:pPr>
        <w:pStyle w:val="143"/>
        <w:outlineLvl w:val="9"/>
        <w:rPr>
          <w:rFonts w:hint="eastAsia" w:ascii="宋体" w:hAnsi="宋体" w:cs="宋体"/>
          <w:color w:val="000000"/>
          <w:sz w:val="28"/>
          <w:szCs w:val="28"/>
        </w:rPr>
      </w:pPr>
    </w:p>
    <w:p>
      <w:pPr>
        <w:pStyle w:val="143"/>
        <w:outlineLvl w:val="9"/>
        <w:rPr>
          <w:rFonts w:hint="eastAsia" w:ascii="宋体" w:hAnsi="宋体" w:cs="宋体"/>
          <w:color w:val="000000"/>
          <w:sz w:val="28"/>
          <w:szCs w:val="28"/>
        </w:rPr>
      </w:pPr>
    </w:p>
    <w:p>
      <w:pPr>
        <w:pStyle w:val="213"/>
        <w:outlineLvl w:val="1"/>
        <w:rPr>
          <w:rFonts w:hint="eastAsia" w:ascii="宋体" w:hAnsi="宋体" w:eastAsia="宋体" w:cs="宋体"/>
          <w:b/>
          <w:sz w:val="28"/>
          <w:szCs w:val="22"/>
          <w:lang w:val="en-US" w:eastAsia="zh-CN" w:bidi="ar-SA"/>
        </w:rPr>
      </w:pPr>
      <w:bookmarkStart w:id="1176" w:name="_Toc28332"/>
      <w:bookmarkStart w:id="1177" w:name="_Toc5128"/>
      <w:bookmarkStart w:id="1178" w:name="_Toc6929"/>
      <w:r>
        <w:rPr>
          <w:rFonts w:hint="eastAsia" w:ascii="宋体" w:hAnsi="宋体" w:eastAsia="宋体" w:cs="宋体"/>
          <w:b/>
          <w:sz w:val="28"/>
          <w:szCs w:val="22"/>
          <w:lang w:val="en-US" w:eastAsia="zh-CN" w:bidi="ar-SA"/>
        </w:rPr>
        <w:t>二、供应商资格声明</w:t>
      </w:r>
      <w:bookmarkEnd w:id="1173"/>
      <w:bookmarkEnd w:id="1174"/>
      <w:bookmarkEnd w:id="1175"/>
      <w:bookmarkEnd w:id="1176"/>
      <w:bookmarkEnd w:id="1177"/>
      <w:bookmarkEnd w:id="1178"/>
    </w:p>
    <w:p>
      <w:pPr>
        <w:pStyle w:val="143"/>
        <w:jc w:val="center"/>
        <w:outlineLvl w:val="9"/>
        <w:rPr>
          <w:rFonts w:hint="eastAsia" w:ascii="宋体" w:hAnsi="宋体" w:eastAsia="宋体" w:cs="宋体"/>
          <w:b/>
          <w:sz w:val="24"/>
          <w:szCs w:val="24"/>
        </w:rPr>
      </w:pPr>
      <w:bookmarkStart w:id="1179" w:name="_Toc256000032"/>
    </w:p>
    <w:p>
      <w:pPr>
        <w:pStyle w:val="143"/>
        <w:jc w:val="center"/>
        <w:outlineLvl w:val="9"/>
        <w:rPr>
          <w:rFonts w:hint="eastAsia" w:ascii="宋体" w:hAnsi="宋体" w:eastAsia="宋体" w:cs="宋体"/>
          <w:b/>
          <w:sz w:val="24"/>
          <w:szCs w:val="24"/>
        </w:rPr>
      </w:pPr>
      <w:r>
        <w:rPr>
          <w:rFonts w:hint="eastAsia" w:ascii="宋体" w:hAnsi="宋体" w:eastAsia="宋体" w:cs="宋体"/>
          <w:b/>
          <w:sz w:val="24"/>
          <w:szCs w:val="24"/>
        </w:rPr>
        <w:t>(一) 供应商资格声明</w:t>
      </w:r>
      <w:bookmarkEnd w:id="1179"/>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1．供应商概况：                                   </w:t>
      </w:r>
    </w:p>
    <w:p>
      <w:pPr>
        <w:pStyle w:val="191"/>
        <w:spacing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 xml:space="preserve">        Ａ．供应商名称：</w:t>
      </w:r>
      <w:r>
        <w:rPr>
          <w:rFonts w:hint="eastAsia" w:ascii="宋体" w:hAnsi="宋体" w:eastAsia="宋体" w:cs="宋体"/>
          <w:sz w:val="24"/>
          <w:szCs w:val="24"/>
          <w:u w:val="single"/>
        </w:rPr>
        <w:t xml:space="preserve">                               </w:t>
      </w:r>
    </w:p>
    <w:p>
      <w:pPr>
        <w:pStyle w:val="191"/>
        <w:spacing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 xml:space="preserve">        Ｂ．注册地址：</w:t>
      </w:r>
      <w:r>
        <w:rPr>
          <w:rFonts w:hint="eastAsia" w:ascii="宋体" w:hAnsi="宋体" w:eastAsia="宋体" w:cs="宋体"/>
          <w:sz w:val="24"/>
          <w:szCs w:val="24"/>
          <w:u w:val="single"/>
        </w:rPr>
        <w:t xml:space="preserve">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邮编：</w:t>
      </w:r>
      <w:r>
        <w:rPr>
          <w:rFonts w:hint="eastAsia" w:ascii="宋体" w:hAnsi="宋体" w:eastAsia="宋体" w:cs="宋体"/>
          <w:sz w:val="24"/>
          <w:szCs w:val="24"/>
          <w:u w:val="single"/>
        </w:rPr>
        <w:t xml:space="preserve">         </w:t>
      </w:r>
    </w:p>
    <w:p>
      <w:pPr>
        <w:pStyle w:val="191"/>
        <w:spacing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 xml:space="preserve">        Ｃ．成立或注册日期：</w:t>
      </w:r>
      <w:r>
        <w:rPr>
          <w:rFonts w:hint="eastAsia" w:ascii="宋体" w:hAnsi="宋体" w:eastAsia="宋体" w:cs="宋体"/>
          <w:sz w:val="24"/>
          <w:szCs w:val="24"/>
          <w:u w:val="single"/>
        </w:rPr>
        <w:t xml:space="preserve">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Ｄ．法定代表人：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（姓名、职务）</w:t>
      </w:r>
    </w:p>
    <w:p>
      <w:pPr>
        <w:pStyle w:val="191"/>
        <w:spacing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 xml:space="preserve">        实收资本：</w:t>
      </w:r>
      <w:r>
        <w:rPr>
          <w:rFonts w:hint="eastAsia" w:ascii="宋体" w:hAnsi="宋体" w:eastAsia="宋体" w:cs="宋体"/>
          <w:sz w:val="24"/>
          <w:szCs w:val="24"/>
          <w:u w:val="single"/>
        </w:rPr>
        <w:t xml:space="preserve">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其中 国家资本：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法人资本：</w:t>
      </w:r>
      <w:r>
        <w:rPr>
          <w:rFonts w:hint="eastAsia" w:ascii="宋体" w:hAnsi="宋体" w:eastAsia="宋体" w:cs="宋体"/>
          <w:sz w:val="24"/>
          <w:szCs w:val="24"/>
          <w:u w:val="single"/>
        </w:rPr>
        <w:t xml:space="preserve">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个人资本：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外商资本：</w:t>
      </w:r>
      <w:r>
        <w:rPr>
          <w:rFonts w:hint="eastAsia" w:ascii="宋体" w:hAnsi="宋体" w:eastAsia="宋体" w:cs="宋体"/>
          <w:sz w:val="24"/>
          <w:szCs w:val="24"/>
          <w:u w:val="single"/>
        </w:rPr>
        <w:t xml:space="preserve">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Ｅ．最近资产负债表（到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日为止）。</w:t>
      </w:r>
    </w:p>
    <w:p>
      <w:pPr>
        <w:pStyle w:val="191"/>
        <w:spacing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 xml:space="preserve">        (1) 固定资产合计:</w:t>
      </w:r>
      <w:r>
        <w:rPr>
          <w:rFonts w:hint="eastAsia" w:ascii="宋体" w:hAnsi="宋体" w:eastAsia="宋体" w:cs="宋体"/>
          <w:sz w:val="24"/>
          <w:szCs w:val="24"/>
          <w:u w:val="single"/>
        </w:rPr>
        <w:t xml:space="preserve">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(2) 流动资产合计:</w:t>
      </w:r>
      <w:r>
        <w:rPr>
          <w:rFonts w:hint="eastAsia" w:ascii="宋体" w:hAnsi="宋体" w:eastAsia="宋体" w:cs="宋体"/>
          <w:sz w:val="24"/>
          <w:szCs w:val="24"/>
          <w:u w:val="single"/>
        </w:rPr>
        <w:t xml:space="preserve">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(3) 长期负债合计:</w:t>
      </w:r>
      <w:r>
        <w:rPr>
          <w:rFonts w:hint="eastAsia" w:ascii="宋体" w:hAnsi="宋体" w:eastAsia="宋体" w:cs="宋体"/>
          <w:sz w:val="24"/>
          <w:szCs w:val="24"/>
          <w:u w:val="single"/>
        </w:rPr>
        <w:t xml:space="preserve">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(4) 流动负债合计:</w:t>
      </w:r>
      <w:r>
        <w:rPr>
          <w:rFonts w:hint="eastAsia" w:ascii="宋体" w:hAnsi="宋体" w:eastAsia="宋体" w:cs="宋体"/>
          <w:sz w:val="24"/>
          <w:szCs w:val="24"/>
          <w:u w:val="single"/>
        </w:rPr>
        <w:t xml:space="preserve">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Ｆ．最近损益表（到</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日为止）。</w:t>
      </w:r>
    </w:p>
    <w:p>
      <w:pPr>
        <w:pStyle w:val="191"/>
        <w:spacing w:line="360" w:lineRule="auto"/>
        <w:ind w:firstLine="1440" w:firstLineChars="600"/>
        <w:rPr>
          <w:rFonts w:hint="eastAsia" w:ascii="宋体" w:hAnsi="宋体" w:eastAsia="宋体" w:cs="宋体"/>
          <w:sz w:val="24"/>
          <w:szCs w:val="24"/>
          <w:u w:val="single"/>
        </w:rPr>
      </w:pPr>
      <w:r>
        <w:rPr>
          <w:rFonts w:hint="eastAsia" w:ascii="宋体" w:hAnsi="宋体" w:eastAsia="宋体" w:cs="宋体"/>
          <w:sz w:val="24"/>
          <w:szCs w:val="24"/>
        </w:rPr>
        <w:t>(1) 本年（期）利润总额累计：</w:t>
      </w:r>
      <w:r>
        <w:rPr>
          <w:rFonts w:hint="eastAsia" w:ascii="宋体" w:hAnsi="宋体" w:eastAsia="宋体" w:cs="宋体"/>
          <w:sz w:val="24"/>
          <w:szCs w:val="24"/>
          <w:u w:val="single"/>
        </w:rPr>
        <w:t xml:space="preserve">            </w:t>
      </w:r>
    </w:p>
    <w:p>
      <w:pPr>
        <w:pStyle w:val="191"/>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 xml:space="preserve">(2) 本年（期）净利润累计： </w:t>
      </w:r>
      <w:r>
        <w:rPr>
          <w:rFonts w:hint="eastAsia" w:ascii="宋体" w:hAnsi="宋体" w:eastAsia="宋体" w:cs="宋体"/>
          <w:sz w:val="24"/>
          <w:szCs w:val="24"/>
          <w:u w:val="single"/>
        </w:rPr>
        <w:t xml:space="preserve">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2．我方在此声明，我方具备并满足下列各项条款的规定。本声明如有虚假或不实之处，我方将失去合格供应商资格且我方的磋商保证金将不予退还。</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（2）具有良好的商业信誉和健全的财务会计制度；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（3）具有履行合同所必需的设备和专业技术能力；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（4）有依法缴纳税收的良好记录； </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（5）近三年内，在经营活动中没有重大违法记录。</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3．最近三年投标工程在国内主要用户的名称和地址：</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3"/>
        <w:gridCol w:w="2476"/>
        <w:gridCol w:w="1126"/>
        <w:gridCol w:w="1575"/>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9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用户名称和地址</w:t>
            </w:r>
          </w:p>
        </w:tc>
        <w:tc>
          <w:tcPr>
            <w:tcW w:w="1333"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工程名称</w:t>
            </w:r>
          </w:p>
        </w:tc>
        <w:tc>
          <w:tcPr>
            <w:tcW w:w="60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848"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jc w:val="center"/>
              <w:rPr>
                <w:rFonts w:hint="eastAsia" w:ascii="宋体" w:hAnsi="宋体" w:eastAsia="宋体" w:cs="宋体"/>
                <w:sz w:val="24"/>
                <w:szCs w:val="24"/>
              </w:rPr>
            </w:pPr>
            <w:r>
              <w:rPr>
                <w:rFonts w:hint="eastAsia" w:ascii="宋体" w:hAnsi="宋体" w:eastAsia="宋体" w:cs="宋体"/>
                <w:sz w:val="24"/>
                <w:szCs w:val="24"/>
              </w:rPr>
              <w:t>竣工日期</w:t>
            </w:r>
          </w:p>
        </w:tc>
        <w:tc>
          <w:tcPr>
            <w:tcW w:w="814"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jc w:val="center"/>
              <w:rPr>
                <w:rFonts w:hint="eastAsia" w:ascii="宋体" w:hAnsi="宋体" w:eastAsia="宋体" w:cs="宋体"/>
                <w:sz w:val="24"/>
                <w:szCs w:val="24"/>
              </w:rPr>
            </w:pPr>
            <w:r>
              <w:rPr>
                <w:rFonts w:hint="eastAsia" w:ascii="宋体" w:hAnsi="宋体" w:eastAsia="宋体" w:cs="宋体"/>
                <w:sz w:val="24"/>
                <w:szCs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9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1333"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60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848"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814"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9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1333"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60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848"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814"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9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1333"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60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848"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814"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9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1333"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60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848"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814"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9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1333"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60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848"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814"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9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1333"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606"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848"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c>
          <w:tcPr>
            <w:tcW w:w="814" w:type="pct"/>
            <w:tcBorders>
              <w:top w:val="single" w:color="auto" w:sz="4" w:space="0"/>
              <w:left w:val="single" w:color="auto" w:sz="4" w:space="0"/>
              <w:bottom w:val="single" w:color="auto" w:sz="4" w:space="0"/>
              <w:right w:val="single" w:color="auto" w:sz="4" w:space="0"/>
            </w:tcBorders>
            <w:noWrap w:val="0"/>
            <w:vAlign w:val="top"/>
          </w:tcPr>
          <w:p>
            <w:pPr>
              <w:pStyle w:val="191"/>
              <w:spacing w:line="360" w:lineRule="auto"/>
              <w:ind w:firstLine="420"/>
              <w:rPr>
                <w:rFonts w:hint="eastAsia" w:ascii="宋体" w:hAnsi="宋体" w:eastAsia="宋体" w:cs="宋体"/>
                <w:sz w:val="24"/>
                <w:szCs w:val="24"/>
              </w:rPr>
            </w:pPr>
          </w:p>
        </w:tc>
      </w:tr>
    </w:tbl>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4. 附法人营业执照、资质证书、安全生产许可证复印件。</w:t>
      </w:r>
    </w:p>
    <w:p>
      <w:pPr>
        <w:pStyle w:val="191"/>
        <w:spacing w:line="360" w:lineRule="auto"/>
        <w:ind w:firstLine="420"/>
        <w:rPr>
          <w:rFonts w:hint="eastAsia" w:ascii="宋体" w:hAnsi="宋体" w:eastAsia="宋体" w:cs="宋体"/>
          <w:sz w:val="24"/>
          <w:szCs w:val="24"/>
        </w:rPr>
      </w:pP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就我方全部所知，兹证明上述声明是真实、正确的，并已提供了全部现有资料和数据，我方同意根据贵方要求出示文件予以证实。</w:t>
      </w:r>
    </w:p>
    <w:p>
      <w:pPr>
        <w:pStyle w:val="191"/>
        <w:spacing w:line="360" w:lineRule="auto"/>
        <w:ind w:firstLine="420"/>
        <w:rPr>
          <w:rFonts w:hint="eastAsia" w:ascii="宋体" w:hAnsi="宋体" w:eastAsia="宋体" w:cs="宋体"/>
          <w:sz w:val="24"/>
          <w:szCs w:val="24"/>
        </w:rPr>
      </w:pP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供应商（</w:t>
      </w:r>
      <w:r>
        <w:rPr>
          <w:rFonts w:hint="eastAsia" w:ascii="宋体" w:hAnsi="宋体" w:eastAsia="宋体" w:cs="宋体"/>
          <w:sz w:val="24"/>
          <w:szCs w:val="24"/>
          <w:lang w:val="en-US" w:eastAsia="zh-CN"/>
        </w:rPr>
        <w:t>盖章</w:t>
      </w:r>
      <w:r>
        <w:rPr>
          <w:rFonts w:hint="eastAsia" w:ascii="宋体" w:hAnsi="宋体" w:eastAsia="宋体" w:cs="宋体"/>
          <w:sz w:val="24"/>
          <w:szCs w:val="24"/>
        </w:rPr>
        <w:t>）：</w:t>
      </w:r>
    </w:p>
    <w:p>
      <w:pPr>
        <w:pStyle w:val="191"/>
        <w:spacing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 xml:space="preserve">   法定代表人或其授权代表（</w:t>
      </w:r>
      <w:r>
        <w:rPr>
          <w:rFonts w:hint="eastAsia" w:ascii="宋体" w:hAnsi="宋体" w:eastAsia="宋体" w:cs="宋体"/>
          <w:sz w:val="24"/>
          <w:szCs w:val="24"/>
          <w:lang w:val="en-US" w:eastAsia="zh-CN"/>
        </w:rPr>
        <w:t>签字</w:t>
      </w:r>
      <w:r>
        <w:rPr>
          <w:rFonts w:hint="eastAsia" w:ascii="宋体" w:hAnsi="宋体" w:eastAsia="宋体" w:cs="宋体"/>
          <w:sz w:val="24"/>
          <w:szCs w:val="24"/>
        </w:rPr>
        <w:t>）</w:t>
      </w:r>
      <w:r>
        <w:rPr>
          <w:rFonts w:hint="eastAsia" w:ascii="宋体" w:hAnsi="宋体" w:eastAsia="宋体" w:cs="宋体"/>
          <w:bCs/>
          <w:sz w:val="24"/>
          <w:szCs w:val="24"/>
        </w:rPr>
        <w:t>：</w:t>
      </w:r>
    </w:p>
    <w:p>
      <w:pPr>
        <w:pStyle w:val="19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pPr>
        <w:pStyle w:val="143"/>
        <w:outlineLvl w:val="0"/>
        <w:rPr>
          <w:rFonts w:hint="eastAsia" w:ascii="宋体" w:hAnsi="宋体" w:eastAsia="宋体" w:cs="宋体"/>
          <w:b/>
          <w:sz w:val="24"/>
          <w:szCs w:val="21"/>
          <w:lang w:val="en-US" w:eastAsia="zh-CN" w:bidi="ar-SA"/>
        </w:rPr>
      </w:pPr>
      <w:r>
        <w:rPr>
          <w:rFonts w:hint="eastAsia" w:ascii="宋体" w:hAnsi="宋体" w:eastAsia="宋体" w:cs="宋体"/>
          <w:sz w:val="24"/>
          <w:szCs w:val="24"/>
        </w:rPr>
        <w:br w:type="page"/>
      </w:r>
      <w:bookmarkStart w:id="1180" w:name="_Toc16957"/>
      <w:bookmarkStart w:id="1181" w:name="_Toc256000033"/>
      <w:bookmarkStart w:id="1182" w:name="_Toc8658"/>
      <w:bookmarkStart w:id="1183" w:name="_Toc16962"/>
      <w:bookmarkStart w:id="1184" w:name="_Toc18057"/>
      <w:bookmarkStart w:id="1185" w:name="_Toc12095"/>
      <w:r>
        <w:rPr>
          <w:rFonts w:hint="eastAsia" w:ascii="宋体" w:hAnsi="宋体" w:eastAsia="宋体" w:cs="宋体"/>
          <w:b/>
          <w:sz w:val="28"/>
          <w:szCs w:val="22"/>
          <w:lang w:val="en-US" w:eastAsia="zh-CN" w:bidi="ar-SA"/>
        </w:rPr>
        <w:t>三、法定代表人身份证明或附有法定代表人身份证明的授权书</w:t>
      </w:r>
      <w:bookmarkEnd w:id="1180"/>
      <w:bookmarkEnd w:id="1181"/>
      <w:bookmarkEnd w:id="1182"/>
      <w:bookmarkEnd w:id="1183"/>
      <w:bookmarkEnd w:id="1184"/>
      <w:bookmarkEnd w:id="1185"/>
    </w:p>
    <w:p>
      <w:pPr>
        <w:pStyle w:val="73"/>
        <w:spacing w:line="360" w:lineRule="auto"/>
        <w:jc w:val="center"/>
        <w:rPr>
          <w:rFonts w:hint="eastAsia" w:ascii="宋体" w:hAnsi="宋体" w:eastAsia="宋体" w:cs="宋体"/>
          <w:b/>
          <w:bCs/>
          <w:sz w:val="24"/>
          <w:szCs w:val="24"/>
          <w:lang w:val="en-US" w:eastAsia="zh-CN"/>
        </w:rPr>
      </w:pPr>
      <w:bookmarkStart w:id="1186" w:name="_Toc256000034"/>
      <w:r>
        <w:rPr>
          <w:rFonts w:hint="eastAsia" w:ascii="宋体" w:hAnsi="宋体" w:eastAsia="宋体" w:cs="宋体"/>
          <w:b/>
          <w:bCs/>
          <w:sz w:val="24"/>
          <w:szCs w:val="24"/>
          <w:lang w:val="en-US" w:eastAsia="zh-CN"/>
        </w:rPr>
        <w:t>（二）法定代表人身份证明或附有法定代表人身份证明的授权书</w:t>
      </w:r>
      <w:bookmarkEnd w:id="1186"/>
    </w:p>
    <w:p>
      <w:pPr>
        <w:pStyle w:val="73"/>
        <w:spacing w:line="360" w:lineRule="auto"/>
        <w:ind w:firstLine="420"/>
        <w:jc w:val="center"/>
        <w:rPr>
          <w:rFonts w:hint="eastAsia" w:ascii="宋体" w:hAnsi="宋体" w:eastAsia="宋体" w:cs="宋体"/>
          <w:sz w:val="24"/>
          <w:szCs w:val="24"/>
        </w:rPr>
      </w:pPr>
    </w:p>
    <w:p>
      <w:pPr>
        <w:pStyle w:val="73"/>
        <w:spacing w:line="360" w:lineRule="auto"/>
        <w:jc w:val="center"/>
        <w:rPr>
          <w:rFonts w:hint="eastAsia" w:ascii="宋体" w:hAnsi="宋体" w:eastAsia="宋体" w:cs="宋体"/>
          <w:b/>
          <w:sz w:val="24"/>
          <w:szCs w:val="24"/>
        </w:rPr>
      </w:pPr>
      <w:r>
        <w:rPr>
          <w:rFonts w:hint="eastAsia" w:ascii="宋体" w:hAnsi="宋体" w:eastAsia="宋体" w:cs="宋体"/>
          <w:b/>
          <w:bCs/>
          <w:sz w:val="24"/>
          <w:szCs w:val="24"/>
        </w:rPr>
        <w:t>法定代表人身份证明</w:t>
      </w:r>
    </w:p>
    <w:p>
      <w:pPr>
        <w:pStyle w:val="73"/>
        <w:spacing w:line="360" w:lineRule="auto"/>
        <w:ind w:firstLine="480"/>
        <w:rPr>
          <w:rFonts w:hint="eastAsia" w:ascii="宋体" w:hAnsi="宋体" w:eastAsia="宋体" w:cs="宋体"/>
          <w:sz w:val="24"/>
          <w:szCs w:val="24"/>
        </w:rPr>
      </w:pPr>
    </w:p>
    <w:p>
      <w:pPr>
        <w:pStyle w:val="73"/>
        <w:spacing w:line="360" w:lineRule="auto"/>
        <w:ind w:firstLine="420"/>
        <w:rPr>
          <w:rFonts w:hint="eastAsia" w:ascii="宋体" w:hAnsi="宋体" w:eastAsia="宋体" w:cs="宋体"/>
          <w:sz w:val="24"/>
          <w:szCs w:val="24"/>
        </w:rPr>
      </w:pPr>
    </w:p>
    <w:p>
      <w:pPr>
        <w:pStyle w:val="73"/>
        <w:spacing w:line="360" w:lineRule="auto"/>
        <w:ind w:firstLine="42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pPr>
        <w:pStyle w:val="73"/>
        <w:spacing w:line="360" w:lineRule="auto"/>
        <w:ind w:firstLine="420"/>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pPr>
        <w:pStyle w:val="73"/>
        <w:spacing w:line="360" w:lineRule="auto"/>
        <w:ind w:firstLine="42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pStyle w:val="73"/>
        <w:spacing w:line="360" w:lineRule="auto"/>
        <w:ind w:firstLine="42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73"/>
        <w:spacing w:line="360" w:lineRule="auto"/>
        <w:ind w:firstLine="420"/>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pStyle w:val="73"/>
        <w:spacing w:line="360" w:lineRule="auto"/>
        <w:ind w:firstLine="420"/>
        <w:rPr>
          <w:rFonts w:hint="eastAsia" w:ascii="宋体" w:hAnsi="宋体" w:eastAsia="宋体" w:cs="宋体"/>
          <w:sz w:val="24"/>
          <w:szCs w:val="24"/>
        </w:rPr>
      </w:pPr>
    </w:p>
    <w:p>
      <w:pPr>
        <w:pStyle w:val="73"/>
        <w:spacing w:line="360" w:lineRule="auto"/>
        <w:ind w:firstLine="42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性     别：</w:t>
      </w:r>
      <w:r>
        <w:rPr>
          <w:rFonts w:hint="eastAsia" w:ascii="宋体" w:hAnsi="宋体" w:eastAsia="宋体" w:cs="宋体"/>
          <w:sz w:val="24"/>
          <w:szCs w:val="24"/>
          <w:u w:val="single"/>
        </w:rPr>
        <w:t xml:space="preserve">              </w:t>
      </w:r>
    </w:p>
    <w:p>
      <w:pPr>
        <w:pStyle w:val="73"/>
        <w:spacing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年    龄：</w:t>
      </w:r>
      <w:r>
        <w:rPr>
          <w:rFonts w:hint="eastAsia" w:ascii="宋体" w:hAnsi="宋体" w:eastAsia="宋体" w:cs="宋体"/>
          <w:sz w:val="24"/>
          <w:szCs w:val="24"/>
          <w:u w:val="single"/>
        </w:rPr>
        <w:t xml:space="preserve">                    </w:t>
      </w: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p>
    <w:p>
      <w:pPr>
        <w:pStyle w:val="73"/>
        <w:spacing w:line="360" w:lineRule="auto"/>
        <w:ind w:firstLine="420"/>
        <w:rPr>
          <w:rFonts w:hint="eastAsia" w:ascii="宋体" w:hAnsi="宋体" w:eastAsia="宋体" w:cs="宋体"/>
          <w:sz w:val="24"/>
          <w:szCs w:val="24"/>
        </w:rPr>
      </w:pPr>
    </w:p>
    <w:p>
      <w:pPr>
        <w:pStyle w:val="73"/>
        <w:spacing w:line="360" w:lineRule="auto"/>
        <w:ind w:firstLine="420"/>
        <w:rPr>
          <w:rFonts w:hint="eastAsia" w:ascii="宋体" w:hAnsi="宋体" w:eastAsia="宋体" w:cs="宋体"/>
          <w:sz w:val="24"/>
          <w:szCs w:val="24"/>
        </w:rPr>
      </w:pPr>
    </w:p>
    <w:p>
      <w:pPr>
        <w:pStyle w:val="73"/>
        <w:spacing w:line="360" w:lineRule="auto"/>
        <w:ind w:firstLine="42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（供应商）的法定代表人。</w:t>
      </w:r>
    </w:p>
    <w:p>
      <w:pPr>
        <w:pStyle w:val="73"/>
        <w:spacing w:line="360" w:lineRule="auto"/>
        <w:ind w:firstLine="420"/>
        <w:rPr>
          <w:rFonts w:hint="eastAsia" w:ascii="宋体" w:hAnsi="宋体" w:eastAsia="宋体" w:cs="宋体"/>
          <w:sz w:val="24"/>
          <w:szCs w:val="24"/>
        </w:rPr>
      </w:pPr>
      <w:r>
        <w:rPr>
          <w:rFonts w:hint="eastAsia" w:ascii="宋体" w:hAnsi="宋体" w:eastAsia="宋体" w:cs="宋体"/>
          <w:sz w:val="24"/>
          <w:szCs w:val="24"/>
        </w:rPr>
        <w:t>特此证明。</w:t>
      </w:r>
    </w:p>
    <w:p>
      <w:pPr>
        <w:pStyle w:val="73"/>
        <w:spacing w:line="360" w:lineRule="auto"/>
        <w:ind w:firstLine="420"/>
        <w:rPr>
          <w:rFonts w:hint="eastAsia" w:ascii="宋体" w:hAnsi="宋体" w:eastAsia="宋体" w:cs="宋体"/>
          <w:sz w:val="24"/>
          <w:szCs w:val="24"/>
        </w:rPr>
      </w:pPr>
    </w:p>
    <w:p>
      <w:pPr>
        <w:pStyle w:val="73"/>
        <w:spacing w:line="360" w:lineRule="auto"/>
        <w:ind w:firstLine="420"/>
        <w:rPr>
          <w:rFonts w:hint="eastAsia" w:ascii="宋体" w:hAnsi="宋体" w:eastAsia="宋体" w:cs="宋体"/>
          <w:sz w:val="24"/>
          <w:szCs w:val="24"/>
        </w:rPr>
      </w:pPr>
      <w:r>
        <w:rPr>
          <w:rFonts w:hint="eastAsia" w:ascii="宋体" w:hAnsi="宋体" w:eastAsia="宋体" w:cs="宋体"/>
          <w:sz w:val="24"/>
          <w:szCs w:val="24"/>
        </w:rPr>
        <w:t>附：法定代表人身份证复印件正反面</w:t>
      </w:r>
    </w:p>
    <w:p>
      <w:pPr>
        <w:pStyle w:val="73"/>
        <w:spacing w:line="360" w:lineRule="auto"/>
        <w:ind w:firstLine="420"/>
        <w:rPr>
          <w:rFonts w:hint="eastAsia" w:ascii="宋体" w:hAnsi="宋体" w:eastAsia="宋体" w:cs="宋体"/>
          <w:sz w:val="24"/>
          <w:szCs w:val="24"/>
        </w:rPr>
      </w:pPr>
    </w:p>
    <w:p>
      <w:pPr>
        <w:pStyle w:val="73"/>
        <w:spacing w:line="360" w:lineRule="auto"/>
        <w:ind w:firstLine="420"/>
        <w:rPr>
          <w:rFonts w:hint="eastAsia" w:ascii="宋体" w:hAnsi="宋体" w:eastAsia="宋体" w:cs="宋体"/>
          <w:sz w:val="24"/>
          <w:szCs w:val="24"/>
        </w:rPr>
      </w:pPr>
    </w:p>
    <w:p>
      <w:pPr>
        <w:pStyle w:val="73"/>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供应商（</w:t>
      </w:r>
      <w:r>
        <w:rPr>
          <w:rFonts w:hint="eastAsia" w:ascii="宋体" w:hAnsi="宋体" w:eastAsia="宋体" w:cs="宋体"/>
          <w:sz w:val="24"/>
          <w:szCs w:val="24"/>
          <w:lang w:val="en-US" w:eastAsia="zh-CN"/>
        </w:rPr>
        <w:t>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pStyle w:val="73"/>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日        期：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pPr>
        <w:pStyle w:val="73"/>
        <w:spacing w:line="360" w:lineRule="auto"/>
        <w:ind w:firstLine="420"/>
        <w:rPr>
          <w:rFonts w:hint="eastAsia" w:ascii="宋体" w:hAnsi="宋体" w:eastAsia="宋体" w:cs="宋体"/>
          <w:sz w:val="24"/>
          <w:szCs w:val="24"/>
        </w:rPr>
      </w:pPr>
    </w:p>
    <w:p>
      <w:pPr>
        <w:pStyle w:val="73"/>
        <w:spacing w:line="360" w:lineRule="auto"/>
        <w:jc w:val="center"/>
        <w:rPr>
          <w:rFonts w:hint="eastAsia" w:ascii="宋体" w:hAnsi="宋体" w:eastAsia="宋体" w:cs="宋体"/>
          <w:b/>
          <w:bCs/>
          <w:sz w:val="24"/>
          <w:szCs w:val="24"/>
          <w:lang w:val="zh-CN"/>
        </w:rPr>
      </w:pPr>
      <w:r>
        <w:rPr>
          <w:rFonts w:hint="eastAsia" w:ascii="宋体" w:hAnsi="宋体" w:eastAsia="宋体" w:cs="宋体"/>
          <w:sz w:val="24"/>
          <w:szCs w:val="24"/>
        </w:rPr>
        <w:br w:type="page"/>
      </w:r>
      <w:r>
        <w:rPr>
          <w:rFonts w:hint="eastAsia" w:ascii="宋体" w:hAnsi="宋体" w:eastAsia="宋体" w:cs="宋体"/>
          <w:b/>
          <w:bCs/>
          <w:sz w:val="24"/>
          <w:szCs w:val="24"/>
          <w:lang w:val="zh-CN"/>
        </w:rPr>
        <w:t>授权委托书</w:t>
      </w:r>
    </w:p>
    <w:p>
      <w:pPr>
        <w:pStyle w:val="141"/>
        <w:adjustRightInd w:val="0"/>
        <w:snapToGrid w:val="0"/>
        <w:spacing w:line="360" w:lineRule="auto"/>
        <w:rPr>
          <w:rFonts w:hint="eastAsia" w:ascii="宋体" w:hAnsi="宋体" w:eastAsia="宋体" w:cs="宋体"/>
          <w:sz w:val="24"/>
          <w:szCs w:val="24"/>
        </w:rPr>
      </w:pPr>
    </w:p>
    <w:p>
      <w:pPr>
        <w:pStyle w:val="141"/>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(姓名)系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(供应商名称)的法定代表人，现授权委托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(姓名)为我公司本次磋商采购活动的授权代表，参加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(采购人)的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项目的磋商采购活动。授权代表在磋商、合同签订过程中所签署的一切文件和处理与之有关的一切事务，我均予以承认。</w:t>
      </w:r>
    </w:p>
    <w:p>
      <w:pPr>
        <w:pStyle w:val="141"/>
        <w:adjustRightInd w:val="0"/>
        <w:snapToGrid w:val="0"/>
        <w:spacing w:line="360" w:lineRule="auto"/>
        <w:rPr>
          <w:rFonts w:hint="eastAsia" w:ascii="宋体" w:hAnsi="宋体" w:eastAsia="宋体" w:cs="宋体"/>
          <w:sz w:val="24"/>
          <w:szCs w:val="24"/>
        </w:rPr>
      </w:pPr>
    </w:p>
    <w:p>
      <w:pPr>
        <w:pStyle w:val="141"/>
        <w:adjustRightInd w:val="0"/>
        <w:snapToGrid w:val="0"/>
        <w:spacing w:line="360" w:lineRule="auto"/>
        <w:ind w:left="412"/>
        <w:rPr>
          <w:rFonts w:hint="eastAsia" w:ascii="宋体" w:hAnsi="宋体" w:eastAsia="宋体" w:cs="宋体"/>
          <w:sz w:val="24"/>
          <w:szCs w:val="24"/>
        </w:rPr>
      </w:pPr>
      <w:r>
        <w:rPr>
          <w:rFonts w:hint="eastAsia" w:ascii="宋体" w:hAnsi="宋体" w:eastAsia="宋体" w:cs="宋体"/>
          <w:sz w:val="24"/>
          <w:szCs w:val="24"/>
        </w:rPr>
        <w:t>授权代表无转委托权。特此委托。</w:t>
      </w:r>
    </w:p>
    <w:p>
      <w:pPr>
        <w:pStyle w:val="141"/>
        <w:adjustRightInd w:val="0"/>
        <w:snapToGrid w:val="0"/>
        <w:spacing w:line="360" w:lineRule="auto"/>
        <w:ind w:left="412"/>
        <w:rPr>
          <w:rFonts w:hint="eastAsia" w:ascii="宋体" w:hAnsi="宋体" w:eastAsia="宋体" w:cs="宋体"/>
          <w:sz w:val="24"/>
          <w:szCs w:val="24"/>
        </w:rPr>
      </w:pPr>
    </w:p>
    <w:p>
      <w:pPr>
        <w:pStyle w:val="141"/>
        <w:adjustRightInd w:val="0"/>
        <w:snapToGrid w:val="0"/>
        <w:spacing w:line="360" w:lineRule="auto"/>
        <w:ind w:left="412"/>
        <w:rPr>
          <w:rFonts w:hint="eastAsia" w:ascii="宋体" w:hAnsi="宋体" w:eastAsia="宋体" w:cs="宋体"/>
          <w:sz w:val="24"/>
          <w:szCs w:val="24"/>
        </w:rPr>
      </w:pPr>
      <w:r>
        <w:rPr>
          <w:rFonts w:hint="eastAsia" w:ascii="宋体" w:hAnsi="宋体" w:eastAsia="宋体" w:cs="宋体"/>
          <w:sz w:val="24"/>
          <w:szCs w:val="24"/>
        </w:rPr>
        <w:t>授权代表（姓名）：               性别：                    年龄：</w:t>
      </w:r>
    </w:p>
    <w:p>
      <w:pPr>
        <w:pStyle w:val="141"/>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单           位：               部门：                    职务：</w:t>
      </w:r>
    </w:p>
    <w:p>
      <w:pPr>
        <w:pStyle w:val="141"/>
        <w:adjustRightInd w:val="0"/>
        <w:snapToGrid w:val="0"/>
        <w:spacing w:line="360" w:lineRule="auto"/>
        <w:ind w:firstLine="420"/>
        <w:rPr>
          <w:rFonts w:hint="eastAsia" w:ascii="宋体" w:hAnsi="宋体" w:eastAsia="宋体" w:cs="宋体"/>
          <w:sz w:val="24"/>
          <w:szCs w:val="24"/>
        </w:rPr>
      </w:pPr>
    </w:p>
    <w:p>
      <w:pPr>
        <w:pStyle w:val="141"/>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附：授权代表身份证复印件正反面</w:t>
      </w:r>
    </w:p>
    <w:p>
      <w:pPr>
        <w:pStyle w:val="141"/>
        <w:adjustRightInd w:val="0"/>
        <w:snapToGrid w:val="0"/>
        <w:spacing w:line="360" w:lineRule="auto"/>
        <w:ind w:firstLine="420"/>
        <w:rPr>
          <w:rFonts w:hint="eastAsia" w:ascii="宋体" w:hAnsi="宋体" w:eastAsia="宋体" w:cs="宋体"/>
          <w:sz w:val="24"/>
          <w:szCs w:val="24"/>
        </w:rPr>
      </w:pPr>
    </w:p>
    <w:p>
      <w:pPr>
        <w:pStyle w:val="141"/>
        <w:adjustRightInd w:val="0"/>
        <w:snapToGrid w:val="0"/>
        <w:spacing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供应商名称 (</w:t>
      </w:r>
      <w:r>
        <w:rPr>
          <w:rFonts w:hint="eastAsia" w:ascii="宋体" w:hAnsi="宋体" w:eastAsia="宋体" w:cs="宋体"/>
          <w:sz w:val="24"/>
          <w:szCs w:val="24"/>
          <w:lang w:val="en-US" w:eastAsia="zh-CN"/>
        </w:rPr>
        <w:t>盖</w:t>
      </w:r>
      <w:r>
        <w:rPr>
          <w:rFonts w:hint="eastAsia" w:ascii="宋体" w:hAnsi="宋体" w:eastAsia="宋体" w:cs="宋体"/>
          <w:sz w:val="24"/>
          <w:szCs w:val="24"/>
        </w:rPr>
        <w:t>章)：</w:t>
      </w:r>
    </w:p>
    <w:p>
      <w:pPr>
        <w:pStyle w:val="141"/>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法定代表人 (签章)：</w:t>
      </w:r>
    </w:p>
    <w:p>
      <w:pPr>
        <w:pStyle w:val="141"/>
        <w:adjustRightInd w:val="0"/>
        <w:snapToGrid w:val="0"/>
        <w:spacing w:line="360" w:lineRule="auto"/>
        <w:ind w:right="420" w:firstLine="480" w:firstLineChars="2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28"/>
        <w:outlineLvl w:val="9"/>
        <w:rPr>
          <w:rFonts w:hint="eastAsia" w:ascii="宋体" w:hAnsi="宋体" w:eastAsia="宋体" w:cs="宋体"/>
          <w:b/>
          <w:sz w:val="24"/>
          <w:szCs w:val="24"/>
        </w:rPr>
      </w:pPr>
      <w:bookmarkStart w:id="1187" w:name="_Toc28905"/>
      <w:bookmarkStart w:id="1188" w:name="_Toc6993"/>
      <w:bookmarkStart w:id="1189" w:name="_Toc256000035"/>
    </w:p>
    <w:p>
      <w:pPr>
        <w:pStyle w:val="128"/>
        <w:outlineLvl w:val="9"/>
        <w:rPr>
          <w:rFonts w:hint="eastAsia" w:ascii="宋体" w:hAnsi="宋体" w:eastAsia="宋体" w:cs="宋体"/>
          <w:b/>
          <w:sz w:val="24"/>
          <w:szCs w:val="24"/>
        </w:rPr>
      </w:pPr>
    </w:p>
    <w:p>
      <w:pPr>
        <w:pStyle w:val="143"/>
        <w:outlineLvl w:val="0"/>
        <w:rPr>
          <w:rFonts w:hint="eastAsia" w:ascii="宋体" w:hAnsi="宋体" w:eastAsia="宋体" w:cs="宋体"/>
          <w:b/>
          <w:sz w:val="28"/>
          <w:szCs w:val="22"/>
          <w:lang w:val="en-US" w:eastAsia="zh-CN" w:bidi="ar-SA"/>
        </w:rPr>
      </w:pPr>
      <w:bookmarkStart w:id="1190" w:name="_Toc25982"/>
      <w:bookmarkStart w:id="1191" w:name="_Toc17707"/>
      <w:bookmarkStart w:id="1192" w:name="_Toc11330"/>
      <w:r>
        <w:rPr>
          <w:rFonts w:hint="eastAsia" w:ascii="宋体" w:hAnsi="宋体" w:eastAsia="宋体" w:cs="宋体"/>
          <w:b/>
          <w:sz w:val="28"/>
          <w:szCs w:val="22"/>
          <w:lang w:val="en-US" w:eastAsia="zh-CN" w:bidi="ar-SA"/>
        </w:rPr>
        <w:t>四、近三年无重大违法记录信息证明文件</w:t>
      </w:r>
      <w:bookmarkEnd w:id="1187"/>
      <w:bookmarkEnd w:id="1188"/>
      <w:bookmarkEnd w:id="1189"/>
      <w:r>
        <w:rPr>
          <w:rFonts w:hint="eastAsia" w:ascii="宋体" w:hAnsi="宋体" w:eastAsia="宋体" w:cs="宋体"/>
          <w:b/>
          <w:sz w:val="28"/>
          <w:szCs w:val="22"/>
          <w:lang w:val="en-US" w:eastAsia="zh-CN" w:bidi="ar-SA"/>
        </w:rPr>
        <w:t>及反商业贿赂书</w:t>
      </w:r>
      <w:bookmarkEnd w:id="1190"/>
      <w:bookmarkEnd w:id="1191"/>
      <w:bookmarkEnd w:id="1192"/>
    </w:p>
    <w:p>
      <w:pPr>
        <w:pStyle w:val="128"/>
        <w:outlineLvl w:val="9"/>
        <w:rPr>
          <w:rFonts w:hint="eastAsia" w:ascii="宋体" w:hAnsi="宋体" w:eastAsia="宋体" w:cs="宋体"/>
          <w:b/>
          <w:sz w:val="24"/>
          <w:szCs w:val="24"/>
        </w:rPr>
      </w:pPr>
    </w:p>
    <w:p>
      <w:pPr>
        <w:pStyle w:val="128"/>
        <w:jc w:val="center"/>
        <w:outlineLvl w:val="9"/>
        <w:rPr>
          <w:rFonts w:hint="eastAsia" w:ascii="宋体" w:hAnsi="宋体" w:eastAsia="宋体" w:cs="宋体"/>
          <w:b/>
          <w:sz w:val="24"/>
          <w:szCs w:val="24"/>
        </w:rPr>
      </w:pPr>
      <w:r>
        <w:rPr>
          <w:rFonts w:hint="eastAsia" w:ascii="宋体" w:hAnsi="宋体" w:eastAsia="宋体" w:cs="宋体"/>
          <w:b/>
          <w:sz w:val="24"/>
          <w:szCs w:val="24"/>
        </w:rPr>
        <w:t>近三年无重大违法记录信息证明文件及反商业贿赂书</w:t>
      </w:r>
      <w:bookmarkStart w:id="1193" w:name="_Toc256000036"/>
      <w:bookmarkStart w:id="1194" w:name="_Toc21668"/>
      <w:bookmarkStart w:id="1195" w:name="_Toc31760"/>
    </w:p>
    <w:p>
      <w:pPr>
        <w:pStyle w:val="143"/>
        <w:outlineLvl w:val="9"/>
        <w:rPr>
          <w:rFonts w:hint="eastAsia" w:ascii="宋体" w:hAnsi="宋体" w:eastAsia="宋体" w:cs="宋体"/>
          <w:b/>
          <w:sz w:val="24"/>
          <w:szCs w:val="21"/>
          <w:lang w:val="en-US" w:eastAsia="zh-CN" w:bidi="ar-SA"/>
        </w:rPr>
      </w:pPr>
    </w:p>
    <w:p>
      <w:pPr>
        <w:pStyle w:val="143"/>
        <w:outlineLvl w:val="0"/>
        <w:rPr>
          <w:rFonts w:hint="eastAsia" w:ascii="宋体" w:hAnsi="宋体" w:eastAsia="宋体" w:cs="宋体"/>
          <w:b/>
          <w:sz w:val="28"/>
          <w:szCs w:val="22"/>
          <w:lang w:val="en-US" w:eastAsia="zh-CN" w:bidi="ar-SA"/>
        </w:rPr>
      </w:pPr>
      <w:bookmarkStart w:id="1196" w:name="_Toc14962"/>
      <w:bookmarkStart w:id="1197" w:name="_Toc16243"/>
      <w:bookmarkStart w:id="1198" w:name="_Toc32154"/>
      <w:r>
        <w:rPr>
          <w:rFonts w:hint="eastAsia" w:ascii="宋体" w:hAnsi="宋体" w:eastAsia="宋体" w:cs="宋体"/>
          <w:b/>
          <w:sz w:val="28"/>
          <w:szCs w:val="22"/>
          <w:lang w:val="en-US" w:eastAsia="zh-CN" w:bidi="ar-SA"/>
        </w:rPr>
        <w:t>五、其他资格证明文件</w:t>
      </w:r>
      <w:bookmarkEnd w:id="1193"/>
      <w:bookmarkEnd w:id="1194"/>
      <w:bookmarkEnd w:id="1195"/>
      <w:bookmarkEnd w:id="1196"/>
      <w:bookmarkEnd w:id="1197"/>
      <w:bookmarkEnd w:id="1198"/>
    </w:p>
    <w:p>
      <w:pPr>
        <w:pStyle w:val="128"/>
        <w:outlineLvl w:val="9"/>
        <w:rPr>
          <w:rFonts w:hint="eastAsia" w:ascii="宋体" w:hAnsi="宋体" w:eastAsia="宋体" w:cs="宋体"/>
          <w:b/>
          <w:sz w:val="24"/>
          <w:szCs w:val="24"/>
        </w:rPr>
      </w:pPr>
      <w:bookmarkStart w:id="1199" w:name="_Toc256000037"/>
    </w:p>
    <w:p>
      <w:pPr>
        <w:pStyle w:val="128"/>
        <w:jc w:val="center"/>
        <w:outlineLvl w:val="9"/>
        <w:rPr>
          <w:rFonts w:hint="eastAsia" w:ascii="宋体" w:hAnsi="宋体" w:eastAsia="宋体" w:cs="宋体"/>
          <w:b/>
          <w:sz w:val="24"/>
          <w:szCs w:val="24"/>
        </w:rPr>
      </w:pPr>
      <w:r>
        <w:rPr>
          <w:rFonts w:hint="eastAsia" w:ascii="宋体" w:hAnsi="宋体" w:eastAsia="宋体" w:cs="宋体"/>
          <w:b/>
          <w:sz w:val="24"/>
          <w:szCs w:val="24"/>
        </w:rPr>
        <w:t>其他资格证明文件</w:t>
      </w:r>
      <w:bookmarkEnd w:id="1199"/>
      <w:bookmarkStart w:id="1200" w:name="_Toc256000038"/>
      <w:bookmarkStart w:id="1201" w:name="_Toc19993"/>
      <w:bookmarkStart w:id="1202" w:name="_Toc28851"/>
    </w:p>
    <w:p>
      <w:pPr>
        <w:pStyle w:val="128"/>
        <w:outlineLvl w:val="9"/>
        <w:rPr>
          <w:rFonts w:hint="eastAsia" w:ascii="宋体" w:hAnsi="宋体" w:eastAsia="宋体" w:cs="宋体"/>
          <w:b/>
          <w:sz w:val="24"/>
          <w:szCs w:val="24"/>
        </w:rPr>
      </w:pPr>
    </w:p>
    <w:p>
      <w:pPr>
        <w:pStyle w:val="143"/>
        <w:outlineLvl w:val="0"/>
        <w:rPr>
          <w:rFonts w:hint="eastAsia" w:ascii="宋体" w:hAnsi="宋体" w:eastAsia="宋体" w:cs="宋体"/>
          <w:b/>
          <w:sz w:val="28"/>
          <w:szCs w:val="22"/>
          <w:lang w:val="en-US" w:eastAsia="zh-CN" w:bidi="ar-SA"/>
        </w:rPr>
      </w:pPr>
      <w:bookmarkStart w:id="1203" w:name="_Toc2838"/>
      <w:bookmarkStart w:id="1204" w:name="_Toc15253"/>
      <w:bookmarkStart w:id="1205" w:name="_Toc17575"/>
      <w:r>
        <w:rPr>
          <w:rFonts w:hint="eastAsia" w:ascii="宋体" w:hAnsi="宋体" w:eastAsia="宋体" w:cs="宋体"/>
          <w:b/>
          <w:sz w:val="28"/>
          <w:szCs w:val="22"/>
          <w:lang w:val="en-US" w:eastAsia="zh-CN" w:bidi="ar-SA"/>
        </w:rPr>
        <w:t>六、</w:t>
      </w:r>
      <w:bookmarkEnd w:id="1200"/>
      <w:bookmarkEnd w:id="1201"/>
      <w:bookmarkEnd w:id="1202"/>
      <w:r>
        <w:rPr>
          <w:rFonts w:hint="eastAsia" w:ascii="宋体" w:hAnsi="宋体" w:eastAsia="宋体" w:cs="宋体"/>
          <w:b/>
          <w:sz w:val="28"/>
          <w:szCs w:val="22"/>
          <w:lang w:val="en-US" w:eastAsia="zh-CN" w:bidi="ar-SA"/>
        </w:rPr>
        <w:t>磋商保证金</w:t>
      </w:r>
      <w:bookmarkEnd w:id="1203"/>
      <w:bookmarkEnd w:id="1204"/>
      <w:bookmarkEnd w:id="1205"/>
    </w:p>
    <w:p>
      <w:pPr>
        <w:pStyle w:val="128"/>
        <w:jc w:val="center"/>
        <w:outlineLvl w:val="9"/>
        <w:rPr>
          <w:rFonts w:hint="eastAsia" w:ascii="宋体" w:hAnsi="宋体" w:eastAsia="宋体" w:cs="宋体"/>
          <w:sz w:val="24"/>
          <w:szCs w:val="24"/>
        </w:rPr>
      </w:pPr>
      <w:r>
        <w:rPr>
          <w:rFonts w:hint="eastAsia" w:ascii="宋体" w:hAnsi="宋体" w:eastAsia="宋体" w:cs="宋体"/>
          <w:b/>
          <w:sz w:val="24"/>
          <w:szCs w:val="24"/>
        </w:rPr>
        <w:t>供应商按照采购文件要求缴纳磋商保证</w:t>
      </w:r>
      <w:r>
        <w:rPr>
          <w:rFonts w:hint="eastAsia" w:ascii="宋体" w:hAnsi="宋体" w:eastAsia="宋体" w:cs="宋体"/>
          <w:sz w:val="24"/>
          <w:szCs w:val="24"/>
        </w:rPr>
        <w:t>金，提供相应凭证。</w:t>
      </w:r>
      <w:r>
        <w:rPr>
          <w:rFonts w:hint="eastAsia" w:ascii="宋体" w:hAnsi="宋体" w:eastAsia="宋体" w:cs="宋体"/>
          <w:sz w:val="24"/>
          <w:szCs w:val="24"/>
        </w:rPr>
        <w:br w:type="page"/>
      </w:r>
      <w:bookmarkStart w:id="1206" w:name="_Toc22682"/>
      <w:bookmarkStart w:id="1207" w:name="_Toc256000039"/>
      <w:bookmarkStart w:id="1208" w:name="_Toc29111"/>
      <w:r>
        <w:rPr>
          <w:rFonts w:hint="eastAsia" w:ascii="宋体" w:hAnsi="宋体" w:eastAsia="宋体" w:cs="宋体"/>
          <w:b/>
          <w:sz w:val="28"/>
          <w:szCs w:val="22"/>
          <w:lang w:val="en-US" w:eastAsia="zh-CN" w:bidi="ar-SA"/>
        </w:rPr>
        <w:t>七、不参与围标串标承诺书</w:t>
      </w:r>
      <w:bookmarkEnd w:id="1206"/>
      <w:bookmarkEnd w:id="1207"/>
      <w:bookmarkEnd w:id="1208"/>
    </w:p>
    <w:p>
      <w:pPr>
        <w:pStyle w:val="206"/>
        <w:spacing w:line="640" w:lineRule="exact"/>
        <w:ind w:firstLine="426" w:firstLineChars="177"/>
        <w:jc w:val="center"/>
        <w:rPr>
          <w:rFonts w:hint="eastAsia" w:ascii="宋体" w:hAnsi="宋体" w:eastAsia="宋体" w:cs="宋体"/>
          <w:sz w:val="24"/>
          <w:szCs w:val="24"/>
        </w:rPr>
      </w:pPr>
      <w:r>
        <w:rPr>
          <w:rFonts w:hint="eastAsia" w:ascii="宋体" w:hAnsi="宋体" w:eastAsia="宋体" w:cs="宋体"/>
          <w:b/>
          <w:bCs/>
          <w:sz w:val="24"/>
          <w:szCs w:val="24"/>
        </w:rPr>
        <w:t>不参与围标串标承诺书</w:t>
      </w:r>
    </w:p>
    <w:p>
      <w:pPr>
        <w:pStyle w:val="206"/>
        <w:spacing w:line="6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本人作为</w:t>
      </w:r>
      <w:r>
        <w:rPr>
          <w:rFonts w:hint="eastAsia" w:ascii="宋体" w:hAnsi="宋体" w:eastAsia="宋体" w:cs="宋体"/>
          <w:sz w:val="24"/>
          <w:szCs w:val="24"/>
          <w:u w:val="single"/>
        </w:rPr>
        <w:t xml:space="preserve">（单位名称）                    </w:t>
      </w:r>
      <w:r>
        <w:rPr>
          <w:rFonts w:hint="eastAsia" w:ascii="宋体" w:hAnsi="宋体" w:eastAsia="宋体" w:cs="宋体"/>
          <w:sz w:val="24"/>
          <w:szCs w:val="24"/>
        </w:rPr>
        <w:t>的法人，清楚知晓我公司本项目投标活动，对以下事项作出承诺：</w:t>
      </w:r>
    </w:p>
    <w:p>
      <w:pPr>
        <w:pStyle w:val="206"/>
        <w:spacing w:line="6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一、我单位遵循公开、公平、公正、诚实守信的原则，依法依规参与本项目竞标。</w:t>
      </w:r>
    </w:p>
    <w:p>
      <w:pPr>
        <w:pStyle w:val="206"/>
        <w:spacing w:line="6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二、我单位在本项目招标投标活动中，未参与围标串标。</w:t>
      </w:r>
    </w:p>
    <w:p>
      <w:pPr>
        <w:pStyle w:val="206"/>
        <w:spacing w:line="64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三、我单位如被查实在本项目招标投标活动中存在围标串标的，递交投标文件行为作为实施串通投标违法行为的关键环节，本人承担直接责任人员法律责任，接受相应行政处罚和失信惩戒。</w:t>
      </w:r>
    </w:p>
    <w:p>
      <w:pPr>
        <w:pStyle w:val="206"/>
        <w:spacing w:line="640" w:lineRule="exact"/>
        <w:jc w:val="left"/>
        <w:rPr>
          <w:rFonts w:hint="eastAsia" w:ascii="宋体" w:hAnsi="宋体" w:eastAsia="宋体" w:cs="宋体"/>
          <w:sz w:val="24"/>
          <w:szCs w:val="24"/>
        </w:rPr>
      </w:pPr>
      <w:r>
        <w:rPr>
          <w:rFonts w:hint="eastAsia" w:ascii="宋体" w:hAnsi="宋体" w:eastAsia="宋体" w:cs="宋体"/>
          <w:sz w:val="24"/>
          <w:szCs w:val="24"/>
        </w:rPr>
        <w:t xml:space="preserve">项目编号：    </w:t>
      </w:r>
    </w:p>
    <w:p>
      <w:pPr>
        <w:pStyle w:val="206"/>
        <w:spacing w:line="640" w:lineRule="exact"/>
        <w:jc w:val="left"/>
        <w:rPr>
          <w:rFonts w:hint="eastAsia" w:ascii="宋体" w:hAnsi="宋体" w:eastAsia="宋体" w:cs="宋体"/>
          <w:sz w:val="24"/>
          <w:szCs w:val="24"/>
        </w:rPr>
      </w:pPr>
      <w:r>
        <w:rPr>
          <w:rFonts w:hint="eastAsia" w:ascii="宋体" w:hAnsi="宋体" w:eastAsia="宋体" w:cs="宋体"/>
          <w:sz w:val="24"/>
          <w:szCs w:val="24"/>
        </w:rPr>
        <w:t xml:space="preserve">标段号：    </w:t>
      </w:r>
    </w:p>
    <w:p>
      <w:pPr>
        <w:pStyle w:val="206"/>
        <w:spacing w:line="640" w:lineRule="exact"/>
        <w:jc w:val="left"/>
        <w:rPr>
          <w:rFonts w:hint="eastAsia" w:ascii="宋体" w:hAnsi="宋体" w:eastAsia="宋体" w:cs="宋体"/>
          <w:sz w:val="24"/>
          <w:szCs w:val="24"/>
        </w:rPr>
      </w:pPr>
      <w:r>
        <w:rPr>
          <w:rFonts w:hint="eastAsia" w:ascii="宋体" w:hAnsi="宋体" w:eastAsia="宋体" w:cs="宋体"/>
          <w:sz w:val="24"/>
          <w:szCs w:val="24"/>
        </w:rPr>
        <w:t>供应商单位名称：</w:t>
      </w:r>
    </w:p>
    <w:p>
      <w:pPr>
        <w:pStyle w:val="206"/>
        <w:spacing w:line="640" w:lineRule="exact"/>
        <w:jc w:val="left"/>
        <w:rPr>
          <w:rFonts w:hint="eastAsia" w:ascii="宋体" w:hAnsi="宋体" w:eastAsia="宋体" w:cs="宋体"/>
          <w:sz w:val="24"/>
          <w:szCs w:val="24"/>
        </w:rPr>
      </w:pPr>
      <w:r>
        <w:rPr>
          <w:rFonts w:hint="eastAsia" w:ascii="宋体" w:hAnsi="宋体" w:eastAsia="宋体" w:cs="宋体"/>
          <w:sz w:val="24"/>
          <w:szCs w:val="24"/>
        </w:rPr>
        <w:t>供应商法人签名：</w:t>
      </w:r>
    </w:p>
    <w:p>
      <w:pPr>
        <w:pStyle w:val="206"/>
        <w:spacing w:line="640" w:lineRule="exact"/>
        <w:jc w:val="left"/>
        <w:rPr>
          <w:rFonts w:hint="eastAsia" w:ascii="宋体" w:hAnsi="宋体" w:eastAsia="宋体" w:cs="宋体"/>
          <w:sz w:val="24"/>
          <w:szCs w:val="24"/>
        </w:rPr>
      </w:pPr>
      <w:r>
        <w:rPr>
          <w:rFonts w:hint="eastAsia" w:ascii="宋体" w:hAnsi="宋体" w:eastAsia="宋体" w:cs="宋体"/>
          <w:sz w:val="24"/>
          <w:szCs w:val="24"/>
        </w:rPr>
        <w:t xml:space="preserve">                                  </w:t>
      </w:r>
    </w:p>
    <w:p>
      <w:pPr>
        <w:pStyle w:val="206"/>
        <w:spacing w:line="640" w:lineRule="exact"/>
        <w:jc w:val="left"/>
        <w:rPr>
          <w:rFonts w:hint="eastAsia" w:ascii="宋体" w:hAnsi="宋体" w:eastAsia="宋体" w:cs="宋体"/>
          <w:sz w:val="24"/>
          <w:szCs w:val="24"/>
        </w:rPr>
      </w:pPr>
    </w:p>
    <w:p>
      <w:pPr>
        <w:pStyle w:val="206"/>
        <w:spacing w:line="640" w:lineRule="exact"/>
        <w:ind w:firstLine="4080" w:firstLineChars="1700"/>
        <w:jc w:val="left"/>
        <w:rPr>
          <w:rFonts w:hint="eastAsia" w:ascii="宋体" w:hAnsi="宋体" w:eastAsia="宋体" w:cs="宋体"/>
          <w:sz w:val="24"/>
          <w:szCs w:val="24"/>
        </w:rPr>
      </w:pPr>
      <w:r>
        <w:rPr>
          <w:rFonts w:hint="eastAsia" w:ascii="宋体" w:hAnsi="宋体" w:eastAsia="宋体" w:cs="宋体"/>
          <w:sz w:val="24"/>
          <w:szCs w:val="24"/>
        </w:rPr>
        <w:t xml:space="preserve">      盖  章</w:t>
      </w:r>
    </w:p>
    <w:p>
      <w:pPr>
        <w:pStyle w:val="206"/>
        <w:spacing w:line="640" w:lineRule="exact"/>
        <w:ind w:firstLine="4320" w:firstLineChars="1800"/>
        <w:jc w:val="left"/>
        <w:rPr>
          <w:rFonts w:hint="eastAsia" w:ascii="宋体" w:hAnsi="宋体" w:eastAsia="宋体" w:cs="宋体"/>
          <w:sz w:val="24"/>
          <w:szCs w:val="24"/>
        </w:rPr>
      </w:pPr>
      <w:r>
        <w:rPr>
          <w:rFonts w:hint="eastAsia" w:ascii="宋体" w:hAnsi="宋体" w:eastAsia="宋体" w:cs="宋体"/>
          <w:sz w:val="24"/>
          <w:szCs w:val="24"/>
        </w:rPr>
        <w:t xml:space="preserve"> 年   月   日</w:t>
      </w:r>
    </w:p>
    <w:p>
      <w:pPr>
        <w:pStyle w:val="169"/>
        <w:outlineLvl w:val="0"/>
        <w:rPr>
          <w:rFonts w:hint="eastAsia" w:ascii="宋体" w:hAnsi="宋体" w:eastAsia="宋体" w:cs="宋体"/>
          <w:sz w:val="24"/>
          <w:szCs w:val="24"/>
        </w:rPr>
      </w:pPr>
      <w:r>
        <w:rPr>
          <w:rFonts w:hint="eastAsia" w:ascii="宋体" w:hAnsi="宋体" w:eastAsia="宋体" w:cs="宋体"/>
          <w:sz w:val="24"/>
          <w:szCs w:val="24"/>
        </w:rPr>
        <w:br w:type="page"/>
      </w:r>
      <w:bookmarkStart w:id="1209" w:name="_Toc256000040"/>
      <w:bookmarkStart w:id="1210" w:name="_Toc8296"/>
      <w:bookmarkStart w:id="1211" w:name="_Toc3812"/>
      <w:bookmarkStart w:id="1212" w:name="_Toc11861"/>
      <w:bookmarkStart w:id="1213" w:name="_Toc22648"/>
      <w:bookmarkStart w:id="1214" w:name="_Toc24297"/>
      <w:r>
        <w:rPr>
          <w:rFonts w:hint="eastAsia" w:ascii="宋体" w:hAnsi="宋体" w:eastAsia="宋体" w:cs="宋体"/>
          <w:b/>
          <w:sz w:val="28"/>
          <w:szCs w:val="22"/>
          <w:lang w:val="en-US" w:eastAsia="zh-CN" w:bidi="ar-SA"/>
        </w:rPr>
        <w:t>八、中、小微企业声明函</w:t>
      </w:r>
      <w:bookmarkEnd w:id="1209"/>
      <w:bookmarkEnd w:id="1210"/>
      <w:bookmarkEnd w:id="1211"/>
      <w:bookmarkEnd w:id="1212"/>
      <w:bookmarkEnd w:id="1213"/>
      <w:bookmarkEnd w:id="1214"/>
    </w:p>
    <w:p>
      <w:pPr>
        <w:pStyle w:val="169"/>
        <w:jc w:val="center"/>
        <w:outlineLvl w:val="9"/>
        <w:rPr>
          <w:rFonts w:hint="eastAsia" w:ascii="宋体" w:hAnsi="宋体" w:eastAsia="宋体" w:cs="宋体"/>
          <w:sz w:val="24"/>
          <w:szCs w:val="24"/>
          <w:lang w:val="en-US" w:eastAsia="zh-CN"/>
        </w:rPr>
      </w:pPr>
      <w:bookmarkStart w:id="1215" w:name="_Toc256000041"/>
      <w:bookmarkStart w:id="1216" w:name="_Toc25642"/>
      <w:bookmarkStart w:id="1217" w:name="_Toc31547"/>
      <w:r>
        <w:rPr>
          <w:rFonts w:hint="eastAsia" w:ascii="宋体" w:hAnsi="宋体" w:eastAsia="宋体" w:cs="宋体"/>
          <w:sz w:val="24"/>
          <w:szCs w:val="24"/>
          <w:lang w:val="en-US" w:eastAsia="zh-CN"/>
        </w:rPr>
        <w:t>中小企业声明函</w:t>
      </w:r>
      <w:bookmarkEnd w:id="1215"/>
      <w:bookmarkEnd w:id="1216"/>
      <w:bookmarkEnd w:id="1217"/>
    </w:p>
    <w:p>
      <w:pPr>
        <w:pStyle w:val="169"/>
        <w:jc w:val="center"/>
        <w:outlineLvl w:val="9"/>
        <w:rPr>
          <w:rFonts w:hint="eastAsia" w:ascii="宋体" w:hAnsi="宋体" w:eastAsia="宋体" w:cs="宋体"/>
          <w:sz w:val="24"/>
          <w:szCs w:val="24"/>
          <w:lang w:val="en-US" w:eastAsia="zh-CN"/>
        </w:rPr>
      </w:pPr>
      <w:r>
        <w:rPr>
          <w:rFonts w:hint="eastAsia" w:ascii="宋体" w:hAnsi="宋体" w:eastAsia="宋体" w:cs="宋体"/>
          <w:b/>
          <w:sz w:val="24"/>
          <w:szCs w:val="21"/>
          <w:lang w:val="en-US" w:eastAsia="zh-CN" w:bidi="ar-SA"/>
        </w:rPr>
        <w:t>（中、小、微型企业产品价格需扣除的须提供）</w:t>
      </w:r>
    </w:p>
    <w:p>
      <w:pPr>
        <w:pStyle w:val="115"/>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spacing w:val="-2"/>
          <w:sz w:val="24"/>
          <w:szCs w:val="24"/>
          <w:u w:val="single"/>
          <w:lang w:val="en-US" w:eastAsia="zh-CN"/>
        </w:rPr>
        <w:t>（单位名称）</w:t>
      </w:r>
      <w:r>
        <w:rPr>
          <w:rFonts w:hint="eastAsia" w:ascii="宋体" w:hAnsi="宋体" w:eastAsia="宋体" w:cs="宋体"/>
          <w:spacing w:val="-2"/>
          <w:sz w:val="24"/>
          <w:szCs w:val="24"/>
          <w:lang w:val="en-US" w:eastAsia="zh-CN"/>
        </w:rPr>
        <w:t>的</w:t>
      </w:r>
      <w:r>
        <w:rPr>
          <w:rFonts w:hint="eastAsia" w:ascii="宋体" w:hAnsi="宋体" w:eastAsia="宋体" w:cs="宋体"/>
          <w:spacing w:val="-2"/>
          <w:sz w:val="24"/>
          <w:szCs w:val="24"/>
          <w:u w:val="single"/>
          <w:lang w:val="en-US" w:eastAsia="zh-CN"/>
        </w:rPr>
        <w:t>（项目名称）</w:t>
      </w:r>
      <w:r>
        <w:rPr>
          <w:rFonts w:hint="eastAsia" w:ascii="宋体" w:hAnsi="宋体" w:eastAsia="宋体" w:cs="宋体"/>
          <w:spacing w:val="-2"/>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115"/>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u w:val="single"/>
          <w:lang w:val="en-US" w:eastAsia="zh-CN"/>
        </w:rPr>
        <w:t>（标的名称）</w:t>
      </w:r>
      <w:r>
        <w:rPr>
          <w:rFonts w:hint="eastAsia" w:ascii="宋体" w:hAnsi="宋体" w:eastAsia="宋体" w:cs="宋体"/>
          <w:spacing w:val="-2"/>
          <w:sz w:val="24"/>
          <w:szCs w:val="24"/>
          <w:lang w:val="en-US" w:eastAsia="zh-CN"/>
        </w:rPr>
        <w:t>，属于</w:t>
      </w:r>
      <w:r>
        <w:rPr>
          <w:rFonts w:hint="eastAsia" w:ascii="宋体" w:hAnsi="宋体" w:eastAsia="宋体" w:cs="宋体"/>
          <w:spacing w:val="-2"/>
          <w:sz w:val="24"/>
          <w:szCs w:val="24"/>
          <w:u w:val="single"/>
          <w:lang w:val="en-US" w:eastAsia="zh-CN"/>
        </w:rPr>
        <w:t>（采购文件中明确的所属行业）</w:t>
      </w:r>
      <w:r>
        <w:rPr>
          <w:rFonts w:hint="eastAsia" w:ascii="宋体" w:hAnsi="宋体" w:eastAsia="宋体" w:cs="宋体"/>
          <w:spacing w:val="-2"/>
          <w:sz w:val="24"/>
          <w:szCs w:val="24"/>
          <w:lang w:val="en-US" w:eastAsia="zh-CN"/>
        </w:rPr>
        <w:t>；承建（承接）企业为</w:t>
      </w:r>
      <w:r>
        <w:rPr>
          <w:rFonts w:hint="eastAsia" w:ascii="宋体" w:hAnsi="宋体" w:eastAsia="宋体" w:cs="宋体"/>
          <w:spacing w:val="-2"/>
          <w:sz w:val="24"/>
          <w:szCs w:val="24"/>
          <w:u w:val="single"/>
          <w:lang w:val="en-US" w:eastAsia="zh-CN"/>
        </w:rPr>
        <w:t>（企业名称）</w:t>
      </w:r>
      <w:r>
        <w:rPr>
          <w:rFonts w:hint="eastAsia" w:ascii="宋体" w:hAnsi="宋体" w:eastAsia="宋体" w:cs="宋体"/>
          <w:spacing w:val="-2"/>
          <w:sz w:val="24"/>
          <w:szCs w:val="24"/>
          <w:lang w:val="en-US" w:eastAsia="zh-CN"/>
        </w:rPr>
        <w:t>，从业人员</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lang w:val="en-US" w:eastAsia="zh-CN"/>
        </w:rPr>
        <w:tab/>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 xml:space="preserve">人，营业收入为 </w:t>
      </w:r>
      <w:r>
        <w:rPr>
          <w:rFonts w:hint="eastAsia" w:ascii="宋体" w:hAnsi="宋体" w:eastAsia="宋体" w:cs="宋体"/>
          <w:spacing w:val="-2"/>
          <w:sz w:val="24"/>
          <w:szCs w:val="24"/>
          <w:u w:val="single"/>
          <w:lang w:val="en-US" w:eastAsia="zh-CN"/>
        </w:rPr>
        <w:tab/>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万元，资产总额为</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lang w:val="en-US" w:eastAsia="zh-CN"/>
        </w:rPr>
        <w:tab/>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万元，属于</w:t>
      </w:r>
      <w:r>
        <w:rPr>
          <w:rFonts w:hint="eastAsia" w:ascii="宋体" w:hAnsi="宋体" w:eastAsia="宋体" w:cs="宋体"/>
          <w:spacing w:val="-2"/>
          <w:sz w:val="24"/>
          <w:szCs w:val="24"/>
          <w:u w:val="single"/>
          <w:lang w:val="en-US" w:eastAsia="zh-CN"/>
        </w:rPr>
        <w:t>（中型企业、小型企业、微型企业）</w:t>
      </w:r>
      <w:r>
        <w:rPr>
          <w:rFonts w:hint="eastAsia" w:ascii="宋体" w:hAnsi="宋体" w:eastAsia="宋体" w:cs="宋体"/>
          <w:spacing w:val="-2"/>
          <w:sz w:val="24"/>
          <w:szCs w:val="24"/>
          <w:lang w:val="en-US" w:eastAsia="zh-CN"/>
        </w:rPr>
        <w:t>；</w:t>
      </w:r>
    </w:p>
    <w:p>
      <w:pPr>
        <w:pStyle w:val="115"/>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u w:val="single"/>
          <w:lang w:val="en-US" w:eastAsia="zh-CN"/>
        </w:rPr>
        <w:t>（标的名称）</w:t>
      </w:r>
      <w:r>
        <w:rPr>
          <w:rFonts w:hint="eastAsia" w:ascii="宋体" w:hAnsi="宋体" w:eastAsia="宋体" w:cs="宋体"/>
          <w:spacing w:val="-2"/>
          <w:sz w:val="24"/>
          <w:szCs w:val="24"/>
          <w:lang w:val="en-US" w:eastAsia="zh-CN"/>
        </w:rPr>
        <w:t>，属于</w:t>
      </w:r>
      <w:r>
        <w:rPr>
          <w:rFonts w:hint="eastAsia" w:ascii="宋体" w:hAnsi="宋体" w:eastAsia="宋体" w:cs="宋体"/>
          <w:spacing w:val="-2"/>
          <w:sz w:val="24"/>
          <w:szCs w:val="24"/>
          <w:u w:val="single"/>
          <w:lang w:val="en-US" w:eastAsia="zh-CN"/>
        </w:rPr>
        <w:t>（采购文件中明确的所属行业）</w:t>
      </w:r>
      <w:r>
        <w:rPr>
          <w:rFonts w:hint="eastAsia" w:ascii="宋体" w:hAnsi="宋体" w:eastAsia="宋体" w:cs="宋体"/>
          <w:spacing w:val="-2"/>
          <w:sz w:val="24"/>
          <w:szCs w:val="24"/>
          <w:lang w:val="en-US" w:eastAsia="zh-CN"/>
        </w:rPr>
        <w:t>；承建（承接）企业为</w:t>
      </w:r>
      <w:r>
        <w:rPr>
          <w:rFonts w:hint="eastAsia" w:ascii="宋体" w:hAnsi="宋体" w:eastAsia="宋体" w:cs="宋体"/>
          <w:spacing w:val="-2"/>
          <w:sz w:val="24"/>
          <w:szCs w:val="24"/>
          <w:u w:val="single"/>
          <w:lang w:val="en-US" w:eastAsia="zh-CN"/>
        </w:rPr>
        <w:t>（企业名称）</w:t>
      </w:r>
      <w:r>
        <w:rPr>
          <w:rFonts w:hint="eastAsia" w:ascii="宋体" w:hAnsi="宋体" w:eastAsia="宋体" w:cs="宋体"/>
          <w:spacing w:val="-2"/>
          <w:sz w:val="24"/>
          <w:szCs w:val="24"/>
          <w:lang w:val="en-US" w:eastAsia="zh-CN"/>
        </w:rPr>
        <w:t>，从业人员</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lang w:val="en-US" w:eastAsia="zh-CN"/>
        </w:rPr>
        <w:tab/>
      </w:r>
      <w:r>
        <w:rPr>
          <w:rFonts w:hint="eastAsia" w:ascii="宋体" w:hAnsi="宋体" w:eastAsia="宋体" w:cs="宋体"/>
          <w:spacing w:val="-2"/>
          <w:sz w:val="24"/>
          <w:szCs w:val="24"/>
          <w:lang w:val="en-US" w:eastAsia="zh-CN"/>
        </w:rPr>
        <w:t>人，营业收入为</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lang w:val="en-US" w:eastAsia="zh-CN"/>
        </w:rPr>
        <w:tab/>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万元，资产总额为</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lang w:val="en-US" w:eastAsia="zh-CN"/>
        </w:rPr>
        <w:tab/>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万元，属于</w:t>
      </w:r>
      <w:r>
        <w:rPr>
          <w:rFonts w:hint="eastAsia" w:ascii="宋体" w:hAnsi="宋体" w:eastAsia="宋体" w:cs="宋体"/>
          <w:spacing w:val="-2"/>
          <w:sz w:val="24"/>
          <w:szCs w:val="24"/>
          <w:u w:val="single"/>
          <w:lang w:val="en-US" w:eastAsia="zh-CN"/>
        </w:rPr>
        <w:t>（中型企业、小型企业、微型企业）</w:t>
      </w:r>
      <w:r>
        <w:rPr>
          <w:rFonts w:hint="eastAsia" w:ascii="宋体" w:hAnsi="宋体" w:eastAsia="宋体" w:cs="宋体"/>
          <w:spacing w:val="-2"/>
          <w:sz w:val="24"/>
          <w:szCs w:val="24"/>
          <w:lang w:val="en-US" w:eastAsia="zh-CN"/>
        </w:rPr>
        <w:t>；</w:t>
      </w:r>
    </w:p>
    <w:p>
      <w:pPr>
        <w:pStyle w:val="115"/>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p>
    <w:p>
      <w:pPr>
        <w:pStyle w:val="115"/>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以上企业，不属于大企业的分支机构，不存在控股股东为大企业的情形，也不存在与大企业的负责人为同一人的情形。</w:t>
      </w:r>
    </w:p>
    <w:p>
      <w:pPr>
        <w:pStyle w:val="115"/>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本企业对上述声明内容的真实性负责。如有虚假，将依 法承担相应责任。</w:t>
      </w:r>
    </w:p>
    <w:p>
      <w:pPr>
        <w:pStyle w:val="115"/>
        <w:spacing w:line="520" w:lineRule="exact"/>
        <w:ind w:firstLine="472" w:firstLineChars="200"/>
        <w:rPr>
          <w:rFonts w:hint="eastAsia" w:ascii="宋体" w:hAnsi="宋体" w:eastAsia="宋体" w:cs="宋体"/>
          <w:spacing w:val="-2"/>
          <w:sz w:val="24"/>
          <w:szCs w:val="24"/>
          <w:lang w:val="en-US" w:eastAsia="zh-CN"/>
        </w:rPr>
      </w:pPr>
    </w:p>
    <w:p>
      <w:pPr>
        <w:pStyle w:val="154"/>
        <w:spacing w:before="35" w:line="316" w:lineRule="auto"/>
        <w:ind w:right="2166" w:firstLine="4012" w:firstLineChars="17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企业名称（盖章）：</w:t>
      </w:r>
    </w:p>
    <w:p>
      <w:pPr>
        <w:pStyle w:val="115"/>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日期：</w:t>
      </w:r>
    </w:p>
    <w:p>
      <w:pPr>
        <w:pStyle w:val="223"/>
        <w:outlineLvl w:val="0"/>
        <w:rPr>
          <w:rFonts w:hint="eastAsia" w:ascii="宋体" w:hAnsi="宋体" w:eastAsia="宋体" w:cs="宋体"/>
          <w:sz w:val="24"/>
          <w:szCs w:val="24"/>
        </w:rPr>
      </w:pPr>
      <w:r>
        <w:rPr>
          <w:rFonts w:hint="eastAsia" w:ascii="宋体" w:hAnsi="宋体" w:eastAsia="宋体" w:cs="宋体"/>
          <w:sz w:val="24"/>
          <w:szCs w:val="24"/>
        </w:rPr>
        <w:br w:type="page"/>
      </w:r>
      <w:bookmarkStart w:id="1218" w:name="_Toc256000042"/>
      <w:bookmarkStart w:id="1219" w:name="_Toc5981"/>
      <w:bookmarkStart w:id="1220" w:name="_Toc16271"/>
      <w:bookmarkStart w:id="1221" w:name="_Toc13736"/>
      <w:bookmarkStart w:id="1222" w:name="_Toc30328"/>
      <w:bookmarkStart w:id="1223" w:name="_Toc5114"/>
      <w:r>
        <w:rPr>
          <w:rFonts w:hint="eastAsia" w:ascii="宋体" w:hAnsi="宋体" w:eastAsia="宋体" w:cs="宋体"/>
          <w:b/>
          <w:sz w:val="28"/>
          <w:szCs w:val="22"/>
          <w:lang w:val="en-US" w:eastAsia="zh-CN" w:bidi="ar-SA"/>
        </w:rPr>
        <w:t>九、磋商申请</w:t>
      </w:r>
      <w:bookmarkEnd w:id="1218"/>
      <w:bookmarkEnd w:id="1219"/>
      <w:bookmarkEnd w:id="1220"/>
      <w:bookmarkEnd w:id="1221"/>
      <w:bookmarkEnd w:id="1222"/>
      <w:bookmarkEnd w:id="1223"/>
    </w:p>
    <w:p>
      <w:pPr>
        <w:pStyle w:val="223"/>
        <w:jc w:val="center"/>
        <w:outlineLvl w:val="9"/>
        <w:rPr>
          <w:rFonts w:hint="eastAsia" w:ascii="宋体" w:hAnsi="宋体" w:eastAsia="宋体" w:cs="宋体"/>
          <w:b/>
          <w:sz w:val="24"/>
          <w:szCs w:val="24"/>
          <w:lang w:val="zh-CN"/>
        </w:rPr>
      </w:pPr>
      <w:bookmarkStart w:id="1224" w:name="_Toc256000043"/>
      <w:r>
        <w:rPr>
          <w:rFonts w:hint="eastAsia" w:ascii="宋体" w:hAnsi="宋体" w:eastAsia="宋体" w:cs="宋体"/>
          <w:b/>
          <w:sz w:val="24"/>
          <w:szCs w:val="24"/>
        </w:rPr>
        <w:t>（一）磋商申请</w:t>
      </w:r>
      <w:bookmarkEnd w:id="1224"/>
    </w:p>
    <w:p>
      <w:pPr>
        <w:pStyle w:val="138"/>
        <w:autoSpaceDE w:val="0"/>
        <w:autoSpaceDN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（项目单位）</w:t>
      </w:r>
    </w:p>
    <w:p>
      <w:pPr>
        <w:pStyle w:val="138"/>
        <w:autoSpaceDE w:val="0"/>
        <w:autoSpaceDN w:val="0"/>
        <w:adjustRightInd w:val="0"/>
        <w:spacing w:before="158" w:beforeLines="50" w:line="360" w:lineRule="auto"/>
        <w:ind w:left="239" w:leftChars="114"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根据贵方项目编号</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的磋商文件，我方正式提交响应文件正本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rPr>
        <w:t>份，副本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rPr>
        <w:t>份。</w:t>
      </w:r>
    </w:p>
    <w:p>
      <w:pPr>
        <w:pStyle w:val="1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据此函，签字人兹同意如下：</w:t>
      </w:r>
    </w:p>
    <w:p>
      <w:pPr>
        <w:pStyle w:val="1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1、总报价为（大写）</w:t>
      </w:r>
      <w:r>
        <w:rPr>
          <w:rFonts w:hint="eastAsia" w:ascii="宋体" w:hAnsi="宋体" w:eastAsia="宋体" w:cs="宋体"/>
          <w:b/>
          <w:sz w:val="24"/>
          <w:szCs w:val="24"/>
          <w:u w:val="single"/>
        </w:rPr>
        <w:t xml:space="preserve">             </w:t>
      </w:r>
      <w:r>
        <w:rPr>
          <w:rFonts w:hint="eastAsia" w:ascii="宋体" w:hAnsi="宋体" w:eastAsia="宋体" w:cs="宋体"/>
          <w:sz w:val="24"/>
          <w:szCs w:val="24"/>
        </w:rPr>
        <w:t>元人民币。</w:t>
      </w:r>
    </w:p>
    <w:p>
      <w:pPr>
        <w:pStyle w:val="1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2、我们同意提供贵方可能要求的与本次磋商有关的任何证据或资料。</w:t>
      </w:r>
    </w:p>
    <w:p>
      <w:pPr>
        <w:pStyle w:val="1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3、一旦我方成交，我方承诺将根据磋商文件与贵方签订书面合同，并严格履行合同义务。</w:t>
      </w:r>
    </w:p>
    <w:p>
      <w:pPr>
        <w:pStyle w:val="1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4、我方指派</w:t>
      </w:r>
      <w:r>
        <w:rPr>
          <w:rFonts w:hint="eastAsia" w:ascii="宋体" w:hAnsi="宋体" w:eastAsia="宋体" w:cs="宋体"/>
          <w:sz w:val="24"/>
          <w:szCs w:val="24"/>
          <w:u w:val="single"/>
        </w:rPr>
        <w:t xml:space="preserve">        </w:t>
      </w:r>
      <w:r>
        <w:rPr>
          <w:rFonts w:hint="eastAsia" w:ascii="宋体" w:hAnsi="宋体" w:eastAsia="宋体" w:cs="宋体"/>
          <w:sz w:val="24"/>
          <w:szCs w:val="24"/>
        </w:rPr>
        <w:t>（姓名）为项目经理，保证于承诺的时间内完成本次发包范围内的任务，并交付贵方验收、使用。</w:t>
      </w:r>
    </w:p>
    <w:p>
      <w:pPr>
        <w:pStyle w:val="1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pPr>
        <w:pStyle w:val="1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6、随本申请递交的磋商申请附录是本申请的组成部分，对我方构成约束力。</w:t>
      </w:r>
    </w:p>
    <w:p>
      <w:pPr>
        <w:pStyle w:val="1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7、与本申请有关的正式通讯地址为：</w:t>
      </w:r>
    </w:p>
    <w:p>
      <w:pPr>
        <w:pStyle w:val="138"/>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pStyle w:val="138"/>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pStyle w:val="138"/>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pStyle w:val="138"/>
        <w:spacing w:line="360" w:lineRule="auto"/>
        <w:ind w:firstLine="480" w:firstLineChars="200"/>
        <w:rPr>
          <w:rFonts w:hint="eastAsia" w:ascii="宋体" w:hAnsi="宋体" w:eastAsia="宋体" w:cs="宋体"/>
          <w:sz w:val="24"/>
          <w:szCs w:val="24"/>
        </w:rPr>
      </w:pPr>
    </w:p>
    <w:p>
      <w:pPr>
        <w:pStyle w:val="138"/>
        <w:spacing w:before="50" w:after="158"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法定代表人或其授权代表（签</w:t>
      </w:r>
      <w:r>
        <w:rPr>
          <w:rFonts w:hint="eastAsia" w:ascii="宋体" w:hAnsi="宋体" w:eastAsia="宋体" w:cs="宋体"/>
          <w:sz w:val="24"/>
          <w:szCs w:val="24"/>
          <w:lang w:val="en-US" w:eastAsia="zh-CN"/>
        </w:rPr>
        <w:t>字</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pStyle w:val="1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lang w:val="en-US" w:eastAsia="zh-CN"/>
        </w:rPr>
        <w:t>盖</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1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11"/>
        <w:outlineLvl w:val="0"/>
        <w:rPr>
          <w:rFonts w:hint="eastAsia" w:ascii="宋体" w:hAnsi="宋体" w:eastAsia="宋体" w:cs="宋体"/>
          <w:color w:val="000000"/>
          <w:sz w:val="24"/>
          <w:szCs w:val="24"/>
        </w:rPr>
      </w:pPr>
      <w:r>
        <w:rPr>
          <w:rFonts w:hint="eastAsia" w:ascii="宋体" w:hAnsi="宋体" w:eastAsia="宋体" w:cs="宋体"/>
          <w:sz w:val="24"/>
          <w:szCs w:val="24"/>
        </w:rPr>
        <w:br w:type="page"/>
      </w:r>
      <w:bookmarkStart w:id="1225" w:name="_Toc256000044"/>
      <w:bookmarkStart w:id="1226" w:name="_Toc14056"/>
      <w:bookmarkStart w:id="1227" w:name="_Toc14932"/>
      <w:bookmarkStart w:id="1228" w:name="_Toc17925"/>
      <w:bookmarkStart w:id="1229" w:name="_Toc2542"/>
      <w:bookmarkStart w:id="1230" w:name="_Toc30383"/>
      <w:r>
        <w:rPr>
          <w:rFonts w:hint="eastAsia" w:ascii="宋体" w:hAnsi="宋体" w:eastAsia="宋体" w:cs="宋体"/>
          <w:b/>
          <w:sz w:val="28"/>
          <w:szCs w:val="22"/>
          <w:lang w:val="en-US" w:eastAsia="zh-CN" w:bidi="ar-SA"/>
        </w:rPr>
        <w:t>十、磋商申请附录</w:t>
      </w:r>
      <w:bookmarkEnd w:id="1225"/>
      <w:bookmarkEnd w:id="1226"/>
      <w:bookmarkEnd w:id="1227"/>
      <w:bookmarkEnd w:id="1228"/>
      <w:bookmarkEnd w:id="1229"/>
      <w:bookmarkEnd w:id="1230"/>
    </w:p>
    <w:p>
      <w:pPr>
        <w:pStyle w:val="147"/>
        <w:spacing w:after="158" w:afterLines="50" w:line="360" w:lineRule="auto"/>
        <w:jc w:val="left"/>
        <w:rPr>
          <w:rFonts w:hint="eastAsia" w:ascii="宋体" w:hAnsi="宋体" w:eastAsia="宋体" w:cs="宋体"/>
          <w:b/>
          <w:sz w:val="24"/>
          <w:szCs w:val="24"/>
        </w:rPr>
      </w:pPr>
      <w:r>
        <w:rPr>
          <w:rFonts w:hint="eastAsia" w:ascii="宋体" w:hAnsi="宋体" w:eastAsia="宋体" w:cs="宋体"/>
          <w:sz w:val="24"/>
          <w:szCs w:val="24"/>
        </w:rPr>
        <w:t>项目名称：                                       报价单位：人民币元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47"/>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供应商全称</w:t>
            </w:r>
          </w:p>
        </w:tc>
        <w:tc>
          <w:tcPr>
            <w:tcW w:w="7371" w:type="dxa"/>
            <w:gridSpan w:val="2"/>
            <w:noWrap w:val="0"/>
            <w:vAlign w:val="center"/>
          </w:tcPr>
          <w:p>
            <w:pPr>
              <w:pStyle w:val="147"/>
              <w:spacing w:line="360" w:lineRule="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147"/>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总报价（元）</w:t>
            </w:r>
          </w:p>
        </w:tc>
        <w:tc>
          <w:tcPr>
            <w:tcW w:w="1501" w:type="dxa"/>
            <w:tcBorders>
              <w:bottom w:val="single" w:color="auto" w:sz="4" w:space="0"/>
            </w:tcBorders>
            <w:noWrap w:val="0"/>
            <w:vAlign w:val="center"/>
          </w:tcPr>
          <w:p>
            <w:pPr>
              <w:pStyle w:val="147"/>
              <w:spacing w:line="360" w:lineRule="auto"/>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大写</w:t>
            </w:r>
          </w:p>
        </w:tc>
        <w:tc>
          <w:tcPr>
            <w:tcW w:w="5870" w:type="dxa"/>
            <w:tcBorders>
              <w:bottom w:val="single" w:color="auto" w:sz="4" w:space="0"/>
            </w:tcBorders>
            <w:noWrap w:val="0"/>
            <w:vAlign w:val="center"/>
          </w:tcPr>
          <w:p>
            <w:pPr>
              <w:pStyle w:val="147"/>
              <w:spacing w:line="360" w:lineRule="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tcBorders>
              <w:bottom w:val="single" w:color="auto" w:sz="4" w:space="0"/>
            </w:tcBorders>
            <w:noWrap w:val="0"/>
            <w:vAlign w:val="center"/>
          </w:tcPr>
          <w:p>
            <w:pPr>
              <w:pStyle w:val="147"/>
              <w:spacing w:line="360" w:lineRule="auto"/>
              <w:jc w:val="center"/>
              <w:rPr>
                <w:rFonts w:hint="eastAsia" w:ascii="宋体" w:hAnsi="宋体" w:eastAsia="宋体" w:cs="宋体"/>
                <w:color w:val="000000"/>
                <w:sz w:val="24"/>
                <w:szCs w:val="24"/>
              </w:rPr>
            </w:pPr>
          </w:p>
        </w:tc>
        <w:tc>
          <w:tcPr>
            <w:tcW w:w="1501" w:type="dxa"/>
            <w:tcBorders>
              <w:bottom w:val="single" w:color="auto" w:sz="4" w:space="0"/>
            </w:tcBorders>
            <w:noWrap w:val="0"/>
            <w:vAlign w:val="center"/>
          </w:tcPr>
          <w:p>
            <w:pPr>
              <w:pStyle w:val="147"/>
              <w:spacing w:line="360" w:lineRule="auto"/>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小写</w:t>
            </w:r>
          </w:p>
        </w:tc>
        <w:tc>
          <w:tcPr>
            <w:tcW w:w="5870" w:type="dxa"/>
            <w:tcBorders>
              <w:bottom w:val="single" w:color="auto" w:sz="4" w:space="0"/>
            </w:tcBorders>
            <w:noWrap w:val="0"/>
            <w:vAlign w:val="center"/>
          </w:tcPr>
          <w:p>
            <w:pPr>
              <w:pStyle w:val="147"/>
              <w:spacing w:line="360" w:lineRule="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47"/>
              <w:spacing w:line="360" w:lineRule="auto"/>
              <w:ind w:firstLine="420"/>
              <w:jc w:val="center"/>
              <w:rPr>
                <w:rFonts w:hint="eastAsia" w:ascii="宋体" w:hAnsi="宋体" w:eastAsia="宋体" w:cs="宋体"/>
                <w:sz w:val="24"/>
                <w:szCs w:val="24"/>
              </w:rPr>
            </w:pPr>
            <w:r>
              <w:rPr>
                <w:rFonts w:hint="eastAsia" w:ascii="宋体" w:hAnsi="宋体" w:eastAsia="宋体" w:cs="宋体"/>
                <w:sz w:val="24"/>
                <w:szCs w:val="24"/>
              </w:rPr>
              <w:t>磋商保证金</w:t>
            </w:r>
          </w:p>
        </w:tc>
        <w:tc>
          <w:tcPr>
            <w:tcW w:w="7371" w:type="dxa"/>
            <w:gridSpan w:val="2"/>
            <w:noWrap w:val="0"/>
            <w:vAlign w:val="center"/>
          </w:tcPr>
          <w:p>
            <w:pPr>
              <w:pStyle w:val="147"/>
              <w:spacing w:line="360" w:lineRule="auto"/>
              <w:jc w:val="left"/>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47"/>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响应文件有效期</w:t>
            </w:r>
          </w:p>
        </w:tc>
        <w:tc>
          <w:tcPr>
            <w:tcW w:w="7371" w:type="dxa"/>
            <w:gridSpan w:val="2"/>
            <w:noWrap w:val="0"/>
            <w:vAlign w:val="center"/>
          </w:tcPr>
          <w:p>
            <w:pPr>
              <w:pStyle w:val="147"/>
              <w:spacing w:line="360" w:lineRule="auto"/>
              <w:jc w:val="left"/>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47"/>
              <w:spacing w:line="360" w:lineRule="auto"/>
              <w:ind w:firstLine="420"/>
              <w:jc w:val="center"/>
              <w:rPr>
                <w:rFonts w:hint="eastAsia" w:ascii="宋体" w:hAnsi="宋体" w:eastAsia="宋体" w:cs="宋体"/>
                <w:sz w:val="24"/>
                <w:szCs w:val="24"/>
              </w:rPr>
            </w:pPr>
            <w:r>
              <w:rPr>
                <w:rFonts w:hint="eastAsia" w:ascii="宋体" w:hAnsi="宋体" w:eastAsia="宋体" w:cs="宋体"/>
                <w:sz w:val="24"/>
                <w:szCs w:val="24"/>
              </w:rPr>
              <w:t>工期</w:t>
            </w:r>
          </w:p>
        </w:tc>
        <w:tc>
          <w:tcPr>
            <w:tcW w:w="7371" w:type="dxa"/>
            <w:gridSpan w:val="2"/>
            <w:noWrap w:val="0"/>
            <w:vAlign w:val="center"/>
          </w:tcPr>
          <w:p>
            <w:pPr>
              <w:pStyle w:val="147"/>
              <w:spacing w:line="360" w:lineRule="auto"/>
              <w:jc w:val="left"/>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47"/>
              <w:spacing w:line="360" w:lineRule="auto"/>
              <w:ind w:firstLine="420"/>
              <w:jc w:val="center"/>
              <w:rPr>
                <w:rFonts w:hint="eastAsia" w:ascii="宋体" w:hAnsi="宋体" w:eastAsia="宋体" w:cs="宋体"/>
                <w:sz w:val="24"/>
                <w:szCs w:val="24"/>
              </w:rPr>
            </w:pPr>
            <w:r>
              <w:rPr>
                <w:rFonts w:hint="eastAsia" w:ascii="宋体" w:hAnsi="宋体" w:eastAsia="宋体" w:cs="宋体"/>
                <w:sz w:val="24"/>
                <w:szCs w:val="24"/>
              </w:rPr>
              <w:t>质量标准</w:t>
            </w:r>
          </w:p>
        </w:tc>
        <w:tc>
          <w:tcPr>
            <w:tcW w:w="7371" w:type="dxa"/>
            <w:gridSpan w:val="2"/>
            <w:noWrap w:val="0"/>
            <w:vAlign w:val="center"/>
          </w:tcPr>
          <w:p>
            <w:pPr>
              <w:pStyle w:val="147"/>
              <w:spacing w:line="360" w:lineRule="auto"/>
              <w:jc w:val="left"/>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47"/>
              <w:spacing w:line="360" w:lineRule="auto"/>
              <w:ind w:firstLine="420"/>
              <w:jc w:val="center"/>
              <w:rPr>
                <w:rFonts w:hint="eastAsia" w:ascii="宋体" w:hAnsi="宋体" w:eastAsia="宋体" w:cs="宋体"/>
                <w:sz w:val="24"/>
                <w:szCs w:val="24"/>
              </w:rPr>
            </w:pPr>
            <w:r>
              <w:rPr>
                <w:rFonts w:hint="eastAsia" w:ascii="宋体" w:hAnsi="宋体" w:eastAsia="宋体" w:cs="宋体"/>
                <w:sz w:val="24"/>
                <w:szCs w:val="24"/>
              </w:rPr>
              <w:t>质量保证期</w:t>
            </w:r>
          </w:p>
        </w:tc>
        <w:tc>
          <w:tcPr>
            <w:tcW w:w="7371" w:type="dxa"/>
            <w:gridSpan w:val="2"/>
            <w:noWrap w:val="0"/>
            <w:vAlign w:val="center"/>
          </w:tcPr>
          <w:p>
            <w:pPr>
              <w:pStyle w:val="147"/>
              <w:spacing w:line="360" w:lineRule="auto"/>
              <w:jc w:val="left"/>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47"/>
              <w:spacing w:line="360" w:lineRule="auto"/>
              <w:ind w:firstLine="420"/>
              <w:jc w:val="center"/>
              <w:rPr>
                <w:rFonts w:hint="eastAsia" w:ascii="宋体" w:hAnsi="宋体" w:eastAsia="宋体" w:cs="宋体"/>
                <w:sz w:val="24"/>
                <w:szCs w:val="24"/>
              </w:rPr>
            </w:pPr>
            <w:r>
              <w:rPr>
                <w:rFonts w:hint="eastAsia" w:ascii="宋体" w:hAnsi="宋体" w:eastAsia="宋体" w:cs="宋体"/>
                <w:sz w:val="24"/>
                <w:szCs w:val="24"/>
              </w:rPr>
              <w:t>质量磋商保证金</w:t>
            </w:r>
          </w:p>
        </w:tc>
        <w:tc>
          <w:tcPr>
            <w:tcW w:w="7371" w:type="dxa"/>
            <w:gridSpan w:val="2"/>
            <w:noWrap w:val="0"/>
            <w:vAlign w:val="center"/>
          </w:tcPr>
          <w:p>
            <w:pPr>
              <w:pStyle w:val="147"/>
              <w:spacing w:line="360" w:lineRule="auto"/>
              <w:jc w:val="left"/>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47"/>
              <w:spacing w:line="360" w:lineRule="auto"/>
              <w:ind w:firstLine="42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7371" w:type="dxa"/>
            <w:gridSpan w:val="2"/>
            <w:noWrap w:val="0"/>
            <w:vAlign w:val="center"/>
          </w:tcPr>
          <w:p>
            <w:pPr>
              <w:pStyle w:val="147"/>
              <w:spacing w:line="360" w:lineRule="auto"/>
              <w:jc w:val="left"/>
              <w:rPr>
                <w:rFonts w:hint="eastAsia" w:ascii="宋体" w:hAnsi="宋体" w:eastAsia="宋体" w:cs="宋体"/>
                <w:b/>
                <w:color w:val="000000"/>
                <w:sz w:val="24"/>
                <w:szCs w:val="24"/>
              </w:rPr>
            </w:pPr>
            <w:r>
              <w:rPr>
                <w:rFonts w:hint="eastAsia" w:ascii="宋体" w:hAnsi="宋体" w:eastAsia="宋体" w:cs="宋体"/>
                <w:color w:val="000000"/>
                <w:sz w:val="24"/>
                <w:szCs w:val="24"/>
              </w:rPr>
              <w:t>供应商在磋商文件中规定的实质性要求和条件的基础上，可做出其他有利于采购人的承诺。此类承诺可在本表中予以补充填写。</w:t>
            </w:r>
          </w:p>
        </w:tc>
      </w:tr>
    </w:tbl>
    <w:p>
      <w:pPr>
        <w:pStyle w:val="147"/>
        <w:spacing w:line="360" w:lineRule="auto"/>
        <w:ind w:firstLine="480" w:firstLineChars="200"/>
        <w:rPr>
          <w:rFonts w:hint="eastAsia" w:ascii="宋体" w:hAnsi="宋体" w:eastAsia="宋体" w:cs="宋体"/>
          <w:sz w:val="24"/>
          <w:szCs w:val="24"/>
        </w:rPr>
      </w:pPr>
    </w:p>
    <w:p>
      <w:pPr>
        <w:pStyle w:val="147"/>
        <w:spacing w:before="50" w:after="158"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法定代表人或其授权代表（签</w:t>
      </w:r>
      <w:r>
        <w:rPr>
          <w:rFonts w:hint="eastAsia" w:ascii="宋体" w:hAnsi="宋体" w:eastAsia="宋体" w:cs="宋体"/>
          <w:sz w:val="24"/>
          <w:szCs w:val="24"/>
          <w:lang w:val="en-US" w:eastAsia="zh-CN"/>
        </w:rPr>
        <w:t>字</w:t>
      </w:r>
      <w:r>
        <w:rPr>
          <w:rFonts w:hint="eastAsia" w:ascii="宋体" w:hAnsi="宋体" w:eastAsia="宋体" w:cs="宋体"/>
          <w:sz w:val="24"/>
          <w:szCs w:val="24"/>
        </w:rPr>
        <w:t>）：</w:t>
      </w:r>
    </w:p>
    <w:p>
      <w:pPr>
        <w:pStyle w:val="14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lang w:val="en-US" w:eastAsia="zh-CN"/>
        </w:rPr>
        <w:t>盖</w:t>
      </w:r>
      <w:r>
        <w:rPr>
          <w:rFonts w:hint="eastAsia" w:ascii="宋体" w:hAnsi="宋体" w:eastAsia="宋体" w:cs="宋体"/>
          <w:sz w:val="24"/>
          <w:szCs w:val="24"/>
        </w:rPr>
        <w:t>章)：</w:t>
      </w:r>
    </w:p>
    <w:p>
      <w:pPr>
        <w:pStyle w:val="147"/>
        <w:spacing w:line="360" w:lineRule="auto"/>
        <w:ind w:firstLine="480" w:firstLineChars="200"/>
        <w:rPr>
          <w:rFonts w:hint="eastAsia" w:ascii="宋体" w:hAnsi="宋体" w:eastAsia="宋体" w:cs="宋体"/>
          <w:sz w:val="24"/>
          <w:szCs w:val="24"/>
        </w:rPr>
      </w:pPr>
    </w:p>
    <w:p>
      <w:pPr>
        <w:pStyle w:val="204"/>
        <w:outlineLvl w:val="0"/>
        <w:rPr>
          <w:rFonts w:hint="eastAsia" w:ascii="宋体" w:hAnsi="宋体" w:eastAsia="宋体" w:cs="宋体"/>
          <w:sz w:val="24"/>
          <w:szCs w:val="24"/>
        </w:rPr>
      </w:pPr>
      <w:r>
        <w:rPr>
          <w:rFonts w:hint="eastAsia" w:ascii="宋体" w:hAnsi="宋体" w:eastAsia="宋体" w:cs="宋体"/>
          <w:sz w:val="24"/>
          <w:szCs w:val="24"/>
        </w:rPr>
        <w:br w:type="page"/>
      </w:r>
      <w:bookmarkStart w:id="1231" w:name="_Toc29617"/>
      <w:bookmarkStart w:id="1232" w:name="_Toc11940"/>
      <w:bookmarkStart w:id="1233" w:name="_Toc18056"/>
      <w:bookmarkStart w:id="1234" w:name="_Toc7028"/>
      <w:bookmarkStart w:id="1235" w:name="_Toc256000045"/>
      <w:bookmarkStart w:id="1236" w:name="_Toc30052"/>
      <w:r>
        <w:rPr>
          <w:rFonts w:hint="eastAsia" w:ascii="宋体" w:hAnsi="宋体" w:eastAsia="宋体" w:cs="宋体"/>
          <w:b/>
          <w:sz w:val="28"/>
          <w:szCs w:val="22"/>
          <w:lang w:val="en-US" w:eastAsia="zh-CN" w:bidi="ar-SA"/>
        </w:rPr>
        <w:t>十一、已标价的工程量清单</w:t>
      </w:r>
      <w:bookmarkEnd w:id="1231"/>
      <w:bookmarkEnd w:id="1232"/>
      <w:bookmarkEnd w:id="1233"/>
      <w:bookmarkEnd w:id="1234"/>
      <w:bookmarkEnd w:id="1235"/>
      <w:bookmarkEnd w:id="1236"/>
    </w:p>
    <w:p>
      <w:pPr>
        <w:pStyle w:val="126"/>
        <w:spacing w:line="360" w:lineRule="auto"/>
        <w:jc w:val="center"/>
        <w:rPr>
          <w:rFonts w:hint="eastAsia" w:ascii="宋体" w:hAnsi="宋体" w:eastAsia="宋体" w:cs="宋体"/>
          <w:b/>
          <w:sz w:val="24"/>
          <w:szCs w:val="24"/>
        </w:rPr>
      </w:pPr>
      <w:bookmarkStart w:id="1237" w:name="_Toc256000046"/>
      <w:bookmarkStart w:id="1238" w:name="_Toc14999"/>
      <w:r>
        <w:rPr>
          <w:rFonts w:hint="eastAsia" w:ascii="宋体" w:hAnsi="宋体" w:eastAsia="宋体" w:cs="宋体"/>
          <w:b/>
          <w:sz w:val="24"/>
          <w:szCs w:val="24"/>
        </w:rPr>
        <w:t>报价一览表</w:t>
      </w:r>
    </w:p>
    <w:p>
      <w:pPr>
        <w:pStyle w:val="126"/>
        <w:adjustRightInd w:val="0"/>
        <w:snapToGrid w:val="0"/>
        <w:spacing w:line="360" w:lineRule="auto"/>
        <w:ind w:left="-88" w:leftChars="-42"/>
        <w:jc w:val="center"/>
        <w:rPr>
          <w:rFonts w:hint="eastAsia" w:ascii="宋体" w:hAnsi="宋体" w:eastAsia="宋体" w:cs="宋体"/>
          <w:color w:val="00CCFF"/>
          <w:sz w:val="24"/>
          <w:szCs w:val="24"/>
          <w:highlight w:val="none"/>
        </w:rPr>
      </w:pPr>
      <w:r>
        <w:rPr>
          <w:rFonts w:hint="eastAsia" w:ascii="宋体" w:hAnsi="宋体" w:eastAsia="宋体" w:cs="宋体"/>
          <w:b/>
          <w:sz w:val="24"/>
          <w:szCs w:val="24"/>
          <w:highlight w:val="none"/>
        </w:rPr>
        <w:t>（后附工程量清单明细表，否则其投标报价无效，做废标处理。）</w:t>
      </w:r>
    </w:p>
    <w:p>
      <w:pPr>
        <w:pStyle w:val="126"/>
        <w:jc w:val="left"/>
        <w:rPr>
          <w:rFonts w:hint="eastAsia" w:ascii="宋体" w:hAnsi="宋体" w:eastAsia="宋体" w:cs="宋体"/>
          <w:sz w:val="24"/>
          <w:szCs w:val="24"/>
        </w:rPr>
      </w:pPr>
      <w:r>
        <w:rPr>
          <w:rFonts w:hint="eastAsia" w:ascii="宋体" w:hAnsi="宋体" w:eastAsia="宋体" w:cs="宋体"/>
          <w:sz w:val="24"/>
          <w:szCs w:val="24"/>
        </w:rPr>
        <w:t>标段名称：</w:t>
      </w:r>
    </w:p>
    <w:p>
      <w:pPr>
        <w:pStyle w:val="126"/>
        <w:spacing w:after="158" w:afterLines="50" w:line="360" w:lineRule="auto"/>
        <w:jc w:val="left"/>
        <w:rPr>
          <w:rFonts w:hint="eastAsia" w:ascii="宋体" w:hAnsi="宋体" w:eastAsia="宋体" w:cs="宋体"/>
          <w:b/>
          <w:sz w:val="24"/>
          <w:szCs w:val="24"/>
        </w:rPr>
      </w:pPr>
      <w:r>
        <w:rPr>
          <w:rFonts w:hint="eastAsia" w:ascii="宋体" w:hAnsi="宋体" w:eastAsia="宋体" w:cs="宋体"/>
          <w:sz w:val="24"/>
          <w:szCs w:val="24"/>
        </w:rPr>
        <w:t>标段编号：                                        报价单位：人民币元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126"/>
              <w:spacing w:line="360" w:lineRule="auto"/>
              <w:jc w:val="center"/>
              <w:rPr>
                <w:rFonts w:hint="eastAsia" w:ascii="宋体" w:hAnsi="宋体" w:eastAsia="宋体" w:cs="宋体"/>
                <w:sz w:val="24"/>
                <w:szCs w:val="24"/>
              </w:rPr>
            </w:pPr>
          </w:p>
          <w:p>
            <w:pPr>
              <w:pStyle w:val="126"/>
              <w:spacing w:line="360" w:lineRule="auto"/>
              <w:jc w:val="center"/>
              <w:rPr>
                <w:rFonts w:hint="eastAsia" w:ascii="宋体" w:hAnsi="宋体" w:eastAsia="宋体" w:cs="宋体"/>
                <w:sz w:val="24"/>
                <w:szCs w:val="24"/>
              </w:rPr>
            </w:pPr>
            <w:r>
              <w:rPr>
                <w:rFonts w:hint="eastAsia" w:ascii="宋体" w:hAnsi="宋体" w:eastAsia="宋体" w:cs="宋体"/>
                <w:sz w:val="24"/>
                <w:szCs w:val="24"/>
              </w:rPr>
              <w:t>总报价（元）</w:t>
            </w:r>
          </w:p>
          <w:p>
            <w:pPr>
              <w:pStyle w:val="126"/>
              <w:spacing w:line="360" w:lineRule="auto"/>
              <w:jc w:val="center"/>
              <w:rPr>
                <w:rFonts w:hint="eastAsia" w:ascii="宋体" w:hAnsi="宋体" w:eastAsia="宋体" w:cs="宋体"/>
                <w:sz w:val="24"/>
                <w:szCs w:val="24"/>
              </w:rPr>
            </w:pPr>
          </w:p>
        </w:tc>
        <w:tc>
          <w:tcPr>
            <w:tcW w:w="1501" w:type="dxa"/>
            <w:noWrap w:val="0"/>
            <w:vAlign w:val="center"/>
          </w:tcPr>
          <w:p>
            <w:pPr>
              <w:pStyle w:val="126"/>
              <w:spacing w:line="360" w:lineRule="auto"/>
              <w:ind w:firstLine="420"/>
              <w:rPr>
                <w:rFonts w:hint="eastAsia" w:ascii="宋体" w:hAnsi="宋体" w:eastAsia="宋体" w:cs="宋体"/>
                <w:sz w:val="24"/>
                <w:szCs w:val="24"/>
              </w:rPr>
            </w:pPr>
            <w:r>
              <w:rPr>
                <w:rFonts w:hint="eastAsia" w:ascii="宋体" w:hAnsi="宋体" w:eastAsia="宋体" w:cs="宋体"/>
                <w:sz w:val="24"/>
                <w:szCs w:val="24"/>
              </w:rPr>
              <w:t>小写</w:t>
            </w:r>
          </w:p>
        </w:tc>
        <w:tc>
          <w:tcPr>
            <w:tcW w:w="5870" w:type="dxa"/>
            <w:noWrap w:val="0"/>
            <w:vAlign w:val="center"/>
          </w:tcPr>
          <w:p>
            <w:pPr>
              <w:pStyle w:val="126"/>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noWrap w:val="0"/>
            <w:vAlign w:val="center"/>
          </w:tcPr>
          <w:p>
            <w:pPr>
              <w:pStyle w:val="126"/>
              <w:spacing w:line="360" w:lineRule="auto"/>
              <w:jc w:val="center"/>
              <w:rPr>
                <w:rFonts w:hint="eastAsia" w:ascii="宋体" w:hAnsi="宋体" w:eastAsia="宋体" w:cs="宋体"/>
                <w:sz w:val="24"/>
                <w:szCs w:val="24"/>
              </w:rPr>
            </w:pPr>
          </w:p>
        </w:tc>
        <w:tc>
          <w:tcPr>
            <w:tcW w:w="1501" w:type="dxa"/>
            <w:tcBorders>
              <w:bottom w:val="single" w:color="auto" w:sz="4" w:space="0"/>
            </w:tcBorders>
            <w:noWrap w:val="0"/>
            <w:vAlign w:val="center"/>
          </w:tcPr>
          <w:p>
            <w:pPr>
              <w:pStyle w:val="126"/>
              <w:spacing w:line="360" w:lineRule="auto"/>
              <w:ind w:firstLine="420"/>
              <w:rPr>
                <w:rFonts w:hint="eastAsia" w:ascii="宋体" w:hAnsi="宋体" w:eastAsia="宋体" w:cs="宋体"/>
                <w:sz w:val="24"/>
                <w:szCs w:val="24"/>
              </w:rPr>
            </w:pPr>
            <w:r>
              <w:rPr>
                <w:rFonts w:hint="eastAsia" w:ascii="宋体" w:hAnsi="宋体" w:eastAsia="宋体" w:cs="宋体"/>
                <w:sz w:val="24"/>
                <w:szCs w:val="24"/>
              </w:rPr>
              <w:t>大写</w:t>
            </w:r>
          </w:p>
        </w:tc>
        <w:tc>
          <w:tcPr>
            <w:tcW w:w="5870" w:type="dxa"/>
            <w:tcBorders>
              <w:bottom w:val="single" w:color="auto" w:sz="4" w:space="0"/>
            </w:tcBorders>
            <w:noWrap w:val="0"/>
            <w:vAlign w:val="center"/>
          </w:tcPr>
          <w:p>
            <w:pPr>
              <w:pStyle w:val="126"/>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26"/>
              <w:spacing w:line="360" w:lineRule="auto"/>
              <w:ind w:firstLine="420"/>
              <w:jc w:val="center"/>
              <w:rPr>
                <w:rFonts w:hint="eastAsia" w:ascii="宋体" w:hAnsi="宋体" w:eastAsia="宋体" w:cs="宋体"/>
                <w:sz w:val="24"/>
                <w:szCs w:val="24"/>
              </w:rPr>
            </w:pPr>
            <w:r>
              <w:rPr>
                <w:rFonts w:hint="eastAsia" w:ascii="宋体" w:hAnsi="宋体" w:eastAsia="宋体" w:cs="宋体"/>
                <w:sz w:val="24"/>
                <w:szCs w:val="24"/>
              </w:rPr>
              <w:t>工期</w:t>
            </w:r>
          </w:p>
        </w:tc>
        <w:tc>
          <w:tcPr>
            <w:tcW w:w="7371" w:type="dxa"/>
            <w:gridSpan w:val="2"/>
            <w:noWrap w:val="0"/>
            <w:vAlign w:val="center"/>
          </w:tcPr>
          <w:p>
            <w:pPr>
              <w:pStyle w:val="126"/>
              <w:spacing w:line="360" w:lineRule="auto"/>
              <w:ind w:firstLine="42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26"/>
              <w:spacing w:line="360" w:lineRule="auto"/>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rPr>
              <w:t>负责人</w:t>
            </w:r>
            <w:r>
              <w:rPr>
                <w:rFonts w:hint="eastAsia" w:ascii="宋体" w:hAnsi="宋体" w:eastAsia="宋体" w:cs="宋体"/>
                <w:sz w:val="24"/>
                <w:szCs w:val="24"/>
                <w:lang w:val="en-US" w:eastAsia="zh-CN"/>
              </w:rPr>
              <w:t>及执业证书号</w:t>
            </w:r>
          </w:p>
        </w:tc>
        <w:tc>
          <w:tcPr>
            <w:tcW w:w="7371" w:type="dxa"/>
            <w:gridSpan w:val="2"/>
            <w:noWrap w:val="0"/>
            <w:vAlign w:val="center"/>
          </w:tcPr>
          <w:p>
            <w:pPr>
              <w:pStyle w:val="126"/>
              <w:spacing w:line="360" w:lineRule="auto"/>
              <w:ind w:firstLine="422"/>
              <w:jc w:val="left"/>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126"/>
              <w:spacing w:line="360" w:lineRule="auto"/>
              <w:ind w:firstLine="420"/>
              <w:jc w:val="center"/>
              <w:rPr>
                <w:rFonts w:hint="eastAsia" w:ascii="宋体" w:hAnsi="宋体" w:eastAsia="宋体" w:cs="宋体"/>
                <w:sz w:val="24"/>
                <w:szCs w:val="24"/>
              </w:rPr>
            </w:pPr>
            <w:r>
              <w:rPr>
                <w:rFonts w:hint="eastAsia" w:ascii="宋体" w:hAnsi="宋体" w:eastAsia="宋体" w:cs="宋体"/>
                <w:sz w:val="24"/>
                <w:szCs w:val="24"/>
              </w:rPr>
              <w:t>备注</w:t>
            </w:r>
          </w:p>
        </w:tc>
        <w:tc>
          <w:tcPr>
            <w:tcW w:w="7371" w:type="dxa"/>
            <w:gridSpan w:val="2"/>
            <w:noWrap w:val="0"/>
            <w:vAlign w:val="center"/>
          </w:tcPr>
          <w:p>
            <w:pPr>
              <w:pStyle w:val="126"/>
              <w:spacing w:line="360" w:lineRule="auto"/>
              <w:ind w:firstLine="422"/>
              <w:jc w:val="left"/>
              <w:rPr>
                <w:rFonts w:hint="eastAsia" w:ascii="宋体" w:hAnsi="宋体" w:eastAsia="宋体" w:cs="宋体"/>
                <w:b/>
                <w:sz w:val="24"/>
                <w:szCs w:val="24"/>
              </w:rPr>
            </w:pPr>
          </w:p>
        </w:tc>
      </w:tr>
    </w:tbl>
    <w:p>
      <w:pPr>
        <w:pStyle w:val="126"/>
        <w:spacing w:line="360" w:lineRule="auto"/>
        <w:rPr>
          <w:rFonts w:hint="eastAsia" w:ascii="宋体" w:hAnsi="宋体" w:eastAsia="宋体" w:cs="宋体"/>
          <w:sz w:val="24"/>
          <w:szCs w:val="24"/>
        </w:rPr>
      </w:pPr>
      <w:r>
        <w:rPr>
          <w:rFonts w:hint="eastAsia" w:ascii="宋体" w:hAnsi="宋体" w:eastAsia="宋体" w:cs="宋体"/>
          <w:sz w:val="24"/>
          <w:szCs w:val="24"/>
        </w:rPr>
        <w:t>说明：各分项价格统一按此总报价幅度调整。</w:t>
      </w:r>
    </w:p>
    <w:p>
      <w:pPr>
        <w:pStyle w:val="126"/>
        <w:spacing w:line="360" w:lineRule="auto"/>
        <w:rPr>
          <w:rFonts w:hint="eastAsia" w:ascii="宋体" w:hAnsi="宋体" w:eastAsia="宋体" w:cs="宋体"/>
          <w:sz w:val="24"/>
          <w:szCs w:val="24"/>
        </w:rPr>
      </w:pPr>
    </w:p>
    <w:p>
      <w:pPr>
        <w:pStyle w:val="126"/>
        <w:spacing w:line="360" w:lineRule="auto"/>
        <w:ind w:firstLine="480" w:firstLineChars="200"/>
        <w:rPr>
          <w:rFonts w:hint="eastAsia" w:ascii="宋体" w:hAnsi="宋体" w:eastAsia="宋体" w:cs="宋体"/>
          <w:sz w:val="24"/>
          <w:szCs w:val="24"/>
        </w:rPr>
      </w:pPr>
    </w:p>
    <w:p>
      <w:pPr>
        <w:pStyle w:val="126"/>
        <w:spacing w:line="360" w:lineRule="auto"/>
        <w:ind w:firstLine="480" w:firstLineChars="200"/>
        <w:rPr>
          <w:rFonts w:hint="eastAsia" w:ascii="宋体" w:hAnsi="宋体" w:eastAsia="宋体" w:cs="宋体"/>
          <w:sz w:val="24"/>
          <w:szCs w:val="24"/>
        </w:rPr>
      </w:pPr>
    </w:p>
    <w:p>
      <w:pPr>
        <w:pStyle w:val="126"/>
        <w:spacing w:before="50" w:after="158"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法定代表人或其授权代表（</w:t>
      </w:r>
      <w:r>
        <w:rPr>
          <w:rFonts w:hint="eastAsia" w:ascii="宋体" w:hAnsi="宋体" w:eastAsia="宋体" w:cs="宋体"/>
          <w:sz w:val="24"/>
          <w:szCs w:val="24"/>
          <w:lang w:val="en-US" w:eastAsia="zh-CN"/>
        </w:rPr>
        <w:t>签字</w:t>
      </w:r>
      <w:r>
        <w:rPr>
          <w:rFonts w:hint="eastAsia" w:ascii="宋体" w:hAnsi="宋体" w:eastAsia="宋体" w:cs="宋体"/>
          <w:sz w:val="24"/>
          <w:szCs w:val="24"/>
        </w:rPr>
        <w:t>）：</w:t>
      </w:r>
    </w:p>
    <w:p>
      <w:pPr>
        <w:pStyle w:val="12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5"/>
        <w:jc w:val="center"/>
        <w:rPr>
          <w:rStyle w:val="82"/>
          <w:rFonts w:hint="eastAsia" w:ascii="宋体" w:hAnsi="宋体" w:eastAsia="宋体" w:cs="宋体"/>
          <w:sz w:val="24"/>
          <w:szCs w:val="24"/>
        </w:rPr>
      </w:pPr>
    </w:p>
    <w:p>
      <w:pPr>
        <w:pStyle w:val="85"/>
        <w:jc w:val="center"/>
        <w:rPr>
          <w:rStyle w:val="82"/>
          <w:rFonts w:hint="eastAsia" w:ascii="宋体" w:hAnsi="宋体" w:eastAsia="宋体" w:cs="宋体"/>
          <w:sz w:val="24"/>
          <w:szCs w:val="24"/>
        </w:rPr>
      </w:pPr>
    </w:p>
    <w:p>
      <w:pPr>
        <w:pStyle w:val="85"/>
        <w:jc w:val="center"/>
        <w:rPr>
          <w:rStyle w:val="82"/>
          <w:rFonts w:hint="eastAsia" w:ascii="宋体" w:hAnsi="宋体" w:eastAsia="宋体" w:cs="宋体"/>
          <w:sz w:val="24"/>
          <w:szCs w:val="24"/>
        </w:rPr>
      </w:pPr>
    </w:p>
    <w:p>
      <w:pPr>
        <w:pStyle w:val="85"/>
        <w:jc w:val="center"/>
        <w:rPr>
          <w:rStyle w:val="82"/>
          <w:rFonts w:hint="eastAsia" w:ascii="宋体" w:hAnsi="宋体" w:eastAsia="宋体" w:cs="宋体"/>
          <w:sz w:val="24"/>
          <w:szCs w:val="24"/>
        </w:rPr>
      </w:pPr>
      <w:r>
        <w:rPr>
          <w:rStyle w:val="82"/>
          <w:rFonts w:hint="eastAsia" w:ascii="宋体" w:hAnsi="宋体" w:eastAsia="宋体" w:cs="宋体"/>
          <w:sz w:val="24"/>
          <w:szCs w:val="24"/>
        </w:rPr>
        <w:t>（三）已标价的工程量清单</w:t>
      </w:r>
      <w:bookmarkEnd w:id="1237"/>
      <w:bookmarkStart w:id="1239" w:name="_Toc22154"/>
      <w:bookmarkStart w:id="1240" w:name="_Toc256000047"/>
      <w:bookmarkStart w:id="1241" w:name="_Toc18861"/>
    </w:p>
    <w:bookmarkEnd w:id="1238"/>
    <w:p>
      <w:pPr>
        <w:pStyle w:val="85"/>
        <w:jc w:val="center"/>
        <w:rPr>
          <w:rFonts w:hint="eastAsia" w:ascii="宋体" w:hAnsi="宋体" w:eastAsia="宋体" w:cs="宋体"/>
          <w:b/>
          <w:sz w:val="24"/>
          <w:szCs w:val="24"/>
        </w:rPr>
      </w:pPr>
    </w:p>
    <w:p>
      <w:pPr>
        <w:pStyle w:val="85"/>
        <w:jc w:val="center"/>
        <w:rPr>
          <w:rFonts w:hint="eastAsia" w:ascii="宋体" w:hAnsi="宋体" w:eastAsia="宋体" w:cs="宋体"/>
          <w:b/>
          <w:sz w:val="24"/>
          <w:szCs w:val="24"/>
        </w:rPr>
      </w:pPr>
    </w:p>
    <w:p>
      <w:pPr>
        <w:pStyle w:val="85"/>
        <w:jc w:val="center"/>
        <w:rPr>
          <w:rFonts w:hint="eastAsia" w:ascii="宋体" w:hAnsi="宋体" w:eastAsia="宋体" w:cs="宋体"/>
          <w:b/>
          <w:sz w:val="24"/>
          <w:szCs w:val="24"/>
        </w:rPr>
      </w:pPr>
    </w:p>
    <w:p>
      <w:pPr>
        <w:pStyle w:val="85"/>
        <w:jc w:val="center"/>
        <w:rPr>
          <w:rFonts w:hint="eastAsia" w:ascii="宋体" w:hAnsi="宋体" w:eastAsia="宋体" w:cs="宋体"/>
          <w:b/>
          <w:sz w:val="24"/>
          <w:szCs w:val="24"/>
        </w:rPr>
      </w:pPr>
    </w:p>
    <w:p>
      <w:pPr>
        <w:pStyle w:val="85"/>
        <w:jc w:val="center"/>
        <w:rPr>
          <w:rFonts w:hint="eastAsia" w:ascii="宋体" w:hAnsi="宋体" w:eastAsia="宋体" w:cs="宋体"/>
          <w:b/>
          <w:sz w:val="24"/>
          <w:szCs w:val="24"/>
        </w:rPr>
      </w:pPr>
    </w:p>
    <w:p>
      <w:pPr>
        <w:pStyle w:val="85"/>
        <w:jc w:val="center"/>
        <w:rPr>
          <w:rFonts w:hint="eastAsia" w:ascii="宋体" w:hAnsi="宋体" w:eastAsia="宋体" w:cs="宋体"/>
          <w:b/>
          <w:sz w:val="24"/>
          <w:szCs w:val="24"/>
        </w:rPr>
      </w:pPr>
    </w:p>
    <w:p>
      <w:pPr>
        <w:pStyle w:val="85"/>
        <w:jc w:val="center"/>
        <w:rPr>
          <w:rFonts w:hint="eastAsia" w:ascii="宋体" w:hAnsi="宋体" w:eastAsia="宋体" w:cs="宋体"/>
          <w:b/>
          <w:sz w:val="24"/>
          <w:szCs w:val="24"/>
        </w:rPr>
      </w:pPr>
    </w:p>
    <w:p>
      <w:pPr>
        <w:pStyle w:val="85"/>
        <w:jc w:val="center"/>
        <w:rPr>
          <w:rFonts w:hint="eastAsia" w:ascii="宋体" w:hAnsi="宋体" w:eastAsia="宋体" w:cs="宋体"/>
          <w:b/>
          <w:sz w:val="24"/>
          <w:szCs w:val="24"/>
        </w:rPr>
      </w:pPr>
    </w:p>
    <w:p>
      <w:pPr>
        <w:pStyle w:val="85"/>
        <w:jc w:val="center"/>
        <w:rPr>
          <w:rFonts w:hint="eastAsia" w:ascii="宋体" w:hAnsi="宋体" w:eastAsia="宋体" w:cs="宋体"/>
          <w:b/>
          <w:sz w:val="24"/>
          <w:szCs w:val="24"/>
        </w:rPr>
      </w:pPr>
    </w:p>
    <w:p>
      <w:pPr>
        <w:pStyle w:val="85"/>
        <w:jc w:val="center"/>
        <w:rPr>
          <w:rFonts w:hint="eastAsia" w:ascii="宋体" w:hAnsi="宋体" w:eastAsia="宋体" w:cs="宋体"/>
          <w:b/>
          <w:sz w:val="24"/>
          <w:szCs w:val="24"/>
        </w:rPr>
      </w:pPr>
    </w:p>
    <w:p>
      <w:pPr>
        <w:pStyle w:val="85"/>
        <w:jc w:val="center"/>
        <w:rPr>
          <w:rFonts w:hint="eastAsia" w:ascii="宋体" w:hAnsi="宋体" w:eastAsia="宋体" w:cs="宋体"/>
          <w:b/>
          <w:sz w:val="24"/>
          <w:szCs w:val="24"/>
        </w:rPr>
      </w:pPr>
    </w:p>
    <w:p>
      <w:pPr>
        <w:pStyle w:val="204"/>
        <w:outlineLvl w:val="0"/>
        <w:rPr>
          <w:rFonts w:hint="eastAsia" w:ascii="宋体" w:hAnsi="宋体" w:eastAsia="宋体" w:cs="宋体"/>
          <w:b/>
          <w:sz w:val="28"/>
          <w:szCs w:val="22"/>
          <w:lang w:val="en-US" w:eastAsia="zh-CN" w:bidi="ar-SA"/>
        </w:rPr>
      </w:pPr>
      <w:bookmarkStart w:id="1242" w:name="_Toc18229"/>
      <w:bookmarkStart w:id="1243" w:name="_Toc17422"/>
      <w:bookmarkStart w:id="1244" w:name="_Toc21245"/>
      <w:r>
        <w:rPr>
          <w:rFonts w:hint="eastAsia" w:ascii="宋体" w:hAnsi="宋体" w:eastAsia="宋体" w:cs="宋体"/>
          <w:b/>
          <w:sz w:val="28"/>
          <w:szCs w:val="22"/>
          <w:lang w:val="en-US" w:eastAsia="zh-CN" w:bidi="ar-SA"/>
        </w:rPr>
        <w:t>十二、联合体协议书格式（如有）</w:t>
      </w:r>
      <w:bookmarkEnd w:id="1239"/>
      <w:bookmarkEnd w:id="1240"/>
      <w:bookmarkEnd w:id="1241"/>
      <w:bookmarkEnd w:id="1242"/>
      <w:bookmarkEnd w:id="1243"/>
      <w:bookmarkEnd w:id="1244"/>
    </w:p>
    <w:p>
      <w:pPr>
        <w:pStyle w:val="84"/>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联合体协议</w:t>
      </w:r>
    </w:p>
    <w:p>
      <w:pPr>
        <w:pStyle w:val="84"/>
        <w:adjustRightInd w:val="0"/>
        <w:snapToGrid w:val="0"/>
        <w:spacing w:before="158" w:beforeLines="5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采购代理机构）：</w:t>
      </w:r>
    </w:p>
    <w:p>
      <w:pPr>
        <w:pStyle w:val="84"/>
        <w:adjustRightInd w:val="0"/>
        <w:snapToGrid w:val="0"/>
        <w:spacing w:before="158"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经研究，我们决定自愿组成联合体共同申请参加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（项目名称、政府采购编号、采购代理编号）项目的磋商。现就联合体事宜订立如下协议：</w:t>
      </w:r>
    </w:p>
    <w:p>
      <w:pPr>
        <w:pStyle w:val="84"/>
        <w:adjustRightInd w:val="0"/>
        <w:snapToGrid w:val="0"/>
        <w:spacing w:before="158" w:before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一、联合体基本信息：</w:t>
      </w:r>
      <w:r>
        <w:rPr>
          <w:rFonts w:hint="eastAsia" w:ascii="宋体" w:hAnsi="宋体" w:eastAsia="宋体" w:cs="宋体"/>
          <w:sz w:val="24"/>
          <w:szCs w:val="24"/>
          <w:u w:val="single"/>
        </w:rPr>
        <w:t xml:space="preserve">                      </w:t>
      </w:r>
      <w:r>
        <w:rPr>
          <w:rFonts w:hint="eastAsia" w:ascii="宋体" w:hAnsi="宋体" w:eastAsia="宋体" w:cs="宋体"/>
          <w:sz w:val="24"/>
          <w:szCs w:val="24"/>
        </w:rPr>
        <w:t>（各方公司名称、地址、注册资金、营业执照、法定代表人姓名）。</w:t>
      </w:r>
    </w:p>
    <w:p>
      <w:pPr>
        <w:pStyle w:val="84"/>
        <w:adjustRightInd w:val="0"/>
        <w:snapToGrid w:val="0"/>
        <w:spacing w:before="158"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u w:val="single"/>
        </w:rPr>
        <w:t xml:space="preserve">      </w:t>
      </w:r>
      <w:r>
        <w:rPr>
          <w:rFonts w:hint="eastAsia" w:ascii="宋体" w:hAnsi="宋体" w:eastAsia="宋体" w:cs="宋体"/>
          <w:sz w:val="24"/>
          <w:szCs w:val="24"/>
        </w:rPr>
        <w:t>（某成员单位名称）为</w:t>
      </w:r>
      <w:r>
        <w:rPr>
          <w:rFonts w:hint="eastAsia" w:ascii="宋体" w:hAnsi="宋体" w:eastAsia="宋体" w:cs="宋体"/>
          <w:sz w:val="24"/>
          <w:szCs w:val="24"/>
          <w:u w:val="single"/>
        </w:rPr>
        <w:t xml:space="preserve">      </w:t>
      </w:r>
      <w:r>
        <w:rPr>
          <w:rFonts w:hint="eastAsia" w:ascii="宋体" w:hAnsi="宋体" w:eastAsia="宋体" w:cs="宋体"/>
          <w:sz w:val="24"/>
          <w:szCs w:val="24"/>
        </w:rPr>
        <w:t>（联合体名称）牵头人。</w:t>
      </w:r>
    </w:p>
    <w:p>
      <w:pPr>
        <w:pStyle w:val="84"/>
        <w:adjustRightInd w:val="0"/>
        <w:snapToGrid w:val="0"/>
        <w:spacing w:before="158"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pPr>
        <w:pStyle w:val="84"/>
        <w:adjustRightInd w:val="0"/>
        <w:snapToGrid w:val="0"/>
        <w:spacing w:before="158"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四．联合体将严格按照磋商文件的各项要求，递交响应文件，参加磋商，履行成交义务和成交后的合同，并向采购人承担连带责任。</w:t>
      </w:r>
    </w:p>
    <w:p>
      <w:pPr>
        <w:pStyle w:val="84"/>
        <w:adjustRightInd w:val="0"/>
        <w:snapToGrid w:val="0"/>
        <w:spacing w:before="158" w:before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五、联合体各成员单位内部的职责分工如下：</w:t>
      </w:r>
      <w:r>
        <w:rPr>
          <w:rFonts w:hint="eastAsia" w:ascii="宋体" w:hAnsi="宋体" w:eastAsia="宋体" w:cs="宋体"/>
          <w:sz w:val="24"/>
          <w:szCs w:val="24"/>
          <w:u w:val="single"/>
        </w:rPr>
        <w:t xml:space="preserve">                </w:t>
      </w:r>
      <w:r>
        <w:rPr>
          <w:rFonts w:hint="eastAsia" w:ascii="宋体" w:hAnsi="宋体" w:eastAsia="宋体" w:cs="宋体"/>
          <w:sz w:val="24"/>
          <w:szCs w:val="24"/>
        </w:rPr>
        <w:t>。按照本条上述分工，联合体成员单位各自所承担的合同工作量比例如下：</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84"/>
        <w:adjustRightInd w:val="0"/>
        <w:snapToGrid w:val="0"/>
        <w:spacing w:before="158"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六、本协议书自签署之日起生效，合同履行完毕后自动失效。</w:t>
      </w:r>
    </w:p>
    <w:p>
      <w:pPr>
        <w:pStyle w:val="84"/>
        <w:adjustRightInd w:val="0"/>
        <w:snapToGrid w:val="0"/>
        <w:spacing w:before="158"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七、本协议书一式</w:t>
      </w:r>
      <w:r>
        <w:rPr>
          <w:rFonts w:hint="eastAsia" w:ascii="宋体" w:hAnsi="宋体" w:eastAsia="宋体" w:cs="宋体"/>
          <w:sz w:val="24"/>
          <w:szCs w:val="24"/>
          <w:u w:val="single"/>
        </w:rPr>
        <w:t xml:space="preserve">         </w:t>
      </w:r>
      <w:r>
        <w:rPr>
          <w:rFonts w:hint="eastAsia" w:ascii="宋体" w:hAnsi="宋体" w:eastAsia="宋体" w:cs="宋体"/>
          <w:sz w:val="24"/>
          <w:szCs w:val="24"/>
        </w:rPr>
        <w:t>份，联合体成员和采购人各执一份。</w:t>
      </w:r>
    </w:p>
    <w:p>
      <w:pPr>
        <w:pStyle w:val="84"/>
        <w:adjustRightInd w:val="0"/>
        <w:snapToGrid w:val="0"/>
        <w:spacing w:line="360" w:lineRule="auto"/>
        <w:rPr>
          <w:rFonts w:hint="eastAsia" w:ascii="宋体" w:hAnsi="宋体" w:eastAsia="宋体" w:cs="宋体"/>
          <w:sz w:val="24"/>
          <w:szCs w:val="24"/>
        </w:rPr>
      </w:pPr>
    </w:p>
    <w:p>
      <w:pPr>
        <w:pStyle w:val="84"/>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牵头人名称（</w:t>
      </w:r>
      <w:r>
        <w:rPr>
          <w:rFonts w:hint="eastAsia" w:ascii="宋体" w:hAnsi="宋体" w:eastAsia="宋体" w:cs="宋体"/>
          <w:sz w:val="24"/>
          <w:szCs w:val="24"/>
          <w:lang w:val="en-US" w:eastAsia="zh-CN"/>
        </w:rPr>
        <w:t>盖</w:t>
      </w:r>
      <w:r>
        <w:rPr>
          <w:rFonts w:hint="eastAsia" w:ascii="宋体" w:hAnsi="宋体" w:eastAsia="宋体" w:cs="宋体"/>
          <w:sz w:val="24"/>
          <w:szCs w:val="24"/>
        </w:rPr>
        <w:t>章）：</w:t>
      </w:r>
    </w:p>
    <w:p>
      <w:pPr>
        <w:pStyle w:val="84"/>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法定代表人或其授权代表（签</w:t>
      </w:r>
      <w:r>
        <w:rPr>
          <w:rFonts w:hint="eastAsia" w:ascii="宋体" w:hAnsi="宋体" w:eastAsia="宋体" w:cs="宋体"/>
          <w:sz w:val="24"/>
          <w:szCs w:val="24"/>
          <w:lang w:val="en-US" w:eastAsia="zh-CN"/>
        </w:rPr>
        <w:t>字</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pStyle w:val="84"/>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成员二名称（</w:t>
      </w:r>
      <w:r>
        <w:rPr>
          <w:rFonts w:hint="eastAsia" w:ascii="宋体" w:hAnsi="宋体" w:eastAsia="宋体" w:cs="宋体"/>
          <w:sz w:val="24"/>
          <w:szCs w:val="24"/>
          <w:lang w:val="en-US" w:eastAsia="zh-CN"/>
        </w:rPr>
        <w:t>盖</w:t>
      </w:r>
      <w:r>
        <w:rPr>
          <w:rFonts w:hint="eastAsia" w:ascii="宋体" w:hAnsi="宋体" w:eastAsia="宋体" w:cs="宋体"/>
          <w:sz w:val="24"/>
          <w:szCs w:val="24"/>
        </w:rPr>
        <w:t>章）：</w:t>
      </w:r>
    </w:p>
    <w:p>
      <w:pPr>
        <w:pStyle w:val="84"/>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法定代表人或其授权代表（签</w:t>
      </w:r>
      <w:r>
        <w:rPr>
          <w:rFonts w:hint="eastAsia" w:ascii="宋体" w:hAnsi="宋体" w:eastAsia="宋体" w:cs="宋体"/>
          <w:sz w:val="24"/>
          <w:szCs w:val="24"/>
          <w:lang w:val="en-US" w:eastAsia="zh-CN"/>
        </w:rPr>
        <w:t>字</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pStyle w:val="84"/>
        <w:spacing w:line="360" w:lineRule="auto"/>
        <w:rPr>
          <w:rFonts w:hint="eastAsia" w:ascii="宋体" w:hAnsi="宋体" w:eastAsia="宋体" w:cs="宋体"/>
          <w:sz w:val="24"/>
          <w:szCs w:val="24"/>
        </w:rPr>
      </w:pPr>
      <w:r>
        <w:rPr>
          <w:rFonts w:hint="eastAsia" w:ascii="宋体" w:hAnsi="宋体" w:eastAsia="宋体" w:cs="宋体"/>
          <w:sz w:val="24"/>
          <w:szCs w:val="24"/>
        </w:rPr>
        <w:t xml:space="preserve">       年        月        日  </w:t>
      </w:r>
    </w:p>
    <w:p>
      <w:pPr>
        <w:pStyle w:val="84"/>
        <w:spacing w:line="360" w:lineRule="auto"/>
        <w:outlineLvl w:val="9"/>
        <w:rPr>
          <w:rFonts w:hint="eastAsia" w:ascii="宋体" w:hAnsi="宋体" w:eastAsia="宋体" w:cs="宋体"/>
          <w:sz w:val="24"/>
          <w:szCs w:val="24"/>
        </w:rPr>
      </w:pPr>
      <w:r>
        <w:rPr>
          <w:rFonts w:hint="eastAsia" w:ascii="宋体" w:hAnsi="宋体" w:eastAsia="宋体" w:cs="宋体"/>
          <w:sz w:val="24"/>
          <w:szCs w:val="24"/>
        </w:rPr>
        <w:t>备注：本协议书由授权代表签字的，应附法定代表人签字的授权委托书。</w:t>
      </w:r>
      <w:bookmarkStart w:id="1245" w:name="_Toc806"/>
      <w:bookmarkStart w:id="1246" w:name="_Toc256000048"/>
      <w:bookmarkStart w:id="1247" w:name="_Toc7512"/>
    </w:p>
    <w:p>
      <w:pPr>
        <w:pStyle w:val="84"/>
        <w:spacing w:line="360" w:lineRule="auto"/>
        <w:outlineLvl w:val="9"/>
        <w:rPr>
          <w:rFonts w:hint="eastAsia" w:ascii="宋体" w:hAnsi="宋体" w:eastAsia="宋体" w:cs="宋体"/>
          <w:sz w:val="24"/>
          <w:szCs w:val="24"/>
        </w:rPr>
      </w:pPr>
    </w:p>
    <w:p>
      <w:pPr>
        <w:pStyle w:val="84"/>
        <w:spacing w:line="360" w:lineRule="auto"/>
        <w:outlineLvl w:val="9"/>
        <w:rPr>
          <w:rFonts w:hint="eastAsia" w:ascii="宋体" w:hAnsi="宋体" w:eastAsia="宋体" w:cs="宋体"/>
          <w:sz w:val="24"/>
          <w:szCs w:val="24"/>
        </w:rPr>
      </w:pPr>
    </w:p>
    <w:bookmarkEnd w:id="1245"/>
    <w:bookmarkEnd w:id="1246"/>
    <w:bookmarkEnd w:id="1247"/>
    <w:p>
      <w:pPr>
        <w:pStyle w:val="204"/>
        <w:outlineLvl w:val="0"/>
        <w:rPr>
          <w:rFonts w:hint="eastAsia" w:ascii="宋体" w:hAnsi="宋体" w:eastAsia="宋体" w:cs="宋体"/>
          <w:b/>
          <w:sz w:val="28"/>
          <w:szCs w:val="22"/>
          <w:lang w:val="en-US" w:eastAsia="zh-CN" w:bidi="ar-SA"/>
        </w:rPr>
      </w:pPr>
      <w:bookmarkStart w:id="1248" w:name="_Toc2574"/>
      <w:bookmarkStart w:id="1249" w:name="_Toc256000049"/>
      <w:bookmarkStart w:id="1250" w:name="_Toc14498"/>
      <w:bookmarkStart w:id="1251" w:name="_Toc27630"/>
      <w:bookmarkStart w:id="1252" w:name="_Toc22436"/>
      <w:bookmarkStart w:id="1253" w:name="_Toc8063"/>
      <w:r>
        <w:rPr>
          <w:rFonts w:hint="eastAsia" w:ascii="宋体" w:hAnsi="宋体" w:eastAsia="宋体" w:cs="宋体"/>
          <w:b/>
          <w:sz w:val="28"/>
          <w:szCs w:val="22"/>
          <w:lang w:val="en-US" w:eastAsia="zh-CN" w:bidi="ar-SA"/>
        </w:rPr>
        <w:t>十三、施工组织设计</w:t>
      </w:r>
      <w:bookmarkEnd w:id="1248"/>
      <w:bookmarkEnd w:id="1249"/>
      <w:bookmarkEnd w:id="1250"/>
      <w:bookmarkEnd w:id="1251"/>
      <w:bookmarkEnd w:id="1252"/>
      <w:bookmarkEnd w:id="1253"/>
    </w:p>
    <w:p>
      <w:pPr>
        <w:pStyle w:val="215"/>
        <w:ind w:left="0" w:leftChars="0" w:firstLine="0" w:firstLineChars="0"/>
        <w:jc w:val="center"/>
        <w:outlineLvl w:val="9"/>
        <w:rPr>
          <w:rFonts w:hint="eastAsia" w:ascii="宋体" w:hAnsi="宋体" w:eastAsia="宋体" w:cs="宋体"/>
          <w:b/>
          <w:sz w:val="24"/>
          <w:szCs w:val="24"/>
        </w:rPr>
      </w:pPr>
      <w:bookmarkStart w:id="1254" w:name="_Toc256000050"/>
      <w:r>
        <w:rPr>
          <w:rFonts w:hint="eastAsia" w:ascii="宋体" w:hAnsi="宋体" w:eastAsia="宋体" w:cs="宋体"/>
          <w:b/>
          <w:sz w:val="24"/>
          <w:szCs w:val="24"/>
        </w:rPr>
        <w:t>（一）施工组织设计</w:t>
      </w:r>
      <w:bookmarkEnd w:id="1254"/>
    </w:p>
    <w:p>
      <w:pPr>
        <w:pStyle w:val="106"/>
        <w:tabs>
          <w:tab w:val="left" w:pos="7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编制施工组织设计的要求：编制时应简明扼要地说明施工方法，工程质量、安全生产、文明施工、环境保护、工程进度、技术组织等主要措施。用图表形式阐明本项目的施工总平面、进度计划以及拟投入主要施工设备、劳动力、项目管理机构等。</w:t>
      </w:r>
    </w:p>
    <w:p>
      <w:pPr>
        <w:pStyle w:val="106"/>
        <w:tabs>
          <w:tab w:val="left" w:pos="7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图表及格式要求：</w:t>
      </w:r>
    </w:p>
    <w:p>
      <w:pPr>
        <w:pStyle w:val="106"/>
        <w:tabs>
          <w:tab w:val="left" w:pos="720"/>
        </w:tabs>
        <w:spacing w:line="360" w:lineRule="auto"/>
        <w:ind w:firstLine="864" w:firstLineChars="360"/>
        <w:rPr>
          <w:rFonts w:hint="eastAsia" w:ascii="宋体" w:hAnsi="宋体" w:eastAsia="宋体" w:cs="宋体"/>
          <w:sz w:val="24"/>
          <w:szCs w:val="24"/>
        </w:rPr>
      </w:pPr>
      <w:r>
        <w:rPr>
          <w:rFonts w:hint="eastAsia" w:ascii="宋体" w:hAnsi="宋体" w:eastAsia="宋体" w:cs="宋体"/>
          <w:sz w:val="24"/>
          <w:szCs w:val="24"/>
        </w:rPr>
        <w:t>附表一  拟投入的主要施工设备表</w:t>
      </w:r>
    </w:p>
    <w:p>
      <w:pPr>
        <w:pStyle w:val="106"/>
        <w:tabs>
          <w:tab w:val="left" w:pos="720"/>
        </w:tabs>
        <w:spacing w:line="360" w:lineRule="auto"/>
        <w:ind w:firstLine="864" w:firstLineChars="360"/>
        <w:rPr>
          <w:rFonts w:hint="eastAsia" w:ascii="宋体" w:hAnsi="宋体" w:eastAsia="宋体" w:cs="宋体"/>
          <w:sz w:val="24"/>
          <w:szCs w:val="24"/>
        </w:rPr>
      </w:pPr>
      <w:r>
        <w:rPr>
          <w:rFonts w:hint="eastAsia" w:ascii="宋体" w:hAnsi="宋体" w:eastAsia="宋体" w:cs="宋体"/>
          <w:sz w:val="24"/>
          <w:szCs w:val="24"/>
        </w:rPr>
        <w:t>附表二  劳动力计划表</w:t>
      </w:r>
    </w:p>
    <w:p>
      <w:pPr>
        <w:pStyle w:val="106"/>
        <w:tabs>
          <w:tab w:val="left" w:pos="720"/>
        </w:tabs>
        <w:spacing w:line="360" w:lineRule="auto"/>
        <w:ind w:firstLine="864" w:firstLineChars="360"/>
        <w:rPr>
          <w:rFonts w:hint="eastAsia" w:ascii="宋体" w:hAnsi="宋体" w:eastAsia="宋体" w:cs="宋体"/>
          <w:sz w:val="24"/>
          <w:szCs w:val="24"/>
        </w:rPr>
      </w:pPr>
      <w:r>
        <w:rPr>
          <w:rFonts w:hint="eastAsia" w:ascii="宋体" w:hAnsi="宋体" w:eastAsia="宋体" w:cs="宋体"/>
          <w:sz w:val="24"/>
          <w:szCs w:val="24"/>
        </w:rPr>
        <w:t>附表三  进度计划</w:t>
      </w:r>
    </w:p>
    <w:p>
      <w:pPr>
        <w:pStyle w:val="106"/>
        <w:tabs>
          <w:tab w:val="left" w:pos="720"/>
        </w:tabs>
        <w:spacing w:line="360" w:lineRule="auto"/>
        <w:ind w:firstLine="864" w:firstLineChars="360"/>
        <w:rPr>
          <w:rFonts w:hint="eastAsia" w:ascii="宋体" w:hAnsi="宋体" w:eastAsia="宋体" w:cs="宋体"/>
          <w:sz w:val="24"/>
          <w:szCs w:val="24"/>
        </w:rPr>
      </w:pPr>
      <w:r>
        <w:rPr>
          <w:rFonts w:hint="eastAsia" w:ascii="宋体" w:hAnsi="宋体" w:eastAsia="宋体" w:cs="宋体"/>
          <w:sz w:val="24"/>
          <w:szCs w:val="24"/>
        </w:rPr>
        <w:t>附表四  施工总平面图</w:t>
      </w:r>
    </w:p>
    <w:p>
      <w:pPr>
        <w:pStyle w:val="106"/>
        <w:rPr>
          <w:rFonts w:hint="eastAsia" w:ascii="宋体" w:hAnsi="宋体" w:eastAsia="宋体" w:cs="宋体"/>
          <w:sz w:val="24"/>
          <w:szCs w:val="24"/>
        </w:rPr>
      </w:pPr>
    </w:p>
    <w:p>
      <w:pPr>
        <w:pStyle w:val="106"/>
        <w:rPr>
          <w:rFonts w:hint="eastAsia" w:ascii="宋体" w:hAnsi="宋体" w:eastAsia="宋体" w:cs="宋体"/>
          <w:sz w:val="24"/>
          <w:szCs w:val="24"/>
        </w:rPr>
      </w:pPr>
    </w:p>
    <w:p>
      <w:pPr>
        <w:pStyle w:val="106"/>
        <w:rPr>
          <w:rFonts w:hint="eastAsia" w:ascii="宋体" w:hAnsi="宋体" w:eastAsia="宋体" w:cs="宋体"/>
          <w:sz w:val="24"/>
          <w:szCs w:val="24"/>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default" w:ascii="宋体" w:hAnsi="宋体" w:eastAsia="宋体" w:cs="宋体"/>
          <w:sz w:val="24"/>
          <w:szCs w:val="24"/>
          <w:lang w:val="en-US" w:eastAsia="zh-CN"/>
        </w:rPr>
      </w:pPr>
    </w:p>
    <w:p>
      <w:pPr>
        <w:pStyle w:val="106"/>
        <w:rPr>
          <w:rFonts w:hint="eastAsia" w:ascii="宋体" w:hAnsi="宋体" w:eastAsia="宋体" w:cs="宋体"/>
          <w:sz w:val="24"/>
          <w:szCs w:val="24"/>
        </w:rPr>
      </w:pPr>
    </w:p>
    <w:p>
      <w:pPr>
        <w:pStyle w:val="106"/>
        <w:rPr>
          <w:rFonts w:hint="eastAsia" w:ascii="宋体" w:hAnsi="宋体" w:eastAsia="宋体" w:cs="宋体"/>
          <w:sz w:val="24"/>
          <w:szCs w:val="24"/>
        </w:rPr>
      </w:pPr>
      <w:r>
        <w:rPr>
          <w:rFonts w:hint="eastAsia" w:ascii="宋体" w:hAnsi="宋体" w:eastAsia="宋体" w:cs="宋体"/>
          <w:b/>
          <w:bCs/>
          <w:sz w:val="24"/>
          <w:szCs w:val="24"/>
        </w:rPr>
        <w:t>附表一：拟投入本项目的主要施工设备表</w:t>
      </w:r>
    </w:p>
    <w:tbl>
      <w:tblPr>
        <w:tblStyle w:val="3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54"/>
        <w:gridCol w:w="808"/>
        <w:gridCol w:w="1052"/>
        <w:gridCol w:w="714"/>
        <w:gridCol w:w="782"/>
        <w:gridCol w:w="1288"/>
        <w:gridCol w:w="927"/>
        <w:gridCol w:w="1120"/>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rPr>
                <w:rFonts w:hint="eastAsia" w:ascii="宋体" w:hAnsi="宋体" w:eastAsia="宋体" w:cs="宋体"/>
                <w:sz w:val="24"/>
                <w:szCs w:val="24"/>
              </w:rPr>
            </w:pPr>
            <w:r>
              <w:rPr>
                <w:rFonts w:hint="eastAsia" w:ascii="宋体" w:hAnsi="宋体" w:eastAsia="宋体" w:cs="宋体"/>
                <w:sz w:val="24"/>
                <w:szCs w:val="24"/>
              </w:rPr>
              <w:t>序号</w:t>
            </w: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型号</w:t>
            </w:r>
          </w:p>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国别</w:t>
            </w:r>
          </w:p>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产地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制造</w:t>
            </w:r>
          </w:p>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年份</w:t>
            </w: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额定功率（kW）</w:t>
            </w: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生产</w:t>
            </w:r>
          </w:p>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能力</w:t>
            </w: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用于施工部位</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bl>
    <w:p>
      <w:pPr>
        <w:pStyle w:val="106"/>
        <w:rPr>
          <w:rFonts w:hint="eastAsia" w:ascii="宋体" w:hAnsi="宋体" w:eastAsia="宋体" w:cs="宋体"/>
          <w:b/>
          <w:bCs/>
          <w:sz w:val="24"/>
          <w:szCs w:val="24"/>
        </w:rPr>
      </w:pPr>
    </w:p>
    <w:p>
      <w:pPr>
        <w:pStyle w:val="106"/>
        <w:rPr>
          <w:rFonts w:hint="eastAsia" w:ascii="宋体" w:hAnsi="宋体" w:eastAsia="宋体" w:cs="宋体"/>
          <w:b/>
          <w:bCs/>
          <w:sz w:val="24"/>
          <w:szCs w:val="24"/>
        </w:rPr>
      </w:pPr>
    </w:p>
    <w:p>
      <w:pPr>
        <w:pStyle w:val="106"/>
        <w:rPr>
          <w:rFonts w:hint="eastAsia" w:ascii="宋体" w:hAnsi="宋体" w:eastAsia="宋体" w:cs="宋体"/>
          <w:b/>
          <w:bCs/>
          <w:sz w:val="24"/>
          <w:szCs w:val="24"/>
        </w:rPr>
      </w:pPr>
    </w:p>
    <w:p>
      <w:pPr>
        <w:pStyle w:val="106"/>
        <w:rPr>
          <w:rFonts w:hint="eastAsia" w:ascii="宋体" w:hAnsi="宋体" w:eastAsia="宋体" w:cs="宋体"/>
          <w:sz w:val="24"/>
          <w:szCs w:val="24"/>
        </w:rPr>
      </w:pPr>
      <w:r>
        <w:rPr>
          <w:rFonts w:hint="eastAsia" w:ascii="宋体" w:hAnsi="宋体" w:eastAsia="宋体" w:cs="宋体"/>
          <w:b/>
          <w:bCs/>
          <w:sz w:val="24"/>
          <w:szCs w:val="24"/>
        </w:rPr>
        <w:t>附表二：劳动力计划表</w:t>
      </w:r>
    </w:p>
    <w:p>
      <w:pPr>
        <w:pStyle w:val="106"/>
        <w:spacing w:line="360" w:lineRule="auto"/>
        <w:ind w:right="200" w:firstLine="720" w:firstLineChars="300"/>
        <w:rPr>
          <w:rFonts w:hint="eastAsia" w:ascii="宋体" w:hAnsi="宋体" w:eastAsia="宋体" w:cs="宋体"/>
          <w:sz w:val="24"/>
          <w:szCs w:val="24"/>
        </w:rPr>
      </w:pPr>
      <w:r>
        <w:rPr>
          <w:rFonts w:hint="eastAsia" w:ascii="宋体" w:hAnsi="宋体" w:eastAsia="宋体" w:cs="宋体"/>
          <w:sz w:val="24"/>
          <w:szCs w:val="24"/>
        </w:rPr>
        <w:t xml:space="preserve">                                                      单位：</w:t>
      </w:r>
      <w:r>
        <w:rPr>
          <w:rFonts w:hint="eastAsia" w:ascii="宋体" w:hAnsi="宋体" w:eastAsia="宋体" w:cs="宋体"/>
          <w:sz w:val="24"/>
          <w:szCs w:val="24"/>
          <w:u w:val="single"/>
        </w:rPr>
        <w:t xml:space="preserve">      </w:t>
      </w:r>
      <w:r>
        <w:rPr>
          <w:rFonts w:hint="eastAsia" w:ascii="宋体" w:hAnsi="宋体" w:eastAsia="宋体" w:cs="宋体"/>
          <w:sz w:val="24"/>
          <w:szCs w:val="24"/>
        </w:rPr>
        <w:t>人</w:t>
      </w: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419"/>
        <w:gridCol w:w="1159"/>
        <w:gridCol w:w="1159"/>
        <w:gridCol w:w="1159"/>
        <w:gridCol w:w="1159"/>
        <w:gridCol w:w="115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工种</w:t>
            </w:r>
          </w:p>
        </w:tc>
        <w:tc>
          <w:tcPr>
            <w:tcW w:w="4513" w:type="pct"/>
            <w:gridSpan w:val="7"/>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sz w:val="24"/>
                <w:szCs w:val="24"/>
              </w:rPr>
            </w:pPr>
            <w:r>
              <w:rPr>
                <w:rFonts w:hint="eastAsia" w:ascii="宋体" w:hAnsi="宋体" w:eastAsia="宋体" w:cs="宋体"/>
                <w:sz w:val="24"/>
                <w:szCs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rPr>
                <w:rFonts w:hint="eastAsia" w:ascii="宋体" w:hAnsi="宋体" w:eastAsia="宋体" w:cs="宋体"/>
                <w:color w:val="00CCFF"/>
                <w:sz w:val="24"/>
                <w:szCs w:val="24"/>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106"/>
              <w:spacing w:line="360" w:lineRule="auto"/>
              <w:jc w:val="center"/>
              <w:rPr>
                <w:rFonts w:hint="eastAsia" w:ascii="宋体" w:hAnsi="宋体" w:eastAsia="宋体" w:cs="宋体"/>
                <w:color w:val="00CCFF"/>
                <w:sz w:val="24"/>
                <w:szCs w:val="24"/>
              </w:rPr>
            </w:pPr>
          </w:p>
        </w:tc>
      </w:tr>
    </w:tbl>
    <w:p>
      <w:pPr>
        <w:pStyle w:val="116"/>
        <w:spacing w:line="360" w:lineRule="auto"/>
        <w:rPr>
          <w:rFonts w:hint="eastAsia" w:ascii="宋体" w:hAnsi="宋体" w:eastAsia="宋体" w:cs="宋体"/>
          <w:color w:val="00CCFF"/>
          <w:sz w:val="24"/>
          <w:szCs w:val="24"/>
        </w:rPr>
      </w:pPr>
    </w:p>
    <w:p>
      <w:pPr>
        <w:pStyle w:val="116"/>
        <w:spacing w:line="360" w:lineRule="auto"/>
        <w:rPr>
          <w:rFonts w:hint="eastAsia" w:ascii="宋体" w:hAnsi="宋体" w:eastAsia="宋体" w:cs="宋体"/>
          <w:color w:val="00CCFF"/>
          <w:sz w:val="24"/>
          <w:szCs w:val="24"/>
        </w:rPr>
      </w:pPr>
    </w:p>
    <w:p>
      <w:pPr>
        <w:pStyle w:val="106"/>
        <w:rPr>
          <w:rFonts w:hint="eastAsia" w:ascii="宋体" w:hAnsi="宋体" w:eastAsia="宋体" w:cs="宋体"/>
          <w:b/>
          <w:bCs/>
          <w:sz w:val="24"/>
          <w:szCs w:val="24"/>
        </w:rPr>
      </w:pPr>
      <w:r>
        <w:rPr>
          <w:rFonts w:hint="eastAsia" w:ascii="宋体" w:hAnsi="宋体" w:eastAsia="宋体" w:cs="宋体"/>
          <w:b/>
          <w:bCs/>
          <w:sz w:val="24"/>
          <w:szCs w:val="24"/>
        </w:rPr>
        <w:t>附表三：进度计划</w:t>
      </w:r>
    </w:p>
    <w:p>
      <w:pPr>
        <w:pStyle w:val="106"/>
        <w:rPr>
          <w:rFonts w:hint="eastAsia" w:ascii="宋体" w:hAnsi="宋体" w:eastAsia="宋体" w:cs="宋体"/>
          <w:b/>
          <w:bCs/>
          <w:sz w:val="24"/>
          <w:szCs w:val="24"/>
        </w:rPr>
      </w:pPr>
    </w:p>
    <w:p>
      <w:pPr>
        <w:pStyle w:val="106"/>
        <w:numPr>
          <w:ilvl w:val="0"/>
          <w:numId w:val="0"/>
        </w:numPr>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供应商应递交施工进度网络图或施工进度表，说明按磋商文件要求的计划工期进行施工的各个关键日期。</w:t>
      </w:r>
    </w:p>
    <w:p>
      <w:pPr>
        <w:pStyle w:val="106"/>
        <w:numPr>
          <w:ilvl w:val="0"/>
          <w:numId w:val="0"/>
        </w:numPr>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施工进度表可采用网络图或横道图表示。</w:t>
      </w:r>
    </w:p>
    <w:p>
      <w:pPr>
        <w:pStyle w:val="106"/>
        <w:rPr>
          <w:rFonts w:hint="eastAsia" w:ascii="宋体" w:hAnsi="宋体" w:eastAsia="宋体" w:cs="宋体"/>
          <w:sz w:val="24"/>
          <w:szCs w:val="24"/>
        </w:rPr>
      </w:pPr>
    </w:p>
    <w:p>
      <w:pPr>
        <w:pStyle w:val="106"/>
        <w:rPr>
          <w:rFonts w:hint="eastAsia" w:ascii="宋体" w:hAnsi="宋体" w:eastAsia="宋体" w:cs="宋体"/>
          <w:sz w:val="24"/>
          <w:szCs w:val="24"/>
        </w:rPr>
      </w:pPr>
    </w:p>
    <w:p>
      <w:pPr>
        <w:pStyle w:val="106"/>
        <w:rPr>
          <w:rFonts w:hint="eastAsia" w:ascii="宋体" w:hAnsi="宋体" w:eastAsia="宋体" w:cs="宋体"/>
          <w:sz w:val="24"/>
          <w:szCs w:val="24"/>
        </w:rPr>
      </w:pPr>
    </w:p>
    <w:p>
      <w:pPr>
        <w:pStyle w:val="106"/>
        <w:rPr>
          <w:rFonts w:hint="eastAsia" w:ascii="宋体" w:hAnsi="宋体" w:eastAsia="宋体" w:cs="宋体"/>
          <w:sz w:val="24"/>
          <w:szCs w:val="24"/>
        </w:rPr>
      </w:pPr>
      <w:r>
        <w:rPr>
          <w:rFonts w:hint="eastAsia" w:ascii="宋体" w:hAnsi="宋体" w:eastAsia="宋体" w:cs="宋体"/>
          <w:b/>
          <w:bCs/>
          <w:sz w:val="24"/>
          <w:szCs w:val="24"/>
        </w:rPr>
        <w:t>附表四：施工总平面图</w:t>
      </w:r>
    </w:p>
    <w:p>
      <w:pPr>
        <w:pStyle w:val="106"/>
        <w:numPr>
          <w:ilvl w:val="0"/>
          <w:numId w:val="0"/>
        </w:numPr>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供应商应递交一份施工总平面图，绘出现场临时设施布置图表，并注明临时设施、加工车间、现场办公、设备及仓储、供电、供水、卫生、生活、道路、消防等设施的情况和布置。</w:t>
      </w:r>
      <w:bookmarkStart w:id="1255" w:name="_Toc256000051"/>
      <w:bookmarkStart w:id="1256" w:name="_Toc28819"/>
      <w:bookmarkStart w:id="1257" w:name="_Toc4856"/>
    </w:p>
    <w:p>
      <w:pPr>
        <w:pStyle w:val="106"/>
        <w:numPr>
          <w:ilvl w:val="0"/>
          <w:numId w:val="0"/>
        </w:numPr>
        <w:ind w:left="0" w:leftChars="0" w:firstLine="420" w:firstLineChars="175"/>
        <w:rPr>
          <w:rFonts w:hint="eastAsia" w:ascii="宋体" w:hAnsi="宋体" w:eastAsia="宋体" w:cs="宋体"/>
          <w:sz w:val="24"/>
          <w:szCs w:val="24"/>
        </w:rPr>
      </w:pPr>
    </w:p>
    <w:p>
      <w:pPr>
        <w:pStyle w:val="106"/>
        <w:numPr>
          <w:ilvl w:val="0"/>
          <w:numId w:val="0"/>
        </w:numPr>
        <w:ind w:left="0" w:leftChars="0" w:firstLine="420" w:firstLineChars="175"/>
        <w:rPr>
          <w:rFonts w:hint="eastAsia" w:ascii="宋体" w:hAnsi="宋体" w:eastAsia="宋体" w:cs="宋体"/>
          <w:sz w:val="24"/>
          <w:szCs w:val="24"/>
        </w:rPr>
      </w:pPr>
    </w:p>
    <w:p>
      <w:pPr>
        <w:pStyle w:val="204"/>
        <w:outlineLvl w:val="0"/>
        <w:rPr>
          <w:rFonts w:hint="eastAsia" w:ascii="宋体" w:hAnsi="宋体" w:eastAsia="宋体" w:cs="宋体"/>
          <w:b/>
          <w:sz w:val="24"/>
          <w:szCs w:val="24"/>
        </w:rPr>
      </w:pPr>
      <w:bookmarkStart w:id="1258" w:name="_Toc30659"/>
      <w:bookmarkStart w:id="1259" w:name="_Toc30473"/>
      <w:bookmarkStart w:id="1260" w:name="_Toc4464"/>
      <w:r>
        <w:rPr>
          <w:rFonts w:hint="eastAsia" w:ascii="宋体" w:hAnsi="宋体" w:eastAsia="宋体" w:cs="宋体"/>
          <w:b/>
          <w:sz w:val="28"/>
          <w:szCs w:val="22"/>
          <w:lang w:val="en-US" w:eastAsia="zh-CN" w:bidi="ar-SA"/>
        </w:rPr>
        <w:t>十四、项目管理机构组成表</w:t>
      </w:r>
      <w:bookmarkEnd w:id="1255"/>
      <w:bookmarkEnd w:id="1256"/>
      <w:bookmarkEnd w:id="1257"/>
      <w:bookmarkEnd w:id="1258"/>
      <w:bookmarkEnd w:id="1259"/>
      <w:bookmarkEnd w:id="1260"/>
    </w:p>
    <w:p>
      <w:pPr>
        <w:pStyle w:val="106"/>
        <w:rPr>
          <w:rFonts w:hint="eastAsia" w:ascii="宋体" w:hAnsi="宋体" w:eastAsia="宋体" w:cs="宋体"/>
          <w:b/>
          <w:bCs/>
          <w:sz w:val="24"/>
          <w:szCs w:val="24"/>
        </w:rPr>
      </w:pPr>
      <w:bookmarkStart w:id="1261" w:name="_Toc256000052"/>
      <w:r>
        <w:rPr>
          <w:rFonts w:hint="eastAsia" w:ascii="宋体" w:hAnsi="宋体" w:eastAsia="宋体" w:cs="宋体"/>
          <w:b/>
          <w:bCs/>
          <w:sz w:val="24"/>
          <w:szCs w:val="24"/>
        </w:rPr>
        <w:t>（一）项目管理机构组成表</w:t>
      </w:r>
      <w:bookmarkEnd w:id="1261"/>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
        <w:gridCol w:w="782"/>
        <w:gridCol w:w="1178"/>
        <w:gridCol w:w="782"/>
        <w:gridCol w:w="784"/>
        <w:gridCol w:w="782"/>
        <w:gridCol w:w="2759"/>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8" w:type="pct"/>
            <w:vMerge w:val="restar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3383" w:type="pct"/>
            <w:gridSpan w:val="5"/>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8"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2"/>
              <w:widowControl/>
              <w:jc w:val="left"/>
              <w:rPr>
                <w:rFonts w:hint="eastAsia" w:ascii="宋体" w:hAnsi="宋体" w:eastAsia="宋体" w:cs="宋体"/>
                <w:sz w:val="24"/>
                <w:szCs w:val="24"/>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2"/>
              <w:widowControl/>
              <w:jc w:val="left"/>
              <w:rPr>
                <w:rFonts w:hint="eastAsia" w:ascii="宋体" w:hAnsi="宋体" w:eastAsia="宋体" w:cs="宋体"/>
                <w:sz w:val="24"/>
                <w:szCs w:val="24"/>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2"/>
              <w:widowControl/>
              <w:jc w:val="left"/>
              <w:rPr>
                <w:rFonts w:hint="eastAsia" w:ascii="宋体" w:hAnsi="宋体" w:eastAsia="宋体" w:cs="宋体"/>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sz w:val="24"/>
                <w:szCs w:val="24"/>
              </w:rPr>
            </w:pPr>
            <w:r>
              <w:rPr>
                <w:rFonts w:hint="eastAsia" w:ascii="宋体" w:hAnsi="宋体" w:eastAsia="宋体" w:cs="宋体"/>
                <w:sz w:val="24"/>
                <w:szCs w:val="24"/>
              </w:rPr>
              <w:t>级别</w:t>
            </w: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sz w:val="24"/>
                <w:szCs w:val="24"/>
              </w:rPr>
            </w:pPr>
            <w:r>
              <w:rPr>
                <w:rFonts w:hint="eastAsia" w:ascii="宋体" w:hAnsi="宋体" w:eastAsia="宋体" w:cs="宋体"/>
                <w:sz w:val="24"/>
                <w:szCs w:val="24"/>
              </w:rPr>
              <w:t>证号</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483"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sz w:val="24"/>
                <w:szCs w:val="24"/>
              </w:rPr>
            </w:pPr>
            <w:r>
              <w:rPr>
                <w:rFonts w:hint="eastAsia" w:ascii="宋体" w:hAnsi="宋体" w:eastAsia="宋体" w:cs="宋体"/>
                <w:sz w:val="24"/>
                <w:szCs w:val="24"/>
              </w:rPr>
              <w:t>养老保险</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1483"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132"/>
              <w:spacing w:line="360" w:lineRule="auto"/>
              <w:jc w:val="center"/>
              <w:rPr>
                <w:rFonts w:hint="eastAsia" w:ascii="宋体" w:hAnsi="宋体" w:eastAsia="宋体" w:cs="宋体"/>
                <w:color w:val="00CCFF"/>
                <w:sz w:val="24"/>
                <w:szCs w:val="24"/>
              </w:rPr>
            </w:pPr>
          </w:p>
        </w:tc>
      </w:tr>
    </w:tbl>
    <w:p>
      <w:pPr>
        <w:pStyle w:val="186"/>
        <w:outlineLvl w:val="0"/>
        <w:rPr>
          <w:rFonts w:hint="eastAsia" w:ascii="宋体" w:hAnsi="宋体" w:eastAsia="宋体" w:cs="宋体"/>
          <w:sz w:val="24"/>
          <w:szCs w:val="24"/>
        </w:rPr>
      </w:pPr>
      <w:r>
        <w:rPr>
          <w:rFonts w:hint="eastAsia" w:ascii="宋体" w:hAnsi="宋体" w:eastAsia="宋体" w:cs="宋体"/>
          <w:sz w:val="24"/>
          <w:szCs w:val="24"/>
        </w:rPr>
        <w:br w:type="page"/>
      </w:r>
      <w:bookmarkStart w:id="1262" w:name="_Toc14452"/>
      <w:bookmarkStart w:id="1263" w:name="_Toc5067"/>
      <w:bookmarkStart w:id="1264" w:name="_Toc12728"/>
      <w:bookmarkStart w:id="1265" w:name="_Toc11937"/>
      <w:bookmarkStart w:id="1266" w:name="_Toc256000053"/>
      <w:bookmarkStart w:id="1267" w:name="_Toc18856"/>
      <w:r>
        <w:rPr>
          <w:rFonts w:hint="eastAsia" w:ascii="宋体" w:hAnsi="宋体" w:eastAsia="宋体" w:cs="宋体"/>
          <w:b/>
          <w:sz w:val="28"/>
          <w:szCs w:val="22"/>
          <w:lang w:val="en-US" w:eastAsia="zh-CN" w:bidi="ar-SA"/>
        </w:rPr>
        <w:t>十五、项目经理简历表</w:t>
      </w:r>
      <w:bookmarkEnd w:id="1262"/>
      <w:bookmarkEnd w:id="1263"/>
      <w:bookmarkEnd w:id="1264"/>
      <w:bookmarkEnd w:id="1265"/>
      <w:bookmarkEnd w:id="1266"/>
      <w:bookmarkEnd w:id="1267"/>
    </w:p>
    <w:p>
      <w:pPr>
        <w:pStyle w:val="60"/>
        <w:spacing w:line="360" w:lineRule="auto"/>
        <w:jc w:val="left"/>
        <w:rPr>
          <w:rFonts w:hint="eastAsia" w:ascii="宋体" w:hAnsi="宋体" w:eastAsia="宋体" w:cs="宋体"/>
          <w:b/>
          <w:sz w:val="24"/>
          <w:szCs w:val="24"/>
        </w:rPr>
      </w:pPr>
      <w:bookmarkStart w:id="1268" w:name="_Toc14040"/>
      <w:bookmarkStart w:id="1269" w:name="_Toc256000054"/>
      <w:r>
        <w:rPr>
          <w:rStyle w:val="58"/>
          <w:rFonts w:hint="eastAsia" w:ascii="宋体" w:hAnsi="宋体" w:eastAsia="宋体" w:cs="宋体"/>
          <w:sz w:val="24"/>
          <w:szCs w:val="24"/>
        </w:rPr>
        <w:t>（二）项目经理简历表</w:t>
      </w:r>
      <w:bookmarkEnd w:id="1268"/>
      <w:bookmarkEnd w:id="1269"/>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92"/>
        <w:gridCol w:w="784"/>
        <w:gridCol w:w="1008"/>
        <w:gridCol w:w="1159"/>
        <w:gridCol w:w="774"/>
        <w:gridCol w:w="1374"/>
        <w:gridCol w:w="17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jc w:val="center"/>
              <w:rPr>
                <w:rFonts w:hint="eastAsia" w:ascii="宋体" w:hAnsi="宋体" w:eastAsia="宋体" w:cs="宋体"/>
                <w:sz w:val="24"/>
                <w:szCs w:val="24"/>
              </w:rPr>
            </w:pPr>
            <w:r>
              <w:rPr>
                <w:rFonts w:hint="eastAsia" w:ascii="宋体" w:hAnsi="宋体" w:eastAsia="宋体" w:cs="宋体"/>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jc w:val="center"/>
              <w:rPr>
                <w:rFonts w:hint="eastAsia" w:ascii="宋体" w:hAnsi="宋体" w:eastAsia="宋体" w:cs="宋体"/>
                <w:sz w:val="24"/>
                <w:szCs w:val="24"/>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jc w:val="center"/>
              <w:rPr>
                <w:rFonts w:hint="eastAsia" w:ascii="宋体" w:hAnsi="宋体" w:eastAsia="宋体" w:cs="宋体"/>
                <w:sz w:val="24"/>
                <w:szCs w:val="24"/>
              </w:rPr>
            </w:pPr>
            <w:r>
              <w:rPr>
                <w:rFonts w:hint="eastAsia" w:ascii="宋体" w:hAnsi="宋体" w:eastAsia="宋体" w:cs="宋体"/>
                <w:sz w:val="24"/>
                <w:szCs w:val="24"/>
              </w:rPr>
              <w:t>年 龄</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jc w:val="center"/>
              <w:rPr>
                <w:rFonts w:hint="eastAsia" w:ascii="宋体" w:hAnsi="宋体" w:eastAsia="宋体" w:cs="宋体"/>
                <w:sz w:val="24"/>
                <w:szCs w:val="24"/>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jc w:val="center"/>
              <w:rPr>
                <w:rFonts w:hint="eastAsia" w:ascii="宋体" w:hAnsi="宋体" w:eastAsia="宋体" w:cs="宋体"/>
                <w:sz w:val="24"/>
                <w:szCs w:val="24"/>
              </w:rPr>
            </w:pPr>
            <w:r>
              <w:rPr>
                <w:rFonts w:hint="eastAsia" w:ascii="宋体" w:hAnsi="宋体" w:eastAsia="宋体" w:cs="宋体"/>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jc w:val="center"/>
              <w:rPr>
                <w:rFonts w:hint="eastAsia" w:ascii="宋体" w:hAnsi="宋体" w:eastAsia="宋体" w:cs="宋体"/>
                <w:sz w:val="24"/>
                <w:szCs w:val="24"/>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jc w:val="center"/>
              <w:rPr>
                <w:rFonts w:hint="eastAsia" w:ascii="宋体" w:hAnsi="宋体" w:eastAsia="宋体" w:cs="宋体"/>
                <w:sz w:val="24"/>
                <w:szCs w:val="24"/>
              </w:rPr>
            </w:pPr>
            <w:r>
              <w:rPr>
                <w:rFonts w:hint="eastAsia" w:ascii="宋体" w:hAnsi="宋体" w:eastAsia="宋体" w:cs="宋体"/>
                <w:sz w:val="24"/>
                <w:szCs w:val="24"/>
              </w:rPr>
              <w:t>职 务</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jc w:val="center"/>
              <w:rPr>
                <w:rFonts w:hint="eastAsia" w:ascii="宋体" w:hAnsi="宋体" w:eastAsia="宋体" w:cs="宋体"/>
                <w:sz w:val="24"/>
                <w:szCs w:val="24"/>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jc w:val="center"/>
              <w:rPr>
                <w:rFonts w:hint="eastAsia" w:ascii="宋体" w:hAnsi="宋体" w:eastAsia="宋体" w:cs="宋体"/>
                <w:sz w:val="24"/>
                <w:szCs w:val="24"/>
              </w:rPr>
            </w:pPr>
            <w:r>
              <w:rPr>
                <w:rFonts w:hint="eastAsia" w:ascii="宋体" w:hAnsi="宋体" w:eastAsia="宋体" w:cs="宋体"/>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参加过的类似项目</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担任职务</w:t>
            </w:r>
          </w:p>
        </w:tc>
        <w:tc>
          <w:tcPr>
            <w:tcW w:w="1346" w:type="pct"/>
            <w:gridSpan w:val="2"/>
            <w:tcBorders>
              <w:top w:val="single" w:color="auto" w:sz="4" w:space="0"/>
              <w:left w:val="single" w:color="auto" w:sz="4" w:space="0"/>
              <w:bottom w:val="single" w:color="auto" w:sz="4" w:space="0"/>
              <w:right w:val="single" w:color="auto" w:sz="4" w:space="0"/>
            </w:tcBorders>
            <w:noWrap w:val="0"/>
            <w:vAlign w:val="center"/>
          </w:tcPr>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60"/>
              <w:spacing w:line="360" w:lineRule="auto"/>
              <w:rPr>
                <w:rFonts w:hint="eastAsia" w:ascii="宋体" w:hAnsi="宋体" w:eastAsia="宋体" w:cs="宋体"/>
                <w:color w:val="00CCFF"/>
                <w:sz w:val="24"/>
                <w:szCs w:val="24"/>
              </w:rPr>
            </w:pPr>
          </w:p>
        </w:tc>
      </w:tr>
    </w:tbl>
    <w:p>
      <w:pPr>
        <w:pStyle w:val="6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附：建造师注册证书、安全生产考核合格证书、身份证复印件</w:t>
      </w:r>
    </w:p>
    <w:bookmarkEnd w:id="1131"/>
    <w:p>
      <w:pPr>
        <w:rPr>
          <w:rFonts w:hint="eastAsia" w:ascii="宋体" w:hAnsi="宋体" w:eastAsia="宋体" w:cs="宋体"/>
          <w:color w:val="000080"/>
          <w:sz w:val="24"/>
          <w:szCs w:val="24"/>
          <w:highlight w:val="white"/>
        </w:rPr>
      </w:pPr>
    </w:p>
    <w:p>
      <w:pPr>
        <w:rPr>
          <w:rFonts w:hint="eastAsia" w:ascii="宋体" w:hAnsi="宋体" w:eastAsia="宋体" w:cs="宋体"/>
          <w:color w:val="000080"/>
          <w:sz w:val="24"/>
          <w:szCs w:val="24"/>
          <w:highlight w:val="white"/>
        </w:rPr>
      </w:pPr>
    </w:p>
    <w:p>
      <w:pPr>
        <w:pStyle w:val="186"/>
        <w:outlineLvl w:val="0"/>
        <w:rPr>
          <w:rFonts w:hint="eastAsia" w:ascii="宋体" w:hAnsi="宋体" w:eastAsia="宋体" w:cs="宋体"/>
          <w:b/>
          <w:sz w:val="28"/>
          <w:szCs w:val="22"/>
          <w:lang w:val="en-US" w:eastAsia="zh-CN" w:bidi="ar-SA"/>
        </w:rPr>
      </w:pPr>
      <w:bookmarkStart w:id="1270" w:name="_Toc5410"/>
      <w:bookmarkStart w:id="1271" w:name="_Toc27741"/>
      <w:bookmarkStart w:id="1272" w:name="_Toc10234"/>
      <w:r>
        <w:rPr>
          <w:rFonts w:hint="eastAsia" w:ascii="宋体" w:hAnsi="宋体" w:eastAsia="宋体" w:cs="宋体"/>
          <w:b/>
          <w:sz w:val="28"/>
          <w:szCs w:val="22"/>
          <w:lang w:val="en-US" w:eastAsia="zh-CN" w:bidi="ar-SA"/>
        </w:rPr>
        <w:t>十六、其他材料</w:t>
      </w:r>
      <w:bookmarkEnd w:id="1270"/>
      <w:bookmarkEnd w:id="1271"/>
      <w:bookmarkEnd w:id="1272"/>
    </w:p>
    <w:p>
      <w:pPr>
        <w:pStyle w:val="30"/>
        <w:jc w:val="center"/>
        <w:rPr>
          <w:rFonts w:hint="eastAsia" w:ascii="宋体" w:hAnsi="宋体" w:eastAsia="宋体" w:cs="宋体"/>
          <w:bCs/>
          <w:sz w:val="24"/>
          <w:szCs w:val="24"/>
        </w:rPr>
      </w:pPr>
      <w:bookmarkStart w:id="1273" w:name="_Toc12805"/>
      <w:bookmarkStart w:id="1274" w:name="_Toc6078"/>
      <w:bookmarkStart w:id="1275" w:name="_Toc4049"/>
      <w:bookmarkStart w:id="1276" w:name="_Toc23830"/>
      <w:bookmarkStart w:id="1277" w:name="_Toc16141"/>
      <w:r>
        <w:rPr>
          <w:rStyle w:val="42"/>
          <w:rFonts w:hint="eastAsia" w:ascii="宋体" w:hAnsi="宋体" w:eastAsia="宋体" w:cs="宋体"/>
          <w:sz w:val="24"/>
          <w:szCs w:val="24"/>
        </w:rPr>
        <w:t>要求提供的其它材料以及供应商认为需要提交的材料（格式自拟）</w:t>
      </w:r>
      <w:bookmarkEnd w:id="1273"/>
      <w:bookmarkEnd w:id="1274"/>
      <w:bookmarkEnd w:id="1275"/>
      <w:bookmarkEnd w:id="1276"/>
      <w:bookmarkEnd w:id="1277"/>
    </w:p>
    <w:sectPr>
      <w:footerReference r:id="rId13" w:type="first"/>
      <w:headerReference r:id="rId11" w:type="default"/>
      <w:footerReference r:id="rId12" w:type="default"/>
      <w:pgSz w:w="11906" w:h="16838"/>
      <w:pgMar w:top="1417" w:right="1417" w:bottom="1417" w:left="1417" w:header="907" w:footer="907"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DFHeiW9-GB">
    <w:altName w:val="宋体"/>
    <w:panose1 w:val="00000000000000000000"/>
    <w:charset w:val="86"/>
    <w:family w:val="swiss"/>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dashDotStroked" w:color="auto" w:sz="24" w:space="1"/>
      </w:pBdr>
      <w:jc w:val="right"/>
      <w:rPr>
        <w:sz w:val="16"/>
        <w:szCs w:val="16"/>
      </w:rPr>
    </w:pPr>
    <w:r>
      <w:rPr>
        <w:rFonts w:hint="eastAsia"/>
      </w:rPr>
      <w:t xml:space="preserve">   </w:t>
    </w:r>
    <w:r>
      <w:rPr>
        <w:rFonts w:hint="eastAsia"/>
        <w:b/>
        <w:bCs/>
        <w:i/>
        <w:iCs/>
      </w:rPr>
      <w:t xml:space="preserve">           </w:t>
    </w:r>
    <w:r>
      <w:rPr>
        <w:rFonts w:hint="eastAsia"/>
        <w:b/>
        <w:bCs/>
      </w:rPr>
      <w:t xml:space="preserve">                    </w:t>
    </w:r>
    <w:r>
      <w:rPr>
        <w:rFonts w:hint="eastAsia"/>
        <w:b/>
        <w:bCs/>
        <w:i/>
        <w:iCs/>
      </w:rPr>
      <w:t xml:space="preserve">           </w:t>
    </w:r>
    <w:r>
      <w:rPr>
        <w:rFonts w:hint="eastAsia"/>
        <w:b/>
        <w:bCs/>
      </w:rPr>
      <w:t xml:space="preserve">                  </w:t>
    </w:r>
    <w:r>
      <w:rPr>
        <w:rFonts w:hint="eastAsia"/>
        <w:b/>
        <w:bCs/>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6"/>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C07NUbo&#10;AQAAyQMAAA4AAAAAAAAAAQAgAAAAIgEAAGRycy9lMm9Eb2MueG1sUEsFBgAAAAAGAAYAWQEAAHwF&#10;AAAAAA==&#10;">
              <v:fill on="f" focussize="0,0"/>
              <v:stroke on="f" weight="1.25pt"/>
              <v:imagedata o:title=""/>
              <o:lock v:ext="edit" aspectratio="f"/>
              <v:textbox inset="0mm,0mm,0mm,0mm" style="mso-fit-shape-to-text:t;">
                <w:txbxContent>
                  <w:p>
                    <w:pPr>
                      <w:pStyle w:val="2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6"/>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GvaecB&#10;AADJAwAADgAAAAAAAAABACAAAAAiAQAAZHJzL2Uyb0RvYy54bWxQSwUGAAAAAAYABgBZAQAAewUA&#10;AAAA&#10;">
              <v:fill on="f" focussize="0,0"/>
              <v:stroke on="f" weight="1.25pt"/>
              <v:imagedata o:title=""/>
              <o:lock v:ext="edit" aspectratio="f"/>
              <v:textbox inset="0mm,0mm,0mm,0mm" style="mso-fit-shape-to-text:t;">
                <w:txbxContent>
                  <w:p>
                    <w:pPr>
                      <w:pStyle w:val="2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dashDotStroked" w:color="auto" w:sz="24" w:space="1"/>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uMxqnTAQAApA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K0osMzjw84/v55+/&#10;z7++kbfLpE/voca0R4+JcfjgBtya+R7wMtEeZDDpi4QIxlHd00VdMUTC06NqVVUlhjjGZgfxi6fn&#10;PkC8E86QZDQ04Piyquz4AHFMnVNSNetuldZ5hNqSHlGvqndX+cUlhOjaYpHEYuw2WXHYDRO1nWtP&#10;yKzHHWioxZWnRN9blDity2yE2djNxsEHte/yPqVWwL8/RGwnd5kqjLBTYRxe5jktWtqOv/2c9fRz&#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uMxqnTAQAApAMAAA4AAAAAAAAAAQAgAAAA&#10;IgEAAGRycy9lMm9Eb2MueG1sUEsFBgAAAAAGAAYAWQEAAGcFAAAAAA==&#10;">
              <v:fill on="f" focussize="0,0"/>
              <v:stroke on="f" weight="1.25pt"/>
              <v:imagedata o:title=""/>
              <o:lock v:ext="edit" aspectratio="f"/>
              <v:textbox inset="0mm,0mm,0mm,0mm" style="mso-fit-shape-to-text:t;">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r>
      <w:rPr>
        <w:rFonts w:hint="eastAsia"/>
        <w:b/>
        <w:bCs/>
        <w:i/>
        <w:iCs/>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upperLetter"/>
      <w:pStyle w:val="8"/>
      <w:lvlText w:val="%1."/>
      <w:lvlJc w:val="left"/>
      <w:pPr>
        <w:tabs>
          <w:tab w:val="left" w:pos="330"/>
        </w:tabs>
        <w:ind w:left="330" w:hanging="330"/>
      </w:pPr>
    </w:lvl>
  </w:abstractNum>
  <w:abstractNum w:abstractNumId="1">
    <w:nsid w:val="00000005"/>
    <w:multiLevelType w:val="multilevel"/>
    <w:tmpl w:val="00000005"/>
    <w:lvl w:ilvl="0" w:tentative="0">
      <w:start w:val="22"/>
      <w:numFmt w:val="decimal"/>
      <w:pStyle w:val="153"/>
      <w:lvlText w:val="%1."/>
      <w:lvlJc w:val="left"/>
      <w:pPr>
        <w:tabs>
          <w:tab w:val="left" w:pos="1272"/>
        </w:tabs>
        <w:ind w:left="1272" w:hanging="705"/>
      </w:pPr>
      <w:rPr>
        <w:rFonts w:hint="default"/>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2">
    <w:nsid w:val="00000006"/>
    <w:multiLevelType w:val="singleLevel"/>
    <w:tmpl w:val="00000006"/>
    <w:lvl w:ilvl="0" w:tentative="0">
      <w:start w:val="1"/>
      <w:numFmt w:val="chineseCounting"/>
      <w:suff w:val="space"/>
      <w:lvlText w:val="第%1章"/>
      <w:lvlJc w:val="left"/>
    </w:lvl>
  </w:abstractNum>
  <w:abstractNum w:abstractNumId="3">
    <w:nsid w:val="00000007"/>
    <w:multiLevelType w:val="multilevel"/>
    <w:tmpl w:val="00000007"/>
    <w:lvl w:ilvl="0" w:tentative="0">
      <w:start w:val="8"/>
      <w:numFmt w:val="upperLetter"/>
      <w:pStyle w:val="14"/>
      <w:lvlText w:val="%1)"/>
      <w:lvlJc w:val="left"/>
      <w:pPr>
        <w:tabs>
          <w:tab w:val="left" w:pos="600"/>
        </w:tabs>
        <w:ind w:left="600" w:hanging="600"/>
      </w:pPr>
      <w:rPr>
        <w:rFonts w:hint="eastAsia" w:ascii="Times New Roman" w:eastAsia="黑体"/>
        <w:b/>
        <w:u w:val="singl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9"/>
    <w:multiLevelType w:val="multilevel"/>
    <w:tmpl w:val="00000009"/>
    <w:lvl w:ilvl="0" w:tentative="0">
      <w:start w:val="1"/>
      <w:numFmt w:val="upperLetter"/>
      <w:pStyle w:val="9"/>
      <w:lvlText w:val="%1."/>
      <w:lvlJc w:val="left"/>
      <w:pPr>
        <w:tabs>
          <w:tab w:val="left" w:pos="468"/>
        </w:tabs>
        <w:ind w:left="468" w:hanging="46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360"/>
        </w:tabs>
        <w:ind w:left="3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C"/>
    <w:multiLevelType w:val="singleLevel"/>
    <w:tmpl w:val="0000000C"/>
    <w:lvl w:ilvl="0" w:tentative="0">
      <w:start w:val="1"/>
      <w:numFmt w:val="upperRoman"/>
      <w:pStyle w:val="13"/>
      <w:lvlText w:val="%1."/>
      <w:lvlJc w:val="left"/>
      <w:pPr>
        <w:tabs>
          <w:tab w:val="left" w:pos="900"/>
        </w:tabs>
        <w:ind w:left="900" w:hanging="300"/>
      </w:pPr>
    </w:lvl>
  </w:abstractNum>
  <w:abstractNum w:abstractNumId="6">
    <w:nsid w:val="0000000D"/>
    <w:multiLevelType w:val="multilevel"/>
    <w:tmpl w:val="0000000D"/>
    <w:lvl w:ilvl="0" w:tentative="0">
      <w:start w:val="1"/>
      <w:numFmt w:val="upperLetter"/>
      <w:pStyle w:val="10"/>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F"/>
    <w:multiLevelType w:val="multilevel"/>
    <w:tmpl w:val="0000000F"/>
    <w:lvl w:ilvl="0" w:tentative="0">
      <w:start w:val="1"/>
      <w:numFmt w:val="decimal"/>
      <w:pStyle w:val="108"/>
      <w:lvlText w:val="%1、"/>
      <w:lvlJc w:val="left"/>
      <w:pPr>
        <w:ind w:left="90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0"/>
    <w:multiLevelType w:val="multilevel"/>
    <w:tmpl w:val="00000010"/>
    <w:lvl w:ilvl="0" w:tentative="0">
      <w:start w:val="1"/>
      <w:numFmt w:val="decimal"/>
      <w:pStyle w:val="207"/>
      <w:lvlText w:val="%1."/>
      <w:lvlJc w:val="left"/>
      <w:pPr>
        <w:ind w:left="425" w:hanging="425"/>
      </w:pPr>
      <w:rPr>
        <w:rFonts w:cs="Times New Roman"/>
      </w:rPr>
    </w:lvl>
    <w:lvl w:ilvl="1" w:tentative="0">
      <w:start w:val="1"/>
      <w:numFmt w:val="decimal"/>
      <w:pStyle w:val="52"/>
      <w:lvlText w:val="%1.%2."/>
      <w:lvlJc w:val="left"/>
      <w:pPr>
        <w:ind w:left="747" w:hanging="567"/>
      </w:pPr>
      <w:rPr>
        <w:rFonts w:cs="Times New Roman"/>
      </w:rPr>
    </w:lvl>
    <w:lvl w:ilvl="2" w:tentative="0">
      <w:start w:val="1"/>
      <w:numFmt w:val="decimal"/>
      <w:pStyle w:val="81"/>
      <w:lvlText w:val="%1.%2.%3."/>
      <w:lvlJc w:val="left"/>
      <w:pPr>
        <w:ind w:left="709" w:hanging="709"/>
      </w:pPr>
      <w:rPr>
        <w:rFonts w:cs="Times New Roman"/>
      </w:rPr>
    </w:lvl>
    <w:lvl w:ilvl="3" w:tentative="0">
      <w:start w:val="1"/>
      <w:numFmt w:val="decimal"/>
      <w:lvlText w:val="%1.%2.%3.%4."/>
      <w:lvlJc w:val="left"/>
      <w:pPr>
        <w:ind w:left="851" w:hanging="851"/>
      </w:pPr>
      <w:rPr>
        <w:rFonts w:cs="Times New Roman"/>
      </w:rPr>
    </w:lvl>
    <w:lvl w:ilvl="4" w:tentative="0">
      <w:start w:val="1"/>
      <w:numFmt w:val="decimal"/>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9">
    <w:nsid w:val="00000012"/>
    <w:multiLevelType w:val="multilevel"/>
    <w:tmpl w:val="00000012"/>
    <w:lvl w:ilvl="0" w:tentative="0">
      <w:start w:val="1"/>
      <w:numFmt w:val="decimal"/>
      <w:pStyle w:val="70"/>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117"/>
      <w:suff w:val="space"/>
      <w:lvlText w:val="%1.%2.%3、"/>
      <w:lvlJc w:val="left"/>
      <w:pPr>
        <w:ind w:left="0" w:firstLine="0"/>
      </w:pPr>
      <w:rPr>
        <w:rFonts w:hint="eastAsia"/>
      </w:rPr>
    </w:lvl>
    <w:lvl w:ilvl="3" w:tentative="0">
      <w:start w:val="1"/>
      <w:numFmt w:val="bullet"/>
      <w:lvlText w:val=""/>
      <w:lvlJc w:val="left"/>
      <w:pPr>
        <w:ind w:left="0" w:firstLine="0"/>
      </w:pPr>
      <w:rPr>
        <w:rFonts w:hint="default" w:ascii="Wingdings" w:hAnsi="Wingdings"/>
      </w:rPr>
    </w:lvl>
    <w:lvl w:ilvl="4" w:tentative="0">
      <w:start w:val="1"/>
      <w:numFmt w:val="decimal"/>
      <w:pStyle w:val="226"/>
      <w:suff w:val="space"/>
      <w:lvlText w:val="%1.%2.%3.%4.%5、"/>
      <w:lvlJc w:val="left"/>
      <w:pPr>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4"/>
    <w:multiLevelType w:val="multilevel"/>
    <w:tmpl w:val="00000014"/>
    <w:lvl w:ilvl="0" w:tentative="0">
      <w:start w:val="1"/>
      <w:numFmt w:val="bullet"/>
      <w:pStyle w:val="49"/>
      <w:lvlText w:val=""/>
      <w:lvlJc w:val="left"/>
      <w:pPr>
        <w:tabs>
          <w:tab w:val="left" w:pos="720"/>
        </w:tabs>
        <w:ind w:left="970" w:hanging="250"/>
      </w:pPr>
      <w:rPr>
        <w:rFonts w:hint="default" w:ascii="Wingdings" w:hAnsi="Wingdings"/>
      </w:rPr>
    </w:lvl>
    <w:lvl w:ilvl="1" w:tentative="0">
      <w:start w:val="1"/>
      <w:numFmt w:val="bullet"/>
      <w:lvlText w:val=""/>
      <w:lvlJc w:val="left"/>
      <w:pPr>
        <w:tabs>
          <w:tab w:val="left" w:pos="789"/>
        </w:tabs>
        <w:ind w:left="789" w:hanging="420"/>
      </w:pPr>
      <w:rPr>
        <w:rFonts w:hint="default" w:ascii="Wingdings" w:hAnsi="Wingdings"/>
      </w:rPr>
    </w:lvl>
    <w:lvl w:ilvl="2" w:tentative="0">
      <w:start w:val="1"/>
      <w:numFmt w:val="bullet"/>
      <w:lvlText w:val=""/>
      <w:lvlJc w:val="left"/>
      <w:pPr>
        <w:tabs>
          <w:tab w:val="left" w:pos="1209"/>
        </w:tabs>
        <w:ind w:left="1209" w:hanging="420"/>
      </w:pPr>
      <w:rPr>
        <w:rFonts w:hint="default" w:ascii="Wingdings" w:hAnsi="Wingdings"/>
      </w:rPr>
    </w:lvl>
    <w:lvl w:ilvl="3" w:tentative="0">
      <w:start w:val="1"/>
      <w:numFmt w:val="bullet"/>
      <w:lvlText w:val=""/>
      <w:lvlJc w:val="left"/>
      <w:pPr>
        <w:tabs>
          <w:tab w:val="left" w:pos="1629"/>
        </w:tabs>
        <w:ind w:left="1629" w:hanging="420"/>
      </w:pPr>
      <w:rPr>
        <w:rFonts w:hint="default" w:ascii="Wingdings" w:hAnsi="Wingdings"/>
      </w:rPr>
    </w:lvl>
    <w:lvl w:ilvl="4" w:tentative="0">
      <w:start w:val="1"/>
      <w:numFmt w:val="bullet"/>
      <w:lvlText w:val=""/>
      <w:lvlJc w:val="left"/>
      <w:pPr>
        <w:tabs>
          <w:tab w:val="left" w:pos="2049"/>
        </w:tabs>
        <w:ind w:left="2049" w:hanging="420"/>
      </w:pPr>
      <w:rPr>
        <w:rFonts w:hint="default" w:ascii="Wingdings" w:hAnsi="Wingdings"/>
      </w:rPr>
    </w:lvl>
    <w:lvl w:ilvl="5" w:tentative="0">
      <w:start w:val="1"/>
      <w:numFmt w:val="bullet"/>
      <w:lvlText w:val=""/>
      <w:lvlJc w:val="left"/>
      <w:pPr>
        <w:tabs>
          <w:tab w:val="left" w:pos="2469"/>
        </w:tabs>
        <w:ind w:left="2469" w:hanging="420"/>
      </w:pPr>
      <w:rPr>
        <w:rFonts w:hint="default" w:ascii="Wingdings" w:hAnsi="Wingdings"/>
      </w:rPr>
    </w:lvl>
    <w:lvl w:ilvl="6" w:tentative="0">
      <w:start w:val="1"/>
      <w:numFmt w:val="bullet"/>
      <w:lvlText w:val=""/>
      <w:lvlJc w:val="left"/>
      <w:pPr>
        <w:tabs>
          <w:tab w:val="left" w:pos="2889"/>
        </w:tabs>
        <w:ind w:left="2889" w:hanging="420"/>
      </w:pPr>
      <w:rPr>
        <w:rFonts w:hint="default" w:ascii="Wingdings" w:hAnsi="Wingdings"/>
      </w:rPr>
    </w:lvl>
    <w:lvl w:ilvl="7" w:tentative="0">
      <w:start w:val="1"/>
      <w:numFmt w:val="bullet"/>
      <w:lvlText w:val=""/>
      <w:lvlJc w:val="left"/>
      <w:pPr>
        <w:tabs>
          <w:tab w:val="left" w:pos="3309"/>
        </w:tabs>
        <w:ind w:left="3309" w:hanging="420"/>
      </w:pPr>
      <w:rPr>
        <w:rFonts w:hint="default" w:ascii="Wingdings" w:hAnsi="Wingdings"/>
      </w:rPr>
    </w:lvl>
    <w:lvl w:ilvl="8" w:tentative="0">
      <w:start w:val="1"/>
      <w:numFmt w:val="bullet"/>
      <w:lvlText w:val=""/>
      <w:lvlJc w:val="left"/>
      <w:pPr>
        <w:tabs>
          <w:tab w:val="left" w:pos="3729"/>
        </w:tabs>
        <w:ind w:left="3729" w:hanging="420"/>
      </w:pPr>
      <w:rPr>
        <w:rFonts w:hint="default" w:ascii="Wingdings" w:hAnsi="Wingdings"/>
      </w:rPr>
    </w:lvl>
  </w:abstractNum>
  <w:abstractNum w:abstractNumId="11">
    <w:nsid w:val="2A06B625"/>
    <w:multiLevelType w:val="singleLevel"/>
    <w:tmpl w:val="2A06B625"/>
    <w:lvl w:ilvl="0" w:tentative="0">
      <w:start w:val="1"/>
      <w:numFmt w:val="decimal"/>
      <w:suff w:val="nothing"/>
      <w:lvlText w:val="（%1）"/>
      <w:lvlJc w:val="left"/>
    </w:lvl>
  </w:abstractNum>
  <w:num w:numId="1">
    <w:abstractNumId w:val="0"/>
  </w:num>
  <w:num w:numId="2">
    <w:abstractNumId w:val="4"/>
  </w:num>
  <w:num w:numId="3">
    <w:abstractNumId w:val="6"/>
  </w:num>
  <w:num w:numId="4">
    <w:abstractNumId w:val="5"/>
  </w:num>
  <w:num w:numId="5">
    <w:abstractNumId w:val="3"/>
  </w:num>
  <w:num w:numId="6">
    <w:abstractNumId w:val="10"/>
  </w:num>
  <w:num w:numId="7">
    <w:abstractNumId w:val="8"/>
  </w:num>
  <w:num w:numId="8">
    <w:abstractNumId w:val="9"/>
  </w:num>
  <w:num w:numId="9">
    <w:abstractNumId w:val="7"/>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8"/>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MmIwMzk3YjMzZTc1YzcxZTRjYTZhMzM5OWI2MGYifQ=="/>
  </w:docVars>
  <w:rsids>
    <w:rsidRoot w:val="00172A27"/>
    <w:rsid w:val="000253A8"/>
    <w:rsid w:val="00055592"/>
    <w:rsid w:val="000934C5"/>
    <w:rsid w:val="000C4E79"/>
    <w:rsid w:val="00121DD6"/>
    <w:rsid w:val="001343C7"/>
    <w:rsid w:val="00194FE0"/>
    <w:rsid w:val="001D4DCC"/>
    <w:rsid w:val="001F26F8"/>
    <w:rsid w:val="00204FE8"/>
    <w:rsid w:val="00225BCA"/>
    <w:rsid w:val="0032610D"/>
    <w:rsid w:val="003D11DB"/>
    <w:rsid w:val="00420EE7"/>
    <w:rsid w:val="004302FD"/>
    <w:rsid w:val="0043631B"/>
    <w:rsid w:val="004772BE"/>
    <w:rsid w:val="004A279D"/>
    <w:rsid w:val="00540227"/>
    <w:rsid w:val="005A4A32"/>
    <w:rsid w:val="005A7807"/>
    <w:rsid w:val="005C1E23"/>
    <w:rsid w:val="005C6D99"/>
    <w:rsid w:val="006660EE"/>
    <w:rsid w:val="0066795B"/>
    <w:rsid w:val="007858CF"/>
    <w:rsid w:val="00793C22"/>
    <w:rsid w:val="007A4AA8"/>
    <w:rsid w:val="007B20F2"/>
    <w:rsid w:val="007E266E"/>
    <w:rsid w:val="007E4AAD"/>
    <w:rsid w:val="00873FBD"/>
    <w:rsid w:val="00882BC4"/>
    <w:rsid w:val="00883C40"/>
    <w:rsid w:val="008B7C2E"/>
    <w:rsid w:val="008C32A5"/>
    <w:rsid w:val="008F32D6"/>
    <w:rsid w:val="00902A6F"/>
    <w:rsid w:val="00915DA6"/>
    <w:rsid w:val="009244C7"/>
    <w:rsid w:val="00A006C5"/>
    <w:rsid w:val="00A64122"/>
    <w:rsid w:val="00A641FB"/>
    <w:rsid w:val="00AD66A8"/>
    <w:rsid w:val="00B76724"/>
    <w:rsid w:val="00B8007E"/>
    <w:rsid w:val="00C04E3A"/>
    <w:rsid w:val="00C4456A"/>
    <w:rsid w:val="00C832A6"/>
    <w:rsid w:val="00CB5DD6"/>
    <w:rsid w:val="00CE6266"/>
    <w:rsid w:val="00D12248"/>
    <w:rsid w:val="00D922CA"/>
    <w:rsid w:val="00DC12BE"/>
    <w:rsid w:val="00E16663"/>
    <w:rsid w:val="00E36012"/>
    <w:rsid w:val="00EE7AAE"/>
    <w:rsid w:val="00EF3D73"/>
    <w:rsid w:val="00F43DCE"/>
    <w:rsid w:val="00F612C4"/>
    <w:rsid w:val="012A2737"/>
    <w:rsid w:val="01564A0B"/>
    <w:rsid w:val="015B4110"/>
    <w:rsid w:val="01633E9B"/>
    <w:rsid w:val="016F66BF"/>
    <w:rsid w:val="0186612A"/>
    <w:rsid w:val="01A6752C"/>
    <w:rsid w:val="01EF64F0"/>
    <w:rsid w:val="01FD42EF"/>
    <w:rsid w:val="022F3D15"/>
    <w:rsid w:val="02812958"/>
    <w:rsid w:val="02AD7AC3"/>
    <w:rsid w:val="02D301F8"/>
    <w:rsid w:val="03100052"/>
    <w:rsid w:val="035E4919"/>
    <w:rsid w:val="03BA34F3"/>
    <w:rsid w:val="03F36FFC"/>
    <w:rsid w:val="040D00EE"/>
    <w:rsid w:val="042157BC"/>
    <w:rsid w:val="045F408F"/>
    <w:rsid w:val="04787181"/>
    <w:rsid w:val="04FC43EA"/>
    <w:rsid w:val="051F5BB4"/>
    <w:rsid w:val="05A15307"/>
    <w:rsid w:val="05D61661"/>
    <w:rsid w:val="064E6EC7"/>
    <w:rsid w:val="067E41E9"/>
    <w:rsid w:val="06C55F64"/>
    <w:rsid w:val="070D0E94"/>
    <w:rsid w:val="071874D5"/>
    <w:rsid w:val="0745630E"/>
    <w:rsid w:val="07851FC8"/>
    <w:rsid w:val="079A613C"/>
    <w:rsid w:val="07A415D0"/>
    <w:rsid w:val="07C210A9"/>
    <w:rsid w:val="08287638"/>
    <w:rsid w:val="08564759"/>
    <w:rsid w:val="08C607DB"/>
    <w:rsid w:val="08E74524"/>
    <w:rsid w:val="09152EE5"/>
    <w:rsid w:val="09510A7C"/>
    <w:rsid w:val="095A315B"/>
    <w:rsid w:val="097A67FC"/>
    <w:rsid w:val="0983367F"/>
    <w:rsid w:val="09B65FB2"/>
    <w:rsid w:val="09C05020"/>
    <w:rsid w:val="09D724F3"/>
    <w:rsid w:val="0A4A3E4A"/>
    <w:rsid w:val="0A5648DC"/>
    <w:rsid w:val="0B446AEB"/>
    <w:rsid w:val="0B647152"/>
    <w:rsid w:val="0BE11C48"/>
    <w:rsid w:val="0C1C181A"/>
    <w:rsid w:val="0C5965C6"/>
    <w:rsid w:val="0C670CE3"/>
    <w:rsid w:val="0C6C6209"/>
    <w:rsid w:val="0CB94781"/>
    <w:rsid w:val="0CC02A0E"/>
    <w:rsid w:val="0D4B7BB5"/>
    <w:rsid w:val="0DD143AC"/>
    <w:rsid w:val="0DEC0005"/>
    <w:rsid w:val="0DEF1F94"/>
    <w:rsid w:val="0E57627B"/>
    <w:rsid w:val="0E5F6764"/>
    <w:rsid w:val="0E7D6ED5"/>
    <w:rsid w:val="0EA23159"/>
    <w:rsid w:val="0EB349E8"/>
    <w:rsid w:val="0ED63A93"/>
    <w:rsid w:val="0ED70B14"/>
    <w:rsid w:val="0EEC7088"/>
    <w:rsid w:val="0EF754D3"/>
    <w:rsid w:val="0F252E85"/>
    <w:rsid w:val="0F9E088D"/>
    <w:rsid w:val="0FD01A45"/>
    <w:rsid w:val="0FE91A0F"/>
    <w:rsid w:val="105C6D93"/>
    <w:rsid w:val="10A93483"/>
    <w:rsid w:val="10AE3430"/>
    <w:rsid w:val="10B0675A"/>
    <w:rsid w:val="10CF50A9"/>
    <w:rsid w:val="10F70556"/>
    <w:rsid w:val="11265DB1"/>
    <w:rsid w:val="11426C08"/>
    <w:rsid w:val="117F2F19"/>
    <w:rsid w:val="120668A8"/>
    <w:rsid w:val="125144FB"/>
    <w:rsid w:val="12573F56"/>
    <w:rsid w:val="126A6311"/>
    <w:rsid w:val="12B86FA7"/>
    <w:rsid w:val="131073B6"/>
    <w:rsid w:val="142A6F11"/>
    <w:rsid w:val="150A4EE4"/>
    <w:rsid w:val="15220680"/>
    <w:rsid w:val="15497EC7"/>
    <w:rsid w:val="15671D54"/>
    <w:rsid w:val="157F0629"/>
    <w:rsid w:val="159B1EBE"/>
    <w:rsid w:val="15C41AAF"/>
    <w:rsid w:val="15E76BCB"/>
    <w:rsid w:val="15F17A9C"/>
    <w:rsid w:val="15F83E40"/>
    <w:rsid w:val="16526208"/>
    <w:rsid w:val="166F7C3D"/>
    <w:rsid w:val="167209B0"/>
    <w:rsid w:val="167A6743"/>
    <w:rsid w:val="16B47A06"/>
    <w:rsid w:val="174B5CD0"/>
    <w:rsid w:val="17BF6F57"/>
    <w:rsid w:val="181803AB"/>
    <w:rsid w:val="18A70A77"/>
    <w:rsid w:val="18AE37F5"/>
    <w:rsid w:val="18EC27FC"/>
    <w:rsid w:val="190854CF"/>
    <w:rsid w:val="19446AC0"/>
    <w:rsid w:val="198E782D"/>
    <w:rsid w:val="1A524FFD"/>
    <w:rsid w:val="1B421B81"/>
    <w:rsid w:val="1BBD66AD"/>
    <w:rsid w:val="1BBD7954"/>
    <w:rsid w:val="1BE22BFA"/>
    <w:rsid w:val="1C620BDA"/>
    <w:rsid w:val="1CBB04BE"/>
    <w:rsid w:val="1CED7F76"/>
    <w:rsid w:val="1CFD4D4B"/>
    <w:rsid w:val="1CFF6D16"/>
    <w:rsid w:val="1D0B1216"/>
    <w:rsid w:val="1D0F7DD9"/>
    <w:rsid w:val="1D3F1735"/>
    <w:rsid w:val="1D796275"/>
    <w:rsid w:val="1D9220A3"/>
    <w:rsid w:val="1DDF2359"/>
    <w:rsid w:val="1DE57D57"/>
    <w:rsid w:val="1E572FAE"/>
    <w:rsid w:val="1E5A3CE3"/>
    <w:rsid w:val="1E6D3BFF"/>
    <w:rsid w:val="1EDE7907"/>
    <w:rsid w:val="1EE118D6"/>
    <w:rsid w:val="1F4922DC"/>
    <w:rsid w:val="1F4B7FF0"/>
    <w:rsid w:val="1F645691"/>
    <w:rsid w:val="1F83778A"/>
    <w:rsid w:val="1FED5707"/>
    <w:rsid w:val="20054653"/>
    <w:rsid w:val="205F2492"/>
    <w:rsid w:val="20885230"/>
    <w:rsid w:val="20A01B0C"/>
    <w:rsid w:val="20A50242"/>
    <w:rsid w:val="20FA7763"/>
    <w:rsid w:val="21052421"/>
    <w:rsid w:val="21085EFA"/>
    <w:rsid w:val="214F20E9"/>
    <w:rsid w:val="21513937"/>
    <w:rsid w:val="21875DEC"/>
    <w:rsid w:val="21970FC2"/>
    <w:rsid w:val="21E85124"/>
    <w:rsid w:val="21F229A5"/>
    <w:rsid w:val="226E6597"/>
    <w:rsid w:val="22906789"/>
    <w:rsid w:val="22E81CE4"/>
    <w:rsid w:val="23A34FA0"/>
    <w:rsid w:val="23A979DB"/>
    <w:rsid w:val="23C25969"/>
    <w:rsid w:val="23D7741A"/>
    <w:rsid w:val="241462FE"/>
    <w:rsid w:val="242D23BA"/>
    <w:rsid w:val="24FE537A"/>
    <w:rsid w:val="24FF4CCF"/>
    <w:rsid w:val="255D1D3A"/>
    <w:rsid w:val="256145EB"/>
    <w:rsid w:val="25642892"/>
    <w:rsid w:val="259A445B"/>
    <w:rsid w:val="25E81813"/>
    <w:rsid w:val="26272FA3"/>
    <w:rsid w:val="26342D65"/>
    <w:rsid w:val="26A526DC"/>
    <w:rsid w:val="26A76DE9"/>
    <w:rsid w:val="26FA0E05"/>
    <w:rsid w:val="27103AA1"/>
    <w:rsid w:val="274B2E7D"/>
    <w:rsid w:val="27553FA5"/>
    <w:rsid w:val="276E51C4"/>
    <w:rsid w:val="27BF77CD"/>
    <w:rsid w:val="280478D6"/>
    <w:rsid w:val="281F1251"/>
    <w:rsid w:val="284251F9"/>
    <w:rsid w:val="28754CC7"/>
    <w:rsid w:val="28B12B71"/>
    <w:rsid w:val="28B92EA3"/>
    <w:rsid w:val="29084A41"/>
    <w:rsid w:val="292D086B"/>
    <w:rsid w:val="292F0982"/>
    <w:rsid w:val="294A4EB1"/>
    <w:rsid w:val="296C128F"/>
    <w:rsid w:val="2999024B"/>
    <w:rsid w:val="29A0718A"/>
    <w:rsid w:val="2A3F0751"/>
    <w:rsid w:val="2A73489F"/>
    <w:rsid w:val="2AA1140C"/>
    <w:rsid w:val="2AF17587"/>
    <w:rsid w:val="2B3B65A2"/>
    <w:rsid w:val="2B406E77"/>
    <w:rsid w:val="2B6E2626"/>
    <w:rsid w:val="2B902D8F"/>
    <w:rsid w:val="2BA15161"/>
    <w:rsid w:val="2BB4516F"/>
    <w:rsid w:val="2C2D0D1A"/>
    <w:rsid w:val="2C414C55"/>
    <w:rsid w:val="2C976095"/>
    <w:rsid w:val="2CB15465"/>
    <w:rsid w:val="2CB15EF9"/>
    <w:rsid w:val="2D594220"/>
    <w:rsid w:val="2D656721"/>
    <w:rsid w:val="2D8E211C"/>
    <w:rsid w:val="2DAC07F4"/>
    <w:rsid w:val="2E187C37"/>
    <w:rsid w:val="2E2F24A3"/>
    <w:rsid w:val="2E4E18AB"/>
    <w:rsid w:val="2E5E5275"/>
    <w:rsid w:val="2ECB204B"/>
    <w:rsid w:val="2EF835C5"/>
    <w:rsid w:val="2EFE4449"/>
    <w:rsid w:val="2F090E89"/>
    <w:rsid w:val="2F3E3E6F"/>
    <w:rsid w:val="2F597389"/>
    <w:rsid w:val="300318AD"/>
    <w:rsid w:val="30564A47"/>
    <w:rsid w:val="308F17B9"/>
    <w:rsid w:val="30FC77CD"/>
    <w:rsid w:val="312E1A2F"/>
    <w:rsid w:val="3183186B"/>
    <w:rsid w:val="318567EC"/>
    <w:rsid w:val="31872160"/>
    <w:rsid w:val="319A06E6"/>
    <w:rsid w:val="31B425B2"/>
    <w:rsid w:val="31CE5E02"/>
    <w:rsid w:val="32292413"/>
    <w:rsid w:val="32C0137D"/>
    <w:rsid w:val="32E0684A"/>
    <w:rsid w:val="32E96FAC"/>
    <w:rsid w:val="331144F5"/>
    <w:rsid w:val="33952001"/>
    <w:rsid w:val="339E27D6"/>
    <w:rsid w:val="33A316F4"/>
    <w:rsid w:val="33B17E24"/>
    <w:rsid w:val="33EA7AAE"/>
    <w:rsid w:val="33F176A1"/>
    <w:rsid w:val="341C3E29"/>
    <w:rsid w:val="34274C91"/>
    <w:rsid w:val="34465A06"/>
    <w:rsid w:val="344F1ED9"/>
    <w:rsid w:val="347932DC"/>
    <w:rsid w:val="348A2F11"/>
    <w:rsid w:val="349C377A"/>
    <w:rsid w:val="34B45669"/>
    <w:rsid w:val="352944D8"/>
    <w:rsid w:val="359027A9"/>
    <w:rsid w:val="35C0242C"/>
    <w:rsid w:val="35C80189"/>
    <w:rsid w:val="35D5640E"/>
    <w:rsid w:val="365A580F"/>
    <w:rsid w:val="368C7784"/>
    <w:rsid w:val="37CC4BFF"/>
    <w:rsid w:val="37D629F6"/>
    <w:rsid w:val="37EB4955"/>
    <w:rsid w:val="388529F3"/>
    <w:rsid w:val="3887654F"/>
    <w:rsid w:val="38902B46"/>
    <w:rsid w:val="38BF587F"/>
    <w:rsid w:val="38D9011F"/>
    <w:rsid w:val="38F73A85"/>
    <w:rsid w:val="394E275F"/>
    <w:rsid w:val="398B5761"/>
    <w:rsid w:val="399F3513"/>
    <w:rsid w:val="39C60C6E"/>
    <w:rsid w:val="3A137327"/>
    <w:rsid w:val="3A2050E2"/>
    <w:rsid w:val="3AAF3805"/>
    <w:rsid w:val="3ABB07E6"/>
    <w:rsid w:val="3B987078"/>
    <w:rsid w:val="3BE50799"/>
    <w:rsid w:val="3C032979"/>
    <w:rsid w:val="3C0536D8"/>
    <w:rsid w:val="3C123F18"/>
    <w:rsid w:val="3C197CD9"/>
    <w:rsid w:val="3C6051E1"/>
    <w:rsid w:val="3C8446EA"/>
    <w:rsid w:val="3C920BB5"/>
    <w:rsid w:val="3CAD59EE"/>
    <w:rsid w:val="3CD4585E"/>
    <w:rsid w:val="3D6D517E"/>
    <w:rsid w:val="3D844E2C"/>
    <w:rsid w:val="3D972499"/>
    <w:rsid w:val="3DB87B82"/>
    <w:rsid w:val="3DE14B97"/>
    <w:rsid w:val="3E661A05"/>
    <w:rsid w:val="3E747133"/>
    <w:rsid w:val="3E806D4F"/>
    <w:rsid w:val="3EC9267E"/>
    <w:rsid w:val="3F035D9A"/>
    <w:rsid w:val="3F542A99"/>
    <w:rsid w:val="3FB42E19"/>
    <w:rsid w:val="3FB712FA"/>
    <w:rsid w:val="40006A4D"/>
    <w:rsid w:val="401E23DA"/>
    <w:rsid w:val="402D3EAF"/>
    <w:rsid w:val="402F194B"/>
    <w:rsid w:val="40885751"/>
    <w:rsid w:val="408F42F1"/>
    <w:rsid w:val="40BD2E5A"/>
    <w:rsid w:val="40CB6EED"/>
    <w:rsid w:val="40D54F73"/>
    <w:rsid w:val="41A94759"/>
    <w:rsid w:val="42127C94"/>
    <w:rsid w:val="425A3F23"/>
    <w:rsid w:val="42984A4B"/>
    <w:rsid w:val="42A065D5"/>
    <w:rsid w:val="42A31D6D"/>
    <w:rsid w:val="42DE6E4E"/>
    <w:rsid w:val="438B5AAE"/>
    <w:rsid w:val="43C948FB"/>
    <w:rsid w:val="43CA4C3D"/>
    <w:rsid w:val="44382F46"/>
    <w:rsid w:val="44390324"/>
    <w:rsid w:val="445B58E4"/>
    <w:rsid w:val="44A45929"/>
    <w:rsid w:val="450968F2"/>
    <w:rsid w:val="45107462"/>
    <w:rsid w:val="455F76BC"/>
    <w:rsid w:val="456807EB"/>
    <w:rsid w:val="45C142B9"/>
    <w:rsid w:val="45DD39C9"/>
    <w:rsid w:val="46137211"/>
    <w:rsid w:val="46416AD6"/>
    <w:rsid w:val="468F5208"/>
    <w:rsid w:val="46F56910"/>
    <w:rsid w:val="47037537"/>
    <w:rsid w:val="47087DF9"/>
    <w:rsid w:val="47480978"/>
    <w:rsid w:val="474C1AD3"/>
    <w:rsid w:val="47FB4A3E"/>
    <w:rsid w:val="4800556C"/>
    <w:rsid w:val="48DD7A62"/>
    <w:rsid w:val="49395001"/>
    <w:rsid w:val="494A42A5"/>
    <w:rsid w:val="49D101C4"/>
    <w:rsid w:val="4A2949E0"/>
    <w:rsid w:val="4A2D63C1"/>
    <w:rsid w:val="4A314422"/>
    <w:rsid w:val="4A394937"/>
    <w:rsid w:val="4A626CDA"/>
    <w:rsid w:val="4AB368C6"/>
    <w:rsid w:val="4AC85C13"/>
    <w:rsid w:val="4AEB7991"/>
    <w:rsid w:val="4AEF0659"/>
    <w:rsid w:val="4AF2704E"/>
    <w:rsid w:val="4B1A4512"/>
    <w:rsid w:val="4B1C35EA"/>
    <w:rsid w:val="4B730E2C"/>
    <w:rsid w:val="4BD73978"/>
    <w:rsid w:val="4BEC44D3"/>
    <w:rsid w:val="4C1E38CB"/>
    <w:rsid w:val="4C6034DF"/>
    <w:rsid w:val="4C893EB2"/>
    <w:rsid w:val="4CA3347E"/>
    <w:rsid w:val="4CA33ED3"/>
    <w:rsid w:val="4CDA75EF"/>
    <w:rsid w:val="4CF54892"/>
    <w:rsid w:val="4D654AFA"/>
    <w:rsid w:val="4DD929E8"/>
    <w:rsid w:val="4DE366CA"/>
    <w:rsid w:val="4DF56B2D"/>
    <w:rsid w:val="4E377510"/>
    <w:rsid w:val="4E575DE8"/>
    <w:rsid w:val="4EB25745"/>
    <w:rsid w:val="4EB944E4"/>
    <w:rsid w:val="4EBF49AC"/>
    <w:rsid w:val="4ECA2AD7"/>
    <w:rsid w:val="4F1F5A6B"/>
    <w:rsid w:val="4F623BAD"/>
    <w:rsid w:val="4F855F5B"/>
    <w:rsid w:val="50086F51"/>
    <w:rsid w:val="50216EBD"/>
    <w:rsid w:val="5069089B"/>
    <w:rsid w:val="50787CE6"/>
    <w:rsid w:val="509F0EE4"/>
    <w:rsid w:val="50D5061B"/>
    <w:rsid w:val="50FB02AB"/>
    <w:rsid w:val="510D14E1"/>
    <w:rsid w:val="510F50D7"/>
    <w:rsid w:val="512C3F1E"/>
    <w:rsid w:val="516E306D"/>
    <w:rsid w:val="5206770E"/>
    <w:rsid w:val="52524271"/>
    <w:rsid w:val="53157DF6"/>
    <w:rsid w:val="532E66EA"/>
    <w:rsid w:val="536772D2"/>
    <w:rsid w:val="53D8114B"/>
    <w:rsid w:val="543E29EC"/>
    <w:rsid w:val="547179C3"/>
    <w:rsid w:val="54911C27"/>
    <w:rsid w:val="54957DC1"/>
    <w:rsid w:val="54B969F1"/>
    <w:rsid w:val="54D3249A"/>
    <w:rsid w:val="553E76D4"/>
    <w:rsid w:val="554E2090"/>
    <w:rsid w:val="557E5D22"/>
    <w:rsid w:val="55AE1942"/>
    <w:rsid w:val="55F642ED"/>
    <w:rsid w:val="560833E5"/>
    <w:rsid w:val="56172757"/>
    <w:rsid w:val="56590D6A"/>
    <w:rsid w:val="56632809"/>
    <w:rsid w:val="56FB3ACE"/>
    <w:rsid w:val="570109B9"/>
    <w:rsid w:val="570C5DFB"/>
    <w:rsid w:val="57851B2A"/>
    <w:rsid w:val="57A95D30"/>
    <w:rsid w:val="57AA44F1"/>
    <w:rsid w:val="57BE18EE"/>
    <w:rsid w:val="57EE1892"/>
    <w:rsid w:val="57F45BA7"/>
    <w:rsid w:val="581F559B"/>
    <w:rsid w:val="5851771E"/>
    <w:rsid w:val="586D09FC"/>
    <w:rsid w:val="58A957AC"/>
    <w:rsid w:val="58B46148"/>
    <w:rsid w:val="58F033DB"/>
    <w:rsid w:val="58F77337"/>
    <w:rsid w:val="5951383C"/>
    <w:rsid w:val="59AF0BA0"/>
    <w:rsid w:val="5A462ABB"/>
    <w:rsid w:val="5A6E540E"/>
    <w:rsid w:val="5A767910"/>
    <w:rsid w:val="5AFD3B80"/>
    <w:rsid w:val="5B033D18"/>
    <w:rsid w:val="5B584B58"/>
    <w:rsid w:val="5B6B4F9B"/>
    <w:rsid w:val="5B6B5836"/>
    <w:rsid w:val="5B8027F4"/>
    <w:rsid w:val="5BB07498"/>
    <w:rsid w:val="5BE9486A"/>
    <w:rsid w:val="5C3028F7"/>
    <w:rsid w:val="5C4D539E"/>
    <w:rsid w:val="5C607B67"/>
    <w:rsid w:val="5C7D230D"/>
    <w:rsid w:val="5CE8398E"/>
    <w:rsid w:val="5CF81301"/>
    <w:rsid w:val="5CFA31FE"/>
    <w:rsid w:val="5D274D90"/>
    <w:rsid w:val="5D3C7801"/>
    <w:rsid w:val="5D465377"/>
    <w:rsid w:val="5D5867E2"/>
    <w:rsid w:val="5D8F3E19"/>
    <w:rsid w:val="5DC50912"/>
    <w:rsid w:val="5DE5597B"/>
    <w:rsid w:val="5DE84681"/>
    <w:rsid w:val="5E1A3862"/>
    <w:rsid w:val="5E430C39"/>
    <w:rsid w:val="5E5B30A5"/>
    <w:rsid w:val="5E8A72F1"/>
    <w:rsid w:val="5EC10F05"/>
    <w:rsid w:val="5ECA21CE"/>
    <w:rsid w:val="5EED4A19"/>
    <w:rsid w:val="5F0367DE"/>
    <w:rsid w:val="5F0E0E3A"/>
    <w:rsid w:val="5F1D1692"/>
    <w:rsid w:val="5F530220"/>
    <w:rsid w:val="60141BDF"/>
    <w:rsid w:val="606C7F61"/>
    <w:rsid w:val="60BD7717"/>
    <w:rsid w:val="60DA29A7"/>
    <w:rsid w:val="60DF7FBD"/>
    <w:rsid w:val="611E4D93"/>
    <w:rsid w:val="6126362C"/>
    <w:rsid w:val="61305E88"/>
    <w:rsid w:val="617466BD"/>
    <w:rsid w:val="61A92379"/>
    <w:rsid w:val="62410803"/>
    <w:rsid w:val="62844A6E"/>
    <w:rsid w:val="62C456BC"/>
    <w:rsid w:val="62C479AD"/>
    <w:rsid w:val="62D61DDD"/>
    <w:rsid w:val="62EC69C1"/>
    <w:rsid w:val="62EE2739"/>
    <w:rsid w:val="63310878"/>
    <w:rsid w:val="6352657B"/>
    <w:rsid w:val="63FF2724"/>
    <w:rsid w:val="640404DA"/>
    <w:rsid w:val="64144421"/>
    <w:rsid w:val="643A3F0D"/>
    <w:rsid w:val="64430278"/>
    <w:rsid w:val="64BF3053"/>
    <w:rsid w:val="64CB27C0"/>
    <w:rsid w:val="64E332E6"/>
    <w:rsid w:val="64F241E8"/>
    <w:rsid w:val="652F0E68"/>
    <w:rsid w:val="653238AD"/>
    <w:rsid w:val="65356846"/>
    <w:rsid w:val="65694084"/>
    <w:rsid w:val="657D2B3D"/>
    <w:rsid w:val="65D53F00"/>
    <w:rsid w:val="65E50D85"/>
    <w:rsid w:val="65E53F64"/>
    <w:rsid w:val="65EA373E"/>
    <w:rsid w:val="65EC5BC6"/>
    <w:rsid w:val="66095A3C"/>
    <w:rsid w:val="66317BA4"/>
    <w:rsid w:val="667963C7"/>
    <w:rsid w:val="667A652D"/>
    <w:rsid w:val="6719282E"/>
    <w:rsid w:val="672707F7"/>
    <w:rsid w:val="6759362C"/>
    <w:rsid w:val="67705141"/>
    <w:rsid w:val="67821A09"/>
    <w:rsid w:val="678A2020"/>
    <w:rsid w:val="67D0350F"/>
    <w:rsid w:val="67E45EB9"/>
    <w:rsid w:val="67FB0669"/>
    <w:rsid w:val="68187B8E"/>
    <w:rsid w:val="6853337F"/>
    <w:rsid w:val="68557010"/>
    <w:rsid w:val="68565B75"/>
    <w:rsid w:val="686242B8"/>
    <w:rsid w:val="68AB4C28"/>
    <w:rsid w:val="68D50CAF"/>
    <w:rsid w:val="68E07165"/>
    <w:rsid w:val="691602F4"/>
    <w:rsid w:val="69201452"/>
    <w:rsid w:val="69C37ACE"/>
    <w:rsid w:val="69D761EB"/>
    <w:rsid w:val="6A100203"/>
    <w:rsid w:val="6A3D424E"/>
    <w:rsid w:val="6A50659A"/>
    <w:rsid w:val="6A906B40"/>
    <w:rsid w:val="6AF277B1"/>
    <w:rsid w:val="6B0F2E44"/>
    <w:rsid w:val="6B1B1C30"/>
    <w:rsid w:val="6B20543B"/>
    <w:rsid w:val="6B411460"/>
    <w:rsid w:val="6B784D19"/>
    <w:rsid w:val="6B7A40D9"/>
    <w:rsid w:val="6BE541E8"/>
    <w:rsid w:val="6C111246"/>
    <w:rsid w:val="6C121646"/>
    <w:rsid w:val="6C656D98"/>
    <w:rsid w:val="6C6A6182"/>
    <w:rsid w:val="6C735A5D"/>
    <w:rsid w:val="6C9213D7"/>
    <w:rsid w:val="6CBD26A8"/>
    <w:rsid w:val="6CC77E10"/>
    <w:rsid w:val="6CD02EB0"/>
    <w:rsid w:val="6CDC47D3"/>
    <w:rsid w:val="6D06067F"/>
    <w:rsid w:val="6D673009"/>
    <w:rsid w:val="6DAE006A"/>
    <w:rsid w:val="6E3A2CD6"/>
    <w:rsid w:val="6E5F4A3A"/>
    <w:rsid w:val="6E965EEC"/>
    <w:rsid w:val="6EB505AF"/>
    <w:rsid w:val="6ECE556C"/>
    <w:rsid w:val="6F1866F2"/>
    <w:rsid w:val="6F27758D"/>
    <w:rsid w:val="6FE219BA"/>
    <w:rsid w:val="702371AA"/>
    <w:rsid w:val="70265F41"/>
    <w:rsid w:val="702A3105"/>
    <w:rsid w:val="704C6B8E"/>
    <w:rsid w:val="70A94143"/>
    <w:rsid w:val="710C7A14"/>
    <w:rsid w:val="71267D04"/>
    <w:rsid w:val="71346D3B"/>
    <w:rsid w:val="717007BD"/>
    <w:rsid w:val="71B06D2D"/>
    <w:rsid w:val="71E72926"/>
    <w:rsid w:val="724E43F2"/>
    <w:rsid w:val="72775300"/>
    <w:rsid w:val="72866409"/>
    <w:rsid w:val="72897D89"/>
    <w:rsid w:val="731F552E"/>
    <w:rsid w:val="73305526"/>
    <w:rsid w:val="73A806E2"/>
    <w:rsid w:val="74463A57"/>
    <w:rsid w:val="745E6FF3"/>
    <w:rsid w:val="74D630CC"/>
    <w:rsid w:val="75C53917"/>
    <w:rsid w:val="75E17EDC"/>
    <w:rsid w:val="767E7F3F"/>
    <w:rsid w:val="76DA661E"/>
    <w:rsid w:val="76E2215D"/>
    <w:rsid w:val="779A2386"/>
    <w:rsid w:val="77BD1F3B"/>
    <w:rsid w:val="783C3AD9"/>
    <w:rsid w:val="78686692"/>
    <w:rsid w:val="78774B27"/>
    <w:rsid w:val="78A237B3"/>
    <w:rsid w:val="78F47149"/>
    <w:rsid w:val="795C7FBF"/>
    <w:rsid w:val="796B643A"/>
    <w:rsid w:val="79790CC4"/>
    <w:rsid w:val="79797974"/>
    <w:rsid w:val="79A94793"/>
    <w:rsid w:val="79B67848"/>
    <w:rsid w:val="79D3193F"/>
    <w:rsid w:val="7A346E56"/>
    <w:rsid w:val="7A6730A5"/>
    <w:rsid w:val="7A820E9D"/>
    <w:rsid w:val="7A8B0D66"/>
    <w:rsid w:val="7ACC24F8"/>
    <w:rsid w:val="7AD303A7"/>
    <w:rsid w:val="7B0E6744"/>
    <w:rsid w:val="7B285511"/>
    <w:rsid w:val="7B5A0DE8"/>
    <w:rsid w:val="7B5B4125"/>
    <w:rsid w:val="7B6415DC"/>
    <w:rsid w:val="7BC57D96"/>
    <w:rsid w:val="7C0E50AB"/>
    <w:rsid w:val="7C2E19A1"/>
    <w:rsid w:val="7C66738C"/>
    <w:rsid w:val="7C764E3D"/>
    <w:rsid w:val="7CE25B48"/>
    <w:rsid w:val="7CF20B57"/>
    <w:rsid w:val="7D2230D6"/>
    <w:rsid w:val="7D923102"/>
    <w:rsid w:val="7D991B25"/>
    <w:rsid w:val="7E633B84"/>
    <w:rsid w:val="7E84409A"/>
    <w:rsid w:val="7F246712"/>
    <w:rsid w:val="7FC77F1A"/>
    <w:rsid w:val="7FE56C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link w:val="42"/>
    <w:qFormat/>
    <w:uiPriority w:val="0"/>
    <w:pPr>
      <w:keepNext/>
      <w:tabs>
        <w:tab w:val="left" w:pos="420"/>
      </w:tabs>
      <w:jc w:val="center"/>
      <w:outlineLvl w:val="0"/>
    </w:pPr>
    <w:rPr>
      <w:b/>
      <w:bCs/>
      <w:kern w:val="0"/>
      <w:sz w:val="24"/>
    </w:rPr>
  </w:style>
  <w:style w:type="paragraph" w:styleId="8">
    <w:name w:val="heading 2"/>
    <w:basedOn w:val="1"/>
    <w:next w:val="1"/>
    <w:qFormat/>
    <w:uiPriority w:val="0"/>
    <w:pPr>
      <w:keepNext/>
      <w:numPr>
        <w:ilvl w:val="0"/>
        <w:numId w:val="1"/>
      </w:numPr>
      <w:tabs>
        <w:tab w:val="left" w:pos="420"/>
        <w:tab w:val="clear" w:pos="330"/>
      </w:tabs>
      <w:spacing w:line="360" w:lineRule="auto"/>
      <w:outlineLvl w:val="1"/>
    </w:pPr>
    <w:rPr>
      <w:b/>
      <w:sz w:val="24"/>
      <w:szCs w:val="24"/>
    </w:rPr>
  </w:style>
  <w:style w:type="paragraph" w:styleId="9">
    <w:name w:val="heading 3"/>
    <w:basedOn w:val="1"/>
    <w:next w:val="1"/>
    <w:qFormat/>
    <w:uiPriority w:val="0"/>
    <w:pPr>
      <w:keepNext/>
      <w:numPr>
        <w:ilvl w:val="0"/>
        <w:numId w:val="2"/>
      </w:numPr>
      <w:outlineLvl w:val="2"/>
    </w:pPr>
    <w:rPr>
      <w:b/>
      <w:bCs/>
      <w:sz w:val="28"/>
      <w:szCs w:val="24"/>
    </w:rPr>
  </w:style>
  <w:style w:type="paragraph" w:styleId="10">
    <w:name w:val="heading 4"/>
    <w:basedOn w:val="1"/>
    <w:next w:val="1"/>
    <w:qFormat/>
    <w:uiPriority w:val="0"/>
    <w:pPr>
      <w:keepNext/>
      <w:numPr>
        <w:ilvl w:val="0"/>
        <w:numId w:val="3"/>
      </w:numPr>
      <w:outlineLvl w:val="3"/>
    </w:pPr>
    <w:rPr>
      <w:b/>
      <w:color w:val="000000"/>
      <w:sz w:val="28"/>
      <w:szCs w:val="24"/>
      <w:u w:val="single"/>
    </w:rPr>
  </w:style>
  <w:style w:type="paragraph" w:styleId="11">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12">
    <w:name w:val="heading 6"/>
    <w:basedOn w:val="1"/>
    <w:next w:val="1"/>
    <w:qFormat/>
    <w:uiPriority w:val="0"/>
    <w:pPr>
      <w:keepNext/>
      <w:keepLines/>
      <w:spacing w:before="240" w:beforeLines="0" w:after="64" w:afterLines="0" w:line="320" w:lineRule="auto"/>
      <w:outlineLvl w:val="5"/>
    </w:pPr>
    <w:rPr>
      <w:rFonts w:ascii="Arial" w:hAnsi="Arial" w:eastAsia="黑体"/>
      <w:b/>
      <w:bCs/>
      <w:sz w:val="24"/>
      <w:szCs w:val="24"/>
    </w:rPr>
  </w:style>
  <w:style w:type="paragraph" w:styleId="13">
    <w:name w:val="heading 7"/>
    <w:basedOn w:val="1"/>
    <w:next w:val="1"/>
    <w:qFormat/>
    <w:uiPriority w:val="0"/>
    <w:pPr>
      <w:keepNext/>
      <w:numPr>
        <w:ilvl w:val="0"/>
        <w:numId w:val="4"/>
      </w:numPr>
      <w:outlineLvl w:val="6"/>
    </w:pPr>
    <w:rPr>
      <w:rFonts w:ascii="宋体" w:hAnsi="宋体"/>
      <w:b/>
      <w:sz w:val="28"/>
      <w:szCs w:val="24"/>
    </w:rPr>
  </w:style>
  <w:style w:type="paragraph" w:styleId="14">
    <w:name w:val="heading 8"/>
    <w:basedOn w:val="1"/>
    <w:next w:val="1"/>
    <w:qFormat/>
    <w:uiPriority w:val="0"/>
    <w:pPr>
      <w:keepNext/>
      <w:widowControl/>
      <w:numPr>
        <w:ilvl w:val="0"/>
        <w:numId w:val="5"/>
      </w:numPr>
      <w:tabs>
        <w:tab w:val="left" w:pos="1260"/>
        <w:tab w:val="left" w:pos="1995"/>
        <w:tab w:val="left" w:pos="2520"/>
        <w:tab w:val="left" w:pos="2730"/>
        <w:tab w:val="clear" w:pos="600"/>
      </w:tabs>
      <w:spacing w:before="100" w:beforeLines="0" w:after="100" w:afterLines="0" w:line="400" w:lineRule="exact"/>
      <w:jc w:val="left"/>
      <w:outlineLvl w:val="7"/>
    </w:pPr>
    <w:rPr>
      <w:b/>
      <w:sz w:val="28"/>
      <w:szCs w:val="24"/>
      <w:u w:val="single"/>
    </w:rPr>
  </w:style>
  <w:style w:type="character" w:default="1" w:styleId="35">
    <w:name w:val="Default Paragraph Font"/>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8280"/>
      </w:tabs>
      <w:ind w:firstLine="420" w:firstLineChars="200"/>
    </w:pPr>
    <w:rPr>
      <w:rFonts w:ascii="Times New Roman" w:hAnsi="Times New Roman"/>
      <w:szCs w:val="20"/>
    </w:rPr>
  </w:style>
  <w:style w:type="paragraph" w:styleId="3">
    <w:name w:val="Body Text Indent"/>
    <w:basedOn w:val="1"/>
    <w:next w:val="1"/>
    <w:qFormat/>
    <w:uiPriority w:val="0"/>
    <w:pPr>
      <w:spacing w:line="800" w:lineRule="exact"/>
      <w:ind w:left="315" w:leftChars="150" w:firstLine="664" w:firstLineChars="237"/>
    </w:pPr>
    <w:rPr>
      <w:rFonts w:ascii="仿宋_GB2312" w:eastAsia="仿宋_GB2312"/>
      <w:sz w:val="28"/>
    </w:rPr>
  </w:style>
  <w:style w:type="paragraph" w:styleId="4">
    <w:name w:val="Body Text First Indent"/>
    <w:basedOn w:val="5"/>
    <w:unhideWhenUsed/>
    <w:qFormat/>
    <w:uiPriority w:val="0"/>
    <w:pPr>
      <w:spacing w:before="0" w:beforeLines="0" w:after="120" w:afterLines="0" w:line="312" w:lineRule="atLeast"/>
      <w:ind w:firstLine="420" w:firstLineChars="100"/>
    </w:pPr>
    <w:rPr>
      <w:sz w:val="21"/>
    </w:rPr>
  </w:style>
  <w:style w:type="paragraph" w:styleId="5">
    <w:name w:val="Body Text"/>
    <w:basedOn w:val="1"/>
    <w:next w:val="6"/>
    <w:qFormat/>
    <w:uiPriority w:val="0"/>
    <w:pPr>
      <w:spacing w:after="120" w:afterLines="0"/>
    </w:pPr>
  </w:style>
  <w:style w:type="paragraph" w:styleId="6">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15">
    <w:name w:val="Normal Indent"/>
    <w:basedOn w:val="1"/>
    <w:next w:val="1"/>
    <w:link w:val="43"/>
    <w:qFormat/>
    <w:uiPriority w:val="0"/>
    <w:pPr>
      <w:ind w:firstLine="42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pPr>
    <w:rPr>
      <w:rFonts w:ascii="Arial" w:hAnsi="Arial"/>
      <w:sz w:val="24"/>
      <w:szCs w:val="20"/>
    </w:rPr>
  </w:style>
  <w:style w:type="paragraph" w:styleId="18">
    <w:name w:val="annotation text"/>
    <w:basedOn w:val="1"/>
    <w:qFormat/>
    <w:uiPriority w:val="0"/>
    <w:pPr>
      <w:jc w:val="left"/>
    </w:pPr>
  </w:style>
  <w:style w:type="paragraph" w:styleId="19">
    <w:name w:val="Body Text 3"/>
    <w:basedOn w:val="1"/>
    <w:qFormat/>
    <w:uiPriority w:val="0"/>
    <w:pPr>
      <w:spacing w:after="120" w:afterLines="0"/>
    </w:pPr>
    <w:rPr>
      <w:sz w:val="16"/>
      <w:szCs w:val="16"/>
    </w:rPr>
  </w:style>
  <w:style w:type="paragraph" w:styleId="20">
    <w:name w:val="toc 5"/>
    <w:basedOn w:val="1"/>
    <w:next w:val="1"/>
    <w:semiHidden/>
    <w:qFormat/>
    <w:uiPriority w:val="0"/>
    <w:pPr>
      <w:ind w:left="840"/>
      <w:jc w:val="left"/>
    </w:pPr>
    <w:rPr>
      <w:sz w:val="18"/>
      <w:szCs w:val="18"/>
    </w:rPr>
  </w:style>
  <w:style w:type="paragraph" w:styleId="21">
    <w:name w:val="toc 3"/>
    <w:basedOn w:val="1"/>
    <w:next w:val="1"/>
    <w:qFormat/>
    <w:uiPriority w:val="0"/>
    <w:pPr>
      <w:ind w:left="840" w:leftChars="400"/>
    </w:pPr>
  </w:style>
  <w:style w:type="paragraph" w:styleId="22">
    <w:name w:val="Plain Text"/>
    <w:basedOn w:val="1"/>
    <w:next w:val="1"/>
    <w:qFormat/>
    <w:uiPriority w:val="0"/>
    <w:rPr>
      <w:rFonts w:ascii="宋体" w:hAnsi="宋体"/>
    </w:rPr>
  </w:style>
  <w:style w:type="paragraph" w:styleId="23">
    <w:name w:val="Date"/>
    <w:basedOn w:val="1"/>
    <w:next w:val="1"/>
    <w:qFormat/>
    <w:uiPriority w:val="0"/>
    <w:rPr>
      <w:color w:val="000000"/>
      <w:kern w:val="0"/>
      <w:sz w:val="30"/>
    </w:rPr>
  </w:style>
  <w:style w:type="paragraph" w:styleId="24">
    <w:name w:val="Body Text Indent 2"/>
    <w:basedOn w:val="1"/>
    <w:qFormat/>
    <w:uiPriority w:val="0"/>
    <w:pPr>
      <w:spacing w:line="360" w:lineRule="auto"/>
      <w:ind w:firstLine="555"/>
    </w:pPr>
    <w:rPr>
      <w:rFonts w:ascii="仿宋_GB2312" w:eastAsia="仿宋_GB2312"/>
      <w:sz w:val="28"/>
    </w:rPr>
  </w:style>
  <w:style w:type="paragraph" w:styleId="25">
    <w:name w:val="Balloon Text"/>
    <w:basedOn w:val="1"/>
    <w:qFormat/>
    <w:uiPriority w:val="0"/>
    <w:rPr>
      <w:sz w:val="18"/>
      <w:szCs w:val="18"/>
    </w:rPr>
  </w:style>
  <w:style w:type="paragraph" w:styleId="26">
    <w:name w:val="footer"/>
    <w:basedOn w:val="1"/>
    <w:link w:val="44"/>
    <w:qFormat/>
    <w:uiPriority w:val="0"/>
    <w:pPr>
      <w:tabs>
        <w:tab w:val="center" w:pos="4153"/>
        <w:tab w:val="right" w:pos="8306"/>
      </w:tabs>
      <w:snapToGrid w:val="0"/>
      <w:jc w:val="left"/>
    </w:pPr>
    <w:rPr>
      <w:sz w:val="18"/>
      <w:szCs w:val="18"/>
    </w:rPr>
  </w:style>
  <w:style w:type="paragraph" w:styleId="27">
    <w:name w:val="header"/>
    <w:basedOn w:val="1"/>
    <w:link w:val="45"/>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spacing w:before="156" w:beforeLines="50"/>
    </w:pPr>
    <w:rPr>
      <w:rFonts w:ascii="仿宋_GB2312" w:eastAsia="仿宋_GB2312"/>
      <w:sz w:val="24"/>
    </w:rPr>
  </w:style>
  <w:style w:type="paragraph" w:styleId="29">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30">
    <w:name w:val="footnote text"/>
    <w:basedOn w:val="1"/>
    <w:qFormat/>
    <w:uiPriority w:val="0"/>
    <w:pPr>
      <w:snapToGrid w:val="0"/>
      <w:jc w:val="left"/>
    </w:pPr>
    <w:rPr>
      <w:rFonts w:eastAsia="楷体_GB2312"/>
      <w:sz w:val="18"/>
      <w:szCs w:val="18"/>
    </w:rPr>
  </w:style>
  <w:style w:type="paragraph" w:styleId="31">
    <w:name w:val="toc 2"/>
    <w:basedOn w:val="1"/>
    <w:next w:val="1"/>
    <w:qFormat/>
    <w:uiPriority w:val="0"/>
    <w:pPr>
      <w:ind w:left="420" w:leftChars="200"/>
    </w:pPr>
  </w:style>
  <w:style w:type="paragraph" w:styleId="32">
    <w:name w:val="Normal (Web)"/>
    <w:basedOn w:val="1"/>
    <w:qFormat/>
    <w:uiPriority w:val="0"/>
    <w:pPr>
      <w:widowControl/>
      <w:jc w:val="left"/>
    </w:pPr>
    <w:rPr>
      <w:rFonts w:ascii="宋体" w:hAnsi="宋体" w:cs="宋体"/>
      <w:kern w:val="0"/>
      <w:sz w:val="24"/>
      <w:szCs w:val="24"/>
    </w:rPr>
  </w:style>
  <w:style w:type="paragraph" w:styleId="33">
    <w:name w:val="annotation subject"/>
    <w:basedOn w:val="18"/>
    <w:next w:val="18"/>
    <w:qFormat/>
    <w:uiPriority w:val="0"/>
    <w:rPr>
      <w:b/>
      <w:bCs/>
    </w:rPr>
  </w:style>
  <w:style w:type="character" w:styleId="36">
    <w:name w:val="Strong"/>
    <w:basedOn w:val="35"/>
    <w:qFormat/>
    <w:uiPriority w:val="0"/>
    <w:rPr>
      <w:b/>
      <w:bCs/>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character" w:styleId="41">
    <w:name w:val="HTML Sample"/>
    <w:basedOn w:val="35"/>
    <w:qFormat/>
    <w:uiPriority w:val="0"/>
    <w:rPr>
      <w:rFonts w:ascii="Courier New" w:hAnsi="Courier New"/>
    </w:rPr>
  </w:style>
  <w:style w:type="character" w:customStyle="1" w:styleId="42">
    <w:name w:val="标题 1 Char"/>
    <w:link w:val="7"/>
    <w:qFormat/>
    <w:uiPriority w:val="0"/>
    <w:rPr>
      <w:b/>
      <w:bCs/>
      <w:sz w:val="24"/>
      <w:szCs w:val="20"/>
    </w:rPr>
  </w:style>
  <w:style w:type="character" w:customStyle="1" w:styleId="43">
    <w:name w:val="正文缩进 Char"/>
    <w:link w:val="15"/>
    <w:qFormat/>
    <w:uiPriority w:val="0"/>
    <w:rPr>
      <w:rFonts w:eastAsia="宋体"/>
      <w:kern w:val="2"/>
      <w:sz w:val="21"/>
      <w:lang w:val="en-US" w:eastAsia="zh-CN" w:bidi="ar-SA"/>
    </w:rPr>
  </w:style>
  <w:style w:type="character" w:customStyle="1" w:styleId="44">
    <w:name w:val="页脚 Char"/>
    <w:link w:val="26"/>
    <w:qFormat/>
    <w:uiPriority w:val="0"/>
    <w:rPr>
      <w:kern w:val="2"/>
      <w:sz w:val="18"/>
      <w:szCs w:val="18"/>
    </w:rPr>
  </w:style>
  <w:style w:type="character" w:customStyle="1" w:styleId="45">
    <w:name w:val="页眉 Char"/>
    <w:link w:val="27"/>
    <w:qFormat/>
    <w:uiPriority w:val="0"/>
    <w:rPr>
      <w:rFonts w:eastAsia="宋体"/>
      <w:kern w:val="2"/>
      <w:sz w:val="18"/>
      <w:lang w:val="en-US" w:eastAsia="zh-CN" w:bidi="ar-SA"/>
    </w:rPr>
  </w:style>
  <w:style w:type="paragraph" w:customStyle="1" w:styleId="46">
    <w:name w:val="WW-正文缩进"/>
    <w:basedOn w:val="1"/>
    <w:qFormat/>
    <w:uiPriority w:val="2"/>
    <w:pPr>
      <w:ind w:left="0" w:right="0" w:firstLine="420"/>
    </w:pPr>
    <w:rPr>
      <w:szCs w:val="20"/>
    </w:rPr>
  </w:style>
  <w:style w:type="paragraph" w:customStyle="1" w:styleId="47">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48">
    <w:name w:val="一级缩进 Char Char"/>
    <w:link w:val="49"/>
    <w:qFormat/>
    <w:uiPriority w:val="0"/>
    <w:rPr>
      <w:rFonts w:eastAsia="仿宋_GB2312"/>
      <w:kern w:val="2"/>
      <w:sz w:val="24"/>
      <w:szCs w:val="24"/>
      <w:lang w:val="en-US" w:eastAsia="zh-CN" w:bidi="ar-SA"/>
    </w:rPr>
  </w:style>
  <w:style w:type="paragraph" w:customStyle="1" w:styleId="49">
    <w:name w:val="一级缩进"/>
    <w:link w:val="48"/>
    <w:qFormat/>
    <w:uiPriority w:val="0"/>
    <w:pPr>
      <w:numPr>
        <w:ilvl w:val="0"/>
        <w:numId w:val="6"/>
      </w:numPr>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character" w:customStyle="1" w:styleId="50">
    <w:name w:val="bg1"/>
    <w:qFormat/>
    <w:uiPriority w:val="0"/>
    <w:rPr>
      <w:rFonts w:hint="default" w:ascii="_x000B__x000C_" w:hAnsi="_x000B__x000C_"/>
      <w:color w:val="000000"/>
      <w:sz w:val="23"/>
      <w:szCs w:val="23"/>
      <w:shd w:val="clear" w:color="auto" w:fill="EC0101"/>
    </w:rPr>
  </w:style>
  <w:style w:type="character" w:customStyle="1" w:styleId="51">
    <w:name w:val="二级大纲 Char Char"/>
    <w:link w:val="52"/>
    <w:qFormat/>
    <w:uiPriority w:val="0"/>
    <w:rPr>
      <w:rFonts w:ascii="黑体" w:hAnsi="黑体" w:eastAsia="黑体"/>
      <w:b/>
      <w:bCs/>
      <w:sz w:val="30"/>
      <w:szCs w:val="30"/>
      <w:lang w:bidi="ar-SA"/>
    </w:rPr>
  </w:style>
  <w:style w:type="paragraph" w:customStyle="1" w:styleId="52">
    <w:name w:val="二级大纲"/>
    <w:basedOn w:val="8"/>
    <w:link w:val="51"/>
    <w:qFormat/>
    <w:uiPriority w:val="0"/>
    <w:pPr>
      <w:keepLines/>
      <w:numPr>
        <w:ilvl w:val="1"/>
        <w:numId w:val="7"/>
      </w:numPr>
      <w:tabs>
        <w:tab w:val="left" w:pos="330"/>
        <w:tab w:val="clear" w:pos="420"/>
      </w:tabs>
      <w:spacing w:before="260" w:beforeLines="0" w:after="260" w:afterLines="0" w:line="416" w:lineRule="auto"/>
    </w:pPr>
    <w:rPr>
      <w:rFonts w:ascii="黑体" w:hAnsi="黑体" w:eastAsia="黑体"/>
      <w:b w:val="0"/>
      <w:kern w:val="0"/>
      <w:sz w:val="30"/>
      <w:szCs w:val="30"/>
    </w:rPr>
  </w:style>
  <w:style w:type="character" w:customStyle="1" w:styleId="53">
    <w:name w:val="超链接_0"/>
    <w:qFormat/>
    <w:uiPriority w:val="99"/>
    <w:rPr>
      <w:rFonts w:ascii="Calibri" w:hAnsi="Calibri"/>
      <w:color w:val="0000FF"/>
      <w:u w:val="single"/>
    </w:rPr>
  </w:style>
  <w:style w:type="character" w:customStyle="1" w:styleId="54">
    <w:name w:val="param-name"/>
    <w:qFormat/>
    <w:uiPriority w:val="0"/>
  </w:style>
  <w:style w:type="character" w:customStyle="1" w:styleId="55">
    <w:name w:val="样式1 Char Char"/>
    <w:link w:val="56"/>
    <w:qFormat/>
    <w:uiPriority w:val="0"/>
    <w:rPr>
      <w:rFonts w:ascii="宋体" w:eastAsia="宋体"/>
      <w:b/>
      <w:color w:val="0000FF"/>
      <w:spacing w:val="4"/>
      <w:sz w:val="24"/>
      <w:lang w:bidi="ar-SA"/>
    </w:rPr>
  </w:style>
  <w:style w:type="paragraph" w:customStyle="1" w:styleId="56">
    <w:name w:val="样式1"/>
    <w:basedOn w:val="1"/>
    <w:link w:val="55"/>
    <w:qFormat/>
    <w:uiPriority w:val="0"/>
    <w:pPr>
      <w:numPr>
        <w:ilvl w:val="0"/>
        <w:numId w:val="1"/>
      </w:numPr>
      <w:tabs>
        <w:tab w:val="left" w:pos="425"/>
        <w:tab w:val="clear" w:pos="330"/>
      </w:tabs>
      <w:adjustRightInd w:val="0"/>
      <w:spacing w:line="480" w:lineRule="exact"/>
      <w:textAlignment w:val="baseline"/>
    </w:pPr>
    <w:rPr>
      <w:rFonts w:ascii="宋体"/>
      <w:b/>
      <w:color w:val="0000FF"/>
      <w:spacing w:val="4"/>
      <w:kern w:val="0"/>
      <w:sz w:val="24"/>
    </w:rPr>
  </w:style>
  <w:style w:type="character" w:customStyle="1" w:styleId="57">
    <w:name w:val="font01"/>
    <w:qFormat/>
    <w:uiPriority w:val="0"/>
    <w:rPr>
      <w:rFonts w:hint="eastAsia" w:ascii="仿宋" w:hAnsi="仿宋" w:eastAsia="仿宋" w:cs="仿宋"/>
      <w:color w:val="000000"/>
      <w:sz w:val="28"/>
      <w:szCs w:val="28"/>
      <w:u w:val="none"/>
    </w:rPr>
  </w:style>
  <w:style w:type="character" w:customStyle="1" w:styleId="58">
    <w:name w:val="标题 3 Char_6"/>
    <w:link w:val="59"/>
    <w:semiHidden/>
    <w:qFormat/>
    <w:uiPriority w:val="0"/>
    <w:rPr>
      <w:rFonts w:ascii="Calibri" w:hAnsi="Calibri" w:eastAsia="宋体" w:cs="Times New Roman"/>
      <w:b/>
      <w:bCs/>
      <w:sz w:val="32"/>
      <w:szCs w:val="32"/>
    </w:rPr>
  </w:style>
  <w:style w:type="paragraph" w:customStyle="1" w:styleId="59">
    <w:name w:val="标题 3_6"/>
    <w:basedOn w:val="60"/>
    <w:next w:val="60"/>
    <w:link w:val="58"/>
    <w:unhideWhenUsed/>
    <w:qFormat/>
    <w:uiPriority w:val="0"/>
    <w:pPr>
      <w:keepNext/>
      <w:keepLines/>
      <w:spacing w:before="260" w:after="260" w:line="412" w:lineRule="auto"/>
      <w:outlineLvl w:val="2"/>
    </w:pPr>
    <w:rPr>
      <w:b/>
      <w:bCs/>
      <w:kern w:val="0"/>
      <w:sz w:val="32"/>
      <w:szCs w:val="32"/>
    </w:rPr>
  </w:style>
  <w:style w:type="paragraph" w:customStyle="1" w:styleId="60">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
    <w:name w:val="列出段落 Char"/>
    <w:link w:val="62"/>
    <w:qFormat/>
    <w:uiPriority w:val="0"/>
    <w:rPr>
      <w:rFonts w:eastAsia="宋体"/>
      <w:kern w:val="2"/>
      <w:sz w:val="21"/>
      <w:szCs w:val="24"/>
      <w:lang w:val="en-US" w:eastAsia="zh-CN" w:bidi="ar-SA"/>
    </w:rPr>
  </w:style>
  <w:style w:type="paragraph" w:styleId="62">
    <w:name w:val="List Paragraph"/>
    <w:basedOn w:val="1"/>
    <w:link w:val="61"/>
    <w:qFormat/>
    <w:uiPriority w:val="0"/>
    <w:pPr>
      <w:ind w:firstLine="420" w:firstLineChars="200"/>
    </w:pPr>
    <w:rPr>
      <w:szCs w:val="24"/>
    </w:rPr>
  </w:style>
  <w:style w:type="character" w:customStyle="1" w:styleId="63">
    <w:name w:val="标题 1 字符"/>
    <w:qFormat/>
    <w:uiPriority w:val="0"/>
    <w:rPr>
      <w:rFonts w:ascii="仿宋_GB2312" w:eastAsia="仿宋_GB2312"/>
      <w:sz w:val="28"/>
    </w:rPr>
  </w:style>
  <w:style w:type="character" w:customStyle="1" w:styleId="64">
    <w:name w:val="标题 2 Char1"/>
    <w:qFormat/>
    <w:uiPriority w:val="0"/>
    <w:rPr>
      <w:rFonts w:ascii="黑体" w:hAnsi="Arial" w:eastAsia="黑体"/>
      <w:b/>
      <w:kern w:val="2"/>
      <w:sz w:val="28"/>
      <w:lang w:val="en-US" w:eastAsia="zh-CN"/>
    </w:rPr>
  </w:style>
  <w:style w:type="character" w:customStyle="1" w:styleId="65">
    <w:name w:val="A5"/>
    <w:qFormat/>
    <w:uiPriority w:val="0"/>
    <w:rPr>
      <w:rFonts w:cs="DFHeiW9-GB"/>
      <w:color w:val="000000"/>
      <w:sz w:val="22"/>
      <w:szCs w:val="22"/>
    </w:rPr>
  </w:style>
  <w:style w:type="character" w:customStyle="1" w:styleId="66">
    <w:name w:val="Default Text Char Char"/>
    <w:link w:val="67"/>
    <w:qFormat/>
    <w:uiPriority w:val="0"/>
    <w:rPr>
      <w:color w:val="000000"/>
      <w:sz w:val="24"/>
      <w:szCs w:val="24"/>
      <w:lang w:val="en-US" w:eastAsia="zh-CN" w:bidi="ar-SA"/>
    </w:rPr>
  </w:style>
  <w:style w:type="paragraph" w:customStyle="1" w:styleId="67">
    <w:name w:val="Default Text"/>
    <w:link w:val="6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8">
    <w:name w:val="链接"/>
    <w:qFormat/>
    <w:uiPriority w:val="0"/>
    <w:rPr>
      <w:rFonts w:ascii="Times New Roman" w:eastAsia="宋体"/>
      <w:color w:val="0000FF"/>
      <w:sz w:val="21"/>
      <w:u w:val="single" w:color="0000FF"/>
      <w:vertAlign w:val="baseline"/>
      <w:lang w:val="en-US" w:eastAsia="zh-CN"/>
    </w:rPr>
  </w:style>
  <w:style w:type="character" w:customStyle="1" w:styleId="69">
    <w:name w:val="THTF-BS-缩进两字正文 Char Char"/>
    <w:link w:val="70"/>
    <w:qFormat/>
    <w:uiPriority w:val="0"/>
    <w:rPr>
      <w:rFonts w:ascii="宋体" w:eastAsia="宋体"/>
      <w:kern w:val="2"/>
      <w:sz w:val="24"/>
      <w:szCs w:val="24"/>
      <w:lang w:val="en-US" w:eastAsia="zh-CN" w:bidi="ar-SA"/>
    </w:rPr>
  </w:style>
  <w:style w:type="paragraph" w:customStyle="1" w:styleId="70">
    <w:name w:val="THTF-BS-缩进两字正文"/>
    <w:basedOn w:val="1"/>
    <w:link w:val="69"/>
    <w:qFormat/>
    <w:uiPriority w:val="0"/>
    <w:pPr>
      <w:numPr>
        <w:ilvl w:val="0"/>
        <w:numId w:val="8"/>
      </w:numPr>
      <w:wordWrap w:val="0"/>
      <w:topLinePunct/>
      <w:spacing w:line="360" w:lineRule="auto"/>
      <w:jc w:val="left"/>
    </w:pPr>
    <w:rPr>
      <w:rFonts w:ascii="宋体"/>
      <w:sz w:val="24"/>
      <w:szCs w:val="24"/>
    </w:rPr>
  </w:style>
  <w:style w:type="character" w:customStyle="1" w:styleId="71">
    <w:name w:val="标题 3 Char_0_0"/>
    <w:link w:val="72"/>
    <w:semiHidden/>
    <w:qFormat/>
    <w:uiPriority w:val="0"/>
    <w:rPr>
      <w:b/>
      <w:bCs/>
      <w:sz w:val="32"/>
      <w:szCs w:val="32"/>
    </w:rPr>
  </w:style>
  <w:style w:type="paragraph" w:customStyle="1" w:styleId="72">
    <w:name w:val="标题 3_0_0"/>
    <w:basedOn w:val="73"/>
    <w:next w:val="73"/>
    <w:link w:val="71"/>
    <w:unhideWhenUsed/>
    <w:qFormat/>
    <w:uiPriority w:val="0"/>
    <w:pPr>
      <w:keepNext/>
      <w:keepLines/>
      <w:spacing w:before="260" w:after="260" w:line="416" w:lineRule="auto"/>
      <w:outlineLvl w:val="2"/>
    </w:pPr>
    <w:rPr>
      <w:rFonts w:ascii="Times New Roman" w:hAnsi="Times New Roman"/>
      <w:b/>
      <w:bCs/>
      <w:kern w:val="0"/>
      <w:sz w:val="32"/>
      <w:szCs w:val="32"/>
    </w:rPr>
  </w:style>
  <w:style w:type="paragraph" w:customStyle="1" w:styleId="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
    <w:name w:val="无间隔 Char"/>
    <w:link w:val="75"/>
    <w:qFormat/>
    <w:uiPriority w:val="0"/>
    <w:rPr>
      <w:rFonts w:ascii="Calibri" w:hAnsi="Calibri"/>
      <w:sz w:val="22"/>
      <w:szCs w:val="22"/>
      <w:lang w:val="en-US" w:eastAsia="zh-CN" w:bidi="ar-SA"/>
    </w:rPr>
  </w:style>
  <w:style w:type="paragraph" w:styleId="75">
    <w:name w:val="No Spacing"/>
    <w:link w:val="74"/>
    <w:qFormat/>
    <w:uiPriority w:val="0"/>
    <w:rPr>
      <w:rFonts w:ascii="Calibri" w:hAnsi="Calibri" w:eastAsia="宋体" w:cs="Times New Roman"/>
      <w:sz w:val="22"/>
      <w:szCs w:val="22"/>
      <w:lang w:val="en-US" w:eastAsia="zh-CN" w:bidi="ar-SA"/>
    </w:rPr>
  </w:style>
  <w:style w:type="character" w:customStyle="1" w:styleId="76">
    <w:name w:val="outputtext"/>
    <w:qFormat/>
    <w:uiPriority w:val="0"/>
  </w:style>
  <w:style w:type="character" w:customStyle="1" w:styleId="77">
    <w:name w:val="Book Title"/>
    <w:qFormat/>
    <w:uiPriority w:val="0"/>
    <w:rPr>
      <w:b/>
      <w:bCs/>
      <w:smallCaps/>
      <w:spacing w:val="5"/>
    </w:rPr>
  </w:style>
  <w:style w:type="character" w:customStyle="1" w:styleId="78">
    <w:name w:val="SF正文 Char Char"/>
    <w:link w:val="79"/>
    <w:qFormat/>
    <w:uiPriority w:val="0"/>
    <w:rPr>
      <w:rFonts w:ascii="Century Gothic" w:hAnsi="Century Gothic" w:eastAsia="宋体"/>
      <w:kern w:val="2"/>
      <w:sz w:val="24"/>
      <w:szCs w:val="24"/>
      <w:lang w:val="en-US" w:eastAsia="zh-CN" w:bidi="ar-SA"/>
    </w:rPr>
  </w:style>
  <w:style w:type="paragraph" w:customStyle="1" w:styleId="79">
    <w:name w:val="SF正文"/>
    <w:basedOn w:val="1"/>
    <w:link w:val="78"/>
    <w:qFormat/>
    <w:uiPriority w:val="0"/>
    <w:pPr>
      <w:spacing w:line="460" w:lineRule="exact"/>
      <w:ind w:firstLine="200" w:firstLineChars="200"/>
    </w:pPr>
    <w:rPr>
      <w:rFonts w:ascii="Century Gothic" w:hAnsi="Century Gothic"/>
      <w:sz w:val="24"/>
      <w:szCs w:val="24"/>
    </w:rPr>
  </w:style>
  <w:style w:type="character" w:customStyle="1" w:styleId="80">
    <w:name w:val="三级大纲 Char Char"/>
    <w:link w:val="81"/>
    <w:qFormat/>
    <w:uiPriority w:val="0"/>
    <w:rPr>
      <w:rFonts w:ascii="黑体" w:hAnsi="黑体" w:eastAsia="黑体"/>
      <w:b/>
      <w:bCs/>
      <w:sz w:val="28"/>
      <w:szCs w:val="28"/>
      <w:lang w:bidi="ar-SA"/>
    </w:rPr>
  </w:style>
  <w:style w:type="paragraph" w:customStyle="1" w:styleId="81">
    <w:name w:val="三级大纲"/>
    <w:basedOn w:val="9"/>
    <w:link w:val="80"/>
    <w:qFormat/>
    <w:uiPriority w:val="0"/>
    <w:pPr>
      <w:keepLines/>
      <w:numPr>
        <w:ilvl w:val="2"/>
        <w:numId w:val="7"/>
      </w:numPr>
      <w:tabs>
        <w:tab w:val="clear" w:pos="468"/>
      </w:tabs>
      <w:spacing w:before="260" w:beforeLines="0" w:after="260" w:afterLines="0" w:line="416" w:lineRule="auto"/>
    </w:pPr>
    <w:rPr>
      <w:rFonts w:ascii="黑体" w:hAnsi="黑体" w:eastAsia="黑体"/>
      <w:kern w:val="0"/>
      <w:szCs w:val="28"/>
    </w:rPr>
  </w:style>
  <w:style w:type="character" w:customStyle="1" w:styleId="82">
    <w:name w:val="标题 3 Char_3"/>
    <w:link w:val="83"/>
    <w:semiHidden/>
    <w:qFormat/>
    <w:uiPriority w:val="0"/>
    <w:rPr>
      <w:rFonts w:ascii="Calibri" w:hAnsi="Calibri" w:eastAsia="宋体"/>
      <w:b/>
      <w:bCs/>
      <w:sz w:val="32"/>
      <w:szCs w:val="32"/>
    </w:rPr>
  </w:style>
  <w:style w:type="paragraph" w:customStyle="1" w:styleId="83">
    <w:name w:val="标题 3_3"/>
    <w:basedOn w:val="84"/>
    <w:next w:val="85"/>
    <w:link w:val="82"/>
    <w:unhideWhenUsed/>
    <w:qFormat/>
    <w:uiPriority w:val="0"/>
    <w:pPr>
      <w:keepNext/>
      <w:keepLines/>
      <w:spacing w:before="260" w:after="260" w:line="416" w:lineRule="auto"/>
      <w:outlineLvl w:val="2"/>
    </w:pPr>
    <w:rPr>
      <w:b/>
      <w:bCs/>
      <w:kern w:val="0"/>
      <w:sz w:val="32"/>
      <w:szCs w:val="32"/>
    </w:rPr>
  </w:style>
  <w:style w:type="paragraph" w:customStyle="1" w:styleId="8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样式3"/>
    <w:basedOn w:val="1"/>
    <w:qFormat/>
    <w:uiPriority w:val="0"/>
    <w:pPr>
      <w:widowControl/>
      <w:tabs>
        <w:tab w:val="left" w:pos="1980"/>
      </w:tabs>
      <w:spacing w:before="60" w:beforeLines="0" w:after="60" w:afterLines="0" w:line="360" w:lineRule="auto"/>
      <w:ind w:left="1845" w:hanging="360"/>
      <w:jc w:val="left"/>
    </w:pPr>
    <w:rPr>
      <w:kern w:val="0"/>
      <w:szCs w:val="21"/>
    </w:rPr>
  </w:style>
  <w:style w:type="paragraph" w:customStyle="1" w:styleId="8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88">
    <w:name w:val="font10"/>
    <w:basedOn w:val="1"/>
    <w:qFormat/>
    <w:uiPriority w:val="0"/>
    <w:pPr>
      <w:widowControl/>
      <w:spacing w:before="100" w:beforeLines="0" w:beforeAutospacing="1" w:after="100" w:afterLines="0" w:afterAutospacing="1"/>
      <w:jc w:val="left"/>
    </w:pPr>
    <w:rPr>
      <w:rFonts w:hint="eastAsia" w:ascii="宋体" w:hAnsi="宋体"/>
      <w:kern w:val="0"/>
      <w:sz w:val="22"/>
      <w:szCs w:val="22"/>
    </w:rPr>
  </w:style>
  <w:style w:type="paragraph" w:customStyle="1" w:styleId="89">
    <w:name w:val="xl50"/>
    <w:basedOn w:val="1"/>
    <w:qFormat/>
    <w:uiPriority w:val="0"/>
    <w:pPr>
      <w:widowControl/>
      <w:spacing w:before="100" w:beforeLines="0" w:beforeAutospacing="1" w:after="100" w:afterLines="0" w:afterAutospacing="1"/>
      <w:jc w:val="left"/>
      <w:textAlignment w:val="center"/>
    </w:pPr>
    <w:rPr>
      <w:rFonts w:ascii="宋体" w:hAnsi="宋体"/>
      <w:b/>
      <w:bCs/>
      <w:color w:val="0000FF"/>
      <w:kern w:val="0"/>
      <w:sz w:val="32"/>
      <w:szCs w:val="32"/>
    </w:rPr>
  </w:style>
  <w:style w:type="paragraph" w:customStyle="1" w:styleId="90">
    <w:name w:val="纯文本_0"/>
    <w:basedOn w:val="91"/>
    <w:qFormat/>
    <w:uiPriority w:val="0"/>
    <w:rPr>
      <w:rFonts w:ascii="宋体" w:hAnsi="Courier New" w:eastAsia="宋体" w:cs="Courier New"/>
      <w:szCs w:val="21"/>
    </w:rPr>
  </w:style>
  <w:style w:type="paragraph" w:customStyle="1" w:styleId="91">
    <w:name w:val="正文_1_0"/>
    <w:basedOn w:val="92"/>
    <w:next w:val="97"/>
    <w:qFormat/>
    <w:uiPriority w:val="0"/>
    <w:pPr>
      <w:widowControl w:val="0"/>
      <w:jc w:val="both"/>
    </w:pPr>
    <w:rPr>
      <w:rFonts w:ascii="Calibri" w:hAnsi="Calibri"/>
      <w:kern w:val="2"/>
      <w:sz w:val="21"/>
      <w:szCs w:val="24"/>
      <w:lang w:val="en-US" w:eastAsia="zh-CN" w:bidi="ar-SA"/>
    </w:rPr>
  </w:style>
  <w:style w:type="paragraph" w:customStyle="1" w:styleId="92">
    <w:name w:val="正文_2"/>
    <w:basedOn w:val="93"/>
    <w:next w:val="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_3"/>
    <w:basedOn w:val="94"/>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正文文本_1"/>
    <w:basedOn w:val="96"/>
    <w:unhideWhenUsed/>
    <w:qFormat/>
    <w:uiPriority w:val="0"/>
    <w:pPr>
      <w:spacing w:after="120"/>
    </w:pPr>
    <w:rPr>
      <w:rFonts w:ascii="Calibri" w:hAnsi="Calibri" w:eastAsia="宋体" w:cs="Times New Roman"/>
    </w:rPr>
  </w:style>
  <w:style w:type="paragraph" w:customStyle="1" w:styleId="9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首行缩进1"/>
    <w:basedOn w:val="98"/>
    <w:unhideWhenUsed/>
    <w:qFormat/>
    <w:uiPriority w:val="99"/>
    <w:pPr>
      <w:ind w:firstLine="420" w:firstLineChars="100"/>
    </w:pPr>
    <w:rPr>
      <w:szCs w:val="22"/>
    </w:rPr>
  </w:style>
  <w:style w:type="paragraph" w:customStyle="1" w:styleId="98">
    <w:name w:val="正文文本_0_0"/>
    <w:basedOn w:val="99"/>
    <w:qFormat/>
    <w:uiPriority w:val="0"/>
    <w:pPr>
      <w:spacing w:after="120"/>
    </w:pPr>
    <w:rPr>
      <w:rFonts w:ascii="Calibri" w:hAnsi="Calibri"/>
      <w:kern w:val="0"/>
      <w:sz w:val="20"/>
    </w:rPr>
  </w:style>
  <w:style w:type="paragraph" w:customStyle="1" w:styleId="99">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FF"/>
      <w:kern w:val="0"/>
      <w:sz w:val="20"/>
    </w:rPr>
  </w:style>
  <w:style w:type="paragraph" w:customStyle="1" w:styleId="101">
    <w:name w:val="纯文本1 New New New New New New New New"/>
    <w:basedOn w:val="1"/>
    <w:qFormat/>
    <w:uiPriority w:val="0"/>
    <w:pPr>
      <w:widowControl w:val="0"/>
      <w:suppressAutoHyphens/>
    </w:pPr>
    <w:rPr>
      <w:rFonts w:ascii="宋体"/>
      <w:kern w:val="2"/>
      <w:szCs w:val="20"/>
      <w:lang w:eastAsia="ar-SA"/>
    </w:rPr>
  </w:style>
  <w:style w:type="paragraph" w:customStyle="1" w:styleId="102">
    <w:name w:val="日期_0"/>
    <w:basedOn w:val="60"/>
    <w:next w:val="60"/>
    <w:qFormat/>
    <w:uiPriority w:val="0"/>
    <w:pPr>
      <w:ind w:left="100" w:leftChars="2500"/>
    </w:pPr>
    <w:rPr>
      <w:rFonts w:ascii="宋体" w:hAnsi="Courier New" w:eastAsia="宋体" w:cs="Courier New"/>
      <w:szCs w:val="21"/>
    </w:rPr>
  </w:style>
  <w:style w:type="paragraph" w:customStyle="1" w:styleId="103">
    <w:name w:val="标题 2_2"/>
    <w:basedOn w:val="104"/>
    <w:next w:val="104"/>
    <w:unhideWhenUsed/>
    <w:qFormat/>
    <w:uiPriority w:val="0"/>
    <w:pPr>
      <w:spacing w:line="360" w:lineRule="auto"/>
      <w:outlineLvl w:val="1"/>
    </w:pPr>
    <w:rPr>
      <w:rFonts w:ascii="Arial" w:hAnsi="Arial" w:eastAsia="宋体" w:cs="Times New Roman"/>
      <w:sz w:val="24"/>
    </w:rPr>
  </w:style>
  <w:style w:type="paragraph" w:customStyle="1" w:styleId="104">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正文_0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font7"/>
    <w:basedOn w:val="1"/>
    <w:qFormat/>
    <w:uiPriority w:val="0"/>
    <w:pPr>
      <w:widowControl/>
      <w:spacing w:before="100" w:beforeLines="0" w:beforeAutospacing="1" w:after="100" w:afterLines="0" w:afterAutospacing="1"/>
      <w:jc w:val="left"/>
    </w:pPr>
    <w:rPr>
      <w:rFonts w:hint="eastAsia" w:ascii="宋体" w:hAnsi="宋体"/>
      <w:color w:val="000000"/>
      <w:kern w:val="0"/>
      <w:sz w:val="20"/>
    </w:rPr>
  </w:style>
  <w:style w:type="paragraph" w:customStyle="1" w:styleId="108">
    <w:name w:val="Char"/>
    <w:basedOn w:val="1"/>
    <w:qFormat/>
    <w:uiPriority w:val="0"/>
    <w:pPr>
      <w:numPr>
        <w:ilvl w:val="0"/>
        <w:numId w:val="9"/>
      </w:numPr>
      <w:spacing w:line="360" w:lineRule="auto"/>
      <w:ind w:left="0" w:firstLine="0"/>
    </w:pPr>
    <w:rPr>
      <w:rFonts w:ascii="新宋体" w:hAnsi="新宋体" w:eastAsia="新宋体"/>
      <w:b/>
      <w:sz w:val="24"/>
      <w:szCs w:val="24"/>
    </w:rPr>
  </w:style>
  <w:style w:type="paragraph" w:customStyle="1" w:styleId="109">
    <w:name w:val="Normal_23"/>
    <w:qFormat/>
    <w:uiPriority w:val="0"/>
    <w:rPr>
      <w:rFonts w:ascii="Times New Roman" w:hAnsi="Times New Roman" w:eastAsia="Times New Roman" w:cs="Times New Roman"/>
      <w:sz w:val="24"/>
      <w:szCs w:val="24"/>
      <w:lang w:val="en-US" w:eastAsia="zh-CN" w:bidi="ar-SA"/>
    </w:rPr>
  </w:style>
  <w:style w:type="paragraph" w:customStyle="1" w:styleId="110">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11">
    <w:name w:val="Normal_11"/>
    <w:qFormat/>
    <w:uiPriority w:val="0"/>
    <w:rPr>
      <w:rFonts w:ascii="黑体" w:hAnsi="黑体" w:eastAsia="黑体" w:cs="Times New Roman"/>
      <w:b/>
      <w:sz w:val="32"/>
      <w:szCs w:val="24"/>
      <w:lang w:val="en-US" w:eastAsia="zh-CN" w:bidi="ar-SA"/>
    </w:rPr>
  </w:style>
  <w:style w:type="paragraph" w:customStyle="1" w:styleId="112">
    <w:name w:val="Normal_21"/>
    <w:qFormat/>
    <w:uiPriority w:val="0"/>
    <w:rPr>
      <w:rFonts w:ascii="黑体" w:hAnsi="黑体" w:eastAsia="黑体" w:cs="Times New Roman"/>
      <w:b/>
      <w:sz w:val="32"/>
      <w:szCs w:val="24"/>
      <w:lang w:val="en-US" w:eastAsia="zh-CN" w:bidi="ar-SA"/>
    </w:rPr>
  </w:style>
  <w:style w:type="paragraph" w:customStyle="1" w:styleId="113">
    <w:name w:val="font9"/>
    <w:basedOn w:val="1"/>
    <w:qFormat/>
    <w:uiPriority w:val="0"/>
    <w:pPr>
      <w:widowControl/>
      <w:spacing w:before="100" w:beforeLines="0" w:beforeAutospacing="1" w:after="100" w:afterLines="0" w:afterAutospacing="1"/>
      <w:jc w:val="left"/>
    </w:pPr>
    <w:rPr>
      <w:rFonts w:hint="eastAsia" w:ascii="宋体" w:hAnsi="宋体"/>
      <w:b/>
      <w:bCs/>
      <w:color w:val="FF0000"/>
      <w:kern w:val="0"/>
      <w:sz w:val="20"/>
    </w:rPr>
  </w:style>
  <w:style w:type="paragraph" w:customStyle="1" w:styleId="114">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纯文本_0_0"/>
    <w:basedOn w:val="106"/>
    <w:unhideWhenUsed/>
    <w:qFormat/>
    <w:uiPriority w:val="0"/>
    <w:rPr>
      <w:rFonts w:ascii="宋体" w:hAnsi="Courier New" w:eastAsia="宋体" w:cs="Courier New"/>
      <w:szCs w:val="21"/>
    </w:rPr>
  </w:style>
  <w:style w:type="paragraph" w:customStyle="1" w:styleId="117">
    <w:name w:val="THTF-BS-二级标题"/>
    <w:next w:val="70"/>
    <w:qFormat/>
    <w:uiPriority w:val="0"/>
    <w:pPr>
      <w:widowControl w:val="0"/>
      <w:numPr>
        <w:ilvl w:val="2"/>
        <w:numId w:val="8"/>
      </w:numPr>
      <w:spacing w:line="360" w:lineRule="auto"/>
      <w:outlineLvl w:val="1"/>
    </w:pPr>
    <w:rPr>
      <w:rFonts w:ascii="宋体" w:hAnsi="Times New Roman" w:eastAsia="宋体" w:cs="Times New Roman"/>
      <w:b/>
      <w:kern w:val="2"/>
      <w:sz w:val="32"/>
      <w:szCs w:val="32"/>
      <w:lang w:val="en-US" w:eastAsia="zh-CN" w:bidi="ar-SA"/>
    </w:rPr>
  </w:style>
  <w:style w:type="paragraph" w:customStyle="1" w:styleId="11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olor w:val="000000"/>
      <w:kern w:val="0"/>
      <w:sz w:val="20"/>
    </w:rPr>
  </w:style>
  <w:style w:type="paragraph" w:customStyle="1" w:styleId="11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20">
    <w:name w:val="正文_2_0"/>
    <w:basedOn w:val="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_Style 3"/>
    <w:qFormat/>
    <w:uiPriority w:val="0"/>
    <w:pPr>
      <w:widowControl w:val="0"/>
      <w:spacing w:line="400" w:lineRule="exact"/>
      <w:jc w:val="both"/>
    </w:pPr>
    <w:rPr>
      <w:rFonts w:ascii="Calibri" w:hAnsi="Calibri" w:eastAsia="宋体" w:cs="Times New Roman"/>
      <w:kern w:val="2"/>
      <w:sz w:val="21"/>
      <w:szCs w:val="22"/>
      <w:lang w:val="en-US" w:eastAsia="zh-CN" w:bidi="ar-SA"/>
    </w:rPr>
  </w:style>
  <w:style w:type="paragraph" w:customStyle="1" w:styleId="1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3">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Text"/>
    <w:basedOn w:val="1"/>
    <w:qFormat/>
    <w:uiPriority w:val="0"/>
    <w:pPr>
      <w:widowControl/>
      <w:jc w:val="left"/>
    </w:pPr>
    <w:rPr>
      <w:rFonts w:ascii="Arial" w:hAnsi="Arial" w:cs="Courier New"/>
      <w:kern w:val="0"/>
      <w:szCs w:val="21"/>
    </w:rPr>
  </w:style>
  <w:style w:type="paragraph" w:customStyle="1" w:styleId="125">
    <w:name w:val="Normal_22"/>
    <w:qFormat/>
    <w:uiPriority w:val="0"/>
    <w:rPr>
      <w:rFonts w:ascii="黑体" w:hAnsi="黑体" w:eastAsia="黑体" w:cs="Times New Roman"/>
      <w:b/>
      <w:sz w:val="32"/>
      <w:szCs w:val="24"/>
      <w:lang w:val="en-US" w:eastAsia="zh-CN" w:bidi="ar-SA"/>
    </w:rPr>
  </w:style>
  <w:style w:type="paragraph" w:customStyle="1" w:styleId="126">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File1"/>
    <w:qFormat/>
    <w:uiPriority w:val="0"/>
    <w:pPr>
      <w:tabs>
        <w:tab w:val="left" w:pos="1134"/>
      </w:tabs>
      <w:spacing w:line="360" w:lineRule="exact"/>
      <w:ind w:left="540" w:leftChars="540"/>
    </w:pPr>
    <w:rPr>
      <w:rFonts w:ascii="Arial" w:hAnsi="Arial" w:eastAsia="宋体" w:cs="Times New Roman"/>
      <w:spacing w:val="10"/>
      <w:sz w:val="24"/>
      <w:lang w:val="en-US" w:eastAsia="zh-CN" w:bidi="ar-SA"/>
    </w:rPr>
  </w:style>
  <w:style w:type="paragraph" w:customStyle="1" w:styleId="128">
    <w:name w:val="Normal_3"/>
    <w:qFormat/>
    <w:uiPriority w:val="0"/>
    <w:rPr>
      <w:rFonts w:ascii="黑体" w:hAnsi="黑体" w:eastAsia="黑体" w:cs="Times New Roman"/>
      <w:b/>
      <w:sz w:val="32"/>
      <w:szCs w:val="24"/>
      <w:lang w:val="en-US" w:eastAsia="zh-CN" w:bidi="ar-SA"/>
    </w:rPr>
  </w:style>
  <w:style w:type="paragraph" w:customStyle="1" w:styleId="12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color w:val="800000"/>
      <w:kern w:val="0"/>
      <w:sz w:val="20"/>
    </w:rPr>
  </w:style>
  <w:style w:type="paragraph" w:customStyle="1" w:styleId="130">
    <w:name w:val="默认段落字体 Para Char Char Char Char Char Char Char"/>
    <w:basedOn w:val="1"/>
    <w:qFormat/>
    <w:uiPriority w:val="0"/>
  </w:style>
  <w:style w:type="paragraph" w:customStyle="1" w:styleId="131">
    <w:name w:val="标题 3_5"/>
    <w:basedOn w:val="132"/>
    <w:next w:val="132"/>
    <w:unhideWhenUsed/>
    <w:qFormat/>
    <w:uiPriority w:val="0"/>
    <w:pPr>
      <w:keepNext/>
      <w:keepLines/>
      <w:spacing w:before="260" w:after="260" w:line="412" w:lineRule="auto"/>
      <w:outlineLvl w:val="2"/>
    </w:pPr>
    <w:rPr>
      <w:rFonts w:ascii="Calibri" w:hAnsi="Calibri" w:eastAsia="宋体" w:cs="Times New Roman"/>
      <w:b/>
      <w:bCs/>
      <w:sz w:val="32"/>
      <w:szCs w:val="32"/>
    </w:rPr>
  </w:style>
  <w:style w:type="paragraph" w:customStyle="1" w:styleId="132">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olor w:val="000000"/>
      <w:kern w:val="0"/>
      <w:sz w:val="20"/>
    </w:rPr>
  </w:style>
  <w:style w:type="paragraph" w:customStyle="1" w:styleId="134">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136">
    <w:name w:val="Default"/>
    <w:qFormat/>
    <w:uiPriority w:val="0"/>
    <w:pPr>
      <w:widowControl w:val="0"/>
      <w:autoSpaceDE w:val="0"/>
      <w:autoSpaceDN w:val="0"/>
      <w:adjustRightInd w:val="0"/>
    </w:pPr>
    <w:rPr>
      <w:rFonts w:ascii="楷体_GB2312" w:hAnsi="Times New Roman" w:eastAsia="楷体_GB2312" w:cs="Times New Roman"/>
      <w:color w:val="000000"/>
      <w:sz w:val="24"/>
      <w:lang w:val="en-US" w:eastAsia="zh-CN" w:bidi="ar-SA"/>
    </w:rPr>
  </w:style>
  <w:style w:type="paragraph" w:customStyle="1" w:styleId="137">
    <w:name w:val="标题 3_2_0"/>
    <w:basedOn w:val="138"/>
    <w:next w:val="138"/>
    <w:unhideWhenUsed/>
    <w:qFormat/>
    <w:uiPriority w:val="9"/>
    <w:pPr>
      <w:keepNext/>
      <w:keepLines/>
      <w:spacing w:before="260" w:after="260" w:line="416" w:lineRule="auto"/>
      <w:outlineLvl w:val="2"/>
    </w:pPr>
    <w:rPr>
      <w:rFonts w:ascii="Calibri" w:hAnsi="Calibri" w:eastAsia="宋体"/>
      <w:b/>
      <w:bCs/>
      <w:sz w:val="32"/>
      <w:szCs w:val="32"/>
    </w:rPr>
  </w:style>
  <w:style w:type="paragraph" w:customStyle="1" w:styleId="138">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正文缩进_0"/>
    <w:basedOn w:val="92"/>
    <w:unhideWhenUsed/>
    <w:qFormat/>
    <w:uiPriority w:val="0"/>
    <w:pPr>
      <w:ind w:firstLine="420" w:firstLineChars="200"/>
    </w:pPr>
    <w:rPr>
      <w:rFonts w:ascii="Calibri" w:hAnsi="Calibri"/>
    </w:rPr>
  </w:style>
  <w:style w:type="paragraph" w:customStyle="1" w:styleId="140">
    <w:name w:val="正文缩进_1_0"/>
    <w:basedOn w:val="132"/>
    <w:unhideWhenUsed/>
    <w:qFormat/>
    <w:uiPriority w:val="0"/>
    <w:pPr>
      <w:ind w:firstLine="420" w:firstLineChars="200"/>
    </w:pPr>
    <w:rPr>
      <w:rFonts w:ascii="Calibri" w:hAnsi="Calibri" w:eastAsia="宋体" w:cs="Times New Roman"/>
    </w:rPr>
  </w:style>
  <w:style w:type="paragraph" w:customStyle="1" w:styleId="141">
    <w:name w:val="纯文本_1"/>
    <w:basedOn w:val="73"/>
    <w:unhideWhenUsed/>
    <w:qFormat/>
    <w:uiPriority w:val="0"/>
    <w:rPr>
      <w:rFonts w:ascii="宋体" w:hAnsi="Courier New" w:eastAsia="宋体" w:cs="Courier New"/>
      <w:szCs w:val="21"/>
    </w:rPr>
  </w:style>
  <w:style w:type="paragraph" w:customStyle="1" w:styleId="142">
    <w:name w:val="*正文"/>
    <w:basedOn w:val="1"/>
    <w:qFormat/>
    <w:uiPriority w:val="0"/>
    <w:pPr>
      <w:widowControl/>
      <w:spacing w:line="360" w:lineRule="auto"/>
      <w:jc w:val="left"/>
    </w:pPr>
    <w:rPr>
      <w:rFonts w:ascii="仿宋_GB2312" w:eastAsia="仿宋_GB2312"/>
      <w:sz w:val="24"/>
      <w:szCs w:val="28"/>
    </w:rPr>
  </w:style>
  <w:style w:type="paragraph" w:customStyle="1" w:styleId="143">
    <w:name w:val="Normal_1_0"/>
    <w:qFormat/>
    <w:uiPriority w:val="0"/>
    <w:rPr>
      <w:rFonts w:ascii="黑体" w:hAnsi="黑体" w:eastAsia="黑体" w:cs="Times New Roman"/>
      <w:b/>
      <w:sz w:val="32"/>
      <w:szCs w:val="24"/>
      <w:lang w:val="en-US" w:eastAsia="zh-CN" w:bidi="ar-SA"/>
    </w:rPr>
  </w:style>
  <w:style w:type="paragraph" w:customStyle="1" w:styleId="144">
    <w:name w:val="xl43"/>
    <w:basedOn w:val="1"/>
    <w:qFormat/>
    <w:uiPriority w:val="0"/>
    <w:pPr>
      <w:widowControl/>
      <w:spacing w:before="100" w:beforeLines="0" w:beforeAutospacing="1" w:after="100" w:afterLines="0" w:afterAutospacing="1"/>
      <w:jc w:val="left"/>
    </w:pPr>
    <w:rPr>
      <w:rFonts w:ascii="宋体" w:hAnsi="宋体"/>
      <w:kern w:val="0"/>
      <w:sz w:val="20"/>
    </w:rPr>
  </w:style>
  <w:style w:type="paragraph" w:customStyle="1" w:styleId="145">
    <w:name w:val="WPS Plain"/>
    <w:qFormat/>
    <w:uiPriority w:val="0"/>
    <w:rPr>
      <w:rFonts w:ascii="Times New Roman" w:hAnsi="Times New Roman" w:eastAsia="宋体" w:cs="Times New Roman"/>
      <w:lang w:val="en-US" w:eastAsia="zh-CN" w:bidi="ar-SA"/>
    </w:rPr>
  </w:style>
  <w:style w:type="paragraph" w:customStyle="1" w:styleId="146">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正文文本_0"/>
    <w:basedOn w:val="92"/>
    <w:unhideWhenUsed/>
    <w:qFormat/>
    <w:uiPriority w:val="0"/>
    <w:pPr>
      <w:spacing w:after="120"/>
    </w:pPr>
    <w:rPr>
      <w:rFonts w:ascii="Calibri" w:hAnsi="Calibri"/>
    </w:rPr>
  </w:style>
  <w:style w:type="paragraph" w:customStyle="1" w:styleId="1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color w:val="800000"/>
      <w:kern w:val="0"/>
      <w:sz w:val="20"/>
    </w:rPr>
  </w:style>
  <w:style w:type="paragraph" w:customStyle="1" w:styleId="150">
    <w:name w:val="正文文本缩进_1"/>
    <w:basedOn w:val="93"/>
    <w:qFormat/>
    <w:uiPriority w:val="0"/>
    <w:pPr>
      <w:ind w:firstLine="830" w:firstLineChars="352"/>
    </w:pPr>
    <w:rPr>
      <w:rFonts w:ascii="仿宋_GB2312" w:eastAsia="仿宋_GB2312"/>
      <w:sz w:val="32"/>
      <w:szCs w:val="20"/>
    </w:rPr>
  </w:style>
  <w:style w:type="paragraph" w:customStyle="1" w:styleId="151">
    <w:name w:val="Normal Indent"/>
    <w:basedOn w:val="1"/>
    <w:qFormat/>
    <w:uiPriority w:val="0"/>
    <w:pPr>
      <w:ind w:firstLine="420" w:firstLineChars="200"/>
    </w:pPr>
    <w:rPr>
      <w:rFonts w:ascii="Calibri" w:hAnsi="Calibri"/>
    </w:rPr>
  </w:style>
  <w:style w:type="paragraph" w:customStyle="1" w:styleId="15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rPr>
  </w:style>
  <w:style w:type="paragraph" w:customStyle="1" w:styleId="153">
    <w:name w:val="多级符号"/>
    <w:basedOn w:val="1"/>
    <w:qFormat/>
    <w:uiPriority w:val="0"/>
    <w:pPr>
      <w:numPr>
        <w:ilvl w:val="0"/>
        <w:numId w:val="10"/>
      </w:numPr>
      <w:tabs>
        <w:tab w:val="left" w:pos="1077"/>
        <w:tab w:val="clear" w:pos="1272"/>
      </w:tabs>
      <w:adjustRightInd w:val="0"/>
      <w:spacing w:line="360" w:lineRule="auto"/>
      <w:jc w:val="left"/>
      <w:textAlignment w:val="baseline"/>
    </w:pPr>
    <w:rPr>
      <w:rFonts w:ascii="宋体"/>
      <w:color w:val="0000FF"/>
      <w:kern w:val="0"/>
      <w:sz w:val="24"/>
    </w:rPr>
  </w:style>
  <w:style w:type="paragraph" w:customStyle="1" w:styleId="154">
    <w:name w:val="Body Text"/>
    <w:basedOn w:val="115"/>
    <w:qFormat/>
    <w:uiPriority w:val="1"/>
    <w:pPr>
      <w:ind w:left="220"/>
    </w:pPr>
    <w:rPr>
      <w:rFonts w:eastAsia="Times New Roman"/>
      <w:sz w:val="32"/>
      <w:szCs w:val="32"/>
    </w:rPr>
  </w:style>
  <w:style w:type="paragraph" w:customStyle="1" w:styleId="1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rPr>
  </w:style>
  <w:style w:type="paragraph" w:customStyle="1" w:styleId="156">
    <w:name w:val="xl45"/>
    <w:basedOn w:val="1"/>
    <w:qFormat/>
    <w:uiPriority w:val="0"/>
    <w:pPr>
      <w:widowControl/>
      <w:spacing w:before="100" w:beforeLines="0" w:beforeAutospacing="1" w:after="100" w:afterLines="0" w:afterAutospacing="1"/>
      <w:jc w:val="left"/>
      <w:textAlignment w:val="center"/>
    </w:pPr>
    <w:rPr>
      <w:rFonts w:ascii="宋体" w:hAnsi="宋体"/>
      <w:kern w:val="0"/>
      <w:sz w:val="20"/>
    </w:rPr>
  </w:style>
  <w:style w:type="paragraph" w:customStyle="1" w:styleId="15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rPr>
  </w:style>
  <w:style w:type="paragraph" w:customStyle="1" w:styleId="15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olor w:val="FF0000"/>
      <w:kern w:val="0"/>
      <w:sz w:val="20"/>
    </w:rPr>
  </w:style>
  <w:style w:type="paragraph" w:customStyle="1" w:styleId="159">
    <w:name w:val="正文缩进_2_0"/>
    <w:basedOn w:val="160"/>
    <w:unhideWhenUsed/>
    <w:qFormat/>
    <w:uiPriority w:val="0"/>
    <w:pPr>
      <w:ind w:firstLine="420" w:firstLineChars="200"/>
    </w:pPr>
    <w:rPr>
      <w:rFonts w:ascii="Calibri" w:hAnsi="Calibri" w:eastAsia="宋体" w:cs="Times New Roman"/>
    </w:rPr>
  </w:style>
  <w:style w:type="paragraph" w:customStyle="1" w:styleId="160">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标题 3_1"/>
    <w:basedOn w:val="94"/>
    <w:next w:val="94"/>
    <w:unhideWhenUsed/>
    <w:qFormat/>
    <w:uiPriority w:val="9"/>
    <w:pPr>
      <w:keepNext/>
      <w:keepLines/>
      <w:spacing w:before="260" w:after="260" w:line="416" w:lineRule="auto"/>
      <w:outlineLvl w:val="2"/>
    </w:pPr>
    <w:rPr>
      <w:b/>
      <w:bCs/>
      <w:sz w:val="32"/>
      <w:szCs w:val="32"/>
    </w:rPr>
  </w:style>
  <w:style w:type="paragraph" w:customStyle="1" w:styleId="162">
    <w:name w:val="正文缩进_3"/>
    <w:basedOn w:val="126"/>
    <w:unhideWhenUsed/>
    <w:qFormat/>
    <w:uiPriority w:val="0"/>
    <w:pPr>
      <w:ind w:firstLine="420" w:firstLineChars="200"/>
    </w:pPr>
    <w:rPr>
      <w:rFonts w:ascii="Calibri" w:hAnsi="Calibri" w:eastAsia="宋体" w:cs="Times New Roman"/>
    </w:rPr>
  </w:style>
  <w:style w:type="paragraph" w:customStyle="1" w:styleId="163">
    <w:name w:val="Normal_5"/>
    <w:qFormat/>
    <w:uiPriority w:val="0"/>
    <w:rPr>
      <w:rFonts w:ascii="黑体" w:hAnsi="黑体" w:eastAsia="黑体" w:cs="Times New Roman"/>
      <w:b/>
      <w:sz w:val="32"/>
      <w:szCs w:val="24"/>
      <w:lang w:val="en-US" w:eastAsia="zh-CN" w:bidi="ar-SA"/>
    </w:rPr>
  </w:style>
  <w:style w:type="paragraph" w:customStyle="1" w:styleId="164">
    <w:name w:val="Normal_0"/>
    <w:qFormat/>
    <w:uiPriority w:val="0"/>
    <w:rPr>
      <w:rFonts w:ascii="Times New Roman" w:hAnsi="Times New Roman" w:eastAsia="Times New Roman" w:cs="Times New Roman"/>
      <w:sz w:val="24"/>
      <w:szCs w:val="24"/>
      <w:lang w:val="en-US" w:eastAsia="zh-CN" w:bidi="ar-SA"/>
    </w:rPr>
  </w:style>
  <w:style w:type="paragraph" w:customStyle="1" w:styleId="165">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66">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2"/>
      <w:sz w:val="21"/>
      <w:szCs w:val="22"/>
      <w:lang w:val="en-US" w:eastAsia="ar-SA" w:bidi="ar-SA"/>
    </w:rPr>
  </w:style>
  <w:style w:type="paragraph" w:customStyle="1" w:styleId="167">
    <w:name w:val="Normal"/>
    <w:qFormat/>
    <w:uiPriority w:val="0"/>
    <w:rPr>
      <w:rFonts w:ascii="Times New Roman" w:hAnsi="Times New Roman" w:eastAsia="Times New Roman" w:cs="Times New Roman"/>
      <w:sz w:val="24"/>
      <w:szCs w:val="24"/>
      <w:lang w:val="en-US" w:eastAsia="zh-CN" w:bidi="ar-SA"/>
    </w:rPr>
  </w:style>
  <w:style w:type="paragraph" w:customStyle="1" w:styleId="16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Normal_8"/>
    <w:qFormat/>
    <w:uiPriority w:val="0"/>
    <w:rPr>
      <w:rFonts w:ascii="黑体" w:hAnsi="黑体" w:eastAsia="黑体" w:cs="Times New Roman"/>
      <w:b/>
      <w:sz w:val="32"/>
      <w:szCs w:val="24"/>
      <w:lang w:val="en-US" w:eastAsia="zh-CN" w:bidi="ar-SA"/>
    </w:rPr>
  </w:style>
  <w:style w:type="paragraph" w:customStyle="1" w:styleId="170">
    <w:name w:val="Normal_1"/>
    <w:qFormat/>
    <w:uiPriority w:val="0"/>
    <w:rPr>
      <w:rFonts w:ascii="Calibri" w:hAnsi="Calibri" w:eastAsia="Times New Roman" w:cs="Times New Roman"/>
      <w:sz w:val="24"/>
      <w:szCs w:val="24"/>
      <w:lang w:val="en-US" w:eastAsia="zh-CN" w:bidi="ar-SA"/>
    </w:rPr>
  </w:style>
  <w:style w:type="paragraph" w:customStyle="1" w:styleId="1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172">
    <w:name w:val="Table Paragraph"/>
    <w:basedOn w:val="1"/>
    <w:qFormat/>
    <w:uiPriority w:val="1"/>
    <w:pPr>
      <w:spacing w:before="48" w:line="231" w:lineRule="exact"/>
    </w:pPr>
    <w:rPr>
      <w:rFonts w:ascii="宋体" w:hAnsi="宋体" w:eastAsia="宋体" w:cs="宋体"/>
      <w:lang w:val="zh-CN" w:eastAsia="zh-CN" w:bidi="zh-CN"/>
    </w:rPr>
  </w:style>
  <w:style w:type="paragraph" w:customStyle="1" w:styleId="173">
    <w:name w:val="正文_0"/>
    <w:basedOn w:val="174"/>
    <w:qFormat/>
    <w:uiPriority w:val="0"/>
    <w:pPr>
      <w:widowControl w:val="0"/>
      <w:jc w:val="both"/>
    </w:pPr>
    <w:rPr>
      <w:kern w:val="2"/>
      <w:sz w:val="21"/>
      <w:szCs w:val="22"/>
      <w:lang w:val="en-US" w:eastAsia="zh-CN" w:bidi="ar-SA"/>
    </w:rPr>
  </w:style>
  <w:style w:type="paragraph" w:customStyle="1" w:styleId="174">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ÕýÎÄ"/>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zh-CN" w:bidi="ar-SA"/>
    </w:rPr>
  </w:style>
  <w:style w:type="paragraph" w:customStyle="1" w:styleId="176">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77">
    <w:name w:val="标题 2_0"/>
    <w:basedOn w:val="178"/>
    <w:next w:val="174"/>
    <w:qFormat/>
    <w:uiPriority w:val="0"/>
    <w:pPr>
      <w:spacing w:line="360" w:lineRule="auto"/>
      <w:outlineLvl w:val="1"/>
    </w:pPr>
    <w:rPr>
      <w:rFonts w:ascii="Arial" w:hAnsi="Arial"/>
      <w:b w:val="0"/>
      <w:bCs w:val="0"/>
      <w:sz w:val="24"/>
    </w:rPr>
  </w:style>
  <w:style w:type="paragraph" w:customStyle="1" w:styleId="178">
    <w:name w:val="标题 3_0"/>
    <w:basedOn w:val="174"/>
    <w:next w:val="174"/>
    <w:unhideWhenUsed/>
    <w:qFormat/>
    <w:uiPriority w:val="9"/>
    <w:pPr>
      <w:keepNext/>
      <w:keepLines/>
      <w:spacing w:before="260" w:after="260" w:line="416" w:lineRule="auto"/>
      <w:outlineLvl w:val="2"/>
    </w:pPr>
    <w:rPr>
      <w:b/>
      <w:bCs/>
      <w:sz w:val="32"/>
      <w:szCs w:val="32"/>
    </w:rPr>
  </w:style>
  <w:style w:type="paragraph" w:customStyle="1" w:styleId="179">
    <w:name w:val="正文缩进_0_0"/>
    <w:basedOn w:val="106"/>
    <w:unhideWhenUsed/>
    <w:qFormat/>
    <w:uiPriority w:val="0"/>
    <w:pPr>
      <w:ind w:firstLine="420" w:firstLineChars="200"/>
    </w:pPr>
    <w:rPr>
      <w:rFonts w:ascii="Calibri" w:hAnsi="Calibri" w:eastAsia="宋体" w:cs="Times New Roman"/>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b/>
      <w:bCs/>
      <w:color w:val="0000FF"/>
      <w:kern w:val="0"/>
      <w:sz w:val="20"/>
    </w:rPr>
  </w:style>
  <w:style w:type="paragraph" w:customStyle="1" w:styleId="181">
    <w:name w:val="标题 3_4"/>
    <w:basedOn w:val="106"/>
    <w:next w:val="106"/>
    <w:unhideWhenUsed/>
    <w:qFormat/>
    <w:uiPriority w:val="0"/>
    <w:pPr>
      <w:keepNext/>
      <w:keepLines/>
      <w:spacing w:before="260" w:after="260" w:line="412" w:lineRule="auto"/>
      <w:outlineLvl w:val="2"/>
    </w:pPr>
    <w:rPr>
      <w:rFonts w:ascii="Calibri" w:hAnsi="Calibri" w:eastAsia="宋体" w:cs="Times New Roman"/>
      <w:b/>
      <w:bCs/>
      <w:sz w:val="32"/>
      <w:szCs w:val="32"/>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b/>
      <w:bCs/>
      <w:color w:val="0000FF"/>
      <w:kern w:val="0"/>
      <w:sz w:val="20"/>
    </w:rPr>
  </w:style>
  <w:style w:type="paragraph" w:customStyle="1" w:styleId="183">
    <w:name w:val=" Char Char"/>
    <w:basedOn w:val="1"/>
    <w:qFormat/>
    <w:uiPriority w:val="0"/>
    <w:rPr>
      <w:szCs w:val="24"/>
    </w:rPr>
  </w:style>
  <w:style w:type="paragraph" w:customStyle="1" w:styleId="184">
    <w:name w:val="font11"/>
    <w:basedOn w:val="1"/>
    <w:qFormat/>
    <w:uiPriority w:val="0"/>
    <w:pPr>
      <w:widowControl/>
      <w:spacing w:before="100" w:beforeLines="0" w:beforeAutospacing="1" w:after="100" w:afterLines="0" w:afterAutospacing="1"/>
      <w:jc w:val="left"/>
    </w:pPr>
    <w:rPr>
      <w:kern w:val="0"/>
      <w:sz w:val="22"/>
      <w:szCs w:val="22"/>
    </w:rPr>
  </w:style>
  <w:style w:type="paragraph" w:customStyle="1" w:styleId="185">
    <w:name w:val="È±Ê¡ÎÄ±¾"/>
    <w:basedOn w:val="1"/>
    <w:qFormat/>
    <w:uiPriority w:val="0"/>
    <w:pPr>
      <w:widowControl/>
      <w:overflowPunct w:val="0"/>
      <w:autoSpaceDE w:val="0"/>
      <w:autoSpaceDN w:val="0"/>
      <w:adjustRightInd w:val="0"/>
      <w:jc w:val="left"/>
    </w:pPr>
    <w:rPr>
      <w:kern w:val="0"/>
      <w:sz w:val="24"/>
    </w:rPr>
  </w:style>
  <w:style w:type="paragraph" w:customStyle="1" w:styleId="186">
    <w:name w:val="Normal_17"/>
    <w:qFormat/>
    <w:uiPriority w:val="0"/>
    <w:rPr>
      <w:rFonts w:ascii="黑体" w:hAnsi="黑体" w:eastAsia="黑体" w:cs="Times New Roman"/>
      <w:b/>
      <w:sz w:val="32"/>
      <w:szCs w:val="24"/>
      <w:lang w:val="en-US" w:eastAsia="zh-CN" w:bidi="ar-SA"/>
    </w:rPr>
  </w:style>
  <w:style w:type="paragraph" w:customStyle="1" w:styleId="1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b/>
      <w:bCs/>
      <w:color w:val="800000"/>
      <w:kern w:val="0"/>
      <w:sz w:val="20"/>
    </w:rPr>
  </w:style>
  <w:style w:type="paragraph" w:customStyle="1" w:styleId="188">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9">
    <w:name w:val="Normal_4"/>
    <w:qFormat/>
    <w:uiPriority w:val="0"/>
    <w:rPr>
      <w:rFonts w:ascii="黑体" w:hAnsi="黑体" w:eastAsia="黑体" w:cs="Times New Roman"/>
      <w:b/>
      <w:sz w:val="32"/>
      <w:szCs w:val="24"/>
      <w:lang w:val="en-US" w:eastAsia="zh-CN" w:bidi="ar-SA"/>
    </w:rPr>
  </w:style>
  <w:style w:type="paragraph" w:customStyle="1" w:styleId="190">
    <w:name w:val="Normal_16"/>
    <w:qFormat/>
    <w:uiPriority w:val="0"/>
    <w:rPr>
      <w:rFonts w:ascii="Times New Roman" w:hAnsi="Times New Roman" w:eastAsia="Times New Roman" w:cs="Times New Roman"/>
      <w:sz w:val="24"/>
      <w:szCs w:val="24"/>
      <w:lang w:val="en-US" w:eastAsia="zh-CN" w:bidi="ar-SA"/>
    </w:rPr>
  </w:style>
  <w:style w:type="paragraph" w:customStyle="1" w:styleId="19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纯文本1"/>
    <w:basedOn w:val="1"/>
    <w:qFormat/>
    <w:uiPriority w:val="0"/>
    <w:rPr>
      <w:rFonts w:ascii="宋体" w:hAnsi="Courier New" w:cs="Times New Roman"/>
      <w:kern w:val="0"/>
      <w:sz w:val="20"/>
      <w:szCs w:val="20"/>
    </w:rPr>
  </w:style>
  <w:style w:type="paragraph" w:customStyle="1" w:styleId="193">
    <w:name w:val="标题 3_1_0"/>
    <w:basedOn w:val="188"/>
    <w:next w:val="188"/>
    <w:unhideWhenUsed/>
    <w:qFormat/>
    <w:uiPriority w:val="9"/>
    <w:pPr>
      <w:keepNext/>
      <w:keepLines/>
      <w:spacing w:before="260" w:after="260" w:line="416" w:lineRule="auto"/>
      <w:outlineLvl w:val="2"/>
    </w:pPr>
    <w:rPr>
      <w:rFonts w:ascii="Calibri" w:hAnsi="Calibri" w:eastAsia="宋体"/>
      <w:b/>
      <w:bCs/>
      <w:sz w:val="32"/>
      <w:szCs w:val="32"/>
    </w:rPr>
  </w:style>
  <w:style w:type="paragraph" w:customStyle="1" w:styleId="194">
    <w:name w:val="标题 3_3_0"/>
    <w:basedOn w:val="195"/>
    <w:next w:val="195"/>
    <w:unhideWhenUsed/>
    <w:qFormat/>
    <w:uiPriority w:val="0"/>
    <w:pPr>
      <w:keepNext/>
      <w:keepLines/>
      <w:spacing w:before="260" w:after="260" w:line="412" w:lineRule="auto"/>
      <w:outlineLvl w:val="2"/>
    </w:pPr>
    <w:rPr>
      <w:rFonts w:ascii="Calibri" w:hAnsi="Calibri" w:eastAsia="宋体" w:cs="Times New Roman"/>
      <w:b/>
      <w:bCs/>
      <w:sz w:val="32"/>
      <w:szCs w:val="32"/>
    </w:rPr>
  </w:style>
  <w:style w:type="paragraph" w:customStyle="1" w:styleId="195">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font12"/>
    <w:basedOn w:val="1"/>
    <w:qFormat/>
    <w:uiPriority w:val="0"/>
    <w:pPr>
      <w:widowControl/>
      <w:spacing w:before="100" w:beforeLines="0" w:beforeAutospacing="1" w:after="100" w:afterLines="0" w:afterAutospacing="1"/>
      <w:jc w:val="left"/>
    </w:pPr>
    <w:rPr>
      <w:rFonts w:hint="eastAsia" w:ascii="楷体_GB2312" w:hAnsi="宋体" w:eastAsia="楷体_GB2312"/>
      <w:b/>
      <w:bCs/>
      <w:color w:val="FF0000"/>
      <w:kern w:val="0"/>
      <w:sz w:val="22"/>
      <w:szCs w:val="22"/>
    </w:rPr>
  </w:style>
  <w:style w:type="paragraph" w:customStyle="1" w:styleId="197">
    <w:name w:val=" Char Char1 Char Char Char Char"/>
    <w:basedOn w:val="1"/>
    <w:qFormat/>
    <w:uiPriority w:val="0"/>
    <w:pPr>
      <w:widowControl/>
      <w:snapToGrid w:val="0"/>
      <w:spacing w:line="520" w:lineRule="exact"/>
      <w:jc w:val="left"/>
    </w:pPr>
    <w:rPr>
      <w:sz w:val="24"/>
      <w:szCs w:val="24"/>
    </w:rPr>
  </w:style>
  <w:style w:type="paragraph" w:customStyle="1" w:styleId="198">
    <w:name w:val="font13"/>
    <w:basedOn w:val="1"/>
    <w:qFormat/>
    <w:uiPriority w:val="0"/>
    <w:pPr>
      <w:widowControl/>
      <w:spacing w:before="100" w:beforeLines="0" w:beforeAutospacing="1" w:after="100" w:afterLines="0" w:afterAutospacing="1"/>
      <w:jc w:val="left"/>
    </w:pPr>
    <w:rPr>
      <w:b/>
      <w:bCs/>
      <w:color w:val="FF0000"/>
      <w:kern w:val="0"/>
      <w:sz w:val="22"/>
      <w:szCs w:val="22"/>
    </w:rPr>
  </w:style>
  <w:style w:type="paragraph" w:customStyle="1" w:styleId="199">
    <w:name w:val="font8"/>
    <w:basedOn w:val="1"/>
    <w:qFormat/>
    <w:uiPriority w:val="0"/>
    <w:pPr>
      <w:widowControl/>
      <w:spacing w:before="100" w:beforeLines="0" w:beforeAutospacing="1" w:after="100" w:afterLines="0" w:afterAutospacing="1"/>
      <w:jc w:val="left"/>
    </w:pPr>
    <w:rPr>
      <w:rFonts w:hint="eastAsia" w:ascii="宋体" w:hAnsi="宋体"/>
      <w:b/>
      <w:bCs/>
      <w:color w:val="0000FF"/>
      <w:kern w:val="0"/>
      <w:sz w:val="20"/>
    </w:rPr>
  </w:style>
  <w:style w:type="paragraph" w:customStyle="1" w:styleId="200">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标题 1_0"/>
    <w:basedOn w:val="202"/>
    <w:next w:val="93"/>
    <w:qFormat/>
    <w:uiPriority w:val="9"/>
    <w:pPr>
      <w:keepNext/>
      <w:keepLines/>
      <w:spacing w:before="340" w:after="330" w:line="578" w:lineRule="auto"/>
      <w:jc w:val="center"/>
      <w:outlineLvl w:val="0"/>
    </w:pPr>
    <w:rPr>
      <w:bCs/>
      <w:kern w:val="44"/>
      <w:sz w:val="44"/>
      <w:szCs w:val="44"/>
    </w:rPr>
  </w:style>
  <w:style w:type="paragraph" w:customStyle="1" w:styleId="202">
    <w:name w:val="标题 2_1"/>
    <w:basedOn w:val="161"/>
    <w:next w:val="94"/>
    <w:unhideWhenUsed/>
    <w:qFormat/>
    <w:uiPriority w:val="0"/>
    <w:pPr>
      <w:spacing w:line="360" w:lineRule="auto"/>
      <w:outlineLvl w:val="1"/>
    </w:pPr>
    <w:rPr>
      <w:rFonts w:ascii="Arial" w:hAnsi="Arial" w:eastAsia="宋体" w:cs="Times New Roman"/>
      <w:b w:val="0"/>
      <w:bCs w:val="0"/>
      <w:sz w:val="24"/>
    </w:rPr>
  </w:style>
  <w:style w:type="paragraph" w:customStyle="1" w:styleId="20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color w:val="0000FF"/>
      <w:kern w:val="0"/>
      <w:sz w:val="20"/>
    </w:rPr>
  </w:style>
  <w:style w:type="paragraph" w:customStyle="1" w:styleId="204">
    <w:name w:val="Normal_12"/>
    <w:qFormat/>
    <w:uiPriority w:val="0"/>
    <w:rPr>
      <w:rFonts w:ascii="黑体" w:hAnsi="黑体" w:eastAsia="黑体" w:cs="Times New Roman"/>
      <w:b/>
      <w:sz w:val="32"/>
      <w:szCs w:val="24"/>
      <w:lang w:val="en-US" w:eastAsia="zh-CN" w:bidi="ar-SA"/>
    </w:rPr>
  </w:style>
  <w:style w:type="paragraph" w:customStyle="1" w:styleId="205">
    <w:name w:val="Normal_13"/>
    <w:qFormat/>
    <w:uiPriority w:val="0"/>
    <w:rPr>
      <w:rFonts w:ascii="黑体" w:hAnsi="黑体" w:eastAsia="黑体" w:cs="Times New Roman"/>
      <w:b/>
      <w:sz w:val="32"/>
      <w:szCs w:val="24"/>
      <w:lang w:val="en-US" w:eastAsia="zh-CN" w:bidi="ar-SA"/>
    </w:rPr>
  </w:style>
  <w:style w:type="paragraph" w:customStyle="1" w:styleId="206">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1级大纲"/>
    <w:basedOn w:val="7"/>
    <w:qFormat/>
    <w:uiPriority w:val="0"/>
    <w:pPr>
      <w:keepLines/>
      <w:numPr>
        <w:ilvl w:val="0"/>
        <w:numId w:val="7"/>
      </w:numPr>
      <w:spacing w:before="340" w:beforeLines="0" w:after="330" w:afterLines="0" w:line="578" w:lineRule="auto"/>
      <w:jc w:val="both"/>
    </w:pPr>
    <w:rPr>
      <w:rFonts w:ascii="黑体" w:hAnsi="黑体" w:eastAsia="黑体"/>
      <w:b w:val="0"/>
      <w:kern w:val="44"/>
      <w:sz w:val="32"/>
    </w:rPr>
  </w:style>
  <w:style w:type="paragraph" w:customStyle="1" w:styleId="208">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209">
    <w:name w:val="Normal_2"/>
    <w:qFormat/>
    <w:uiPriority w:val="0"/>
    <w:rPr>
      <w:rFonts w:ascii="黑体" w:hAnsi="黑体" w:eastAsia="黑体" w:cs="Times New Roman"/>
      <w:b/>
      <w:sz w:val="32"/>
      <w:szCs w:val="24"/>
      <w:lang w:val="en-US" w:eastAsia="zh-CN" w:bidi="ar-SA"/>
    </w:rPr>
  </w:style>
  <w:style w:type="paragraph" w:customStyle="1" w:styleId="210">
    <w:name w:val="Normal_6"/>
    <w:qFormat/>
    <w:uiPriority w:val="0"/>
    <w:rPr>
      <w:rFonts w:ascii="黑体" w:hAnsi="黑体" w:eastAsia="黑体" w:cs="Times New Roman"/>
      <w:b/>
      <w:sz w:val="32"/>
      <w:szCs w:val="24"/>
      <w:lang w:val="en-US" w:eastAsia="zh-CN" w:bidi="ar-SA"/>
    </w:rPr>
  </w:style>
  <w:style w:type="paragraph" w:customStyle="1" w:styleId="21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b/>
      <w:bCs/>
      <w:color w:val="0000FF"/>
      <w:kern w:val="0"/>
      <w:sz w:val="20"/>
    </w:rPr>
  </w:style>
  <w:style w:type="paragraph" w:customStyle="1" w:styleId="212">
    <w:name w:val="Normal_20"/>
    <w:qFormat/>
    <w:uiPriority w:val="0"/>
    <w:rPr>
      <w:rFonts w:ascii="黑体" w:hAnsi="黑体" w:eastAsia="黑体" w:cs="Times New Roman"/>
      <w:b/>
      <w:sz w:val="32"/>
      <w:szCs w:val="24"/>
      <w:lang w:val="en-US" w:eastAsia="zh-CN" w:bidi="ar-SA"/>
    </w:rPr>
  </w:style>
  <w:style w:type="paragraph" w:customStyle="1" w:styleId="213">
    <w:name w:val="Normal_0_0"/>
    <w:qFormat/>
    <w:uiPriority w:val="0"/>
    <w:rPr>
      <w:rFonts w:ascii="黑体" w:hAnsi="黑体" w:eastAsia="黑体" w:cs="Times New Roman"/>
      <w:b/>
      <w:sz w:val="32"/>
      <w:szCs w:val="24"/>
      <w:lang w:val="en-US" w:eastAsia="zh-CN" w:bidi="ar-SA"/>
    </w:rPr>
  </w:style>
  <w:style w:type="paragraph" w:customStyle="1" w:styleId="214">
    <w:name w:val="List Paragraph1"/>
    <w:basedOn w:val="1"/>
    <w:next w:val="1"/>
    <w:qFormat/>
    <w:uiPriority w:val="0"/>
    <w:pPr>
      <w:ind w:firstLine="420" w:firstLineChars="200"/>
    </w:pPr>
    <w:rPr>
      <w:rFonts w:ascii="Calibri" w:hAnsi="Calibri"/>
      <w:szCs w:val="22"/>
    </w:rPr>
  </w:style>
  <w:style w:type="paragraph" w:customStyle="1" w:styleId="215">
    <w:name w:val="Normal_15"/>
    <w:qFormat/>
    <w:uiPriority w:val="0"/>
    <w:rPr>
      <w:rFonts w:ascii="黑体" w:hAnsi="黑体" w:eastAsia="黑体" w:cs="Times New Roman"/>
      <w:b/>
      <w:sz w:val="32"/>
      <w:szCs w:val="24"/>
      <w:lang w:val="en-US" w:eastAsia="zh-CN" w:bidi="ar-SA"/>
    </w:rPr>
  </w:style>
  <w:style w:type="paragraph" w:customStyle="1" w:styleId="216">
    <w:name w:val="Fließtext"/>
    <w:basedOn w:val="1"/>
    <w:qFormat/>
    <w:uiPriority w:val="0"/>
    <w:pPr>
      <w:widowControl/>
      <w:overflowPunct w:val="0"/>
      <w:autoSpaceDE w:val="0"/>
      <w:autoSpaceDN w:val="0"/>
      <w:adjustRightInd w:val="0"/>
      <w:jc w:val="left"/>
      <w:textAlignment w:val="baseline"/>
    </w:pPr>
    <w:rPr>
      <w:kern w:val="28"/>
      <w:szCs w:val="20"/>
    </w:rPr>
  </w:style>
  <w:style w:type="paragraph" w:customStyle="1" w:styleId="217">
    <w:name w:val="xl44"/>
    <w:basedOn w:val="1"/>
    <w:qFormat/>
    <w:uiPriority w:val="0"/>
    <w:pPr>
      <w:widowControl/>
      <w:spacing w:before="100" w:beforeLines="0" w:beforeAutospacing="1" w:after="100" w:afterLines="0" w:afterAutospacing="1"/>
      <w:jc w:val="center"/>
      <w:textAlignment w:val="center"/>
    </w:pPr>
    <w:rPr>
      <w:rFonts w:ascii="宋体" w:hAnsi="宋体"/>
      <w:b/>
      <w:bCs/>
      <w:color w:val="0000FF"/>
      <w:kern w:val="0"/>
      <w:sz w:val="20"/>
    </w:rPr>
  </w:style>
  <w:style w:type="paragraph" w:customStyle="1" w:styleId="21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 w:type="paragraph" w:customStyle="1" w:styleId="220">
    <w:name w:val="Date"/>
    <w:basedOn w:val="1"/>
    <w:next w:val="1"/>
    <w:qFormat/>
    <w:uiPriority w:val="0"/>
    <w:pPr>
      <w:adjustRightInd w:val="0"/>
      <w:textAlignment w:val="baseline"/>
    </w:pPr>
    <w:rPr>
      <w:rFonts w:ascii="宋体"/>
      <w:kern w:val="0"/>
      <w:sz w:val="24"/>
    </w:rPr>
  </w:style>
  <w:style w:type="paragraph" w:customStyle="1" w:styleId="221">
    <w:name w:val="Normal_19"/>
    <w:qFormat/>
    <w:uiPriority w:val="0"/>
    <w:rPr>
      <w:rFonts w:ascii="黑体" w:hAnsi="黑体" w:eastAsia="黑体" w:cs="Times New Roman"/>
      <w:b/>
      <w:sz w:val="32"/>
      <w:szCs w:val="24"/>
      <w:lang w:val="en-US" w:eastAsia="zh-CN" w:bidi="ar-SA"/>
    </w:rPr>
  </w:style>
  <w:style w:type="paragraph" w:customStyle="1" w:styleId="22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Normal_10"/>
    <w:qFormat/>
    <w:uiPriority w:val="0"/>
    <w:rPr>
      <w:rFonts w:ascii="黑体" w:hAnsi="黑体" w:eastAsia="黑体" w:cs="Times New Roman"/>
      <w:b/>
      <w:sz w:val="32"/>
      <w:szCs w:val="24"/>
      <w:lang w:val="en-US" w:eastAsia="zh-CN" w:bidi="ar-SA"/>
    </w:rPr>
  </w:style>
  <w:style w:type="paragraph" w:customStyle="1" w:styleId="2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olor w:val="000000"/>
      <w:kern w:val="0"/>
      <w:sz w:val="20"/>
    </w:rPr>
  </w:style>
  <w:style w:type="paragraph" w:customStyle="1" w:styleId="225">
    <w:name w:val="正文缩进_1"/>
    <w:basedOn w:val="94"/>
    <w:unhideWhenUsed/>
    <w:qFormat/>
    <w:uiPriority w:val="0"/>
    <w:pPr>
      <w:ind w:firstLine="420" w:firstLineChars="200"/>
    </w:pPr>
    <w:rPr>
      <w:rFonts w:ascii="Calibri" w:hAnsi="Calibri"/>
    </w:rPr>
  </w:style>
  <w:style w:type="paragraph" w:customStyle="1" w:styleId="226">
    <w:name w:val="THTF-BS-三级标题"/>
    <w:basedOn w:val="1"/>
    <w:next w:val="70"/>
    <w:qFormat/>
    <w:uiPriority w:val="0"/>
    <w:pPr>
      <w:numPr>
        <w:ilvl w:val="4"/>
        <w:numId w:val="8"/>
      </w:numPr>
      <w:spacing w:line="360" w:lineRule="auto"/>
      <w:outlineLvl w:val="2"/>
    </w:pPr>
    <w:rPr>
      <w:rFonts w:ascii="宋体"/>
      <w:b/>
      <w:sz w:val="30"/>
      <w:szCs w:val="30"/>
    </w:rPr>
  </w:style>
  <w:style w:type="paragraph" w:customStyle="1" w:styleId="227">
    <w:name w:val="标题 3_2"/>
    <w:basedOn w:val="191"/>
    <w:next w:val="191"/>
    <w:unhideWhenUsed/>
    <w:qFormat/>
    <w:uiPriority w:val="9"/>
    <w:pPr>
      <w:keepNext/>
      <w:keepLines/>
      <w:spacing w:before="260" w:after="260" w:line="416" w:lineRule="auto"/>
      <w:outlineLvl w:val="2"/>
    </w:pPr>
    <w:rPr>
      <w:b/>
      <w:bCs/>
      <w:sz w:val="32"/>
      <w:szCs w:val="32"/>
    </w:rPr>
  </w:style>
  <w:style w:type="paragraph" w:customStyle="1" w:styleId="22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val="none" w:color="000000"/>
      <w:lang w:val="en-US" w:eastAsia="zh-CN" w:bidi="ar-SA"/>
    </w:rPr>
  </w:style>
  <w:style w:type="paragraph" w:customStyle="1" w:styleId="229">
    <w:name w:val="xl51"/>
    <w:basedOn w:val="1"/>
    <w:qFormat/>
    <w:uiPriority w:val="0"/>
    <w:pPr>
      <w:widowControl/>
      <w:spacing w:before="100" w:beforeLines="0" w:beforeAutospacing="1" w:after="100" w:afterLines="0" w:afterAutospacing="1"/>
      <w:jc w:val="left"/>
      <w:textAlignment w:val="center"/>
    </w:pPr>
    <w:rPr>
      <w:rFonts w:ascii="宋体" w:hAnsi="宋体"/>
      <w:kern w:val="0"/>
      <w:sz w:val="22"/>
      <w:szCs w:val="22"/>
    </w:rPr>
  </w:style>
  <w:style w:type="paragraph" w:customStyle="1" w:styleId="230">
    <w:name w:val="font6"/>
    <w:basedOn w:val="1"/>
    <w:qFormat/>
    <w:uiPriority w:val="0"/>
    <w:pPr>
      <w:widowControl/>
      <w:spacing w:before="100" w:beforeLines="0" w:beforeAutospacing="1" w:after="100" w:afterLines="0" w:afterAutospacing="1"/>
      <w:jc w:val="left"/>
    </w:pPr>
    <w:rPr>
      <w:rFonts w:hint="eastAsia" w:ascii="宋体" w:hAnsi="宋体"/>
      <w:kern w:val="0"/>
      <w:sz w:val="20"/>
    </w:rPr>
  </w:style>
  <w:style w:type="paragraph" w:customStyle="1" w:styleId="231">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23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color w:val="008000"/>
      <w:kern w:val="0"/>
      <w:sz w:val="20"/>
    </w:rPr>
  </w:style>
  <w:style w:type="paragraph" w:customStyle="1" w:styleId="234">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Normal_18"/>
    <w:qFormat/>
    <w:uiPriority w:val="0"/>
    <w:rPr>
      <w:rFonts w:ascii="黑体" w:hAnsi="黑体" w:eastAsia="黑体" w:cs="Times New Roman"/>
      <w:b/>
      <w:sz w:val="32"/>
      <w:szCs w:val="24"/>
      <w:lang w:val="en-US" w:eastAsia="zh-CN" w:bidi="ar-SA"/>
    </w:rPr>
  </w:style>
  <w:style w:type="paragraph" w:customStyle="1" w:styleId="23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b/>
      <w:bCs/>
      <w:color w:val="0000FF"/>
      <w:kern w:val="0"/>
      <w:sz w:val="20"/>
    </w:rPr>
  </w:style>
  <w:style w:type="paragraph" w:customStyle="1" w:styleId="23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3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239">
    <w:name w:val="Heading 1"/>
    <w:basedOn w:val="115"/>
    <w:next w:val="115"/>
    <w:qFormat/>
    <w:uiPriority w:val="9"/>
    <w:pPr>
      <w:spacing w:before="38"/>
      <w:ind w:left="1844"/>
      <w:outlineLvl w:val="0"/>
    </w:pPr>
    <w:rPr>
      <w:rFonts w:ascii="宋体" w:hAnsi="宋体" w:eastAsia="宋体" w:cs="宋体"/>
      <w:b/>
      <w:bCs/>
      <w:sz w:val="36"/>
      <w:szCs w:val="36"/>
    </w:rPr>
  </w:style>
  <w:style w:type="paragraph" w:customStyle="1" w:styleId="240">
    <w:name w:val="索引 11"/>
    <w:basedOn w:val="1"/>
    <w:next w:val="1"/>
    <w:qFormat/>
    <w:uiPriority w:val="0"/>
    <w:pPr>
      <w:spacing w:line="360" w:lineRule="auto"/>
    </w:pPr>
    <w:rPr>
      <w:rFonts w:ascii="仿宋_GB2312" w:eastAsia="仿宋_GB2312"/>
      <w:sz w:val="24"/>
      <w:szCs w:val="20"/>
    </w:rPr>
  </w:style>
  <w:style w:type="paragraph" w:customStyle="1" w:styleId="241">
    <w:name w:val="正文缩进1"/>
    <w:basedOn w:val="1"/>
    <w:qFormat/>
    <w:uiPriority w:val="0"/>
    <w:pPr>
      <w:autoSpaceDE w:val="0"/>
      <w:autoSpaceDN w:val="0"/>
      <w:adjustRightInd w:val="0"/>
      <w:ind w:firstLine="420"/>
      <w:jc w:val="left"/>
    </w:pPr>
    <w:rPr>
      <w:rFonts w:ascii="宋体" w:cs="Times New Roman"/>
      <w:kern w:val="0"/>
      <w:sz w:val="24"/>
      <w:szCs w:val="20"/>
    </w:rPr>
  </w:style>
  <w:style w:type="paragraph" w:customStyle="1" w:styleId="242">
    <w:name w:val="WPSOffice手动目录 1"/>
    <w:qFormat/>
    <w:uiPriority w:val="0"/>
    <w:rPr>
      <w:rFonts w:ascii="Times New Roman" w:hAnsi="Times New Roman" w:eastAsia="宋体" w:cs="Times New Roman"/>
      <w:lang w:val="en-US" w:eastAsia="zh-CN" w:bidi="ar-SA"/>
    </w:rPr>
  </w:style>
  <w:style w:type="paragraph" w:customStyle="1" w:styleId="243">
    <w:name w:val=" Char1 Char Char Char"/>
    <w:basedOn w:val="1"/>
    <w:qFormat/>
    <w:uiPriority w:val="0"/>
    <w:rPr>
      <w:rFonts w:ascii="Tahoma" w:hAnsi="Tahoma"/>
      <w:sz w:val="24"/>
    </w:rPr>
  </w:style>
  <w:style w:type="paragraph" w:customStyle="1" w:styleId="244">
    <w:name w:val="Normal_14"/>
    <w:qFormat/>
    <w:uiPriority w:val="0"/>
    <w:rPr>
      <w:rFonts w:ascii="黑体" w:hAnsi="黑体" w:eastAsia="黑体" w:cs="Times New Roman"/>
      <w:b/>
      <w:sz w:val="32"/>
      <w:szCs w:val="24"/>
      <w:lang w:val="en-US" w:eastAsia="zh-CN" w:bidi="ar-SA"/>
    </w:rPr>
  </w:style>
  <w:style w:type="paragraph" w:customStyle="1" w:styleId="245">
    <w:name w:val="Fließtext2"/>
    <w:basedOn w:val="1"/>
    <w:qFormat/>
    <w:uiPriority w:val="99"/>
    <w:pPr>
      <w:overflowPunct w:val="0"/>
      <w:autoSpaceDE w:val="0"/>
      <w:autoSpaceDN w:val="0"/>
      <w:adjustRightInd w:val="0"/>
      <w:textAlignment w:val="baseline"/>
    </w:pPr>
    <w:rPr>
      <w:kern w:val="28"/>
      <w:szCs w:val="20"/>
    </w:rPr>
  </w:style>
  <w:style w:type="paragraph" w:customStyle="1" w:styleId="246">
    <w:name w:val="WPSOffice手动目录 2"/>
    <w:qFormat/>
    <w:uiPriority w:val="0"/>
    <w:pPr>
      <w:ind w:leftChars="200"/>
    </w:pPr>
    <w:rPr>
      <w:rFonts w:ascii="Times New Roman" w:hAnsi="Times New Roman" w:eastAsia="宋体" w:cs="Times New Roman"/>
      <w:sz w:val="20"/>
      <w:szCs w:val="20"/>
    </w:rPr>
  </w:style>
  <w:style w:type="paragraph" w:customStyle="1" w:styleId="247">
    <w:name w:val="Char Char Char Char Char Char Char Char Char Char"/>
    <w:basedOn w:val="1"/>
    <w:qFormat/>
    <w:uiPriority w:val="0"/>
    <w:pPr>
      <w:adjustRightInd w:val="0"/>
      <w:spacing w:line="360" w:lineRule="auto"/>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wmf"/><Relationship Id="rId23" Type="http://schemas.openxmlformats.org/officeDocument/2006/relationships/oleObject" Target="embeddings/oleObject5.bin"/><Relationship Id="rId22" Type="http://schemas.openxmlformats.org/officeDocument/2006/relationships/image" Target="media/image4.wmf"/><Relationship Id="rId21" Type="http://schemas.openxmlformats.org/officeDocument/2006/relationships/oleObject" Target="embeddings/oleObject4.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136</Pages>
  <Words>78687</Words>
  <Characters>82705</Characters>
  <Lines>276</Lines>
  <Paragraphs>77</Paragraphs>
  <TotalTime>170</TotalTime>
  <ScaleCrop>false</ScaleCrop>
  <LinksUpToDate>false</LinksUpToDate>
  <CharactersWithSpaces>102583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2018-01-19T04:31:00Z</dcterms:created>
  <dc:creator>s</dc:creator>
  <cp:lastModifiedBy>庞涵予</cp:lastModifiedBy>
  <cp:lastPrinted>2022-04-28T04:11:00Z</cp:lastPrinted>
  <dcterms:modified xsi:type="dcterms:W3CDTF">2023-06-25T05:06:06Z</dcterms:modified>
  <dc:title>投标人须知前附表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AD86D60F852E42399F5D391AEA2A490B_13</vt:lpwstr>
  </property>
  <property fmtid="{D5CDD505-2E9C-101B-9397-08002B2CF9AE}" pid="4" name="commondata">
    <vt:lpwstr>eyJoZGlkIjoiZWUxN2ZiMGIxMTZkNGFhNjkyYzE1MDI1NWEzOTY3YzIifQ==</vt:lpwstr>
  </property>
</Properties>
</file>