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auto"/>
        <w:rPr>
          <w:rFonts w:hint="eastAsia" w:asciiTheme="minorEastAsia" w:hAnsiTheme="minorEastAsia" w:eastAsiaTheme="minorEastAsia" w:cstheme="minorEastAsia"/>
          <w:bCs/>
          <w:color w:val="000000"/>
          <w:sz w:val="52"/>
          <w:szCs w:val="52"/>
          <w:lang w:eastAsia="zh-CN"/>
        </w:rPr>
      </w:pPr>
      <w:bookmarkStart w:id="1165" w:name="_GoBack"/>
      <w:bookmarkEnd w:id="1165"/>
    </w:p>
    <w:p>
      <w:pPr>
        <w:widowControl/>
        <w:jc w:val="center"/>
        <w:textAlignment w:val="auto"/>
        <w:rPr>
          <w:rFonts w:hint="eastAsia" w:asciiTheme="minorEastAsia" w:hAnsiTheme="minorEastAsia" w:eastAsiaTheme="minorEastAsia" w:cstheme="minorEastAsia"/>
          <w:b/>
          <w:bCs w:val="0"/>
          <w:color w:val="000000"/>
          <w:sz w:val="52"/>
          <w:szCs w:val="52"/>
          <w:lang w:eastAsia="zh-CN"/>
        </w:rPr>
      </w:pPr>
      <w:r>
        <w:rPr>
          <w:rFonts w:hint="eastAsia" w:asciiTheme="minorEastAsia" w:hAnsiTheme="minorEastAsia" w:eastAsiaTheme="minorEastAsia" w:cstheme="minorEastAsia"/>
          <w:b/>
          <w:bCs w:val="0"/>
          <w:color w:val="000000"/>
          <w:sz w:val="52"/>
          <w:szCs w:val="52"/>
          <w:lang w:eastAsia="zh-CN"/>
        </w:rPr>
        <w:t>喀什市伯什克然木乡商铺建设项目</w:t>
      </w:r>
    </w:p>
    <w:p>
      <w:pPr>
        <w:widowControl/>
        <w:jc w:val="center"/>
        <w:textAlignment w:val="auto"/>
        <w:rPr>
          <w:rFonts w:hint="eastAsia" w:asciiTheme="minorEastAsia" w:hAnsiTheme="minorEastAsia" w:eastAsiaTheme="minorEastAsia" w:cstheme="minorEastAsia"/>
          <w:bCs/>
          <w:color w:val="000000"/>
          <w:sz w:val="52"/>
          <w:szCs w:val="52"/>
          <w:lang w:eastAsia="zh-CN"/>
        </w:rPr>
      </w:pPr>
      <w:r>
        <w:rPr>
          <w:rFonts w:hint="eastAsia" w:asciiTheme="minorEastAsia" w:hAnsiTheme="minorEastAsia" w:eastAsiaTheme="minorEastAsia" w:cstheme="minorEastAsia"/>
          <w:b/>
          <w:bCs w:val="0"/>
          <w:color w:val="000000"/>
          <w:sz w:val="52"/>
          <w:szCs w:val="52"/>
          <w:lang w:eastAsia="zh-CN"/>
        </w:rPr>
        <w:t>竞争性磋商文件</w:t>
      </w:r>
    </w:p>
    <w:p>
      <w:pPr>
        <w:snapToGrid w:val="0"/>
        <w:jc w:val="center"/>
        <w:rPr>
          <w:rStyle w:val="28"/>
          <w:rFonts w:hint="eastAsia" w:asciiTheme="minorEastAsia" w:hAnsiTheme="minorEastAsia" w:eastAsiaTheme="minorEastAsia" w:cstheme="minorEastAsia"/>
          <w:color w:val="000000"/>
          <w:sz w:val="72"/>
          <w:lang w:val="en-US" w:eastAsia="zh-CN"/>
        </w:rPr>
      </w:pPr>
      <w:r>
        <w:rPr>
          <w:rStyle w:val="28"/>
          <w:rFonts w:hint="eastAsia" w:asciiTheme="minorEastAsia" w:hAnsiTheme="minorEastAsia" w:eastAsiaTheme="minorEastAsia" w:cstheme="minorEastAsia"/>
          <w:color w:val="000000"/>
          <w:sz w:val="72"/>
          <w:lang w:val="en-US" w:eastAsia="zh-CN"/>
        </w:rPr>
        <w:t xml:space="preserve">  </w:t>
      </w:r>
    </w:p>
    <w:p>
      <w:pPr>
        <w:snapToGrid w:val="0"/>
        <w:rPr>
          <w:rStyle w:val="28"/>
          <w:rFonts w:hint="eastAsia" w:asciiTheme="minorEastAsia" w:hAnsiTheme="minorEastAsia" w:eastAsiaTheme="minorEastAsia" w:cstheme="minorEastAsia"/>
          <w:color w:val="000000"/>
          <w:sz w:val="72"/>
        </w:rPr>
      </w:pPr>
    </w:p>
    <w:p>
      <w:pPr>
        <w:widowControl/>
        <w:jc w:val="center"/>
        <w:rPr>
          <w:rFonts w:hint="eastAsia" w:asciiTheme="minorEastAsia" w:hAnsiTheme="minorEastAsia" w:eastAsiaTheme="minorEastAsia" w:cstheme="minorEastAsia"/>
          <w:b/>
          <w:bCs/>
          <w:kern w:val="0"/>
          <w:sz w:val="32"/>
          <w:szCs w:val="32"/>
          <w:highlight w:val="yellow"/>
        </w:rPr>
      </w:pPr>
      <w:r>
        <w:rPr>
          <w:rFonts w:hint="eastAsia" w:asciiTheme="minorEastAsia" w:hAnsiTheme="minorEastAsia" w:eastAsiaTheme="minorEastAsia" w:cstheme="minorEastAsia"/>
          <w:b/>
          <w:bCs/>
          <w:kern w:val="0"/>
          <w:sz w:val="32"/>
          <w:szCs w:val="32"/>
        </w:rPr>
        <w:t>（项目编号：</w:t>
      </w:r>
      <w:r>
        <w:rPr>
          <w:rFonts w:hint="eastAsia" w:asciiTheme="minorEastAsia" w:hAnsiTheme="minorEastAsia" w:eastAsiaTheme="minorEastAsia" w:cstheme="minorEastAsia"/>
          <w:b/>
          <w:bCs/>
          <w:kern w:val="0"/>
          <w:sz w:val="32"/>
          <w:szCs w:val="32"/>
          <w:lang w:val="en-US" w:eastAsia="zh-CN"/>
        </w:rPr>
        <w:t>XJZY</w:t>
      </w:r>
      <w:r>
        <w:rPr>
          <w:rFonts w:hint="eastAsia" w:asciiTheme="minorEastAsia" w:hAnsiTheme="minorEastAsia" w:eastAsiaTheme="minorEastAsia" w:cstheme="minorEastAsia"/>
          <w:b/>
          <w:bCs/>
          <w:kern w:val="0"/>
          <w:sz w:val="32"/>
          <w:szCs w:val="32"/>
          <w:highlight w:val="none"/>
          <w:lang w:eastAsia="zh-CN"/>
        </w:rPr>
        <w:t>-</w:t>
      </w:r>
      <w:r>
        <w:rPr>
          <w:rFonts w:hint="eastAsia" w:asciiTheme="minorEastAsia" w:hAnsiTheme="minorEastAsia" w:eastAsiaTheme="minorEastAsia" w:cstheme="minorEastAsia"/>
          <w:b/>
          <w:bCs/>
          <w:kern w:val="0"/>
          <w:sz w:val="32"/>
          <w:szCs w:val="32"/>
          <w:highlight w:val="none"/>
          <w:lang w:val="en-US" w:eastAsia="zh-CN"/>
        </w:rPr>
        <w:t>KS</w:t>
      </w:r>
      <w:r>
        <w:rPr>
          <w:rFonts w:hint="eastAsia" w:asciiTheme="minorEastAsia" w:hAnsiTheme="minorEastAsia" w:eastAsiaTheme="minorEastAsia" w:cstheme="minorEastAsia"/>
          <w:b/>
          <w:bCs/>
          <w:kern w:val="0"/>
          <w:sz w:val="32"/>
          <w:szCs w:val="32"/>
          <w:highlight w:val="none"/>
          <w:lang w:eastAsia="zh-CN"/>
        </w:rPr>
        <w:t>23(</w:t>
      </w:r>
      <w:r>
        <w:rPr>
          <w:rFonts w:hint="eastAsia" w:asciiTheme="minorEastAsia" w:hAnsiTheme="minorEastAsia" w:eastAsiaTheme="minorEastAsia" w:cstheme="minorEastAsia"/>
          <w:b/>
          <w:bCs/>
          <w:kern w:val="0"/>
          <w:sz w:val="32"/>
          <w:szCs w:val="32"/>
          <w:highlight w:val="none"/>
          <w:lang w:val="en-US" w:eastAsia="zh-CN"/>
        </w:rPr>
        <w:t>CS</w:t>
      </w:r>
      <w:r>
        <w:rPr>
          <w:rFonts w:hint="eastAsia" w:asciiTheme="minorEastAsia" w:hAnsiTheme="minorEastAsia" w:eastAsiaTheme="minorEastAsia" w:cstheme="minorEastAsia"/>
          <w:b/>
          <w:bCs/>
          <w:kern w:val="0"/>
          <w:sz w:val="32"/>
          <w:szCs w:val="32"/>
          <w:highlight w:val="none"/>
          <w:lang w:eastAsia="zh-CN"/>
        </w:rPr>
        <w:t>)-00</w:t>
      </w:r>
      <w:r>
        <w:rPr>
          <w:rFonts w:hint="eastAsia" w:asciiTheme="minorEastAsia" w:hAnsiTheme="minorEastAsia" w:eastAsiaTheme="minorEastAsia" w:cstheme="minorEastAsia"/>
          <w:b/>
          <w:bCs/>
          <w:kern w:val="0"/>
          <w:sz w:val="32"/>
          <w:szCs w:val="32"/>
          <w:highlight w:val="none"/>
          <w:lang w:val="en-US" w:eastAsia="zh-CN"/>
        </w:rPr>
        <w:t>3</w:t>
      </w:r>
      <w:r>
        <w:rPr>
          <w:rFonts w:hint="eastAsia" w:asciiTheme="minorEastAsia" w:hAnsiTheme="minorEastAsia" w:eastAsiaTheme="minorEastAsia" w:cstheme="minorEastAsia"/>
          <w:b/>
          <w:bCs/>
          <w:kern w:val="0"/>
          <w:sz w:val="32"/>
          <w:szCs w:val="32"/>
          <w:highlight w:val="none"/>
        </w:rPr>
        <w:t>）</w:t>
      </w:r>
    </w:p>
    <w:p>
      <w:pPr>
        <w:spacing w:line="240" w:lineRule="atLeast"/>
        <w:ind w:left="1079" w:leftChars="257" w:hanging="54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32"/>
          <w:szCs w:val="32"/>
        </w:rPr>
        <w:t xml:space="preserve"> </w:t>
      </w:r>
    </w:p>
    <w:p>
      <w:pPr>
        <w:spacing w:line="240" w:lineRule="atLeast"/>
        <w:ind w:left="1079" w:leftChars="257" w:hanging="540"/>
        <w:jc w:val="center"/>
        <w:rPr>
          <w:rFonts w:hint="eastAsia" w:asciiTheme="minorEastAsia" w:hAnsiTheme="minorEastAsia" w:eastAsiaTheme="minorEastAsia" w:cstheme="minorEastAsia"/>
          <w:b/>
          <w:sz w:val="32"/>
          <w:szCs w:val="32"/>
        </w:rPr>
      </w:pPr>
    </w:p>
    <w:p>
      <w:pPr>
        <w:spacing w:line="240" w:lineRule="atLeast"/>
        <w:ind w:left="1079" w:leftChars="257" w:hanging="540"/>
        <w:rPr>
          <w:rFonts w:hint="eastAsia" w:asciiTheme="minorEastAsia" w:hAnsiTheme="minorEastAsia" w:eastAsiaTheme="minorEastAsia" w:cstheme="minorEastAsia"/>
          <w:b/>
          <w:sz w:val="28"/>
        </w:rPr>
      </w:pPr>
    </w:p>
    <w:p>
      <w:pPr>
        <w:spacing w:line="240" w:lineRule="atLeast"/>
        <w:ind w:left="1079" w:leftChars="257" w:hanging="540"/>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第一册</w:t>
      </w:r>
    </w:p>
    <w:p>
      <w:pPr>
        <w:spacing w:line="240" w:lineRule="atLeast"/>
        <w:ind w:left="1079" w:leftChars="257" w:hanging="540"/>
        <w:jc w:val="center"/>
        <w:rPr>
          <w:rFonts w:hint="eastAsia" w:asciiTheme="minorEastAsia" w:hAnsiTheme="minorEastAsia" w:eastAsiaTheme="minorEastAsia" w:cstheme="minorEastAsia"/>
          <w:b/>
          <w:sz w:val="52"/>
        </w:rPr>
      </w:pPr>
    </w:p>
    <w:p>
      <w:pPr>
        <w:spacing w:line="240" w:lineRule="atLeast"/>
        <w:ind w:left="1079" w:leftChars="257" w:hanging="540"/>
        <w:jc w:val="center"/>
        <w:rPr>
          <w:rFonts w:hint="eastAsia" w:asciiTheme="minorEastAsia" w:hAnsiTheme="minorEastAsia" w:eastAsiaTheme="minorEastAsia" w:cstheme="minorEastAsia"/>
          <w:b/>
          <w:sz w:val="52"/>
        </w:rPr>
      </w:pPr>
    </w:p>
    <w:p>
      <w:pPr>
        <w:spacing w:line="580" w:lineRule="exact"/>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rPr>
        <w:t>采</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 xml:space="preserve"> 购 单 位：</w:t>
      </w:r>
      <w:r>
        <w:rPr>
          <w:rFonts w:hint="eastAsia" w:asciiTheme="minorEastAsia" w:hAnsiTheme="minorEastAsia" w:eastAsiaTheme="minorEastAsia" w:cstheme="minorEastAsia"/>
          <w:sz w:val="32"/>
          <w:szCs w:val="32"/>
          <w:lang w:eastAsia="zh-CN"/>
        </w:rPr>
        <w:t>喀什市伯什克然木乡人民政府</w:t>
      </w:r>
    </w:p>
    <w:p>
      <w:pPr>
        <w:spacing w:line="58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采购代理机构：</w:t>
      </w:r>
      <w:r>
        <w:rPr>
          <w:rFonts w:hint="eastAsia" w:asciiTheme="minorEastAsia" w:hAnsiTheme="minorEastAsia" w:eastAsiaTheme="minorEastAsia" w:cstheme="minorEastAsia"/>
          <w:sz w:val="32"/>
          <w:szCs w:val="32"/>
          <w:lang w:eastAsia="zh-CN"/>
        </w:rPr>
        <w:t>新疆展毓工程咨询有限公司</w:t>
      </w:r>
      <w:r>
        <w:rPr>
          <w:rFonts w:hint="eastAsia" w:asciiTheme="minorEastAsia" w:hAnsiTheme="minorEastAsia" w:eastAsiaTheme="minorEastAsia" w:cstheme="minorEastAsia"/>
          <w:sz w:val="32"/>
          <w:szCs w:val="32"/>
        </w:rPr>
        <w:t xml:space="preserve">  </w:t>
      </w:r>
    </w:p>
    <w:p>
      <w:pPr>
        <w:spacing w:line="580" w:lineRule="exact"/>
        <w:ind w:firstLine="640" w:firstLineChars="200"/>
        <w:rPr>
          <w:rFonts w:hint="eastAsia" w:asciiTheme="minorEastAsia" w:hAnsiTheme="minorEastAsia" w:eastAsiaTheme="minorEastAsia" w:cstheme="minorEastAsia"/>
          <w:sz w:val="32"/>
          <w:szCs w:val="32"/>
          <w:highlight w:val="yellow"/>
        </w:rPr>
      </w:pPr>
      <w:r>
        <w:rPr>
          <w:rFonts w:hint="eastAsia" w:asciiTheme="minorEastAsia" w:hAnsiTheme="minorEastAsia" w:eastAsiaTheme="minorEastAsia" w:cstheme="minorEastAsia"/>
          <w:b/>
          <w:bCs/>
          <w:sz w:val="32"/>
          <w:szCs w:val="32"/>
        </w:rPr>
        <w:t>发</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出</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日</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期：</w:t>
      </w:r>
      <w:r>
        <w:rPr>
          <w:rFonts w:hint="eastAsia" w:asciiTheme="minorEastAsia" w:hAnsiTheme="minorEastAsia" w:eastAsiaTheme="minorEastAsia" w:cstheme="minorEastAsia"/>
          <w:sz w:val="32"/>
          <w:szCs w:val="32"/>
          <w:highlight w:val="none"/>
        </w:rPr>
        <w:t>202</w:t>
      </w:r>
      <w:r>
        <w:rPr>
          <w:rFonts w:hint="eastAsia" w:asciiTheme="minorEastAsia" w:hAnsiTheme="minorEastAsia" w:eastAsia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07</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03</w:t>
      </w:r>
      <w:r>
        <w:rPr>
          <w:rFonts w:hint="eastAsia" w:asciiTheme="minorEastAsia" w:hAnsiTheme="minorEastAsia" w:eastAsiaTheme="minorEastAsia" w:cstheme="minorEastAsia"/>
          <w:color w:val="auto"/>
          <w:sz w:val="32"/>
          <w:szCs w:val="32"/>
          <w:highlight w:val="none"/>
        </w:rPr>
        <w:t>日</w:t>
      </w:r>
    </w:p>
    <w:p>
      <w:pPr>
        <w:pStyle w:val="9"/>
        <w:rPr>
          <w:rFonts w:hint="eastAsia" w:asciiTheme="minorEastAsia" w:hAnsiTheme="minorEastAsia" w:eastAsiaTheme="minorEastAsia" w:cstheme="minorEastAsia"/>
          <w:color w:val="auto"/>
          <w:highlight w:val="none"/>
        </w:rPr>
      </w:pPr>
    </w:p>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2"/>
          <w:szCs w:val="40"/>
          <w:highlight w:val="none"/>
        </w:rPr>
        <w:sectPr>
          <w:footerReference r:id="rId3" w:type="default"/>
          <w:pgSz w:w="11906" w:h="16838"/>
          <w:pgMar w:top="1440" w:right="1080" w:bottom="1440" w:left="1080" w:header="851" w:footer="992" w:gutter="0"/>
          <w:pgNumType w:fmt="numberInDash"/>
          <w:cols w:space="720" w:num="1"/>
          <w:docGrid w:type="linesAndChars" w:linePitch="312" w:charSpace="0"/>
        </w:sectPr>
      </w:pPr>
      <w:bookmarkStart w:id="0" w:name="_Toc1884"/>
      <w:bookmarkStart w:id="1" w:name="_Toc15439"/>
      <w:bookmarkStart w:id="2" w:name="_Toc216582804"/>
      <w:bookmarkStart w:id="3" w:name="_Toc518923059"/>
      <w:bookmarkStart w:id="4" w:name="_Toc20531"/>
      <w:bookmarkStart w:id="5" w:name="_Toc1949"/>
    </w:p>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2"/>
          <w:szCs w:val="40"/>
          <w:highlight w:val="yellow"/>
          <w:lang w:val="en-US" w:eastAsia="zh-CN"/>
        </w:rPr>
      </w:pPr>
      <w:r>
        <w:rPr>
          <w:rFonts w:hint="eastAsia" w:asciiTheme="minorEastAsia" w:hAnsiTheme="minorEastAsia" w:eastAsiaTheme="minorEastAsia" w:cstheme="minorEastAsia"/>
          <w:b/>
          <w:bCs/>
          <w:color w:val="auto"/>
          <w:sz w:val="32"/>
          <w:szCs w:val="40"/>
          <w:highlight w:val="none"/>
        </w:rPr>
        <w:t>目</w:t>
      </w:r>
      <w:r>
        <w:rPr>
          <w:rFonts w:hint="eastAsia" w:asciiTheme="minorEastAsia" w:hAnsiTheme="minorEastAsia" w:eastAsiaTheme="minorEastAsia" w:cstheme="minorEastAsia"/>
          <w:b/>
          <w:bCs/>
          <w:color w:val="auto"/>
          <w:sz w:val="32"/>
          <w:szCs w:val="40"/>
          <w:highlight w:val="none"/>
          <w:lang w:val="en-US" w:eastAsia="zh-CN"/>
        </w:rPr>
        <w:t xml:space="preserve">  </w:t>
      </w:r>
      <w:r>
        <w:rPr>
          <w:rFonts w:hint="eastAsia" w:asciiTheme="minorEastAsia" w:hAnsiTheme="minorEastAsia" w:eastAsiaTheme="minorEastAsia" w:cstheme="minorEastAsia"/>
          <w:b/>
          <w:bCs/>
          <w:color w:val="auto"/>
          <w:sz w:val="32"/>
          <w:szCs w:val="40"/>
          <w:highlight w:val="none"/>
        </w:rPr>
        <w:t>录</w:t>
      </w:r>
      <w:r>
        <w:rPr>
          <w:rFonts w:hint="eastAsia" w:asciiTheme="minorEastAsia" w:hAnsiTheme="minorEastAsia" w:eastAsiaTheme="minorEastAsia" w:cstheme="minorEastAsia"/>
          <w:b/>
          <w:bCs/>
          <w:color w:val="auto"/>
          <w:sz w:val="32"/>
          <w:szCs w:val="40"/>
          <w:highlight w:val="none"/>
          <w:lang w:val="en-US" w:eastAsia="zh-CN"/>
        </w:rPr>
        <w:t xml:space="preserve"> </w:t>
      </w:r>
    </w:p>
    <w:p>
      <w:pPr>
        <w:pStyle w:val="2"/>
        <w:rPr>
          <w:rFonts w:hint="eastAsia" w:asciiTheme="minorEastAsia" w:hAnsiTheme="minorEastAsia" w:eastAsiaTheme="minorEastAsia" w:cstheme="minorEastAsia"/>
        </w:rPr>
      </w:pPr>
    </w:p>
    <w:p>
      <w:pPr>
        <w:pStyle w:val="29"/>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TOC \o "1-2" \h \u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_Toc19223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rPr>
        <w:t>第</w:t>
      </w:r>
      <w:r>
        <w:rPr>
          <w:rFonts w:hint="eastAsia" w:asciiTheme="minorEastAsia" w:hAnsiTheme="minorEastAsia" w:eastAsiaTheme="minorEastAsia" w:cstheme="minorEastAsia"/>
          <w:b w:val="0"/>
          <w:bCs/>
          <w:color w:val="auto"/>
          <w:sz w:val="22"/>
          <w:szCs w:val="22"/>
          <w:highlight w:val="none"/>
          <w:lang w:val="en-US" w:eastAsia="zh-CN"/>
        </w:rPr>
        <w:t>1</w:t>
      </w:r>
      <w:r>
        <w:rPr>
          <w:rFonts w:hint="eastAsia" w:asciiTheme="minorEastAsia" w:hAnsiTheme="minorEastAsia" w:eastAsiaTheme="minorEastAsia" w:cstheme="minorEastAsia"/>
          <w:b w:val="0"/>
          <w:bCs/>
          <w:color w:val="auto"/>
          <w:sz w:val="22"/>
          <w:szCs w:val="22"/>
          <w:highlight w:val="none"/>
          <w:lang w:val="en-US"/>
        </w:rPr>
        <w:t xml:space="preserve">章 </w:t>
      </w:r>
      <w:r>
        <w:rPr>
          <w:rFonts w:hint="eastAsia" w:asciiTheme="minorEastAsia" w:hAnsiTheme="minorEastAsia" w:eastAsiaTheme="minorEastAsia" w:cstheme="minorEastAsia"/>
          <w:b w:val="0"/>
          <w:bCs/>
          <w:color w:val="auto"/>
          <w:sz w:val="22"/>
          <w:szCs w:val="22"/>
          <w:highlight w:val="none"/>
        </w:rPr>
        <w:t>投标人须知</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_Toc19223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1</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_Toc8784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一   总  则</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_Toc8784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1</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_Toc20661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 xml:space="preserve">二   </w:t>
      </w:r>
      <w:r>
        <w:rPr>
          <w:rFonts w:hint="eastAsia" w:asciiTheme="minorEastAsia" w:hAnsiTheme="minorEastAsia" w:eastAsiaTheme="minorEastAsia" w:cstheme="minorEastAsia"/>
          <w:b w:val="0"/>
          <w:bCs/>
          <w:color w:val="auto"/>
          <w:sz w:val="22"/>
          <w:szCs w:val="22"/>
          <w:highlight w:val="none"/>
          <w:lang w:eastAsia="zh-CN"/>
        </w:rPr>
        <w:t>磋商</w:t>
      </w:r>
      <w:r>
        <w:rPr>
          <w:rFonts w:hint="eastAsia" w:asciiTheme="minorEastAsia" w:hAnsiTheme="minorEastAsia" w:eastAsiaTheme="minorEastAsia" w:cstheme="minorEastAsia"/>
          <w:b w:val="0"/>
          <w:bCs/>
          <w:color w:val="auto"/>
          <w:sz w:val="22"/>
          <w:szCs w:val="22"/>
          <w:highlight w:val="none"/>
        </w:rPr>
        <w:t>文件</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_Toc20661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2</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_Toc1545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 xml:space="preserve">三   </w:t>
      </w:r>
      <w:r>
        <w:rPr>
          <w:rFonts w:hint="eastAsia" w:asciiTheme="minorEastAsia" w:hAnsiTheme="minorEastAsia" w:eastAsiaTheme="minorEastAsia" w:cstheme="minorEastAsia"/>
          <w:b w:val="0"/>
          <w:bCs/>
          <w:color w:val="auto"/>
          <w:sz w:val="22"/>
          <w:szCs w:val="22"/>
          <w:highlight w:val="none"/>
          <w:lang w:eastAsia="zh-CN"/>
        </w:rPr>
        <w:t>响应文件</w:t>
      </w:r>
      <w:r>
        <w:rPr>
          <w:rFonts w:hint="eastAsia" w:asciiTheme="minorEastAsia" w:hAnsiTheme="minorEastAsia" w:eastAsiaTheme="minorEastAsia" w:cstheme="minorEastAsia"/>
          <w:b w:val="0"/>
          <w:bCs/>
          <w:color w:val="auto"/>
          <w:sz w:val="22"/>
          <w:szCs w:val="22"/>
          <w:highlight w:val="none"/>
        </w:rPr>
        <w:t>的编制</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_Toc1545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3</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_Toc20086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 xml:space="preserve">四   </w:t>
      </w:r>
      <w:r>
        <w:rPr>
          <w:rFonts w:hint="eastAsia" w:asciiTheme="minorEastAsia" w:hAnsiTheme="minorEastAsia" w:eastAsiaTheme="minorEastAsia" w:cstheme="minorEastAsia"/>
          <w:b w:val="0"/>
          <w:bCs/>
          <w:color w:val="auto"/>
          <w:sz w:val="22"/>
          <w:szCs w:val="22"/>
          <w:highlight w:val="none"/>
          <w:lang w:eastAsia="zh-CN"/>
        </w:rPr>
        <w:t>响应文件</w:t>
      </w:r>
      <w:r>
        <w:rPr>
          <w:rFonts w:hint="eastAsia" w:asciiTheme="minorEastAsia" w:hAnsiTheme="minorEastAsia" w:eastAsiaTheme="minorEastAsia" w:cstheme="minorEastAsia"/>
          <w:b w:val="0"/>
          <w:bCs/>
          <w:color w:val="auto"/>
          <w:sz w:val="22"/>
          <w:szCs w:val="22"/>
          <w:highlight w:val="none"/>
        </w:rPr>
        <w:t>的递交</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_Toc20086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5</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_Toc32287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五   开标及评标</w:t>
      </w:r>
      <w:r>
        <w:rPr>
          <w:rFonts w:hint="eastAsia" w:asciiTheme="minorEastAsia" w:hAnsiTheme="minorEastAsia" w:eastAsiaTheme="minorEastAsia" w:cstheme="minorEastAsia"/>
          <w:b w:val="0"/>
          <w:bCs/>
          <w:color w:val="auto"/>
          <w:sz w:val="22"/>
          <w:szCs w:val="22"/>
          <w:highlight w:val="none"/>
          <w:lang w:eastAsia="zh-CN"/>
        </w:rPr>
        <w:t>（</w:t>
      </w:r>
      <w:r>
        <w:rPr>
          <w:rFonts w:hint="eastAsia" w:asciiTheme="minorEastAsia" w:hAnsiTheme="minorEastAsia" w:eastAsiaTheme="minorEastAsia" w:cstheme="minorEastAsia"/>
          <w:b w:val="0"/>
          <w:bCs/>
          <w:color w:val="auto"/>
          <w:sz w:val="22"/>
          <w:szCs w:val="22"/>
          <w:highlight w:val="none"/>
          <w:lang w:val="en-US" w:eastAsia="zh-CN"/>
        </w:rPr>
        <w:t>磋商</w:t>
      </w:r>
      <w:r>
        <w:rPr>
          <w:rFonts w:hint="eastAsia" w:asciiTheme="minorEastAsia" w:hAnsiTheme="minorEastAsia" w:eastAsiaTheme="minorEastAsia" w:cstheme="minorEastAsia"/>
          <w:b w:val="0"/>
          <w:bCs/>
          <w:color w:val="auto"/>
          <w:sz w:val="22"/>
          <w:szCs w:val="22"/>
          <w:highlight w:val="none"/>
          <w:lang w:eastAsia="zh-CN"/>
        </w:rPr>
        <w:t>）</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_Toc32287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6</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_Toc19909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六   确定中标</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_Toc19909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8</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_Toc2174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附件1：履约保证金保函（格式）</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_Toc2174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13</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_Toc28870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附件2：履约担保函格式</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_Toc28870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14</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29"/>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_Toc1881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rPr>
        <w:t>第</w:t>
      </w:r>
      <w:r>
        <w:rPr>
          <w:rFonts w:hint="eastAsia" w:asciiTheme="minorEastAsia" w:hAnsiTheme="minorEastAsia" w:eastAsiaTheme="minorEastAsia" w:cstheme="minorEastAsia"/>
          <w:b w:val="0"/>
          <w:bCs/>
          <w:color w:val="auto"/>
          <w:sz w:val="22"/>
          <w:szCs w:val="22"/>
          <w:highlight w:val="none"/>
          <w:lang w:val="en-US" w:eastAsia="zh-CN"/>
        </w:rPr>
        <w:t>2</w:t>
      </w:r>
      <w:r>
        <w:rPr>
          <w:rFonts w:hint="eastAsia" w:asciiTheme="minorEastAsia" w:hAnsiTheme="minorEastAsia" w:eastAsiaTheme="minorEastAsia" w:cstheme="minorEastAsia"/>
          <w:b w:val="0"/>
          <w:bCs/>
          <w:color w:val="auto"/>
          <w:sz w:val="22"/>
          <w:szCs w:val="22"/>
          <w:highlight w:val="none"/>
          <w:lang w:val="en-US"/>
        </w:rPr>
        <w:t xml:space="preserve">章 </w:t>
      </w:r>
      <w:r>
        <w:rPr>
          <w:rFonts w:hint="eastAsia" w:asciiTheme="minorEastAsia" w:hAnsiTheme="minorEastAsia" w:eastAsiaTheme="minorEastAsia" w:cstheme="minorEastAsia"/>
          <w:b w:val="0"/>
          <w:bCs/>
          <w:color w:val="auto"/>
          <w:sz w:val="22"/>
          <w:szCs w:val="22"/>
          <w:highlight w:val="none"/>
          <w:lang w:val="en-US" w:eastAsia="zh-CN"/>
        </w:rPr>
        <w:t>响应</w:t>
      </w:r>
      <w:r>
        <w:rPr>
          <w:rFonts w:hint="eastAsia" w:asciiTheme="minorEastAsia" w:hAnsiTheme="minorEastAsia" w:eastAsiaTheme="minorEastAsia" w:cstheme="minorEastAsia"/>
          <w:b w:val="0"/>
          <w:bCs/>
          <w:color w:val="auto"/>
          <w:sz w:val="22"/>
          <w:szCs w:val="22"/>
          <w:highlight w:val="none"/>
        </w:rPr>
        <w:t>文件格式</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_Toc1881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16</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_Toc16610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eastAsia="zh-CN"/>
        </w:rPr>
        <w:t>1、</w:t>
      </w:r>
      <w:r>
        <w:rPr>
          <w:rFonts w:hint="eastAsia" w:asciiTheme="minorEastAsia" w:hAnsiTheme="minorEastAsia" w:eastAsiaTheme="minorEastAsia" w:cstheme="minorEastAsia"/>
          <w:b w:val="0"/>
          <w:bCs/>
          <w:color w:val="auto"/>
          <w:sz w:val="22"/>
          <w:szCs w:val="22"/>
          <w:highlight w:val="none"/>
        </w:rPr>
        <w:t>开标一览表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_Toc16610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17</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2、磋商申请及附录</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18</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_Toc6540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eastAsia="zh-CN"/>
        </w:rPr>
        <w:t>3、法定代表人身份证明、授权委托书</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_Toc6540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20</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lang w:val="en-US" w:eastAsia="zh-CN"/>
        </w:rPr>
        <w:t>4、</w:t>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_Toc8750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eastAsia="zh-CN"/>
        </w:rPr>
        <w:t>磋商保证金</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_Toc8750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21</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_Toc26564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5、项目管理机构</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_Toc26564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23</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5.1项目管理机构人员组成表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23</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5.2主要人员简历表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24</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5.2.1项目经理简历表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24</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5.2.2主要项目管理人员简历表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25</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6、资格审查资料</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26</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6.1投标人基本情况表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26</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6.2近年财务状况表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26</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6.3近3年完成的类似项目情况表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27</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6.4正在施工的和新承建的项目情况表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28</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6.5近3年发生的诉讼及仲裁情况</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29</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6.6企业其他信誉情况</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29</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7、《中小企业声明函》</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30</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8、其他需要提供的证明文件</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31</w:t>
      </w:r>
    </w:p>
    <w:p>
      <w:pPr>
        <w:pStyle w:val="30"/>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9、已标价的工程量清单</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32</w:t>
      </w:r>
    </w:p>
    <w:p>
      <w:pPr>
        <w:pStyle w:val="29"/>
        <w:tabs>
          <w:tab w:val="right" w:leader="dot" w:pos="9746"/>
        </w:tabs>
        <w:ind w:firstLine="440" w:firstLineChars="200"/>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lang w:val="en-US" w:eastAsia="zh-CN"/>
        </w:rPr>
        <w:t>10、技术文件</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33</w:t>
      </w:r>
    </w:p>
    <w:p>
      <w:pPr>
        <w:pStyle w:val="29"/>
        <w:tabs>
          <w:tab w:val="right" w:leader="dot" w:pos="9746"/>
        </w:tabs>
        <w:rPr>
          <w:rFonts w:hint="eastAsia" w:asciiTheme="minorEastAsia" w:hAnsiTheme="minorEastAsia" w:eastAsiaTheme="minorEastAsia" w:cstheme="minorEastAsia"/>
          <w:b w:val="0"/>
          <w:bCs/>
          <w:color w:val="auto"/>
          <w:sz w:val="22"/>
          <w:szCs w:val="22"/>
          <w:highlight w:val="none"/>
          <w:lang w:val="en-US" w:eastAsia="zh-CN"/>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_Toc4579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rPr>
        <w:t>第</w:t>
      </w:r>
      <w:r>
        <w:rPr>
          <w:rFonts w:hint="eastAsia" w:asciiTheme="minorEastAsia" w:hAnsiTheme="minorEastAsia" w:eastAsiaTheme="minorEastAsia" w:cstheme="minorEastAsia"/>
          <w:b w:val="0"/>
          <w:bCs/>
          <w:color w:val="auto"/>
          <w:sz w:val="22"/>
          <w:szCs w:val="22"/>
          <w:highlight w:val="none"/>
          <w:lang w:val="en-US" w:eastAsia="zh-CN"/>
        </w:rPr>
        <w:t>3</w:t>
      </w:r>
      <w:r>
        <w:rPr>
          <w:rFonts w:hint="eastAsia" w:asciiTheme="minorEastAsia" w:hAnsiTheme="minorEastAsia" w:eastAsiaTheme="minorEastAsia" w:cstheme="minorEastAsia"/>
          <w:b w:val="0"/>
          <w:bCs/>
          <w:color w:val="auto"/>
          <w:sz w:val="22"/>
          <w:szCs w:val="22"/>
          <w:highlight w:val="none"/>
          <w:lang w:val="en-US"/>
        </w:rPr>
        <w:t xml:space="preserve">章 </w:t>
      </w:r>
      <w:r>
        <w:rPr>
          <w:rFonts w:hint="eastAsia" w:asciiTheme="minorEastAsia" w:hAnsiTheme="minorEastAsia" w:eastAsiaTheme="minorEastAsia" w:cstheme="minorEastAsia"/>
          <w:b w:val="0"/>
          <w:bCs/>
          <w:color w:val="auto"/>
          <w:sz w:val="22"/>
          <w:szCs w:val="22"/>
          <w:highlight w:val="none"/>
        </w:rPr>
        <w:t>投标邀请</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lang w:val="en-US" w:eastAsia="zh-CN"/>
        </w:rPr>
        <w:t>3</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lang w:val="en-US" w:eastAsia="zh-CN"/>
        </w:rPr>
        <w:t>5</w:t>
      </w:r>
    </w:p>
    <w:p>
      <w:pPr>
        <w:pStyle w:val="29"/>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_Toc5397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rPr>
        <w:t>第</w:t>
      </w:r>
      <w:r>
        <w:rPr>
          <w:rFonts w:hint="eastAsia" w:asciiTheme="minorEastAsia" w:hAnsiTheme="minorEastAsia" w:eastAsiaTheme="minorEastAsia" w:cstheme="minorEastAsia"/>
          <w:b w:val="0"/>
          <w:bCs/>
          <w:color w:val="auto"/>
          <w:sz w:val="22"/>
          <w:szCs w:val="22"/>
          <w:highlight w:val="none"/>
          <w:lang w:val="en-US" w:eastAsia="zh-CN"/>
        </w:rPr>
        <w:t>4</w:t>
      </w:r>
      <w:r>
        <w:rPr>
          <w:rFonts w:hint="eastAsia" w:asciiTheme="minorEastAsia" w:hAnsiTheme="minorEastAsia" w:eastAsiaTheme="minorEastAsia" w:cstheme="minorEastAsia"/>
          <w:b w:val="0"/>
          <w:bCs/>
          <w:color w:val="auto"/>
          <w:sz w:val="22"/>
          <w:szCs w:val="22"/>
          <w:highlight w:val="none"/>
          <w:lang w:val="en-US"/>
        </w:rPr>
        <w:t xml:space="preserve">章 </w:t>
      </w:r>
      <w:r>
        <w:rPr>
          <w:rFonts w:hint="eastAsia" w:asciiTheme="minorEastAsia" w:hAnsiTheme="minorEastAsia" w:eastAsiaTheme="minorEastAsia" w:cstheme="minorEastAsia"/>
          <w:b w:val="0"/>
          <w:bCs/>
          <w:color w:val="auto"/>
          <w:sz w:val="22"/>
          <w:szCs w:val="22"/>
          <w:highlight w:val="none"/>
        </w:rPr>
        <w:t>投标人须知资料表</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_Toc5397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38</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29"/>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_Toc5197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rPr>
        <w:t>第</w:t>
      </w:r>
      <w:r>
        <w:rPr>
          <w:rFonts w:hint="eastAsia" w:asciiTheme="minorEastAsia" w:hAnsiTheme="minorEastAsia" w:eastAsiaTheme="minorEastAsia" w:cstheme="minorEastAsia"/>
          <w:b w:val="0"/>
          <w:bCs/>
          <w:color w:val="auto"/>
          <w:sz w:val="22"/>
          <w:szCs w:val="22"/>
          <w:highlight w:val="none"/>
          <w:lang w:val="en-US" w:eastAsia="zh-CN"/>
        </w:rPr>
        <w:t>5</w:t>
      </w:r>
      <w:r>
        <w:rPr>
          <w:rFonts w:hint="eastAsia" w:asciiTheme="minorEastAsia" w:hAnsiTheme="minorEastAsia" w:eastAsiaTheme="minorEastAsia" w:cstheme="minorEastAsia"/>
          <w:b w:val="0"/>
          <w:bCs/>
          <w:color w:val="auto"/>
          <w:sz w:val="22"/>
          <w:szCs w:val="22"/>
          <w:highlight w:val="none"/>
          <w:lang w:val="en-US"/>
        </w:rPr>
        <w:t xml:space="preserve">章 </w:t>
      </w:r>
      <w:r>
        <w:rPr>
          <w:rFonts w:hint="eastAsia" w:asciiTheme="minorEastAsia" w:hAnsiTheme="minorEastAsia" w:eastAsiaTheme="minorEastAsia" w:cstheme="minorEastAsia"/>
          <w:b w:val="0"/>
          <w:bCs/>
          <w:color w:val="auto"/>
          <w:sz w:val="22"/>
          <w:szCs w:val="22"/>
          <w:highlight w:val="none"/>
          <w:lang w:val="en-US" w:eastAsia="zh-CN"/>
        </w:rPr>
        <w:t>采购</w:t>
      </w:r>
      <w:r>
        <w:rPr>
          <w:rFonts w:hint="eastAsia" w:asciiTheme="minorEastAsia" w:hAnsiTheme="minorEastAsia" w:eastAsiaTheme="minorEastAsia" w:cstheme="minorEastAsia"/>
          <w:b w:val="0"/>
          <w:bCs/>
          <w:color w:val="auto"/>
          <w:sz w:val="22"/>
          <w:szCs w:val="22"/>
          <w:highlight w:val="none"/>
        </w:rPr>
        <w:t>需求</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_Toc5197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42</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29"/>
        <w:tabs>
          <w:tab w:val="right" w:leader="dot" w:pos="9746"/>
        </w:tabs>
        <w:rPr>
          <w:rFonts w:hint="eastAsia" w:asciiTheme="minorEastAsia" w:hAnsiTheme="minorEastAsia" w:eastAsiaTheme="minorEastAsia" w:cstheme="minorEastAsia"/>
          <w:b w:val="0"/>
          <w:bCs/>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_Toc17700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rPr>
        <w:t>第</w:t>
      </w:r>
      <w:r>
        <w:rPr>
          <w:rFonts w:hint="eastAsia" w:asciiTheme="minorEastAsia" w:hAnsiTheme="minorEastAsia" w:eastAsiaTheme="minorEastAsia" w:cstheme="minorEastAsia"/>
          <w:b w:val="0"/>
          <w:bCs/>
          <w:color w:val="auto"/>
          <w:sz w:val="22"/>
          <w:szCs w:val="22"/>
          <w:highlight w:val="none"/>
          <w:lang w:val="en-US" w:eastAsia="zh-CN"/>
        </w:rPr>
        <w:t>6</w:t>
      </w:r>
      <w:r>
        <w:rPr>
          <w:rFonts w:hint="eastAsia" w:asciiTheme="minorEastAsia" w:hAnsiTheme="minorEastAsia" w:eastAsiaTheme="minorEastAsia" w:cstheme="minorEastAsia"/>
          <w:b w:val="0"/>
          <w:bCs/>
          <w:color w:val="auto"/>
          <w:sz w:val="22"/>
          <w:szCs w:val="22"/>
          <w:highlight w:val="none"/>
          <w:lang w:val="en-US"/>
        </w:rPr>
        <w:t xml:space="preserve">章 </w:t>
      </w:r>
      <w:r>
        <w:rPr>
          <w:rFonts w:hint="eastAsia" w:asciiTheme="minorEastAsia" w:hAnsiTheme="minorEastAsia" w:eastAsiaTheme="minorEastAsia" w:cstheme="minorEastAsia"/>
          <w:b w:val="0"/>
          <w:bCs/>
          <w:color w:val="auto"/>
          <w:sz w:val="22"/>
          <w:szCs w:val="22"/>
          <w:highlight w:val="none"/>
        </w:rPr>
        <w:t>评标方法和标准</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_Toc17700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43</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29"/>
        <w:tabs>
          <w:tab w:val="right" w:leader="dot" w:pos="9746"/>
        </w:tabs>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HYPERLINK \l _Toc8997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lang w:val="en-US"/>
        </w:rPr>
        <w:t>第</w:t>
      </w:r>
      <w:r>
        <w:rPr>
          <w:rFonts w:hint="eastAsia" w:asciiTheme="minorEastAsia" w:hAnsiTheme="minorEastAsia" w:eastAsiaTheme="minorEastAsia" w:cstheme="minorEastAsia"/>
          <w:b w:val="0"/>
          <w:bCs/>
          <w:color w:val="auto"/>
          <w:sz w:val="22"/>
          <w:szCs w:val="22"/>
          <w:highlight w:val="none"/>
          <w:lang w:val="en-US" w:eastAsia="zh-CN"/>
        </w:rPr>
        <w:t>7</w:t>
      </w:r>
      <w:r>
        <w:rPr>
          <w:rFonts w:hint="eastAsia" w:asciiTheme="minorEastAsia" w:hAnsiTheme="minorEastAsia" w:eastAsiaTheme="minorEastAsia" w:cstheme="minorEastAsia"/>
          <w:b w:val="0"/>
          <w:bCs/>
          <w:color w:val="auto"/>
          <w:sz w:val="22"/>
          <w:szCs w:val="22"/>
          <w:highlight w:val="none"/>
          <w:lang w:val="en-US"/>
        </w:rPr>
        <w:t xml:space="preserve">章 </w:t>
      </w:r>
      <w:r>
        <w:rPr>
          <w:rFonts w:hint="eastAsia" w:asciiTheme="minorEastAsia" w:hAnsiTheme="minorEastAsia" w:eastAsiaTheme="minorEastAsia" w:cstheme="minorEastAsia"/>
          <w:b w:val="0"/>
          <w:bCs/>
          <w:color w:val="auto"/>
          <w:sz w:val="22"/>
          <w:szCs w:val="22"/>
          <w:highlight w:val="none"/>
        </w:rPr>
        <w:t>合同</w:t>
      </w:r>
      <w:r>
        <w:rPr>
          <w:rFonts w:hint="eastAsia" w:asciiTheme="minorEastAsia" w:hAnsiTheme="minorEastAsia" w:eastAsiaTheme="minorEastAsia" w:cstheme="minorEastAsia"/>
          <w:b w:val="0"/>
          <w:bCs/>
          <w:color w:val="auto"/>
          <w:sz w:val="22"/>
          <w:szCs w:val="22"/>
          <w:highlight w:val="none"/>
        </w:rPr>
        <w:tab/>
      </w:r>
      <w:r>
        <w:rPr>
          <w:rFonts w:hint="eastAsia" w:asciiTheme="minorEastAsia" w:hAnsiTheme="minorEastAsia" w:eastAsiaTheme="minorEastAsia" w:cstheme="minorEastAsia"/>
          <w:b w:val="0"/>
          <w:bCs/>
          <w:color w:val="auto"/>
          <w:sz w:val="22"/>
          <w:szCs w:val="22"/>
          <w:highlight w:val="none"/>
        </w:rPr>
        <w:fldChar w:fldCharType="begin"/>
      </w:r>
      <w:r>
        <w:rPr>
          <w:rFonts w:hint="eastAsia" w:asciiTheme="minorEastAsia" w:hAnsiTheme="minorEastAsia" w:eastAsiaTheme="minorEastAsia" w:cstheme="minorEastAsia"/>
          <w:b w:val="0"/>
          <w:bCs/>
          <w:color w:val="auto"/>
          <w:sz w:val="22"/>
          <w:szCs w:val="22"/>
          <w:highlight w:val="none"/>
        </w:rPr>
        <w:instrText xml:space="preserve"> PAGEREF _Toc8997 \h </w:instrText>
      </w:r>
      <w:r>
        <w:rPr>
          <w:rFonts w:hint="eastAsia" w:asciiTheme="minorEastAsia" w:hAnsiTheme="minorEastAsia" w:eastAsiaTheme="minorEastAsia" w:cstheme="minorEastAsia"/>
          <w:b w:val="0"/>
          <w:bCs/>
          <w:color w:val="auto"/>
          <w:sz w:val="22"/>
          <w:szCs w:val="22"/>
          <w:highlight w:val="none"/>
        </w:rPr>
        <w:fldChar w:fldCharType="separate"/>
      </w:r>
      <w:r>
        <w:rPr>
          <w:rFonts w:hint="eastAsia" w:asciiTheme="minorEastAsia" w:hAnsiTheme="minorEastAsia" w:eastAsiaTheme="minorEastAsia" w:cstheme="minorEastAsia"/>
          <w:b w:val="0"/>
          <w:bCs/>
          <w:color w:val="auto"/>
          <w:sz w:val="22"/>
          <w:szCs w:val="22"/>
          <w:highlight w:val="none"/>
        </w:rPr>
        <w:t>53</w:t>
      </w:r>
      <w:r>
        <w:rPr>
          <w:rFonts w:hint="eastAsia" w:asciiTheme="minorEastAsia" w:hAnsiTheme="minorEastAsia" w:eastAsiaTheme="minorEastAsia" w:cstheme="minorEastAsia"/>
          <w:b w:val="0"/>
          <w:bCs/>
          <w:color w:val="auto"/>
          <w:sz w:val="22"/>
          <w:szCs w:val="22"/>
          <w:highlight w:val="none"/>
        </w:rPr>
        <w:fldChar w:fldCharType="end"/>
      </w:r>
      <w:r>
        <w:rPr>
          <w:rFonts w:hint="eastAsia" w:asciiTheme="minorEastAsia" w:hAnsiTheme="minorEastAsia" w:eastAsiaTheme="minorEastAsia" w:cstheme="minorEastAsia"/>
          <w:b w:val="0"/>
          <w:bCs/>
          <w:color w:val="auto"/>
          <w:sz w:val="22"/>
          <w:szCs w:val="22"/>
          <w:highlight w:val="none"/>
        </w:rPr>
        <w:fldChar w:fldCharType="end"/>
      </w:r>
    </w:p>
    <w:p>
      <w:pPr>
        <w:pStyle w:val="3"/>
        <w:numPr>
          <w:ilvl w:val="0"/>
          <w:numId w:val="7"/>
        </w:numPr>
        <w:tabs>
          <w:tab w:val="left" w:pos="0"/>
          <w:tab w:val="clear" w:pos="3134"/>
        </w:tabs>
        <w:spacing w:before="0" w:after="0" w:line="240" w:lineRule="atLeast"/>
        <w:ind w:hanging="3134"/>
        <w:rPr>
          <w:rFonts w:hint="eastAsia" w:asciiTheme="minorEastAsia" w:hAnsiTheme="minorEastAsia" w:eastAsiaTheme="minorEastAsia" w:cstheme="minorEastAsia"/>
          <w:color w:val="auto"/>
          <w:sz w:val="22"/>
          <w:szCs w:val="22"/>
          <w:highlight w:val="none"/>
        </w:rPr>
        <w:sectPr>
          <w:footerReference r:id="rId4" w:type="default"/>
          <w:pgSz w:w="11906" w:h="16838"/>
          <w:pgMar w:top="1440" w:right="1080" w:bottom="1440" w:left="1080" w:header="851" w:footer="992" w:gutter="0"/>
          <w:pgNumType w:fmt="numberInDash" w:start="1"/>
          <w:cols w:space="720" w:num="1"/>
          <w:docGrid w:type="linesAndChars" w:linePitch="312" w:charSpace="0"/>
        </w:sectPr>
      </w:pPr>
      <w:r>
        <w:rPr>
          <w:rFonts w:hint="eastAsia" w:asciiTheme="minorEastAsia" w:hAnsiTheme="minorEastAsia" w:eastAsiaTheme="minorEastAsia" w:cstheme="minorEastAsia"/>
          <w:b/>
          <w:color w:val="auto"/>
          <w:sz w:val="22"/>
          <w:szCs w:val="22"/>
          <w:highlight w:val="none"/>
        </w:rPr>
        <w:fldChar w:fldCharType="end"/>
      </w:r>
    </w:p>
    <w:p>
      <w:pPr>
        <w:pStyle w:val="3"/>
        <w:numPr>
          <w:ilvl w:val="0"/>
          <w:numId w:val="0"/>
        </w:numPr>
        <w:tabs>
          <w:tab w:val="left" w:pos="0"/>
        </w:tabs>
        <w:spacing w:before="0" w:after="0" w:line="240" w:lineRule="atLeast"/>
        <w:ind w:left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第1章  </w:t>
      </w:r>
      <w:bookmarkStart w:id="6" w:name="_Toc19223"/>
      <w:r>
        <w:rPr>
          <w:rFonts w:hint="eastAsia" w:asciiTheme="minorEastAsia" w:hAnsiTheme="minorEastAsia" w:eastAsiaTheme="minorEastAsia" w:cstheme="minorEastAsia"/>
          <w:color w:val="auto"/>
          <w:highlight w:val="none"/>
        </w:rPr>
        <w:t>投标人须知</w:t>
      </w:r>
      <w:bookmarkEnd w:id="0"/>
      <w:bookmarkEnd w:id="1"/>
      <w:bookmarkEnd w:id="2"/>
      <w:bookmarkEnd w:id="3"/>
      <w:bookmarkEnd w:id="4"/>
      <w:bookmarkEnd w:id="5"/>
      <w:bookmarkEnd w:id="6"/>
    </w:p>
    <w:p>
      <w:pPr>
        <w:pStyle w:val="4"/>
        <w:spacing w:before="0" w:line="240" w:lineRule="atLeast"/>
        <w:ind w:left="1079" w:leftChars="257" w:hanging="540"/>
        <w:rPr>
          <w:rFonts w:hint="eastAsia" w:asciiTheme="minorEastAsia" w:hAnsiTheme="minorEastAsia" w:eastAsiaTheme="minorEastAsia" w:cstheme="minorEastAsia"/>
          <w:color w:val="auto"/>
          <w:sz w:val="28"/>
          <w:highlight w:val="none"/>
        </w:rPr>
      </w:pPr>
      <w:bookmarkStart w:id="7" w:name="_Toc216582805"/>
      <w:bookmarkStart w:id="8" w:name="_Toc520356143"/>
      <w:bookmarkStart w:id="9" w:name="_Toc22586"/>
      <w:bookmarkStart w:id="10" w:name="_Toc8784"/>
      <w:bookmarkStart w:id="11" w:name="_Toc22234"/>
      <w:bookmarkStart w:id="12" w:name="_Toc2427"/>
      <w:bookmarkStart w:id="13" w:name="_Toc4966"/>
      <w:bookmarkStart w:id="14" w:name="_Toc518923060"/>
      <w:r>
        <w:rPr>
          <w:rFonts w:hint="eastAsia" w:asciiTheme="minorEastAsia" w:hAnsiTheme="minorEastAsia" w:eastAsiaTheme="minorEastAsia" w:cstheme="minorEastAsia"/>
          <w:color w:val="auto"/>
          <w:sz w:val="28"/>
          <w:highlight w:val="none"/>
        </w:rPr>
        <w:t xml:space="preserve">一   </w:t>
      </w:r>
      <w:bookmarkEnd w:id="7"/>
      <w:bookmarkEnd w:id="8"/>
      <w:r>
        <w:rPr>
          <w:rFonts w:hint="eastAsia" w:asciiTheme="minorEastAsia" w:hAnsiTheme="minorEastAsia" w:eastAsiaTheme="minorEastAsia" w:cstheme="minorEastAsia"/>
          <w:color w:val="auto"/>
          <w:sz w:val="28"/>
          <w:highlight w:val="none"/>
        </w:rPr>
        <w:t>总  则</w:t>
      </w:r>
      <w:bookmarkEnd w:id="9"/>
      <w:bookmarkEnd w:id="10"/>
      <w:bookmarkEnd w:id="11"/>
      <w:bookmarkEnd w:id="12"/>
      <w:bookmarkEnd w:id="13"/>
      <w:bookmarkEnd w:id="14"/>
    </w:p>
    <w:p>
      <w:pPr>
        <w:pStyle w:val="2"/>
        <w:rPr>
          <w:rFonts w:hint="eastAsia" w:asciiTheme="minorEastAsia" w:hAnsiTheme="minorEastAsia" w:eastAsiaTheme="minorEastAsia" w:cstheme="minorEastAsia"/>
          <w:color w:val="auto"/>
          <w:highlight w:val="none"/>
        </w:rPr>
      </w:pP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5" w:name="_Toc520356144"/>
      <w:bookmarkStart w:id="16" w:name="_Toc18389"/>
      <w:bookmarkStart w:id="17" w:name="_Toc18362"/>
      <w:bookmarkStart w:id="18" w:name="_Toc518923061"/>
      <w:bookmarkStart w:id="19" w:name="_Toc26876"/>
      <w:bookmarkStart w:id="20" w:name="_Toc21322"/>
      <w:r>
        <w:rPr>
          <w:rFonts w:hint="eastAsia" w:asciiTheme="minorEastAsia" w:hAnsiTheme="minorEastAsia" w:eastAsiaTheme="minorEastAsia" w:cstheme="minorEastAsia"/>
          <w:color w:val="auto"/>
          <w:highlight w:val="none"/>
          <w:u w:val="none"/>
        </w:rPr>
        <w:t>1.采购人、采购代理机构及</w:t>
      </w:r>
      <w:bookmarkEnd w:id="15"/>
      <w:r>
        <w:rPr>
          <w:rFonts w:hint="eastAsia" w:asciiTheme="minorEastAsia" w:hAnsiTheme="minorEastAsia" w:eastAsiaTheme="minorEastAsia" w:cstheme="minorEastAsia"/>
          <w:color w:val="auto"/>
          <w:highlight w:val="none"/>
          <w:u w:val="none"/>
        </w:rPr>
        <w:t>投标人</w:t>
      </w:r>
      <w:bookmarkEnd w:id="16"/>
      <w:bookmarkEnd w:id="17"/>
      <w:bookmarkEnd w:id="18"/>
      <w:bookmarkEnd w:id="19"/>
      <w:bookmarkEnd w:id="20"/>
    </w:p>
    <w:p>
      <w:pPr>
        <w:numPr>
          <w:ilvl w:val="1"/>
          <w:numId w:val="8"/>
        </w:numPr>
        <w:tabs>
          <w:tab w:val="left" w:pos="0"/>
          <w:tab w:val="clear" w:pos="900"/>
        </w:tabs>
        <w:spacing w:line="240" w:lineRule="atLeas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采购人：是指依法开展政府采购活动的国家机关、事业单位、团体组织。</w:t>
      </w:r>
    </w:p>
    <w:p>
      <w:pPr>
        <w:tabs>
          <w:tab w:val="left" w:pos="0"/>
        </w:tabs>
        <w:spacing w:line="240" w:lineRule="atLeast"/>
        <w:ind w:left="9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本项目的采购人见</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w:t>
      </w:r>
    </w:p>
    <w:p>
      <w:pPr>
        <w:numPr>
          <w:ilvl w:val="1"/>
          <w:numId w:val="8"/>
        </w:numPr>
        <w:tabs>
          <w:tab w:val="left" w:pos="0"/>
          <w:tab w:val="clear" w:pos="900"/>
        </w:tabs>
        <w:spacing w:line="240" w:lineRule="atLeas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采购代理机构：是指集中采购机构或从事采购代理业务的社会中介机构。本项目的采购代理机构见</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w:t>
      </w:r>
    </w:p>
    <w:p>
      <w:pPr>
        <w:numPr>
          <w:ilvl w:val="1"/>
          <w:numId w:val="8"/>
        </w:numPr>
        <w:spacing w:line="240" w:lineRule="atLeast"/>
        <w:ind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投标人：是指向采购人提供货物、工程或者服务的法人、非法人组织或者自然人。本项目的投标人及其投标货物须满足以下条件：</w:t>
      </w:r>
    </w:p>
    <w:p>
      <w:pPr>
        <w:spacing w:line="240" w:lineRule="atLeas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在中华人民共和国境内注册，能够独立承担民事责任，有生产或供应能力的本国供应商。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以采购代理机构认可的方式获得了本项目的</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符合</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中规定的其他要求。</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若</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中写明允许采购进口产品，投标人应保证所投产品可履行合法报通关手续进入中国关境内。</w:t>
      </w:r>
    </w:p>
    <w:p>
      <w:pPr>
        <w:spacing w:line="240" w:lineRule="atLeast"/>
        <w:ind w:left="898" w:leftChars="4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中未写明允许采购进口产品，如投标人所投产品为进口产品，其投标将被认定为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840" w:hanging="840" w:hanging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  若</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中写明专门面向中小企业采购的，如投标人为非中小企业，其投标将被认定为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如</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中允许联合体投标，对联合体规定如下：</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两个以上供应商可以组成一个投标联合体，以一个投标人的身份投标。</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联合体各方均应符合《中华人民共和国政府采购法》第二十二条规定的条件。</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采购人根据采购项目对投标人的特殊要求，联合体中至少应当有一方符合相关规定。</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   联合体各方应签订共同投标协议，明确约定联合体各方承担的工作和相应的责任，并将共同投标协议连同</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一并提交招标采购单位。</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1.4.6  联合体中有同类资质的供应商按照联合体分工承担相同工作的，按照资质等级较低的供应商确定资质等级。</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1.4.8   对联合体投标的其他资格要求见</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    单位负责人为同一人或者存在直接控股、管理关系的不同供应商，其相关投标将被认定为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1.6    </w:t>
      </w:r>
      <w:r>
        <w:rPr>
          <w:rFonts w:hint="eastAsia" w:asciiTheme="minorEastAsia" w:hAnsiTheme="minorEastAsia" w:eastAsiaTheme="minorEastAsia" w:cstheme="minorEastAsia"/>
          <w:b w:val="0"/>
          <w:bCs w:val="0"/>
          <w:color w:val="auto"/>
          <w:sz w:val="24"/>
          <w:highlight w:val="none"/>
          <w:u w:val="single"/>
        </w:rPr>
        <w:t>为本项目提供过整体设计、规范编制或者项目管理、监理、检测等服务的供应商，不得再参加本项目上述服务以外的其他采购活动</w:t>
      </w:r>
      <w:r>
        <w:rPr>
          <w:rFonts w:hint="eastAsia" w:asciiTheme="minorEastAsia" w:hAnsiTheme="minorEastAsia" w:eastAsiaTheme="minorEastAsia" w:cstheme="minorEastAsia"/>
          <w:b w:val="0"/>
          <w:bCs w:val="0"/>
          <w:color w:val="auto"/>
          <w:sz w:val="24"/>
          <w:highlight w:val="none"/>
          <w:u w:val="single"/>
          <w:lang w:eastAsia="zh-CN"/>
        </w:rPr>
        <w:t>，</w:t>
      </w:r>
      <w:r>
        <w:rPr>
          <w:rFonts w:hint="eastAsia" w:asciiTheme="minorEastAsia" w:hAnsiTheme="minorEastAsia" w:eastAsiaTheme="minorEastAsia" w:cstheme="minorEastAsia"/>
          <w:b w:val="0"/>
          <w:bCs w:val="0"/>
          <w:color w:val="auto"/>
          <w:sz w:val="24"/>
          <w:highlight w:val="none"/>
          <w:u w:val="single"/>
          <w:lang w:val="en-US" w:eastAsia="zh-CN"/>
        </w:rPr>
        <w:t>投标人需在其响应文件中给予明确对应的说明或承诺</w:t>
      </w:r>
      <w:r>
        <w:rPr>
          <w:rFonts w:hint="eastAsia" w:asciiTheme="minorEastAsia" w:hAnsiTheme="minorEastAsia" w:eastAsiaTheme="minorEastAsia" w:cstheme="minorEastAsia"/>
          <w:b w:val="0"/>
          <w:bCs w:val="0"/>
          <w:color w:val="auto"/>
          <w:sz w:val="24"/>
          <w:highlight w:val="none"/>
          <w:u w:val="single"/>
          <w:lang w:eastAsia="zh-CN"/>
        </w:rPr>
        <w:t>，</w:t>
      </w:r>
      <w:r>
        <w:rPr>
          <w:rFonts w:hint="eastAsia" w:asciiTheme="minorEastAsia" w:hAnsiTheme="minorEastAsia" w:eastAsiaTheme="minorEastAsia" w:cstheme="minorEastAsia"/>
          <w:b w:val="0"/>
          <w:bCs w:val="0"/>
          <w:color w:val="auto"/>
          <w:sz w:val="24"/>
          <w:highlight w:val="none"/>
          <w:u w:val="single"/>
        </w:rPr>
        <w:t>否则其投标将被认定</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投标人在投标过程中不得向采购人提供或给予影响其正常决策行为的任何有价值物品或服务。一经发现，其投标将被认定为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1" w:name="_Toc24723"/>
      <w:bookmarkStart w:id="22" w:name="_Toc386"/>
      <w:bookmarkStart w:id="23" w:name="_Toc518923062"/>
      <w:bookmarkStart w:id="24" w:name="_Toc24404"/>
      <w:bookmarkStart w:id="25" w:name="_Toc1126"/>
      <w:r>
        <w:rPr>
          <w:rFonts w:hint="eastAsia" w:asciiTheme="minorEastAsia" w:hAnsiTheme="minorEastAsia" w:eastAsiaTheme="minorEastAsia" w:cstheme="minorEastAsia"/>
          <w:color w:val="auto"/>
          <w:highlight w:val="none"/>
          <w:u w:val="none"/>
        </w:rPr>
        <w:t>2.资金来源</w:t>
      </w:r>
      <w:bookmarkEnd w:id="21"/>
      <w:bookmarkEnd w:id="22"/>
      <w:bookmarkEnd w:id="23"/>
      <w:bookmarkEnd w:id="24"/>
      <w:bookmarkEnd w:id="25"/>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本项目的采购人已获得足以支付本次</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后所签订的合同项下的资金（包括财政性资金和本项目采购中无法与财政性资金分割的非财政性资金）。</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项目预算金额和分项或分包最高限价</w:t>
      </w:r>
      <w:r>
        <w:rPr>
          <w:rFonts w:hint="eastAsia" w:asciiTheme="minorEastAsia" w:hAnsiTheme="minorEastAsia" w:eastAsiaTheme="minorEastAsia" w:cstheme="minorEastAsia"/>
          <w:color w:val="auto"/>
          <w:sz w:val="24"/>
          <w:highlight w:val="none"/>
          <w:u w:val="single"/>
        </w:rPr>
        <w:t>见投标人须知资料表</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投标人报价超过</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文件规定的预算金额或者分项、分包最高限价的，其投标将被认定为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6" w:name="_Toc14280"/>
      <w:bookmarkStart w:id="27" w:name="_Toc520356145"/>
      <w:bookmarkStart w:id="28" w:name="_Toc518923063"/>
      <w:bookmarkStart w:id="29" w:name="_Toc8299"/>
      <w:bookmarkStart w:id="30" w:name="_Toc7243"/>
      <w:bookmarkStart w:id="31" w:name="_Toc28184"/>
      <w:r>
        <w:rPr>
          <w:rFonts w:hint="eastAsia" w:asciiTheme="minorEastAsia" w:hAnsiTheme="minorEastAsia" w:eastAsiaTheme="minorEastAsia" w:cstheme="minorEastAsia"/>
          <w:color w:val="auto"/>
          <w:highlight w:val="none"/>
          <w:u w:val="none"/>
        </w:rPr>
        <w:t>3.投标费用</w:t>
      </w:r>
      <w:bookmarkEnd w:id="26"/>
      <w:bookmarkEnd w:id="27"/>
      <w:bookmarkEnd w:id="28"/>
      <w:bookmarkEnd w:id="29"/>
      <w:bookmarkEnd w:id="30"/>
      <w:bookmarkEnd w:id="31"/>
    </w:p>
    <w:p>
      <w:pPr>
        <w:spacing w:line="240" w:lineRule="atLeast"/>
        <w:ind w:left="900" w:hanging="900" w:hangingChars="37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3.1     投标人应承担其参加本磋商活动自身所发生的费用。磋商文件所提供的资料，是采购人现有的能被投标人利用的资料，采购人对投标人做出的任何推论、理解和结论均不负责任。</w:t>
      </w:r>
    </w:p>
    <w:p>
      <w:pPr>
        <w:spacing w:line="240" w:lineRule="atLeast"/>
        <w:ind w:left="900" w:hanging="900" w:hangingChars="37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3.2     投标人应保证并在响应文件中明确：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r>
        <w:rPr>
          <w:rFonts w:hint="eastAsia" w:asciiTheme="minorEastAsia" w:hAnsiTheme="minorEastAsia" w:eastAsiaTheme="minorEastAsia" w:cstheme="minorEastAsia"/>
          <w:color w:val="auto"/>
          <w:sz w:val="24"/>
          <w:highlight w:val="none"/>
        </w:rPr>
        <w:t>如因此导致采购人损失的，投标人须承担全部赔偿责任。</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32" w:name="_Toc518923064"/>
      <w:bookmarkStart w:id="33" w:name="_Toc17"/>
      <w:bookmarkStart w:id="34" w:name="_Toc22947"/>
      <w:bookmarkStart w:id="35" w:name="_Toc27502"/>
      <w:bookmarkStart w:id="36" w:name="_Toc16505"/>
      <w:r>
        <w:rPr>
          <w:rFonts w:hint="eastAsia" w:asciiTheme="minorEastAsia" w:hAnsiTheme="minorEastAsia" w:eastAsiaTheme="minorEastAsia" w:cstheme="minorEastAsia"/>
          <w:color w:val="auto"/>
          <w:highlight w:val="none"/>
          <w:u w:val="none"/>
        </w:rPr>
        <w:t>4.适用法律</w:t>
      </w:r>
      <w:bookmarkEnd w:id="32"/>
      <w:bookmarkEnd w:id="33"/>
      <w:bookmarkEnd w:id="34"/>
      <w:bookmarkEnd w:id="35"/>
      <w:bookmarkEnd w:id="36"/>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本项目采购人、采购代理机构、投标人、磋商小组成员的相关行为均受《中华人民共和国政府采购法》、《中华人民共和国政府采购法实施条例》</w:t>
      </w:r>
      <w:r>
        <w:rPr>
          <w:rFonts w:hint="eastAsia" w:asciiTheme="minorEastAsia" w:hAnsiTheme="minorEastAsia" w:eastAsiaTheme="minorEastAsia" w:cstheme="minorEastAsia"/>
          <w:color w:val="auto"/>
          <w:sz w:val="24"/>
          <w:highlight w:val="none"/>
          <w:lang w:val="en-US" w:eastAsia="zh-CN"/>
        </w:rPr>
        <w:t>等有关法律法规</w:t>
      </w:r>
      <w:r>
        <w:rPr>
          <w:rFonts w:hint="eastAsia" w:asciiTheme="minorEastAsia" w:hAnsiTheme="minorEastAsia" w:eastAsiaTheme="minorEastAsia" w:cstheme="minorEastAsia"/>
          <w:color w:val="auto"/>
          <w:sz w:val="24"/>
          <w:highlight w:val="none"/>
        </w:rPr>
        <w:t>及本项目本级和上级财政部门政府采购有关规定的约束，其权利受到上述法律法规的保护。</w:t>
      </w:r>
    </w:p>
    <w:p>
      <w:pPr>
        <w:spacing w:line="240" w:lineRule="atLeast"/>
        <w:rPr>
          <w:rFonts w:hint="eastAsia" w:asciiTheme="minorEastAsia" w:hAnsiTheme="minorEastAsia" w:eastAsiaTheme="minorEastAsia" w:cstheme="minorEastAsia"/>
          <w:color w:val="auto"/>
          <w:sz w:val="24"/>
          <w:highlight w:val="none"/>
        </w:rPr>
      </w:pPr>
    </w:p>
    <w:p>
      <w:pPr>
        <w:pStyle w:val="4"/>
        <w:spacing w:before="0" w:line="240" w:lineRule="atLeast"/>
        <w:ind w:left="1079" w:leftChars="257" w:hanging="540"/>
        <w:rPr>
          <w:rFonts w:hint="eastAsia" w:asciiTheme="minorEastAsia" w:hAnsiTheme="minorEastAsia" w:eastAsiaTheme="minorEastAsia" w:cstheme="minorEastAsia"/>
          <w:color w:val="auto"/>
          <w:sz w:val="28"/>
          <w:highlight w:val="none"/>
        </w:rPr>
      </w:pPr>
      <w:bookmarkStart w:id="37" w:name="_Toc216582806"/>
      <w:bookmarkStart w:id="38" w:name="_Toc31423"/>
      <w:bookmarkStart w:id="39" w:name="_Toc518923065"/>
      <w:bookmarkStart w:id="40" w:name="_Toc20384"/>
      <w:bookmarkStart w:id="41" w:name="_Toc1853"/>
      <w:bookmarkStart w:id="42" w:name="_Toc4714"/>
      <w:bookmarkStart w:id="43" w:name="_Toc20661"/>
      <w:bookmarkStart w:id="44" w:name="_Toc520356146"/>
      <w:r>
        <w:rPr>
          <w:rFonts w:hint="eastAsia" w:asciiTheme="minorEastAsia" w:hAnsiTheme="minorEastAsia" w:eastAsiaTheme="minorEastAsia" w:cstheme="minorEastAsia"/>
          <w:color w:val="auto"/>
          <w:sz w:val="28"/>
          <w:highlight w:val="none"/>
        </w:rPr>
        <w:t xml:space="preserve">二   </w:t>
      </w:r>
      <w:r>
        <w:rPr>
          <w:rFonts w:hint="eastAsia" w:asciiTheme="minorEastAsia" w:hAnsiTheme="minorEastAsia" w:eastAsiaTheme="minorEastAsia" w:cstheme="minorEastAsia"/>
          <w:color w:val="auto"/>
          <w:sz w:val="28"/>
          <w:highlight w:val="none"/>
          <w:lang w:eastAsia="zh-CN"/>
        </w:rPr>
        <w:t>磋商</w:t>
      </w:r>
      <w:r>
        <w:rPr>
          <w:rFonts w:hint="eastAsia" w:asciiTheme="minorEastAsia" w:hAnsiTheme="minorEastAsia" w:eastAsiaTheme="minorEastAsia" w:cstheme="minorEastAsia"/>
          <w:color w:val="auto"/>
          <w:sz w:val="28"/>
          <w:highlight w:val="none"/>
        </w:rPr>
        <w:t>文件</w:t>
      </w:r>
      <w:bookmarkEnd w:id="37"/>
      <w:bookmarkEnd w:id="38"/>
      <w:bookmarkEnd w:id="39"/>
      <w:bookmarkEnd w:id="40"/>
      <w:bookmarkEnd w:id="41"/>
      <w:bookmarkEnd w:id="42"/>
      <w:bookmarkEnd w:id="43"/>
      <w:bookmarkEnd w:id="44"/>
    </w:p>
    <w:p>
      <w:pPr>
        <w:pStyle w:val="2"/>
        <w:rPr>
          <w:rFonts w:hint="eastAsia" w:asciiTheme="minorEastAsia" w:hAnsiTheme="minorEastAsia" w:eastAsiaTheme="minorEastAsia" w:cstheme="minorEastAsia"/>
          <w:color w:val="auto"/>
          <w:highlight w:val="none"/>
        </w:rPr>
      </w:pP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45" w:name="_Toc520356147"/>
      <w:bookmarkStart w:id="46" w:name="_Toc518923066"/>
      <w:bookmarkStart w:id="47" w:name="_Toc875"/>
      <w:bookmarkStart w:id="48" w:name="_Toc11542"/>
      <w:bookmarkStart w:id="49" w:name="_Toc1298"/>
      <w:bookmarkStart w:id="50" w:name="_Toc8770"/>
      <w:r>
        <w:rPr>
          <w:rFonts w:hint="eastAsia" w:asciiTheme="minorEastAsia" w:hAnsiTheme="minorEastAsia" w:eastAsiaTheme="minorEastAsia" w:cstheme="minorEastAsia"/>
          <w:color w:val="auto"/>
          <w:highlight w:val="none"/>
          <w:u w:val="none"/>
        </w:rPr>
        <w:t>5.</w:t>
      </w:r>
      <w:r>
        <w:rPr>
          <w:rFonts w:hint="eastAsia" w:asciiTheme="minorEastAsia" w:hAnsiTheme="minorEastAsia" w:eastAsiaTheme="minorEastAsia" w:cstheme="minorEastAsia"/>
          <w:color w:val="auto"/>
          <w:highlight w:val="none"/>
          <w:u w:val="none"/>
          <w:lang w:eastAsia="zh-CN"/>
        </w:rPr>
        <w:t>磋商</w:t>
      </w:r>
      <w:r>
        <w:rPr>
          <w:rFonts w:hint="eastAsia" w:asciiTheme="minorEastAsia" w:hAnsiTheme="minorEastAsia" w:eastAsiaTheme="minorEastAsia" w:cstheme="minorEastAsia"/>
          <w:color w:val="auto"/>
          <w:highlight w:val="none"/>
          <w:u w:val="none"/>
        </w:rPr>
        <w:t>文件构成</w:t>
      </w:r>
      <w:bookmarkEnd w:id="45"/>
      <w:bookmarkEnd w:id="46"/>
      <w:bookmarkEnd w:id="47"/>
      <w:bookmarkEnd w:id="48"/>
      <w:bookmarkEnd w:id="49"/>
      <w:bookmarkEnd w:id="50"/>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文件分为三册共7章，内容如下：</w:t>
      </w:r>
    </w:p>
    <w:p>
      <w:pPr>
        <w:spacing w:line="240" w:lineRule="atLeast"/>
        <w:ind w:left="1078" w:leftChars="428"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第一册</w:t>
      </w:r>
    </w:p>
    <w:p>
      <w:pPr>
        <w:numPr>
          <w:ilvl w:val="0"/>
          <w:numId w:val="9"/>
        </w:num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投标人须知</w:t>
      </w:r>
    </w:p>
    <w:p>
      <w:pPr>
        <w:numPr>
          <w:ilvl w:val="0"/>
          <w:numId w:val="9"/>
        </w:num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w:t>
      </w:r>
    </w:p>
    <w:p>
      <w:p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第二册</w:t>
      </w:r>
    </w:p>
    <w:p>
      <w:pPr>
        <w:numPr>
          <w:ilvl w:val="0"/>
          <w:numId w:val="9"/>
        </w:num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投标邀请</w:t>
      </w:r>
    </w:p>
    <w:p>
      <w:pPr>
        <w:numPr>
          <w:ilvl w:val="0"/>
          <w:numId w:val="9"/>
        </w:num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投标人须知资料表</w:t>
      </w:r>
    </w:p>
    <w:p>
      <w:pPr>
        <w:numPr>
          <w:ilvl w:val="0"/>
          <w:numId w:val="9"/>
        </w:num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采购</w:t>
      </w:r>
      <w:r>
        <w:rPr>
          <w:rFonts w:hint="eastAsia" w:asciiTheme="minorEastAsia" w:hAnsiTheme="minorEastAsia" w:eastAsiaTheme="minorEastAsia" w:cstheme="minorEastAsia"/>
          <w:color w:val="auto"/>
          <w:sz w:val="24"/>
          <w:highlight w:val="none"/>
        </w:rPr>
        <w:t>需求</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具体详见工程量清单</w:t>
      </w:r>
      <w:r>
        <w:rPr>
          <w:rFonts w:hint="eastAsia" w:asciiTheme="minorEastAsia" w:hAnsiTheme="minorEastAsia" w:eastAsiaTheme="minorEastAsia" w:cstheme="minorEastAsia"/>
          <w:color w:val="auto"/>
          <w:sz w:val="24"/>
          <w:highlight w:val="none"/>
          <w:lang w:eastAsia="zh-CN"/>
        </w:rPr>
        <w:t>）</w:t>
      </w:r>
    </w:p>
    <w:p>
      <w:pPr>
        <w:numPr>
          <w:ilvl w:val="0"/>
          <w:numId w:val="9"/>
        </w:num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评标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方法和标准</w:t>
      </w:r>
    </w:p>
    <w:p>
      <w:pPr>
        <w:spacing w:line="240" w:lineRule="atLeast"/>
        <w:ind w:left="0" w:leftChars="0"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第三册</w:t>
      </w:r>
    </w:p>
    <w:p>
      <w:pPr>
        <w:numPr>
          <w:ilvl w:val="0"/>
          <w:numId w:val="9"/>
        </w:numPr>
        <w:spacing w:line="240" w:lineRule="atLeas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合同</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如本文件的前后内容不一致，以最后描述为准。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    投标人应认真阅读</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文件所有的事项、格式、条款和技术规范等。如投标人没有按照</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文件要求提交全部资料，或者</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没有对</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文件在各方面都做出实质性响应，可能导致其投标被认定为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pStyle w:val="5"/>
        <w:spacing w:before="0" w:after="0" w:line="240" w:lineRule="atLeast"/>
        <w:rPr>
          <w:rFonts w:hint="eastAsia" w:asciiTheme="minorEastAsia" w:hAnsiTheme="minorEastAsia" w:eastAsiaTheme="minorEastAsia" w:cstheme="minorEastAsia"/>
          <w:b w:val="0"/>
          <w:color w:val="auto"/>
          <w:highlight w:val="none"/>
          <w:u w:val="none"/>
        </w:rPr>
      </w:pPr>
      <w:bookmarkStart w:id="51" w:name="_Toc520356148"/>
      <w:bookmarkStart w:id="52" w:name="_Toc16465"/>
      <w:bookmarkStart w:id="53" w:name="_Toc28019"/>
      <w:bookmarkStart w:id="54" w:name="_Toc518923067"/>
      <w:bookmarkStart w:id="55" w:name="_Toc32511"/>
      <w:bookmarkStart w:id="56" w:name="_Toc29175"/>
      <w:r>
        <w:rPr>
          <w:rFonts w:hint="eastAsia" w:asciiTheme="minorEastAsia" w:hAnsiTheme="minorEastAsia" w:eastAsiaTheme="minorEastAsia" w:cstheme="minorEastAsia"/>
          <w:color w:val="auto"/>
          <w:highlight w:val="none"/>
          <w:u w:val="none"/>
        </w:rPr>
        <w:t>6.</w:t>
      </w:r>
      <w:r>
        <w:rPr>
          <w:rFonts w:hint="eastAsia" w:asciiTheme="minorEastAsia" w:hAnsiTheme="minorEastAsia" w:eastAsiaTheme="minorEastAsia" w:cstheme="minorEastAsia"/>
          <w:color w:val="auto"/>
          <w:highlight w:val="none"/>
          <w:u w:val="none"/>
          <w:lang w:eastAsia="zh-CN"/>
        </w:rPr>
        <w:t>磋商</w:t>
      </w:r>
      <w:r>
        <w:rPr>
          <w:rFonts w:hint="eastAsia" w:asciiTheme="minorEastAsia" w:hAnsiTheme="minorEastAsia" w:eastAsiaTheme="minorEastAsia" w:cstheme="minorEastAsia"/>
          <w:color w:val="auto"/>
          <w:highlight w:val="none"/>
          <w:u w:val="none"/>
        </w:rPr>
        <w:t>文件的澄清</w:t>
      </w:r>
      <w:bookmarkEnd w:id="51"/>
      <w:r>
        <w:rPr>
          <w:rFonts w:hint="eastAsia" w:asciiTheme="minorEastAsia" w:hAnsiTheme="minorEastAsia" w:eastAsiaTheme="minorEastAsia" w:cstheme="minorEastAsia"/>
          <w:color w:val="auto"/>
          <w:highlight w:val="none"/>
          <w:u w:val="none"/>
        </w:rPr>
        <w:t>与修改</w:t>
      </w:r>
      <w:bookmarkEnd w:id="52"/>
      <w:bookmarkEnd w:id="53"/>
      <w:bookmarkEnd w:id="54"/>
      <w:bookmarkEnd w:id="55"/>
      <w:bookmarkEnd w:id="56"/>
    </w:p>
    <w:p>
      <w:pPr>
        <w:pStyle w:val="2"/>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6.1    为了保证对</w:t>
      </w:r>
      <w:r>
        <w:rPr>
          <w:rFonts w:hint="eastAsia" w:asciiTheme="minorEastAsia" w:hAnsiTheme="minorEastAsia" w:eastAsiaTheme="minorEastAsia" w:cstheme="minorEastAsia"/>
          <w:color w:val="auto"/>
          <w:szCs w:val="24"/>
          <w:highlight w:val="none"/>
          <w:lang w:eastAsia="zh-CN"/>
        </w:rPr>
        <w:t>磋商</w:t>
      </w:r>
      <w:r>
        <w:rPr>
          <w:rFonts w:hint="eastAsia" w:asciiTheme="minorEastAsia" w:hAnsiTheme="minorEastAsia" w:eastAsiaTheme="minorEastAsia" w:cstheme="minorEastAsia"/>
          <w:color w:val="auto"/>
          <w:szCs w:val="24"/>
          <w:highlight w:val="none"/>
        </w:rPr>
        <w:t>文件的澄清和修改满足法律的时限要求，任何要求对</w:t>
      </w:r>
      <w:r>
        <w:rPr>
          <w:rFonts w:hint="eastAsia" w:asciiTheme="minorEastAsia" w:hAnsiTheme="minorEastAsia" w:eastAsiaTheme="minorEastAsia" w:cstheme="minorEastAsia"/>
          <w:color w:val="auto"/>
          <w:szCs w:val="24"/>
          <w:highlight w:val="none"/>
          <w:lang w:eastAsia="zh-CN"/>
        </w:rPr>
        <w:t>磋商</w:t>
      </w:r>
      <w:r>
        <w:rPr>
          <w:rFonts w:hint="eastAsia" w:asciiTheme="minorEastAsia" w:hAnsiTheme="minorEastAsia" w:eastAsiaTheme="minorEastAsia" w:cstheme="minorEastAsia"/>
          <w:color w:val="auto"/>
          <w:szCs w:val="24"/>
          <w:highlight w:val="none"/>
        </w:rPr>
        <w:t>文件进行澄清的投标人，均应在投标截止期五日前，以书面形式将澄清要求通知采购人或采购代理机构。</w:t>
      </w:r>
    </w:p>
    <w:p>
      <w:pPr>
        <w:pStyle w:val="2"/>
        <w:ind w:left="840" w:hanging="840" w:hangingChars="350"/>
        <w:rPr>
          <w:rFonts w:hint="eastAsia" w:asciiTheme="minorEastAsia" w:hAnsiTheme="minorEastAsia" w:eastAsiaTheme="minorEastAsia" w:cstheme="minorEastAsia"/>
          <w:color w:val="auto"/>
          <w:szCs w:val="24"/>
          <w:highlight w:val="none"/>
        </w:rPr>
      </w:pPr>
      <w:bookmarkStart w:id="57" w:name="_Ref467378678"/>
      <w:bookmarkStart w:id="58" w:name="_Toc520356149"/>
      <w:r>
        <w:rPr>
          <w:rFonts w:hint="eastAsia" w:asciiTheme="minorEastAsia" w:hAnsiTheme="minorEastAsia" w:eastAsiaTheme="minorEastAsia" w:cstheme="minorEastAsia"/>
          <w:color w:val="auto"/>
          <w:szCs w:val="24"/>
          <w:highlight w:val="none"/>
        </w:rPr>
        <w:t>6.2</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采购人可主动地或在解答投标人提出的澄清问题时对</w:t>
      </w:r>
      <w:r>
        <w:rPr>
          <w:rFonts w:hint="eastAsia" w:asciiTheme="minorEastAsia" w:hAnsiTheme="minorEastAsia" w:eastAsiaTheme="minorEastAsia" w:cstheme="minorEastAsia"/>
          <w:color w:val="auto"/>
          <w:szCs w:val="24"/>
          <w:highlight w:val="none"/>
          <w:lang w:eastAsia="zh-CN"/>
        </w:rPr>
        <w:t>磋商</w:t>
      </w:r>
      <w:r>
        <w:rPr>
          <w:rFonts w:hint="eastAsia" w:asciiTheme="minorEastAsia" w:hAnsiTheme="minorEastAsia" w:eastAsiaTheme="minorEastAsia" w:cstheme="minorEastAsia"/>
          <w:color w:val="auto"/>
          <w:szCs w:val="24"/>
          <w:highlight w:val="none"/>
        </w:rPr>
        <w:t>文件澄清或修改。采购代理机构将以发布澄清（更正）公告的方式，澄清或修改</w:t>
      </w:r>
      <w:r>
        <w:rPr>
          <w:rFonts w:hint="eastAsia" w:asciiTheme="minorEastAsia" w:hAnsiTheme="minorEastAsia" w:eastAsiaTheme="minorEastAsia" w:cstheme="minorEastAsia"/>
          <w:color w:val="auto"/>
          <w:szCs w:val="24"/>
          <w:highlight w:val="none"/>
          <w:lang w:eastAsia="zh-CN"/>
        </w:rPr>
        <w:t>磋商</w:t>
      </w:r>
      <w:r>
        <w:rPr>
          <w:rFonts w:hint="eastAsia" w:asciiTheme="minorEastAsia" w:hAnsiTheme="minorEastAsia" w:eastAsiaTheme="minorEastAsia" w:cstheme="minorEastAsia"/>
          <w:color w:val="auto"/>
          <w:szCs w:val="24"/>
          <w:highlight w:val="none"/>
        </w:rPr>
        <w:t>文件，澄清或修改内容作为</w:t>
      </w:r>
      <w:r>
        <w:rPr>
          <w:rFonts w:hint="eastAsia" w:asciiTheme="minorEastAsia" w:hAnsiTheme="minorEastAsia" w:eastAsiaTheme="minorEastAsia" w:cstheme="minorEastAsia"/>
          <w:color w:val="auto"/>
          <w:szCs w:val="24"/>
          <w:highlight w:val="none"/>
          <w:lang w:eastAsia="zh-CN"/>
        </w:rPr>
        <w:t>磋商</w:t>
      </w:r>
      <w:r>
        <w:rPr>
          <w:rFonts w:hint="eastAsia" w:asciiTheme="minorEastAsia" w:hAnsiTheme="minorEastAsia" w:eastAsiaTheme="minorEastAsia" w:cstheme="minorEastAsia"/>
          <w:color w:val="auto"/>
          <w:szCs w:val="24"/>
          <w:highlight w:val="none"/>
        </w:rPr>
        <w:t>文件的组成部分。</w:t>
      </w:r>
    </w:p>
    <w:p>
      <w:pPr>
        <w:pStyle w:val="2"/>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6.3</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澄清或者修改的内容可能影响</w:t>
      </w:r>
      <w:r>
        <w:rPr>
          <w:rFonts w:hint="eastAsia" w:asciiTheme="minorEastAsia" w:hAnsiTheme="minorEastAsia" w:eastAsiaTheme="minorEastAsia" w:cstheme="minorEastAsia"/>
          <w:color w:val="auto"/>
          <w:szCs w:val="24"/>
          <w:highlight w:val="none"/>
          <w:lang w:eastAsia="zh-CN"/>
        </w:rPr>
        <w:t>响应文件</w:t>
      </w:r>
      <w:r>
        <w:rPr>
          <w:rFonts w:hint="eastAsia" w:asciiTheme="minorEastAsia" w:hAnsiTheme="minorEastAsia" w:eastAsiaTheme="minorEastAsia" w:cstheme="minorEastAsia"/>
          <w:color w:val="auto"/>
          <w:szCs w:val="24"/>
          <w:highlight w:val="none"/>
        </w:rPr>
        <w:t>编制的，采购代理机构将以发布澄清（更正）公告形式通知所有</w:t>
      </w:r>
      <w:r>
        <w:rPr>
          <w:rFonts w:hint="eastAsia" w:asciiTheme="minorEastAsia" w:hAnsiTheme="minorEastAsia" w:eastAsiaTheme="minorEastAsia" w:cstheme="minorEastAsia"/>
          <w:color w:val="auto"/>
          <w:szCs w:val="24"/>
          <w:highlight w:val="none"/>
          <w:lang w:val="en-US" w:eastAsia="zh-CN"/>
        </w:rPr>
        <w:t>领取</w:t>
      </w:r>
      <w:r>
        <w:rPr>
          <w:rFonts w:hint="eastAsia" w:asciiTheme="minorEastAsia" w:hAnsiTheme="minorEastAsia" w:eastAsiaTheme="minorEastAsia" w:cstheme="minorEastAsia"/>
          <w:color w:val="auto"/>
          <w:szCs w:val="24"/>
          <w:highlight w:val="none"/>
          <w:lang w:eastAsia="zh-CN"/>
        </w:rPr>
        <w:t>磋商</w:t>
      </w:r>
      <w:r>
        <w:rPr>
          <w:rFonts w:hint="eastAsia" w:asciiTheme="minorEastAsia" w:hAnsiTheme="minorEastAsia" w:eastAsiaTheme="minorEastAsia" w:cstheme="minorEastAsia"/>
          <w:color w:val="auto"/>
          <w:szCs w:val="24"/>
          <w:highlight w:val="none"/>
        </w:rPr>
        <w:t>文件的潜在投标人，并对其具有约束力。</w:t>
      </w:r>
      <w:r>
        <w:rPr>
          <w:rFonts w:hint="eastAsia" w:asciiTheme="minorEastAsia" w:hAnsiTheme="minorEastAsia" w:eastAsiaTheme="minorEastAsia" w:cstheme="minorEastAsia"/>
          <w:color w:val="auto"/>
          <w:szCs w:val="24"/>
          <w:highlight w:val="none"/>
          <w:lang w:val="en-US" w:eastAsia="zh-CN"/>
        </w:rPr>
        <w:t>公告一经发出即视为</w:t>
      </w:r>
      <w:r>
        <w:rPr>
          <w:rFonts w:hint="eastAsia" w:asciiTheme="minorEastAsia" w:hAnsiTheme="minorEastAsia" w:eastAsiaTheme="minorEastAsia" w:cstheme="minorEastAsia"/>
          <w:color w:val="auto"/>
          <w:szCs w:val="24"/>
          <w:highlight w:val="none"/>
        </w:rPr>
        <w:t>潜在投标人</w:t>
      </w:r>
      <w:r>
        <w:rPr>
          <w:rFonts w:hint="eastAsia" w:asciiTheme="minorEastAsia" w:hAnsiTheme="minorEastAsia" w:eastAsiaTheme="minorEastAsia" w:cstheme="minorEastAsia"/>
          <w:color w:val="auto"/>
          <w:szCs w:val="24"/>
          <w:highlight w:val="none"/>
          <w:lang w:val="en-US" w:eastAsia="zh-CN"/>
        </w:rPr>
        <w:t>已知晓该</w:t>
      </w:r>
      <w:r>
        <w:rPr>
          <w:rFonts w:hint="eastAsia" w:asciiTheme="minorEastAsia" w:hAnsiTheme="minorEastAsia" w:eastAsiaTheme="minorEastAsia" w:cstheme="minorEastAsia"/>
          <w:color w:val="auto"/>
          <w:szCs w:val="24"/>
          <w:highlight w:val="none"/>
        </w:rPr>
        <w:t>澄清或修改内容。</w:t>
      </w:r>
    </w:p>
    <w:p>
      <w:pPr>
        <w:pStyle w:val="5"/>
        <w:tabs>
          <w:tab w:val="left" w:pos="900"/>
        </w:tabs>
        <w:spacing w:before="0" w:after="0" w:line="240" w:lineRule="atLeast"/>
        <w:rPr>
          <w:rFonts w:hint="eastAsia" w:asciiTheme="minorEastAsia" w:hAnsiTheme="minorEastAsia" w:eastAsiaTheme="minorEastAsia" w:cstheme="minorEastAsia"/>
          <w:color w:val="auto"/>
          <w:highlight w:val="none"/>
          <w:u w:val="none"/>
        </w:rPr>
      </w:pPr>
      <w:bookmarkStart w:id="59" w:name="_Toc10649"/>
      <w:bookmarkStart w:id="60" w:name="_Toc24252"/>
      <w:bookmarkStart w:id="61" w:name="_Toc2829"/>
      <w:bookmarkStart w:id="62" w:name="_Toc518923068"/>
      <w:bookmarkStart w:id="63" w:name="_Toc24873"/>
      <w:r>
        <w:rPr>
          <w:rFonts w:hint="eastAsia" w:asciiTheme="minorEastAsia" w:hAnsiTheme="minorEastAsia" w:eastAsiaTheme="minorEastAsia" w:cstheme="minorEastAsia"/>
          <w:color w:val="auto"/>
          <w:highlight w:val="none"/>
          <w:u w:val="none"/>
        </w:rPr>
        <w:t>7</w:t>
      </w:r>
      <w:bookmarkEnd w:id="57"/>
      <w:bookmarkEnd w:id="58"/>
      <w:r>
        <w:rPr>
          <w:rFonts w:hint="eastAsia" w:asciiTheme="minorEastAsia" w:hAnsiTheme="minorEastAsia" w:eastAsiaTheme="minorEastAsia" w:cstheme="minorEastAsia"/>
          <w:color w:val="auto"/>
          <w:highlight w:val="none"/>
          <w:u w:val="none"/>
        </w:rPr>
        <w:t>.投标截止时间的顺延</w:t>
      </w:r>
      <w:bookmarkEnd w:id="59"/>
      <w:bookmarkEnd w:id="60"/>
      <w:bookmarkEnd w:id="61"/>
      <w:bookmarkEnd w:id="62"/>
      <w:bookmarkEnd w:id="63"/>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为使投标人准备投标时有足够的时间对</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文件的澄清或者修改部分进行研究，采购人将依法决定是否顺延投标截止时间。</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p>
    <w:p>
      <w:pPr>
        <w:pStyle w:val="4"/>
        <w:tabs>
          <w:tab w:val="left" w:pos="900"/>
        </w:tabs>
        <w:spacing w:before="0" w:line="240" w:lineRule="atLeast"/>
        <w:ind w:left="1079" w:leftChars="257" w:hanging="540"/>
        <w:rPr>
          <w:rFonts w:hint="eastAsia" w:asciiTheme="minorEastAsia" w:hAnsiTheme="minorEastAsia" w:eastAsiaTheme="minorEastAsia" w:cstheme="minorEastAsia"/>
          <w:color w:val="auto"/>
          <w:sz w:val="28"/>
          <w:highlight w:val="none"/>
        </w:rPr>
      </w:pPr>
      <w:bookmarkStart w:id="64" w:name="_Toc516367020"/>
      <w:bookmarkStart w:id="65" w:name="_Toc520356150"/>
      <w:bookmarkStart w:id="66" w:name="_Toc2007"/>
      <w:bookmarkStart w:id="67" w:name="_Toc14845"/>
      <w:bookmarkStart w:id="68" w:name="_Toc25072"/>
      <w:bookmarkStart w:id="69" w:name="_Toc518923069"/>
      <w:bookmarkStart w:id="70" w:name="_Toc7003"/>
      <w:bookmarkStart w:id="71" w:name="_Toc216582807"/>
      <w:bookmarkStart w:id="72" w:name="_Toc1545"/>
      <w:r>
        <w:rPr>
          <w:rFonts w:hint="eastAsia" w:asciiTheme="minorEastAsia" w:hAnsiTheme="minorEastAsia" w:eastAsiaTheme="minorEastAsia" w:cstheme="minorEastAsia"/>
          <w:color w:val="auto"/>
          <w:sz w:val="28"/>
          <w:highlight w:val="none"/>
        </w:rPr>
        <w:t xml:space="preserve">三   </w:t>
      </w:r>
      <w:bookmarkEnd w:id="64"/>
      <w:r>
        <w:rPr>
          <w:rFonts w:hint="eastAsia" w:asciiTheme="minorEastAsia" w:hAnsiTheme="minorEastAsia" w:eastAsiaTheme="minorEastAsia" w:cstheme="minorEastAsia"/>
          <w:color w:val="auto"/>
          <w:sz w:val="28"/>
          <w:highlight w:val="none"/>
          <w:lang w:eastAsia="zh-CN"/>
        </w:rPr>
        <w:t>响应文件</w:t>
      </w:r>
      <w:r>
        <w:rPr>
          <w:rFonts w:hint="eastAsia" w:asciiTheme="minorEastAsia" w:hAnsiTheme="minorEastAsia" w:eastAsiaTheme="minorEastAsia" w:cstheme="minorEastAsia"/>
          <w:color w:val="auto"/>
          <w:sz w:val="28"/>
          <w:highlight w:val="none"/>
        </w:rPr>
        <w:t>的编制</w:t>
      </w:r>
      <w:bookmarkEnd w:id="65"/>
      <w:bookmarkEnd w:id="66"/>
      <w:bookmarkEnd w:id="67"/>
      <w:bookmarkEnd w:id="68"/>
      <w:bookmarkEnd w:id="69"/>
      <w:bookmarkEnd w:id="70"/>
      <w:bookmarkEnd w:id="71"/>
      <w:bookmarkEnd w:id="72"/>
    </w:p>
    <w:p>
      <w:pPr>
        <w:pStyle w:val="2"/>
        <w:rPr>
          <w:rFonts w:hint="eastAsia" w:asciiTheme="minorEastAsia" w:hAnsiTheme="minorEastAsia" w:eastAsiaTheme="minorEastAsia" w:cstheme="minorEastAsia"/>
          <w:color w:val="auto"/>
          <w:highlight w:val="none"/>
        </w:rPr>
      </w:pPr>
    </w:p>
    <w:p>
      <w:pPr>
        <w:pStyle w:val="5"/>
        <w:tabs>
          <w:tab w:val="left" w:pos="900"/>
        </w:tabs>
        <w:spacing w:before="0" w:after="0" w:line="240" w:lineRule="atLeast"/>
        <w:rPr>
          <w:rFonts w:hint="eastAsia" w:asciiTheme="minorEastAsia" w:hAnsiTheme="minorEastAsia" w:eastAsiaTheme="minorEastAsia" w:cstheme="minorEastAsia"/>
          <w:color w:val="auto"/>
          <w:highlight w:val="none"/>
          <w:u w:val="none"/>
        </w:rPr>
      </w:pPr>
      <w:bookmarkStart w:id="73" w:name="_Toc518923070"/>
      <w:bookmarkStart w:id="74" w:name="_Toc14395"/>
      <w:bookmarkStart w:id="75" w:name="_Toc520356151"/>
      <w:bookmarkStart w:id="76" w:name="_Toc516367021"/>
      <w:bookmarkStart w:id="77" w:name="_Toc6494"/>
      <w:bookmarkStart w:id="78" w:name="_Toc31373"/>
      <w:bookmarkStart w:id="79" w:name="_Toc19618"/>
      <w:r>
        <w:rPr>
          <w:rFonts w:hint="eastAsia" w:asciiTheme="minorEastAsia" w:hAnsiTheme="minorEastAsia" w:eastAsiaTheme="minorEastAsia" w:cstheme="minorEastAsia"/>
          <w:color w:val="auto"/>
          <w:highlight w:val="none"/>
          <w:u w:val="none"/>
        </w:rPr>
        <w:t>8.</w:t>
      </w:r>
      <w:r>
        <w:rPr>
          <w:rFonts w:hint="eastAsia" w:asciiTheme="minorEastAsia" w:hAnsiTheme="minorEastAsia" w:eastAsiaTheme="minorEastAsia" w:cstheme="minorEastAsia"/>
          <w:color w:val="auto"/>
          <w:highlight w:val="none"/>
          <w:u w:val="none"/>
        </w:rPr>
        <w:tab/>
      </w:r>
      <w:r>
        <w:rPr>
          <w:rFonts w:hint="eastAsia" w:asciiTheme="minorEastAsia" w:hAnsiTheme="minorEastAsia" w:eastAsiaTheme="minorEastAsia" w:cstheme="minorEastAsia"/>
          <w:color w:val="auto"/>
          <w:highlight w:val="none"/>
          <w:u w:val="none"/>
        </w:rPr>
        <w:t>投标范围及</w:t>
      </w:r>
      <w:r>
        <w:rPr>
          <w:rFonts w:hint="eastAsia" w:asciiTheme="minorEastAsia" w:hAnsiTheme="minorEastAsia" w:eastAsiaTheme="minorEastAsia" w:cstheme="minorEastAsia"/>
          <w:color w:val="auto"/>
          <w:highlight w:val="none"/>
          <w:u w:val="none"/>
          <w:lang w:eastAsia="zh-CN"/>
        </w:rPr>
        <w:t>响应文件</w:t>
      </w:r>
      <w:r>
        <w:rPr>
          <w:rFonts w:hint="eastAsia" w:asciiTheme="minorEastAsia" w:hAnsiTheme="minorEastAsia" w:eastAsiaTheme="minorEastAsia" w:cstheme="minorEastAsia"/>
          <w:color w:val="auto"/>
          <w:highlight w:val="none"/>
          <w:u w:val="none"/>
        </w:rPr>
        <w:t>中标准和计量单位的使用</w:t>
      </w:r>
      <w:bookmarkEnd w:id="73"/>
      <w:bookmarkEnd w:id="74"/>
      <w:bookmarkEnd w:id="75"/>
      <w:bookmarkEnd w:id="76"/>
      <w:bookmarkEnd w:id="77"/>
      <w:bookmarkEnd w:id="78"/>
      <w:bookmarkEnd w:id="79"/>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项目有分包的，投标人可对</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文件其中一个或几个分包进行投标，除非在</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中另有规定。</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投标人应当对所投分包</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文件中“</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需求”所列的所有内容进行投标，如仅响应</w:t>
      </w:r>
      <w:r>
        <w:rPr>
          <w:rFonts w:hint="eastAsia" w:asciiTheme="minorEastAsia" w:hAnsiTheme="minorEastAsia" w:eastAsiaTheme="minorEastAsia" w:cstheme="minorEastAsia"/>
          <w:color w:val="auto"/>
          <w:sz w:val="24"/>
          <w:highlight w:val="none"/>
          <w:lang w:val="en-US" w:eastAsia="zh-CN"/>
        </w:rPr>
        <w:t>某一</w:t>
      </w:r>
      <w:r>
        <w:rPr>
          <w:rFonts w:hint="eastAsia" w:asciiTheme="minorEastAsia" w:hAnsiTheme="minorEastAsia" w:eastAsiaTheme="minorEastAsia" w:cstheme="minorEastAsia"/>
          <w:color w:val="auto"/>
          <w:sz w:val="24"/>
          <w:highlight w:val="none"/>
        </w:rPr>
        <w:t>包中的部分内容，其投标将被认定为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无论</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文件第5章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需求</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中是否要求，投标人所投</w:t>
      </w:r>
      <w:r>
        <w:rPr>
          <w:rFonts w:hint="eastAsia" w:asciiTheme="minorEastAsia" w:hAnsiTheme="minorEastAsia" w:eastAsiaTheme="minorEastAsia" w:cstheme="minorEastAsia"/>
          <w:color w:val="auto"/>
          <w:sz w:val="24"/>
          <w:highlight w:val="none"/>
          <w:lang w:val="en-US" w:eastAsia="zh-CN"/>
        </w:rPr>
        <w:t>内容</w:t>
      </w:r>
      <w:r>
        <w:rPr>
          <w:rFonts w:hint="eastAsia" w:asciiTheme="minorEastAsia" w:hAnsiTheme="minorEastAsia" w:eastAsiaTheme="minorEastAsia" w:cstheme="minorEastAsia"/>
          <w:color w:val="auto"/>
          <w:sz w:val="24"/>
          <w:highlight w:val="none"/>
        </w:rPr>
        <w:t>均应符合国家强制性标准。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     除</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文件中有特殊要求外，</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pPr>
        <w:pStyle w:val="5"/>
        <w:tabs>
          <w:tab w:val="left" w:pos="900"/>
        </w:tabs>
        <w:spacing w:before="0" w:after="0" w:line="240" w:lineRule="atLeast"/>
        <w:rPr>
          <w:rFonts w:hint="eastAsia" w:asciiTheme="minorEastAsia" w:hAnsiTheme="minorEastAsia" w:eastAsiaTheme="minorEastAsia" w:cstheme="minorEastAsia"/>
          <w:color w:val="auto"/>
          <w:highlight w:val="none"/>
          <w:u w:val="none"/>
        </w:rPr>
      </w:pPr>
      <w:bookmarkStart w:id="80" w:name="_Ref467306676"/>
      <w:bookmarkStart w:id="81" w:name="_Toc516367022"/>
      <w:bookmarkStart w:id="82" w:name="_Ref467306195"/>
      <w:bookmarkStart w:id="83" w:name="_Toc520356152"/>
      <w:bookmarkStart w:id="84" w:name="_Toc12406"/>
      <w:bookmarkStart w:id="85" w:name="_Toc518923071"/>
      <w:bookmarkStart w:id="86" w:name="_Toc20290"/>
      <w:bookmarkStart w:id="87" w:name="_Toc2646"/>
      <w:bookmarkStart w:id="88" w:name="_Toc32024"/>
      <w:r>
        <w:rPr>
          <w:rFonts w:hint="eastAsia" w:asciiTheme="minorEastAsia" w:hAnsiTheme="minorEastAsia" w:eastAsiaTheme="minorEastAsia" w:cstheme="minorEastAsia"/>
          <w:color w:val="auto"/>
          <w:highlight w:val="none"/>
          <w:u w:val="none"/>
        </w:rPr>
        <w:t>9.</w:t>
      </w:r>
      <w:bookmarkEnd w:id="80"/>
      <w:bookmarkEnd w:id="81"/>
      <w:bookmarkEnd w:id="82"/>
      <w:r>
        <w:rPr>
          <w:rFonts w:hint="eastAsia" w:asciiTheme="minorEastAsia" w:hAnsiTheme="minorEastAsia" w:eastAsiaTheme="minorEastAsia" w:cstheme="minorEastAsia"/>
          <w:color w:val="auto"/>
          <w:highlight w:val="none"/>
          <w:u w:val="none"/>
          <w:lang w:eastAsia="zh-CN"/>
        </w:rPr>
        <w:t>响应文件</w:t>
      </w:r>
      <w:r>
        <w:rPr>
          <w:rFonts w:hint="eastAsia" w:asciiTheme="minorEastAsia" w:hAnsiTheme="minorEastAsia" w:eastAsiaTheme="minorEastAsia" w:cstheme="minorEastAsia"/>
          <w:color w:val="auto"/>
          <w:highlight w:val="none"/>
          <w:u w:val="none"/>
        </w:rPr>
        <w:t>构成</w:t>
      </w:r>
      <w:bookmarkEnd w:id="83"/>
      <w:bookmarkEnd w:id="84"/>
      <w:bookmarkEnd w:id="85"/>
      <w:bookmarkEnd w:id="86"/>
      <w:bookmarkEnd w:id="87"/>
      <w:bookmarkEnd w:id="88"/>
    </w:p>
    <w:p>
      <w:pPr>
        <w:spacing w:line="240" w:lineRule="atLeast"/>
        <w:ind w:left="900" w:hanging="900" w:hangingChars="375"/>
        <w:rPr>
          <w:rFonts w:hint="eastAsia" w:asciiTheme="minorEastAsia" w:hAnsiTheme="minorEastAsia" w:eastAsiaTheme="minorEastAsia" w:cstheme="minorEastAsia"/>
          <w:color w:val="auto"/>
          <w:sz w:val="24"/>
          <w:highlight w:val="none"/>
          <w:u w:val="single"/>
        </w:rPr>
      </w:pPr>
      <w:bookmarkStart w:id="89" w:name="_Ref467052588"/>
      <w:r>
        <w:rPr>
          <w:rFonts w:hint="eastAsia" w:asciiTheme="minorEastAsia" w:hAnsiTheme="minorEastAsia" w:eastAsiaTheme="minorEastAsia" w:cstheme="minorEastAsia"/>
          <w:color w:val="auto"/>
          <w:sz w:val="24"/>
          <w:highlight w:val="none"/>
        </w:rPr>
        <w:t xml:space="preserve">9.1   </w:t>
      </w:r>
      <w:r>
        <w:rPr>
          <w:rFonts w:hint="eastAsia" w:asciiTheme="minorEastAsia" w:hAnsiTheme="minorEastAsia" w:eastAsiaTheme="minorEastAsia" w:cstheme="minorEastAsia"/>
          <w:color w:val="auto"/>
          <w:sz w:val="24"/>
          <w:highlight w:val="none"/>
          <w:u w:val="none"/>
        </w:rPr>
        <w:t xml:space="preserve">  </w:t>
      </w:r>
      <w:bookmarkEnd w:id="89"/>
      <w:r>
        <w:rPr>
          <w:rFonts w:hint="eastAsia" w:asciiTheme="minorEastAsia" w:hAnsiTheme="minorEastAsia" w:eastAsiaTheme="minorEastAsia" w:cstheme="minorEastAsia"/>
          <w:b/>
          <w:bCs/>
          <w:i w:val="0"/>
          <w:iCs w:val="0"/>
          <w:color w:val="auto"/>
          <w:sz w:val="24"/>
          <w:highlight w:val="none"/>
          <w:u w:val="single"/>
          <w:lang w:eastAsia="zh-CN"/>
        </w:rPr>
        <w:t>投标人</w:t>
      </w:r>
      <w:r>
        <w:rPr>
          <w:rFonts w:hint="eastAsia" w:asciiTheme="minorEastAsia" w:hAnsiTheme="minorEastAsia" w:eastAsiaTheme="minorEastAsia" w:cstheme="minorEastAsia"/>
          <w:b/>
          <w:bCs/>
          <w:i w:val="0"/>
          <w:iCs w:val="0"/>
          <w:color w:val="auto"/>
          <w:sz w:val="24"/>
          <w:highlight w:val="none"/>
          <w:u w:val="single"/>
        </w:rPr>
        <w:t>须在响应文件递交截止时间前完成在系统上递交电子响应文件。</w:t>
      </w:r>
      <w:r>
        <w:rPr>
          <w:rFonts w:hint="eastAsia" w:asciiTheme="minorEastAsia" w:hAnsiTheme="minorEastAsia" w:eastAsiaTheme="minorEastAsia" w:cstheme="minorEastAsia"/>
          <w:b/>
          <w:bCs/>
          <w:i w:val="0"/>
          <w:iCs w:val="0"/>
          <w:color w:val="auto"/>
          <w:sz w:val="24"/>
          <w:highlight w:val="none"/>
          <w:u w:val="single"/>
          <w:lang w:eastAsia="zh-CN"/>
        </w:rPr>
        <w:t>投标人</w:t>
      </w:r>
      <w:r>
        <w:rPr>
          <w:rFonts w:hint="eastAsia" w:asciiTheme="minorEastAsia" w:hAnsiTheme="minorEastAsia" w:eastAsiaTheme="minorEastAsia" w:cstheme="minorEastAsia"/>
          <w:b/>
          <w:bCs/>
          <w:i w:val="0"/>
          <w:iCs w:val="0"/>
          <w:color w:val="auto"/>
          <w:sz w:val="24"/>
          <w:highlight w:val="none"/>
          <w:u w:val="single"/>
        </w:rPr>
        <w:t>的电子响应文件是经过CA证书加密后上传提交的，任何单位或个人均无法在响应文件递交截止(即开标时间)之前查看或篡改，不存在泄密风险。（严格按照政采云电子投标流程制作并上传电子响应文件）</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上述文件应按照</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文件规定的格式填写、签署和盖章。</w:t>
      </w:r>
    </w:p>
    <w:p>
      <w:pPr>
        <w:pStyle w:val="5"/>
        <w:tabs>
          <w:tab w:val="left" w:pos="900"/>
        </w:tabs>
        <w:spacing w:before="0" w:after="0" w:line="240" w:lineRule="atLeast"/>
        <w:rPr>
          <w:rFonts w:hint="eastAsia" w:asciiTheme="minorEastAsia" w:hAnsiTheme="minorEastAsia" w:eastAsiaTheme="minorEastAsia" w:cstheme="minorEastAsia"/>
          <w:color w:val="auto"/>
          <w:highlight w:val="none"/>
          <w:u w:val="none"/>
        </w:rPr>
      </w:pPr>
      <w:bookmarkStart w:id="90" w:name="_Toc4377"/>
      <w:bookmarkStart w:id="91" w:name="_Toc508185920"/>
      <w:bookmarkStart w:id="92" w:name="_Toc31188"/>
      <w:bookmarkStart w:id="93" w:name="_Toc518923072"/>
      <w:bookmarkStart w:id="94" w:name="_Toc516367023"/>
      <w:bookmarkStart w:id="95" w:name="_Toc520356153"/>
      <w:bookmarkStart w:id="96" w:name="_Toc29082"/>
      <w:bookmarkStart w:id="97" w:name="_Toc22277"/>
      <w:bookmarkStart w:id="98" w:name="_Toc520356155"/>
      <w:r>
        <w:rPr>
          <w:rFonts w:hint="eastAsia" w:asciiTheme="minorEastAsia" w:hAnsiTheme="minorEastAsia" w:eastAsiaTheme="minorEastAsia" w:cstheme="minorEastAsia"/>
          <w:color w:val="auto"/>
          <w:highlight w:val="none"/>
          <w:u w:val="none"/>
        </w:rPr>
        <w:t>10.</w:t>
      </w:r>
      <w:r>
        <w:rPr>
          <w:rFonts w:hint="eastAsia" w:asciiTheme="minorEastAsia" w:hAnsiTheme="minorEastAsia" w:eastAsiaTheme="minorEastAsia" w:cstheme="minorEastAsia"/>
          <w:color w:val="auto"/>
          <w:highlight w:val="none"/>
          <w:u w:val="none"/>
        </w:rPr>
        <w:tab/>
      </w:r>
      <w:r>
        <w:rPr>
          <w:rFonts w:hint="eastAsia" w:asciiTheme="minorEastAsia" w:hAnsiTheme="minorEastAsia" w:eastAsiaTheme="minorEastAsia" w:cstheme="minorEastAsia"/>
          <w:color w:val="auto"/>
          <w:highlight w:val="none"/>
          <w:u w:val="none"/>
        </w:rPr>
        <w:t>证明投标的合格性和符合</w:t>
      </w:r>
      <w:r>
        <w:rPr>
          <w:rFonts w:hint="eastAsia" w:asciiTheme="minorEastAsia" w:hAnsiTheme="minorEastAsia" w:eastAsiaTheme="minorEastAsia" w:cstheme="minorEastAsia"/>
          <w:color w:val="auto"/>
          <w:highlight w:val="none"/>
          <w:u w:val="none"/>
          <w:lang w:eastAsia="zh-CN"/>
        </w:rPr>
        <w:t>磋商</w:t>
      </w:r>
      <w:r>
        <w:rPr>
          <w:rFonts w:hint="eastAsia" w:asciiTheme="minorEastAsia" w:hAnsiTheme="minorEastAsia" w:eastAsiaTheme="minorEastAsia" w:cstheme="minorEastAsia"/>
          <w:color w:val="auto"/>
          <w:highlight w:val="none"/>
          <w:u w:val="none"/>
        </w:rPr>
        <w:t>文件规定的响应文件</w:t>
      </w:r>
      <w:bookmarkEnd w:id="90"/>
      <w:bookmarkEnd w:id="91"/>
      <w:bookmarkEnd w:id="92"/>
      <w:bookmarkEnd w:id="93"/>
      <w:bookmarkEnd w:id="94"/>
      <w:bookmarkEnd w:id="95"/>
      <w:bookmarkEnd w:id="96"/>
      <w:bookmarkEnd w:id="97"/>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投标人应提交证明文件，证明其投标内容符合</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文件规定。该证明文件是</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的一部分。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bookmarkStart w:id="99" w:name="_Ref467306244"/>
      <w:r>
        <w:rPr>
          <w:rFonts w:hint="eastAsia" w:asciiTheme="minorEastAsia" w:hAnsiTheme="minorEastAsia" w:eastAsiaTheme="minorEastAsia" w:cstheme="minorEastAsia"/>
          <w:color w:val="auto"/>
          <w:sz w:val="24"/>
          <w:highlight w:val="none"/>
        </w:rPr>
        <w:t>10.2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上款所述的证明文件，可以是文字资料、图纸和数据</w:t>
      </w:r>
      <w:bookmarkEnd w:id="99"/>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10.3</w:t>
      </w:r>
      <w:r>
        <w:rPr>
          <w:rFonts w:hint="eastAsia" w:asciiTheme="minorEastAsia" w:hAnsiTheme="minorEastAsia" w:eastAsiaTheme="minorEastAsia" w:cstheme="minorEastAsia"/>
          <w:b w:val="0"/>
          <w:bCs w:val="0"/>
          <w:color w:val="auto"/>
          <w:sz w:val="24"/>
          <w:highlight w:val="none"/>
        </w:rPr>
        <w:tab/>
      </w:r>
      <w:r>
        <w:rPr>
          <w:rFonts w:hint="eastAsia" w:asciiTheme="minorEastAsia" w:hAnsiTheme="minorEastAsia" w:eastAsiaTheme="minorEastAsia" w:cstheme="minorEastAsia"/>
          <w:b w:val="0"/>
          <w:bCs w:val="0"/>
          <w:color w:val="auto"/>
          <w:sz w:val="24"/>
          <w:highlight w:val="none"/>
        </w:rPr>
        <w:t>投标人应注意采购人在技术规格</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参数</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磋商</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时判定其投标是否有效的标准。</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00" w:name="_Toc4221"/>
      <w:bookmarkStart w:id="101" w:name="_Toc7831"/>
      <w:bookmarkStart w:id="102" w:name="_Toc16961"/>
      <w:bookmarkStart w:id="103" w:name="_Toc518923073"/>
      <w:bookmarkStart w:id="104" w:name="_Toc6654"/>
      <w:r>
        <w:rPr>
          <w:rFonts w:hint="eastAsia" w:asciiTheme="minorEastAsia" w:hAnsiTheme="minorEastAsia" w:eastAsiaTheme="minorEastAsia" w:cstheme="minorEastAsia"/>
          <w:color w:val="auto"/>
          <w:highlight w:val="none"/>
          <w:u w:val="none"/>
        </w:rPr>
        <w:t>11.投标报价</w:t>
      </w:r>
      <w:bookmarkEnd w:id="98"/>
      <w:bookmarkEnd w:id="100"/>
      <w:bookmarkEnd w:id="101"/>
      <w:bookmarkEnd w:id="102"/>
      <w:bookmarkEnd w:id="103"/>
      <w:bookmarkEnd w:id="104"/>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所有投标均以人民币报价。投标人的投标报价应遵守《中华人民共和国价格法》。同时，根据《中华人民共和国政府采购法</w:t>
      </w:r>
      <w:r>
        <w:rPr>
          <w:rFonts w:hint="eastAsia" w:asciiTheme="minorEastAsia" w:hAnsiTheme="minorEastAsia" w:eastAsiaTheme="minorEastAsia" w:cstheme="minorEastAsia"/>
          <w:b w:val="0"/>
          <w:bCs w:val="0"/>
          <w:color w:val="auto"/>
          <w:sz w:val="24"/>
          <w:highlight w:val="none"/>
        </w:rPr>
        <w:t>》第二条的规定，为保证公平竞争，如有主体</w:t>
      </w:r>
      <w:r>
        <w:rPr>
          <w:rFonts w:hint="eastAsia" w:asciiTheme="minorEastAsia" w:hAnsiTheme="minorEastAsia" w:eastAsiaTheme="minorEastAsia" w:cstheme="minorEastAsia"/>
          <w:b w:val="0"/>
          <w:bCs w:val="0"/>
          <w:color w:val="auto"/>
          <w:sz w:val="24"/>
          <w:highlight w:val="none"/>
          <w:lang w:val="en-US" w:eastAsia="zh-CN"/>
        </w:rPr>
        <w:t>部分</w:t>
      </w:r>
      <w:r>
        <w:rPr>
          <w:rFonts w:hint="eastAsia" w:asciiTheme="minorEastAsia" w:hAnsiTheme="minorEastAsia" w:eastAsiaTheme="minorEastAsia" w:cstheme="minorEastAsia"/>
          <w:b w:val="0"/>
          <w:bCs w:val="0"/>
          <w:color w:val="auto"/>
          <w:sz w:val="24"/>
          <w:highlight w:val="none"/>
        </w:rPr>
        <w:t>标的的赠与行为，其投标将被认定为投标无效</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投标人应标明投标</w:t>
      </w:r>
      <w:r>
        <w:rPr>
          <w:rFonts w:hint="eastAsia" w:asciiTheme="minorEastAsia" w:hAnsiTheme="minorEastAsia" w:eastAsiaTheme="minorEastAsia" w:cstheme="minorEastAsia"/>
          <w:color w:val="auto"/>
          <w:sz w:val="24"/>
          <w:highlight w:val="none"/>
          <w:lang w:val="en-US" w:eastAsia="zh-CN"/>
        </w:rPr>
        <w:t>工程量</w:t>
      </w:r>
      <w:r>
        <w:rPr>
          <w:rFonts w:hint="eastAsia" w:asciiTheme="minorEastAsia" w:hAnsiTheme="minorEastAsia" w:eastAsiaTheme="minorEastAsia" w:cstheme="minorEastAsia"/>
          <w:color w:val="auto"/>
          <w:sz w:val="24"/>
          <w:highlight w:val="none"/>
        </w:rPr>
        <w:t>的单价</w:t>
      </w:r>
      <w:r>
        <w:rPr>
          <w:rFonts w:hint="eastAsia" w:asciiTheme="minorEastAsia" w:hAnsiTheme="minorEastAsia" w:eastAsiaTheme="minorEastAsia" w:cstheme="minorEastAsia"/>
          <w:color w:val="auto"/>
          <w:sz w:val="24"/>
          <w:highlight w:val="none"/>
          <w:lang w:val="en-US" w:eastAsia="zh-CN"/>
        </w:rPr>
        <w:t>和总价</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采购人不接受具有附加条件的报价。</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投标人所报的各分项投标报价在合同履行过程中是固定不变的，不得以任何理由予以变更。任何包含价格调整要求的投标，将</w:t>
      </w:r>
      <w:r>
        <w:rPr>
          <w:rFonts w:hint="eastAsia" w:asciiTheme="minorEastAsia" w:hAnsiTheme="minorEastAsia" w:eastAsiaTheme="minorEastAsia" w:cstheme="minorEastAsia"/>
          <w:color w:val="auto"/>
          <w:sz w:val="24"/>
          <w:highlight w:val="none"/>
          <w:lang w:val="en-US" w:eastAsia="zh-CN"/>
        </w:rPr>
        <w:t>投标将</w:t>
      </w:r>
      <w:r>
        <w:rPr>
          <w:rFonts w:hint="eastAsia" w:asciiTheme="minorEastAsia" w:hAnsiTheme="minorEastAsia" w:eastAsiaTheme="minorEastAsia" w:cstheme="minorEastAsia"/>
          <w:color w:val="auto"/>
          <w:sz w:val="24"/>
          <w:highlight w:val="none"/>
        </w:rPr>
        <w:t>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pStyle w:val="5"/>
        <w:spacing w:before="0" w:after="0" w:line="240" w:lineRule="atLeast"/>
        <w:rPr>
          <w:rFonts w:hint="eastAsia" w:asciiTheme="minorEastAsia" w:hAnsiTheme="minorEastAsia" w:eastAsiaTheme="minorEastAsia" w:cstheme="minorEastAsia"/>
          <w:color w:val="auto"/>
          <w:highlight w:val="none"/>
          <w:u w:val="none"/>
          <w:lang w:eastAsia="zh-CN"/>
        </w:rPr>
      </w:pPr>
      <w:bookmarkStart w:id="105" w:name="_Toc31573"/>
      <w:bookmarkStart w:id="106" w:name="_Toc518923074"/>
      <w:bookmarkStart w:id="107" w:name="_Ref467306513"/>
      <w:bookmarkStart w:id="108" w:name="_Toc520356156"/>
      <w:bookmarkStart w:id="109" w:name="_Toc13001"/>
      <w:bookmarkStart w:id="110" w:name="_Toc19457"/>
      <w:bookmarkStart w:id="111" w:name="_Toc26741"/>
      <w:r>
        <w:rPr>
          <w:rFonts w:hint="eastAsia" w:asciiTheme="minorEastAsia" w:hAnsiTheme="minorEastAsia" w:eastAsiaTheme="minorEastAsia" w:cstheme="minorEastAsia"/>
          <w:color w:val="auto"/>
          <w:highlight w:val="none"/>
          <w:u w:val="none"/>
        </w:rPr>
        <w:t>12.</w:t>
      </w:r>
      <w:bookmarkEnd w:id="105"/>
      <w:bookmarkEnd w:id="106"/>
      <w:bookmarkEnd w:id="107"/>
      <w:bookmarkEnd w:id="108"/>
      <w:bookmarkEnd w:id="109"/>
      <w:bookmarkEnd w:id="110"/>
      <w:bookmarkEnd w:id="111"/>
      <w:r>
        <w:rPr>
          <w:rFonts w:hint="eastAsia" w:asciiTheme="minorEastAsia" w:hAnsiTheme="minorEastAsia" w:eastAsiaTheme="minorEastAsia" w:cstheme="minorEastAsia"/>
          <w:color w:val="auto"/>
          <w:highlight w:val="none"/>
          <w:u w:val="none"/>
          <w:lang w:eastAsia="zh-CN"/>
        </w:rPr>
        <w:t>磋商保证金</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bookmarkStart w:id="112" w:name="_Ref467306302"/>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投标人应提交</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中规定的</w:t>
      </w:r>
      <w:bookmarkEnd w:id="112"/>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并将银行开户许可证或基本存款账户信息一并放入响应文件内</w:t>
      </w:r>
      <w:r>
        <w:rPr>
          <w:rFonts w:hint="eastAsia" w:asciiTheme="minorEastAsia" w:hAnsiTheme="minorEastAsia" w:eastAsiaTheme="minorEastAsia" w:cstheme="minorEastAsia"/>
          <w:color w:val="auto"/>
          <w:sz w:val="24"/>
          <w:highlight w:val="none"/>
        </w:rPr>
        <w:t>作为其投标的一部分。</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投标人存在下列情形的，</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不予退还：</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（1）在投标有效期内，撤销投标的；</w:t>
      </w:r>
    </w:p>
    <w:p>
      <w:pPr>
        <w:pStyle w:val="14"/>
        <w:tabs>
          <w:tab w:val="left" w:pos="2240"/>
        </w:tabs>
        <w:spacing w:line="240" w:lineRule="atLeas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（2）中标后不按本须知第30条的规定与采购人签订合同的；</w:t>
      </w:r>
    </w:p>
    <w:p>
      <w:pPr>
        <w:pStyle w:val="14"/>
        <w:tabs>
          <w:tab w:val="left" w:pos="2240"/>
        </w:tabs>
        <w:spacing w:line="240" w:lineRule="atLeas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（3）中标后不按本须知第31条的规定提交履约保证金的；</w:t>
      </w:r>
    </w:p>
    <w:p>
      <w:pPr>
        <w:pStyle w:val="14"/>
        <w:tabs>
          <w:tab w:val="left" w:pos="2240"/>
        </w:tabs>
        <w:spacing w:line="240" w:lineRule="atLeas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（4）中标后不按本须知第32条的规定缴纳中标服务费的；</w:t>
      </w:r>
    </w:p>
    <w:p>
      <w:pPr>
        <w:pStyle w:val="14"/>
        <w:tabs>
          <w:tab w:val="left" w:pos="2240"/>
        </w:tabs>
        <w:spacing w:line="240" w:lineRule="atLeas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（5）存在其他违法违规行为的。</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bookmarkStart w:id="113" w:name="_Ref467306336"/>
      <w:r>
        <w:rPr>
          <w:rFonts w:hint="eastAsia" w:asciiTheme="minorEastAsia" w:hAnsiTheme="minorEastAsia" w:eastAsiaTheme="minorEastAsia" w:cstheme="minorEastAsia"/>
          <w:color w:val="auto"/>
          <w:sz w:val="24"/>
          <w:highlight w:val="none"/>
        </w:rPr>
        <w:t>12.3</w:t>
      </w:r>
      <w:r>
        <w:rPr>
          <w:rFonts w:hint="eastAsia" w:asciiTheme="minorEastAsia" w:hAnsiTheme="minorEastAsia" w:eastAsiaTheme="minorEastAsia" w:cstheme="minorEastAsia"/>
          <w:color w:val="auto"/>
          <w:sz w:val="24"/>
          <w:highlight w:val="none"/>
        </w:rPr>
        <w:tab/>
      </w:r>
      <w:bookmarkEnd w:id="113"/>
      <w:r>
        <w:rPr>
          <w:rFonts w:hint="eastAsia" w:asciiTheme="minorEastAsia" w:hAnsiTheme="minorEastAsia" w:eastAsiaTheme="minorEastAsia" w:cstheme="minorEastAsia"/>
          <w:color w:val="auto"/>
          <w:sz w:val="24"/>
          <w:highlight w:val="none"/>
        </w:rPr>
        <w:t>政府采购信用担保试点范围内的项目，接受符合财政部门规定的政府采购投标担保函原件。</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投标人未按本须知第12.1和12.3条规定提交</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  采用电汇形式的，一般可以实时入账；</w:t>
      </w:r>
    </w:p>
    <w:p>
      <w:pPr>
        <w:spacing w:line="240" w:lineRule="atLeas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12.4.2  采用支票形式的，投标人则应充分考虑支票入账时间，以确保</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能按时进入指定账户。根据银行信息交换和付款时间，支票从递交至实际入账一般需要4-5个工作日。如投标人未及时提交支票或支票不符合银行委托收款要求（如污损、折叠、胶装等），导致</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不能按时进入指定账户的，将按照</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文件的第22.2条相关规定处理。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    联合体投标的，可以由联合体中的一方或者共同提交</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。以一方名义提交</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的，对联合体各方均具有约束力。</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lang w:eastAsia="zh-CN"/>
        </w:rPr>
        <w:t>磋商保证金</w:t>
      </w:r>
      <w:r>
        <w:rPr>
          <w:rFonts w:hint="eastAsia" w:asciiTheme="minorEastAsia" w:hAnsiTheme="minorEastAsia" w:eastAsiaTheme="minorEastAsia" w:cstheme="minorEastAsia"/>
          <w:b/>
          <w:color w:val="auto"/>
          <w:sz w:val="24"/>
          <w:highlight w:val="none"/>
        </w:rPr>
        <w:t>的退还</w:t>
      </w:r>
    </w:p>
    <w:p>
      <w:pPr>
        <w:spacing w:line="240" w:lineRule="atLeas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12.6.1  中标人应在与采购人签订合同之日起5个工作日内，及时联系保证金收受机构办理</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无息退还手续。</w:t>
      </w:r>
    </w:p>
    <w:p>
      <w:pPr>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12.6.2  未中标投标人的</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将在中标通知书发出之日暨中标结果公告公布之日起5个工作日内无息退还。投标人</w:t>
      </w:r>
      <w:r>
        <w:rPr>
          <w:rFonts w:hint="eastAsia" w:asciiTheme="minorEastAsia" w:hAnsiTheme="minorEastAsia" w:eastAsiaTheme="minorEastAsia" w:cstheme="minorEastAsia"/>
          <w:color w:val="auto"/>
          <w:sz w:val="24"/>
          <w:highlight w:val="none"/>
          <w:lang w:val="en-US" w:eastAsia="zh-CN"/>
        </w:rPr>
        <w:t>应</w:t>
      </w:r>
      <w:r>
        <w:rPr>
          <w:rFonts w:hint="eastAsia" w:asciiTheme="minorEastAsia" w:hAnsiTheme="minorEastAsia" w:eastAsiaTheme="minorEastAsia" w:cstheme="minorEastAsia"/>
          <w:color w:val="auto"/>
          <w:sz w:val="24"/>
          <w:highlight w:val="none"/>
        </w:rPr>
        <w:t>及时联系保证金收受机构办理退还</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手续。</w:t>
      </w:r>
      <w:bookmarkStart w:id="114" w:name="_Toc518923075"/>
    </w:p>
    <w:p>
      <w:pPr>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12.6.3  政府采购投标担保函不予退回。</w:t>
      </w:r>
      <w:bookmarkEnd w:id="114"/>
    </w:p>
    <w:p>
      <w:pPr>
        <w:spacing w:line="240" w:lineRule="atLeas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    因投标人自身原因导致无法及时退还的，采购人或采购代理机构将不承担相应责任。</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15" w:name="_Toc8995"/>
      <w:bookmarkStart w:id="116" w:name="_Toc12225"/>
      <w:bookmarkStart w:id="117" w:name="_Toc12919"/>
      <w:bookmarkStart w:id="118" w:name="_Toc518923076"/>
      <w:bookmarkStart w:id="119" w:name="_Toc23336"/>
      <w:bookmarkStart w:id="120" w:name="_Toc520356157"/>
      <w:r>
        <w:rPr>
          <w:rFonts w:hint="eastAsia" w:asciiTheme="minorEastAsia" w:hAnsiTheme="minorEastAsia" w:eastAsiaTheme="minorEastAsia" w:cstheme="minorEastAsia"/>
          <w:color w:val="auto"/>
          <w:highlight w:val="none"/>
          <w:u w:val="none"/>
        </w:rPr>
        <w:t>13.投标有效期</w:t>
      </w:r>
      <w:bookmarkEnd w:id="115"/>
      <w:bookmarkEnd w:id="116"/>
      <w:bookmarkEnd w:id="117"/>
      <w:bookmarkEnd w:id="118"/>
      <w:bookmarkEnd w:id="119"/>
      <w:bookmarkEnd w:id="120"/>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投标应在</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中规定时间内保持有效。投标有效期不满足要求的投标，其投标将被认定为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为保证有充分时间签订合同，采购人或采购代理机构可根据实际情况，在原投标有效期截止之前，要求投标人延长</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的有效期。接受该要求的投标人将不会被要求和允许修正其投标，且本须知中有关</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的要求须在延长的有效期内继续有效。投标人可以拒绝延长投标有效期的要求，其</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将及时按规定无息退还。上述要求和答复都应以书面形式提交。</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21" w:name="_Toc520356158"/>
      <w:bookmarkStart w:id="122" w:name="_Toc14163"/>
      <w:bookmarkStart w:id="123" w:name="_Toc10284"/>
      <w:bookmarkStart w:id="124" w:name="_Toc13819"/>
      <w:bookmarkStart w:id="125" w:name="_Toc18345"/>
      <w:bookmarkStart w:id="126" w:name="_Toc518923077"/>
      <w:r>
        <w:rPr>
          <w:rFonts w:hint="eastAsia" w:asciiTheme="minorEastAsia" w:hAnsiTheme="minorEastAsia" w:eastAsiaTheme="minorEastAsia" w:cstheme="minorEastAsia"/>
          <w:color w:val="auto"/>
          <w:highlight w:val="none"/>
          <w:u w:val="none"/>
        </w:rPr>
        <w:t>14.</w:t>
      </w:r>
      <w:r>
        <w:rPr>
          <w:rFonts w:hint="eastAsia" w:asciiTheme="minorEastAsia" w:hAnsiTheme="minorEastAsia" w:eastAsiaTheme="minorEastAsia" w:cstheme="minorEastAsia"/>
          <w:color w:val="auto"/>
          <w:highlight w:val="none"/>
          <w:u w:val="none"/>
          <w:lang w:eastAsia="zh-CN"/>
        </w:rPr>
        <w:t>响应文件</w:t>
      </w:r>
      <w:r>
        <w:rPr>
          <w:rFonts w:hint="eastAsia" w:asciiTheme="minorEastAsia" w:hAnsiTheme="minorEastAsia" w:eastAsiaTheme="minorEastAsia" w:cstheme="minorEastAsia"/>
          <w:color w:val="auto"/>
          <w:highlight w:val="none"/>
          <w:u w:val="none"/>
        </w:rPr>
        <w:t>的签署</w:t>
      </w:r>
      <w:bookmarkEnd w:id="121"/>
      <w:r>
        <w:rPr>
          <w:rFonts w:hint="eastAsia" w:asciiTheme="minorEastAsia" w:hAnsiTheme="minorEastAsia" w:eastAsiaTheme="minorEastAsia" w:cstheme="minorEastAsia"/>
          <w:color w:val="auto"/>
          <w:highlight w:val="none"/>
          <w:u w:val="none"/>
        </w:rPr>
        <w:t>及规定</w:t>
      </w:r>
      <w:bookmarkEnd w:id="122"/>
      <w:bookmarkEnd w:id="123"/>
      <w:bookmarkEnd w:id="124"/>
      <w:bookmarkEnd w:id="125"/>
      <w:bookmarkEnd w:id="126"/>
    </w:p>
    <w:p>
      <w:pPr>
        <w:spacing w:line="240" w:lineRule="atLeast"/>
        <w:ind w:left="900" w:hanging="900" w:hangingChars="375"/>
        <w:rPr>
          <w:rFonts w:hint="eastAsia" w:asciiTheme="minorEastAsia" w:hAnsiTheme="minorEastAsia" w:eastAsiaTheme="minorEastAsia" w:cstheme="minorEastAsia"/>
          <w:color w:val="auto"/>
          <w:sz w:val="24"/>
          <w:highlight w:val="yellow"/>
          <w:shd w:val="clear" w:color="auto" w:fill="auto"/>
        </w:rPr>
      </w:pPr>
      <w:r>
        <w:rPr>
          <w:rFonts w:hint="eastAsia" w:asciiTheme="minorEastAsia" w:hAnsiTheme="minorEastAsia" w:eastAsiaTheme="minorEastAsia" w:cstheme="minorEastAsia"/>
          <w:color w:val="auto"/>
          <w:sz w:val="24"/>
          <w:highlight w:val="none"/>
        </w:rPr>
        <w:t>14.1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shd w:val="clear" w:color="auto" w:fill="auto"/>
        </w:rPr>
        <w:t>投标人应按</w:t>
      </w:r>
      <w:r>
        <w:rPr>
          <w:rFonts w:hint="eastAsia" w:asciiTheme="minorEastAsia" w:hAnsiTheme="minorEastAsia" w:eastAsiaTheme="minorEastAsia" w:cstheme="minorEastAsia"/>
          <w:color w:val="auto"/>
          <w:sz w:val="24"/>
          <w:highlight w:val="none"/>
          <w:u w:val="single"/>
          <w:shd w:val="clear" w:color="auto" w:fill="auto"/>
        </w:rPr>
        <w:t>投标人须知资料表</w:t>
      </w:r>
      <w:r>
        <w:rPr>
          <w:rFonts w:hint="eastAsia" w:asciiTheme="minorEastAsia" w:hAnsiTheme="minorEastAsia" w:eastAsiaTheme="minorEastAsia" w:cstheme="minorEastAsia"/>
          <w:color w:val="auto"/>
          <w:sz w:val="24"/>
          <w:highlight w:val="none"/>
          <w:shd w:val="clear" w:color="auto" w:fill="auto"/>
        </w:rPr>
        <w:t>中的规定，准供应商须在响应文件递交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所有投标文件采用电子版，否则将被认定为</w:t>
      </w:r>
      <w:r>
        <w:rPr>
          <w:rFonts w:hint="eastAsia" w:asciiTheme="minorEastAsia" w:hAnsiTheme="minorEastAsia" w:eastAsiaTheme="minorEastAsia" w:cstheme="minorEastAsia"/>
          <w:b/>
          <w:bCs/>
          <w:color w:val="auto"/>
          <w:sz w:val="24"/>
          <w:highlight w:val="none"/>
          <w:shd w:val="clear" w:color="auto" w:fill="auto"/>
        </w:rPr>
        <w:t>投标无效</w:t>
      </w:r>
      <w:r>
        <w:rPr>
          <w:rFonts w:hint="eastAsia" w:asciiTheme="minorEastAsia" w:hAnsiTheme="minorEastAsia" w:eastAsiaTheme="minorEastAsia" w:cstheme="minorEastAsia"/>
          <w:color w:val="auto"/>
          <w:sz w:val="24"/>
          <w:highlight w:val="none"/>
          <w:shd w:val="clear" w:color="auto" w:fill="auto"/>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所有响应文件应按照招标文件规定的格式填写、签署和盖章。</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响应文件因字迹潦草、表达不清或未按照招标文件规定的格式填写、签署和盖章所引起的后果由供应商负责。</w:t>
      </w:r>
    </w:p>
    <w:p>
      <w:pPr>
        <w:pStyle w:val="4"/>
        <w:spacing w:before="0" w:line="240" w:lineRule="atLeast"/>
        <w:ind w:left="1079" w:leftChars="257" w:hanging="540"/>
        <w:rPr>
          <w:rFonts w:hint="eastAsia" w:asciiTheme="minorEastAsia" w:hAnsiTheme="minorEastAsia" w:eastAsiaTheme="minorEastAsia" w:cstheme="minorEastAsia"/>
          <w:color w:val="auto"/>
          <w:sz w:val="24"/>
          <w:highlight w:val="none"/>
        </w:rPr>
      </w:pPr>
      <w:bookmarkStart w:id="127" w:name="_Toc216582808"/>
      <w:bookmarkStart w:id="128" w:name="_Toc17402"/>
      <w:bookmarkStart w:id="129" w:name="_Toc520356159"/>
      <w:bookmarkStart w:id="130" w:name="_Toc518923078"/>
      <w:bookmarkStart w:id="131" w:name="_Toc24911"/>
      <w:bookmarkStart w:id="132" w:name="_Toc9903"/>
      <w:bookmarkStart w:id="133" w:name="_Toc20086"/>
      <w:bookmarkStart w:id="134" w:name="_Toc13201"/>
      <w:r>
        <w:rPr>
          <w:rFonts w:hint="eastAsia" w:asciiTheme="minorEastAsia" w:hAnsiTheme="minorEastAsia" w:eastAsiaTheme="minorEastAsia" w:cstheme="minorEastAsia"/>
          <w:color w:val="auto"/>
          <w:sz w:val="24"/>
          <w:highlight w:val="none"/>
        </w:rPr>
        <w:t xml:space="preserve">四   </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的递交</w:t>
      </w:r>
      <w:bookmarkEnd w:id="127"/>
      <w:bookmarkEnd w:id="128"/>
      <w:bookmarkEnd w:id="129"/>
      <w:bookmarkEnd w:id="130"/>
      <w:bookmarkEnd w:id="131"/>
      <w:bookmarkEnd w:id="132"/>
      <w:bookmarkEnd w:id="133"/>
      <w:bookmarkEnd w:id="134"/>
    </w:p>
    <w:p>
      <w:pPr>
        <w:pStyle w:val="2"/>
        <w:rPr>
          <w:rFonts w:hint="eastAsia" w:asciiTheme="minorEastAsia" w:hAnsiTheme="minorEastAsia" w:eastAsiaTheme="minorEastAsia" w:cstheme="minorEastAsia"/>
          <w:color w:val="auto"/>
          <w:highlight w:val="none"/>
        </w:rPr>
      </w:pP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35" w:name="_Toc20802"/>
      <w:bookmarkStart w:id="136" w:name="_Toc520356160"/>
      <w:bookmarkStart w:id="137" w:name="_Toc518923079"/>
      <w:bookmarkStart w:id="138" w:name="_Toc27606"/>
      <w:bookmarkStart w:id="139" w:name="_Toc29911"/>
      <w:bookmarkStart w:id="140" w:name="_Toc11029"/>
      <w:r>
        <w:rPr>
          <w:rFonts w:hint="eastAsia" w:asciiTheme="minorEastAsia" w:hAnsiTheme="minorEastAsia" w:eastAsiaTheme="minorEastAsia" w:cstheme="minorEastAsia"/>
          <w:color w:val="auto"/>
          <w:highlight w:val="none"/>
          <w:u w:val="none"/>
        </w:rPr>
        <w:t>15.</w:t>
      </w:r>
      <w:r>
        <w:rPr>
          <w:rFonts w:hint="eastAsia" w:asciiTheme="minorEastAsia" w:hAnsiTheme="minorEastAsia" w:eastAsiaTheme="minorEastAsia" w:cstheme="minorEastAsia"/>
          <w:color w:val="auto"/>
          <w:highlight w:val="none"/>
          <w:u w:val="none"/>
          <w:lang w:eastAsia="zh-CN"/>
        </w:rPr>
        <w:t>响应文件</w:t>
      </w:r>
      <w:r>
        <w:rPr>
          <w:rFonts w:hint="eastAsia" w:asciiTheme="minorEastAsia" w:hAnsiTheme="minorEastAsia" w:eastAsiaTheme="minorEastAsia" w:cstheme="minorEastAsia"/>
          <w:color w:val="auto"/>
          <w:highlight w:val="none"/>
          <w:u w:val="none"/>
        </w:rPr>
        <w:t>的密封和标记</w:t>
      </w:r>
      <w:bookmarkEnd w:id="135"/>
      <w:bookmarkEnd w:id="136"/>
      <w:bookmarkEnd w:id="137"/>
      <w:bookmarkEnd w:id="138"/>
      <w:bookmarkEnd w:id="139"/>
      <w:bookmarkEnd w:id="140"/>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投标人应完整地按</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文件提供的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格式及要求</w:t>
      </w:r>
      <w:r>
        <w:rPr>
          <w:rFonts w:hint="eastAsia" w:asciiTheme="minorEastAsia" w:hAnsiTheme="minorEastAsia" w:eastAsiaTheme="minorEastAsia" w:cstheme="minorEastAsia"/>
          <w:color w:val="auto"/>
          <w:sz w:val="24"/>
          <w:highlight w:val="none"/>
          <w:lang w:val="en-US" w:eastAsia="zh-CN"/>
        </w:rPr>
        <w:t>编</w:t>
      </w:r>
      <w:r>
        <w:rPr>
          <w:rFonts w:hint="eastAsia" w:asciiTheme="minorEastAsia" w:hAnsiTheme="minorEastAsia" w:eastAsiaTheme="minorEastAsia" w:cstheme="minorEastAsia"/>
          <w:color w:val="auto"/>
          <w:sz w:val="24"/>
          <w:highlight w:val="none"/>
        </w:rPr>
        <w:t>写</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应包括</w:t>
      </w:r>
      <w:r>
        <w:rPr>
          <w:rFonts w:hint="eastAsia" w:asciiTheme="minorEastAsia" w:hAnsiTheme="minorEastAsia" w:eastAsiaTheme="minorEastAsia" w:cstheme="minorEastAsia"/>
          <w:color w:val="auto"/>
          <w:sz w:val="24"/>
          <w:highlight w:val="none"/>
          <w:lang w:val="en-US" w:eastAsia="zh-CN"/>
        </w:rPr>
        <w:t>磋商文件内要求提供的所有内容</w:t>
      </w:r>
      <w:r>
        <w:rPr>
          <w:rFonts w:hint="eastAsia" w:asciiTheme="minorEastAsia" w:hAnsiTheme="minorEastAsia" w:eastAsiaTheme="minorEastAsia" w:cstheme="minorEastAsia"/>
          <w:b/>
          <w:bCs/>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   所有包装封皮和信封上均应：</w:t>
      </w:r>
    </w:p>
    <w:p>
      <w:pPr>
        <w:spacing w:line="240" w:lineRule="atLeast"/>
        <w:ind w:left="897" w:leftChars="399" w:hanging="60" w:hangingChars="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（1）注明</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公告或投标邀请书中指明的</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项目名称、</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编号、投标人名称和“在（开标时间）之前不得启封”的字样。</w:t>
      </w:r>
    </w:p>
    <w:p>
      <w:pPr>
        <w:spacing w:line="240" w:lineRule="atLeast"/>
        <w:ind w:left="897" w:leftChars="399" w:hanging="60" w:hangingChars="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（2）在封口处加盖投标人单位章，或由法定代表人（或其委托代理人）签字</w:t>
      </w:r>
      <w:r>
        <w:rPr>
          <w:rFonts w:hint="eastAsia" w:asciiTheme="minorEastAsia" w:hAnsiTheme="minorEastAsia" w:eastAsiaTheme="minorEastAsia" w:cstheme="minorEastAsia"/>
          <w:color w:val="auto"/>
          <w:sz w:val="24"/>
          <w:highlight w:val="none"/>
          <w:lang w:val="en-US" w:eastAsia="zh-CN"/>
        </w:rPr>
        <w:t>或盖章</w:t>
      </w:r>
      <w:r>
        <w:rPr>
          <w:rFonts w:hint="eastAsia" w:asciiTheme="minorEastAsia" w:hAnsiTheme="minorEastAsia" w:eastAsiaTheme="minorEastAsia" w:cstheme="minorEastAsia"/>
          <w:color w:val="auto"/>
          <w:sz w:val="24"/>
          <w:highlight w:val="none"/>
        </w:rPr>
        <w:t>。</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如果投标人未按上述要求密封，其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将被拒绝接收。</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41" w:name="_Toc19383"/>
      <w:bookmarkStart w:id="142" w:name="_Toc518923080"/>
      <w:bookmarkStart w:id="143" w:name="_Toc520356161"/>
      <w:bookmarkStart w:id="144" w:name="_Toc8960"/>
      <w:bookmarkStart w:id="145" w:name="_Toc14432"/>
      <w:bookmarkStart w:id="146" w:name="_Toc9962"/>
      <w:r>
        <w:rPr>
          <w:rFonts w:hint="eastAsia" w:asciiTheme="minorEastAsia" w:hAnsiTheme="minorEastAsia" w:eastAsiaTheme="minorEastAsia" w:cstheme="minorEastAsia"/>
          <w:color w:val="auto"/>
          <w:highlight w:val="none"/>
          <w:u w:val="none"/>
        </w:rPr>
        <w:t>16.投标截止</w:t>
      </w:r>
      <w:bookmarkEnd w:id="141"/>
      <w:bookmarkEnd w:id="142"/>
      <w:bookmarkEnd w:id="143"/>
      <w:bookmarkEnd w:id="144"/>
      <w:bookmarkEnd w:id="145"/>
      <w:bookmarkEnd w:id="146"/>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投标人应在</w:t>
      </w:r>
      <w:r>
        <w:rPr>
          <w:rFonts w:hint="eastAsia" w:asciiTheme="minorEastAsia" w:hAnsiTheme="minorEastAsia" w:eastAsiaTheme="minorEastAsia" w:cstheme="minorEastAsia"/>
          <w:color w:val="auto"/>
          <w:sz w:val="24"/>
          <w:highlight w:val="none"/>
          <w:u w:val="single"/>
        </w:rPr>
        <w:t>投标</w:t>
      </w:r>
      <w:r>
        <w:rPr>
          <w:rFonts w:hint="eastAsia" w:asciiTheme="minorEastAsia" w:hAnsiTheme="minorEastAsia" w:eastAsiaTheme="minorEastAsia" w:cstheme="minorEastAsia"/>
          <w:color w:val="auto"/>
          <w:sz w:val="24"/>
          <w:highlight w:val="none"/>
          <w:u w:val="single"/>
          <w:lang w:val="en-US" w:eastAsia="zh-CN"/>
        </w:rPr>
        <w:t>人须知资料表中</w:t>
      </w:r>
      <w:r>
        <w:rPr>
          <w:rFonts w:hint="eastAsia" w:asciiTheme="minorEastAsia" w:hAnsiTheme="minorEastAsia" w:eastAsiaTheme="minorEastAsia" w:cstheme="minorEastAsia"/>
          <w:color w:val="auto"/>
          <w:sz w:val="24"/>
          <w:highlight w:val="none"/>
        </w:rPr>
        <w:t>规定的截止时间前，将</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递交到投标邀请书</w:t>
      </w:r>
      <w:r>
        <w:rPr>
          <w:rFonts w:hint="eastAsia" w:asciiTheme="minorEastAsia" w:hAnsiTheme="minorEastAsia" w:eastAsiaTheme="minorEastAsia" w:cstheme="minorEastAsia"/>
          <w:color w:val="auto"/>
          <w:sz w:val="24"/>
          <w:highlight w:val="none"/>
          <w:lang w:val="en-US" w:eastAsia="zh-CN"/>
        </w:rPr>
        <w:t>/公告</w:t>
      </w:r>
      <w:r>
        <w:rPr>
          <w:rFonts w:hint="eastAsia" w:asciiTheme="minorEastAsia" w:hAnsiTheme="minorEastAsia" w:eastAsiaTheme="minorEastAsia" w:cstheme="minorEastAsia"/>
          <w:color w:val="auto"/>
          <w:sz w:val="24"/>
          <w:highlight w:val="none"/>
        </w:rPr>
        <w:t>中规定的地点。</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pPr>
        <w:pStyle w:val="5"/>
        <w:spacing w:before="0" w:after="0" w:line="360" w:lineRule="auto"/>
        <w:rPr>
          <w:rFonts w:ascii="Times New Roman" w:hAnsi="Times New Roman" w:eastAsia="仿宋"/>
          <w:color w:val="auto"/>
          <w:highlight w:val="none"/>
          <w:u w:val="single"/>
        </w:rPr>
      </w:pPr>
      <w:bookmarkStart w:id="147" w:name="_Toc520356162"/>
      <w:bookmarkStart w:id="148" w:name="_Toc19257"/>
      <w:bookmarkStart w:id="149" w:name="_Toc11762"/>
      <w:bookmarkStart w:id="150" w:name="_Toc14828"/>
      <w:bookmarkStart w:id="151" w:name="_Toc9507"/>
      <w:bookmarkStart w:id="152" w:name="_Toc518923081"/>
      <w:r>
        <w:rPr>
          <w:rFonts w:hint="eastAsia" w:asciiTheme="minorEastAsia" w:hAnsiTheme="minorEastAsia" w:eastAsiaTheme="minorEastAsia" w:cstheme="minorEastAsia"/>
          <w:color w:val="auto"/>
          <w:highlight w:val="none"/>
          <w:u w:val="none"/>
        </w:rPr>
        <w:t>17.</w:t>
      </w:r>
      <w:bookmarkEnd w:id="147"/>
      <w:bookmarkEnd w:id="148"/>
      <w:bookmarkEnd w:id="149"/>
      <w:bookmarkEnd w:id="150"/>
      <w:bookmarkEnd w:id="151"/>
      <w:bookmarkEnd w:id="152"/>
      <w:r>
        <w:rPr>
          <w:rFonts w:hint="eastAsia" w:ascii="宋体" w:hAnsi="宋体" w:eastAsia="宋体" w:cs="宋体"/>
          <w:b/>
          <w:bCs/>
          <w:color w:val="000000"/>
          <w:sz w:val="24"/>
          <w:lang w:val="en-US" w:eastAsia="zh-CN"/>
        </w:rPr>
        <w:t>响应文件的接收、修改、撤回与解密</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17.1</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在响应文件提交截止时间前，投标人须将电子响应文件成功完整上传到政采云平台项目采购系统。时间以政采云平台项目采购系统服务器从中国科学院国家授时中心取得的北京时间为准，投标截止时间结束后，系统将不允许投标人上传响应文件，已上传响应文件但未完成传输的文件系统将拒绝接收。</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17.2</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代理机构对因不可抗力事件造成的响应文件的损坏、丢失的，不承担责任。</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17.3</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出现下述情形之一，属于未成功提交响应文件，按无效投标处理： </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（1）至提交响应文件截止时间，响应文件未完整上传的。 </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（2）响应文件未按投标格式中注明需签字盖章的要求进行签名（含电子签名）和加盖电子印章，或签名（含电子签名）或电子印章不完整的。 </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（3）响应文件损坏或格式不正确的。 </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17.4</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17.5</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在提交响应文件截止时间后，投标人不得补充、修改和更换响应文件。</w:t>
      </w:r>
    </w:p>
    <w:p>
      <w:pPr>
        <w:spacing w:line="360" w:lineRule="auto"/>
        <w:ind w:left="1079" w:leftChars="257" w:hanging="5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17.6 到达开标时间后，投标人需使用上传响应文件的同一数字证书解密，投标人须在采购代理机构规定的时间内完成响应文件解密（解密时长为30分钟），投标人因非系统原因导致的逾期未解密响应文件，将作无效投标处理。</w:t>
      </w:r>
    </w:p>
    <w:p>
      <w:pPr>
        <w:pStyle w:val="4"/>
        <w:spacing w:before="0" w:line="240" w:lineRule="atLeast"/>
        <w:ind w:left="1079" w:leftChars="257" w:hanging="540"/>
        <w:rPr>
          <w:rFonts w:hint="eastAsia" w:asciiTheme="minorEastAsia" w:hAnsiTheme="minorEastAsia" w:eastAsiaTheme="minorEastAsia" w:cstheme="minorEastAsia"/>
          <w:color w:val="auto"/>
          <w:sz w:val="24"/>
          <w:highlight w:val="none"/>
          <w:lang w:eastAsia="zh-CN"/>
        </w:rPr>
      </w:pPr>
      <w:bookmarkStart w:id="153" w:name="_Toc3585"/>
      <w:bookmarkStart w:id="154" w:name="_Toc518923082"/>
      <w:bookmarkStart w:id="155" w:name="_Toc1009"/>
      <w:bookmarkStart w:id="156" w:name="_Toc7628"/>
      <w:bookmarkStart w:id="157" w:name="_Toc216582809"/>
      <w:bookmarkStart w:id="158" w:name="_Toc1479"/>
      <w:bookmarkStart w:id="159" w:name="_Toc520356163"/>
      <w:bookmarkStart w:id="160" w:name="_Toc32287"/>
      <w:r>
        <w:rPr>
          <w:rFonts w:hint="eastAsia" w:asciiTheme="minorEastAsia" w:hAnsiTheme="minorEastAsia" w:eastAsiaTheme="minorEastAsia" w:cstheme="minorEastAsia"/>
          <w:color w:val="auto"/>
          <w:sz w:val="24"/>
          <w:highlight w:val="none"/>
        </w:rPr>
        <w:t>五   开标及评标</w:t>
      </w:r>
      <w:bookmarkEnd w:id="153"/>
      <w:bookmarkEnd w:id="154"/>
      <w:bookmarkEnd w:id="155"/>
      <w:bookmarkEnd w:id="156"/>
      <w:bookmarkEnd w:id="157"/>
      <w:bookmarkEnd w:id="158"/>
      <w:bookmarkEnd w:id="159"/>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lang w:eastAsia="zh-CN"/>
        </w:rPr>
        <w:t>）</w:t>
      </w:r>
      <w:bookmarkEnd w:id="160"/>
    </w:p>
    <w:p>
      <w:pPr>
        <w:pStyle w:val="2"/>
        <w:rPr>
          <w:rFonts w:hint="eastAsia" w:asciiTheme="minorEastAsia" w:hAnsiTheme="minorEastAsia" w:eastAsiaTheme="minorEastAsia" w:cstheme="minorEastAsia"/>
          <w:color w:val="auto"/>
          <w:highlight w:val="none"/>
        </w:rPr>
      </w:pP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61" w:name="_Toc520356164"/>
      <w:bookmarkStart w:id="162" w:name="_Toc26811"/>
      <w:bookmarkStart w:id="163" w:name="_Toc4119"/>
      <w:bookmarkStart w:id="164" w:name="_Toc518923083"/>
      <w:bookmarkStart w:id="165" w:name="_Toc25009"/>
      <w:bookmarkStart w:id="166" w:name="_Toc5323"/>
      <w:r>
        <w:rPr>
          <w:rFonts w:hint="eastAsia" w:asciiTheme="minorEastAsia" w:hAnsiTheme="minorEastAsia" w:eastAsiaTheme="minorEastAsia" w:cstheme="minorEastAsia"/>
          <w:color w:val="auto"/>
          <w:highlight w:val="none"/>
          <w:u w:val="none"/>
        </w:rPr>
        <w:t>18.开标</w:t>
      </w:r>
      <w:bookmarkEnd w:id="161"/>
      <w:bookmarkEnd w:id="162"/>
      <w:bookmarkEnd w:id="163"/>
      <w:bookmarkEnd w:id="164"/>
      <w:bookmarkEnd w:id="165"/>
      <w:bookmarkEnd w:id="166"/>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采购人和采购代理机构将按</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 xml:space="preserve">中规定的开标时间和地点组织开标并邀请所有投标人代表参加。  </w:t>
      </w:r>
    </w:p>
    <w:p>
      <w:pPr>
        <w:spacing w:line="240" w:lineRule="atLeast"/>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投标人不足3家的，不得开标。</w:t>
      </w:r>
    </w:p>
    <w:p>
      <w:pPr>
        <w:spacing w:line="240" w:lineRule="atLeas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18.2   </w:t>
      </w:r>
      <w:r>
        <w:rPr>
          <w:rFonts w:hint="eastAsia" w:asciiTheme="minorEastAsia" w:hAnsiTheme="minorEastAsia" w:eastAsiaTheme="minorEastAsia" w:cstheme="minorEastAsia"/>
          <w:color w:val="auto"/>
          <w:sz w:val="24"/>
          <w:highlight w:val="none"/>
          <w:u w:val="single"/>
        </w:rPr>
        <w:t>投标人应当按照本招标文件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    采购人或采购代理机构将对开标过程进行记录</w:t>
      </w:r>
      <w:bookmarkStart w:id="167" w:name="_Toc520356165"/>
      <w:r>
        <w:rPr>
          <w:rFonts w:hint="eastAsia" w:asciiTheme="minorEastAsia" w:hAnsiTheme="minorEastAsia" w:eastAsiaTheme="minorEastAsia" w:cstheme="minorEastAsia"/>
          <w:color w:val="auto"/>
          <w:sz w:val="24"/>
          <w:highlight w:val="none"/>
        </w:rPr>
        <w:t>，由参加开标的各投标人代表和相关工作人员签字确认，并存档备查。</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    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68" w:name="_Toc17211"/>
      <w:bookmarkStart w:id="169" w:name="_Toc16264"/>
      <w:bookmarkStart w:id="170" w:name="_Toc23981"/>
      <w:bookmarkStart w:id="171" w:name="_Toc7183"/>
      <w:bookmarkStart w:id="172" w:name="_Toc518923084"/>
      <w:r>
        <w:rPr>
          <w:rFonts w:hint="eastAsia" w:asciiTheme="minorEastAsia" w:hAnsiTheme="minorEastAsia" w:eastAsiaTheme="minorEastAsia" w:cstheme="minorEastAsia"/>
          <w:color w:val="auto"/>
          <w:highlight w:val="none"/>
          <w:u w:val="none"/>
        </w:rPr>
        <w:t>19</w:t>
      </w:r>
      <w:bookmarkEnd w:id="167"/>
      <w:r>
        <w:rPr>
          <w:rFonts w:hint="eastAsia" w:asciiTheme="minorEastAsia" w:hAnsiTheme="minorEastAsia" w:eastAsiaTheme="minorEastAsia" w:cstheme="minorEastAsia"/>
          <w:color w:val="auto"/>
          <w:highlight w:val="none"/>
          <w:u w:val="none"/>
        </w:rPr>
        <w:t>.资格审查及组建</w:t>
      </w:r>
      <w:bookmarkEnd w:id="168"/>
      <w:bookmarkEnd w:id="169"/>
      <w:bookmarkEnd w:id="170"/>
      <w:bookmarkEnd w:id="171"/>
      <w:bookmarkEnd w:id="172"/>
      <w:r>
        <w:rPr>
          <w:rFonts w:hint="eastAsia" w:asciiTheme="minorEastAsia" w:hAnsiTheme="minorEastAsia" w:eastAsiaTheme="minorEastAsia" w:cstheme="minorEastAsia"/>
          <w:color w:val="auto"/>
          <w:highlight w:val="none"/>
          <w:u w:val="none"/>
        </w:rPr>
        <w:t>磋商小组</w:t>
      </w:r>
    </w:p>
    <w:p>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right="0"/>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19.1  采购人或采购代理机构依据法律法规和</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文件中规定的内容，对投标人的资格进行审查。</w:t>
      </w:r>
      <w:r>
        <w:rPr>
          <w:rFonts w:hint="eastAsia" w:asciiTheme="minorEastAsia" w:hAnsiTheme="minorEastAsia" w:eastAsiaTheme="minorEastAsia" w:cstheme="minorEastAsia"/>
          <w:color w:val="auto"/>
          <w:sz w:val="24"/>
          <w:highlight w:val="none"/>
          <w:lang w:val="en-US" w:eastAsia="zh-CN"/>
        </w:rPr>
        <w:t>未通过资格审查的投标人不进入评标；进入评标的投标人不足三家的，不得评标。</w:t>
      </w:r>
    </w:p>
    <w:p>
      <w:pPr>
        <w:spacing w:line="240" w:lineRule="atLeast"/>
        <w:ind w:left="857" w:leftChars="2" w:hanging="85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不良信用记录指：投标人</w:t>
      </w:r>
      <w:r>
        <w:rPr>
          <w:rFonts w:hint="eastAsia" w:asciiTheme="minorEastAsia" w:hAnsiTheme="minorEastAsia" w:eastAsiaTheme="minorEastAsia" w:cstheme="minorEastAsia"/>
          <w:color w:val="auto"/>
          <w:sz w:val="24"/>
          <w:highlight w:val="none"/>
          <w:lang w:val="en-US" w:eastAsia="zh-CN"/>
        </w:rPr>
        <w:t>在“信用中国”网站被列入失信被执行人、重大税收违法案件当事人名单，在中国政府采购网被列入政府采购严重违法失信行为记录名单及新疆政府采购网被列入严重违法失信行为信息记录及在国家企业信用信息公示系统被列入严重违法失信企业名单、重大税收违法案件当事人名单。</w:t>
      </w:r>
      <w:r>
        <w:rPr>
          <w:rFonts w:hint="eastAsia" w:asciiTheme="minorEastAsia" w:hAnsiTheme="minorEastAsia" w:eastAsiaTheme="minorEastAsia" w:cstheme="minorEastAsia"/>
          <w:color w:val="auto"/>
          <w:sz w:val="24"/>
          <w:highlight w:val="none"/>
        </w:rPr>
        <w:t>以及存在《中华人民共和国政府采购法实施条例》第十九条规定的行政处罚记录。</w:t>
      </w:r>
    </w:p>
    <w:p>
      <w:pPr>
        <w:spacing w:line="240" w:lineRule="atLeast"/>
        <w:ind w:left="850" w:leftChars="40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以联合体形式参加投标的，联合体任何成员存在以上不良信用记录的，联合体投标将被认定为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pStyle w:val="2"/>
        <w:ind w:left="850" w:hanging="849" w:hangingChars="35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 xml:space="preserve"> 查询及记录方式：采购人或采购代理机构经办人将查询网页打印、签字并存档备查。投标人不良信用记录以采购人或采购代理机构查询结果为准。</w:t>
      </w:r>
    </w:p>
    <w:p>
      <w:pPr>
        <w:pStyle w:val="2"/>
        <w:ind w:left="850" w:leftChars="405"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在本</w:t>
      </w: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highlight w:val="none"/>
        </w:rPr>
        <w:t>文件规定的查询时间之后，网站信息发生的任何变更均不再作为评标依据。</w:t>
      </w:r>
    </w:p>
    <w:p>
      <w:pPr>
        <w:pStyle w:val="2"/>
        <w:ind w:left="850" w:leftChars="405"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投标人自行提供的与网站信息不一致的其他证明材料亦不作为资格审查的依据。</w:t>
      </w:r>
    </w:p>
    <w:p>
      <w:pPr>
        <w:spacing w:line="240" w:lineRule="atLeas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   按照《中华人民共和国政府采购法》、《中华人民共和国政府采购法实施条例》及本项目本级和上级财政部门的有关规定依法组建的磋商小组，负责本项目评标工作。</w:t>
      </w:r>
      <w:bookmarkStart w:id="173" w:name="_Toc520356166"/>
    </w:p>
    <w:p>
      <w:pPr>
        <w:pStyle w:val="5"/>
        <w:spacing w:before="0" w:after="0" w:line="240" w:lineRule="atLeast"/>
        <w:rPr>
          <w:rFonts w:hint="eastAsia" w:asciiTheme="minorEastAsia" w:hAnsiTheme="minorEastAsia" w:eastAsiaTheme="minorEastAsia" w:cstheme="minorEastAsia"/>
          <w:b w:val="0"/>
          <w:bCs/>
          <w:color w:val="auto"/>
          <w:highlight w:val="none"/>
          <w:bdr w:val="single" w:color="auto" w:sz="4" w:space="0"/>
        </w:rPr>
      </w:pPr>
      <w:bookmarkStart w:id="174" w:name="_Toc518923085"/>
      <w:bookmarkStart w:id="175" w:name="_Toc8595"/>
      <w:bookmarkStart w:id="176" w:name="_Toc21484"/>
      <w:bookmarkStart w:id="177" w:name="_Toc15885"/>
      <w:bookmarkStart w:id="178" w:name="_Toc25395"/>
      <w:r>
        <w:rPr>
          <w:rFonts w:hint="eastAsia" w:asciiTheme="minorEastAsia" w:hAnsiTheme="minorEastAsia" w:eastAsiaTheme="minorEastAsia" w:cstheme="minorEastAsia"/>
          <w:color w:val="auto"/>
          <w:highlight w:val="none"/>
          <w:u w:val="none"/>
        </w:rPr>
        <w:t>20.</w:t>
      </w:r>
      <w:r>
        <w:rPr>
          <w:rFonts w:hint="eastAsia" w:asciiTheme="minorEastAsia" w:hAnsiTheme="minorEastAsia" w:eastAsiaTheme="minorEastAsia" w:cstheme="minorEastAsia"/>
          <w:color w:val="auto"/>
          <w:highlight w:val="none"/>
          <w:u w:val="none"/>
          <w:lang w:eastAsia="zh-CN"/>
        </w:rPr>
        <w:t>响应文件</w:t>
      </w:r>
      <w:r>
        <w:rPr>
          <w:rFonts w:hint="eastAsia" w:asciiTheme="minorEastAsia" w:hAnsiTheme="minorEastAsia" w:eastAsiaTheme="minorEastAsia" w:cstheme="minorEastAsia"/>
          <w:color w:val="auto"/>
          <w:highlight w:val="none"/>
          <w:u w:val="none"/>
        </w:rPr>
        <w:t>的</w:t>
      </w:r>
      <w:bookmarkEnd w:id="173"/>
      <w:r>
        <w:rPr>
          <w:rFonts w:hint="eastAsia" w:asciiTheme="minorEastAsia" w:hAnsiTheme="minorEastAsia" w:eastAsiaTheme="minorEastAsia" w:cstheme="minorEastAsia"/>
          <w:color w:val="auto"/>
          <w:highlight w:val="none"/>
          <w:u w:val="none"/>
        </w:rPr>
        <w:t>符合性审查与澄清</w:t>
      </w:r>
      <w:bookmarkEnd w:id="174"/>
      <w:bookmarkEnd w:id="175"/>
      <w:bookmarkEnd w:id="176"/>
      <w:bookmarkEnd w:id="177"/>
      <w:bookmarkEnd w:id="178"/>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   符合性审查是指依据</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文件的规定，从</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的有效性和完整性对</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文件的响应程度进行审查，以确定是否对</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文件的实质性要求做出响应。</w:t>
      </w:r>
      <w:bookmarkStart w:id="179" w:name="_Hlt522424701"/>
      <w:bookmarkEnd w:id="179"/>
      <w:bookmarkStart w:id="180" w:name="_Toc520356167"/>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的澄清</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20.2.1  在评标期间，磋商小组将以书面方式要求投标人对其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含义不明确、对同类问题表述不一致或者有明显文字和计算错误的内容，以及磋商小组认为投标人的报价明显低于其他通过符合性检查投标人的报价，有可能影响履约的情况作必要的澄清、说明或补正。投标人澄清、说明或补正应在磋商小组规定的时间内以书面方式进行，并不得超出</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范围或者改变</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的实质性内容。</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20.2.2  投标人的澄清、说明或补正将作为</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的一部分。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20.3   </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报价出现前后不一致的，按照下列规定修正：</w:t>
      </w:r>
    </w:p>
    <w:p>
      <w:pPr>
        <w:spacing w:line="240" w:lineRule="atLeas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（一）</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中开标一览表（报价表）内容与</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中相应内容不一致的，以开标一览表（报价表）为准；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（二）大写金额和小写金额不一致的，以大写金额为准；</w:t>
      </w:r>
    </w:p>
    <w:p>
      <w:pPr>
        <w:spacing w:line="240" w:lineRule="atLeas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（三）单价金额小数点或者百分比有明显错位的，以开标一览表的总价为准，并修改单价；</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（四）总价金额与按单价汇总金额不一致的，以单价金额计算结果为准。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同时出现两种以上不一致的，按照前款规定的顺序修正。修正后的报价按照第20.2条的规定经投标人确认后产生约束力，投标人不确认的，将被认定为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spacing w:line="240" w:lineRule="atLeast"/>
        <w:ind w:left="735" w:leftChars="350"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对不同文字文本</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的解释发生异议的，以中文文本为准。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81" w:name="_Toc5426"/>
      <w:bookmarkStart w:id="182" w:name="_Toc19463"/>
      <w:bookmarkStart w:id="183" w:name="_Toc31393"/>
      <w:bookmarkStart w:id="184" w:name="_Toc518923086"/>
      <w:bookmarkStart w:id="185" w:name="_Toc21030"/>
      <w:r>
        <w:rPr>
          <w:rFonts w:hint="eastAsia" w:asciiTheme="minorEastAsia" w:hAnsiTheme="minorEastAsia" w:eastAsiaTheme="minorEastAsia" w:cstheme="minorEastAsia"/>
          <w:color w:val="auto"/>
          <w:highlight w:val="none"/>
          <w:u w:val="none"/>
        </w:rPr>
        <w:t>21.投标偏离</w:t>
      </w:r>
      <w:bookmarkEnd w:id="181"/>
      <w:bookmarkEnd w:id="182"/>
      <w:bookmarkEnd w:id="183"/>
      <w:bookmarkEnd w:id="184"/>
      <w:bookmarkEnd w:id="185"/>
    </w:p>
    <w:p>
      <w:pPr>
        <w:spacing w:line="240" w:lineRule="atLeast"/>
        <w:ind w:left="847" w:leftChars="99" w:hanging="640" w:hangingChars="2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磋商小组可以接受</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中不构成实质性偏离的不正规或不一致。</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86" w:name="_Toc1105"/>
      <w:bookmarkStart w:id="187" w:name="_Toc16132"/>
      <w:bookmarkStart w:id="188" w:name="_Toc17871"/>
      <w:bookmarkStart w:id="189" w:name="_Toc10898"/>
      <w:bookmarkStart w:id="190" w:name="_Toc518923087"/>
      <w:r>
        <w:rPr>
          <w:rFonts w:hint="eastAsia" w:asciiTheme="minorEastAsia" w:hAnsiTheme="minorEastAsia" w:eastAsiaTheme="minorEastAsia" w:cstheme="minorEastAsia"/>
          <w:color w:val="auto"/>
          <w:highlight w:val="none"/>
          <w:u w:val="none"/>
        </w:rPr>
        <w:t>22.投标无效</w:t>
      </w:r>
      <w:bookmarkEnd w:id="186"/>
      <w:bookmarkEnd w:id="187"/>
      <w:bookmarkEnd w:id="188"/>
      <w:bookmarkEnd w:id="189"/>
      <w:bookmarkEnd w:id="190"/>
    </w:p>
    <w:p>
      <w:pPr>
        <w:spacing w:line="240" w:lineRule="atLeast"/>
        <w:ind w:left="852" w:leftChars="-23"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在比较与评价之前，根据本须知的规定，磋商小组成员要审查每份</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是否实质上响应了</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文件的要求。实质上响应的投标应该是与</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文件要求的全部条款、条件和规格相符，没有重大偏离的投标。对关键条款的偏离，将被认定为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。投标人不得通过修正或撤销不符合要求的偏离从而使其投标成为实质上响应的投标。</w:t>
      </w:r>
    </w:p>
    <w:p>
      <w:pPr>
        <w:spacing w:line="240" w:lineRule="atLeast"/>
        <w:ind w:left="791" w:leftChars="37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磋商小组决定投标的响应性只根据</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文件要求、</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内容及财政主管部门指定相关信息发布媒体。</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如发现下列情况之一的，其投标将被认定为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numPr>
          <w:ilvl w:val="0"/>
          <w:numId w:val="10"/>
        </w:numPr>
        <w:spacing w:line="240" w:lineRule="atLeast"/>
        <w:ind w:left="1080" w:leftChars="429" w:hanging="1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未按</w:t>
      </w:r>
      <w:r>
        <w:rPr>
          <w:rFonts w:hint="eastAsia" w:asciiTheme="minorEastAsia" w:hAnsiTheme="minorEastAsia" w:eastAsiaTheme="minorEastAsia" w:cstheme="minorEastAsia"/>
          <w:b w:val="0"/>
          <w:bCs w:val="0"/>
          <w:color w:val="auto"/>
          <w:sz w:val="24"/>
          <w:highlight w:val="none"/>
          <w:lang w:eastAsia="zh-CN"/>
        </w:rPr>
        <w:t>磋商</w:t>
      </w:r>
      <w:r>
        <w:rPr>
          <w:rFonts w:hint="eastAsia" w:asciiTheme="minorEastAsia" w:hAnsiTheme="minorEastAsia" w:eastAsiaTheme="minorEastAsia" w:cstheme="minorEastAsia"/>
          <w:b w:val="0"/>
          <w:bCs w:val="0"/>
          <w:color w:val="auto"/>
          <w:sz w:val="24"/>
          <w:highlight w:val="none"/>
        </w:rPr>
        <w:t>文件规定的形式和金额</w:t>
      </w:r>
      <w:r>
        <w:rPr>
          <w:rFonts w:hint="eastAsia" w:asciiTheme="minorEastAsia" w:hAnsiTheme="minorEastAsia" w:eastAsiaTheme="minorEastAsia" w:cstheme="minorEastAsia"/>
          <w:b w:val="0"/>
          <w:bCs w:val="0"/>
          <w:color w:val="auto"/>
          <w:sz w:val="24"/>
          <w:highlight w:val="none"/>
          <w:lang w:val="en-US" w:eastAsia="zh-CN"/>
        </w:rPr>
        <w:t>等内容</w:t>
      </w:r>
      <w:r>
        <w:rPr>
          <w:rFonts w:hint="eastAsia" w:asciiTheme="minorEastAsia" w:hAnsiTheme="minorEastAsia" w:eastAsiaTheme="minorEastAsia" w:cstheme="minorEastAsia"/>
          <w:b w:val="0"/>
          <w:bCs w:val="0"/>
          <w:color w:val="auto"/>
          <w:sz w:val="24"/>
          <w:highlight w:val="none"/>
        </w:rPr>
        <w:t>提交</w:t>
      </w:r>
      <w:r>
        <w:rPr>
          <w:rFonts w:hint="eastAsia" w:asciiTheme="minorEastAsia" w:hAnsiTheme="minorEastAsia" w:eastAsiaTheme="minorEastAsia" w:cstheme="minorEastAsia"/>
          <w:b w:val="0"/>
          <w:bCs w:val="0"/>
          <w:color w:val="auto"/>
          <w:sz w:val="24"/>
          <w:highlight w:val="none"/>
          <w:lang w:eastAsia="zh-CN"/>
        </w:rPr>
        <w:t>磋商保证金</w:t>
      </w:r>
      <w:r>
        <w:rPr>
          <w:rFonts w:hint="eastAsia" w:asciiTheme="minorEastAsia" w:hAnsiTheme="minorEastAsia" w:eastAsiaTheme="minorEastAsia" w:cstheme="minorEastAsia"/>
          <w:b w:val="0"/>
          <w:bCs w:val="0"/>
          <w:color w:val="auto"/>
          <w:sz w:val="24"/>
          <w:highlight w:val="none"/>
        </w:rPr>
        <w:t>的；</w:t>
      </w:r>
    </w:p>
    <w:p>
      <w:pPr>
        <w:numPr>
          <w:ilvl w:val="0"/>
          <w:numId w:val="10"/>
        </w:numPr>
        <w:spacing w:line="240" w:lineRule="atLeast"/>
        <w:ind w:left="1080" w:leftChars="429" w:hanging="1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未按照</w:t>
      </w:r>
      <w:r>
        <w:rPr>
          <w:rFonts w:hint="eastAsia" w:asciiTheme="minorEastAsia" w:hAnsiTheme="minorEastAsia" w:eastAsiaTheme="minorEastAsia" w:cstheme="minorEastAsia"/>
          <w:b w:val="0"/>
          <w:bCs w:val="0"/>
          <w:color w:val="auto"/>
          <w:sz w:val="24"/>
          <w:highlight w:val="none"/>
          <w:lang w:eastAsia="zh-CN"/>
        </w:rPr>
        <w:t>磋商</w:t>
      </w:r>
      <w:r>
        <w:rPr>
          <w:rFonts w:hint="eastAsia" w:asciiTheme="minorEastAsia" w:hAnsiTheme="minorEastAsia" w:eastAsiaTheme="minorEastAsia" w:cstheme="minorEastAsia"/>
          <w:b w:val="0"/>
          <w:bCs w:val="0"/>
          <w:color w:val="auto"/>
          <w:sz w:val="24"/>
          <w:highlight w:val="none"/>
        </w:rPr>
        <w:t>文件规定要求签署、盖章的；</w:t>
      </w:r>
    </w:p>
    <w:p>
      <w:pPr>
        <w:numPr>
          <w:ilvl w:val="0"/>
          <w:numId w:val="10"/>
        </w:numPr>
        <w:spacing w:line="240" w:lineRule="atLeast"/>
        <w:ind w:left="1080" w:leftChars="429" w:hanging="1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未满足</w:t>
      </w:r>
      <w:r>
        <w:rPr>
          <w:rFonts w:hint="eastAsia" w:asciiTheme="minorEastAsia" w:hAnsiTheme="minorEastAsia" w:eastAsiaTheme="minorEastAsia" w:cstheme="minorEastAsia"/>
          <w:b w:val="0"/>
          <w:bCs w:val="0"/>
          <w:color w:val="auto"/>
          <w:sz w:val="24"/>
          <w:highlight w:val="none"/>
          <w:lang w:eastAsia="zh-CN"/>
        </w:rPr>
        <w:t>磋商</w:t>
      </w:r>
      <w:r>
        <w:rPr>
          <w:rFonts w:hint="eastAsia" w:asciiTheme="minorEastAsia" w:hAnsiTheme="minorEastAsia" w:eastAsiaTheme="minorEastAsia" w:cstheme="minorEastAsia"/>
          <w:b w:val="0"/>
          <w:bCs w:val="0"/>
          <w:color w:val="auto"/>
          <w:sz w:val="24"/>
          <w:highlight w:val="none"/>
        </w:rPr>
        <w:t>文件中技术条款的实质性要求；</w:t>
      </w:r>
    </w:p>
    <w:p>
      <w:pPr>
        <w:numPr>
          <w:ilvl w:val="0"/>
          <w:numId w:val="10"/>
        </w:numPr>
        <w:spacing w:line="240" w:lineRule="atLeast"/>
        <w:ind w:left="1080" w:leftChars="429" w:hanging="1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与其他投标人串通投标，或者与</w:t>
      </w:r>
      <w:r>
        <w:rPr>
          <w:rFonts w:hint="eastAsia" w:asciiTheme="minorEastAsia" w:hAnsiTheme="minorEastAsia" w:eastAsiaTheme="minorEastAsia" w:cstheme="minorEastAsia"/>
          <w:b w:val="0"/>
          <w:bCs w:val="0"/>
          <w:color w:val="auto"/>
          <w:sz w:val="24"/>
          <w:highlight w:val="none"/>
          <w:lang w:eastAsia="zh-CN"/>
        </w:rPr>
        <w:t>采购</w:t>
      </w:r>
      <w:r>
        <w:rPr>
          <w:rFonts w:hint="eastAsia" w:asciiTheme="minorEastAsia" w:hAnsiTheme="minorEastAsia" w:eastAsiaTheme="minorEastAsia" w:cstheme="minorEastAsia"/>
          <w:b w:val="0"/>
          <w:bCs w:val="0"/>
          <w:color w:val="auto"/>
          <w:sz w:val="24"/>
          <w:highlight w:val="none"/>
        </w:rPr>
        <w:t>人串通投标；</w:t>
      </w:r>
    </w:p>
    <w:p>
      <w:pPr>
        <w:numPr>
          <w:ilvl w:val="0"/>
          <w:numId w:val="10"/>
        </w:numPr>
        <w:spacing w:line="240" w:lineRule="atLeast"/>
        <w:ind w:left="1080" w:leftChars="429" w:hanging="1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属于</w:t>
      </w:r>
      <w:r>
        <w:rPr>
          <w:rFonts w:hint="eastAsia" w:asciiTheme="minorEastAsia" w:hAnsiTheme="minorEastAsia" w:eastAsiaTheme="minorEastAsia" w:cstheme="minorEastAsia"/>
          <w:b w:val="0"/>
          <w:bCs w:val="0"/>
          <w:color w:val="auto"/>
          <w:sz w:val="24"/>
          <w:highlight w:val="none"/>
          <w:lang w:eastAsia="zh-CN"/>
        </w:rPr>
        <w:t>磋商</w:t>
      </w:r>
      <w:r>
        <w:rPr>
          <w:rFonts w:hint="eastAsia" w:asciiTheme="minorEastAsia" w:hAnsiTheme="minorEastAsia" w:eastAsiaTheme="minorEastAsia" w:cstheme="minorEastAsia"/>
          <w:b w:val="0"/>
          <w:bCs w:val="0"/>
          <w:color w:val="auto"/>
          <w:sz w:val="24"/>
          <w:highlight w:val="none"/>
        </w:rPr>
        <w:t>文件规定的其他投标无效情形；</w:t>
      </w:r>
    </w:p>
    <w:p>
      <w:pPr>
        <w:numPr>
          <w:ilvl w:val="0"/>
          <w:numId w:val="10"/>
        </w:numPr>
        <w:spacing w:line="240" w:lineRule="atLeast"/>
        <w:ind w:left="1080" w:leftChars="429" w:hanging="1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磋商小组认为投标人的报价明显低于其他通过符合性检查投标人的报价，有可能影响履约的，且投标人未按照规定证明其报价合理性的；</w:t>
      </w:r>
    </w:p>
    <w:p>
      <w:pPr>
        <w:numPr>
          <w:ilvl w:val="0"/>
          <w:numId w:val="10"/>
        </w:numPr>
        <w:spacing w:line="240" w:lineRule="atLeast"/>
        <w:ind w:left="1080" w:leftChars="429" w:hanging="1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含有采购人不能接受的附加条件的；</w:t>
      </w:r>
    </w:p>
    <w:p>
      <w:pPr>
        <w:numPr>
          <w:ilvl w:val="0"/>
          <w:numId w:val="0"/>
        </w:numPr>
        <w:spacing w:line="240" w:lineRule="atLeast"/>
        <w:ind w:leftChars="429"/>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8</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不符合法规和</w:t>
      </w:r>
      <w:r>
        <w:rPr>
          <w:rFonts w:hint="eastAsia" w:asciiTheme="minorEastAsia" w:hAnsiTheme="minorEastAsia" w:eastAsiaTheme="minorEastAsia" w:cstheme="minorEastAsia"/>
          <w:b w:val="0"/>
          <w:bCs w:val="0"/>
          <w:color w:val="auto"/>
          <w:sz w:val="24"/>
          <w:highlight w:val="none"/>
          <w:lang w:eastAsia="zh-CN"/>
        </w:rPr>
        <w:t>磋商</w:t>
      </w:r>
      <w:r>
        <w:rPr>
          <w:rFonts w:hint="eastAsia" w:asciiTheme="minorEastAsia" w:hAnsiTheme="minorEastAsia" w:eastAsiaTheme="minorEastAsia" w:cstheme="minorEastAsia"/>
          <w:b w:val="0"/>
          <w:bCs w:val="0"/>
          <w:color w:val="auto"/>
          <w:sz w:val="24"/>
          <w:highlight w:val="none"/>
        </w:rPr>
        <w:t>文件中规定的其他实质性要求的。</w:t>
      </w:r>
    </w:p>
    <w:p>
      <w:pPr>
        <w:spacing w:line="240" w:lineRule="atLeast"/>
        <w:rPr>
          <w:rFonts w:hint="eastAsia" w:asciiTheme="minorEastAsia" w:hAnsiTheme="minorEastAsia" w:eastAsiaTheme="minorEastAsia" w:cstheme="minorEastAsia"/>
          <w:color w:val="auto"/>
          <w:highlight w:val="none"/>
        </w:rPr>
      </w:pPr>
      <w:bookmarkStart w:id="191" w:name="_Toc518923088"/>
      <w:r>
        <w:rPr>
          <w:rFonts w:hint="eastAsia" w:asciiTheme="minorEastAsia" w:hAnsiTheme="minorEastAsia" w:eastAsiaTheme="minorEastAsia" w:cstheme="minorEastAsia"/>
          <w:color w:val="auto"/>
          <w:highlight w:val="none"/>
        </w:rPr>
        <w:t>23</w:t>
      </w:r>
      <w:bookmarkEnd w:id="180"/>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kern w:val="0"/>
          <w:sz w:val="24"/>
          <w:szCs w:val="20"/>
          <w:highlight w:val="none"/>
          <w:u w:val="none"/>
          <w:lang w:val="en-US" w:eastAsia="zh-CN" w:bidi="ar-SA"/>
        </w:rPr>
        <w:t>比较与评价</w:t>
      </w:r>
      <w:bookmarkEnd w:id="191"/>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经符合性审查合格的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，磋商小组成员将根据</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文件确定的评标方法和标准，对其技术部分和商务部分作进一步的比较和评价。</w:t>
      </w:r>
    </w:p>
    <w:p>
      <w:pPr>
        <w:spacing w:line="240" w:lineRule="atLeast"/>
        <w:ind w:left="900" w:hanging="900" w:hangingChars="37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23.2  </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评标严格按照</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文件的要求和条件进行。根据实际情况，在</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中规定</w:t>
      </w:r>
      <w:r>
        <w:rPr>
          <w:rFonts w:hint="eastAsia" w:asciiTheme="minorEastAsia" w:hAnsiTheme="minorEastAsia" w:eastAsiaTheme="minorEastAsia" w:cstheme="minorEastAsia"/>
          <w:color w:val="auto"/>
          <w:sz w:val="24"/>
          <w:highlight w:val="none"/>
          <w:lang w:val="en-US" w:eastAsia="zh-CN"/>
        </w:rPr>
        <w:t>评标方法</w:t>
      </w:r>
      <w:r>
        <w:rPr>
          <w:rFonts w:hint="eastAsia" w:asciiTheme="minorEastAsia" w:hAnsiTheme="minorEastAsia" w:eastAsiaTheme="minorEastAsia" w:cstheme="minorEastAsia"/>
          <w:color w:val="auto"/>
          <w:sz w:val="24"/>
          <w:highlight w:val="none"/>
        </w:rPr>
        <w:t>，详细评标标准见</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文件第六章</w:t>
      </w:r>
      <w:r>
        <w:rPr>
          <w:rFonts w:hint="eastAsia" w:asciiTheme="minorEastAsia" w:hAnsiTheme="minorEastAsia" w:eastAsiaTheme="minorEastAsia" w:cstheme="minorEastAsia"/>
          <w:color w:val="auto"/>
          <w:sz w:val="24"/>
          <w:highlight w:val="none"/>
          <w:lang w:eastAsia="zh-CN"/>
        </w:rPr>
        <w:t>。</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92" w:name="_Toc520356168"/>
      <w:bookmarkStart w:id="193" w:name="_Toc2184"/>
      <w:bookmarkStart w:id="194" w:name="_Toc11065"/>
      <w:bookmarkStart w:id="195" w:name="_Toc518923089"/>
      <w:bookmarkStart w:id="196" w:name="_Toc2499"/>
      <w:bookmarkStart w:id="197" w:name="_Toc2589"/>
      <w:r>
        <w:rPr>
          <w:rFonts w:hint="eastAsia" w:asciiTheme="minorEastAsia" w:hAnsiTheme="minorEastAsia" w:eastAsiaTheme="minorEastAsia" w:cstheme="minorEastAsia"/>
          <w:color w:val="auto"/>
          <w:highlight w:val="none"/>
          <w:u w:val="none"/>
        </w:rPr>
        <w:t>24</w:t>
      </w:r>
      <w:bookmarkEnd w:id="192"/>
      <w:r>
        <w:rPr>
          <w:rFonts w:hint="eastAsia" w:asciiTheme="minorEastAsia" w:hAnsiTheme="minorEastAsia" w:eastAsiaTheme="minorEastAsia" w:cstheme="minorEastAsia"/>
          <w:color w:val="auto"/>
          <w:highlight w:val="none"/>
          <w:u w:val="none"/>
        </w:rPr>
        <w:t>.废标</w:t>
      </w:r>
      <w:bookmarkEnd w:id="193"/>
      <w:bookmarkEnd w:id="194"/>
      <w:bookmarkEnd w:id="195"/>
      <w:bookmarkEnd w:id="196"/>
      <w:bookmarkEnd w:id="197"/>
    </w:p>
    <w:p>
      <w:pPr>
        <w:spacing w:line="240" w:lineRule="atLeast"/>
        <w:ind w:left="897" w:leftChars="399" w:hanging="60" w:hangingChars="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出现下列情形之一，将导致项目废标： </w:t>
      </w:r>
    </w:p>
    <w:p>
      <w:pPr>
        <w:spacing w:line="240" w:lineRule="atLeast"/>
        <w:ind w:left="900" w:hanging="900" w:hangingChars="37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b w:val="0"/>
          <w:bCs w:val="0"/>
          <w:color w:val="auto"/>
          <w:sz w:val="24"/>
          <w:highlight w:val="none"/>
        </w:rPr>
        <w:t>（1）符合专业条件的供应商或者对</w:t>
      </w:r>
      <w:r>
        <w:rPr>
          <w:rFonts w:hint="eastAsia" w:asciiTheme="minorEastAsia" w:hAnsiTheme="minorEastAsia" w:eastAsiaTheme="minorEastAsia" w:cstheme="minorEastAsia"/>
          <w:b w:val="0"/>
          <w:bCs w:val="0"/>
          <w:color w:val="auto"/>
          <w:sz w:val="24"/>
          <w:highlight w:val="none"/>
          <w:lang w:eastAsia="zh-CN"/>
        </w:rPr>
        <w:t>磋商</w:t>
      </w:r>
      <w:r>
        <w:rPr>
          <w:rFonts w:hint="eastAsia" w:asciiTheme="minorEastAsia" w:hAnsiTheme="minorEastAsia" w:eastAsiaTheme="minorEastAsia" w:cstheme="minorEastAsia"/>
          <w:b w:val="0"/>
          <w:bCs w:val="0"/>
          <w:color w:val="auto"/>
          <w:sz w:val="24"/>
          <w:highlight w:val="none"/>
        </w:rPr>
        <w:t>文件做实质性响应的供应商不足三家；</w:t>
      </w:r>
    </w:p>
    <w:p>
      <w:pPr>
        <w:spacing w:line="240" w:lineRule="atLeast"/>
        <w:ind w:left="900" w:hanging="900" w:hangingChars="37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ab/>
      </w:r>
      <w:r>
        <w:rPr>
          <w:rFonts w:hint="eastAsia" w:asciiTheme="minorEastAsia" w:hAnsiTheme="minorEastAsia" w:eastAsiaTheme="minorEastAsia" w:cstheme="minorEastAsia"/>
          <w:b w:val="0"/>
          <w:bCs w:val="0"/>
          <w:color w:val="auto"/>
          <w:sz w:val="24"/>
          <w:highlight w:val="none"/>
        </w:rPr>
        <w:t>（2）出现影响采购公正的违法、违规行为的；</w:t>
      </w:r>
    </w:p>
    <w:p>
      <w:pPr>
        <w:spacing w:line="240" w:lineRule="atLeast"/>
        <w:ind w:firstLine="840" w:firstLineChars="35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（3）投标人的报价均超过了采购预算，采购人不能支付的；</w:t>
      </w:r>
    </w:p>
    <w:p>
      <w:pPr>
        <w:spacing w:line="240" w:lineRule="atLeast"/>
        <w:ind w:firstLine="840" w:firstLineChars="35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（4）因重大变故，采购任务取消的。   </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198" w:name="_Toc22354"/>
      <w:bookmarkStart w:id="199" w:name="_Toc518923090"/>
      <w:bookmarkStart w:id="200" w:name="_Toc2090"/>
      <w:bookmarkStart w:id="201" w:name="_Toc11458"/>
      <w:bookmarkStart w:id="202" w:name="_Toc31231"/>
      <w:bookmarkStart w:id="203" w:name="_Toc520356169"/>
      <w:r>
        <w:rPr>
          <w:rFonts w:hint="eastAsia" w:asciiTheme="minorEastAsia" w:hAnsiTheme="minorEastAsia" w:eastAsiaTheme="minorEastAsia" w:cstheme="minorEastAsia"/>
          <w:color w:val="auto"/>
          <w:highlight w:val="none"/>
          <w:u w:val="none"/>
        </w:rPr>
        <w:t>25.保密原则</w:t>
      </w:r>
      <w:bookmarkEnd w:id="198"/>
      <w:bookmarkEnd w:id="199"/>
      <w:bookmarkEnd w:id="200"/>
      <w:bookmarkEnd w:id="201"/>
      <w:bookmarkEnd w:id="202"/>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评标将在严格保密的情况下进行。</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政府采购评审专家应当遵守评审工作纪律，不得泄露评审文件、评审情况和评审中获悉的商业秘密。</w:t>
      </w:r>
    </w:p>
    <w:p>
      <w:pPr>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4"/>
        <w:spacing w:before="0" w:line="240" w:lineRule="atLeast"/>
        <w:ind w:left="1079" w:leftChars="257" w:hanging="540"/>
        <w:rPr>
          <w:rFonts w:hint="eastAsia" w:asciiTheme="minorEastAsia" w:hAnsiTheme="minorEastAsia" w:eastAsiaTheme="minorEastAsia" w:cstheme="minorEastAsia"/>
          <w:color w:val="auto"/>
          <w:sz w:val="24"/>
          <w:highlight w:val="none"/>
        </w:rPr>
      </w:pPr>
      <w:bookmarkStart w:id="204" w:name="_Toc19909"/>
      <w:bookmarkStart w:id="205" w:name="_Toc518923091"/>
      <w:bookmarkStart w:id="206" w:name="_Toc12537"/>
      <w:bookmarkStart w:id="207" w:name="_Toc12116"/>
      <w:bookmarkStart w:id="208" w:name="_Toc216582810"/>
      <w:bookmarkStart w:id="209" w:name="_Toc28831"/>
      <w:bookmarkStart w:id="210" w:name="_Toc19947"/>
      <w:r>
        <w:rPr>
          <w:rFonts w:hint="eastAsia" w:asciiTheme="minorEastAsia" w:hAnsiTheme="minorEastAsia" w:eastAsiaTheme="minorEastAsia" w:cstheme="minorEastAsia"/>
          <w:color w:val="auto"/>
          <w:sz w:val="24"/>
          <w:highlight w:val="none"/>
        </w:rPr>
        <w:t xml:space="preserve">六   </w:t>
      </w:r>
      <w:bookmarkEnd w:id="203"/>
      <w:r>
        <w:rPr>
          <w:rFonts w:hint="eastAsia" w:asciiTheme="minorEastAsia" w:hAnsiTheme="minorEastAsia" w:eastAsiaTheme="minorEastAsia" w:cstheme="minorEastAsia"/>
          <w:color w:val="auto"/>
          <w:sz w:val="24"/>
          <w:highlight w:val="none"/>
        </w:rPr>
        <w:t>确定中标</w:t>
      </w:r>
      <w:bookmarkEnd w:id="204"/>
      <w:bookmarkEnd w:id="205"/>
      <w:bookmarkEnd w:id="206"/>
      <w:bookmarkEnd w:id="207"/>
      <w:bookmarkEnd w:id="208"/>
      <w:bookmarkEnd w:id="209"/>
      <w:bookmarkEnd w:id="210"/>
    </w:p>
    <w:p>
      <w:pPr>
        <w:pStyle w:val="2"/>
        <w:rPr>
          <w:rFonts w:hint="eastAsia" w:asciiTheme="minorEastAsia" w:hAnsiTheme="minorEastAsia" w:eastAsiaTheme="minorEastAsia" w:cstheme="minorEastAsia"/>
          <w:color w:val="auto"/>
          <w:highlight w:val="none"/>
        </w:rPr>
      </w:pP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11" w:name="_Ref467307010"/>
      <w:bookmarkStart w:id="212" w:name="_Toc8083"/>
      <w:bookmarkStart w:id="213" w:name="_Toc518923092"/>
      <w:bookmarkStart w:id="214" w:name="_Toc22247"/>
      <w:bookmarkStart w:id="215" w:name="_Toc5286"/>
      <w:bookmarkStart w:id="216" w:name="_Toc520356170"/>
      <w:bookmarkStart w:id="217" w:name="_Toc540"/>
      <w:r>
        <w:rPr>
          <w:rFonts w:hint="eastAsia" w:asciiTheme="minorEastAsia" w:hAnsiTheme="minorEastAsia" w:eastAsiaTheme="minorEastAsia" w:cstheme="minorEastAsia"/>
          <w:color w:val="auto"/>
          <w:highlight w:val="none"/>
          <w:u w:val="none"/>
        </w:rPr>
        <w:t>26.中标候选人的确定原则及标准</w:t>
      </w:r>
      <w:bookmarkEnd w:id="211"/>
      <w:bookmarkEnd w:id="212"/>
      <w:bookmarkEnd w:id="213"/>
      <w:bookmarkEnd w:id="214"/>
      <w:bookmarkEnd w:id="215"/>
      <w:bookmarkEnd w:id="216"/>
      <w:bookmarkEnd w:id="217"/>
    </w:p>
    <w:p>
      <w:pPr>
        <w:spacing w:line="240" w:lineRule="atLeast"/>
        <w:ind w:firstLine="480" w:firstLineChars="200"/>
        <w:rPr>
          <w:rFonts w:hint="eastAsia" w:asciiTheme="minorEastAsia" w:hAnsiTheme="minorEastAsia" w:eastAsiaTheme="minorEastAsia" w:cstheme="minorEastAsia"/>
          <w:color w:val="auto"/>
          <w:sz w:val="24"/>
          <w:highlight w:val="none"/>
        </w:rPr>
      </w:pPr>
      <w:bookmarkStart w:id="218" w:name="_Toc520356171"/>
      <w:bookmarkStart w:id="219" w:name="_Toc19632"/>
      <w:bookmarkStart w:id="220" w:name="_Toc23007"/>
      <w:bookmarkStart w:id="221" w:name="_Toc518923093"/>
      <w:bookmarkStart w:id="222" w:name="_Toc5627"/>
      <w:bookmarkStart w:id="223" w:name="_Toc15470"/>
      <w:r>
        <w:rPr>
          <w:rFonts w:hint="eastAsia" w:asciiTheme="minorEastAsia" w:hAnsiTheme="minorEastAsia" w:eastAsiaTheme="minorEastAsia" w:cstheme="minorEastAsia"/>
          <w:color w:val="auto"/>
          <w:sz w:val="24"/>
          <w:highlight w:val="none"/>
        </w:rPr>
        <w:t>除第28条规定外，对实质上响应</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文件的投标人按下列方法进行排序，确定中标候选人：评标结果按评审后得分由高到低顺序排列。得分相同的，按修正和扣除后的投标报价由低到高顺序排列。得分与投标报价均相同的处理方式详见</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文件第6章。</w:t>
      </w:r>
    </w:p>
    <w:p>
      <w:pPr>
        <w:pStyle w:val="5"/>
        <w:spacing w:before="0" w:after="0" w:line="240" w:lineRule="atLeast"/>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27</w:t>
      </w:r>
      <w:bookmarkEnd w:id="218"/>
      <w:r>
        <w:rPr>
          <w:rFonts w:hint="eastAsia" w:asciiTheme="minorEastAsia" w:hAnsiTheme="minorEastAsia" w:eastAsiaTheme="minorEastAsia" w:cstheme="minorEastAsia"/>
          <w:color w:val="auto"/>
          <w:highlight w:val="none"/>
          <w:u w:val="none"/>
        </w:rPr>
        <w:t>.确定中标候选人和中标人</w:t>
      </w:r>
      <w:bookmarkEnd w:id="219"/>
      <w:bookmarkEnd w:id="220"/>
      <w:bookmarkEnd w:id="221"/>
      <w:bookmarkEnd w:id="222"/>
      <w:bookmarkEnd w:id="223"/>
    </w:p>
    <w:p>
      <w:pPr>
        <w:ind w:left="901"/>
        <w:rPr>
          <w:rFonts w:hint="eastAsia" w:asciiTheme="minorEastAsia" w:hAnsiTheme="minorEastAsia" w:eastAsiaTheme="minorEastAsia" w:cstheme="minorEastAsia"/>
          <w:color w:val="auto"/>
          <w:sz w:val="24"/>
          <w:highlight w:val="none"/>
          <w:lang w:val="en-US" w:eastAsia="zh-CN"/>
        </w:rPr>
      </w:pPr>
      <w:bookmarkStart w:id="224" w:name="_Toc28959"/>
      <w:bookmarkStart w:id="225" w:name="_Toc520356173"/>
      <w:bookmarkStart w:id="226" w:name="_Ref467306874"/>
      <w:bookmarkStart w:id="227" w:name="_Toc518923094"/>
      <w:bookmarkStart w:id="228" w:name="_Toc7753"/>
      <w:r>
        <w:rPr>
          <w:rFonts w:hint="eastAsia" w:asciiTheme="minorEastAsia" w:hAnsiTheme="minorEastAsia" w:eastAsiaTheme="minorEastAsia" w:cstheme="minorEastAsia"/>
          <w:color w:val="auto"/>
          <w:sz w:val="24"/>
          <w:highlight w:val="none"/>
          <w:lang w:val="en-US" w:eastAsia="zh-CN"/>
        </w:rPr>
        <w:t>磋商小组将根据评标标准，按</w:t>
      </w:r>
      <w:r>
        <w:rPr>
          <w:rFonts w:hint="eastAsia" w:asciiTheme="minorEastAsia" w:hAnsiTheme="minorEastAsia" w:eastAsiaTheme="minorEastAsia" w:cstheme="minorEastAsia"/>
          <w:color w:val="auto"/>
          <w:sz w:val="24"/>
          <w:highlight w:val="none"/>
          <w:u w:val="single"/>
          <w:lang w:val="en-US" w:eastAsia="zh-CN"/>
        </w:rPr>
        <w:t>投标人须知资料表</w:t>
      </w:r>
      <w:r>
        <w:rPr>
          <w:rFonts w:hint="eastAsia" w:asciiTheme="minorEastAsia" w:hAnsiTheme="minorEastAsia" w:eastAsiaTheme="minorEastAsia" w:cstheme="minorEastAsia"/>
          <w:color w:val="auto"/>
          <w:sz w:val="24"/>
          <w:highlight w:val="none"/>
          <w:lang w:val="en-US" w:eastAsia="zh-CN"/>
        </w:rPr>
        <w:t>中规定数量推荐中标候选人；或根据采购人的委托，直接确定中标人。</w:t>
      </w:r>
      <w:bookmarkEnd w:id="224"/>
    </w:p>
    <w:p>
      <w:pPr>
        <w:pStyle w:val="5"/>
        <w:tabs>
          <w:tab w:val="left" w:pos="900"/>
        </w:tabs>
        <w:spacing w:before="0" w:after="0" w:line="240" w:lineRule="atLeast"/>
        <w:rPr>
          <w:rFonts w:hint="eastAsia" w:asciiTheme="minorEastAsia" w:hAnsiTheme="minorEastAsia" w:eastAsiaTheme="minorEastAsia" w:cstheme="minorEastAsia"/>
          <w:color w:val="auto"/>
          <w:highlight w:val="none"/>
          <w:u w:val="none"/>
        </w:rPr>
      </w:pPr>
      <w:bookmarkStart w:id="229" w:name="_Toc21045"/>
      <w:bookmarkStart w:id="230" w:name="_Toc7461"/>
      <w:bookmarkStart w:id="231" w:name="_Toc4328"/>
      <w:r>
        <w:rPr>
          <w:rFonts w:hint="eastAsia" w:asciiTheme="minorEastAsia" w:hAnsiTheme="minorEastAsia" w:eastAsiaTheme="minorEastAsia" w:cstheme="minorEastAsia"/>
          <w:color w:val="auto"/>
          <w:highlight w:val="none"/>
          <w:u w:val="none"/>
        </w:rPr>
        <w:t>28</w:t>
      </w:r>
      <w:bookmarkEnd w:id="225"/>
      <w:bookmarkEnd w:id="226"/>
      <w:r>
        <w:rPr>
          <w:rFonts w:hint="eastAsia" w:asciiTheme="minorEastAsia" w:hAnsiTheme="minorEastAsia" w:eastAsiaTheme="minorEastAsia" w:cstheme="minorEastAsia"/>
          <w:color w:val="auto"/>
          <w:highlight w:val="none"/>
          <w:u w:val="none"/>
        </w:rPr>
        <w:t>.采购任务取消</w:t>
      </w:r>
      <w:bookmarkEnd w:id="227"/>
      <w:bookmarkEnd w:id="228"/>
      <w:bookmarkEnd w:id="229"/>
      <w:bookmarkEnd w:id="230"/>
      <w:bookmarkEnd w:id="231"/>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因重大变故采购任务取消时，采购人有权拒绝任何投标人中标，且对受影响的投标人不承担任何责任。</w:t>
      </w:r>
      <w:bookmarkStart w:id="232" w:name="_Toc520356174"/>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33" w:name="_Toc3031"/>
      <w:bookmarkStart w:id="234" w:name="_Toc14129"/>
      <w:bookmarkStart w:id="235" w:name="_Toc32405"/>
      <w:bookmarkStart w:id="236" w:name="_Toc518923095"/>
      <w:bookmarkStart w:id="237" w:name="_Toc903"/>
      <w:r>
        <w:rPr>
          <w:rFonts w:hint="eastAsia" w:asciiTheme="minorEastAsia" w:hAnsiTheme="minorEastAsia" w:eastAsiaTheme="minorEastAsia" w:cstheme="minorEastAsia"/>
          <w:color w:val="auto"/>
          <w:highlight w:val="none"/>
          <w:u w:val="none"/>
        </w:rPr>
        <w:t>29.</w:t>
      </w:r>
      <w:r>
        <w:rPr>
          <w:rFonts w:hint="eastAsia" w:asciiTheme="minorEastAsia" w:hAnsiTheme="minorEastAsia" w:eastAsiaTheme="minorEastAsia" w:cstheme="minorEastAsia"/>
          <w:color w:val="auto"/>
          <w:highlight w:val="none"/>
          <w:u w:val="none"/>
          <w:lang w:eastAsia="zh-CN"/>
        </w:rPr>
        <w:t>成交</w:t>
      </w:r>
      <w:r>
        <w:rPr>
          <w:rFonts w:hint="eastAsia" w:asciiTheme="minorEastAsia" w:hAnsiTheme="minorEastAsia" w:eastAsiaTheme="minorEastAsia" w:cstheme="minorEastAsia"/>
          <w:color w:val="auto"/>
          <w:highlight w:val="none"/>
          <w:u w:val="none"/>
        </w:rPr>
        <w:t>通知书</w:t>
      </w:r>
      <w:bookmarkEnd w:id="232"/>
      <w:bookmarkEnd w:id="233"/>
      <w:bookmarkEnd w:id="234"/>
      <w:bookmarkEnd w:id="235"/>
      <w:bookmarkEnd w:id="236"/>
      <w:bookmarkEnd w:id="237"/>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在投标有效期内，中标人确定后，采购人或者采购代理机构发布中标公告，同时以书面形式向中标人发出</w:t>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通知书；</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通知书是合同的组成部分；</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38" w:name="_Toc520356175"/>
      <w:bookmarkStart w:id="239" w:name="_Ref467306978"/>
      <w:bookmarkStart w:id="240" w:name="_Ref467306377"/>
      <w:bookmarkStart w:id="241" w:name="_Toc518923096"/>
      <w:bookmarkStart w:id="242" w:name="_Toc29795"/>
      <w:bookmarkStart w:id="243" w:name="_Ref467307062"/>
      <w:bookmarkStart w:id="244" w:name="_Toc27261"/>
      <w:bookmarkStart w:id="245" w:name="_Toc1557"/>
      <w:bookmarkStart w:id="246" w:name="_Ref467307204"/>
      <w:bookmarkStart w:id="247" w:name="_Toc21505"/>
      <w:r>
        <w:rPr>
          <w:rFonts w:hint="eastAsia" w:asciiTheme="minorEastAsia" w:hAnsiTheme="minorEastAsia" w:eastAsiaTheme="minorEastAsia" w:cstheme="minorEastAsia"/>
          <w:color w:val="auto"/>
          <w:highlight w:val="none"/>
          <w:u w:val="none"/>
        </w:rPr>
        <w:t>30.签订合同</w:t>
      </w:r>
      <w:bookmarkEnd w:id="238"/>
      <w:bookmarkEnd w:id="239"/>
      <w:bookmarkEnd w:id="240"/>
      <w:bookmarkEnd w:id="241"/>
      <w:bookmarkEnd w:id="242"/>
      <w:bookmarkEnd w:id="243"/>
      <w:bookmarkEnd w:id="244"/>
      <w:bookmarkEnd w:id="245"/>
      <w:bookmarkEnd w:id="246"/>
      <w:bookmarkEnd w:id="247"/>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中标人应当自发出中标通知书之日起30日内，与采购人签订合同。</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w:t>
      </w:r>
      <w:r>
        <w:rPr>
          <w:rFonts w:hint="eastAsia" w:asciiTheme="minorEastAsia" w:hAnsiTheme="minorEastAsia" w:eastAsiaTheme="minorEastAsia" w:cstheme="minorEastAsia"/>
          <w:color w:val="auto"/>
          <w:sz w:val="24"/>
          <w:highlight w:val="none"/>
        </w:rPr>
        <w:tab/>
      </w:r>
      <w:bookmarkStart w:id="248" w:name="_Toc520356176"/>
      <w:bookmarkStart w:id="249" w:name="_Ref467307090"/>
      <w:bookmarkStart w:id="250" w:name="_Ref467306425"/>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文件、中标人的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及其澄清文件等，均为签订合同的依据。</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30.4   当出现法规规定的</w:t>
      </w:r>
      <w:r>
        <w:rPr>
          <w:rFonts w:hint="eastAsia" w:asciiTheme="minorEastAsia" w:hAnsiTheme="minorEastAsia" w:eastAsiaTheme="minorEastAsia" w:cstheme="minorEastAsia"/>
          <w:b/>
          <w:color w:val="auto"/>
          <w:sz w:val="24"/>
          <w:highlight w:val="none"/>
        </w:rPr>
        <w:t>中标无效或中标结果无效</w:t>
      </w:r>
      <w:r>
        <w:rPr>
          <w:rFonts w:hint="eastAsia" w:asciiTheme="minorEastAsia" w:hAnsiTheme="minorEastAsia" w:eastAsiaTheme="minorEastAsia" w:cstheme="minorEastAsia"/>
          <w:color w:val="auto"/>
          <w:sz w:val="24"/>
          <w:highlight w:val="none"/>
        </w:rPr>
        <w:t>情形时，采购人可与排名下一位的中标候选人另行签订合同，或依法重新开展采购活动。</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51" w:name="_Toc4187"/>
      <w:bookmarkStart w:id="252" w:name="_Toc20502"/>
      <w:bookmarkStart w:id="253" w:name="_Toc518923097"/>
      <w:bookmarkStart w:id="254" w:name="_Toc10682"/>
      <w:bookmarkStart w:id="255" w:name="_Toc30351"/>
      <w:r>
        <w:rPr>
          <w:rFonts w:hint="eastAsia" w:asciiTheme="minorEastAsia" w:hAnsiTheme="minorEastAsia" w:eastAsiaTheme="minorEastAsia" w:cstheme="minorEastAsia"/>
          <w:color w:val="auto"/>
          <w:highlight w:val="none"/>
          <w:u w:val="none"/>
        </w:rPr>
        <w:t>31.履约保证金</w:t>
      </w:r>
      <w:bookmarkEnd w:id="248"/>
      <w:bookmarkEnd w:id="249"/>
      <w:bookmarkEnd w:id="250"/>
      <w:bookmarkEnd w:id="251"/>
      <w:bookmarkEnd w:id="252"/>
      <w:bookmarkEnd w:id="253"/>
      <w:bookmarkEnd w:id="254"/>
      <w:bookmarkEnd w:id="255"/>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中标人应按照</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规定向采购人缴纳履约保证金（如采用保函形式，格式见本章附件1）。</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   如果中标人没有按照上述履约保证金的规定执行，将视为放弃中标资格，中标人的</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将不予退还。在此情况下，采购人可确定下一候选人为中标人，也可以重新开展采购活动。</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56" w:name="_Toc12028"/>
      <w:bookmarkStart w:id="257" w:name="_Toc16508"/>
      <w:bookmarkStart w:id="258" w:name="_Toc8121"/>
      <w:bookmarkStart w:id="259" w:name="_Toc518923098"/>
      <w:bookmarkStart w:id="260" w:name="_Toc22051"/>
      <w:r>
        <w:rPr>
          <w:rFonts w:hint="eastAsia" w:asciiTheme="minorEastAsia" w:hAnsiTheme="minorEastAsia" w:eastAsiaTheme="minorEastAsia" w:cstheme="minorEastAsia"/>
          <w:color w:val="auto"/>
          <w:highlight w:val="none"/>
          <w:u w:val="none"/>
        </w:rPr>
        <w:t>32.中标服务费</w:t>
      </w:r>
      <w:bookmarkEnd w:id="256"/>
      <w:bookmarkEnd w:id="257"/>
      <w:bookmarkEnd w:id="258"/>
      <w:bookmarkEnd w:id="259"/>
      <w:bookmarkEnd w:id="260"/>
    </w:p>
    <w:p>
      <w:pPr>
        <w:spacing w:line="240" w:lineRule="atLeast"/>
        <w:ind w:left="840" w:leftChars="200" w:hanging="420" w:hanging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中标人须按照</w:t>
      </w:r>
      <w:r>
        <w:rPr>
          <w:rFonts w:hint="eastAsia" w:asciiTheme="minorEastAsia" w:hAnsiTheme="minorEastAsia" w:eastAsiaTheme="minorEastAsia" w:cstheme="minorEastAsia"/>
          <w:color w:val="auto"/>
          <w:sz w:val="24"/>
          <w:highlight w:val="none"/>
          <w:u w:val="single"/>
        </w:rPr>
        <w:t>投标须知资料表</w:t>
      </w:r>
      <w:r>
        <w:rPr>
          <w:rFonts w:hint="eastAsia" w:asciiTheme="minorEastAsia" w:hAnsiTheme="minorEastAsia" w:eastAsiaTheme="minorEastAsia" w:cstheme="minorEastAsia"/>
          <w:color w:val="auto"/>
          <w:sz w:val="24"/>
          <w:highlight w:val="none"/>
        </w:rPr>
        <w:t>规定，向采购代理机构支付中标服务费。</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61" w:name="_Toc29195"/>
      <w:bookmarkStart w:id="262" w:name="_Toc31319"/>
      <w:bookmarkStart w:id="263" w:name="_Toc9656"/>
      <w:bookmarkStart w:id="264" w:name="_Toc518923099"/>
      <w:bookmarkStart w:id="265" w:name="_Toc8617"/>
      <w:r>
        <w:rPr>
          <w:rFonts w:hint="eastAsia" w:asciiTheme="minorEastAsia" w:hAnsiTheme="minorEastAsia" w:eastAsiaTheme="minorEastAsia" w:cstheme="minorEastAsia"/>
          <w:color w:val="auto"/>
          <w:highlight w:val="none"/>
          <w:u w:val="none"/>
        </w:rPr>
        <w:t>33.政府采购信用担保</w:t>
      </w:r>
      <w:bookmarkEnd w:id="261"/>
      <w:bookmarkEnd w:id="262"/>
      <w:bookmarkEnd w:id="263"/>
      <w:bookmarkEnd w:id="264"/>
      <w:bookmarkEnd w:id="265"/>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本项目是否属于信用担保试点范围见</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w:t>
      </w:r>
    </w:p>
    <w:p>
      <w:pPr>
        <w:spacing w:line="240" w:lineRule="atLeas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如属于政府采购信用担保试点范围内，中小型企业投标人可以自由按照财政部门的规定，采用投标担保、履约担保和融资担保。</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33.2.1 投标人递交的投标担保函和履约担保函应符合本</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文件的规定。</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33.2.2 中标人可以采取融资担保的形式为政府采购项目履约进行融资。</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33.2.3 合格的政府采购专业信用担保机构见</w:t>
      </w:r>
      <w:r>
        <w:rPr>
          <w:rFonts w:hint="eastAsia" w:asciiTheme="minorEastAsia" w:hAnsiTheme="minorEastAsia" w:eastAsiaTheme="minorEastAsia" w:cstheme="minorEastAsia"/>
          <w:color w:val="auto"/>
          <w:sz w:val="24"/>
          <w:highlight w:val="none"/>
          <w:u w:val="single"/>
        </w:rPr>
        <w:t>投标人须知资料表</w:t>
      </w:r>
      <w:r>
        <w:rPr>
          <w:rFonts w:hint="eastAsia" w:asciiTheme="minorEastAsia" w:hAnsiTheme="minorEastAsia" w:eastAsiaTheme="minorEastAsia" w:cstheme="minorEastAsia"/>
          <w:color w:val="auto"/>
          <w:sz w:val="24"/>
          <w:highlight w:val="none"/>
        </w:rPr>
        <w:t>。</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66" w:name="_Toc17581"/>
      <w:bookmarkStart w:id="267" w:name="_Toc26521"/>
      <w:bookmarkStart w:id="268" w:name="_Toc2336"/>
      <w:bookmarkStart w:id="269" w:name="_Toc518923100"/>
      <w:bookmarkStart w:id="270" w:name="_Toc3677"/>
      <w:r>
        <w:rPr>
          <w:rFonts w:hint="eastAsia" w:asciiTheme="minorEastAsia" w:hAnsiTheme="minorEastAsia" w:eastAsiaTheme="minorEastAsia" w:cstheme="minorEastAsia"/>
          <w:color w:val="auto"/>
          <w:highlight w:val="none"/>
          <w:u w:val="none"/>
        </w:rPr>
        <w:t>34.廉洁自律规定</w:t>
      </w:r>
      <w:bookmarkEnd w:id="266"/>
      <w:bookmarkEnd w:id="267"/>
      <w:bookmarkEnd w:id="268"/>
      <w:bookmarkEnd w:id="269"/>
      <w:bookmarkEnd w:id="270"/>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34.3   为强化采购代理机构内部监督机制，供应商可按</w:t>
      </w:r>
      <w:r>
        <w:rPr>
          <w:rFonts w:hint="eastAsia" w:asciiTheme="minorEastAsia" w:hAnsiTheme="minorEastAsia" w:eastAsiaTheme="minorEastAsia" w:cstheme="minorEastAsia"/>
          <w:color w:val="auto"/>
          <w:sz w:val="24"/>
          <w:highlight w:val="none"/>
          <w:u w:val="single"/>
        </w:rPr>
        <w:t>投标人须知资料表中的</w:t>
      </w:r>
      <w:r>
        <w:rPr>
          <w:rFonts w:hint="eastAsia" w:asciiTheme="minorEastAsia" w:hAnsiTheme="minorEastAsia" w:eastAsiaTheme="minorEastAsia" w:cstheme="minorEastAsia"/>
          <w:color w:val="auto"/>
          <w:sz w:val="24"/>
          <w:highlight w:val="none"/>
        </w:rPr>
        <w:t>监督电话和信箱，反映采购代理机构的廉洁自律等问题。</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71" w:name="_Toc25869"/>
      <w:bookmarkStart w:id="272" w:name="_Toc518923101"/>
      <w:bookmarkStart w:id="273" w:name="_Toc29890"/>
      <w:bookmarkStart w:id="274" w:name="_Toc9562"/>
      <w:bookmarkStart w:id="275" w:name="_Toc21173"/>
      <w:r>
        <w:rPr>
          <w:rFonts w:hint="eastAsia" w:asciiTheme="minorEastAsia" w:hAnsiTheme="minorEastAsia" w:eastAsiaTheme="minorEastAsia" w:cstheme="minorEastAsia"/>
          <w:color w:val="auto"/>
          <w:highlight w:val="none"/>
          <w:u w:val="none"/>
        </w:rPr>
        <w:t>35.人员回避</w:t>
      </w:r>
      <w:bookmarkEnd w:id="271"/>
      <w:bookmarkEnd w:id="272"/>
      <w:bookmarkEnd w:id="273"/>
      <w:bookmarkEnd w:id="274"/>
      <w:bookmarkEnd w:id="275"/>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投标人认为采购人员及其相关人员有法律法规所列与其他供应商有利害关系的，可以向采购人或采购代理机构书面提出回避申请，并说明理由。</w:t>
      </w:r>
    </w:p>
    <w:p>
      <w:pPr>
        <w:pStyle w:val="5"/>
        <w:spacing w:before="0" w:after="0" w:line="240" w:lineRule="atLeast"/>
        <w:rPr>
          <w:rFonts w:hint="eastAsia" w:asciiTheme="minorEastAsia" w:hAnsiTheme="minorEastAsia" w:eastAsiaTheme="minorEastAsia" w:cstheme="minorEastAsia"/>
          <w:color w:val="auto"/>
          <w:highlight w:val="none"/>
          <w:u w:val="none"/>
        </w:rPr>
      </w:pPr>
      <w:bookmarkStart w:id="276" w:name="_Toc25734"/>
      <w:bookmarkStart w:id="277" w:name="_Toc518923102"/>
      <w:bookmarkStart w:id="278" w:name="_Toc27428"/>
      <w:bookmarkStart w:id="279" w:name="_Toc31419"/>
      <w:bookmarkStart w:id="280" w:name="_Toc4823"/>
      <w:r>
        <w:rPr>
          <w:rFonts w:hint="eastAsia" w:asciiTheme="minorEastAsia" w:hAnsiTheme="minorEastAsia" w:eastAsiaTheme="minorEastAsia" w:cstheme="minorEastAsia"/>
          <w:color w:val="auto"/>
          <w:highlight w:val="none"/>
          <w:u w:val="none"/>
        </w:rPr>
        <w:t>36.质疑与接收</w:t>
      </w:r>
      <w:bookmarkEnd w:id="276"/>
      <w:bookmarkEnd w:id="277"/>
      <w:bookmarkEnd w:id="278"/>
      <w:bookmarkEnd w:id="279"/>
      <w:bookmarkEnd w:id="280"/>
    </w:p>
    <w:p>
      <w:pPr>
        <w:spacing w:line="240" w:lineRule="atLeast"/>
        <w:ind w:left="850" w:leftChars="68" w:hanging="708" w:hangingChars="2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投标人认为</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超出法定质疑期的、重复提出的、分次提出的或内容、形式不符合《政府采购质疑和投诉办法》的，质疑供应商将依法承担不利后果。</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36.3  采购代理机构质疑函接收部门、联系电话和通讯地址, 见</w:t>
      </w:r>
      <w:r>
        <w:rPr>
          <w:rFonts w:hint="eastAsia" w:asciiTheme="minorEastAsia" w:hAnsiTheme="minorEastAsia" w:eastAsiaTheme="minorEastAsia" w:cstheme="minorEastAsia"/>
          <w:color w:val="auto"/>
          <w:sz w:val="24"/>
          <w:highlight w:val="none"/>
          <w:u w:val="single"/>
        </w:rPr>
        <w:t>投标人须知资料表。</w:t>
      </w:r>
    </w:p>
    <w:p>
      <w:pPr>
        <w:pStyle w:val="5"/>
        <w:spacing w:before="0" w:after="0" w:line="240" w:lineRule="atLeast"/>
        <w:rPr>
          <w:rFonts w:hint="eastAsia" w:asciiTheme="minorEastAsia" w:hAnsiTheme="minorEastAsia" w:eastAsiaTheme="minorEastAsia" w:cstheme="minorEastAsia"/>
          <w:b w:val="0"/>
          <w:bCs/>
          <w:color w:val="auto"/>
          <w:highlight w:val="none"/>
          <w:u w:val="none"/>
        </w:rPr>
      </w:pPr>
      <w:r>
        <w:rPr>
          <w:rFonts w:hint="eastAsia" w:asciiTheme="minorEastAsia" w:hAnsiTheme="minorEastAsia" w:eastAsiaTheme="minorEastAsia" w:cstheme="minorEastAsia"/>
          <w:b w:val="0"/>
          <w:bCs/>
          <w:color w:val="auto"/>
          <w:highlight w:val="none"/>
          <w:u w:val="none"/>
        </w:rPr>
        <w:t>36.4、质疑的提出</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36.5   本采购文件中所称质疑及答复，是指参加本次采购活动的供应商对政府采购活动中的采购文件、采购过程和成交结果向采购方提出质疑，采购方答复质疑的行为。</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（一）对可以质疑的采购文件提出质疑的，为收到采购文件之日或者采购文件公告期限届满之日；</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（二）对采购过程提出质疑的，为各采购程序环节结束之日；</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（三）对成交结果提出质疑的，为成交结果公告期限届满之日。</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36.9   提出质疑应当符合下列条件：</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（一）质疑主体应当符合有关规定；</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（二）在质疑法定期限内提出；</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（三）属于可以提出质疑的政府采购事项受理范围和本项目采购人的管辖权范围；</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（四）政府采购法律、法规、规章规定的其他条件。</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.1   质疑人所提供的证明材料应当具有真实性、合法性以及与质疑事项的关联性和证明力，否则不能作为认定该质疑事项成立的依据。</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.2   质疑人提出质疑时应当提交质疑函。质疑函包括下列内容：</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（一）提出质疑的质疑人的名称、地址、邮编、联系人及联系电话等；</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（二）质疑项目的名称、编号；</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（三）质疑事项；</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（四）事实依据和证明材料；</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（五）法律依据；</w:t>
      </w:r>
    </w:p>
    <w:p>
      <w:pPr>
        <w:spacing w:line="240" w:lineRule="atLeast"/>
        <w:ind w:left="898" w:leftChars="342"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（六）提出质疑的日期。</w:t>
      </w:r>
    </w:p>
    <w:p>
      <w:pPr>
        <w:spacing w:line="240" w:lineRule="atLeast"/>
        <w:ind w:left="957" w:leftChars="456" w:firstLine="60" w:firstLineChars="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质疑函采用实名制。质疑人为自然人的应当由本人签字，并附有效身份证明文</w:t>
      </w:r>
    </w:p>
    <w:p>
      <w:pPr>
        <w:spacing w:line="240" w:lineRule="atLeast"/>
        <w:ind w:left="957" w:leftChars="456"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件；质疑人为法人或者非法人组织的应当由法定代表人或者负责人签字并加盖公章，并附有效身份证明文件。</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.3    质疑人可以委托代理人进行质疑。代理人应当提交授权委托书。授权委托书应当载明委托代理的具体权限、期限和相关事项。</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.4、  质疑的审查和受理</w:t>
      </w:r>
    </w:p>
    <w:p>
      <w:pPr>
        <w:spacing w:line="240" w:lineRule="atLeast"/>
        <w:ind w:left="957" w:leftChars="456" w:firstLine="60" w:firstLineChars="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采购方在收到质疑函后应当及时审查是否符合质疑受理条件，对符合质疑受理条件的，及时予以受理。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.5    对不符合质疑受理条件的，分别按照下列不同情形予以处理：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（一）质疑函内容不符合规定的，告知质疑人进行修改并重新提出质疑。修改后质疑事项仍不具体、不明确或者最终递交质疑函的时间超过质疑法定期限的，不予受理；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（二）质疑主体不符合有关规定的，告知质疑人不予受理；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（三）超过质疑法定期限提出质疑的，告知质疑人不予受理；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（四）对不属于可以提出质疑的政府采购事项提出质疑的，告知质疑人不予受理；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（五）质疑不属于本项目采购方管辖的，告知质疑人向有管辖权的采购人提出质疑；</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（六）质疑不符合其他条件的，告知质疑人不予受理。</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.6、 质疑的处理和答复</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.7   采购方受理质疑后，将及时把质疑函发送给被质疑人，并要求其在一定限期内提交书面答复，同时提供有关证据、依据和相关材料。</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.8    对于质疑事项中涉及的问题较多、情况比较复杂的，为了全面查清事实、取得充分的证据，采购方认为有必要时，可以进行调查取证或者组织质证。</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.9    对评审过程、成交结果提出质疑的，采购方可以组织原评审委员会协助答复质疑。</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38</w:t>
      </w:r>
      <w:r>
        <w:rPr>
          <w:rFonts w:hint="eastAsia" w:asciiTheme="minorEastAsia" w:hAnsiTheme="minorEastAsia" w:eastAsiaTheme="minorEastAsia" w:cstheme="minorEastAsia"/>
          <w:color w:val="auto"/>
          <w:sz w:val="24"/>
          <w:highlight w:val="none"/>
        </w:rPr>
        <w:t>.    质疑处理过程中，质疑人书面申请撤回质疑的，将终止质疑处理程序。</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38</w:t>
      </w:r>
      <w:r>
        <w:rPr>
          <w:rFonts w:hint="eastAsia" w:asciiTheme="minorEastAsia" w:hAnsiTheme="minorEastAsia" w:eastAsiaTheme="minorEastAsia" w:cstheme="minorEastAsia"/>
          <w:color w:val="auto"/>
          <w:sz w:val="24"/>
          <w:highlight w:val="none"/>
        </w:rPr>
        <w:t>.1   质疑人拒绝配合采购方依法对质疑进行调查处理的，采购方将按质疑人自动撤回质疑处理；被质疑人拒绝配合采购方依法对质疑进行调查处理的，采购方将视同其认可质疑事项。</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38</w:t>
      </w:r>
      <w:r>
        <w:rPr>
          <w:rFonts w:hint="eastAsia" w:asciiTheme="minorEastAsia" w:hAnsiTheme="minorEastAsia" w:eastAsiaTheme="minorEastAsia" w:cstheme="minorEastAsia"/>
          <w:color w:val="auto"/>
          <w:sz w:val="24"/>
          <w:highlight w:val="none"/>
        </w:rPr>
        <w:t>.1   质疑人拒绝配合采购方依法对质疑进行调查处理的，采购方将按质疑人自动撤回质疑处理；被质疑人拒绝配合采购方依法对质疑进行调查处理的，采购方将视同其认可质疑事项。</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38</w:t>
      </w:r>
      <w:r>
        <w:rPr>
          <w:rFonts w:hint="eastAsia" w:asciiTheme="minorEastAsia" w:hAnsiTheme="minorEastAsia" w:eastAsiaTheme="minorEastAsia" w:cstheme="minorEastAsia"/>
          <w:color w:val="auto"/>
          <w:sz w:val="24"/>
          <w:highlight w:val="none"/>
        </w:rPr>
        <w:t>.2   采购方将在正式受理质疑后7个工作日内作出答复。</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38</w:t>
      </w:r>
      <w:r>
        <w:rPr>
          <w:rFonts w:hint="eastAsia" w:asciiTheme="minorEastAsia" w:hAnsiTheme="minorEastAsia" w:eastAsiaTheme="minorEastAsia" w:cstheme="minorEastAsia"/>
          <w:color w:val="auto"/>
          <w:sz w:val="24"/>
          <w:highlight w:val="none"/>
        </w:rPr>
        <w:t>.3   质疑答复应当包括下列内容：</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（一）质疑人的姓名或者名称；</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（二）收到质疑函的日期、质疑项目名称及编号；</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（三）质疑事项、质疑答复的具体内容、事实依据和法律依据；</w:t>
      </w:r>
    </w:p>
    <w:p>
      <w:pPr>
        <w:spacing w:line="240" w:lineRule="atLeas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（四）告知质疑供应商依法投诉的权利；</w:t>
      </w:r>
    </w:p>
    <w:p>
      <w:pPr>
        <w:spacing w:line="240" w:lineRule="atLeast"/>
        <w:ind w:left="957" w:leftChars="456" w:firstLine="60" w:firstLineChars="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（五）质疑答复人名称；</w:t>
      </w:r>
    </w:p>
    <w:p>
      <w:pPr>
        <w:spacing w:line="240" w:lineRule="atLeast"/>
        <w:ind w:left="957" w:leftChars="456" w:firstLine="60" w:firstLineChars="2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（六）答复质疑的日期。</w:t>
      </w:r>
    </w:p>
    <w:p>
      <w:pPr>
        <w:jc w:val="center"/>
        <w:outlineLvl w:val="1"/>
        <w:rPr>
          <w:rFonts w:hint="eastAsia" w:asciiTheme="minorEastAsia" w:hAnsiTheme="minorEastAsia" w:eastAsiaTheme="minorEastAsia" w:cstheme="minorEastAsia"/>
          <w:b/>
          <w:bCs/>
          <w:color w:val="auto"/>
          <w:sz w:val="24"/>
          <w:highlight w:val="none"/>
        </w:rPr>
      </w:pPr>
      <w:bookmarkStart w:id="281" w:name="_Toc5791"/>
      <w:bookmarkStart w:id="282" w:name="_Toc8972"/>
      <w:r>
        <w:rPr>
          <w:rFonts w:hint="eastAsia" w:asciiTheme="minorEastAsia" w:hAnsiTheme="minorEastAsia" w:eastAsiaTheme="minorEastAsia" w:cstheme="minorEastAsia"/>
          <w:b/>
          <w:bCs/>
          <w:color w:val="auto"/>
          <w:sz w:val="24"/>
          <w:highlight w:val="none"/>
        </w:rPr>
        <w:t>质疑函范本</w:t>
      </w:r>
      <w:bookmarkEnd w:id="281"/>
      <w:bookmarkEnd w:id="282"/>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outlineLvl w:val="1"/>
        <w:rPr>
          <w:rFonts w:hint="eastAsia" w:asciiTheme="minorEastAsia" w:hAnsiTheme="minorEastAsia" w:eastAsiaTheme="minorEastAsia" w:cstheme="minorEastAsia"/>
          <w:bCs/>
          <w:color w:val="auto"/>
          <w:sz w:val="24"/>
          <w:highlight w:val="none"/>
        </w:rPr>
      </w:pPr>
      <w:bookmarkStart w:id="283" w:name="_Toc13903"/>
      <w:bookmarkStart w:id="284" w:name="_Toc22940"/>
      <w:r>
        <w:rPr>
          <w:rFonts w:hint="eastAsia" w:asciiTheme="minorEastAsia" w:hAnsiTheme="minorEastAsia" w:eastAsiaTheme="minorEastAsia" w:cstheme="minorEastAsia"/>
          <w:bCs/>
          <w:color w:val="auto"/>
          <w:sz w:val="24"/>
          <w:highlight w:val="none"/>
        </w:rPr>
        <w:t>一、质疑供应商基本信息</w:t>
      </w:r>
      <w:bookmarkEnd w:id="283"/>
      <w:bookmarkEnd w:id="284"/>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outlineLvl w:val="1"/>
        <w:rPr>
          <w:rFonts w:hint="eastAsia" w:asciiTheme="minorEastAsia" w:hAnsiTheme="minorEastAsia" w:eastAsiaTheme="minorEastAsia" w:cstheme="minorEastAsia"/>
          <w:bCs/>
          <w:color w:val="auto"/>
          <w:sz w:val="24"/>
          <w:highlight w:val="none"/>
        </w:rPr>
      </w:pPr>
      <w:bookmarkStart w:id="285" w:name="_Toc10550"/>
      <w:bookmarkStart w:id="286" w:name="_Toc18638"/>
      <w:r>
        <w:rPr>
          <w:rFonts w:hint="eastAsia" w:asciiTheme="minorEastAsia" w:hAnsiTheme="minorEastAsia" w:eastAsiaTheme="minorEastAsia" w:cstheme="minorEastAsia"/>
          <w:bCs/>
          <w:color w:val="auto"/>
          <w:sz w:val="24"/>
          <w:highlight w:val="none"/>
        </w:rPr>
        <w:t>二、质疑项目基本情况</w:t>
      </w:r>
      <w:bookmarkEnd w:id="285"/>
      <w:bookmarkEnd w:id="286"/>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outlineLvl w:val="1"/>
        <w:rPr>
          <w:rFonts w:hint="eastAsia" w:asciiTheme="minorEastAsia" w:hAnsiTheme="minorEastAsia" w:eastAsiaTheme="minorEastAsia" w:cstheme="minorEastAsia"/>
          <w:bCs/>
          <w:color w:val="auto"/>
          <w:sz w:val="24"/>
          <w:highlight w:val="none"/>
        </w:rPr>
      </w:pPr>
      <w:bookmarkStart w:id="287" w:name="_Toc23847"/>
      <w:bookmarkStart w:id="288" w:name="_Toc10861"/>
      <w:r>
        <w:rPr>
          <w:rFonts w:hint="eastAsia" w:asciiTheme="minorEastAsia" w:hAnsiTheme="minorEastAsia" w:eastAsiaTheme="minorEastAsia" w:cstheme="minorEastAsia"/>
          <w:bCs/>
          <w:color w:val="auto"/>
          <w:sz w:val="24"/>
          <w:highlight w:val="none"/>
        </w:rPr>
        <w:t>三、质疑事项具体内容</w:t>
      </w:r>
      <w:bookmarkEnd w:id="287"/>
      <w:bookmarkEnd w:id="288"/>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outlineLvl w:val="1"/>
        <w:rPr>
          <w:rFonts w:hint="eastAsia" w:asciiTheme="minorEastAsia" w:hAnsiTheme="minorEastAsia" w:eastAsiaTheme="minorEastAsia" w:cstheme="minorEastAsia"/>
          <w:bCs/>
          <w:color w:val="auto"/>
          <w:sz w:val="24"/>
          <w:highlight w:val="none"/>
        </w:rPr>
      </w:pPr>
      <w:bookmarkStart w:id="289" w:name="_Toc21447"/>
      <w:bookmarkStart w:id="290" w:name="_Toc110"/>
      <w:r>
        <w:rPr>
          <w:rFonts w:hint="eastAsia" w:asciiTheme="minorEastAsia" w:hAnsiTheme="minorEastAsia" w:eastAsiaTheme="minorEastAsia" w:cstheme="minorEastAsia"/>
          <w:bCs/>
          <w:color w:val="auto"/>
          <w:sz w:val="24"/>
          <w:highlight w:val="none"/>
        </w:rPr>
        <w:t>四、与质疑事项相关的质疑请求</w:t>
      </w:r>
      <w:bookmarkEnd w:id="289"/>
      <w:bookmarkEnd w:id="290"/>
    </w:p>
    <w:p>
      <w:pPr>
        <w:keepNext w:val="0"/>
        <w:keepLines w:val="0"/>
        <w:pageBreakBefore w:val="0"/>
        <w:widowControl w:val="0"/>
        <w:kinsoku/>
        <w:wordWrap/>
        <w:overflowPunct/>
        <w:topLinePunct w:val="0"/>
        <w:autoSpaceDE/>
        <w:autoSpaceDN/>
        <w:bidi w:val="0"/>
        <w:adjustRightInd w:val="0"/>
        <w:snapToGrid w:val="0"/>
        <w:spacing w:line="400" w:lineRule="exact"/>
        <w:ind w:leftChars="600"/>
        <w:textAlignment w:val="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ind w:leftChars="6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adjustRightInd w:val="0"/>
        <w:snapToGrid w:val="0"/>
        <w:spacing w:line="360" w:lineRule="auto"/>
        <w:rPr>
          <w:rFonts w:hint="eastAsia" w:asciiTheme="minorEastAsia" w:hAnsiTheme="minorEastAsia" w:eastAsiaTheme="minorEastAsia" w:cstheme="minorEastAsia"/>
          <w:color w:val="auto"/>
          <w:sz w:val="24"/>
          <w:highlight w:val="none"/>
        </w:rPr>
      </w:pPr>
    </w:p>
    <w:p>
      <w:pPr>
        <w:pStyle w:val="26"/>
        <w:rPr>
          <w:rFonts w:hint="eastAsia"/>
        </w:rPr>
      </w:pPr>
    </w:p>
    <w:p>
      <w:pPr>
        <w:pStyle w:val="2"/>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2"/>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rPr>
      </w:pPr>
    </w:p>
    <w:p>
      <w:pPr>
        <w:ind w:firstLine="960" w:firstLineChars="4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ind w:firstLine="960" w:firstLineChars="4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spacing w:line="240" w:lineRule="atLeast"/>
        <w:ind w:left="898" w:leftChars="228" w:hanging="420" w:hangingChars="175"/>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6.质疑供应商为自然人的，质疑函应由本人签字；质疑供应商为法人或者其他组织的，</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kern w:val="2"/>
          <w:sz w:val="24"/>
          <w:szCs w:val="24"/>
          <w:highlight w:val="none"/>
          <w:lang w:val="en-US" w:eastAsia="zh-CN" w:bidi="ar-SA"/>
        </w:rPr>
        <w:t>质疑函应由法定代表人、主要负责人，或者其授权代表签字或者盖章，并加盖公章。</w:t>
      </w:r>
    </w:p>
    <w:p>
      <w:pPr>
        <w:pStyle w:val="4"/>
        <w:spacing w:before="0" w:line="240" w:lineRule="atLeast"/>
        <w:ind w:left="1079" w:leftChars="257" w:hanging="54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br w:type="page"/>
      </w:r>
      <w:bookmarkStart w:id="291" w:name="_Toc518923103"/>
      <w:bookmarkStart w:id="292" w:name="_Toc2062"/>
      <w:bookmarkStart w:id="293" w:name="_Toc2174"/>
      <w:bookmarkStart w:id="294" w:name="_Toc9805"/>
      <w:bookmarkStart w:id="295" w:name="_Toc11702"/>
      <w:bookmarkStart w:id="296" w:name="_Toc23883"/>
      <w:r>
        <w:rPr>
          <w:rFonts w:hint="eastAsia" w:asciiTheme="minorEastAsia" w:hAnsiTheme="minorEastAsia" w:eastAsiaTheme="minorEastAsia" w:cstheme="minorEastAsia"/>
          <w:color w:val="auto"/>
          <w:szCs w:val="24"/>
          <w:highlight w:val="none"/>
        </w:rPr>
        <w:t>附件1：履约保证金保函（格式）</w:t>
      </w:r>
      <w:bookmarkEnd w:id="291"/>
      <w:bookmarkEnd w:id="292"/>
      <w:bookmarkEnd w:id="293"/>
      <w:bookmarkEnd w:id="294"/>
      <w:bookmarkEnd w:id="295"/>
      <w:bookmarkEnd w:id="296"/>
    </w:p>
    <w:p>
      <w:pPr>
        <w:pStyle w:val="14"/>
        <w:spacing w:line="240" w:lineRule="atLeast"/>
        <w:ind w:left="1079" w:leftChars="257" w:hanging="54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 xml:space="preserve">   （中标后开具）</w:t>
      </w:r>
    </w:p>
    <w:p>
      <w:pPr>
        <w:pStyle w:val="14"/>
        <w:spacing w:line="240" w:lineRule="atLeast"/>
        <w:ind w:left="1079" w:leftChars="257" w:hanging="540"/>
        <w:rPr>
          <w:rFonts w:hint="eastAsia" w:asciiTheme="minorEastAsia" w:hAnsiTheme="minorEastAsia" w:eastAsiaTheme="minorEastAsia" w:cstheme="minorEastAsia"/>
          <w:b/>
          <w:color w:val="auto"/>
          <w:sz w:val="24"/>
          <w:highlight w:val="none"/>
        </w:rPr>
      </w:pPr>
    </w:p>
    <w:p>
      <w:pPr>
        <w:pStyle w:val="14"/>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 (</w:t>
      </w:r>
      <w:r>
        <w:rPr>
          <w:rFonts w:hint="eastAsia" w:asciiTheme="minorEastAsia" w:hAnsiTheme="minorEastAsia" w:eastAsiaTheme="minorEastAsia" w:cstheme="minorEastAsia"/>
          <w:i/>
          <w:color w:val="auto"/>
          <w:sz w:val="24"/>
          <w:highlight w:val="none"/>
          <w:u w:val="single"/>
        </w:rPr>
        <w:t>买方名称</w:t>
      </w:r>
      <w:r>
        <w:rPr>
          <w:rFonts w:hint="eastAsia" w:asciiTheme="minorEastAsia" w:hAnsiTheme="minorEastAsia" w:eastAsiaTheme="minorEastAsia" w:cstheme="minorEastAsia"/>
          <w:color w:val="auto"/>
          <w:sz w:val="24"/>
          <w:highlight w:val="none"/>
        </w:rPr>
        <w:t>)</w:t>
      </w:r>
    </w:p>
    <w:p>
      <w:pPr>
        <w:pStyle w:val="14"/>
        <w:spacing w:line="240" w:lineRule="atLeast"/>
        <w:ind w:left="1079" w:leftChars="257" w:hanging="54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号合同履约保函</w:t>
      </w:r>
    </w:p>
    <w:p>
      <w:pPr>
        <w:pStyle w:val="14"/>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p>
      <w:pPr>
        <w:pStyle w:val="14"/>
        <w:spacing w:line="240" w:lineRule="atLeast"/>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本保函作为贵方与(</w:t>
      </w:r>
      <w:r>
        <w:rPr>
          <w:rFonts w:hint="eastAsia" w:asciiTheme="minorEastAsia" w:hAnsiTheme="minorEastAsia" w:eastAsiaTheme="minorEastAsia" w:cstheme="minorEastAsia"/>
          <w:i/>
          <w:color w:val="auto"/>
          <w:sz w:val="24"/>
          <w:highlight w:val="none"/>
          <w:u w:val="single"/>
        </w:rPr>
        <w:t>卖方名称</w:t>
      </w:r>
      <w:r>
        <w:rPr>
          <w:rFonts w:hint="eastAsia" w:asciiTheme="minorEastAsia" w:hAnsiTheme="minorEastAsia" w:eastAsiaTheme="minorEastAsia" w:cstheme="minorEastAsia"/>
          <w:color w:val="auto"/>
          <w:sz w:val="24"/>
          <w:highlight w:val="none"/>
        </w:rPr>
        <w:t>)(以下简称卖方)于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项目(以下简称项目)项下提供(</w:t>
      </w:r>
      <w:r>
        <w:rPr>
          <w:rFonts w:hint="eastAsia" w:asciiTheme="minorEastAsia" w:hAnsiTheme="minorEastAsia" w:eastAsiaTheme="minorEastAsia" w:cstheme="minorEastAsia"/>
          <w:i/>
          <w:color w:val="auto"/>
          <w:sz w:val="24"/>
          <w:highlight w:val="none"/>
          <w:u w:val="single"/>
        </w:rPr>
        <w:t>服务</w:t>
      </w:r>
      <w:r>
        <w:rPr>
          <w:rFonts w:hint="eastAsia" w:asciiTheme="minorEastAsia" w:hAnsiTheme="minorEastAsia" w:eastAsiaTheme="minorEastAsia" w:cstheme="minorEastAsia"/>
          <w:i/>
          <w:color w:val="auto"/>
          <w:sz w:val="24"/>
          <w:highlight w:val="none"/>
          <w:u w:val="single"/>
          <w:lang w:val="en-US" w:eastAsia="zh-CN"/>
        </w:rPr>
        <w:t>/货物</w:t>
      </w:r>
      <w:r>
        <w:rPr>
          <w:rFonts w:hint="eastAsia" w:asciiTheme="minorEastAsia" w:hAnsiTheme="minorEastAsia" w:eastAsiaTheme="minorEastAsia" w:cstheme="minorEastAsia"/>
          <w:i/>
          <w:color w:val="auto"/>
          <w:sz w:val="24"/>
          <w:highlight w:val="none"/>
          <w:u w:val="single"/>
        </w:rPr>
        <w:t>名称</w:t>
      </w:r>
      <w:r>
        <w:rPr>
          <w:rFonts w:hint="eastAsia" w:asciiTheme="minorEastAsia" w:hAnsiTheme="minorEastAsia" w:eastAsiaTheme="minorEastAsia" w:cstheme="minorEastAsia"/>
          <w:color w:val="auto"/>
          <w:sz w:val="24"/>
          <w:highlight w:val="none"/>
        </w:rPr>
        <w:t>)(以下简称服务</w:t>
      </w:r>
      <w:r>
        <w:rPr>
          <w:rFonts w:hint="eastAsia" w:asciiTheme="minorEastAsia" w:hAnsiTheme="minorEastAsia" w:eastAsiaTheme="minorEastAsia" w:cstheme="minorEastAsia"/>
          <w:color w:val="auto"/>
          <w:sz w:val="24"/>
          <w:highlight w:val="none"/>
          <w:lang w:val="en-US" w:eastAsia="zh-CN"/>
        </w:rPr>
        <w:t>/货物</w:t>
      </w:r>
      <w:r>
        <w:rPr>
          <w:rFonts w:hint="eastAsia" w:asciiTheme="minorEastAsia" w:hAnsiTheme="minorEastAsia" w:eastAsiaTheme="minorEastAsia" w:cstheme="minorEastAsia"/>
          <w:color w:val="auto"/>
          <w:sz w:val="24"/>
          <w:highlight w:val="none"/>
        </w:rPr>
        <w:t>)签订的(</w:t>
      </w:r>
      <w:r>
        <w:rPr>
          <w:rFonts w:hint="eastAsia" w:asciiTheme="minorEastAsia" w:hAnsiTheme="minorEastAsia" w:eastAsiaTheme="minorEastAsia" w:cstheme="minorEastAsia"/>
          <w:i/>
          <w:color w:val="auto"/>
          <w:sz w:val="24"/>
          <w:highlight w:val="none"/>
          <w:u w:val="single"/>
        </w:rPr>
        <w:t>合同号</w:t>
      </w:r>
      <w:r>
        <w:rPr>
          <w:rFonts w:hint="eastAsia" w:asciiTheme="minorEastAsia" w:hAnsiTheme="minorEastAsia" w:eastAsiaTheme="minorEastAsia" w:cstheme="minorEastAsia"/>
          <w:color w:val="auto"/>
          <w:sz w:val="24"/>
          <w:highlight w:val="none"/>
        </w:rPr>
        <w:t>)号合同的履约保函。</w:t>
      </w:r>
    </w:p>
    <w:p>
      <w:pPr>
        <w:pStyle w:val="14"/>
        <w:spacing w:line="240" w:lineRule="atLeas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i/>
          <w:color w:val="auto"/>
          <w:sz w:val="24"/>
          <w:highlight w:val="none"/>
          <w:u w:val="single"/>
        </w:rPr>
        <w:t>出具保函的银行名称</w:t>
      </w:r>
      <w:r>
        <w:rPr>
          <w:rFonts w:hint="eastAsia" w:asciiTheme="minorEastAsia" w:hAnsiTheme="minorEastAsia" w:eastAsiaTheme="minorEastAsia" w:cstheme="minorEastAsia"/>
          <w:color w:val="auto"/>
          <w:sz w:val="24"/>
          <w:highlight w:val="none"/>
        </w:rPr>
        <w:t>)(以下简称银行)无条件地、不可撤销地具结保证本行、其继承人和受让人无追索地向贵方以(</w:t>
      </w:r>
      <w:r>
        <w:rPr>
          <w:rFonts w:hint="eastAsia" w:asciiTheme="minorEastAsia" w:hAnsiTheme="minorEastAsia" w:eastAsiaTheme="minorEastAsia" w:cstheme="minorEastAsia"/>
          <w:i/>
          <w:color w:val="auto"/>
          <w:sz w:val="24"/>
          <w:highlight w:val="none"/>
          <w:u w:val="single"/>
        </w:rPr>
        <w:t>货币名称</w:t>
      </w:r>
      <w:r>
        <w:rPr>
          <w:rFonts w:hint="eastAsia" w:asciiTheme="minorEastAsia" w:hAnsiTheme="minorEastAsia" w:eastAsiaTheme="minorEastAsia" w:cstheme="minorEastAsia"/>
          <w:color w:val="auto"/>
          <w:sz w:val="24"/>
          <w:highlight w:val="none"/>
        </w:rPr>
        <w:t>)支付总额不超过(</w:t>
      </w:r>
      <w:r>
        <w:rPr>
          <w:rFonts w:hint="eastAsia" w:asciiTheme="minorEastAsia" w:hAnsiTheme="minorEastAsia" w:eastAsiaTheme="minorEastAsia" w:cstheme="minorEastAsia"/>
          <w:i/>
          <w:color w:val="auto"/>
          <w:sz w:val="24"/>
          <w:highlight w:val="none"/>
          <w:u w:val="single"/>
        </w:rPr>
        <w:t>货币数量</w:t>
      </w:r>
      <w:r>
        <w:rPr>
          <w:rFonts w:hint="eastAsia" w:asciiTheme="minorEastAsia" w:hAnsiTheme="minorEastAsia" w:eastAsiaTheme="minorEastAsia" w:cstheme="minorEastAsia"/>
          <w:color w:val="auto"/>
          <w:sz w:val="24"/>
          <w:highlight w:val="none"/>
        </w:rPr>
        <w:t>),即相当于合同价格的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%,并以此约定如下:</w:t>
      </w:r>
    </w:p>
    <w:p>
      <w:pPr>
        <w:pStyle w:val="14"/>
        <w:spacing w:line="240" w:lineRule="atLeast"/>
        <w:ind w:left="539" w:leftChars="25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1.只要贵方确定卖方未能忠实地履行所有合同文件的规定和双方此后一致 同意的修改、补充和变动,包括更改和/或修补贵方认为有缺陷的服务</w:t>
      </w:r>
      <w:r>
        <w:rPr>
          <w:rFonts w:hint="eastAsia" w:asciiTheme="minorEastAsia" w:hAnsiTheme="minorEastAsia" w:eastAsiaTheme="minorEastAsia" w:cstheme="minorEastAsia"/>
          <w:color w:val="auto"/>
          <w:sz w:val="24"/>
          <w:highlight w:val="none"/>
          <w:lang w:val="en-US" w:eastAsia="zh-CN"/>
        </w:rPr>
        <w:t>/货物</w:t>
      </w:r>
      <w:r>
        <w:rPr>
          <w:rFonts w:hint="eastAsia" w:asciiTheme="minorEastAsia" w:hAnsiTheme="minorEastAsia" w:eastAsiaTheme="minorEastAsia" w:cstheme="minorEastAsia"/>
          <w:color w:val="auto"/>
          <w:sz w:val="24"/>
          <w:highlight w:val="none"/>
        </w:rPr>
        <w:t>(以下简称违约),无论卖方有任何反对,本行将凭贵方关于卖方违约说明的书面通知,立即按贵方提出的累计总额不超过上述金额的款项和按贵方通知规定的方式付给贵方。</w:t>
      </w:r>
    </w:p>
    <w:p>
      <w:pPr>
        <w:pStyle w:val="14"/>
        <w:spacing w:line="240" w:lineRule="atLeast"/>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4"/>
        <w:spacing w:line="240" w:lineRule="atLeast"/>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4.本保函在本合同规定的保证期期满前完全有效。</w:t>
      </w:r>
    </w:p>
    <w:p>
      <w:pPr>
        <w:pStyle w:val="14"/>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4"/>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谨启</w:t>
      </w:r>
    </w:p>
    <w:p>
      <w:pPr>
        <w:pStyle w:val="14"/>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出具保函银行名称：</w:t>
      </w:r>
      <w:r>
        <w:rPr>
          <w:rFonts w:hint="eastAsia" w:asciiTheme="minorEastAsia" w:hAnsiTheme="minorEastAsia" w:eastAsiaTheme="minorEastAsia" w:cstheme="minorEastAsia"/>
          <w:color w:val="auto"/>
          <w:sz w:val="24"/>
          <w:highlight w:val="none"/>
          <w:u w:val="single"/>
        </w:rPr>
        <w:t xml:space="preserve">                             </w:t>
      </w:r>
    </w:p>
    <w:p>
      <w:pPr>
        <w:pStyle w:val="14"/>
        <w:spacing w:line="240" w:lineRule="atLeast"/>
        <w:ind w:left="1079"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签字人姓名和职务：</w:t>
      </w:r>
      <w:r>
        <w:rPr>
          <w:rFonts w:hint="eastAsia" w:asciiTheme="minorEastAsia" w:hAnsiTheme="minorEastAsia" w:eastAsiaTheme="minorEastAsia" w:cstheme="minorEastAsia"/>
          <w:color w:val="auto"/>
          <w:sz w:val="24"/>
          <w:highlight w:val="none"/>
          <w:u w:val="single"/>
        </w:rPr>
        <w:t xml:space="preserve">                             </w:t>
      </w:r>
    </w:p>
    <w:p>
      <w:pPr>
        <w:pStyle w:val="14"/>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签字人签名：</w:t>
      </w:r>
      <w:r>
        <w:rPr>
          <w:rFonts w:hint="eastAsia" w:asciiTheme="minorEastAsia" w:hAnsiTheme="minorEastAsia" w:eastAsiaTheme="minorEastAsia" w:cstheme="minorEastAsia"/>
          <w:color w:val="auto"/>
          <w:sz w:val="24"/>
          <w:highlight w:val="none"/>
          <w:u w:val="single"/>
        </w:rPr>
        <w:t xml:space="preserve">                                   </w:t>
      </w:r>
    </w:p>
    <w:p>
      <w:pPr>
        <w:pStyle w:val="14"/>
        <w:spacing w:line="240" w:lineRule="atLeast"/>
        <w:ind w:left="1079"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pPr>
        <w:pStyle w:val="4"/>
        <w:spacing w:before="0" w:line="240" w:lineRule="atLeast"/>
        <w:ind w:left="1079" w:leftChars="257" w:hanging="540"/>
        <w:rPr>
          <w:rFonts w:hint="eastAsia" w:asciiTheme="minorEastAsia" w:hAnsiTheme="minorEastAsia" w:eastAsiaTheme="minorEastAsia" w:cstheme="minorEastAsia"/>
          <w:color w:val="auto"/>
          <w:szCs w:val="24"/>
          <w:highlight w:val="none"/>
        </w:rPr>
      </w:pPr>
      <w:bookmarkStart w:id="297" w:name="_Toc27788"/>
      <w:bookmarkStart w:id="298" w:name="_Toc518923104"/>
      <w:r>
        <w:rPr>
          <w:rFonts w:hint="eastAsia" w:asciiTheme="minorEastAsia" w:hAnsiTheme="minorEastAsia" w:eastAsiaTheme="minorEastAsia" w:cstheme="minorEastAsia"/>
          <w:color w:val="auto"/>
          <w:szCs w:val="24"/>
          <w:highlight w:val="none"/>
        </w:rPr>
        <w:br w:type="page"/>
      </w:r>
      <w:bookmarkStart w:id="299" w:name="_Toc28870"/>
      <w:bookmarkStart w:id="300" w:name="_Toc19866"/>
      <w:bookmarkStart w:id="301" w:name="_Toc23367"/>
      <w:bookmarkStart w:id="302" w:name="_Toc25304"/>
      <w:r>
        <w:rPr>
          <w:rFonts w:hint="eastAsia" w:asciiTheme="minorEastAsia" w:hAnsiTheme="minorEastAsia" w:eastAsiaTheme="minorEastAsia" w:cstheme="minorEastAsia"/>
          <w:color w:val="auto"/>
          <w:szCs w:val="24"/>
          <w:highlight w:val="none"/>
        </w:rPr>
        <w:t>附件2：履约担保函格式</w:t>
      </w:r>
      <w:bookmarkEnd w:id="297"/>
      <w:bookmarkEnd w:id="298"/>
      <w:bookmarkEnd w:id="299"/>
      <w:bookmarkEnd w:id="300"/>
      <w:bookmarkEnd w:id="301"/>
      <w:bookmarkEnd w:id="302"/>
    </w:p>
    <w:p>
      <w:pPr>
        <w:pStyle w:val="4"/>
        <w:spacing w:before="0" w:line="240" w:lineRule="atLeast"/>
        <w:ind w:left="1079" w:leftChars="257" w:hanging="540"/>
        <w:rPr>
          <w:rFonts w:hint="eastAsia" w:asciiTheme="minorEastAsia" w:hAnsiTheme="minorEastAsia" w:eastAsiaTheme="minorEastAsia" w:cstheme="minorEastAsia"/>
          <w:b w:val="0"/>
          <w:color w:val="auto"/>
          <w:highlight w:val="none"/>
        </w:rPr>
      </w:pPr>
      <w:bookmarkStart w:id="303" w:name="_Toc3281"/>
      <w:bookmarkStart w:id="304" w:name="_Toc12515"/>
      <w:bookmarkStart w:id="305" w:name="_Toc29719"/>
      <w:bookmarkStart w:id="306" w:name="_Toc518923105"/>
      <w:bookmarkStart w:id="307" w:name="_Toc30995"/>
      <w:bookmarkStart w:id="308" w:name="_Toc515904842"/>
      <w:bookmarkStart w:id="309" w:name="_Toc32027"/>
      <w:r>
        <w:rPr>
          <w:rFonts w:hint="eastAsia" w:asciiTheme="minorEastAsia" w:hAnsiTheme="minorEastAsia" w:eastAsiaTheme="minorEastAsia" w:cstheme="minorEastAsia"/>
          <w:color w:val="auto"/>
          <w:szCs w:val="24"/>
          <w:highlight w:val="none"/>
        </w:rPr>
        <w:t>（采用政府采购信用担保形式时使用）</w:t>
      </w:r>
      <w:bookmarkEnd w:id="303"/>
      <w:bookmarkEnd w:id="304"/>
      <w:bookmarkEnd w:id="305"/>
      <w:bookmarkEnd w:id="306"/>
      <w:bookmarkEnd w:id="307"/>
      <w:bookmarkEnd w:id="308"/>
      <w:bookmarkEnd w:id="309"/>
    </w:p>
    <w:p>
      <w:pPr>
        <w:spacing w:line="240" w:lineRule="atLeast"/>
        <w:ind w:left="1079" w:leftChars="257" w:hanging="540"/>
        <w:rPr>
          <w:rFonts w:hint="eastAsia" w:asciiTheme="minorEastAsia" w:hAnsiTheme="minorEastAsia" w:eastAsiaTheme="minorEastAsia" w:cstheme="minorEastAsia"/>
          <w:b/>
          <w:color w:val="auto"/>
          <w:kern w:val="0"/>
          <w:sz w:val="24"/>
          <w:szCs w:val="20"/>
          <w:highlight w:val="none"/>
        </w:rPr>
      </w:pP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政府采购履约担保函</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编号：</w:t>
      </w: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（采购人）：</w:t>
      </w:r>
    </w:p>
    <w:p>
      <w:pPr>
        <w:rPr>
          <w:rFonts w:hint="eastAsia" w:asciiTheme="minorEastAsia" w:hAnsiTheme="minorEastAsia" w:eastAsiaTheme="minorEastAsia" w:cstheme="minorEastAsia"/>
          <w:color w:val="auto"/>
          <w:sz w:val="24"/>
          <w:highlight w:val="none"/>
        </w:rPr>
      </w:pP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鉴于你方与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（以下简称供应商）于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日签定编号为   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政府采购合同》（以下简称主合同），且依据该合同的约定，供应商应在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日前向你方交纳履约保证金，且可以履约担保函的形式交纳履约保证金。应供应商的申请，我方以保证的方式向你方提供如下履约保证金担保：</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一、保证责任的情形及保证金额</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（一）在供应商出现下列情形之一时，我方承担保证责任：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1．将中标项目转让给他人，或者在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中未说明，且未经采购招标机构人同意，将中标项目分包给他人的；</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2．主合同约定的应当缴纳履约保证金的情形: </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（1）未按主合同约定的质量、数量和期限供应货物/提供服务/完成工程的；</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（二）我方的保证范围是主合同约定的合同价款总额的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%数额为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），币种为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。（即主合同履约保证金金额）</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二、保证的方式及保证期间</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我方保证的方式为：连带责任保证。</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我方保证的期间为：自本合同生效之日起至供应商按照主合同约定的供货/完工期限届满后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日内。</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如果供应商未按主合同约定向贵方供应货物/提供服务/完成工程的，由我方在保证金额内向你方支付上述款项。</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三、承担保证责任的程序</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如果你方与供应商因货物质量问题产生争议，你方还需同时提供</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部门出具的质量检测报告，或经诉讼（仲裁）程序裁决后的裁决书、调解书，本保证人即按照检测结果或裁决书、调解书决定是否承担保证责任。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我方收到你方的书面索赔通知及相应证明材料，在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工作日内进行核定后按照本保函的承诺承担保证责任。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四、保证责任的终止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2．我方按照本保函向你方履行了保证责任后，自我方向你方支付款项（支付款项从我方账户划出）之日起，保证责任即终止。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3．按照法律法规的规定或出现应终止我方保证责任的其它情形的，我方在本保函项下的保证责任亦终止。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五、免责条款</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1．因你方违反主合同约定致使供应商不能履行义务的，我方不承担保证责任。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2．依照法律法规的规定或你方与供应商的另行约定，全部或者部分免除供应商应缴纳的保证金义务的，我方亦免除相应的保证责任。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3．因不可抗力造成供应商不能履行供货义务的，我方不承担保证责任。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六、争议的解决</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因本保函发生的纠纷，由你我双方协商解决，协商不成的，通过诉讼程序解决，诉讼管辖地法院为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七、保函的生效</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本保函自我方加盖公章之日起生效。</w:t>
      </w: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ind w:firstLine="5400" w:firstLineChars="2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保证人：（公章）</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pStyle w:val="2"/>
        <w:spacing w:line="240" w:lineRule="atLeast"/>
        <w:ind w:firstLine="0"/>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b/>
          <w:color w:val="auto"/>
          <w:highlight w:val="none"/>
        </w:rPr>
        <w:br w:type="page"/>
      </w:r>
    </w:p>
    <w:p>
      <w:pPr>
        <w:pStyle w:val="3"/>
        <w:numPr>
          <w:ilvl w:val="0"/>
          <w:numId w:val="7"/>
        </w:numPr>
        <w:tabs>
          <w:tab w:val="clear" w:pos="3134"/>
        </w:tabs>
        <w:spacing w:before="0" w:after="0" w:line="240" w:lineRule="atLeast"/>
        <w:ind w:left="14" w:leftChars="0" w:hanging="14" w:firstLineChars="0"/>
        <w:jc w:val="center"/>
        <w:rPr>
          <w:rFonts w:hint="eastAsia" w:asciiTheme="minorEastAsia" w:hAnsiTheme="minorEastAsia" w:eastAsiaTheme="minorEastAsia" w:cstheme="minorEastAsia"/>
          <w:color w:val="auto"/>
          <w:highlight w:val="none"/>
        </w:rPr>
      </w:pPr>
      <w:bookmarkStart w:id="310" w:name="_Toc1619"/>
      <w:bookmarkStart w:id="311" w:name="_Toc216582812"/>
      <w:bookmarkStart w:id="312" w:name="_Toc1881"/>
      <w:bookmarkStart w:id="313" w:name="_Toc12227"/>
      <w:bookmarkStart w:id="314" w:name="_Toc14192"/>
      <w:bookmarkStart w:id="315" w:name="_Toc518923106"/>
      <w:bookmarkStart w:id="316" w:name="_Toc12659"/>
      <w:r>
        <w:rPr>
          <w:rFonts w:hint="eastAsia" w:asciiTheme="minorEastAsia" w:hAnsiTheme="minorEastAsia" w:eastAsiaTheme="minorEastAsia" w:cstheme="minorEastAsia"/>
          <w:color w:val="auto"/>
          <w:highlight w:val="none"/>
          <w:lang w:val="en-US" w:eastAsia="zh-CN"/>
        </w:rPr>
        <w:t>响应</w:t>
      </w:r>
      <w:r>
        <w:rPr>
          <w:rFonts w:hint="eastAsia" w:asciiTheme="minorEastAsia" w:hAnsiTheme="minorEastAsia" w:eastAsiaTheme="minorEastAsia" w:cstheme="minorEastAsia"/>
          <w:color w:val="auto"/>
          <w:highlight w:val="none"/>
        </w:rPr>
        <w:t>文件格式</w:t>
      </w:r>
      <w:bookmarkEnd w:id="310"/>
      <w:bookmarkEnd w:id="311"/>
      <w:bookmarkEnd w:id="312"/>
      <w:bookmarkEnd w:id="313"/>
      <w:bookmarkEnd w:id="314"/>
      <w:bookmarkEnd w:id="315"/>
      <w:bookmarkEnd w:id="316"/>
    </w:p>
    <w:p>
      <w:pPr>
        <w:spacing w:line="240" w:lineRule="atLeast"/>
        <w:ind w:left="735" w:leftChars="350" w:firstLine="120" w:firstLineChars="50"/>
        <w:rPr>
          <w:rFonts w:hint="eastAsia" w:asciiTheme="minorEastAsia" w:hAnsiTheme="minorEastAsia" w:eastAsiaTheme="minorEastAsia" w:cstheme="minorEastAsia"/>
          <w:color w:val="auto"/>
          <w:sz w:val="24"/>
          <w:highlight w:val="none"/>
        </w:rPr>
      </w:pPr>
    </w:p>
    <w:p>
      <w:pPr>
        <w:keepNext w:val="0"/>
        <w:keepLines w:val="0"/>
        <w:pageBreakBefore w:val="0"/>
        <w:widowControl w:val="0"/>
        <w:tabs>
          <w:tab w:val="left" w:pos="5580"/>
        </w:tabs>
        <w:kinsoku/>
        <w:wordWrap/>
        <w:overflowPunct/>
        <w:topLinePunct w:val="0"/>
        <w:bidi w:val="0"/>
        <w:snapToGrid/>
        <w:spacing w:line="500" w:lineRule="exact"/>
        <w:ind w:firstLine="424" w:firstLineChars="177"/>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开标一览表</w:t>
      </w:r>
      <w:r>
        <w:rPr>
          <w:rFonts w:hint="eastAsia" w:asciiTheme="minorEastAsia" w:hAnsiTheme="minorEastAsia" w:eastAsiaTheme="minorEastAsia" w:cstheme="minorEastAsia"/>
          <w:color w:val="auto"/>
          <w:sz w:val="24"/>
          <w:highlight w:val="none"/>
          <w:lang w:eastAsia="zh-CN"/>
        </w:rPr>
        <w:t>；</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2、磋商申请及附录;</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3、法定代表人身份证明、授权委托书;</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4、磋商保证金；</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5、项目管理机构;</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5.1项目管理机构人员组成表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5.2主要人员简历表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5.2.1项目经理简历表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5.2.2主要项目管理人员简历表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6、资格审查资料；</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6.1投标人基本情况表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6.2近年财务状况表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6.3近3年完成的类似项目情况表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6.4正在施工的和新承建的项目情况表</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6.5近3年发生的诉讼及仲裁情况</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6.6企业其他信誉情况</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7、《中小企业声明函》</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8、其他需要提供的证明文件;</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9、已标价的工程量清单</w:t>
      </w:r>
    </w:p>
    <w:p>
      <w:pPr>
        <w:keepNext w:val="0"/>
        <w:keepLines w:val="0"/>
        <w:pageBreakBefore w:val="0"/>
        <w:widowControl w:val="0"/>
        <w:tabs>
          <w:tab w:val="left" w:pos="5580"/>
        </w:tabs>
        <w:kinsoku/>
        <w:wordWrap/>
        <w:overflowPunct/>
        <w:topLinePunct w:val="0"/>
        <w:bidi w:val="0"/>
        <w:snapToGrid/>
        <w:spacing w:line="500" w:lineRule="exact"/>
        <w:ind w:firstLine="662" w:firstLineChars="276"/>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技术</w:t>
      </w:r>
      <w:r>
        <w:rPr>
          <w:rFonts w:hint="eastAsia" w:asciiTheme="minorEastAsia" w:hAnsiTheme="minorEastAsia" w:eastAsiaTheme="minorEastAsia" w:cstheme="minorEastAsia"/>
          <w:color w:val="auto"/>
          <w:sz w:val="24"/>
          <w:highlight w:val="none"/>
          <w:lang w:val="en-US" w:eastAsia="zh-CN"/>
        </w:rPr>
        <w:t>文件</w:t>
      </w: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pStyle w:val="4"/>
        <w:spacing w:before="0" w:line="240" w:lineRule="atLeast"/>
        <w:jc w:val="center"/>
        <w:rPr>
          <w:rFonts w:hint="eastAsia" w:asciiTheme="minorEastAsia" w:hAnsiTheme="minorEastAsia" w:eastAsiaTheme="minorEastAsia" w:cstheme="minorEastAsia"/>
          <w:color w:val="auto"/>
          <w:sz w:val="24"/>
          <w:highlight w:val="none"/>
        </w:rPr>
      </w:pPr>
      <w:bookmarkStart w:id="317" w:name="_Toc9660"/>
      <w:bookmarkStart w:id="318" w:name="_Toc518923108"/>
      <w:r>
        <w:rPr>
          <w:rFonts w:hint="eastAsia" w:asciiTheme="minorEastAsia" w:hAnsiTheme="minorEastAsia" w:eastAsiaTheme="minorEastAsia" w:cstheme="minorEastAsia"/>
          <w:color w:val="auto"/>
          <w:sz w:val="24"/>
          <w:highlight w:val="none"/>
        </w:rPr>
        <w:br w:type="page"/>
      </w:r>
      <w:bookmarkStart w:id="319" w:name="_Toc16610"/>
      <w:bookmarkStart w:id="320" w:name="_Toc20858"/>
      <w:bookmarkStart w:id="321" w:name="_Toc30187"/>
      <w:bookmarkStart w:id="322" w:name="_Toc5814"/>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开标一览表</w:t>
      </w:r>
      <w:bookmarkEnd w:id="317"/>
      <w:bookmarkEnd w:id="318"/>
      <w:bookmarkEnd w:id="319"/>
      <w:bookmarkEnd w:id="320"/>
      <w:bookmarkEnd w:id="321"/>
      <w:bookmarkEnd w:id="322"/>
    </w:p>
    <w:p>
      <w:pPr>
        <w:pStyle w:val="14"/>
        <w:tabs>
          <w:tab w:val="left" w:pos="5580"/>
        </w:tabs>
        <w:spacing w:line="240" w:lineRule="atLeast"/>
        <w:ind w:left="268" w:leftChars="128"/>
        <w:rPr>
          <w:rFonts w:hint="eastAsia" w:asciiTheme="minorEastAsia" w:hAnsiTheme="minorEastAsia" w:eastAsiaTheme="minorEastAsia" w:cstheme="minorEastAsia"/>
          <w:color w:val="auto"/>
          <w:sz w:val="24"/>
          <w:highlight w:val="none"/>
        </w:rPr>
      </w:pPr>
    </w:p>
    <w:p>
      <w:pPr>
        <w:pStyle w:val="14"/>
        <w:tabs>
          <w:tab w:val="left" w:pos="5580"/>
        </w:tabs>
        <w:spacing w:line="240" w:lineRule="atLeast"/>
        <w:ind w:left="268" w:leftChars="128"/>
        <w:rPr>
          <w:rFonts w:hint="eastAsia" w:asciiTheme="minorEastAsia" w:hAnsiTheme="minorEastAsia" w:eastAsiaTheme="minorEastAsia" w:cstheme="minorEastAsia"/>
          <w:color w:val="auto"/>
          <w:sz w:val="24"/>
          <w:szCs w:val="24"/>
          <w:highlight w:val="none"/>
        </w:rPr>
      </w:pPr>
    </w:p>
    <w:p>
      <w:pPr>
        <w:pStyle w:val="2"/>
        <w:tabs>
          <w:tab w:val="left" w:pos="5580"/>
        </w:tabs>
        <w:spacing w:line="240" w:lineRule="atLeast"/>
        <w:ind w:left="0" w:leftChars="0" w:firstLine="0" w:firstLineChars="0"/>
        <w:jc w:val="center"/>
        <w:rPr>
          <w:rFonts w:hint="eastAsia" w:asciiTheme="minorEastAsia" w:hAnsiTheme="minorEastAsia" w:eastAsiaTheme="minorEastAsia" w:cstheme="minorEastAsia"/>
          <w:b/>
          <w:color w:val="auto"/>
          <w:highlight w:val="none"/>
        </w:rPr>
      </w:pPr>
      <w:bookmarkStart w:id="323" w:name="_Hlt520356241"/>
      <w:bookmarkEnd w:id="323"/>
      <w:bookmarkStart w:id="324" w:name="_Toc480942349"/>
      <w:bookmarkStart w:id="325" w:name="_Toc520356217"/>
      <w:bookmarkStart w:id="326" w:name="_Toc216582813"/>
      <w:bookmarkStart w:id="327" w:name="_Ref467988698"/>
      <w:r>
        <w:rPr>
          <w:rFonts w:hint="eastAsia" w:asciiTheme="minorEastAsia" w:hAnsiTheme="minorEastAsia" w:eastAsiaTheme="minorEastAsia" w:cstheme="minorEastAsia"/>
          <w:b/>
          <w:color w:val="auto"/>
          <w:highlight w:val="none"/>
        </w:rPr>
        <w:cr/>
      </w:r>
    </w:p>
    <w:p>
      <w:pPr>
        <w:pStyle w:val="2"/>
        <w:tabs>
          <w:tab w:val="left" w:pos="5580"/>
        </w:tabs>
        <w:spacing w:line="240" w:lineRule="atLeast"/>
        <w:ind w:left="1079" w:leftChars="257" w:hanging="540"/>
        <w:rPr>
          <w:rFonts w:hint="eastAsia" w:asciiTheme="minorEastAsia" w:hAnsiTheme="minorEastAsia" w:eastAsiaTheme="minorEastAsia" w:cstheme="minorEastAsia"/>
          <w:color w:val="auto"/>
          <w:highlight w:val="none"/>
        </w:rPr>
      </w:pPr>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项目编号</w:t>
      </w:r>
      <w:r>
        <w:rPr>
          <w:rFonts w:hint="eastAsia" w:asciiTheme="minorEastAsia" w:hAnsiTheme="minorEastAsia" w:eastAsiaTheme="minorEastAsia" w:cstheme="minorEastAsia"/>
          <w:color w:val="auto"/>
          <w:sz w:val="24"/>
          <w:highlight w:val="none"/>
        </w:rPr>
        <w:t>：                 分包号：</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 xml:space="preserve">         </w:t>
      </w:r>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报价单位：人民币</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元</w:t>
      </w:r>
    </w:p>
    <w:tbl>
      <w:tblPr>
        <w:tblStyle w:val="22"/>
        <w:tblW w:w="10077" w:type="dxa"/>
        <w:tblInd w:w="-61" w:type="dxa"/>
        <w:tblLayout w:type="fixed"/>
        <w:tblCellMar>
          <w:top w:w="0" w:type="dxa"/>
          <w:left w:w="0" w:type="dxa"/>
          <w:bottom w:w="0" w:type="dxa"/>
          <w:right w:w="0" w:type="dxa"/>
        </w:tblCellMar>
      </w:tblPr>
      <w:tblGrid>
        <w:gridCol w:w="1279"/>
        <w:gridCol w:w="1677"/>
        <w:gridCol w:w="1537"/>
        <w:gridCol w:w="765"/>
        <w:gridCol w:w="1050"/>
        <w:gridCol w:w="1541"/>
        <w:gridCol w:w="1211"/>
        <w:gridCol w:w="1017"/>
      </w:tblGrid>
      <w:tr>
        <w:tblPrEx>
          <w:tblCellMar>
            <w:top w:w="0" w:type="dxa"/>
            <w:left w:w="0" w:type="dxa"/>
            <w:bottom w:w="0" w:type="dxa"/>
            <w:right w:w="0" w:type="dxa"/>
          </w:tblCellMar>
        </w:tblPrEx>
        <w:trPr>
          <w:trHeight w:val="639" w:hRule="atLeast"/>
        </w:trPr>
        <w:tc>
          <w:tcPr>
            <w:tcW w:w="1279"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firstLine="240" w:firstLineChars="1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名称</w:t>
            </w:r>
          </w:p>
        </w:tc>
        <w:tc>
          <w:tcPr>
            <w:tcW w:w="167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投标总价</w:t>
            </w:r>
          </w:p>
        </w:tc>
        <w:tc>
          <w:tcPr>
            <w:tcW w:w="1537"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保证金</w:t>
            </w:r>
          </w:p>
        </w:tc>
        <w:tc>
          <w:tcPr>
            <w:tcW w:w="76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工期</w:t>
            </w:r>
          </w:p>
        </w:tc>
        <w:tc>
          <w:tcPr>
            <w:tcW w:w="105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项目经理</w:t>
            </w:r>
          </w:p>
        </w:tc>
        <w:tc>
          <w:tcPr>
            <w:tcW w:w="1541"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项目经理执业证书号</w:t>
            </w:r>
          </w:p>
        </w:tc>
        <w:tc>
          <w:tcPr>
            <w:tcW w:w="1211"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地点</w:t>
            </w:r>
          </w:p>
        </w:tc>
        <w:tc>
          <w:tcPr>
            <w:tcW w:w="101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tblPrEx>
          <w:tblCellMar>
            <w:top w:w="0" w:type="dxa"/>
            <w:left w:w="0" w:type="dxa"/>
            <w:bottom w:w="0" w:type="dxa"/>
            <w:right w:w="0" w:type="dxa"/>
          </w:tblCellMar>
        </w:tblPrEx>
        <w:trPr>
          <w:cantSplit/>
          <w:trHeight w:val="1266" w:hRule="atLeast"/>
        </w:trPr>
        <w:tc>
          <w:tcPr>
            <w:tcW w:w="1279"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677"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小</w:t>
            </w:r>
            <w:r>
              <w:rPr>
                <w:rFonts w:hint="eastAsia" w:asciiTheme="minorEastAsia" w:hAnsiTheme="minorEastAsia" w:eastAsiaTheme="minorEastAsia" w:cstheme="minorEastAsia"/>
                <w:color w:val="auto"/>
                <w:sz w:val="24"/>
                <w:highlight w:val="none"/>
              </w:rPr>
              <w:t>写：</w:t>
            </w:r>
          </w:p>
          <w:p>
            <w:pPr>
              <w:tabs>
                <w:tab w:val="left" w:pos="5580"/>
              </w:tabs>
              <w:spacing w:line="240" w:lineRule="atLeast"/>
              <w:jc w:val="left"/>
              <w:rPr>
                <w:rFonts w:hint="eastAsia" w:asciiTheme="minorEastAsia" w:hAnsiTheme="minorEastAsia" w:eastAsiaTheme="minorEastAsia" w:cstheme="minorEastAsia"/>
                <w:color w:val="auto"/>
                <w:sz w:val="24"/>
                <w:highlight w:val="none"/>
              </w:rPr>
            </w:pPr>
          </w:p>
          <w:p>
            <w:pPr>
              <w:tabs>
                <w:tab w:val="left" w:pos="5580"/>
              </w:tabs>
              <w:spacing w:line="240" w:lineRule="atLeas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大</w:t>
            </w:r>
            <w:r>
              <w:rPr>
                <w:rFonts w:hint="eastAsia" w:asciiTheme="minorEastAsia" w:hAnsiTheme="minorEastAsia" w:eastAsiaTheme="minorEastAsia" w:cstheme="minorEastAsia"/>
                <w:color w:val="auto"/>
                <w:sz w:val="24"/>
                <w:highlight w:val="none"/>
              </w:rPr>
              <w:t>写：</w:t>
            </w:r>
          </w:p>
        </w:tc>
        <w:tc>
          <w:tcPr>
            <w:tcW w:w="1537"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76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050"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541"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211"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017"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r>
    </w:tbl>
    <w:p>
      <w:pPr>
        <w:pStyle w:val="14"/>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4"/>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u w:val="single"/>
        </w:rPr>
      </w:pPr>
    </w:p>
    <w:p>
      <w:pPr>
        <w:pStyle w:val="14"/>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u w:val="single"/>
        </w:rPr>
      </w:pPr>
    </w:p>
    <w:p>
      <w:pPr>
        <w:pStyle w:val="14"/>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投标人名称（单位章）：</w:t>
      </w:r>
      <w:r>
        <w:rPr>
          <w:rFonts w:hint="eastAsia" w:asciiTheme="minorEastAsia" w:hAnsiTheme="minorEastAsia" w:eastAsiaTheme="minorEastAsia" w:cstheme="minorEastAsia"/>
          <w:color w:val="auto"/>
          <w:sz w:val="24"/>
          <w:highlight w:val="none"/>
          <w:u w:val="single"/>
        </w:rPr>
        <w:t xml:space="preserve">                       </w:t>
      </w:r>
    </w:p>
    <w:p>
      <w:pPr>
        <w:pStyle w:val="14"/>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法定代表人或其委托代理人(签字):</w:t>
      </w:r>
      <w:r>
        <w:rPr>
          <w:rFonts w:hint="eastAsia" w:asciiTheme="minorEastAsia" w:hAnsiTheme="minorEastAsia" w:eastAsiaTheme="minorEastAsia" w:cstheme="minorEastAsia"/>
          <w:color w:val="auto"/>
          <w:sz w:val="24"/>
          <w:highlight w:val="none"/>
          <w:u w:val="single"/>
        </w:rPr>
        <w:tab/>
      </w:r>
    </w:p>
    <w:p>
      <w:pPr>
        <w:pStyle w:val="14"/>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jc w:val="center"/>
        <w:rPr>
          <w:rFonts w:hint="eastAsia"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color w:val="auto"/>
          <w:sz w:val="24"/>
          <w:highlight w:val="none"/>
        </w:rPr>
        <w:t>注:此表中，每包的投标总价应和投标分项报价表的总价相一致。</w:t>
      </w: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21"/>
          <w:szCs w:val="21"/>
          <w:highlight w:val="none"/>
          <w:u w:val="none"/>
          <w:lang w:val="en-US" w:eastAsia="zh-CN"/>
        </w:rPr>
        <w:t>2、磋商申请</w:t>
      </w:r>
    </w:p>
    <w:p>
      <w:pPr>
        <w:pStyle w:val="2"/>
        <w:rPr>
          <w:rFonts w:hint="eastAsia" w:asciiTheme="minorEastAsia" w:hAnsiTheme="minorEastAsia" w:eastAsiaTheme="minorEastAsia" w:cstheme="minorEastAsia"/>
          <w:color w:val="auto"/>
          <w:highlight w:val="none"/>
          <w:lang w:val="en-US" w:eastAsia="zh-CN"/>
        </w:rPr>
      </w:pPr>
    </w:p>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rPr>
        <w:t>人名称）：</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1．我方已仔细研究了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文件的全部内容，愿意以人民币（大写）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）的投标总报价，工期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日历天，按合同约定实施和完成承包工程，修补工程中的任何缺陷，工程质量达到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2．我方承诺在投标有效期内不修改、撤销</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w:t>
      </w:r>
    </w:p>
    <w:p>
      <w:pPr>
        <w:spacing w:line="44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3.已详细审查全部磋商文件，包括所有补充通知（如有），完全理解并同意放弃对这方面有不明、误解和质疑的权力。</w:t>
      </w:r>
    </w:p>
    <w:p>
      <w:pPr>
        <w:spacing w:line="44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4.按照贵方可能要求，提供与其投标有关的一切数据或资料，完全理解贵方不一定接受最低价的投标或收到的任何投标。</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．随同本</w:t>
      </w:r>
      <w:r>
        <w:rPr>
          <w:rFonts w:hint="eastAsia" w:asciiTheme="minorEastAsia" w:hAnsiTheme="minorEastAsia" w:eastAsiaTheme="minorEastAsia" w:cstheme="minorEastAsia"/>
          <w:color w:val="auto"/>
          <w:szCs w:val="21"/>
          <w:highlight w:val="none"/>
          <w:lang w:val="en-US" w:eastAsia="zh-CN"/>
        </w:rPr>
        <w:t>申请</w:t>
      </w:r>
      <w:r>
        <w:rPr>
          <w:rFonts w:hint="eastAsia" w:asciiTheme="minorEastAsia" w:hAnsiTheme="minorEastAsia" w:eastAsiaTheme="minorEastAsia" w:cstheme="minorEastAsia"/>
          <w:color w:val="auto"/>
          <w:szCs w:val="21"/>
          <w:highlight w:val="none"/>
        </w:rPr>
        <w:t>提交</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保证金一份，金额为人民币（大写）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．如我方中标：</w:t>
      </w:r>
    </w:p>
    <w:p>
      <w:pPr>
        <w:spacing w:line="440" w:lineRule="exact"/>
        <w:ind w:firstLine="718" w:firstLine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（1）我方承诺在收到中标通知书后，在中标通知书规定的期限内与你方签订合同。</w:t>
      </w:r>
    </w:p>
    <w:p>
      <w:pPr>
        <w:spacing w:line="440" w:lineRule="exact"/>
        <w:ind w:firstLine="718" w:firstLine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（2）随同本</w:t>
      </w:r>
      <w:r>
        <w:rPr>
          <w:rFonts w:hint="eastAsia" w:asciiTheme="minorEastAsia" w:hAnsiTheme="minorEastAsia" w:eastAsiaTheme="minorEastAsia" w:cstheme="minorEastAsia"/>
          <w:color w:val="auto"/>
          <w:szCs w:val="21"/>
          <w:highlight w:val="none"/>
          <w:lang w:val="en-US" w:eastAsia="zh-CN"/>
        </w:rPr>
        <w:t>磋商申请</w:t>
      </w:r>
      <w:r>
        <w:rPr>
          <w:rFonts w:hint="eastAsia" w:asciiTheme="minorEastAsia" w:hAnsiTheme="minorEastAsia" w:eastAsiaTheme="minorEastAsia" w:cstheme="minorEastAsia"/>
          <w:color w:val="auto"/>
          <w:szCs w:val="21"/>
          <w:highlight w:val="none"/>
        </w:rPr>
        <w:t>递交的附录属于合同文件的组成部分。</w:t>
      </w:r>
    </w:p>
    <w:p>
      <w:pPr>
        <w:spacing w:line="440" w:lineRule="exact"/>
        <w:ind w:firstLine="718" w:firstLine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（3）我方承诺按照</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文件规定向你方递交履约担保。</w:t>
      </w:r>
    </w:p>
    <w:p>
      <w:pPr>
        <w:spacing w:line="440" w:lineRule="exact"/>
        <w:ind w:firstLine="718" w:firstLine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（4）我方承诺在合同约定的期限内完成并移交全部合同工程。</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（其他补充说明）。</w:t>
      </w:r>
    </w:p>
    <w:p>
      <w:pPr>
        <w:spacing w:line="440" w:lineRule="exact"/>
        <w:rPr>
          <w:rFonts w:hint="eastAsia" w:asciiTheme="minorEastAsia" w:hAnsiTheme="minorEastAsia" w:eastAsiaTheme="minorEastAsia" w:cstheme="minorEastAsia"/>
          <w:color w:val="auto"/>
          <w:szCs w:val="21"/>
          <w:highlight w:val="none"/>
        </w:rPr>
      </w:pPr>
    </w:p>
    <w:p>
      <w:pPr>
        <w:spacing w:line="440" w:lineRule="exact"/>
        <w:ind w:firstLine="3675" w:firstLineChars="17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 标 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（盖单位章）</w:t>
      </w:r>
    </w:p>
    <w:p>
      <w:pPr>
        <w:spacing w:line="440" w:lineRule="exact"/>
        <w:ind w:firstLine="3675" w:firstLineChars="17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pPr>
        <w:spacing w:line="440" w:lineRule="exact"/>
        <w:ind w:firstLine="3675" w:firstLineChars="17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3675" w:firstLineChars="17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网址：</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3675" w:firstLineChars="17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3675" w:firstLineChars="17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传真：</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3675" w:firstLineChars="17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3675" w:firstLineChars="1750"/>
        <w:rPr>
          <w:rFonts w:hint="eastAsia" w:asciiTheme="minorEastAsia" w:hAnsiTheme="minorEastAsia" w:eastAsiaTheme="minorEastAsia" w:cstheme="minorEastAsia"/>
          <w:color w:val="auto"/>
          <w:szCs w:val="21"/>
          <w:highlight w:val="none"/>
        </w:rPr>
      </w:pPr>
    </w:p>
    <w:p>
      <w:pPr>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bCs/>
          <w:color w:val="auto"/>
          <w:sz w:val="22"/>
          <w:szCs w:val="28"/>
          <w:highlight w:val="none"/>
        </w:rPr>
        <w:t>附</w:t>
      </w:r>
      <w:r>
        <w:rPr>
          <w:rFonts w:hint="eastAsia" w:asciiTheme="minorEastAsia" w:hAnsiTheme="minorEastAsia" w:eastAsiaTheme="minorEastAsia" w:cstheme="minorEastAsia"/>
          <w:b/>
          <w:bCs/>
          <w:color w:val="auto"/>
          <w:sz w:val="22"/>
          <w:szCs w:val="28"/>
          <w:highlight w:val="none"/>
          <w:lang w:val="en-US" w:eastAsia="zh-CN"/>
        </w:rPr>
        <w:t xml:space="preserve">  </w:t>
      </w:r>
      <w:r>
        <w:rPr>
          <w:rFonts w:hint="eastAsia" w:asciiTheme="minorEastAsia" w:hAnsiTheme="minorEastAsia" w:eastAsiaTheme="minorEastAsia" w:cstheme="minorEastAsia"/>
          <w:b/>
          <w:bCs/>
          <w:color w:val="auto"/>
          <w:sz w:val="22"/>
          <w:szCs w:val="28"/>
          <w:highlight w:val="none"/>
        </w:rPr>
        <w:t>录</w:t>
      </w:r>
    </w:p>
    <w:p>
      <w:pPr>
        <w:spacing w:line="44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 xml:space="preserve">名称： </w:t>
      </w:r>
      <w:r>
        <w:rPr>
          <w:rFonts w:hint="eastAsia" w:asciiTheme="minorEastAsia" w:hAnsiTheme="minorEastAsia" w:eastAsiaTheme="minorEastAsia" w:cstheme="minorEastAsia"/>
          <w:color w:val="auto"/>
          <w:szCs w:val="21"/>
          <w:highlight w:val="none"/>
          <w:lang w:val="en-US" w:eastAsia="zh-CN"/>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152"/>
        <w:gridCol w:w="1876"/>
        <w:gridCol w:w="2628"/>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3152" w:type="dxa"/>
            <w:noWrap w:val="0"/>
            <w:vAlign w:val="center"/>
          </w:tcPr>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条款内容</w:t>
            </w:r>
          </w:p>
        </w:tc>
        <w:tc>
          <w:tcPr>
            <w:tcW w:w="1876" w:type="dxa"/>
            <w:noWrap w:val="0"/>
            <w:vAlign w:val="center"/>
          </w:tcPr>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采购</w:t>
            </w:r>
            <w:r>
              <w:rPr>
                <w:rFonts w:hint="eastAsia" w:asciiTheme="minorEastAsia" w:hAnsiTheme="minorEastAsia" w:eastAsiaTheme="minorEastAsia" w:cstheme="minorEastAsia"/>
                <w:b/>
                <w:color w:val="auto"/>
                <w:sz w:val="24"/>
                <w:szCs w:val="24"/>
                <w:highlight w:val="none"/>
              </w:rPr>
              <w:t>人要求</w:t>
            </w:r>
          </w:p>
        </w:tc>
        <w:tc>
          <w:tcPr>
            <w:tcW w:w="2628" w:type="dxa"/>
            <w:noWrap w:val="0"/>
            <w:vAlign w:val="center"/>
          </w:tcPr>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投标人承诺</w:t>
            </w:r>
          </w:p>
        </w:tc>
        <w:tc>
          <w:tcPr>
            <w:tcW w:w="1064" w:type="dxa"/>
            <w:noWrap w:val="0"/>
            <w:vAlign w:val="center"/>
          </w:tcPr>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15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w:t>
            </w:r>
          </w:p>
        </w:tc>
        <w:tc>
          <w:tcPr>
            <w:tcW w:w="1876" w:type="dxa"/>
            <w:noWrap w:val="0"/>
            <w:vAlign w:val="center"/>
          </w:tcPr>
          <w:p>
            <w:pPr>
              <w:spacing w:line="3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投标人须知</w:t>
            </w:r>
            <w:r>
              <w:rPr>
                <w:rFonts w:hint="eastAsia" w:asciiTheme="minorEastAsia" w:hAnsiTheme="minorEastAsia" w:eastAsiaTheme="minorEastAsia" w:cstheme="minorEastAsia"/>
                <w:color w:val="auto"/>
                <w:sz w:val="24"/>
                <w:szCs w:val="24"/>
                <w:highlight w:val="none"/>
                <w:lang w:val="en-US" w:eastAsia="zh-CN"/>
              </w:rPr>
              <w:t>资料</w:t>
            </w:r>
            <w:r>
              <w:rPr>
                <w:rFonts w:hint="eastAsia" w:asciiTheme="minorEastAsia" w:hAnsiTheme="minorEastAsia" w:eastAsiaTheme="minorEastAsia" w:cstheme="minorEastAsia"/>
                <w:color w:val="auto"/>
                <w:sz w:val="24"/>
                <w:szCs w:val="24"/>
                <w:highlight w:val="none"/>
              </w:rPr>
              <w:t>表</w:t>
            </w:r>
          </w:p>
        </w:tc>
        <w:tc>
          <w:tcPr>
            <w:tcW w:w="2628" w:type="dxa"/>
            <w:noWrap w:val="0"/>
            <w:vAlign w:val="center"/>
          </w:tcPr>
          <w:p>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15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w:t>
            </w:r>
          </w:p>
        </w:tc>
        <w:tc>
          <w:tcPr>
            <w:tcW w:w="1876" w:type="dxa"/>
            <w:noWrap w:val="0"/>
            <w:vAlign w:val="center"/>
          </w:tcPr>
          <w:p>
            <w:pPr>
              <w:spacing w:line="39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60日历天</w:t>
            </w:r>
          </w:p>
        </w:tc>
        <w:tc>
          <w:tcPr>
            <w:tcW w:w="2628" w:type="dxa"/>
            <w:noWrap w:val="0"/>
            <w:vAlign w:val="center"/>
          </w:tcPr>
          <w:p>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天数：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日历天</w:t>
            </w: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15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质量标准</w:t>
            </w:r>
          </w:p>
        </w:tc>
        <w:tc>
          <w:tcPr>
            <w:tcW w:w="187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w:t>
            </w:r>
          </w:p>
        </w:tc>
        <w:tc>
          <w:tcPr>
            <w:tcW w:w="2628" w:type="dxa"/>
            <w:noWrap w:val="0"/>
            <w:vAlign w:val="center"/>
          </w:tcPr>
          <w:p>
            <w:pPr>
              <w:spacing w:line="440" w:lineRule="exact"/>
              <w:rPr>
                <w:rFonts w:hint="eastAsia" w:asciiTheme="minorEastAsia" w:hAnsiTheme="minorEastAsia" w:eastAsiaTheme="minorEastAsia" w:cstheme="minorEastAsia"/>
                <w:color w:val="auto"/>
                <w:sz w:val="24"/>
                <w:szCs w:val="24"/>
                <w:highlight w:val="none"/>
                <w:u w:val="single"/>
              </w:rPr>
            </w:pP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15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187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628"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152"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延误工期赔偿费金额(每天)</w:t>
            </w:r>
          </w:p>
        </w:tc>
        <w:tc>
          <w:tcPr>
            <w:tcW w:w="1876"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000</w:t>
            </w:r>
            <w:r>
              <w:rPr>
                <w:rFonts w:hint="eastAsia" w:asciiTheme="minorEastAsia" w:hAnsiTheme="minorEastAsia" w:eastAsiaTheme="minorEastAsia" w:cstheme="minorEastAsia"/>
                <w:color w:val="auto"/>
                <w:sz w:val="24"/>
                <w:szCs w:val="24"/>
                <w:highlight w:val="none"/>
                <w:lang w:val="en-US" w:eastAsia="zh-CN"/>
              </w:rPr>
              <w:t>元</w:t>
            </w:r>
          </w:p>
        </w:tc>
        <w:tc>
          <w:tcPr>
            <w:tcW w:w="262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15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延误工期赔偿费的最大限额</w:t>
            </w:r>
          </w:p>
        </w:tc>
        <w:tc>
          <w:tcPr>
            <w:tcW w:w="1876"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合同价款的</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w:t>
            </w:r>
          </w:p>
        </w:tc>
        <w:tc>
          <w:tcPr>
            <w:tcW w:w="262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15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1876"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中标价的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p>
        </w:tc>
        <w:tc>
          <w:tcPr>
            <w:tcW w:w="2628"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8</w:t>
            </w:r>
          </w:p>
        </w:tc>
        <w:tc>
          <w:tcPr>
            <w:tcW w:w="3152"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工程质量保修期限</w:t>
            </w:r>
          </w:p>
        </w:tc>
        <w:tc>
          <w:tcPr>
            <w:tcW w:w="1876"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628" w:type="dxa"/>
            <w:noWrap w:val="0"/>
            <w:vAlign w:val="center"/>
          </w:tcPr>
          <w:p>
            <w:pPr>
              <w:spacing w:line="440" w:lineRule="exact"/>
              <w:rPr>
                <w:rFonts w:hint="eastAsia" w:asciiTheme="minorEastAsia" w:hAnsiTheme="minorEastAsia" w:eastAsiaTheme="minorEastAsia" w:cstheme="minorEastAsia"/>
                <w:color w:val="auto"/>
                <w:kern w:val="2"/>
                <w:sz w:val="24"/>
                <w:szCs w:val="24"/>
                <w:highlight w:val="none"/>
                <w:lang w:val="en-US" w:eastAsia="zh-CN" w:bidi="ar-SA"/>
              </w:rPr>
            </w:pP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8.1</w:t>
            </w:r>
          </w:p>
        </w:tc>
        <w:tc>
          <w:tcPr>
            <w:tcW w:w="3152"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保温工程、屋面防水工程、有防水要求的卫生间、房间和外墙面的防渗漏</w:t>
            </w:r>
          </w:p>
        </w:tc>
        <w:tc>
          <w:tcPr>
            <w:tcW w:w="1876"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保修期 5 年</w:t>
            </w:r>
          </w:p>
        </w:tc>
        <w:tc>
          <w:tcPr>
            <w:tcW w:w="2628"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保修期   年</w:t>
            </w: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8.2</w:t>
            </w:r>
          </w:p>
        </w:tc>
        <w:tc>
          <w:tcPr>
            <w:tcW w:w="3152"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电气管线、给排水管道、设备安装工程</w:t>
            </w:r>
          </w:p>
        </w:tc>
        <w:tc>
          <w:tcPr>
            <w:tcW w:w="1876"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保修期 2 年</w:t>
            </w:r>
          </w:p>
        </w:tc>
        <w:tc>
          <w:tcPr>
            <w:tcW w:w="2628"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保修期   年</w:t>
            </w: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8.3</w:t>
            </w:r>
          </w:p>
        </w:tc>
        <w:tc>
          <w:tcPr>
            <w:tcW w:w="3152"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供热与供冷系统工程</w:t>
            </w:r>
          </w:p>
        </w:tc>
        <w:tc>
          <w:tcPr>
            <w:tcW w:w="1876"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保修期 2 个采暖与供冷期</w:t>
            </w:r>
          </w:p>
        </w:tc>
        <w:tc>
          <w:tcPr>
            <w:tcW w:w="2628"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  个采暖供冷期</w:t>
            </w: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8.4</w:t>
            </w:r>
          </w:p>
        </w:tc>
        <w:tc>
          <w:tcPr>
            <w:tcW w:w="3152"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装修工程</w:t>
            </w:r>
          </w:p>
        </w:tc>
        <w:tc>
          <w:tcPr>
            <w:tcW w:w="1876"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保修期 2 年</w:t>
            </w:r>
          </w:p>
        </w:tc>
        <w:tc>
          <w:tcPr>
            <w:tcW w:w="2628"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保修期   年</w:t>
            </w: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7" w:type="dxa"/>
            <w:noWrap w:val="0"/>
            <w:vAlign w:val="center"/>
          </w:tcPr>
          <w:p>
            <w:pPr>
              <w:spacing w:line="4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8.5</w:t>
            </w:r>
          </w:p>
        </w:tc>
        <w:tc>
          <w:tcPr>
            <w:tcW w:w="3152"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其他</w:t>
            </w:r>
          </w:p>
        </w:tc>
        <w:tc>
          <w:tcPr>
            <w:tcW w:w="1876"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按国家、行业或地方标准执行</w:t>
            </w:r>
          </w:p>
        </w:tc>
        <w:tc>
          <w:tcPr>
            <w:tcW w:w="2628" w:type="dxa"/>
            <w:noWrap w:val="0"/>
            <w:vAlign w:val="center"/>
          </w:tcPr>
          <w:p>
            <w:pPr>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0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2"/>
        <w:rPr>
          <w:rFonts w:hint="eastAsia" w:asciiTheme="minorEastAsia" w:hAnsiTheme="minorEastAsia" w:eastAsiaTheme="minorEastAsia" w:cstheme="minorEastAsia"/>
          <w:color w:val="auto"/>
          <w:highlight w:val="none"/>
          <w:lang w:val="en-US" w:eastAsia="zh-CN"/>
        </w:rPr>
      </w:pPr>
    </w:p>
    <w:p>
      <w:pPr>
        <w:spacing w:line="360" w:lineRule="auto"/>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说明：上述内容由投标人自行填写，可按响应</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文件或优于</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文件的要求填写。</w:t>
      </w: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pStyle w:val="31"/>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bookmarkStart w:id="328" w:name="_Toc6540"/>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法定代表人身份证明</w:t>
      </w:r>
      <w:bookmarkEnd w:id="328"/>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单位性质：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日</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经营期限：</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性别：</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p>
    <w:p>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（投标人名称）的法定代表人。</w:t>
      </w:r>
    </w:p>
    <w:p>
      <w:pPr>
        <w:spacing w:line="440" w:lineRule="exact"/>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特此证明。</w:t>
      </w:r>
    </w:p>
    <w:p>
      <w:pPr>
        <w:pStyle w:val="2"/>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4785" w:type="dxa"/>
            <w:noWrap w:val="0"/>
            <w:vAlign w:val="top"/>
          </w:tcPr>
          <w:p>
            <w:pPr>
              <w:spacing w:line="440" w:lineRule="exact"/>
              <w:jc w:val="center"/>
              <w:rPr>
                <w:rFonts w:hint="eastAsia" w:asciiTheme="minorEastAsia" w:hAnsiTheme="minorEastAsia" w:eastAsiaTheme="minorEastAsia" w:cstheme="minorEastAsia"/>
                <w:color w:val="auto"/>
                <w:sz w:val="24"/>
                <w:highlight w:val="none"/>
                <w:vertAlign w:val="baseline"/>
                <w:lang w:val="en-US" w:eastAsia="zh-CN"/>
              </w:rPr>
            </w:pPr>
          </w:p>
        </w:tc>
        <w:tc>
          <w:tcPr>
            <w:tcW w:w="4785" w:type="dxa"/>
            <w:noWrap w:val="0"/>
            <w:vAlign w:val="top"/>
          </w:tcPr>
          <w:p>
            <w:pPr>
              <w:spacing w:line="440" w:lineRule="exact"/>
              <w:jc w:val="center"/>
              <w:rPr>
                <w:rFonts w:hint="eastAsia" w:asciiTheme="minorEastAsia" w:hAnsiTheme="minorEastAsia" w:eastAsiaTheme="minorEastAsia" w:cstheme="minorEastAsia"/>
                <w:color w:val="auto"/>
                <w:sz w:val="24"/>
                <w:highlight w:val="none"/>
                <w:vertAlign w:val="baseline"/>
              </w:rPr>
            </w:pPr>
          </w:p>
        </w:tc>
      </w:tr>
    </w:tbl>
    <w:p>
      <w:pPr>
        <w:pStyle w:val="2"/>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（盖单位章）</w:t>
      </w:r>
    </w:p>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pStyle w:val="31"/>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bookmarkStart w:id="329" w:name="_Toc8750"/>
      <w:r>
        <w:rPr>
          <w:rFonts w:hint="eastAsia" w:asciiTheme="minorEastAsia" w:hAnsiTheme="minorEastAsia" w:eastAsiaTheme="minorEastAsia" w:cstheme="minorEastAsia"/>
          <w:b/>
          <w:color w:val="auto"/>
          <w:sz w:val="21"/>
          <w:szCs w:val="21"/>
          <w:highlight w:val="none"/>
        </w:rPr>
        <w:t>授权委托书</w:t>
      </w:r>
      <w:bookmarkEnd w:id="329"/>
    </w:p>
    <w:p>
      <w:pPr>
        <w:spacing w:line="440" w:lineRule="exact"/>
        <w:rPr>
          <w:rFonts w:hint="eastAsia" w:asciiTheme="minorEastAsia" w:hAnsiTheme="minorEastAsia" w:eastAsiaTheme="minorEastAsia" w:cstheme="minorEastAsia"/>
          <w:color w:val="auto"/>
          <w:szCs w:val="21"/>
          <w:highlight w:val="none"/>
        </w:rPr>
      </w:pPr>
    </w:p>
    <w:p>
      <w:pPr>
        <w:topLinePunct/>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（投标人名称）的法定代表人，现委托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文件、签订合同和处理有关事宜，其法律后果由我方承担。</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委托期限：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4785"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4785"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vertAlign w:val="baseline"/>
              </w:rPr>
            </w:pPr>
          </w:p>
        </w:tc>
      </w:tr>
    </w:tbl>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r>
        <w:rPr>
          <w:rFonts w:hint="eastAsia" w:asciiTheme="minorEastAsia" w:hAnsiTheme="minorEastAsia" w:eastAsiaTheme="minorEastAsia" w:cstheme="minorEastAsia"/>
          <w:color w:val="auto"/>
          <w:sz w:val="24"/>
          <w:szCs w:val="24"/>
          <w:highlight w:val="none"/>
          <w:lang w:eastAsia="zh-CN"/>
        </w:rPr>
        <w:t>委托代理</w:t>
      </w:r>
      <w:r>
        <w:rPr>
          <w:rFonts w:hint="eastAsia" w:asciiTheme="minorEastAsia" w:hAnsiTheme="minorEastAsia" w:eastAsiaTheme="minorEastAsia" w:cstheme="minorEastAsia"/>
          <w:color w:val="auto"/>
          <w:sz w:val="24"/>
          <w:szCs w:val="24"/>
          <w:highlight w:val="none"/>
        </w:rPr>
        <w:t>人身份证复印件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4785"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4785"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vertAlign w:val="baseline"/>
              </w:rPr>
            </w:pPr>
          </w:p>
        </w:tc>
      </w:tr>
    </w:tbl>
    <w:p>
      <w:pPr>
        <w:spacing w:line="360" w:lineRule="auto"/>
        <w:rPr>
          <w:rFonts w:hint="eastAsia" w:asciiTheme="minorEastAsia" w:hAnsiTheme="minorEastAsia" w:eastAsiaTheme="minorEastAsia" w:cstheme="minorEastAsia"/>
          <w:b/>
          <w:color w:val="auto"/>
          <w:sz w:val="24"/>
          <w:szCs w:val="24"/>
          <w:highlight w:val="none"/>
          <w:lang w:bidi="ar-SA"/>
        </w:rPr>
      </w:pPr>
    </w:p>
    <w:p>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bidi="ar-SA"/>
        </w:rPr>
      </w:pPr>
      <w:r>
        <w:rPr>
          <w:rFonts w:hint="eastAsia" w:asciiTheme="minorEastAsia" w:hAnsiTheme="minorEastAsia" w:eastAsiaTheme="minorEastAsia" w:cstheme="minorEastAsia"/>
          <w:b w:val="0"/>
          <w:bCs/>
          <w:color w:val="auto"/>
          <w:sz w:val="24"/>
          <w:szCs w:val="24"/>
          <w:highlight w:val="none"/>
          <w:lang w:bidi="ar-SA"/>
        </w:rPr>
        <w:t>投  标  人：</w:t>
      </w:r>
      <w:r>
        <w:rPr>
          <w:rFonts w:hint="eastAsia" w:asciiTheme="minorEastAsia" w:hAnsiTheme="minorEastAsia" w:eastAsiaTheme="minorEastAsia" w:cstheme="minorEastAsia"/>
          <w:b w:val="0"/>
          <w:bCs/>
          <w:color w:val="auto"/>
          <w:sz w:val="24"/>
          <w:szCs w:val="24"/>
          <w:highlight w:val="none"/>
          <w:u w:val="single"/>
          <w:lang w:bidi="ar-SA"/>
        </w:rPr>
        <w:t xml:space="preserve">                                 </w:t>
      </w:r>
      <w:r>
        <w:rPr>
          <w:rFonts w:hint="eastAsia" w:asciiTheme="minorEastAsia" w:hAnsiTheme="minorEastAsia" w:eastAsiaTheme="minorEastAsia" w:cstheme="minorEastAsia"/>
          <w:b w:val="0"/>
          <w:bCs/>
          <w:color w:val="auto"/>
          <w:sz w:val="24"/>
          <w:szCs w:val="24"/>
          <w:highlight w:val="none"/>
          <w:lang w:bidi="ar-SA"/>
        </w:rPr>
        <w:t>（盖章）</w:t>
      </w:r>
    </w:p>
    <w:p>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bidi="ar-SA"/>
        </w:rPr>
      </w:pPr>
      <w:r>
        <w:rPr>
          <w:rFonts w:hint="eastAsia" w:asciiTheme="minorEastAsia" w:hAnsiTheme="minorEastAsia" w:eastAsiaTheme="minorEastAsia" w:cstheme="minorEastAsia"/>
          <w:b w:val="0"/>
          <w:bCs/>
          <w:color w:val="auto"/>
          <w:sz w:val="24"/>
          <w:szCs w:val="24"/>
          <w:highlight w:val="none"/>
          <w:lang w:bidi="ar-SA"/>
        </w:rPr>
        <w:t>法定代表人：</w:t>
      </w:r>
      <w:r>
        <w:rPr>
          <w:rFonts w:hint="eastAsia" w:asciiTheme="minorEastAsia" w:hAnsiTheme="minorEastAsia" w:eastAsiaTheme="minorEastAsia" w:cstheme="minorEastAsia"/>
          <w:b w:val="0"/>
          <w:bCs/>
          <w:color w:val="auto"/>
          <w:sz w:val="24"/>
          <w:szCs w:val="24"/>
          <w:highlight w:val="none"/>
          <w:u w:val="single"/>
          <w:lang w:bidi="ar-SA"/>
        </w:rPr>
        <w:t xml:space="preserve">              　　　　　　　</w:t>
      </w:r>
      <w:r>
        <w:rPr>
          <w:rFonts w:hint="eastAsia" w:asciiTheme="minorEastAsia" w:hAnsiTheme="minorEastAsia" w:eastAsiaTheme="minorEastAsia" w:cstheme="minorEastAsia"/>
          <w:b w:val="0"/>
          <w:bCs/>
          <w:color w:val="auto"/>
          <w:sz w:val="24"/>
          <w:szCs w:val="24"/>
          <w:highlight w:val="none"/>
          <w:lang w:bidi="ar-SA"/>
        </w:rPr>
        <w:t>（签字或盖章）</w:t>
      </w:r>
    </w:p>
    <w:p>
      <w:pPr>
        <w:spacing w:line="360" w:lineRule="auto"/>
        <w:ind w:left="0" w:firstLine="480" w:firstLineChars="200"/>
        <w:jc w:val="left"/>
        <w:rPr>
          <w:rFonts w:hint="eastAsia" w:asciiTheme="minorEastAsia" w:hAnsiTheme="minorEastAsia" w:eastAsiaTheme="minorEastAsia" w:cstheme="minorEastAsia"/>
          <w:b w:val="0"/>
          <w:bCs/>
          <w:color w:val="auto"/>
          <w:sz w:val="24"/>
          <w:szCs w:val="24"/>
          <w:highlight w:val="none"/>
          <w:lang w:bidi="ar-SA"/>
        </w:rPr>
      </w:pPr>
      <w:r>
        <w:rPr>
          <w:rFonts w:hint="eastAsia" w:asciiTheme="minorEastAsia" w:hAnsiTheme="minorEastAsia" w:eastAsiaTheme="minorEastAsia" w:cstheme="minorEastAsia"/>
          <w:b w:val="0"/>
          <w:bCs/>
          <w:color w:val="auto"/>
          <w:sz w:val="24"/>
          <w:szCs w:val="24"/>
          <w:highlight w:val="none"/>
          <w:lang w:bidi="ar-SA"/>
        </w:rPr>
        <w:t>委托代理人：</w:t>
      </w:r>
      <w:r>
        <w:rPr>
          <w:rFonts w:hint="eastAsia" w:asciiTheme="minorEastAsia" w:hAnsiTheme="minorEastAsia" w:eastAsiaTheme="minorEastAsia" w:cstheme="minorEastAsia"/>
          <w:b w:val="0"/>
          <w:bCs/>
          <w:color w:val="auto"/>
          <w:sz w:val="24"/>
          <w:szCs w:val="24"/>
          <w:highlight w:val="none"/>
          <w:u w:val="single"/>
          <w:lang w:bidi="ar-SA"/>
        </w:rPr>
        <w:t xml:space="preserve">              　　　　　　　</w:t>
      </w:r>
      <w:r>
        <w:rPr>
          <w:rFonts w:hint="eastAsia" w:asciiTheme="minorEastAsia" w:hAnsiTheme="minorEastAsia" w:eastAsiaTheme="minorEastAsia" w:cstheme="minorEastAsia"/>
          <w:b w:val="0"/>
          <w:bCs/>
          <w:color w:val="auto"/>
          <w:sz w:val="24"/>
          <w:szCs w:val="24"/>
          <w:highlight w:val="none"/>
          <w:lang w:bidi="ar-SA"/>
        </w:rPr>
        <w:t>（签字或盖章）</w:t>
      </w:r>
    </w:p>
    <w:p>
      <w:pPr>
        <w:spacing w:line="360" w:lineRule="auto"/>
        <w:ind w:firstLine="5008" w:firstLineChars="2087"/>
        <w:jc w:val="left"/>
        <w:rPr>
          <w:rFonts w:hint="eastAsia" w:asciiTheme="minorEastAsia" w:hAnsiTheme="minorEastAsia" w:eastAsiaTheme="minorEastAsia" w:cstheme="minorEastAsia"/>
          <w:b w:val="0"/>
          <w:bCs/>
          <w:color w:val="auto"/>
          <w:sz w:val="24"/>
          <w:szCs w:val="24"/>
          <w:highlight w:val="none"/>
          <w:lang w:bidi="ar-SA"/>
        </w:rPr>
      </w:pPr>
      <w:r>
        <w:rPr>
          <w:rFonts w:hint="eastAsia" w:asciiTheme="minorEastAsia" w:hAnsiTheme="minorEastAsia" w:eastAsiaTheme="minorEastAsia" w:cstheme="minorEastAsia"/>
          <w:b w:val="0"/>
          <w:bCs/>
          <w:color w:val="auto"/>
          <w:sz w:val="24"/>
          <w:szCs w:val="24"/>
          <w:highlight w:val="none"/>
          <w:lang w:bidi="ar-SA"/>
        </w:rPr>
        <w:t>年    月    日</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pStyle w:val="31"/>
        <w:ind w:firstLine="2205" w:firstLineChars="1050"/>
        <w:outlineLvl w:val="9"/>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color w:val="auto"/>
          <w:sz w:val="21"/>
          <w:szCs w:val="21"/>
          <w:highlight w:val="none"/>
        </w:rPr>
        <w:br w:type="page"/>
      </w:r>
      <w:r>
        <w:rPr>
          <w:rFonts w:hint="eastAsia" w:asciiTheme="minorEastAsia" w:hAnsiTheme="minorEastAsia" w:eastAsiaTheme="minorEastAsia" w:cstheme="minorEastAsia"/>
          <w:b/>
          <w:color w:val="auto"/>
          <w:szCs w:val="21"/>
          <w:highlight w:val="none"/>
          <w:lang w:val="en-US" w:eastAsia="zh-CN"/>
        </w:rPr>
        <w:t>4、</w:t>
      </w:r>
      <w:r>
        <w:rPr>
          <w:rFonts w:hint="eastAsia" w:asciiTheme="minorEastAsia" w:hAnsiTheme="minorEastAsia" w:eastAsiaTheme="minorEastAsia" w:cstheme="minorEastAsia"/>
          <w:b/>
          <w:color w:val="auto"/>
          <w:szCs w:val="21"/>
          <w:highlight w:val="none"/>
          <w:lang w:eastAsia="zh-CN"/>
        </w:rPr>
        <w:t>磋商保证金</w:t>
      </w:r>
    </w:p>
    <w:p>
      <w:pPr>
        <w:spacing w:line="360" w:lineRule="auto"/>
        <w:jc w:val="center"/>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31"/>
        <w:ind w:firstLine="420" w:firstLineChars="200"/>
        <w:jc w:val="left"/>
        <w:rPr>
          <w:rFonts w:hint="eastAsia" w:asciiTheme="minorEastAsia" w:hAnsiTheme="minorEastAsia" w:eastAsiaTheme="minorEastAsia" w:cstheme="minorEastAsia"/>
          <w:b w:val="0"/>
          <w:bCs/>
          <w:color w:val="auto"/>
          <w:sz w:val="21"/>
          <w:szCs w:val="21"/>
          <w:highlight w:val="none"/>
          <w:lang w:eastAsia="zh-CN"/>
        </w:rPr>
      </w:pPr>
      <w:bookmarkStart w:id="330" w:name="_Toc10524"/>
      <w:r>
        <w:rPr>
          <w:rFonts w:hint="eastAsia" w:asciiTheme="minorEastAsia" w:hAnsiTheme="minorEastAsia" w:eastAsiaTheme="minorEastAsia" w:cstheme="minorEastAsia"/>
          <w:b w:val="0"/>
          <w:bCs/>
          <w:color w:val="auto"/>
          <w:sz w:val="21"/>
          <w:szCs w:val="21"/>
          <w:highlight w:val="none"/>
        </w:rPr>
        <w:t>投标人应将本项目</w:t>
      </w:r>
      <w:r>
        <w:rPr>
          <w:rFonts w:hint="eastAsia" w:asciiTheme="minorEastAsia" w:hAnsiTheme="minorEastAsia" w:eastAsiaTheme="minorEastAsia" w:cstheme="minorEastAsia"/>
          <w:b w:val="0"/>
          <w:bCs/>
          <w:color w:val="auto"/>
          <w:sz w:val="21"/>
          <w:szCs w:val="21"/>
          <w:highlight w:val="none"/>
          <w:lang w:eastAsia="zh-CN"/>
        </w:rPr>
        <w:t>磋商保证金</w:t>
      </w:r>
      <w:r>
        <w:rPr>
          <w:rFonts w:hint="eastAsia" w:asciiTheme="minorEastAsia" w:hAnsiTheme="minorEastAsia" w:eastAsiaTheme="minorEastAsia" w:cstheme="minorEastAsia"/>
          <w:b w:val="0"/>
          <w:bCs/>
          <w:color w:val="auto"/>
          <w:sz w:val="21"/>
          <w:szCs w:val="21"/>
          <w:highlight w:val="none"/>
        </w:rPr>
        <w:t>支付的银行汇款凭证复印件作为缴纳凭证装订在本部分，复印件上应加盖本单位章；如使用银行保函等其他投标担保函的，应将担保函</w:t>
      </w:r>
      <w:r>
        <w:rPr>
          <w:rFonts w:hint="eastAsia" w:asciiTheme="minorEastAsia" w:hAnsiTheme="minorEastAsia" w:eastAsiaTheme="minorEastAsia" w:cstheme="minorEastAsia"/>
          <w:b w:val="0"/>
          <w:bCs/>
          <w:color w:val="auto"/>
          <w:sz w:val="21"/>
          <w:szCs w:val="21"/>
          <w:highlight w:val="none"/>
          <w:lang w:val="en-US" w:eastAsia="zh-CN"/>
        </w:rPr>
        <w:t>复印件</w:t>
      </w:r>
      <w:r>
        <w:rPr>
          <w:rFonts w:hint="eastAsia" w:asciiTheme="minorEastAsia" w:hAnsiTheme="minorEastAsia" w:eastAsiaTheme="minorEastAsia" w:cstheme="minorEastAsia"/>
          <w:b w:val="0"/>
          <w:bCs/>
          <w:color w:val="auto"/>
          <w:sz w:val="21"/>
          <w:szCs w:val="21"/>
          <w:highlight w:val="none"/>
        </w:rPr>
        <w:t>，装订在本部分正本中</w:t>
      </w:r>
      <w:r>
        <w:rPr>
          <w:rFonts w:hint="eastAsia" w:asciiTheme="minorEastAsia" w:hAnsiTheme="minorEastAsia" w:eastAsiaTheme="minorEastAsia" w:cstheme="minorEastAsia"/>
          <w:b w:val="0"/>
          <w:bCs/>
          <w:color w:val="auto"/>
          <w:sz w:val="21"/>
          <w:szCs w:val="21"/>
          <w:highlight w:val="none"/>
          <w:lang w:eastAsia="zh-CN"/>
        </w:rPr>
        <w:t>。</w:t>
      </w:r>
      <w:bookmarkEnd w:id="330"/>
    </w:p>
    <w:tbl>
      <w:tblPr>
        <w:tblStyle w:val="22"/>
        <w:tblpPr w:leftFromText="180" w:rightFromText="180" w:vertAnchor="text" w:horzAnchor="page" w:tblpX="1585"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850" w:type="dxa"/>
            <w:noWrap w:val="0"/>
            <w:vAlign w:val="top"/>
          </w:tcPr>
          <w:p>
            <w:pPr>
              <w:rPr>
                <w:rFonts w:hint="eastAsia" w:asciiTheme="minorEastAsia" w:hAnsiTheme="minorEastAsia" w:eastAsiaTheme="minorEastAsia" w:cstheme="minorEastAsia"/>
                <w:b/>
                <w:bCs/>
                <w:color w:val="auto"/>
                <w:sz w:val="30"/>
                <w:szCs w:val="30"/>
                <w:highlight w:val="none"/>
              </w:rPr>
            </w:pPr>
          </w:p>
          <w:p>
            <w:pPr>
              <w:jc w:val="center"/>
              <w:rPr>
                <w:rFonts w:hint="eastAsia" w:asciiTheme="minorEastAsia" w:hAnsiTheme="minorEastAsia" w:eastAsiaTheme="minorEastAsia" w:cstheme="minorEastAsia"/>
                <w:b/>
                <w:bCs/>
                <w:color w:val="auto"/>
                <w:sz w:val="30"/>
                <w:szCs w:val="30"/>
                <w:highlight w:val="none"/>
              </w:rPr>
            </w:pPr>
          </w:p>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银行汇款凭证复印件</w:t>
            </w:r>
            <w:r>
              <w:rPr>
                <w:rFonts w:hint="eastAsia" w:asciiTheme="minorEastAsia" w:hAnsiTheme="minorEastAsia" w:eastAsiaTheme="minorEastAsia" w:cstheme="minorEastAsia"/>
                <w:b/>
                <w:bCs/>
                <w:color w:val="auto"/>
                <w:sz w:val="30"/>
                <w:szCs w:val="30"/>
                <w:highlight w:val="none"/>
                <w:lang w:val="en-US" w:eastAsia="zh-CN"/>
              </w:rPr>
              <w:t>或银行保函复印件</w:t>
            </w:r>
          </w:p>
        </w:tc>
      </w:tr>
    </w:tbl>
    <w:p>
      <w:pPr>
        <w:pStyle w:val="31"/>
        <w:jc w:val="left"/>
        <w:outlineLvl w:val="9"/>
        <w:rPr>
          <w:rFonts w:hint="eastAsia" w:asciiTheme="minorEastAsia" w:hAnsiTheme="minorEastAsia" w:eastAsiaTheme="minorEastAsia" w:cstheme="minorEastAsia"/>
          <w:b w:val="0"/>
          <w:bCs/>
          <w:color w:val="auto"/>
          <w:sz w:val="21"/>
          <w:szCs w:val="21"/>
          <w:highlight w:val="none"/>
          <w:lang w:eastAsia="zh-CN"/>
        </w:rPr>
      </w:pPr>
    </w:p>
    <w:p>
      <w:pPr>
        <w:pStyle w:val="31"/>
        <w:numPr>
          <w:ilvl w:val="0"/>
          <w:numId w:val="11"/>
        </w:num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bookmarkStart w:id="331" w:name="_Toc26564"/>
      <w:r>
        <w:rPr>
          <w:rFonts w:hint="eastAsia" w:asciiTheme="minorEastAsia" w:hAnsiTheme="minorEastAsia" w:eastAsiaTheme="minorEastAsia" w:cstheme="minorEastAsia"/>
          <w:b/>
          <w:color w:val="auto"/>
          <w:sz w:val="21"/>
          <w:szCs w:val="21"/>
          <w:highlight w:val="none"/>
        </w:rPr>
        <w:t>项目管理机构</w:t>
      </w:r>
      <w:bookmarkEnd w:id="331"/>
    </w:p>
    <w:p>
      <w:pPr>
        <w:pStyle w:val="31"/>
        <w:numPr>
          <w:ilvl w:val="0"/>
          <w:numId w:val="0"/>
        </w:numPr>
        <w:jc w:val="both"/>
        <w:outlineLvl w:val="9"/>
        <w:rPr>
          <w:rFonts w:hint="eastAsia" w:asciiTheme="minorEastAsia" w:hAnsiTheme="minorEastAsia" w:eastAsiaTheme="minorEastAsia" w:cstheme="minorEastAsia"/>
          <w:b/>
          <w:color w:val="auto"/>
          <w:sz w:val="21"/>
          <w:szCs w:val="21"/>
          <w:highlight w:val="none"/>
        </w:rPr>
      </w:pPr>
    </w:p>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（现场技术力量配备）</w:t>
      </w:r>
    </w:p>
    <w:p>
      <w:pPr>
        <w:pStyle w:val="32"/>
        <w:numPr>
          <w:ilvl w:val="0"/>
          <w:numId w:val="12"/>
        </w:num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项目管理机构</w:t>
      </w:r>
      <w:r>
        <w:rPr>
          <w:rFonts w:hint="eastAsia" w:asciiTheme="minorEastAsia" w:hAnsiTheme="minorEastAsia" w:eastAsiaTheme="minorEastAsia" w:cstheme="minorEastAsia"/>
          <w:color w:val="auto"/>
          <w:sz w:val="21"/>
          <w:szCs w:val="21"/>
          <w:highlight w:val="none"/>
          <w:u w:val="none"/>
          <w:lang w:val="en-US" w:eastAsia="zh-CN"/>
        </w:rPr>
        <w:t>人员</w:t>
      </w:r>
      <w:r>
        <w:rPr>
          <w:rFonts w:hint="eastAsia" w:asciiTheme="minorEastAsia" w:hAnsiTheme="minorEastAsia" w:eastAsiaTheme="minorEastAsia" w:cstheme="minorEastAsia"/>
          <w:color w:val="auto"/>
          <w:sz w:val="21"/>
          <w:szCs w:val="21"/>
          <w:highlight w:val="none"/>
          <w:u w:val="none"/>
        </w:rPr>
        <w:t>组成表</w:t>
      </w:r>
    </w:p>
    <w:p>
      <w:pPr>
        <w:pStyle w:val="32"/>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项目名称</w:t>
      </w:r>
      <w:r>
        <w:rPr>
          <w:rFonts w:hint="eastAsia" w:asciiTheme="minorEastAsia" w:hAnsiTheme="minorEastAsia" w:eastAsiaTheme="minorEastAsia" w:cstheme="minorEastAsia"/>
          <w:color w:val="auto"/>
          <w:sz w:val="21"/>
          <w:szCs w:val="21"/>
          <w:highlight w:val="none"/>
          <w:u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24"/>
        <w:gridCol w:w="906"/>
        <w:gridCol w:w="1251"/>
        <w:gridCol w:w="1432"/>
        <w:gridCol w:w="1541"/>
        <w:gridCol w:w="1504"/>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1124" w:type="dxa"/>
            <w:vMerge w:val="restart"/>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906" w:type="dxa"/>
            <w:vMerge w:val="restart"/>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5728" w:type="dxa"/>
            <w:gridSpan w:val="4"/>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执业或职业资格证明</w:t>
            </w:r>
          </w:p>
        </w:tc>
        <w:tc>
          <w:tcPr>
            <w:tcW w:w="724"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3" w:type="dxa"/>
            <w:vMerge w:val="continue"/>
            <w:noWrap w:val="0"/>
            <w:vAlign w:val="center"/>
          </w:tcPr>
          <w:p>
            <w:pPr>
              <w:rPr>
                <w:rFonts w:hint="eastAsia" w:asciiTheme="minorEastAsia" w:hAnsiTheme="minorEastAsia" w:eastAsiaTheme="minorEastAsia" w:cstheme="minorEastAsia"/>
                <w:color w:val="auto"/>
                <w:highlight w:val="none"/>
              </w:rPr>
            </w:pPr>
          </w:p>
        </w:tc>
        <w:tc>
          <w:tcPr>
            <w:tcW w:w="1124" w:type="dxa"/>
            <w:vMerge w:val="continue"/>
            <w:noWrap w:val="0"/>
            <w:vAlign w:val="center"/>
          </w:tcPr>
          <w:p>
            <w:pPr>
              <w:rPr>
                <w:rFonts w:hint="eastAsia" w:asciiTheme="minorEastAsia" w:hAnsiTheme="minorEastAsia" w:eastAsiaTheme="minorEastAsia" w:cstheme="minorEastAsia"/>
                <w:color w:val="auto"/>
                <w:highlight w:val="none"/>
              </w:rPr>
            </w:pPr>
          </w:p>
        </w:tc>
        <w:tc>
          <w:tcPr>
            <w:tcW w:w="906" w:type="dxa"/>
            <w:vMerge w:val="continue"/>
            <w:noWrap w:val="0"/>
            <w:vAlign w:val="center"/>
          </w:tcPr>
          <w:p>
            <w:pPr>
              <w:rPr>
                <w:rFonts w:hint="eastAsia" w:asciiTheme="minorEastAsia" w:hAnsiTheme="minorEastAsia" w:eastAsiaTheme="minorEastAsia" w:cstheme="minorEastAsia"/>
                <w:color w:val="auto"/>
                <w:highlight w:val="none"/>
              </w:rPr>
            </w:pPr>
          </w:p>
        </w:tc>
        <w:tc>
          <w:tcPr>
            <w:tcW w:w="1251"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证书名称</w:t>
            </w:r>
          </w:p>
        </w:tc>
        <w:tc>
          <w:tcPr>
            <w:tcW w:w="1432"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级别</w:t>
            </w:r>
          </w:p>
        </w:tc>
        <w:tc>
          <w:tcPr>
            <w:tcW w:w="1541"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证号</w:t>
            </w:r>
          </w:p>
        </w:tc>
        <w:tc>
          <w:tcPr>
            <w:tcW w:w="1504"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专业</w:t>
            </w:r>
          </w:p>
        </w:tc>
        <w:tc>
          <w:tcPr>
            <w:tcW w:w="724"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124"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center"/>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pPr>
              <w:jc w:val="center"/>
              <w:rPr>
                <w:rFonts w:hint="eastAsia" w:asciiTheme="minorEastAsia" w:hAnsiTheme="minorEastAsia" w:eastAsiaTheme="minorEastAsia" w:cstheme="minorEastAsia"/>
                <w:bCs/>
                <w:color w:val="auto"/>
                <w:szCs w:val="21"/>
                <w:highlight w:val="none"/>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pPr>
              <w:jc w:val="center"/>
              <w:rPr>
                <w:rFonts w:hint="eastAsia" w:asciiTheme="minorEastAsia" w:hAnsiTheme="minorEastAsia" w:eastAsiaTheme="minorEastAsia" w:cstheme="minorEastAsia"/>
                <w:bCs/>
                <w:color w:val="auto"/>
                <w:szCs w:val="21"/>
                <w:highlight w:val="none"/>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pPr>
              <w:jc w:val="center"/>
              <w:rPr>
                <w:rFonts w:hint="eastAsia" w:asciiTheme="minorEastAsia" w:hAnsiTheme="minorEastAsia" w:eastAsiaTheme="minorEastAsia" w:cstheme="minorEastAsia"/>
                <w:bCs/>
                <w:color w:val="auto"/>
                <w:szCs w:val="21"/>
                <w:highlight w:val="none"/>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 w:type="dxa"/>
            <w:noWrap w:val="0"/>
            <w:vAlign w:val="center"/>
          </w:tcPr>
          <w:p>
            <w:pPr>
              <w:jc w:val="center"/>
              <w:rPr>
                <w:rFonts w:hint="eastAsia" w:asciiTheme="minorEastAsia" w:hAnsiTheme="minorEastAsia" w:eastAsiaTheme="minorEastAsia" w:cstheme="minorEastAsia"/>
                <w:bCs/>
                <w:color w:val="auto"/>
                <w:szCs w:val="21"/>
                <w:highlight w:val="none"/>
                <w:lang w:val="en-US" w:eastAsia="zh-CN"/>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pPr>
              <w:spacing w:line="440" w:lineRule="exact"/>
              <w:jc w:val="center"/>
              <w:rPr>
                <w:rFonts w:hint="eastAsia" w:asciiTheme="minorEastAsia" w:hAnsiTheme="minorEastAsia" w:eastAsiaTheme="minorEastAsia" w:cstheme="minorEastAsia"/>
                <w:bCs/>
                <w:color w:val="auto"/>
                <w:szCs w:val="21"/>
                <w:highlight w:val="none"/>
                <w:lang w:val="en-US" w:eastAsia="zh-CN"/>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1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906"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25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432"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41"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150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c>
          <w:tcPr>
            <w:tcW w:w="724" w:type="dxa"/>
            <w:noWrap w:val="0"/>
            <w:vAlign w:val="top"/>
          </w:tcPr>
          <w:p>
            <w:pPr>
              <w:spacing w:line="440" w:lineRule="exact"/>
              <w:jc w:val="center"/>
              <w:rPr>
                <w:rFonts w:hint="eastAsia" w:asciiTheme="minorEastAsia" w:hAnsiTheme="minorEastAsia" w:eastAsiaTheme="minorEastAsia" w:cstheme="minorEastAsia"/>
                <w:color w:val="auto"/>
                <w:szCs w:val="21"/>
                <w:highlight w:val="none"/>
              </w:rPr>
            </w:pPr>
          </w:p>
        </w:tc>
      </w:tr>
    </w:tbl>
    <w:p>
      <w:pPr>
        <w:spacing w:line="440" w:lineRule="exact"/>
        <w:ind w:left="21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注：1、本工程一旦我单位中标，将配备上述项目管理人员。上述填报内容真实，如不真实，将按照有关规定接受处理。</w:t>
      </w:r>
    </w:p>
    <w:p>
      <w:pPr>
        <w:numPr>
          <w:ilvl w:val="0"/>
          <w:numId w:val="13"/>
        </w:numPr>
        <w:spacing w:line="440" w:lineRule="exact"/>
        <w:ind w:left="210" w:leftChars="100" w:firstLine="420"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承包人若需要更换本工程</w:t>
      </w:r>
      <w:r>
        <w:rPr>
          <w:rFonts w:hint="eastAsia" w:asciiTheme="minorEastAsia" w:hAnsiTheme="minorEastAsia" w:eastAsiaTheme="minorEastAsia" w:cstheme="minorEastAsia"/>
          <w:b/>
          <w:color w:val="auto"/>
          <w:kern w:val="0"/>
          <w:szCs w:val="21"/>
          <w:highlight w:val="none"/>
          <w:lang w:val="en-US" w:eastAsia="zh-CN"/>
        </w:rPr>
        <w:t>响应</w:t>
      </w:r>
      <w:r>
        <w:rPr>
          <w:rFonts w:hint="eastAsia" w:asciiTheme="minorEastAsia" w:hAnsiTheme="minorEastAsia" w:eastAsiaTheme="minorEastAsia" w:cstheme="minorEastAsia"/>
          <w:b/>
          <w:color w:val="auto"/>
          <w:kern w:val="0"/>
          <w:szCs w:val="21"/>
          <w:highlight w:val="none"/>
        </w:rPr>
        <w:t>文件中原有人员时须经发包人同意。未经发包人同意，承包人更换人员应承担违约责任</w:t>
      </w:r>
      <w:r>
        <w:rPr>
          <w:rFonts w:hint="eastAsia" w:asciiTheme="minorEastAsia" w:hAnsiTheme="minorEastAsia" w:eastAsiaTheme="minorEastAsia" w:cstheme="minorEastAsia"/>
          <w:b/>
          <w:color w:val="auto"/>
          <w:kern w:val="0"/>
          <w:szCs w:val="21"/>
          <w:highlight w:val="none"/>
          <w:lang w:eastAsia="zh-CN"/>
        </w:rPr>
        <w:t>，</w:t>
      </w:r>
      <w:r>
        <w:rPr>
          <w:rFonts w:hint="eastAsia" w:asciiTheme="minorEastAsia" w:hAnsiTheme="minorEastAsia" w:eastAsiaTheme="minorEastAsia" w:cstheme="minorEastAsia"/>
          <w:b/>
          <w:color w:val="auto"/>
          <w:kern w:val="0"/>
          <w:szCs w:val="21"/>
          <w:highlight w:val="none"/>
        </w:rPr>
        <w:t>并且按照中标价</w:t>
      </w:r>
      <w:r>
        <w:rPr>
          <w:rFonts w:hint="eastAsia" w:asciiTheme="minorEastAsia" w:hAnsiTheme="minorEastAsia" w:eastAsiaTheme="minorEastAsia" w:cstheme="minorEastAsia"/>
          <w:b/>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5</w:t>
      </w:r>
      <w:r>
        <w:rPr>
          <w:rFonts w:hint="eastAsia" w:asciiTheme="minorEastAsia" w:hAnsiTheme="minorEastAsia" w:eastAsiaTheme="minorEastAsia" w:cstheme="minorEastAsia"/>
          <w:b/>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color w:val="auto"/>
          <w:kern w:val="0"/>
          <w:szCs w:val="21"/>
          <w:highlight w:val="none"/>
        </w:rPr>
        <w:t xml:space="preserve"> 给发包人支付违约金。</w:t>
      </w:r>
    </w:p>
    <w:p>
      <w:pPr>
        <w:numPr>
          <w:ilvl w:val="0"/>
          <w:numId w:val="0"/>
        </w:numPr>
        <w:spacing w:line="440" w:lineRule="exact"/>
        <w:ind w:leftChars="300"/>
        <w:rPr>
          <w:rFonts w:hint="eastAsia" w:asciiTheme="minorEastAsia" w:hAnsiTheme="minorEastAsia" w:eastAsiaTheme="minorEastAsia" w:cstheme="minorEastAsia"/>
          <w:color w:val="auto"/>
          <w:szCs w:val="21"/>
          <w:highlight w:val="none"/>
        </w:rPr>
      </w:pPr>
    </w:p>
    <w:p>
      <w:pPr>
        <w:numPr>
          <w:ilvl w:val="0"/>
          <w:numId w:val="0"/>
        </w:numPr>
        <w:spacing w:line="440" w:lineRule="exact"/>
        <w:ind w:leftChars="3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（二）主要人员简历表</w:t>
      </w:r>
    </w:p>
    <w:p>
      <w:pPr>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附1：项目经理简历表</w:t>
      </w:r>
    </w:p>
    <w:p>
      <w:pPr>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项目经理应附建造师注册证书、安全生产考核证书、身份证、职称证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、学历证</w:t>
      </w:r>
      <w:r>
        <w:rPr>
          <w:rFonts w:hint="eastAsia" w:asciiTheme="minorEastAsia" w:hAnsiTheme="minorEastAsia" w:eastAsiaTheme="minorEastAsia" w:cstheme="minorEastAsia"/>
          <w:color w:val="auto"/>
          <w:szCs w:val="21"/>
          <w:highlight w:val="none"/>
          <w:lang w:val="en-US" w:eastAsia="zh-CN"/>
        </w:rPr>
        <w:t>等资料</w:t>
      </w:r>
      <w:r>
        <w:rPr>
          <w:rFonts w:hint="eastAsia" w:asciiTheme="minorEastAsia" w:hAnsiTheme="minorEastAsia" w:eastAsiaTheme="minorEastAsia" w:cstheme="minorEastAsia"/>
          <w:color w:val="auto"/>
          <w:szCs w:val="21"/>
          <w:highlight w:val="none"/>
        </w:rPr>
        <w:t>复印件及未担任其他在施建设工程项目项目经理的承诺书，管理过的项目业绩须附中标通知书、合同协议书复印件。类似项目限于以项目经理身份参与的项目。</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  名</w:t>
            </w: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龄</w:t>
            </w: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  称</w:t>
            </w: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  务</w:t>
            </w: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拟在本工程任职</w:t>
            </w: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注册建造师执业资格等级</w:t>
            </w: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级</w:t>
            </w: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建造师专业</w:t>
            </w: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安全生产考核合格证书</w:t>
            </w:r>
          </w:p>
        </w:tc>
        <w:tc>
          <w:tcPr>
            <w:tcW w:w="5559"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毕业学校</w:t>
            </w:r>
          </w:p>
        </w:tc>
        <w:tc>
          <w:tcPr>
            <w:tcW w:w="7728" w:type="dxa"/>
            <w:gridSpan w:val="5"/>
            <w:noWrap w:val="0"/>
            <w:vAlign w:val="center"/>
          </w:tcPr>
          <w:p>
            <w:pPr>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6"/>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  间</w:t>
            </w:r>
          </w:p>
        </w:tc>
        <w:tc>
          <w:tcPr>
            <w:tcW w:w="3444" w:type="dxa"/>
            <w:gridSpan w:val="3"/>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参加过的类似项目名称</w:t>
            </w: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工程概况说明</w:t>
            </w: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3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134"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843"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2441" w:type="dxa"/>
            <w:noWrap w:val="0"/>
            <w:vAlign w:val="center"/>
          </w:tcPr>
          <w:p>
            <w:pPr>
              <w:jc w:val="center"/>
              <w:rPr>
                <w:rFonts w:hint="eastAsia" w:asciiTheme="minorEastAsia" w:hAnsiTheme="minorEastAsia" w:eastAsiaTheme="minorEastAsia" w:cstheme="minorEastAsia"/>
                <w:color w:val="auto"/>
                <w:szCs w:val="21"/>
                <w:highlight w:val="none"/>
              </w:rPr>
            </w:pPr>
          </w:p>
        </w:tc>
      </w:tr>
    </w:tbl>
    <w:p>
      <w:pPr>
        <w:pStyle w:val="16"/>
        <w:spacing w:line="240" w:lineRule="auto"/>
        <w:ind w:firstLine="480"/>
        <w:rPr>
          <w:rFonts w:hint="eastAsia" w:asciiTheme="minorEastAsia" w:hAnsiTheme="minorEastAsia" w:eastAsiaTheme="minorEastAsia" w:cstheme="minorEastAsia"/>
          <w:color w:val="auto"/>
          <w:szCs w:val="21"/>
          <w:highlight w:val="none"/>
        </w:rPr>
      </w:pPr>
    </w:p>
    <w:p>
      <w:pPr>
        <w:pStyle w:val="16"/>
        <w:keepNext w:val="0"/>
        <w:keepLines w:val="0"/>
        <w:pageBreakBefore w:val="0"/>
        <w:widowControl w:val="0"/>
        <w:kinsoku/>
        <w:wordWrap/>
        <w:overflowPunct/>
        <w:topLinePunct w:val="0"/>
        <w:autoSpaceDE/>
        <w:autoSpaceDN/>
        <w:bidi w:val="0"/>
        <w:adjustRightInd/>
        <w:snapToGrid/>
        <w:spacing w:line="400" w:lineRule="exact"/>
        <w:ind w:firstLine="482"/>
        <w:textAlignment w:val="auto"/>
        <w:outlineLvl w:val="9"/>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注： 承包人若需要更换本工程响应文件中原有建造师及人员时须经发包人同意。未经发包人同意，承包人更换人员应承担违约责任，并且按照中标价</w:t>
      </w:r>
      <w:r>
        <w:rPr>
          <w:rFonts w:hint="eastAsia" w:asciiTheme="minorEastAsia" w:hAnsiTheme="minorEastAsia" w:eastAsiaTheme="minorEastAsia" w:cstheme="minorEastAsia"/>
          <w:b/>
          <w:color w:val="auto"/>
          <w:kern w:val="0"/>
          <w:sz w:val="21"/>
          <w:szCs w:val="21"/>
          <w:highlight w:val="none"/>
          <w:u w:val="single"/>
          <w:lang w:val="en-US" w:eastAsia="zh-CN" w:bidi="ar-SA"/>
        </w:rPr>
        <w:t xml:space="preserve"> 5 </w:t>
      </w:r>
      <w:r>
        <w:rPr>
          <w:rFonts w:hint="eastAsia" w:asciiTheme="minorEastAsia" w:hAnsiTheme="minorEastAsia" w:eastAsiaTheme="minorEastAsia" w:cstheme="minorEastAsia"/>
          <w:b/>
          <w:color w:val="auto"/>
          <w:kern w:val="0"/>
          <w:sz w:val="21"/>
          <w:szCs w:val="21"/>
          <w:highlight w:val="none"/>
          <w:lang w:val="en-US" w:eastAsia="zh-CN" w:bidi="ar-SA"/>
        </w:rPr>
        <w:t>％ 给发包人支付违约金。</w:t>
      </w:r>
    </w:p>
    <w:p>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附2：主要项目管理人员简历表</w:t>
      </w:r>
    </w:p>
    <w:p>
      <w:pPr>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主要项目管理人员指项目副经理、技术负责人、专职安全生产管理人员等岗位人员。应附注册资格证书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、身份证、职称证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岗位证书等资料</w:t>
      </w:r>
      <w:r>
        <w:rPr>
          <w:rFonts w:hint="eastAsia" w:asciiTheme="minorEastAsia" w:hAnsiTheme="minorEastAsia" w:eastAsiaTheme="minorEastAsia" w:cstheme="minorEastAsia"/>
          <w:color w:val="auto"/>
          <w:szCs w:val="21"/>
          <w:highlight w:val="none"/>
        </w:rPr>
        <w:t>复印件，专职安全生产管理人员应附安全生产考核合格证书</w:t>
      </w:r>
      <w:r>
        <w:rPr>
          <w:rFonts w:hint="eastAsia" w:asciiTheme="minorEastAsia" w:hAnsiTheme="minorEastAsia" w:eastAsiaTheme="minorEastAsia" w:cstheme="minorEastAsia"/>
          <w:color w:val="auto"/>
          <w:szCs w:val="21"/>
          <w:highlight w:val="none"/>
          <w:lang w:val="en-US" w:eastAsia="zh-CN"/>
        </w:rPr>
        <w:t>及岗位证书</w:t>
      </w:r>
      <w:r>
        <w:rPr>
          <w:rFonts w:hint="eastAsia" w:asciiTheme="minorEastAsia" w:hAnsiTheme="minorEastAsia" w:eastAsiaTheme="minorEastAsia" w:cstheme="minorEastAsia"/>
          <w:color w:val="auto"/>
          <w:szCs w:val="21"/>
          <w:highlight w:val="none"/>
        </w:rPr>
        <w:t>，主要业绩须附合同协议书。</w:t>
      </w:r>
    </w:p>
    <w:p>
      <w:pPr>
        <w:topLinePunct/>
        <w:spacing w:line="440" w:lineRule="exact"/>
        <w:jc w:val="center"/>
        <w:rPr>
          <w:rFonts w:hint="eastAsia" w:asciiTheme="minorEastAsia" w:hAnsiTheme="minorEastAsia" w:eastAsiaTheme="minorEastAsia" w:cstheme="minorEastAsia"/>
          <w:color w:val="auto"/>
          <w:szCs w:val="21"/>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3420" w:type="dxa"/>
            <w:noWrap w:val="0"/>
            <w:vAlign w:val="center"/>
          </w:tcPr>
          <w:p>
            <w:pPr>
              <w:spacing w:line="440" w:lineRule="exact"/>
              <w:rPr>
                <w:rFonts w:hint="eastAsia" w:asciiTheme="minorEastAsia" w:hAnsiTheme="minorEastAsia" w:eastAsiaTheme="minorEastAsia" w:cstheme="minorEastAsia"/>
                <w:color w:val="auto"/>
                <w:szCs w:val="21"/>
                <w:highlight w:val="none"/>
              </w:rPr>
            </w:pPr>
          </w:p>
        </w:tc>
        <w:tc>
          <w:tcPr>
            <w:tcW w:w="1261" w:type="dxa"/>
            <w:noWrap w:val="0"/>
            <w:vAlign w:val="center"/>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2296" w:type="dxa"/>
            <w:noWrap w:val="0"/>
            <w:vAlign w:val="center"/>
          </w:tcPr>
          <w:p>
            <w:pPr>
              <w:spacing w:line="440" w:lineRule="exact"/>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3420" w:type="dxa"/>
            <w:noWrap w:val="0"/>
            <w:vAlign w:val="top"/>
          </w:tcPr>
          <w:p>
            <w:pPr>
              <w:spacing w:line="440" w:lineRule="exact"/>
              <w:rPr>
                <w:rFonts w:hint="eastAsia" w:asciiTheme="minorEastAsia" w:hAnsiTheme="minorEastAsia" w:eastAsiaTheme="minorEastAsia" w:cstheme="minorEastAsia"/>
                <w:color w:val="auto"/>
                <w:szCs w:val="21"/>
                <w:highlight w:val="none"/>
              </w:rPr>
            </w:pPr>
          </w:p>
        </w:tc>
        <w:tc>
          <w:tcPr>
            <w:tcW w:w="1261" w:type="dxa"/>
            <w:noWrap w:val="0"/>
            <w:vAlign w:val="top"/>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毕业学校</w:t>
            </w:r>
          </w:p>
        </w:tc>
        <w:tc>
          <w:tcPr>
            <w:tcW w:w="2296" w:type="dxa"/>
            <w:noWrap w:val="0"/>
            <w:vAlign w:val="top"/>
          </w:tcPr>
          <w:p>
            <w:pPr>
              <w:spacing w:line="440" w:lineRule="exact"/>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学历和专业</w:t>
            </w:r>
          </w:p>
        </w:tc>
        <w:tc>
          <w:tcPr>
            <w:tcW w:w="3420" w:type="dxa"/>
            <w:noWrap w:val="0"/>
            <w:vAlign w:val="top"/>
          </w:tcPr>
          <w:p>
            <w:pPr>
              <w:spacing w:line="440" w:lineRule="exact"/>
              <w:rPr>
                <w:rFonts w:hint="eastAsia" w:asciiTheme="minorEastAsia" w:hAnsiTheme="minorEastAsia" w:eastAsiaTheme="minorEastAsia" w:cstheme="minorEastAsia"/>
                <w:color w:val="auto"/>
                <w:szCs w:val="21"/>
                <w:highlight w:val="none"/>
              </w:rPr>
            </w:pPr>
          </w:p>
        </w:tc>
        <w:tc>
          <w:tcPr>
            <w:tcW w:w="1261" w:type="dxa"/>
            <w:noWrap w:val="0"/>
            <w:vAlign w:val="top"/>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毕业时间</w:t>
            </w:r>
          </w:p>
        </w:tc>
        <w:tc>
          <w:tcPr>
            <w:tcW w:w="2296" w:type="dxa"/>
            <w:noWrap w:val="0"/>
            <w:vAlign w:val="top"/>
          </w:tcPr>
          <w:p>
            <w:pPr>
              <w:spacing w:line="440" w:lineRule="exact"/>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拥有的执业资格</w:t>
            </w:r>
          </w:p>
        </w:tc>
        <w:tc>
          <w:tcPr>
            <w:tcW w:w="3420" w:type="dxa"/>
            <w:noWrap w:val="0"/>
            <w:vAlign w:val="top"/>
          </w:tcPr>
          <w:p>
            <w:pPr>
              <w:spacing w:line="440" w:lineRule="exact"/>
              <w:rPr>
                <w:rFonts w:hint="eastAsia" w:asciiTheme="minorEastAsia" w:hAnsiTheme="minorEastAsia" w:eastAsiaTheme="minorEastAsia" w:cstheme="minorEastAsia"/>
                <w:color w:val="auto"/>
                <w:szCs w:val="21"/>
                <w:highlight w:val="none"/>
              </w:rPr>
            </w:pPr>
          </w:p>
        </w:tc>
        <w:tc>
          <w:tcPr>
            <w:tcW w:w="1261" w:type="dxa"/>
            <w:noWrap w:val="0"/>
            <w:vAlign w:val="top"/>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专业职称</w:t>
            </w:r>
          </w:p>
        </w:tc>
        <w:tc>
          <w:tcPr>
            <w:tcW w:w="2296" w:type="dxa"/>
            <w:noWrap w:val="0"/>
            <w:vAlign w:val="top"/>
          </w:tcPr>
          <w:p>
            <w:pPr>
              <w:spacing w:line="440" w:lineRule="exact"/>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执业资格证书编号</w:t>
            </w:r>
          </w:p>
        </w:tc>
        <w:tc>
          <w:tcPr>
            <w:tcW w:w="3420" w:type="dxa"/>
            <w:noWrap w:val="0"/>
            <w:vAlign w:val="center"/>
          </w:tcPr>
          <w:p>
            <w:pPr>
              <w:spacing w:line="440" w:lineRule="exact"/>
              <w:rPr>
                <w:rFonts w:hint="eastAsia" w:asciiTheme="minorEastAsia" w:hAnsiTheme="minorEastAsia" w:eastAsiaTheme="minorEastAsia" w:cstheme="minorEastAsia"/>
                <w:color w:val="auto"/>
                <w:szCs w:val="21"/>
                <w:highlight w:val="none"/>
              </w:rPr>
            </w:pPr>
          </w:p>
        </w:tc>
        <w:tc>
          <w:tcPr>
            <w:tcW w:w="1261" w:type="dxa"/>
            <w:noWrap w:val="0"/>
            <w:vAlign w:val="center"/>
          </w:tcPr>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工作年限</w:t>
            </w:r>
          </w:p>
        </w:tc>
        <w:tc>
          <w:tcPr>
            <w:tcW w:w="2296" w:type="dxa"/>
            <w:noWrap w:val="0"/>
            <w:vAlign w:val="center"/>
          </w:tcPr>
          <w:p>
            <w:pPr>
              <w:spacing w:line="440" w:lineRule="exact"/>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主要工作业绩及担任的主要工作</w:t>
            </w:r>
          </w:p>
          <w:p>
            <w:pPr>
              <w:spacing w:line="440" w:lineRule="exact"/>
              <w:rPr>
                <w:rFonts w:hint="eastAsia" w:asciiTheme="minorEastAsia" w:hAnsiTheme="minorEastAsia" w:eastAsiaTheme="minorEastAsia" w:cstheme="minorEastAsia"/>
                <w:color w:val="auto"/>
                <w:szCs w:val="21"/>
                <w:highlight w:val="none"/>
              </w:rPr>
            </w:pPr>
          </w:p>
        </w:tc>
        <w:tc>
          <w:tcPr>
            <w:tcW w:w="8300" w:type="dxa"/>
            <w:gridSpan w:val="4"/>
            <w:noWrap w:val="0"/>
            <w:vAlign w:val="center"/>
          </w:tcPr>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widowControl/>
              <w:jc w:val="lef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tc>
      </w:tr>
    </w:tbl>
    <w:p>
      <w:pPr>
        <w:pStyle w:val="16"/>
        <w:spacing w:line="240" w:lineRule="auto"/>
        <w:rPr>
          <w:rFonts w:hint="eastAsia" w:asciiTheme="minorEastAsia" w:hAnsiTheme="minorEastAsia" w:eastAsiaTheme="minorEastAsia" w:cstheme="minorEastAsia"/>
          <w:color w:val="auto"/>
          <w:szCs w:val="21"/>
          <w:highlight w:val="none"/>
        </w:rPr>
      </w:pPr>
    </w:p>
    <w:p>
      <w:pPr>
        <w:spacing w:line="440" w:lineRule="exact"/>
        <w:jc w:val="center"/>
        <w:rPr>
          <w:rFonts w:hint="eastAsia" w:asciiTheme="minorEastAsia" w:hAnsiTheme="minorEastAsia" w:eastAsiaTheme="minorEastAsia" w:cstheme="minorEastAsia"/>
          <w:b/>
          <w:color w:val="auto"/>
          <w:sz w:val="21"/>
          <w:szCs w:val="21"/>
          <w:highlight w:val="none"/>
        </w:rPr>
      </w:pPr>
      <w:bookmarkStart w:id="332" w:name="_Toc152042595"/>
      <w:bookmarkStart w:id="333" w:name="_Toc152045806"/>
      <w:bookmarkStart w:id="334" w:name="_Toc144974874"/>
      <w:bookmarkStart w:id="335" w:name="_Toc179632826"/>
      <w:r>
        <w:rPr>
          <w:rFonts w:hint="eastAsia" w:asciiTheme="minorEastAsia" w:hAnsiTheme="minorEastAsia" w:eastAsiaTheme="minorEastAsia" w:cstheme="minorEastAsia"/>
          <w:b/>
          <w:color w:val="auto"/>
          <w:sz w:val="21"/>
          <w:szCs w:val="21"/>
          <w:highlight w:val="none"/>
        </w:rPr>
        <w:br w:type="page"/>
      </w:r>
      <w:bookmarkEnd w:id="332"/>
      <w:bookmarkEnd w:id="333"/>
      <w:bookmarkEnd w:id="334"/>
      <w:bookmarkEnd w:id="335"/>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资格审查资料</w:t>
      </w:r>
    </w:p>
    <w:p>
      <w:pPr>
        <w:spacing w:before="156" w:beforeLines="50" w:after="312" w:afterLines="100"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（一）投标人基本情况表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p>
        </w:tc>
        <w:tc>
          <w:tcPr>
            <w:tcW w:w="7020"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注册地址</w:t>
            </w:r>
          </w:p>
        </w:tc>
        <w:tc>
          <w:tcPr>
            <w:tcW w:w="3389" w:type="dxa"/>
            <w:gridSpan w:val="5"/>
            <w:noWrap w:val="0"/>
            <w:vAlign w:val="center"/>
          </w:tcPr>
          <w:p>
            <w:pPr>
              <w:jc w:val="center"/>
              <w:rPr>
                <w:rFonts w:hint="eastAsia" w:asciiTheme="minorEastAsia" w:hAnsiTheme="minorEastAsia" w:eastAsiaTheme="minorEastAsia" w:cstheme="minorEastAsia"/>
                <w:color w:val="auto"/>
                <w:szCs w:val="21"/>
                <w:highlight w:val="none"/>
              </w:rPr>
            </w:pPr>
          </w:p>
        </w:tc>
        <w:tc>
          <w:tcPr>
            <w:tcW w:w="124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2385"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2492" w:type="dxa"/>
            <w:gridSpan w:val="4"/>
            <w:noWrap w:val="0"/>
            <w:vAlign w:val="center"/>
          </w:tcPr>
          <w:p>
            <w:pPr>
              <w:jc w:val="center"/>
              <w:rPr>
                <w:rFonts w:hint="eastAsia" w:asciiTheme="minorEastAsia" w:hAnsiTheme="minorEastAsia" w:eastAsiaTheme="minorEastAsia" w:cstheme="minorEastAsia"/>
                <w:color w:val="auto"/>
                <w:szCs w:val="21"/>
                <w:highlight w:val="none"/>
              </w:rPr>
            </w:pPr>
          </w:p>
        </w:tc>
        <w:tc>
          <w:tcPr>
            <w:tcW w:w="124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c>
          <w:tcPr>
            <w:tcW w:w="2385"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pPr>
              <w:rPr>
                <w:rFonts w:hint="eastAsia" w:asciiTheme="minorEastAsia" w:hAnsiTheme="minorEastAsia" w:eastAsiaTheme="minorEastAsia" w:cstheme="minorEastAsia"/>
                <w:color w:val="auto"/>
                <w:highlight w:val="none"/>
              </w:rPr>
            </w:pP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p>
        </w:tc>
        <w:tc>
          <w:tcPr>
            <w:tcW w:w="2492" w:type="dxa"/>
            <w:gridSpan w:val="4"/>
            <w:noWrap w:val="0"/>
            <w:vAlign w:val="center"/>
          </w:tcPr>
          <w:p>
            <w:pPr>
              <w:jc w:val="center"/>
              <w:rPr>
                <w:rFonts w:hint="eastAsia" w:asciiTheme="minorEastAsia" w:hAnsiTheme="minorEastAsia" w:eastAsiaTheme="minorEastAsia" w:cstheme="minorEastAsia"/>
                <w:color w:val="auto"/>
                <w:szCs w:val="21"/>
                <w:highlight w:val="none"/>
              </w:rPr>
            </w:pPr>
          </w:p>
        </w:tc>
        <w:tc>
          <w:tcPr>
            <w:tcW w:w="124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  址</w:t>
            </w:r>
          </w:p>
        </w:tc>
        <w:tc>
          <w:tcPr>
            <w:tcW w:w="2385"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组织结构</w:t>
            </w:r>
          </w:p>
        </w:tc>
        <w:tc>
          <w:tcPr>
            <w:tcW w:w="7020"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21"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6" w:type="dxa"/>
            <w:gridSpan w:val="2"/>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701"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c>
          <w:tcPr>
            <w:tcW w:w="709"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4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21"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6" w:type="dxa"/>
            <w:gridSpan w:val="2"/>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701"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c>
          <w:tcPr>
            <w:tcW w:w="709"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4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p>
        </w:tc>
        <w:tc>
          <w:tcPr>
            <w:tcW w:w="1918"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c>
          <w:tcPr>
            <w:tcW w:w="5102" w:type="dxa"/>
            <w:gridSpan w:val="7"/>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企业资质等级</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21"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993" w:type="dxa"/>
            <w:vMerge w:val="restart"/>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tc>
        <w:tc>
          <w:tcPr>
            <w:tcW w:w="1984"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2125"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营业执照号</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21"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993" w:type="dxa"/>
            <w:vMerge w:val="continue"/>
            <w:noWrap w:val="0"/>
            <w:vAlign w:val="center"/>
          </w:tcPr>
          <w:p>
            <w:pPr>
              <w:rPr>
                <w:rFonts w:hint="eastAsia" w:asciiTheme="minorEastAsia" w:hAnsiTheme="minorEastAsia" w:eastAsiaTheme="minorEastAsia" w:cstheme="minorEastAsia"/>
                <w:color w:val="auto"/>
                <w:highlight w:val="none"/>
              </w:rPr>
            </w:pPr>
          </w:p>
        </w:tc>
        <w:tc>
          <w:tcPr>
            <w:tcW w:w="1984"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高级职称人员</w:t>
            </w:r>
          </w:p>
        </w:tc>
        <w:tc>
          <w:tcPr>
            <w:tcW w:w="2125"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注册资金</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21"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993" w:type="dxa"/>
            <w:vMerge w:val="continue"/>
            <w:noWrap w:val="0"/>
            <w:vAlign w:val="center"/>
          </w:tcPr>
          <w:p>
            <w:pPr>
              <w:rPr>
                <w:rFonts w:hint="eastAsia" w:asciiTheme="minorEastAsia" w:hAnsiTheme="minorEastAsia" w:eastAsiaTheme="minorEastAsia" w:cstheme="minorEastAsia"/>
                <w:color w:val="auto"/>
                <w:highlight w:val="none"/>
              </w:rPr>
            </w:pPr>
          </w:p>
        </w:tc>
        <w:tc>
          <w:tcPr>
            <w:tcW w:w="1984"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中级职称人员</w:t>
            </w:r>
          </w:p>
        </w:tc>
        <w:tc>
          <w:tcPr>
            <w:tcW w:w="2125"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21"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993" w:type="dxa"/>
            <w:vMerge w:val="continue"/>
            <w:noWrap w:val="0"/>
            <w:vAlign w:val="center"/>
          </w:tcPr>
          <w:p>
            <w:pPr>
              <w:rPr>
                <w:rFonts w:hint="eastAsia" w:asciiTheme="minorEastAsia" w:hAnsiTheme="minorEastAsia" w:eastAsiaTheme="minorEastAsia" w:cstheme="minorEastAsia"/>
                <w:color w:val="auto"/>
                <w:highlight w:val="none"/>
              </w:rPr>
            </w:pPr>
          </w:p>
        </w:tc>
        <w:tc>
          <w:tcPr>
            <w:tcW w:w="1984"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初级职称人员</w:t>
            </w:r>
          </w:p>
        </w:tc>
        <w:tc>
          <w:tcPr>
            <w:tcW w:w="2125"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021"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993" w:type="dxa"/>
            <w:vMerge w:val="continue"/>
            <w:noWrap w:val="0"/>
            <w:vAlign w:val="center"/>
          </w:tcPr>
          <w:p>
            <w:pPr>
              <w:rPr>
                <w:rFonts w:hint="eastAsia" w:asciiTheme="minorEastAsia" w:hAnsiTheme="minorEastAsia" w:eastAsiaTheme="minorEastAsia" w:cstheme="minorEastAsia"/>
                <w:color w:val="auto"/>
                <w:highlight w:val="none"/>
              </w:rPr>
            </w:pPr>
          </w:p>
        </w:tc>
        <w:tc>
          <w:tcPr>
            <w:tcW w:w="1984"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  工</w:t>
            </w:r>
          </w:p>
        </w:tc>
        <w:tc>
          <w:tcPr>
            <w:tcW w:w="2125"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经营范围</w:t>
            </w:r>
          </w:p>
        </w:tc>
        <w:tc>
          <w:tcPr>
            <w:tcW w:w="7020"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7020"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bl>
    <w:p>
      <w:pPr>
        <w:topLinePunct/>
        <w:spacing w:line="4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备注：本表后应附</w:t>
      </w:r>
      <w:r>
        <w:rPr>
          <w:rFonts w:hint="eastAsia" w:asciiTheme="minorEastAsia" w:hAnsiTheme="minorEastAsia" w:eastAsiaTheme="minorEastAsia" w:cstheme="minorEastAsia"/>
          <w:b/>
          <w:color w:val="auto"/>
          <w:szCs w:val="21"/>
          <w:highlight w:val="none"/>
          <w:lang w:val="en-US" w:eastAsia="zh-CN"/>
        </w:rPr>
        <w:t>合格有效的</w:t>
      </w:r>
      <w:r>
        <w:rPr>
          <w:rFonts w:hint="eastAsia" w:asciiTheme="minorEastAsia" w:hAnsiTheme="minorEastAsia" w:eastAsiaTheme="minorEastAsia" w:cstheme="minorEastAsia"/>
          <w:b/>
          <w:color w:val="auto"/>
          <w:szCs w:val="21"/>
          <w:highlight w:val="none"/>
        </w:rPr>
        <w:t>企业法人营业执照、企业资质证书、安全生产许可证等材料的复印件。</w:t>
      </w:r>
    </w:p>
    <w:p>
      <w:pPr>
        <w:pStyle w:val="32"/>
        <w:rPr>
          <w:rFonts w:hint="eastAsia" w:asciiTheme="minorEastAsia" w:hAnsiTheme="minorEastAsia" w:eastAsiaTheme="minorEastAsia" w:cstheme="minorEastAsia"/>
          <w:color w:val="auto"/>
          <w:sz w:val="21"/>
          <w:szCs w:val="21"/>
          <w:highlight w:val="none"/>
          <w:u w:val="none"/>
        </w:rPr>
      </w:pPr>
    </w:p>
    <w:p>
      <w:pPr>
        <w:pStyle w:val="32"/>
        <w:rPr>
          <w:rFonts w:hint="eastAsia" w:asciiTheme="minorEastAsia" w:hAnsiTheme="minorEastAsia" w:eastAsiaTheme="minorEastAsia" w:cstheme="minorEastAsia"/>
          <w:color w:val="auto"/>
          <w:sz w:val="21"/>
          <w:szCs w:val="21"/>
          <w:highlight w:val="none"/>
          <w:u w:val="none"/>
        </w:rPr>
      </w:pPr>
    </w:p>
    <w:p>
      <w:pPr>
        <w:pStyle w:val="32"/>
        <w:rPr>
          <w:rFonts w:hint="eastAsia" w:asciiTheme="minorEastAsia" w:hAnsiTheme="minorEastAsia" w:eastAsiaTheme="minorEastAsia" w:cstheme="minorEastAsia"/>
          <w:color w:val="auto"/>
          <w:sz w:val="21"/>
          <w:szCs w:val="21"/>
          <w:highlight w:val="none"/>
          <w:u w:val="none"/>
        </w:rPr>
        <w:sectPr>
          <w:footerReference r:id="rId5" w:type="default"/>
          <w:pgSz w:w="11906" w:h="16838"/>
          <w:pgMar w:top="1440" w:right="1080" w:bottom="1440" w:left="1080" w:header="851" w:footer="992" w:gutter="0"/>
          <w:pgNumType w:fmt="decimal" w:start="1"/>
          <w:cols w:space="720" w:num="1"/>
          <w:docGrid w:type="linesAndChars" w:linePitch="312" w:charSpace="0"/>
        </w:sectPr>
      </w:pPr>
    </w:p>
    <w:p>
      <w:pPr>
        <w:pStyle w:val="32"/>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（二）近年财务状况表</w:t>
      </w:r>
    </w:p>
    <w:p>
      <w:pPr>
        <w:spacing w:before="156" w:beforeLines="50" w:after="156" w:afterLines="50" w:line="44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提供2021年或2022年度的财务审计报告（注册成立未满一年新公司提供银行资信证明）。</w:t>
      </w:r>
    </w:p>
    <w:p>
      <w:pPr>
        <w:spacing w:before="156" w:beforeLines="50" w:after="156" w:afterLines="50" w:line="440" w:lineRule="exact"/>
        <w:ind w:firstLine="420" w:firstLineChars="200"/>
        <w:jc w:val="center"/>
        <w:rPr>
          <w:rFonts w:hint="eastAsia" w:asciiTheme="minorEastAsia" w:hAnsiTheme="minorEastAsia" w:eastAsiaTheme="minorEastAsia" w:cstheme="minorEastAsia"/>
          <w:color w:val="auto"/>
          <w:szCs w:val="21"/>
          <w:highlight w:val="yellow"/>
        </w:rPr>
      </w:pPr>
    </w:p>
    <w:p>
      <w:pPr>
        <w:spacing w:before="156" w:beforeLines="50" w:after="156" w:afterLines="50" w:line="440" w:lineRule="exact"/>
        <w:ind w:firstLine="420" w:firstLineChars="2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yellow"/>
        </w:rPr>
        <w:br w:type="page"/>
      </w:r>
      <w:r>
        <w:rPr>
          <w:rFonts w:hint="eastAsia" w:asciiTheme="minorEastAsia" w:hAnsiTheme="minorEastAsia" w:eastAsiaTheme="minorEastAsia" w:cstheme="minorEastAsia"/>
          <w:color w:val="auto"/>
          <w:szCs w:val="21"/>
          <w:highlight w:val="none"/>
        </w:rPr>
        <w:t>（三）近</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项目所在地</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发包人名称</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发包人地址</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发包人联系人及电话</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合同价格</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开工日期</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竣工日期</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承担的工作</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总监理工程师及电话</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项目描述</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6116" w:type="dxa"/>
            <w:noWrap w:val="0"/>
            <w:vAlign w:val="center"/>
          </w:tcPr>
          <w:p>
            <w:pPr>
              <w:jc w:val="center"/>
              <w:rPr>
                <w:rFonts w:hint="eastAsia" w:asciiTheme="minorEastAsia" w:hAnsiTheme="minorEastAsia" w:eastAsiaTheme="minorEastAsia" w:cstheme="minorEastAsia"/>
                <w:color w:val="auto"/>
                <w:szCs w:val="21"/>
                <w:highlight w:val="none"/>
              </w:rPr>
            </w:pPr>
          </w:p>
        </w:tc>
      </w:tr>
    </w:tbl>
    <w:p>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备注：1、类似项目指</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Cs w:val="21"/>
          <w:highlight w:val="none"/>
          <w:u w:val="single"/>
        </w:rPr>
        <w:t>规模、使用功能相似</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工程。</w:t>
      </w:r>
    </w:p>
    <w:p>
      <w:pPr>
        <w:spacing w:line="440" w:lineRule="exact"/>
        <w:ind w:firstLine="630" w:firstLine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2、本表后附中标通知书、合同协议书的复印件，具体年份要求见投标人须知</w:t>
      </w:r>
      <w:r>
        <w:rPr>
          <w:rFonts w:hint="eastAsia" w:asciiTheme="minorEastAsia" w:hAnsiTheme="minorEastAsia" w:eastAsiaTheme="minorEastAsia" w:cstheme="minorEastAsia"/>
          <w:color w:val="auto"/>
          <w:highlight w:val="none"/>
          <w:lang w:eastAsia="zh-CN"/>
        </w:rPr>
        <w:t>资料表</w:t>
      </w:r>
      <w:r>
        <w:rPr>
          <w:rFonts w:hint="eastAsia" w:asciiTheme="minorEastAsia" w:hAnsiTheme="minorEastAsia" w:eastAsiaTheme="minorEastAsia" w:cstheme="minorEastAsia"/>
          <w:color w:val="auto"/>
          <w:highlight w:val="none"/>
        </w:rPr>
        <w:t>。每张表格只填写一个项目，并标明序号。</w:t>
      </w:r>
    </w:p>
    <w:p>
      <w:pPr>
        <w:pStyle w:val="3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br w:type="page"/>
      </w:r>
      <w:r>
        <w:rPr>
          <w:rFonts w:hint="eastAsia" w:asciiTheme="minorEastAsia" w:hAnsiTheme="minorEastAsia" w:eastAsiaTheme="minorEastAsia" w:cstheme="minorEastAsia"/>
          <w:color w:val="auto"/>
          <w:sz w:val="21"/>
          <w:szCs w:val="21"/>
          <w:highlight w:val="none"/>
          <w:u w:val="none"/>
        </w:rPr>
        <w:t>（四）正在施工的和新承接的项目情况表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项目所在地</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发包人名称</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发包人地址</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发包人电话</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签约合同价</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开工日期</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计划竣工日期</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承担的工作</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总监理工程师及电话</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项目描述</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6095" w:type="dxa"/>
            <w:noWrap w:val="0"/>
            <w:vAlign w:val="center"/>
          </w:tcPr>
          <w:p>
            <w:pPr>
              <w:jc w:val="center"/>
              <w:rPr>
                <w:rFonts w:hint="eastAsia" w:asciiTheme="minorEastAsia" w:hAnsiTheme="minorEastAsia" w:eastAsiaTheme="minorEastAsia" w:cstheme="minorEastAsia"/>
                <w:color w:val="auto"/>
                <w:szCs w:val="21"/>
                <w:highlight w:val="none"/>
              </w:rPr>
            </w:pPr>
          </w:p>
        </w:tc>
      </w:tr>
    </w:tbl>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备注：本表后附中标通知书和合同协议书复印件。每张表格只填写一个项目，并标明序号。</w:t>
      </w: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pStyle w:val="32"/>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（五）近</w:t>
      </w:r>
      <w:r>
        <w:rPr>
          <w:rFonts w:hint="eastAsia" w:asciiTheme="minorEastAsia" w:hAnsiTheme="minorEastAsia" w:eastAsiaTheme="minorEastAsia" w:cstheme="minorEastAsia"/>
          <w:color w:val="auto"/>
          <w:sz w:val="21"/>
          <w:szCs w:val="21"/>
          <w:highlight w:val="none"/>
          <w:u w:val="none"/>
          <w:lang w:val="en-US" w:eastAsia="zh-CN"/>
        </w:rPr>
        <w:t>3年</w:t>
      </w:r>
      <w:r>
        <w:rPr>
          <w:rFonts w:hint="eastAsia" w:asciiTheme="minorEastAsia" w:hAnsiTheme="minorEastAsia" w:eastAsiaTheme="minorEastAsia" w:cstheme="minorEastAsia"/>
          <w:color w:val="auto"/>
          <w:sz w:val="21"/>
          <w:szCs w:val="21"/>
          <w:highlight w:val="none"/>
          <w:u w:val="none"/>
        </w:rPr>
        <w:t>发生的诉讼及仲裁情况</w:t>
      </w:r>
    </w:p>
    <w:p>
      <w:pPr>
        <w:spacing w:line="440" w:lineRule="exact"/>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说明：近年发生的诉讼和仲裁情况仅限于投标人败诉的，且与履行施工承包合同有关的案件，不包括调解结案以及未裁决的仲裁或未终审判决的诉讼。</w:t>
      </w: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before="156" w:beforeLines="50" w:after="156" w:afterLines="50" w:line="440" w:lineRule="exact"/>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（六）企业其他信誉情况表</w:t>
      </w:r>
    </w:p>
    <w:p>
      <w:pPr>
        <w:spacing w:before="156" w:beforeLines="50" w:after="156" w:afterLines="50" w:line="440" w:lineRule="exact"/>
        <w:ind w:left="630" w:hanging="630" w:hangingChars="30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（年份要求同诉讼及仲裁情况年份要求）</w:t>
      </w:r>
    </w:p>
    <w:p>
      <w:pPr>
        <w:spacing w:before="156" w:beforeLines="50" w:after="156" w:afterLines="50" w:line="440" w:lineRule="exact"/>
        <w:ind w:left="630" w:hanging="630" w:hangingChars="300"/>
        <w:jc w:val="center"/>
        <w:rPr>
          <w:rFonts w:hint="eastAsia" w:asciiTheme="minorEastAsia" w:hAnsiTheme="minorEastAsia" w:eastAsiaTheme="minorEastAsia" w:cstheme="minorEastAsia"/>
          <w:b/>
          <w:color w:val="auto"/>
          <w:szCs w:val="21"/>
          <w:highlight w:val="none"/>
        </w:rPr>
      </w:pPr>
    </w:p>
    <w:p>
      <w:pPr>
        <w:spacing w:line="440" w:lineRule="exact"/>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近年企业不良行为记录情况</w:t>
      </w:r>
    </w:p>
    <w:p>
      <w:pPr>
        <w:spacing w:line="440" w:lineRule="exact"/>
        <w:ind w:left="630" w:hanging="630" w:hangingChars="300"/>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在施工程以及近年已竣工工程合同履行情况</w:t>
      </w:r>
    </w:p>
    <w:p>
      <w:pPr>
        <w:spacing w:line="440" w:lineRule="exact"/>
        <w:ind w:left="630" w:hanging="630" w:hangingChars="300"/>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numPr>
          <w:ilvl w:val="0"/>
          <w:numId w:val="14"/>
        </w:numPr>
        <w:spacing w:line="440" w:lineRule="exact"/>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  他</w:t>
      </w:r>
    </w:p>
    <w:p>
      <w:pPr>
        <w:spacing w:line="440" w:lineRule="exact"/>
        <w:rPr>
          <w:rFonts w:hint="eastAsia" w:asciiTheme="minorEastAsia" w:hAnsiTheme="minorEastAsia" w:eastAsiaTheme="minorEastAsia" w:cstheme="minorEastAsia"/>
          <w:color w:val="auto"/>
          <w:szCs w:val="21"/>
          <w:highlight w:val="none"/>
        </w:rPr>
      </w:pPr>
    </w:p>
    <w:p>
      <w:pPr>
        <w:spacing w:line="440" w:lineRule="exact"/>
        <w:rPr>
          <w:rFonts w:hint="eastAsia" w:asciiTheme="minorEastAsia" w:hAnsiTheme="minorEastAsia" w:eastAsiaTheme="minorEastAsia" w:cstheme="minorEastAsia"/>
          <w:color w:val="auto"/>
          <w:szCs w:val="21"/>
          <w:highlight w:val="none"/>
        </w:rPr>
      </w:pPr>
    </w:p>
    <w:p>
      <w:pPr>
        <w:spacing w:line="440" w:lineRule="exact"/>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pPr>
        <w:spacing w:line="440" w:lineRule="exact"/>
        <w:ind w:left="630" w:leftChars="200" w:hanging="210" w:hangingChars="1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投标人自行对信誉良好，没有处于被责令停业、投标资格被取消、财产被接管、冻结、破产状态，</w:t>
      </w:r>
    </w:p>
    <w:p>
      <w:pPr>
        <w:spacing w:line="440" w:lineRule="exact"/>
        <w:ind w:left="630" w:hanging="630" w:hangingChars="3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最近三年内没有骗取中标和严重违约的记录，未因不良记录被建设行政主管部门或财政部门暂停或取消资</w:t>
      </w:r>
    </w:p>
    <w:p>
      <w:pPr>
        <w:spacing w:line="440" w:lineRule="exact"/>
        <w:ind w:left="630" w:hanging="630" w:hangingChars="300"/>
        <w:rPr>
          <w:rFonts w:hint="eastAsia" w:asciiTheme="minorEastAsia" w:hAnsiTheme="minorEastAsia" w:eastAsiaTheme="minorEastAsia" w:cstheme="minorEastAsia"/>
          <w:b w:val="0"/>
          <w:bCs w:val="0"/>
          <w:color w:val="auto"/>
          <w:szCs w:val="21"/>
          <w:highlight w:val="none"/>
          <w:u w:val="none"/>
        </w:rPr>
      </w:pPr>
      <w:r>
        <w:rPr>
          <w:rFonts w:hint="eastAsia" w:asciiTheme="minorEastAsia" w:hAnsiTheme="minorEastAsia" w:eastAsiaTheme="minorEastAsia" w:cstheme="minorEastAsia"/>
          <w:color w:val="auto"/>
          <w:szCs w:val="21"/>
          <w:highlight w:val="none"/>
          <w:lang w:val="en-US" w:eastAsia="zh-CN"/>
        </w:rPr>
        <w:t>格进</w:t>
      </w:r>
      <w:r>
        <w:rPr>
          <w:rFonts w:hint="eastAsia" w:asciiTheme="minorEastAsia" w:hAnsiTheme="minorEastAsia" w:eastAsiaTheme="minorEastAsia" w:cstheme="minorEastAsia"/>
          <w:b w:val="0"/>
          <w:bCs w:val="0"/>
          <w:color w:val="auto"/>
          <w:szCs w:val="21"/>
          <w:highlight w:val="none"/>
          <w:lang w:val="en-US" w:eastAsia="zh-CN"/>
        </w:rPr>
        <w:t>行说明</w:t>
      </w:r>
      <w:r>
        <w:rPr>
          <w:rFonts w:hint="eastAsia" w:asciiTheme="minorEastAsia" w:hAnsiTheme="minorEastAsia" w:eastAsiaTheme="minorEastAsia" w:cstheme="minorEastAsia"/>
          <w:b w:val="0"/>
          <w:bCs w:val="0"/>
          <w:color w:val="auto"/>
          <w:szCs w:val="21"/>
          <w:highlight w:val="none"/>
          <w:u w:val="none"/>
          <w:lang w:val="en-US" w:eastAsia="zh-CN"/>
        </w:rPr>
        <w:t>或承诺，格式不限。</w:t>
      </w:r>
    </w:p>
    <w:p>
      <w:pPr>
        <w:numPr>
          <w:ilvl w:val="0"/>
          <w:numId w:val="0"/>
        </w:numPr>
        <w:spacing w:line="440" w:lineRule="exact"/>
        <w:ind w:left="-10" w:leftChars="0" w:firstLine="428" w:firstLineChars="204"/>
        <w:rPr>
          <w:rFonts w:hint="eastAsia" w:asciiTheme="minorEastAsia" w:hAnsiTheme="minorEastAsia" w:eastAsiaTheme="minorEastAsia" w:cstheme="minorEastAsia"/>
          <w:b w:val="0"/>
          <w:bCs w:val="0"/>
          <w:color w:val="auto"/>
          <w:szCs w:val="21"/>
          <w:highlight w:val="none"/>
          <w:u w:val="none"/>
        </w:rPr>
      </w:pPr>
      <w:r>
        <w:rPr>
          <w:rFonts w:hint="eastAsia" w:asciiTheme="minorEastAsia" w:hAnsiTheme="minorEastAsia" w:eastAsiaTheme="minorEastAsia" w:cstheme="minorEastAsia"/>
          <w:b w:val="0"/>
          <w:bCs w:val="0"/>
          <w:color w:val="auto"/>
          <w:szCs w:val="21"/>
          <w:highlight w:val="none"/>
          <w:u w:val="none"/>
          <w:lang w:val="en-US" w:eastAsia="zh-CN"/>
        </w:rPr>
        <w:t>2、投标人在“信用中国”网站未被列入失信被执行人、重大税收违法案件当事人名单，在中国政府采网未被列入政府采购严重违法失信行为记录名单及新疆政府采购网未被列入严重违法失信行为信息记录及在国家企业信用信息公示系统未被列入严重违法失信企业名单、重大税收违法案件当事人名单。提供上述网页截图打印（打印日期需在公告发布之日起至投标截止时间止）并加盖公章。</w:t>
      </w:r>
    </w:p>
    <w:p>
      <w:pPr>
        <w:spacing w:line="440" w:lineRule="exact"/>
        <w:rPr>
          <w:rFonts w:hint="eastAsia" w:asciiTheme="minorEastAsia" w:hAnsiTheme="minorEastAsia" w:eastAsiaTheme="minorEastAsia" w:cstheme="minorEastAsia"/>
          <w:b w:val="0"/>
          <w:bCs w:val="0"/>
          <w:color w:val="auto"/>
          <w:szCs w:val="21"/>
          <w:highlight w:val="none"/>
        </w:rPr>
      </w:pPr>
    </w:p>
    <w:p>
      <w:pPr>
        <w:rPr>
          <w:rFonts w:hint="eastAsia" w:asciiTheme="minorEastAsia" w:hAnsiTheme="minorEastAsia" w:eastAsiaTheme="minorEastAsia" w:cstheme="minorEastAsia"/>
          <w:color w:val="auto"/>
          <w:highlight w:val="none"/>
        </w:rPr>
        <w:sectPr>
          <w:pgSz w:w="11906" w:h="16838"/>
          <w:pgMar w:top="1440" w:right="1080" w:bottom="1440" w:left="1080" w:header="851" w:footer="992" w:gutter="0"/>
          <w:pgNumType w:fmt="decimal" w:start="1"/>
          <w:cols w:space="720" w:num="1"/>
          <w:docGrid w:type="linesAndChars" w:linePitch="312" w:charSpace="0"/>
        </w:sectPr>
      </w:pPr>
    </w:p>
    <w:p>
      <w:pPr>
        <w:pStyle w:val="33"/>
        <w:spacing w:line="400" w:lineRule="exact"/>
        <w:ind w:left="0" w:leftChars="0" w:firstLine="0" w:firstLineChars="0"/>
        <w:jc w:val="center"/>
        <w:rPr>
          <w:rFonts w:hint="eastAsia" w:asciiTheme="minorEastAsia" w:hAnsiTheme="minorEastAsia" w:eastAsiaTheme="minorEastAsia" w:cstheme="minorEastAsia"/>
          <w:b/>
          <w:bCs/>
          <w:color w:val="auto"/>
          <w:sz w:val="24"/>
          <w:highlight w:val="none"/>
        </w:rPr>
      </w:pPr>
      <w:bookmarkStart w:id="336" w:name="_Toc3716"/>
      <w:bookmarkStart w:id="337" w:name="_Toc518923111"/>
      <w:bookmarkStart w:id="338" w:name="_Toc1473"/>
      <w:bookmarkStart w:id="339" w:name="_Toc1351"/>
      <w:bookmarkStart w:id="340" w:name="_Toc12319"/>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《中小企业声明函》</w:t>
      </w:r>
    </w:p>
    <w:p>
      <w:pPr>
        <w:spacing w:line="240" w:lineRule="atLeast"/>
        <w:ind w:left="1080" w:leftChars="257" w:hanging="540"/>
        <w:jc w:val="center"/>
        <w:rPr>
          <w:rFonts w:hint="eastAsia" w:asciiTheme="minorEastAsia" w:hAnsiTheme="minorEastAsia" w:eastAsiaTheme="minorEastAsia" w:cstheme="minorEastAsia"/>
          <w:b/>
          <w:color w:val="auto"/>
          <w:kern w:val="0"/>
          <w:sz w:val="24"/>
          <w:szCs w:val="20"/>
          <w:highlight w:val="none"/>
        </w:rPr>
      </w:pPr>
    </w:p>
    <w:p>
      <w:pPr>
        <w:widowControl/>
        <w:spacing w:before="100" w:beforeAutospacing="1" w:after="100" w:afterAutospacing="1" w:line="330" w:lineRule="atLeast"/>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0"/>
          <w:sz w:val="24"/>
          <w:highlight w:val="none"/>
          <w:u w:val="single"/>
        </w:rPr>
        <w:t>（单位名称）</w:t>
      </w:r>
      <w:r>
        <w:rPr>
          <w:rFonts w:hint="eastAsia" w:asciiTheme="minorEastAsia" w:hAnsiTheme="minorEastAsia" w:eastAsiaTheme="minorEastAsia" w:cstheme="minorEastAsia"/>
          <w:color w:val="auto"/>
          <w:kern w:val="0"/>
          <w:sz w:val="24"/>
          <w:highlight w:val="none"/>
        </w:rPr>
        <w:t>的</w:t>
      </w:r>
      <w:r>
        <w:rPr>
          <w:rFonts w:hint="eastAsia" w:asciiTheme="minorEastAsia" w:hAnsiTheme="minorEastAsia" w:eastAsiaTheme="minorEastAsia" w:cstheme="minorEastAsia"/>
          <w:color w:val="auto"/>
          <w:kern w:val="0"/>
          <w:sz w:val="24"/>
          <w:highlight w:val="none"/>
          <w:u w:val="single"/>
        </w:rPr>
        <w:t>（项目名称）</w:t>
      </w:r>
      <w:r>
        <w:rPr>
          <w:rFonts w:hint="eastAsia" w:asciiTheme="minorEastAsia" w:hAnsiTheme="minorEastAsia" w:eastAsiaTheme="minorEastAsia" w:cstheme="minorEastAsia"/>
          <w:color w:val="auto"/>
          <w:kern w:val="0"/>
          <w:sz w:val="24"/>
          <w:highlight w:val="none"/>
        </w:rPr>
        <w:t>采购活动，工程的施工单位全部为符合政策要求的中小企业。相关企业（含联合体中的中小企业、签订分包意向协议的中小企业）的具体情况如</w:t>
      </w:r>
      <w:r>
        <w:rPr>
          <w:rFonts w:hint="eastAsia" w:asciiTheme="minorEastAsia" w:hAnsiTheme="minorEastAsia" w:eastAsiaTheme="minorEastAsia" w:cstheme="minorEastAsia"/>
          <w:color w:val="auto"/>
          <w:kern w:val="0"/>
          <w:sz w:val="24"/>
          <w:highlight w:val="none"/>
          <w:lang w:val="en-US" w:eastAsia="zh-CN"/>
        </w:rPr>
        <w:t>下：</w:t>
      </w:r>
    </w:p>
    <w:p>
      <w:pPr>
        <w:widowControl/>
        <w:numPr>
          <w:ilvl w:val="0"/>
          <w:numId w:val="0"/>
        </w:numPr>
        <w:spacing w:before="100" w:beforeAutospacing="1" w:after="100" w:afterAutospacing="1" w:line="330" w:lineRule="atLeast"/>
        <w:ind w:firstLine="480" w:firstLineChars="200"/>
        <w:jc w:val="left"/>
        <w:rPr>
          <w:rFonts w:hint="eastAsia" w:asciiTheme="minorEastAsia" w:hAnsiTheme="minorEastAsia" w:eastAsiaTheme="minorEastAsia" w:cstheme="minorEastAsia"/>
          <w:b w:val="0"/>
          <w:bCs w:val="0"/>
          <w:color w:val="auto"/>
          <w:kern w:val="0"/>
          <w:sz w:val="24"/>
          <w:highlight w:val="none"/>
          <w:u w:val="none"/>
          <w:lang w:val="en-US" w:eastAsia="zh-CN"/>
        </w:rPr>
      </w:pPr>
      <w:r>
        <w:rPr>
          <w:rFonts w:hint="eastAsia" w:asciiTheme="minorEastAsia" w:hAnsiTheme="minorEastAsia" w:eastAsiaTheme="minorEastAsia" w:cstheme="minorEastAsia"/>
          <w:b w:val="0"/>
          <w:bCs w:val="0"/>
          <w:color w:val="auto"/>
          <w:kern w:val="0"/>
          <w:sz w:val="24"/>
          <w:highlight w:val="none"/>
          <w:u w:val="none"/>
          <w:lang w:val="en-US" w:eastAsia="zh-CN"/>
        </w:rPr>
        <w:t>1.</w:t>
      </w:r>
      <w:r>
        <w:rPr>
          <w:rFonts w:hint="eastAsia" w:asciiTheme="minorEastAsia" w:hAnsiTheme="minorEastAsia" w:eastAsiaTheme="minorEastAsia" w:cstheme="minorEastAsia"/>
          <w:b w:val="0"/>
          <w:bCs w:val="0"/>
          <w:color w:val="auto"/>
          <w:kern w:val="0"/>
          <w:sz w:val="24"/>
          <w:highlight w:val="none"/>
          <w:u w:val="single"/>
          <w:lang w:val="en-US" w:eastAsia="zh-CN"/>
        </w:rPr>
        <w:t xml:space="preserve">（标的名称） </w:t>
      </w:r>
      <w:r>
        <w:rPr>
          <w:rFonts w:hint="eastAsia" w:asciiTheme="minorEastAsia" w:hAnsiTheme="minorEastAsia" w:eastAsiaTheme="minorEastAsia" w:cstheme="minorEastAsia"/>
          <w:b w:val="0"/>
          <w:bCs w:val="0"/>
          <w:color w:val="auto"/>
          <w:kern w:val="0"/>
          <w:sz w:val="24"/>
          <w:highlight w:val="none"/>
          <w:u w:val="none"/>
          <w:lang w:val="en-US" w:eastAsia="zh-CN"/>
        </w:rPr>
        <w:t>，属于</w:t>
      </w:r>
      <w:r>
        <w:rPr>
          <w:rFonts w:hint="eastAsia" w:asciiTheme="minorEastAsia" w:hAnsiTheme="minorEastAsia" w:eastAsiaTheme="minorEastAsia" w:cstheme="minorEastAsia"/>
          <w:b w:val="0"/>
          <w:bCs w:val="0"/>
          <w:color w:val="auto"/>
          <w:kern w:val="0"/>
          <w:sz w:val="24"/>
          <w:highlight w:val="none"/>
          <w:u w:val="single"/>
          <w:lang w:val="en-US" w:eastAsia="zh-CN"/>
        </w:rPr>
        <w:t>（采购文件中明确的所属行业）</w:t>
      </w:r>
      <w:r>
        <w:rPr>
          <w:rFonts w:hint="eastAsia" w:asciiTheme="minorEastAsia" w:hAnsiTheme="minorEastAsia" w:eastAsiaTheme="minorEastAsia" w:cstheme="minorEastAsia"/>
          <w:b w:val="0"/>
          <w:bCs w:val="0"/>
          <w:color w:val="auto"/>
          <w:kern w:val="0"/>
          <w:sz w:val="24"/>
          <w:highlight w:val="none"/>
          <w:u w:val="none"/>
          <w:lang w:val="en-US" w:eastAsia="zh-CN"/>
        </w:rPr>
        <w:t>行业；承建（承接）企业为</w:t>
      </w:r>
      <w:r>
        <w:rPr>
          <w:rFonts w:hint="eastAsia" w:asciiTheme="minorEastAsia" w:hAnsiTheme="minorEastAsia" w:eastAsiaTheme="minorEastAsia" w:cstheme="minorEastAsia"/>
          <w:b w:val="0"/>
          <w:bCs w:val="0"/>
          <w:color w:val="auto"/>
          <w:kern w:val="0"/>
          <w:sz w:val="24"/>
          <w:highlight w:val="none"/>
          <w:u w:val="single"/>
          <w:lang w:val="en-US" w:eastAsia="zh-CN"/>
        </w:rPr>
        <w:t>（企业名称）</w:t>
      </w:r>
      <w:r>
        <w:rPr>
          <w:rFonts w:hint="eastAsia" w:asciiTheme="minorEastAsia" w:hAnsiTheme="minorEastAsia" w:eastAsiaTheme="minorEastAsia" w:cstheme="minorEastAsia"/>
          <w:b w:val="0"/>
          <w:bCs w:val="0"/>
          <w:color w:val="auto"/>
          <w:kern w:val="0"/>
          <w:sz w:val="24"/>
          <w:highlight w:val="none"/>
          <w:u w:val="none"/>
          <w:lang w:val="en-US" w:eastAsia="zh-CN"/>
        </w:rPr>
        <w:t>，从业人员</w:t>
      </w:r>
      <w:r>
        <w:rPr>
          <w:rFonts w:hint="eastAsia" w:asciiTheme="minorEastAsia" w:hAnsiTheme="minorEastAsia" w:eastAsiaTheme="minorEastAsia" w:cstheme="minorEastAsia"/>
          <w:b w:val="0"/>
          <w:bCs w:val="0"/>
          <w:color w:val="auto"/>
          <w:kern w:val="0"/>
          <w:sz w:val="24"/>
          <w:highlight w:val="none"/>
          <w:u w:val="single"/>
          <w:lang w:val="en-US" w:eastAsia="zh-CN"/>
        </w:rPr>
        <w:t xml:space="preserve">   </w:t>
      </w:r>
      <w:r>
        <w:rPr>
          <w:rFonts w:hint="eastAsia" w:asciiTheme="minorEastAsia" w:hAnsiTheme="minorEastAsia" w:eastAsiaTheme="minorEastAsia" w:cstheme="minorEastAsia"/>
          <w:b w:val="0"/>
          <w:bCs w:val="0"/>
          <w:color w:val="auto"/>
          <w:kern w:val="0"/>
          <w:sz w:val="24"/>
          <w:highlight w:val="none"/>
          <w:u w:val="none"/>
          <w:lang w:val="en-US" w:eastAsia="zh-CN"/>
        </w:rPr>
        <w:t>人，营业收入为</w:t>
      </w:r>
      <w:r>
        <w:rPr>
          <w:rFonts w:hint="eastAsia" w:asciiTheme="minorEastAsia" w:hAnsiTheme="minorEastAsia" w:eastAsiaTheme="minorEastAsia" w:cstheme="minorEastAsia"/>
          <w:b w:val="0"/>
          <w:bCs w:val="0"/>
          <w:color w:val="auto"/>
          <w:kern w:val="0"/>
          <w:sz w:val="24"/>
          <w:highlight w:val="none"/>
          <w:u w:val="single"/>
          <w:lang w:val="en-US" w:eastAsia="zh-CN"/>
        </w:rPr>
        <w:t xml:space="preserve">   </w:t>
      </w:r>
      <w:r>
        <w:rPr>
          <w:rFonts w:hint="eastAsia" w:asciiTheme="minorEastAsia" w:hAnsiTheme="minorEastAsia" w:eastAsiaTheme="minorEastAsia" w:cstheme="minorEastAsia"/>
          <w:b w:val="0"/>
          <w:bCs w:val="0"/>
          <w:color w:val="auto"/>
          <w:kern w:val="0"/>
          <w:sz w:val="24"/>
          <w:highlight w:val="none"/>
          <w:u w:val="none"/>
          <w:lang w:val="en-US" w:eastAsia="zh-CN"/>
        </w:rPr>
        <w:t>万元，资产总额为</w:t>
      </w:r>
      <w:r>
        <w:rPr>
          <w:rFonts w:hint="eastAsia" w:asciiTheme="minorEastAsia" w:hAnsiTheme="minorEastAsia" w:eastAsiaTheme="minorEastAsia" w:cstheme="minorEastAsia"/>
          <w:b w:val="0"/>
          <w:bCs w:val="0"/>
          <w:color w:val="auto"/>
          <w:kern w:val="0"/>
          <w:sz w:val="24"/>
          <w:highlight w:val="none"/>
          <w:u w:val="single"/>
          <w:lang w:val="en-US" w:eastAsia="zh-CN"/>
        </w:rPr>
        <w:t xml:space="preserve">   </w:t>
      </w:r>
      <w:r>
        <w:rPr>
          <w:rFonts w:hint="eastAsia" w:asciiTheme="minorEastAsia" w:hAnsiTheme="minorEastAsia" w:eastAsiaTheme="minorEastAsia" w:cstheme="minorEastAsia"/>
          <w:b w:val="0"/>
          <w:bCs w:val="0"/>
          <w:color w:val="auto"/>
          <w:kern w:val="0"/>
          <w:sz w:val="24"/>
          <w:highlight w:val="none"/>
          <w:u w:val="none"/>
          <w:lang w:val="en-US" w:eastAsia="zh-CN"/>
        </w:rPr>
        <w:t>万元</w:t>
      </w:r>
      <w:r>
        <w:rPr>
          <w:rFonts w:hint="eastAsia" w:asciiTheme="minorEastAsia" w:hAnsiTheme="minorEastAsia" w:eastAsiaTheme="minorEastAsia" w:cstheme="minorEastAsia"/>
          <w:b/>
          <w:bCs/>
          <w:color w:val="auto"/>
          <w:kern w:val="0"/>
          <w:sz w:val="28"/>
          <w:szCs w:val="28"/>
          <w:highlight w:val="none"/>
          <w:u w:val="none"/>
          <w:vertAlign w:val="superscript"/>
          <w:lang w:val="en-US" w:eastAsia="zh-CN"/>
        </w:rPr>
        <w:t>1</w:t>
      </w:r>
      <w:r>
        <w:rPr>
          <w:rFonts w:hint="eastAsia" w:asciiTheme="minorEastAsia" w:hAnsiTheme="minorEastAsia" w:eastAsiaTheme="minorEastAsia" w:cstheme="minorEastAsia"/>
          <w:b w:val="0"/>
          <w:bCs w:val="0"/>
          <w:color w:val="auto"/>
          <w:kern w:val="0"/>
          <w:sz w:val="24"/>
          <w:highlight w:val="none"/>
          <w:u w:val="none"/>
          <w:lang w:val="en-US" w:eastAsia="zh-CN"/>
        </w:rPr>
        <w:t>，属于</w:t>
      </w:r>
      <w:r>
        <w:rPr>
          <w:rFonts w:hint="eastAsia" w:asciiTheme="minorEastAsia" w:hAnsiTheme="minorEastAsia" w:eastAsiaTheme="minorEastAsia" w:cstheme="minorEastAsia"/>
          <w:b w:val="0"/>
          <w:bCs w:val="0"/>
          <w:color w:val="auto"/>
          <w:kern w:val="0"/>
          <w:sz w:val="24"/>
          <w:highlight w:val="none"/>
          <w:u w:val="single"/>
          <w:lang w:val="en-US" w:eastAsia="zh-CN"/>
        </w:rPr>
        <w:t>（中型企业、小型企业、微型企业）</w:t>
      </w:r>
      <w:r>
        <w:rPr>
          <w:rFonts w:hint="eastAsia" w:asciiTheme="minorEastAsia" w:hAnsiTheme="minorEastAsia" w:eastAsiaTheme="minorEastAsia" w:cstheme="minorEastAsia"/>
          <w:b w:val="0"/>
          <w:bCs w:val="0"/>
          <w:color w:val="auto"/>
          <w:kern w:val="0"/>
          <w:sz w:val="24"/>
          <w:highlight w:val="none"/>
          <w:u w:val="none"/>
          <w:lang w:val="en-US" w:eastAsia="zh-CN"/>
        </w:rPr>
        <w:t>；</w:t>
      </w:r>
    </w:p>
    <w:p>
      <w:pPr>
        <w:widowControl/>
        <w:numPr>
          <w:ilvl w:val="0"/>
          <w:numId w:val="0"/>
        </w:numPr>
        <w:spacing w:before="100" w:beforeAutospacing="1" w:after="100" w:afterAutospacing="1" w:line="330" w:lineRule="atLeast"/>
        <w:ind w:firstLine="480" w:firstLineChars="200"/>
        <w:jc w:val="left"/>
        <w:rPr>
          <w:rFonts w:hint="eastAsia" w:asciiTheme="minorEastAsia" w:hAnsiTheme="minorEastAsia" w:eastAsiaTheme="minorEastAsia" w:cstheme="minorEastAsia"/>
          <w:b w:val="0"/>
          <w:bCs w:val="0"/>
          <w:color w:val="auto"/>
          <w:kern w:val="0"/>
          <w:sz w:val="24"/>
          <w:highlight w:val="none"/>
          <w:u w:val="none"/>
          <w:lang w:val="en-US" w:eastAsia="zh-CN"/>
        </w:rPr>
      </w:pPr>
      <w:r>
        <w:rPr>
          <w:rFonts w:hint="eastAsia" w:asciiTheme="minorEastAsia" w:hAnsiTheme="minorEastAsia" w:eastAsiaTheme="minorEastAsia" w:cstheme="minorEastAsia"/>
          <w:b w:val="0"/>
          <w:bCs w:val="0"/>
          <w:color w:val="auto"/>
          <w:kern w:val="0"/>
          <w:sz w:val="24"/>
          <w:highlight w:val="none"/>
          <w:u w:val="none"/>
          <w:lang w:val="en-US" w:eastAsia="zh-CN"/>
        </w:rPr>
        <w:t>2.</w:t>
      </w:r>
      <w:r>
        <w:rPr>
          <w:rFonts w:hint="eastAsia" w:asciiTheme="minorEastAsia" w:hAnsiTheme="minorEastAsia" w:eastAsiaTheme="minorEastAsia" w:cstheme="minorEastAsia"/>
          <w:b w:val="0"/>
          <w:bCs w:val="0"/>
          <w:color w:val="auto"/>
          <w:kern w:val="0"/>
          <w:sz w:val="24"/>
          <w:highlight w:val="none"/>
          <w:u w:val="single"/>
          <w:lang w:val="en-US" w:eastAsia="zh-CN"/>
        </w:rPr>
        <w:t>（标的名称）</w:t>
      </w:r>
      <w:r>
        <w:rPr>
          <w:rFonts w:hint="eastAsia" w:asciiTheme="minorEastAsia" w:hAnsiTheme="minorEastAsia" w:eastAsiaTheme="minorEastAsia" w:cstheme="minorEastAsia"/>
          <w:b w:val="0"/>
          <w:bCs w:val="0"/>
          <w:color w:val="auto"/>
          <w:kern w:val="0"/>
          <w:sz w:val="24"/>
          <w:highlight w:val="none"/>
          <w:u w:val="none"/>
          <w:lang w:val="en-US" w:eastAsia="zh-CN"/>
        </w:rPr>
        <w:t xml:space="preserve"> ，属于</w:t>
      </w:r>
      <w:r>
        <w:rPr>
          <w:rFonts w:hint="eastAsia" w:asciiTheme="minorEastAsia" w:hAnsiTheme="minorEastAsia" w:eastAsiaTheme="minorEastAsia" w:cstheme="minorEastAsia"/>
          <w:b w:val="0"/>
          <w:bCs w:val="0"/>
          <w:color w:val="auto"/>
          <w:kern w:val="0"/>
          <w:sz w:val="24"/>
          <w:highlight w:val="none"/>
          <w:u w:val="single"/>
          <w:lang w:val="en-US" w:eastAsia="zh-CN"/>
        </w:rPr>
        <w:t>（采购文件中明确的所属行业）</w:t>
      </w:r>
      <w:r>
        <w:rPr>
          <w:rFonts w:hint="eastAsia" w:asciiTheme="minorEastAsia" w:hAnsiTheme="minorEastAsia" w:eastAsiaTheme="minorEastAsia" w:cstheme="minorEastAsia"/>
          <w:b w:val="0"/>
          <w:bCs w:val="0"/>
          <w:color w:val="auto"/>
          <w:kern w:val="0"/>
          <w:sz w:val="24"/>
          <w:highlight w:val="none"/>
          <w:u w:val="none"/>
          <w:lang w:val="en-US" w:eastAsia="zh-CN"/>
        </w:rPr>
        <w:t>行业；承建（承接）企业为</w:t>
      </w:r>
      <w:r>
        <w:rPr>
          <w:rFonts w:hint="eastAsia" w:asciiTheme="minorEastAsia" w:hAnsiTheme="minorEastAsia" w:eastAsiaTheme="minorEastAsia" w:cstheme="minorEastAsia"/>
          <w:b w:val="0"/>
          <w:bCs w:val="0"/>
          <w:color w:val="auto"/>
          <w:kern w:val="0"/>
          <w:sz w:val="24"/>
          <w:highlight w:val="none"/>
          <w:u w:val="single"/>
          <w:lang w:val="en-US" w:eastAsia="zh-CN"/>
        </w:rPr>
        <w:t>（企业名称）</w:t>
      </w:r>
      <w:r>
        <w:rPr>
          <w:rFonts w:hint="eastAsia" w:asciiTheme="minorEastAsia" w:hAnsiTheme="minorEastAsia" w:eastAsiaTheme="minorEastAsia" w:cstheme="minorEastAsia"/>
          <w:b w:val="0"/>
          <w:bCs w:val="0"/>
          <w:color w:val="auto"/>
          <w:kern w:val="0"/>
          <w:sz w:val="24"/>
          <w:highlight w:val="none"/>
          <w:u w:val="none"/>
          <w:lang w:val="en-US" w:eastAsia="zh-CN"/>
        </w:rPr>
        <w:t>，从业人员</w:t>
      </w:r>
      <w:r>
        <w:rPr>
          <w:rFonts w:hint="eastAsia" w:asciiTheme="minorEastAsia" w:hAnsiTheme="minorEastAsia" w:eastAsiaTheme="minorEastAsia" w:cstheme="minorEastAsia"/>
          <w:b w:val="0"/>
          <w:bCs w:val="0"/>
          <w:color w:val="auto"/>
          <w:kern w:val="0"/>
          <w:sz w:val="24"/>
          <w:highlight w:val="none"/>
          <w:u w:val="single"/>
          <w:lang w:val="en-US" w:eastAsia="zh-CN"/>
        </w:rPr>
        <w:t xml:space="preserve">   </w:t>
      </w:r>
      <w:r>
        <w:rPr>
          <w:rFonts w:hint="eastAsia" w:asciiTheme="minorEastAsia" w:hAnsiTheme="minorEastAsia" w:eastAsiaTheme="minorEastAsia" w:cstheme="minorEastAsia"/>
          <w:b w:val="0"/>
          <w:bCs w:val="0"/>
          <w:color w:val="auto"/>
          <w:kern w:val="0"/>
          <w:sz w:val="24"/>
          <w:highlight w:val="none"/>
          <w:u w:val="none"/>
          <w:lang w:val="en-US" w:eastAsia="zh-CN"/>
        </w:rPr>
        <w:t>人，营业收入为</w:t>
      </w:r>
      <w:r>
        <w:rPr>
          <w:rFonts w:hint="eastAsia" w:asciiTheme="minorEastAsia" w:hAnsiTheme="minorEastAsia" w:eastAsiaTheme="minorEastAsia" w:cstheme="minorEastAsia"/>
          <w:b w:val="0"/>
          <w:bCs w:val="0"/>
          <w:color w:val="auto"/>
          <w:kern w:val="0"/>
          <w:sz w:val="24"/>
          <w:highlight w:val="none"/>
          <w:u w:val="single"/>
          <w:lang w:val="en-US" w:eastAsia="zh-CN"/>
        </w:rPr>
        <w:t xml:space="preserve">   </w:t>
      </w:r>
      <w:r>
        <w:rPr>
          <w:rFonts w:hint="eastAsia" w:asciiTheme="minorEastAsia" w:hAnsiTheme="minorEastAsia" w:eastAsiaTheme="minorEastAsia" w:cstheme="minorEastAsia"/>
          <w:b w:val="0"/>
          <w:bCs w:val="0"/>
          <w:color w:val="auto"/>
          <w:kern w:val="0"/>
          <w:sz w:val="24"/>
          <w:highlight w:val="none"/>
          <w:u w:val="none"/>
          <w:lang w:val="en-US" w:eastAsia="zh-CN"/>
        </w:rPr>
        <w:t>万元，资产总额为</w:t>
      </w:r>
      <w:r>
        <w:rPr>
          <w:rFonts w:hint="eastAsia" w:asciiTheme="minorEastAsia" w:hAnsiTheme="minorEastAsia" w:eastAsiaTheme="minorEastAsia" w:cstheme="minorEastAsia"/>
          <w:b w:val="0"/>
          <w:bCs w:val="0"/>
          <w:color w:val="auto"/>
          <w:kern w:val="0"/>
          <w:sz w:val="24"/>
          <w:highlight w:val="none"/>
          <w:u w:val="single"/>
          <w:lang w:val="en-US" w:eastAsia="zh-CN"/>
        </w:rPr>
        <w:t xml:space="preserve">   </w:t>
      </w:r>
      <w:r>
        <w:rPr>
          <w:rFonts w:hint="eastAsia" w:asciiTheme="minorEastAsia" w:hAnsiTheme="minorEastAsia" w:eastAsiaTheme="minorEastAsia" w:cstheme="minorEastAsia"/>
          <w:b w:val="0"/>
          <w:bCs w:val="0"/>
          <w:color w:val="auto"/>
          <w:kern w:val="0"/>
          <w:sz w:val="24"/>
          <w:highlight w:val="none"/>
          <w:u w:val="none"/>
          <w:lang w:val="en-US" w:eastAsia="zh-CN"/>
        </w:rPr>
        <w:t>万元，属于</w:t>
      </w:r>
      <w:r>
        <w:rPr>
          <w:rFonts w:hint="eastAsia" w:asciiTheme="minorEastAsia" w:hAnsiTheme="minorEastAsia" w:eastAsiaTheme="minorEastAsia" w:cstheme="minorEastAsia"/>
          <w:b w:val="0"/>
          <w:bCs w:val="0"/>
          <w:color w:val="auto"/>
          <w:kern w:val="0"/>
          <w:sz w:val="24"/>
          <w:highlight w:val="none"/>
          <w:u w:val="single"/>
          <w:lang w:val="en-US" w:eastAsia="zh-CN"/>
        </w:rPr>
        <w:t>（中型企业、小型企业、微型企业）</w:t>
      </w:r>
      <w:r>
        <w:rPr>
          <w:rFonts w:hint="eastAsia" w:asciiTheme="minorEastAsia" w:hAnsiTheme="minorEastAsia" w:eastAsiaTheme="minorEastAsia" w:cstheme="minorEastAsia"/>
          <w:b w:val="0"/>
          <w:bCs w:val="0"/>
          <w:color w:val="auto"/>
          <w:kern w:val="0"/>
          <w:sz w:val="24"/>
          <w:highlight w:val="none"/>
          <w:u w:val="none"/>
          <w:lang w:val="en-US" w:eastAsia="zh-CN"/>
        </w:rPr>
        <w:t>；</w:t>
      </w:r>
    </w:p>
    <w:p>
      <w:pPr>
        <w:pStyle w:val="5"/>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kern w:val="0"/>
          <w:sz w:val="24"/>
          <w:highlight w:val="none"/>
          <w:u w:val="none"/>
          <w:lang w:val="en-US" w:eastAsia="zh-CN"/>
        </w:rPr>
        <w:t>......</w:t>
      </w:r>
    </w:p>
    <w:p>
      <w:pPr>
        <w:widowControl/>
        <w:numPr>
          <w:ilvl w:val="0"/>
          <w:numId w:val="0"/>
        </w:numPr>
        <w:spacing w:before="100" w:beforeAutospacing="1" w:after="100" w:afterAutospacing="1" w:line="33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本企业对上述声明内容的真实性负责。如有虚假，将依法承担相应责任。</w:t>
      </w:r>
    </w:p>
    <w:p>
      <w:pPr>
        <w:widowControl/>
        <w:spacing w:before="100" w:beforeAutospacing="1" w:after="100" w:afterAutospacing="1" w:line="330" w:lineRule="atLeas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p>
      <w:pPr>
        <w:widowControl/>
        <w:spacing w:before="100" w:beforeAutospacing="1" w:after="100" w:afterAutospacing="1" w:line="330" w:lineRule="atLeast"/>
        <w:jc w:val="left"/>
        <w:rPr>
          <w:rFonts w:hint="eastAsia" w:asciiTheme="minorEastAsia" w:hAnsiTheme="minorEastAsia" w:eastAsiaTheme="minorEastAsia" w:cstheme="minorEastAsia"/>
          <w:color w:val="auto"/>
          <w:kern w:val="0"/>
          <w:sz w:val="24"/>
          <w:highlight w:val="none"/>
        </w:rPr>
      </w:pPr>
    </w:p>
    <w:p>
      <w:pPr>
        <w:widowControl/>
        <w:spacing w:before="100" w:beforeAutospacing="1" w:after="100" w:afterAutospacing="1" w:line="330" w:lineRule="atLeast"/>
        <w:jc w:val="left"/>
        <w:rPr>
          <w:rFonts w:hint="eastAsia" w:asciiTheme="minorEastAsia" w:hAnsiTheme="minorEastAsia" w:eastAsiaTheme="minorEastAsia" w:cstheme="minorEastAsia"/>
          <w:color w:val="auto"/>
          <w:kern w:val="0"/>
          <w:sz w:val="24"/>
          <w:highlight w:val="none"/>
        </w:rPr>
      </w:pPr>
    </w:p>
    <w:p>
      <w:pPr>
        <w:spacing w:line="240" w:lineRule="atLeast"/>
        <w:ind w:left="1080" w:leftChars="257" w:hanging="540"/>
        <w:jc w:val="center"/>
        <w:rPr>
          <w:rFonts w:hint="eastAsia" w:asciiTheme="minorEastAsia" w:hAnsiTheme="minorEastAsia" w:eastAsiaTheme="minorEastAsia" w:cstheme="minorEastAsia"/>
          <w:b/>
          <w:color w:val="auto"/>
          <w:kern w:val="0"/>
          <w:sz w:val="24"/>
          <w:szCs w:val="20"/>
          <w:highlight w:val="none"/>
        </w:rPr>
      </w:pPr>
      <w:r>
        <w:rPr>
          <w:rFonts w:hint="eastAsia" w:asciiTheme="minorEastAsia" w:hAnsiTheme="minorEastAsia" w:eastAsiaTheme="minorEastAsia" w:cstheme="minorEastAsia"/>
          <w:b/>
          <w:color w:val="auto"/>
          <w:kern w:val="0"/>
          <w:sz w:val="24"/>
          <w:szCs w:val="20"/>
          <w:highlight w:val="none"/>
        </w:rPr>
        <w:t>　</w:t>
      </w:r>
    </w:p>
    <w:p>
      <w:pPr>
        <w:widowControl/>
        <w:spacing w:before="100" w:beforeAutospacing="1" w:after="100" w:afterAutospacing="1" w:line="330" w:lineRule="atLeast"/>
        <w:ind w:firstLine="3960" w:firstLineChars="165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企业</w:t>
      </w:r>
      <w:r>
        <w:rPr>
          <w:rFonts w:hint="eastAsia" w:asciiTheme="minorEastAsia" w:hAnsiTheme="minorEastAsia" w:eastAsiaTheme="minorEastAsia" w:cstheme="minorEastAsia"/>
          <w:color w:val="auto"/>
          <w:kern w:val="0"/>
          <w:sz w:val="24"/>
          <w:highlight w:val="none"/>
        </w:rPr>
        <w:t>名称（盖单位章）：</w:t>
      </w:r>
      <w:r>
        <w:rPr>
          <w:rFonts w:hint="eastAsia" w:asciiTheme="minorEastAsia" w:hAnsiTheme="minorEastAsia" w:eastAsiaTheme="minorEastAsia" w:cstheme="minorEastAsia"/>
          <w:color w:val="auto"/>
          <w:kern w:val="0"/>
          <w:sz w:val="24"/>
          <w:highlight w:val="none"/>
          <w:u w:val="single"/>
        </w:rPr>
        <w:t xml:space="preserve">             </w:t>
      </w:r>
    </w:p>
    <w:p>
      <w:pPr>
        <w:widowControl/>
        <w:spacing w:before="100" w:beforeAutospacing="1" w:after="100" w:afterAutospacing="1" w:line="330" w:lineRule="atLeast"/>
        <w:ind w:firstLine="3720" w:firstLineChars="1550"/>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　日</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期：</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p>
    <w:p>
      <w:pPr>
        <w:pStyle w:val="5"/>
        <w:outlineLvl w:val="9"/>
        <w:rPr>
          <w:rFonts w:hint="eastAsia" w:asciiTheme="minorEastAsia" w:hAnsiTheme="minorEastAsia" w:eastAsiaTheme="minorEastAsia" w:cstheme="minorEastAsia"/>
          <w:color w:val="auto"/>
          <w:kern w:val="0"/>
          <w:sz w:val="24"/>
          <w:highlight w:val="none"/>
          <w:u w:val="single"/>
        </w:rPr>
      </w:pPr>
    </w:p>
    <w:p>
      <w:pPr>
        <w:rPr>
          <w:rFonts w:hint="eastAsia" w:asciiTheme="minorEastAsia" w:hAnsiTheme="minorEastAsia" w:eastAsiaTheme="minorEastAsia" w:cstheme="minorEastAsia"/>
          <w:color w:val="auto"/>
          <w:kern w:val="0"/>
          <w:sz w:val="24"/>
          <w:highlight w:val="none"/>
          <w:u w:val="single"/>
        </w:rPr>
      </w:pPr>
    </w:p>
    <w:p>
      <w:pPr>
        <w:pStyle w:val="5"/>
        <w:rPr>
          <w:rFonts w:hint="eastAsia" w:asciiTheme="minorEastAsia" w:hAnsiTheme="minorEastAsia" w:eastAsiaTheme="minorEastAsia" w:cstheme="minorEastAsia"/>
          <w:b w:val="0"/>
          <w:bCs/>
          <w:color w:val="auto"/>
          <w:sz w:val="18"/>
          <w:szCs w:val="13"/>
          <w:highlight w:val="none"/>
          <w:u w:val="none"/>
          <w:lang w:val="en-US" w:eastAsia="zh-CN"/>
        </w:rPr>
      </w:pPr>
      <w:r>
        <w:rPr>
          <w:rFonts w:hint="eastAsia" w:asciiTheme="minorEastAsia" w:hAnsiTheme="minorEastAsia" w:eastAsiaTheme="minorEastAsia" w:cstheme="minorEastAsia"/>
          <w:b w:val="0"/>
          <w:bCs/>
          <w:color w:val="auto"/>
          <w:kern w:val="0"/>
          <w:sz w:val="18"/>
          <w:szCs w:val="13"/>
          <w:highlight w:val="none"/>
          <w:u w:val="none"/>
          <w:lang w:val="en-US" w:eastAsia="zh-CN"/>
        </w:rPr>
        <w:t>注：</w:t>
      </w:r>
      <w:r>
        <w:rPr>
          <w:rFonts w:hint="eastAsia" w:asciiTheme="minorEastAsia" w:hAnsiTheme="minorEastAsia" w:eastAsiaTheme="minorEastAsia" w:cstheme="minorEastAsia"/>
          <w:b/>
          <w:bCs w:val="0"/>
          <w:color w:val="auto"/>
          <w:kern w:val="0"/>
          <w:sz w:val="22"/>
          <w:szCs w:val="18"/>
          <w:highlight w:val="none"/>
          <w:u w:val="none"/>
          <w:vertAlign w:val="superscript"/>
          <w:lang w:val="en-US" w:eastAsia="zh-CN"/>
        </w:rPr>
        <w:t>1</w:t>
      </w:r>
      <w:r>
        <w:rPr>
          <w:rFonts w:hint="eastAsia" w:asciiTheme="minorEastAsia" w:hAnsiTheme="minorEastAsia" w:eastAsiaTheme="minorEastAsia" w:cstheme="minorEastAsia"/>
          <w:b w:val="0"/>
          <w:bCs/>
          <w:color w:val="auto"/>
          <w:kern w:val="0"/>
          <w:sz w:val="18"/>
          <w:szCs w:val="13"/>
          <w:highlight w:val="none"/>
          <w:u w:val="none"/>
          <w:lang w:val="en-US" w:eastAsia="zh-CN"/>
        </w:rPr>
        <w:t>从业人员、营业收入、资产总额填报上一年度数据，无上一年度数据的新成立企业可不填报。</w:t>
      </w:r>
    </w:p>
    <w:p>
      <w:pPr>
        <w:pStyle w:val="4"/>
        <w:spacing w:before="0" w:line="240" w:lineRule="atLeast"/>
        <w:ind w:left="1080" w:leftChars="257" w:hanging="54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pPr>
        <w:pStyle w:val="4"/>
        <w:numPr>
          <w:ilvl w:val="0"/>
          <w:numId w:val="15"/>
        </w:numPr>
        <w:spacing w:before="0" w:line="240" w:lineRule="atLeast"/>
        <w:ind w:left="1080" w:leftChars="257" w:hanging="540"/>
        <w:rPr>
          <w:rFonts w:hint="eastAsia" w:asciiTheme="minorEastAsia" w:hAnsiTheme="minorEastAsia" w:eastAsiaTheme="minorEastAsia" w:cstheme="minorEastAsia"/>
          <w:color w:val="auto"/>
          <w:sz w:val="24"/>
          <w:highlight w:val="none"/>
          <w:lang w:val="en-US" w:eastAsia="zh-CN"/>
        </w:rPr>
      </w:pPr>
      <w:bookmarkStart w:id="341" w:name="_Toc20389"/>
      <w:r>
        <w:rPr>
          <w:rFonts w:hint="eastAsia" w:asciiTheme="minorEastAsia" w:hAnsiTheme="minorEastAsia" w:eastAsiaTheme="minorEastAsia" w:cstheme="minorEastAsia"/>
          <w:color w:val="auto"/>
          <w:sz w:val="24"/>
          <w:highlight w:val="none"/>
          <w:lang w:val="en-US" w:eastAsia="zh-CN"/>
        </w:rPr>
        <w:t>其他需要提供的资料</w:t>
      </w:r>
      <w:bookmarkEnd w:id="341"/>
    </w:p>
    <w:p>
      <w:pPr>
        <w:numPr>
          <w:ilvl w:val="0"/>
          <w:numId w:val="0"/>
        </w:numPr>
        <w:rPr>
          <w:rFonts w:hint="eastAsia" w:asciiTheme="minorEastAsia" w:hAnsiTheme="minorEastAsia" w:eastAsiaTheme="minorEastAsia" w:cstheme="minorEastAsia"/>
          <w:color w:val="auto"/>
          <w:kern w:val="2"/>
          <w:sz w:val="24"/>
          <w:szCs w:val="24"/>
          <w:highlight w:val="none"/>
          <w:lang w:val="en-US" w:eastAsia="zh-CN" w:bidi="ar-SA"/>
        </w:rPr>
      </w:pPr>
    </w:p>
    <w:bookmarkEnd w:id="336"/>
    <w:bookmarkEnd w:id="337"/>
    <w:bookmarkEnd w:id="338"/>
    <w:bookmarkEnd w:id="339"/>
    <w:bookmarkEnd w:id="340"/>
    <w:p>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bookmarkStart w:id="342" w:name="_Toc25345"/>
      <w:bookmarkStart w:id="343" w:name="_Toc518923114"/>
      <w:r>
        <w:rPr>
          <w:rFonts w:hint="eastAsia" w:asciiTheme="minorEastAsia" w:hAnsiTheme="minorEastAsia" w:eastAsiaTheme="minorEastAsia" w:cstheme="minorEastAsia"/>
          <w:color w:val="auto"/>
          <w:kern w:val="2"/>
          <w:sz w:val="24"/>
          <w:szCs w:val="24"/>
          <w:highlight w:val="none"/>
          <w:lang w:val="en-US" w:eastAsia="zh-CN" w:bidi="ar-SA"/>
        </w:rPr>
        <w:t>包括但不限于以下内容：</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（1）具有有效的营业执照副本。</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（2）法定代表人投标的需提供法定代表人身份证；被授权委托人需提供法人授权委托书及被授权委托人身份证和在本单位缴纳的近3个月社保缴纳证明（单位社保缴费汇总和个人明细表）。</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yellow"/>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（3）具备建筑工程施工总承包三级（含）以上资质等级、有效的安全生产许可证；项目负责人具备建筑工程专业二级（含）以上注册建造师执业资格且具有有效的安全生产考核证B证。</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（4）具有依法缴纳2023年任意3个月的税收良好记录证明，依法免税应提供相应文件证明。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（5）投标人针对本次项目《反商业贿赂承诺书》。</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（6）参加政府采购活动前3年内在经营活动中没有重大违法记录的书面声明。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（7）提供2021年或2022年度的财务审计报告（注册成立未满一年新公司提供银行资信证明）。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提供查询结果网页截图并加盖供应商公章）；</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项目负责人及项目班子成员在新疆建设云平台可承揽业务；登录新疆工程建设云（http//jsy.xjjs.gov.cn/dataservice/index）可查询注册企业基本信息和人员信息（提供上述网页个人页面截图打印并加盖公章），项目人员为信息报送人员，且在人员、设备、资金等方面具有承担本工程的能力。</w:t>
      </w:r>
    </w:p>
    <w:p>
      <w:pPr>
        <w:spacing w:line="240" w:lineRule="atLeast"/>
        <w:ind w:left="710" w:leftChars="-23" w:hanging="758" w:hangingChars="316"/>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（10）磋商保证金缴纳有效凭证。</w:t>
      </w:r>
    </w:p>
    <w:p>
      <w:pPr>
        <w:pStyle w:val="4"/>
        <w:spacing w:before="0" w:line="240" w:lineRule="atLeast"/>
        <w:ind w:left="239" w:leftChars="114" w:firstLine="477" w:firstLineChars="198"/>
        <w:jc w:val="left"/>
        <w:outlineLvl w:val="9"/>
        <w:rPr>
          <w:rFonts w:hint="eastAsia" w:asciiTheme="minorEastAsia" w:hAnsiTheme="minorEastAsia" w:eastAsiaTheme="minorEastAsia" w:cstheme="minorEastAsia"/>
          <w:color w:val="auto"/>
          <w:sz w:val="24"/>
          <w:highlight w:val="none"/>
          <w:lang w:val="en-US" w:eastAsia="zh-CN"/>
        </w:rPr>
      </w:pPr>
      <w:r>
        <w:rPr>
          <w:rStyle w:val="28"/>
          <w:rFonts w:hint="eastAsia" w:asciiTheme="minorEastAsia" w:hAnsiTheme="minorEastAsia" w:eastAsiaTheme="minorEastAsia" w:cstheme="minorEastAsia"/>
          <w:sz w:val="24"/>
          <w:szCs w:val="24"/>
          <w:lang w:val="en-US" w:eastAsia="zh-CN"/>
        </w:rPr>
        <w:t>注：以上资料可为原件或可扫描二维码显示相应信息的复印件（复印件加盖投标人公章）</w:t>
      </w:r>
    </w:p>
    <w:p>
      <w:pPr>
        <w:pStyle w:val="14"/>
        <w:tabs>
          <w:tab w:val="left" w:pos="5580"/>
        </w:tabs>
        <w:spacing w:line="240" w:lineRule="atLeast"/>
        <w:ind w:left="1260" w:leftChars="344" w:hanging="538"/>
        <w:jc w:val="center"/>
        <w:rPr>
          <w:rFonts w:hint="eastAsia" w:asciiTheme="minorEastAsia" w:hAnsiTheme="minorEastAsia" w:eastAsiaTheme="minorEastAsia" w:cstheme="minorEastAsia"/>
          <w:color w:val="auto"/>
          <w:sz w:val="24"/>
          <w:highlight w:val="none"/>
          <w:lang w:val="en-US" w:eastAsia="zh-CN"/>
        </w:rPr>
      </w:pPr>
    </w:p>
    <w:p>
      <w:pPr>
        <w:pStyle w:val="14"/>
        <w:tabs>
          <w:tab w:val="left" w:pos="5580"/>
        </w:tabs>
        <w:spacing w:line="240" w:lineRule="atLeast"/>
        <w:ind w:left="1260" w:leftChars="344" w:hanging="538"/>
        <w:jc w:val="center"/>
        <w:rPr>
          <w:rFonts w:hint="eastAsia" w:asciiTheme="minorEastAsia" w:hAnsiTheme="minorEastAsia" w:eastAsiaTheme="minorEastAsia" w:cstheme="minorEastAsia"/>
          <w:color w:val="auto"/>
          <w:sz w:val="24"/>
          <w:highlight w:val="none"/>
          <w:lang w:val="en-US" w:eastAsia="zh-CN"/>
        </w:rPr>
      </w:pPr>
    </w:p>
    <w:p>
      <w:pPr>
        <w:pStyle w:val="14"/>
        <w:tabs>
          <w:tab w:val="left" w:pos="5580"/>
        </w:tabs>
        <w:spacing w:line="240" w:lineRule="atLeast"/>
        <w:ind w:left="1441" w:leftChars="686" w:firstLine="106" w:firstLineChars="44"/>
        <w:jc w:val="both"/>
        <w:rPr>
          <w:rFonts w:hint="eastAsia" w:asciiTheme="minorEastAsia" w:hAnsiTheme="minorEastAsia" w:eastAsiaTheme="minorEastAsia" w:cstheme="minorEastAsia"/>
          <w:b/>
          <w:color w:val="auto"/>
          <w:kern w:val="0"/>
          <w:sz w:val="24"/>
          <w:szCs w:val="20"/>
          <w:highlight w:val="none"/>
          <w:lang w:val="en-US" w:eastAsia="zh-CN" w:bidi="ar-SA"/>
        </w:rPr>
      </w:pPr>
      <w:r>
        <w:rPr>
          <w:rFonts w:hint="eastAsia" w:asciiTheme="minorEastAsia" w:hAnsiTheme="minorEastAsia" w:eastAsiaTheme="minorEastAsia" w:cstheme="minorEastAsia"/>
          <w:b/>
          <w:color w:val="auto"/>
          <w:kern w:val="0"/>
          <w:sz w:val="24"/>
          <w:szCs w:val="20"/>
          <w:highlight w:val="none"/>
          <w:lang w:val="en-US" w:eastAsia="zh-CN" w:bidi="ar-SA"/>
        </w:rPr>
        <w:br w:type="page"/>
      </w:r>
    </w:p>
    <w:p>
      <w:pPr>
        <w:pStyle w:val="14"/>
        <w:tabs>
          <w:tab w:val="left" w:pos="5580"/>
        </w:tabs>
        <w:spacing w:line="240" w:lineRule="atLeast"/>
        <w:jc w:val="center"/>
        <w:rPr>
          <w:rFonts w:hint="eastAsia" w:asciiTheme="minorEastAsia" w:hAnsiTheme="minorEastAsia" w:eastAsiaTheme="minorEastAsia" w:cstheme="minorEastAsia"/>
          <w:b/>
          <w:color w:val="auto"/>
          <w:kern w:val="0"/>
          <w:sz w:val="24"/>
          <w:szCs w:val="20"/>
          <w:highlight w:val="none"/>
          <w:lang w:val="en-US" w:eastAsia="zh-CN" w:bidi="ar-SA"/>
        </w:rPr>
      </w:pPr>
      <w:r>
        <w:rPr>
          <w:rFonts w:hint="eastAsia" w:asciiTheme="minorEastAsia" w:hAnsiTheme="minorEastAsia" w:eastAsiaTheme="minorEastAsia" w:cstheme="minorEastAsia"/>
          <w:b/>
          <w:color w:val="auto"/>
          <w:kern w:val="0"/>
          <w:sz w:val="24"/>
          <w:szCs w:val="20"/>
          <w:highlight w:val="none"/>
          <w:lang w:val="en-US" w:eastAsia="zh-CN" w:bidi="ar-SA"/>
        </w:rPr>
        <w:t>9、已标价的工程量清单</w:t>
      </w:r>
    </w:p>
    <w:p>
      <w:pPr>
        <w:pStyle w:val="14"/>
        <w:tabs>
          <w:tab w:val="left" w:pos="5580"/>
        </w:tabs>
        <w:spacing w:line="240" w:lineRule="atLeast"/>
        <w:ind w:left="1441" w:leftChars="686" w:firstLine="106" w:firstLineChars="44"/>
        <w:jc w:val="both"/>
        <w:rPr>
          <w:rFonts w:hint="eastAsia" w:asciiTheme="minorEastAsia" w:hAnsiTheme="minorEastAsia" w:eastAsiaTheme="minorEastAsia" w:cstheme="minorEastAsia"/>
          <w:b/>
          <w:color w:val="auto"/>
          <w:kern w:val="0"/>
          <w:sz w:val="24"/>
          <w:szCs w:val="20"/>
          <w:highlight w:val="none"/>
          <w:lang w:val="en-US" w:eastAsia="zh-CN" w:bidi="ar-SA"/>
        </w:rPr>
      </w:pPr>
    </w:p>
    <w:p>
      <w:pPr>
        <w:pStyle w:val="14"/>
        <w:tabs>
          <w:tab w:val="left" w:pos="5580"/>
        </w:tabs>
        <w:spacing w:line="240" w:lineRule="atLeast"/>
        <w:jc w:val="both"/>
        <w:rPr>
          <w:rFonts w:hint="eastAsia" w:asciiTheme="minorEastAsia" w:hAnsiTheme="minorEastAsia" w:eastAsiaTheme="minorEastAsia" w:cstheme="minorEastAsia"/>
          <w:b/>
          <w:color w:val="auto"/>
          <w:kern w:val="0"/>
          <w:sz w:val="24"/>
          <w:szCs w:val="20"/>
          <w:highlight w:val="none"/>
          <w:lang w:val="en-US" w:eastAsia="zh-CN" w:bidi="ar-SA"/>
        </w:rPr>
      </w:pPr>
    </w:p>
    <w:p>
      <w:pPr>
        <w:pStyle w:val="14"/>
        <w:tabs>
          <w:tab w:val="left" w:pos="5580"/>
        </w:tabs>
        <w:spacing w:line="240" w:lineRule="atLeast"/>
        <w:ind w:left="1441" w:leftChars="686" w:firstLine="106" w:firstLineChars="44"/>
        <w:jc w:val="both"/>
        <w:rPr>
          <w:rFonts w:hint="eastAsia" w:asciiTheme="minorEastAsia" w:hAnsiTheme="minorEastAsia" w:eastAsiaTheme="minorEastAsia" w:cstheme="minorEastAsia"/>
          <w:b/>
          <w:color w:val="auto"/>
          <w:kern w:val="0"/>
          <w:sz w:val="24"/>
          <w:szCs w:val="20"/>
          <w:highlight w:val="none"/>
          <w:lang w:val="en-US" w:eastAsia="zh-CN" w:bidi="ar-SA"/>
        </w:rPr>
      </w:pPr>
    </w:p>
    <w:p>
      <w:pPr>
        <w:pStyle w:val="15"/>
        <w:rPr>
          <w:rFonts w:hint="eastAsia" w:asciiTheme="minorEastAsia" w:hAnsiTheme="minorEastAsia" w:eastAsiaTheme="minorEastAsia" w:cstheme="minorEastAsia"/>
          <w:color w:val="auto"/>
          <w:highlight w:val="none"/>
          <w:lang w:val="en-US" w:eastAsia="zh-CN"/>
        </w:rPr>
      </w:pPr>
    </w:p>
    <w:p>
      <w:pPr>
        <w:pStyle w:val="14"/>
        <w:tabs>
          <w:tab w:val="left" w:pos="5580"/>
        </w:tabs>
        <w:spacing w:line="240" w:lineRule="atLeast"/>
        <w:ind w:left="1441" w:leftChars="686" w:firstLine="106" w:firstLineChars="44"/>
        <w:jc w:val="both"/>
        <w:rPr>
          <w:rFonts w:hint="eastAsia" w:asciiTheme="minorEastAsia" w:hAnsiTheme="minorEastAsia" w:eastAsiaTheme="minorEastAsia" w:cstheme="minorEastAsia"/>
          <w:b/>
          <w:color w:val="auto"/>
          <w:kern w:val="0"/>
          <w:sz w:val="24"/>
          <w:szCs w:val="20"/>
          <w:highlight w:val="none"/>
          <w:lang w:val="en-US" w:eastAsia="zh-CN" w:bidi="ar-SA"/>
        </w:rPr>
      </w:pPr>
    </w:p>
    <w:bookmarkEnd w:id="324"/>
    <w:bookmarkEnd w:id="325"/>
    <w:bookmarkEnd w:id="326"/>
    <w:bookmarkEnd w:id="327"/>
    <w:bookmarkEnd w:id="342"/>
    <w:bookmarkEnd w:id="343"/>
    <w:p>
      <w:pPr>
        <w:pStyle w:val="5"/>
        <w:outlineLvl w:val="9"/>
        <w:rPr>
          <w:rFonts w:hint="eastAsia" w:asciiTheme="minorEastAsia" w:hAnsiTheme="minorEastAsia" w:eastAsiaTheme="minorEastAsia" w:cstheme="minorEastAsia"/>
          <w:b w:val="0"/>
          <w:bCs/>
          <w:color w:val="auto"/>
          <w:sz w:val="18"/>
          <w:szCs w:val="13"/>
          <w:highlight w:val="none"/>
          <w:u w:val="none"/>
          <w:lang w:val="en-US" w:eastAsia="zh-CN"/>
        </w:rPr>
      </w:pPr>
    </w:p>
    <w:p>
      <w:pPr>
        <w:widowControl/>
        <w:spacing w:before="100" w:beforeAutospacing="1" w:after="100" w:afterAutospacing="1" w:line="330" w:lineRule="atLeast"/>
        <w:jc w:val="left"/>
        <w:rPr>
          <w:rFonts w:hint="eastAsia" w:asciiTheme="minorEastAsia" w:hAnsiTheme="minorEastAsia" w:eastAsiaTheme="minorEastAsia" w:cstheme="minorEastAsia"/>
          <w:color w:val="auto"/>
          <w:highlight w:val="none"/>
        </w:rPr>
      </w:pPr>
    </w:p>
    <w:p>
      <w:pPr>
        <w:pStyle w:val="2"/>
        <w:jc w:val="center"/>
        <w:rPr>
          <w:rFonts w:hint="eastAsia" w:asciiTheme="minorEastAsia" w:hAnsiTheme="minorEastAsia" w:eastAsiaTheme="minorEastAsia" w:cstheme="minorEastAsia"/>
          <w:color w:val="auto"/>
          <w:highlight w:val="none"/>
        </w:rPr>
      </w:pPr>
    </w:p>
    <w:p>
      <w:pPr>
        <w:numPr>
          <w:ilvl w:val="0"/>
          <w:numId w:val="0"/>
        </w:numPr>
        <w:spacing w:line="360" w:lineRule="exact"/>
        <w:jc w:val="center"/>
        <w:rPr>
          <w:rFonts w:hint="eastAsia" w:asciiTheme="minorEastAsia" w:hAnsiTheme="minorEastAsia" w:eastAsiaTheme="minorEastAsia" w:cstheme="minorEastAsia"/>
          <w:b/>
          <w:color w:val="auto"/>
          <w:kern w:val="0"/>
          <w:sz w:val="24"/>
          <w:szCs w:val="20"/>
          <w:highlight w:val="none"/>
          <w:lang w:val="en-US" w:eastAsia="zh-CN" w:bidi="ar-SA"/>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kern w:val="0"/>
          <w:sz w:val="24"/>
          <w:szCs w:val="20"/>
          <w:highlight w:val="none"/>
          <w:lang w:val="en-US" w:eastAsia="zh-CN" w:bidi="ar-SA"/>
        </w:rPr>
        <w:t>10、技术文件</w:t>
      </w:r>
    </w:p>
    <w:p>
      <w:pPr>
        <w:numPr>
          <w:ilvl w:val="0"/>
          <w:numId w:val="0"/>
        </w:numPr>
        <w:spacing w:line="360" w:lineRule="exact"/>
        <w:jc w:val="both"/>
        <w:rPr>
          <w:rFonts w:hint="eastAsia" w:asciiTheme="minorEastAsia" w:hAnsiTheme="minorEastAsia" w:eastAsiaTheme="minorEastAsia" w:cstheme="minorEastAsia"/>
          <w:b/>
          <w:color w:val="auto"/>
          <w:kern w:val="0"/>
          <w:sz w:val="24"/>
          <w:szCs w:val="20"/>
          <w:highlight w:val="none"/>
          <w:lang w:val="en-US" w:eastAsia="zh-CN" w:bidi="ar-SA"/>
        </w:rPr>
      </w:pPr>
      <w:r>
        <w:rPr>
          <w:rFonts w:hint="eastAsia" w:asciiTheme="minorEastAsia" w:hAnsiTheme="minorEastAsia" w:eastAsiaTheme="minorEastAsia" w:cstheme="minorEastAsia"/>
          <w:b/>
          <w:color w:val="auto"/>
          <w:kern w:val="0"/>
          <w:sz w:val="24"/>
          <w:szCs w:val="20"/>
          <w:highlight w:val="none"/>
          <w:lang w:val="en-US" w:eastAsia="zh-CN" w:bidi="ar-SA"/>
        </w:rPr>
        <w:t>主要包括下列内容：</w:t>
      </w:r>
    </w:p>
    <w:p>
      <w:pPr>
        <w:keepNext w:val="0"/>
        <w:keepLines w:val="0"/>
        <w:pageBreakBefore w:val="0"/>
        <w:widowControl w:val="0"/>
        <w:kinsoku/>
        <w:wordWrap/>
        <w:overflowPunct/>
        <w:topLinePunct w:val="0"/>
        <w:autoSpaceDE/>
        <w:autoSpaceDN/>
        <w:bidi w:val="0"/>
        <w:adjustRightInd/>
        <w:spacing w:line="380" w:lineRule="exact"/>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1. 全面性</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1.1 工程概况、施工组织方案；</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1.2 施工机械设备、劳动力投入计划；</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1.3 质量、工期、投资控制方案；</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1.4 文明施工措施；</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1.5 施工总进度计划（附图）；</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1.6施工现场平面布置（附图）；</w:t>
      </w:r>
    </w:p>
    <w:p>
      <w:pPr>
        <w:keepNext w:val="0"/>
        <w:keepLines w:val="0"/>
        <w:pageBreakBefore w:val="0"/>
        <w:widowControl w:val="0"/>
        <w:kinsoku/>
        <w:wordWrap/>
        <w:overflowPunct/>
        <w:topLinePunct w:val="0"/>
        <w:autoSpaceDE/>
        <w:autoSpaceDN/>
        <w:bidi w:val="0"/>
        <w:adjustRightInd/>
        <w:spacing w:line="380" w:lineRule="exact"/>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2. 可行性</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2.1 施工措施及计划；</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2.2 施工现场流水段的划分；</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2.3 施工现场流水作业；</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2.4 施工现场交叉作业；</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2.5 施工现场机具配置和布置；</w:t>
      </w:r>
    </w:p>
    <w:p>
      <w:pPr>
        <w:keepNext w:val="0"/>
        <w:keepLines w:val="0"/>
        <w:pageBreakBefore w:val="0"/>
        <w:widowControl w:val="0"/>
        <w:kinsoku/>
        <w:wordWrap/>
        <w:overflowPunct/>
        <w:topLinePunct w:val="0"/>
        <w:autoSpaceDE/>
        <w:autoSpaceDN/>
        <w:bidi w:val="0"/>
        <w:adjustRightInd/>
        <w:spacing w:line="380" w:lineRule="exact"/>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 针对性</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3.1 施工的重点和关键部位处理</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3.2 质保体系；</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3.3 安保体系；</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3.4 创优措施；</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3.5 安全措施；</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3.6文明施工和防止扰民措施。</w:t>
      </w:r>
    </w:p>
    <w:p>
      <w:pPr>
        <w:keepNext w:val="0"/>
        <w:keepLines w:val="0"/>
        <w:pageBreakBefore w:val="0"/>
        <w:widowControl w:val="0"/>
        <w:kinsoku/>
        <w:wordWrap/>
        <w:overflowPunct/>
        <w:topLinePunct w:val="0"/>
        <w:autoSpaceDE/>
        <w:autoSpaceDN/>
        <w:bidi w:val="0"/>
        <w:adjustRightInd/>
        <w:spacing w:line="380" w:lineRule="exact"/>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4. 先进性</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4.1 采用的新工艺、新技术、新设备；</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4.2 在确保工程质量前提下，有降低成本、缩短工期、减轻劳动强度、提高进度的方案；</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4.3 在执行国家强制性条文前提下体现施工的先进性措施。</w:t>
      </w:r>
    </w:p>
    <w:p>
      <w:pPr>
        <w:keepNext w:val="0"/>
        <w:keepLines w:val="0"/>
        <w:pageBreakBefore w:val="0"/>
        <w:widowControl w:val="0"/>
        <w:kinsoku/>
        <w:wordWrap/>
        <w:overflowPunct/>
        <w:topLinePunct w:val="0"/>
        <w:autoSpaceDE/>
        <w:autoSpaceDN/>
        <w:bidi w:val="0"/>
        <w:adjustRightInd/>
        <w:spacing w:line="380" w:lineRule="exact"/>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5. 强制性</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5.1 防治质量通病的措施；</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5.2 执行国家强制性条文的保证措施</w:t>
      </w:r>
    </w:p>
    <w:p>
      <w:pPr>
        <w:keepNext w:val="0"/>
        <w:keepLines w:val="0"/>
        <w:pageBreakBefore w:val="0"/>
        <w:widowControl w:val="0"/>
        <w:kinsoku/>
        <w:wordWrap/>
        <w:overflowPunct/>
        <w:topLinePunct w:val="0"/>
        <w:autoSpaceDE/>
        <w:autoSpaceDN/>
        <w:bidi w:val="0"/>
        <w:adjustRightInd/>
        <w:spacing w:line="380" w:lineRule="exact"/>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6. 承诺</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6.1 保修承诺和违约经济处罚承诺；</w:t>
      </w:r>
    </w:p>
    <w:p>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6.2 工程质量争优承诺及保证质量措施。</w:t>
      </w:r>
    </w:p>
    <w:p>
      <w:pPr>
        <w:pStyle w:val="19"/>
        <w:keepNext w:val="0"/>
        <w:keepLines w:val="0"/>
        <w:pageBreakBefore w:val="0"/>
        <w:widowControl w:val="0"/>
        <w:kinsoku/>
        <w:wordWrap/>
        <w:overflowPunct/>
        <w:topLinePunct w:val="0"/>
        <w:autoSpaceDE/>
        <w:autoSpaceDN/>
        <w:bidi w:val="0"/>
        <w:adjustRightInd/>
        <w:spacing w:line="380" w:lineRule="exact"/>
        <w:jc w:val="left"/>
        <w:textAlignment w:val="auto"/>
        <w:outlineLvl w:val="9"/>
        <w:rPr>
          <w:rFonts w:hint="eastAsia" w:asciiTheme="minorEastAsia" w:hAnsiTheme="minorEastAsia" w:eastAsiaTheme="minorEastAsia" w:cstheme="minorEastAsia"/>
          <w:b/>
          <w:bCs w:val="0"/>
          <w:color w:val="auto"/>
          <w:kern w:val="0"/>
          <w:sz w:val="24"/>
          <w:szCs w:val="20"/>
          <w:highlight w:val="none"/>
          <w:lang w:val="en-US" w:eastAsia="zh-CN" w:bidi="ar-SA"/>
        </w:rPr>
      </w:pPr>
      <w:bookmarkStart w:id="344" w:name="_Toc32408"/>
      <w:r>
        <w:rPr>
          <w:rFonts w:hint="eastAsia" w:asciiTheme="minorEastAsia" w:hAnsiTheme="minorEastAsia" w:eastAsiaTheme="minorEastAsia" w:cstheme="minorEastAsia"/>
          <w:b/>
          <w:bCs w:val="0"/>
          <w:color w:val="auto"/>
          <w:kern w:val="0"/>
          <w:sz w:val="24"/>
          <w:szCs w:val="20"/>
          <w:highlight w:val="none"/>
          <w:lang w:val="en-US" w:eastAsia="zh-CN" w:bidi="ar-SA"/>
        </w:rPr>
        <w:t>注：1、技术文件须按上述格式目录顺序编写</w:t>
      </w:r>
      <w:bookmarkEnd w:id="344"/>
      <w:r>
        <w:rPr>
          <w:rFonts w:hint="eastAsia" w:asciiTheme="minorEastAsia" w:hAnsiTheme="minorEastAsia" w:eastAsiaTheme="minorEastAsia" w:cstheme="minorEastAsia"/>
          <w:b/>
          <w:bCs w:val="0"/>
          <w:color w:val="auto"/>
          <w:kern w:val="0"/>
          <w:sz w:val="24"/>
          <w:szCs w:val="20"/>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380" w:lineRule="exact"/>
        <w:ind w:firstLine="482" w:firstLineChars="200"/>
        <w:jc w:val="left"/>
        <w:textAlignment w:val="auto"/>
        <w:outlineLvl w:val="9"/>
        <w:rPr>
          <w:rFonts w:hint="eastAsia" w:asciiTheme="minorEastAsia" w:hAnsiTheme="minorEastAsia" w:eastAsiaTheme="minorEastAsia" w:cstheme="minorEastAsia"/>
          <w:b/>
          <w:bCs w:val="0"/>
          <w:color w:val="auto"/>
          <w:kern w:val="0"/>
          <w:sz w:val="24"/>
          <w:szCs w:val="20"/>
          <w:highlight w:val="none"/>
          <w:lang w:val="en-US" w:eastAsia="zh-CN" w:bidi="ar-SA"/>
        </w:rPr>
      </w:pPr>
      <w:r>
        <w:rPr>
          <w:rFonts w:hint="eastAsia" w:asciiTheme="minorEastAsia" w:hAnsiTheme="minorEastAsia" w:eastAsiaTheme="minorEastAsia" w:cstheme="minorEastAsia"/>
          <w:b/>
          <w:bCs w:val="0"/>
          <w:color w:val="auto"/>
          <w:kern w:val="0"/>
          <w:sz w:val="24"/>
          <w:szCs w:val="20"/>
          <w:highlight w:val="none"/>
          <w:lang w:val="en-US" w:eastAsia="zh-CN" w:bidi="ar-SA"/>
        </w:rPr>
        <w:t>2、附图若用A3纸张，请放于技术部分最后页并折叠成A4形状。</w:t>
      </w:r>
    </w:p>
    <w:p>
      <w:pPr>
        <w:pStyle w:val="19"/>
        <w:keepNext w:val="0"/>
        <w:keepLines w:val="0"/>
        <w:pageBreakBefore w:val="0"/>
        <w:widowControl w:val="0"/>
        <w:kinsoku/>
        <w:wordWrap/>
        <w:overflowPunct/>
        <w:topLinePunct w:val="0"/>
        <w:autoSpaceDE/>
        <w:autoSpaceDN/>
        <w:bidi w:val="0"/>
        <w:adjustRightInd/>
        <w:spacing w:line="220" w:lineRule="exact"/>
        <w:jc w:val="left"/>
        <w:textAlignment w:val="auto"/>
        <w:outlineLvl w:val="9"/>
        <w:rPr>
          <w:rFonts w:hint="eastAsia" w:asciiTheme="minorEastAsia" w:hAnsiTheme="minorEastAsia" w:eastAsiaTheme="minorEastAsia" w:cstheme="minorEastAsia"/>
          <w:b w:val="0"/>
          <w:bCs/>
          <w:color w:val="auto"/>
          <w:kern w:val="0"/>
          <w:sz w:val="24"/>
          <w:szCs w:val="20"/>
          <w:highlight w:val="none"/>
          <w:lang w:val="en-US" w:eastAsia="zh-CN" w:bidi="ar-SA"/>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widowControl/>
        <w:jc w:val="center"/>
        <w:textAlignment w:val="auto"/>
        <w:rPr>
          <w:rFonts w:hint="eastAsia" w:asciiTheme="minorEastAsia" w:hAnsiTheme="minorEastAsia" w:eastAsiaTheme="minorEastAsia" w:cstheme="minorEastAsia"/>
          <w:bCs/>
          <w:color w:val="000000"/>
          <w:sz w:val="52"/>
          <w:szCs w:val="52"/>
          <w:lang w:eastAsia="zh-CN"/>
        </w:rPr>
      </w:pPr>
    </w:p>
    <w:p>
      <w:pPr>
        <w:widowControl/>
        <w:jc w:val="center"/>
        <w:textAlignment w:val="auto"/>
        <w:rPr>
          <w:rFonts w:hint="eastAsia" w:asciiTheme="minorEastAsia" w:hAnsiTheme="minorEastAsia" w:eastAsiaTheme="minorEastAsia" w:cstheme="minorEastAsia"/>
          <w:bCs/>
          <w:color w:val="000000"/>
          <w:sz w:val="52"/>
          <w:szCs w:val="52"/>
          <w:lang w:eastAsia="zh-CN"/>
        </w:rPr>
      </w:pPr>
    </w:p>
    <w:p>
      <w:pPr>
        <w:widowControl/>
        <w:jc w:val="center"/>
        <w:textAlignment w:val="auto"/>
        <w:rPr>
          <w:rFonts w:hint="eastAsia" w:asciiTheme="minorEastAsia" w:hAnsiTheme="minorEastAsia" w:eastAsiaTheme="minorEastAsia" w:cstheme="minorEastAsia"/>
          <w:bCs/>
          <w:color w:val="000000"/>
          <w:sz w:val="52"/>
          <w:szCs w:val="52"/>
          <w:lang w:eastAsia="zh-CN"/>
        </w:rPr>
      </w:pPr>
    </w:p>
    <w:p>
      <w:pPr>
        <w:widowControl/>
        <w:jc w:val="center"/>
        <w:textAlignment w:val="auto"/>
        <w:rPr>
          <w:rFonts w:hint="eastAsia" w:asciiTheme="minorEastAsia" w:hAnsiTheme="minorEastAsia" w:eastAsiaTheme="minorEastAsia" w:cstheme="minorEastAsia"/>
          <w:b/>
          <w:bCs w:val="0"/>
          <w:color w:val="000000"/>
          <w:sz w:val="52"/>
          <w:szCs w:val="52"/>
          <w:lang w:eastAsia="zh-CN"/>
        </w:rPr>
      </w:pPr>
      <w:r>
        <w:rPr>
          <w:rFonts w:hint="eastAsia" w:asciiTheme="minorEastAsia" w:hAnsiTheme="minorEastAsia" w:eastAsiaTheme="minorEastAsia" w:cstheme="minorEastAsia"/>
          <w:b/>
          <w:bCs w:val="0"/>
          <w:color w:val="000000"/>
          <w:sz w:val="52"/>
          <w:szCs w:val="52"/>
          <w:lang w:eastAsia="zh-CN"/>
        </w:rPr>
        <w:t>喀什市伯什克然木乡商铺建设项目</w:t>
      </w:r>
    </w:p>
    <w:p>
      <w:pPr>
        <w:widowControl/>
        <w:jc w:val="center"/>
        <w:textAlignment w:val="auto"/>
        <w:rPr>
          <w:rFonts w:hint="eastAsia" w:asciiTheme="minorEastAsia" w:hAnsiTheme="minorEastAsia" w:eastAsiaTheme="minorEastAsia" w:cstheme="minorEastAsia"/>
          <w:bCs/>
          <w:color w:val="000000"/>
          <w:sz w:val="52"/>
          <w:szCs w:val="52"/>
          <w:lang w:eastAsia="zh-CN"/>
        </w:rPr>
      </w:pPr>
      <w:r>
        <w:rPr>
          <w:rFonts w:hint="eastAsia" w:asciiTheme="minorEastAsia" w:hAnsiTheme="minorEastAsia" w:eastAsiaTheme="minorEastAsia" w:cstheme="minorEastAsia"/>
          <w:b/>
          <w:bCs w:val="0"/>
          <w:color w:val="000000"/>
          <w:sz w:val="52"/>
          <w:szCs w:val="52"/>
          <w:lang w:eastAsia="zh-CN"/>
        </w:rPr>
        <w:t>竞争性磋商文件</w:t>
      </w:r>
    </w:p>
    <w:p>
      <w:pPr>
        <w:snapToGrid w:val="0"/>
        <w:jc w:val="center"/>
        <w:rPr>
          <w:rStyle w:val="28"/>
          <w:rFonts w:hint="eastAsia" w:asciiTheme="minorEastAsia" w:hAnsiTheme="minorEastAsia" w:eastAsiaTheme="minorEastAsia" w:cstheme="minorEastAsia"/>
          <w:color w:val="000000"/>
          <w:sz w:val="72"/>
          <w:lang w:val="en-US" w:eastAsia="zh-CN"/>
        </w:rPr>
      </w:pPr>
      <w:r>
        <w:rPr>
          <w:rStyle w:val="28"/>
          <w:rFonts w:hint="eastAsia" w:asciiTheme="minorEastAsia" w:hAnsiTheme="minorEastAsia" w:eastAsiaTheme="minorEastAsia" w:cstheme="minorEastAsia"/>
          <w:color w:val="000000"/>
          <w:sz w:val="72"/>
          <w:lang w:val="en-US" w:eastAsia="zh-CN"/>
        </w:rPr>
        <w:t xml:space="preserve">  </w:t>
      </w:r>
    </w:p>
    <w:p>
      <w:pPr>
        <w:snapToGrid w:val="0"/>
        <w:rPr>
          <w:rStyle w:val="28"/>
          <w:rFonts w:hint="eastAsia" w:asciiTheme="minorEastAsia" w:hAnsiTheme="minorEastAsia" w:eastAsiaTheme="minorEastAsia" w:cstheme="minorEastAsia"/>
          <w:color w:val="000000"/>
          <w:sz w:val="72"/>
        </w:rPr>
      </w:pPr>
    </w:p>
    <w:p>
      <w:pPr>
        <w:spacing w:line="240" w:lineRule="atLeast"/>
        <w:ind w:left="1080" w:leftChars="257" w:hanging="54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kern w:val="0"/>
          <w:sz w:val="32"/>
          <w:szCs w:val="32"/>
        </w:rPr>
        <w:t>（项目编号：</w:t>
      </w:r>
      <w:r>
        <w:rPr>
          <w:rFonts w:hint="eastAsia" w:asciiTheme="minorEastAsia" w:hAnsiTheme="minorEastAsia" w:eastAsiaTheme="minorEastAsia" w:cstheme="minorEastAsia"/>
          <w:b/>
          <w:bCs/>
          <w:kern w:val="0"/>
          <w:sz w:val="32"/>
          <w:szCs w:val="32"/>
          <w:lang w:val="en-US" w:eastAsia="zh-CN"/>
        </w:rPr>
        <w:t>XJZY</w:t>
      </w:r>
      <w:r>
        <w:rPr>
          <w:rFonts w:hint="eastAsia" w:asciiTheme="minorEastAsia" w:hAnsiTheme="minorEastAsia" w:eastAsiaTheme="minorEastAsia" w:cstheme="minorEastAsia"/>
          <w:b/>
          <w:bCs/>
          <w:kern w:val="0"/>
          <w:sz w:val="32"/>
          <w:szCs w:val="32"/>
          <w:highlight w:val="none"/>
          <w:lang w:eastAsia="zh-CN"/>
        </w:rPr>
        <w:t>-</w:t>
      </w:r>
      <w:r>
        <w:rPr>
          <w:rFonts w:hint="eastAsia" w:asciiTheme="minorEastAsia" w:hAnsiTheme="minorEastAsia" w:eastAsiaTheme="minorEastAsia" w:cstheme="minorEastAsia"/>
          <w:b/>
          <w:bCs/>
          <w:kern w:val="0"/>
          <w:sz w:val="32"/>
          <w:szCs w:val="32"/>
          <w:highlight w:val="none"/>
          <w:lang w:val="en-US" w:eastAsia="zh-CN"/>
        </w:rPr>
        <w:t>KS</w:t>
      </w:r>
      <w:r>
        <w:rPr>
          <w:rFonts w:hint="eastAsia" w:asciiTheme="minorEastAsia" w:hAnsiTheme="minorEastAsia" w:eastAsiaTheme="minorEastAsia" w:cstheme="minorEastAsia"/>
          <w:b/>
          <w:bCs/>
          <w:kern w:val="0"/>
          <w:sz w:val="32"/>
          <w:szCs w:val="32"/>
          <w:highlight w:val="none"/>
          <w:lang w:eastAsia="zh-CN"/>
        </w:rPr>
        <w:t>23(</w:t>
      </w:r>
      <w:r>
        <w:rPr>
          <w:rFonts w:hint="eastAsia" w:asciiTheme="minorEastAsia" w:hAnsiTheme="minorEastAsia" w:eastAsiaTheme="minorEastAsia" w:cstheme="minorEastAsia"/>
          <w:b/>
          <w:bCs/>
          <w:kern w:val="0"/>
          <w:sz w:val="32"/>
          <w:szCs w:val="32"/>
          <w:highlight w:val="none"/>
          <w:lang w:val="en-US" w:eastAsia="zh-CN"/>
        </w:rPr>
        <w:t>CS</w:t>
      </w:r>
      <w:r>
        <w:rPr>
          <w:rFonts w:hint="eastAsia" w:asciiTheme="minorEastAsia" w:hAnsiTheme="minorEastAsia" w:eastAsiaTheme="minorEastAsia" w:cstheme="minorEastAsia"/>
          <w:b/>
          <w:bCs/>
          <w:kern w:val="0"/>
          <w:sz w:val="32"/>
          <w:szCs w:val="32"/>
          <w:highlight w:val="none"/>
          <w:lang w:eastAsia="zh-CN"/>
        </w:rPr>
        <w:t>)-00</w:t>
      </w:r>
      <w:r>
        <w:rPr>
          <w:rFonts w:hint="eastAsia" w:asciiTheme="minorEastAsia" w:hAnsiTheme="minorEastAsia" w:eastAsiaTheme="minorEastAsia" w:cstheme="minorEastAsia"/>
          <w:b/>
          <w:bCs/>
          <w:kern w:val="0"/>
          <w:sz w:val="32"/>
          <w:szCs w:val="32"/>
          <w:highlight w:val="none"/>
          <w:lang w:val="en-US" w:eastAsia="zh-CN"/>
        </w:rPr>
        <w:t>3</w:t>
      </w:r>
      <w:r>
        <w:rPr>
          <w:rFonts w:hint="eastAsia" w:asciiTheme="minorEastAsia" w:hAnsiTheme="minorEastAsia" w:eastAsiaTheme="minorEastAsia" w:cstheme="minorEastAsia"/>
          <w:b/>
          <w:bCs/>
          <w:kern w:val="0"/>
          <w:sz w:val="32"/>
          <w:szCs w:val="32"/>
          <w:highlight w:val="none"/>
        </w:rPr>
        <w:t>）</w:t>
      </w:r>
      <w:r>
        <w:rPr>
          <w:rFonts w:hint="eastAsia" w:asciiTheme="minorEastAsia" w:hAnsiTheme="minorEastAsia" w:eastAsiaTheme="minorEastAsia" w:cstheme="minorEastAsia"/>
          <w:bCs/>
          <w:sz w:val="32"/>
          <w:szCs w:val="32"/>
        </w:rPr>
        <w:t xml:space="preserve"> </w:t>
      </w:r>
    </w:p>
    <w:p>
      <w:pPr>
        <w:spacing w:line="240" w:lineRule="atLeast"/>
        <w:ind w:left="1080" w:leftChars="257" w:hanging="540"/>
        <w:jc w:val="center"/>
        <w:rPr>
          <w:rFonts w:hint="eastAsia" w:asciiTheme="minorEastAsia" w:hAnsiTheme="minorEastAsia" w:eastAsiaTheme="minorEastAsia" w:cstheme="minorEastAsia"/>
          <w:b/>
          <w:sz w:val="32"/>
          <w:szCs w:val="32"/>
        </w:rPr>
      </w:pPr>
    </w:p>
    <w:p>
      <w:pPr>
        <w:spacing w:line="240" w:lineRule="atLeast"/>
        <w:ind w:left="1080" w:leftChars="257" w:hanging="540"/>
        <w:rPr>
          <w:rFonts w:hint="eastAsia" w:asciiTheme="minorEastAsia" w:hAnsiTheme="minorEastAsia" w:eastAsiaTheme="minorEastAsia" w:cstheme="minorEastAsia"/>
          <w:b/>
          <w:sz w:val="28"/>
        </w:rPr>
      </w:pPr>
    </w:p>
    <w:p>
      <w:pPr>
        <w:spacing w:line="240" w:lineRule="atLeast"/>
        <w:ind w:left="1080" w:leftChars="257" w:hanging="540"/>
        <w:jc w:val="center"/>
        <w:rPr>
          <w:rFonts w:hint="eastAsia" w:asciiTheme="minorEastAsia" w:hAnsiTheme="minorEastAsia" w:eastAsiaTheme="minorEastAsia" w:cstheme="minorEastAsia"/>
          <w:b/>
          <w:sz w:val="48"/>
          <w:szCs w:val="48"/>
        </w:rPr>
      </w:pPr>
    </w:p>
    <w:p>
      <w:pPr>
        <w:spacing w:line="240" w:lineRule="atLeast"/>
        <w:ind w:left="1080" w:leftChars="257" w:hanging="540"/>
        <w:jc w:val="center"/>
        <w:rPr>
          <w:rFonts w:hint="eastAsia" w:asciiTheme="minorEastAsia" w:hAnsiTheme="minorEastAsia" w:eastAsiaTheme="minorEastAsia" w:cstheme="minorEastAsia"/>
          <w:b/>
          <w:sz w:val="48"/>
          <w:szCs w:val="48"/>
        </w:rPr>
      </w:pPr>
    </w:p>
    <w:p>
      <w:pPr>
        <w:spacing w:line="240" w:lineRule="atLeast"/>
        <w:ind w:left="1080" w:leftChars="257" w:hanging="540"/>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第</w:t>
      </w:r>
      <w:r>
        <w:rPr>
          <w:rFonts w:hint="eastAsia" w:asciiTheme="minorEastAsia" w:hAnsiTheme="minorEastAsia" w:eastAsiaTheme="minorEastAsia" w:cstheme="minorEastAsia"/>
          <w:b/>
          <w:sz w:val="48"/>
          <w:szCs w:val="48"/>
          <w:lang w:eastAsia="zh-CN"/>
        </w:rPr>
        <w:t>二</w:t>
      </w:r>
      <w:r>
        <w:rPr>
          <w:rFonts w:hint="eastAsia" w:asciiTheme="minorEastAsia" w:hAnsiTheme="minorEastAsia" w:eastAsiaTheme="minorEastAsia" w:cstheme="minorEastAsia"/>
          <w:b/>
          <w:sz w:val="48"/>
          <w:szCs w:val="48"/>
        </w:rPr>
        <w:t>册</w:t>
      </w:r>
    </w:p>
    <w:p>
      <w:pPr>
        <w:spacing w:line="240" w:lineRule="atLeast"/>
        <w:ind w:left="1080" w:leftChars="257" w:hanging="540"/>
        <w:jc w:val="center"/>
        <w:rPr>
          <w:rFonts w:hint="eastAsia" w:asciiTheme="minorEastAsia" w:hAnsiTheme="minorEastAsia" w:eastAsiaTheme="minorEastAsia" w:cstheme="minorEastAsia"/>
          <w:b/>
          <w:sz w:val="48"/>
          <w:szCs w:val="48"/>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3"/>
        <w:numPr>
          <w:ilvl w:val="0"/>
          <w:numId w:val="0"/>
        </w:numPr>
        <w:tabs>
          <w:tab w:val="left" w:pos="0"/>
        </w:tabs>
        <w:spacing w:before="0" w:after="0" w:line="240" w:lineRule="atLeast"/>
        <w:ind w:left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第</w:t>
      </w:r>
      <w:r>
        <w:rPr>
          <w:rFonts w:hint="eastAsia" w:asciiTheme="minorEastAsia" w:hAnsiTheme="minorEastAsia" w:eastAsiaTheme="minorEastAsia" w:cstheme="minorEastAsia"/>
          <w:color w:val="auto"/>
          <w:highlight w:val="none"/>
          <w:lang w:val="en-US" w:eastAsia="zh-CN"/>
        </w:rPr>
        <w:t xml:space="preserve">3章 </w:t>
      </w:r>
      <w:r>
        <w:rPr>
          <w:rFonts w:hint="eastAsia" w:asciiTheme="minorEastAsia" w:hAnsiTheme="minorEastAsia" w:eastAsiaTheme="minorEastAsia" w:cstheme="minorEastAsia"/>
          <w:color w:val="auto"/>
          <w:highlight w:val="none"/>
        </w:rPr>
        <w:t>投标邀请</w:t>
      </w:r>
    </w:p>
    <w:p>
      <w:pPr>
        <w:rPr>
          <w:rFonts w:hint="eastAsia" w:asciiTheme="minorEastAsia" w:hAnsiTheme="minorEastAsia" w:eastAsiaTheme="minorEastAsia" w:cstheme="minorEastAsia"/>
          <w:color w:val="auto"/>
          <w:highlight w:val="none"/>
        </w:rPr>
      </w:pPr>
    </w:p>
    <w:p>
      <w:pPr>
        <w:ind w:firstLine="480"/>
        <w:jc w:val="center"/>
        <w:outlineLvl w:val="1"/>
        <w:rPr>
          <w:rStyle w:val="28"/>
          <w:rFonts w:hint="eastAsia" w:asciiTheme="minorEastAsia" w:hAnsiTheme="minorEastAsia" w:eastAsiaTheme="minorEastAsia" w:cstheme="minorEastAsia"/>
          <w:b/>
          <w:color w:val="000000"/>
          <w:kern w:val="0"/>
          <w:sz w:val="28"/>
          <w:szCs w:val="28"/>
          <w:lang w:val="en-US" w:eastAsia="zh-CN" w:bidi="ar-SA"/>
        </w:rPr>
      </w:pPr>
      <w:bookmarkStart w:id="345" w:name="_Toc1529"/>
      <w:r>
        <w:rPr>
          <w:rStyle w:val="28"/>
          <w:rFonts w:hint="eastAsia" w:asciiTheme="minorEastAsia" w:hAnsiTheme="minorEastAsia" w:eastAsiaTheme="minorEastAsia" w:cstheme="minorEastAsia"/>
          <w:b/>
          <w:color w:val="000000"/>
          <w:kern w:val="0"/>
          <w:sz w:val="28"/>
          <w:szCs w:val="28"/>
          <w:lang w:val="en-US" w:eastAsia="zh-CN" w:bidi="ar-SA"/>
        </w:rPr>
        <w:t>喀什市伯什克然木乡商铺建设项目</w:t>
      </w:r>
    </w:p>
    <w:p>
      <w:pPr>
        <w:ind w:firstLine="480"/>
        <w:jc w:val="center"/>
        <w:outlineLvl w:val="1"/>
        <w:rPr>
          <w:rFonts w:hint="eastAsia" w:asciiTheme="minorEastAsia" w:hAnsiTheme="minorEastAsia" w:eastAsiaTheme="minorEastAsia" w:cstheme="minorEastAsia"/>
          <w:b/>
          <w:bCs/>
          <w:color w:val="auto"/>
          <w:sz w:val="32"/>
          <w:szCs w:val="32"/>
          <w:highlight w:val="none"/>
          <w:lang w:val="en-US" w:eastAsia="zh-CN"/>
        </w:rPr>
      </w:pPr>
      <w:r>
        <w:rPr>
          <w:rStyle w:val="28"/>
          <w:rFonts w:hint="eastAsia" w:asciiTheme="minorEastAsia" w:hAnsiTheme="minorEastAsia" w:eastAsiaTheme="minorEastAsia" w:cstheme="minorEastAsia"/>
          <w:b/>
          <w:color w:val="000000"/>
          <w:kern w:val="0"/>
          <w:sz w:val="28"/>
          <w:szCs w:val="28"/>
          <w:lang w:val="en-US" w:eastAsia="zh-CN" w:bidi="ar-SA"/>
        </w:rPr>
        <w:t>竞争性磋商公告</w:t>
      </w:r>
      <w:bookmarkEnd w:id="345"/>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firstLine="0" w:firstLineChars="0"/>
        <w:textAlignment w:val="auto"/>
        <w:outlineLvl w:val="9"/>
        <w:rPr>
          <w:rFonts w:hint="eastAsia" w:asciiTheme="minorEastAsia" w:hAnsiTheme="minorEastAsia" w:eastAsiaTheme="minorEastAsia" w:cstheme="minorEastAsia"/>
          <w:color w:val="auto"/>
          <w:sz w:val="24"/>
          <w:szCs w:val="24"/>
          <w:highlight w:val="none"/>
        </w:rPr>
      </w:pPr>
      <w:bookmarkStart w:id="346" w:name="_Toc18596"/>
      <w:r>
        <w:rPr>
          <w:rFonts w:hint="eastAsia" w:asciiTheme="minorEastAsia" w:hAnsiTheme="minorEastAsia" w:eastAsiaTheme="minorEastAsia" w:cstheme="minorEastAsia"/>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outlineLvl w:val="9"/>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4"/>
          <w:szCs w:val="24"/>
          <w:highlight w:val="none"/>
          <w:u w:val="single"/>
          <w:lang w:eastAsia="zh-CN"/>
        </w:rPr>
        <w:t>喀什市伯什克然木乡商铺建设项目</w:t>
      </w:r>
      <w:r>
        <w:rPr>
          <w:rFonts w:hint="eastAsia" w:asciiTheme="minorEastAsia" w:hAnsiTheme="minorEastAsia" w:eastAsiaTheme="minorEastAsia" w:cstheme="minorEastAsia"/>
          <w:color w:val="auto"/>
          <w:sz w:val="24"/>
          <w:szCs w:val="24"/>
          <w:highlight w:val="none"/>
          <w:u w:val="none"/>
          <w:lang w:eastAsia="zh-CN"/>
        </w:rPr>
        <w:t>的潜在供应商应在政采云平台（www.zcygov.cn）线上获取获取采购文件</w:t>
      </w:r>
      <w:r>
        <w:rPr>
          <w:rFonts w:hint="eastAsia" w:asciiTheme="minorEastAsia" w:hAnsiTheme="minorEastAsia" w:eastAsiaTheme="minorEastAsia" w:cstheme="minorEastAsia"/>
          <w:color w:val="auto"/>
          <w:sz w:val="24"/>
          <w:szCs w:val="24"/>
          <w:highlight w:val="none"/>
        </w:rPr>
        <w:t>，并于</w:t>
      </w:r>
      <w:r>
        <w:rPr>
          <w:rFonts w:hint="eastAsia" w:asciiTheme="minorEastAsia" w:hAnsiTheme="minorEastAsia" w:eastAsiaTheme="minorEastAsia" w:cstheme="minorEastAsia"/>
          <w:color w:val="auto"/>
          <w:sz w:val="24"/>
          <w:szCs w:val="24"/>
          <w:highlight w:val="none"/>
          <w:u w:val="single"/>
          <w:lang w:val="en-US" w:eastAsia="zh-CN"/>
        </w:rPr>
        <w:t>2023年07月13日16</w:t>
      </w:r>
      <w:r>
        <w:rPr>
          <w:rFonts w:hint="eastAsia" w:asciiTheme="minorEastAsia" w:hAnsiTheme="minorEastAsia" w:eastAsiaTheme="minorEastAsia" w:cstheme="minorEastAsia"/>
          <w:color w:val="auto"/>
          <w:sz w:val="24"/>
          <w:szCs w:val="24"/>
          <w:highlight w:val="none"/>
          <w:u w:val="single"/>
          <w:lang w:eastAsia="zh-CN"/>
        </w:rPr>
        <w:t>时</w:t>
      </w:r>
      <w:r>
        <w:rPr>
          <w:rFonts w:hint="eastAsia" w:asciiTheme="minorEastAsia" w:hAnsiTheme="minorEastAsia" w:eastAsiaTheme="minorEastAsia" w:cstheme="minorEastAsia"/>
          <w:color w:val="auto"/>
          <w:sz w:val="24"/>
          <w:szCs w:val="24"/>
          <w:highlight w:val="none"/>
          <w:u w:val="single"/>
          <w:lang w:val="en-US" w:eastAsia="zh-CN"/>
        </w:rPr>
        <w:t>00分前提交响应文件。</w:t>
      </w:r>
    </w:p>
    <w:bookmarkEnd w:id="346"/>
    <w:p>
      <w:pPr>
        <w:keepNext w:val="0"/>
        <w:keepLines w:val="0"/>
        <w:pageBreakBefore w:val="0"/>
        <w:kinsoku/>
        <w:wordWrap/>
        <w:overflowPunct/>
        <w:topLinePunct w:val="0"/>
        <w:autoSpaceDE/>
        <w:autoSpaceDN/>
        <w:bidi w:val="0"/>
        <w:adjustRightInd/>
        <w:snapToGrid/>
        <w:spacing w:line="380" w:lineRule="exact"/>
        <w:jc w:val="left"/>
        <w:textAlignment w:val="auto"/>
        <w:outlineLvl w:val="1"/>
        <w:rPr>
          <w:rFonts w:hint="eastAsia" w:asciiTheme="minorEastAsia" w:hAnsiTheme="minorEastAsia" w:eastAsiaTheme="minorEastAsia" w:cstheme="minorEastAsia"/>
          <w:color w:val="auto"/>
          <w:sz w:val="24"/>
          <w:szCs w:val="24"/>
          <w:highlight w:val="none"/>
        </w:rPr>
      </w:pPr>
      <w:bookmarkStart w:id="347" w:name="_Toc5871"/>
      <w:r>
        <w:rPr>
          <w:rFonts w:hint="eastAsia" w:asciiTheme="minorEastAsia" w:hAnsiTheme="minorEastAsia" w:eastAsiaTheme="minorEastAsia" w:cstheme="minorEastAsia"/>
          <w:color w:val="auto"/>
          <w:sz w:val="24"/>
          <w:szCs w:val="24"/>
          <w:highlight w:val="none"/>
        </w:rPr>
        <w:t>一、项目基本情况</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项目编号：项目编号：</w:t>
      </w:r>
      <w:r>
        <w:rPr>
          <w:rFonts w:hint="eastAsia" w:asciiTheme="minorEastAsia" w:hAnsiTheme="minorEastAsia" w:eastAsiaTheme="minorEastAsia" w:cstheme="minorEastAsia"/>
          <w:color w:val="auto"/>
          <w:sz w:val="24"/>
          <w:szCs w:val="24"/>
          <w:highlight w:val="none"/>
          <w:lang w:val="en-US" w:eastAsia="zh-CN"/>
        </w:rPr>
        <w:t>XJZY</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KS</w:t>
      </w:r>
      <w:r>
        <w:rPr>
          <w:rFonts w:hint="eastAsia" w:asciiTheme="minorEastAsia" w:hAnsiTheme="minorEastAsia" w:eastAsiaTheme="minorEastAsia" w:cstheme="minorEastAsia"/>
          <w:color w:val="auto"/>
          <w:sz w:val="24"/>
          <w:szCs w:val="24"/>
          <w:highlight w:val="none"/>
          <w:lang w:eastAsia="zh-CN"/>
        </w:rPr>
        <w:t>23(</w:t>
      </w:r>
      <w:r>
        <w:rPr>
          <w:rFonts w:hint="eastAsia" w:asciiTheme="minorEastAsia" w:hAnsiTheme="minorEastAsia" w:eastAsiaTheme="minorEastAsia" w:cstheme="minorEastAsia"/>
          <w:color w:val="auto"/>
          <w:sz w:val="24"/>
          <w:szCs w:val="24"/>
          <w:highlight w:val="none"/>
          <w:lang w:val="en-US" w:eastAsia="zh-CN"/>
        </w:rPr>
        <w:t>CS</w:t>
      </w:r>
      <w:r>
        <w:rPr>
          <w:rFonts w:hint="eastAsia" w:asciiTheme="minorEastAsia" w:hAnsiTheme="minorEastAsia" w:eastAsiaTheme="minorEastAsia" w:cstheme="minorEastAsia"/>
          <w:color w:val="auto"/>
          <w:sz w:val="24"/>
          <w:szCs w:val="24"/>
          <w:highlight w:val="none"/>
          <w:lang w:eastAsia="zh-CN"/>
        </w:rPr>
        <w:t>)-00</w:t>
      </w:r>
      <w:r>
        <w:rPr>
          <w:rFonts w:hint="eastAsia" w:asciiTheme="minorEastAsia" w:hAnsiTheme="minorEastAsia" w:eastAsiaTheme="minorEastAsia" w:cstheme="minorEastAsia"/>
          <w:color w:val="auto"/>
          <w:sz w:val="24"/>
          <w:szCs w:val="24"/>
          <w:highlight w:val="none"/>
          <w:lang w:val="en-US" w:eastAsia="zh-CN"/>
        </w:rPr>
        <w:t>3</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喀什市伯什克然木乡商铺建设项目</w:t>
      </w:r>
      <w:r>
        <w:rPr>
          <w:rFonts w:hint="eastAsia" w:asciiTheme="minorEastAsia" w:hAnsiTheme="minorEastAsia" w:eastAsiaTheme="minorEastAsia" w:cstheme="minorEastAsia"/>
          <w:color w:val="auto"/>
          <w:sz w:val="24"/>
          <w:szCs w:val="24"/>
          <w:highlight w:val="none"/>
        </w:rPr>
        <w:t>   </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采购方式：</w:t>
      </w:r>
      <w:r>
        <w:rPr>
          <w:rFonts w:hint="eastAsia" w:asciiTheme="minorEastAsia" w:hAnsiTheme="minorEastAsia" w:eastAsiaTheme="minorEastAsia" w:cstheme="minorEastAsia"/>
          <w:color w:val="auto"/>
          <w:sz w:val="24"/>
          <w:szCs w:val="24"/>
          <w:highlight w:val="none"/>
          <w:lang w:val="en-US" w:eastAsia="zh-CN"/>
        </w:rPr>
        <w:t>竞争性磋商</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eastAsia="zh-CN"/>
        </w:rPr>
        <w:t>1331242.31</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default" w:asciiTheme="minorEastAsia" w:hAnsiTheme="minorEastAsia" w:eastAsiaTheme="minorEastAsia" w:cstheme="minorEastAsia"/>
          <w:color w:val="auto"/>
          <w:sz w:val="24"/>
          <w:szCs w:val="24"/>
          <w:highlight w:val="red"/>
          <w:lang w:val="en-US"/>
        </w:rPr>
      </w:pP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最高限价（元）：</w:t>
      </w:r>
      <w:r>
        <w:rPr>
          <w:rFonts w:hint="eastAsia" w:asciiTheme="minorEastAsia" w:hAnsiTheme="minorEastAsia" w:eastAsiaTheme="minorEastAsia" w:cstheme="minorEastAsia"/>
          <w:color w:val="auto"/>
          <w:sz w:val="24"/>
          <w:szCs w:val="24"/>
          <w:highlight w:val="none"/>
          <w:lang w:eastAsia="zh-CN"/>
        </w:rPr>
        <w:t>1331242.31</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采购需求：具体详见</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标项一    </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标项名称：</w:t>
      </w:r>
      <w:r>
        <w:rPr>
          <w:rFonts w:hint="eastAsia" w:asciiTheme="minorEastAsia" w:hAnsiTheme="minorEastAsia" w:eastAsiaTheme="minorEastAsia" w:cstheme="minorEastAsia"/>
          <w:color w:val="auto"/>
          <w:sz w:val="24"/>
          <w:szCs w:val="24"/>
          <w:highlight w:val="none"/>
          <w:lang w:eastAsia="zh-CN"/>
        </w:rPr>
        <w:t>喀什市伯什克然木乡商铺建设项目</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数量：1     </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eastAsia="zh-CN"/>
        </w:rPr>
        <w:t>1331242.31</w:t>
      </w:r>
    </w:p>
    <w:p>
      <w:pPr>
        <w:pStyle w:val="4"/>
        <w:ind w:firstLine="480" w:firstLineChars="200"/>
        <w:jc w:val="both"/>
        <w:rPr>
          <w:rFonts w:hint="eastAsia" w:asciiTheme="minorEastAsia" w:hAnsiTheme="minorEastAsia" w:eastAsiaTheme="minorEastAsia" w:cstheme="minorEastAsia"/>
          <w:color w:val="auto"/>
          <w:sz w:val="24"/>
          <w:szCs w:val="24"/>
          <w:highlight w:val="red"/>
          <w:lang w:val="en-US" w:eastAsia="zh-CN"/>
        </w:rPr>
      </w:pPr>
      <w:r>
        <w:rPr>
          <w:rFonts w:hint="eastAsia" w:ascii="宋体" w:hAnsi="宋体" w:eastAsia="宋体" w:cs="宋体"/>
          <w:b w:val="0"/>
          <w:bCs/>
          <w:sz w:val="24"/>
          <w:szCs w:val="24"/>
          <w:lang w:val="en-US" w:eastAsia="zh-CN"/>
        </w:rPr>
        <w:t>最高限价（元）：1331242.31</w:t>
      </w:r>
    </w:p>
    <w:p>
      <w:pPr>
        <w:pStyle w:val="4"/>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单位：</w:t>
      </w:r>
      <w:r>
        <w:rPr>
          <w:rFonts w:hint="eastAsia" w:ascii="宋体" w:hAnsi="宋体" w:cs="宋体"/>
          <w:b w:val="0"/>
          <w:bCs/>
          <w:color w:val="auto"/>
          <w:sz w:val="24"/>
          <w:szCs w:val="24"/>
          <w:highlight w:val="none"/>
          <w:lang w:eastAsia="zh-CN"/>
        </w:rPr>
        <w:t>项</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简要规格描述：</w:t>
      </w:r>
      <w:r>
        <w:rPr>
          <w:rFonts w:hint="eastAsia" w:asciiTheme="minorEastAsia" w:hAnsiTheme="minorEastAsia" w:eastAsiaTheme="minorEastAsia" w:cstheme="minorEastAsia"/>
          <w:color w:val="auto"/>
          <w:sz w:val="24"/>
          <w:szCs w:val="24"/>
          <w:highlight w:val="none"/>
          <w:lang w:eastAsia="zh-CN"/>
        </w:rPr>
        <w:t>在佰什克然木乡</w:t>
      </w:r>
      <w:r>
        <w:rPr>
          <w:rFonts w:hint="eastAsia" w:asciiTheme="minorEastAsia" w:hAnsiTheme="minorEastAsia" w:eastAsiaTheme="minorEastAsia" w:cstheme="minorEastAsia"/>
          <w:color w:val="auto"/>
          <w:sz w:val="24"/>
          <w:szCs w:val="24"/>
          <w:highlight w:val="none"/>
          <w:lang w:val="en-US" w:eastAsia="zh-CN"/>
        </w:rPr>
        <w:t>21村（选址11村巴扎）新建一层混凝土结构商铺，共552平方米，配套上下水、电、暖等附属设施，每平方米投资约2543元。</w:t>
      </w:r>
      <w:r>
        <w:rPr>
          <w:rFonts w:hint="eastAsia" w:asciiTheme="minorEastAsia" w:hAnsiTheme="minorEastAsia" w:eastAsiaTheme="minorEastAsia" w:cstheme="minorEastAsia"/>
          <w:color w:val="auto"/>
          <w:sz w:val="24"/>
          <w:szCs w:val="24"/>
          <w:highlight w:val="none"/>
        </w:rPr>
        <w:t>具体详见</w:t>
      </w:r>
      <w:r>
        <w:rPr>
          <w:rFonts w:hint="eastAsia" w:asciiTheme="minorEastAsia" w:hAnsiTheme="minorEastAsia" w:eastAsiaTheme="minorEastAsia" w:cstheme="minorEastAsia"/>
          <w:color w:val="auto"/>
          <w:sz w:val="24"/>
          <w:szCs w:val="24"/>
          <w:highlight w:val="none"/>
          <w:lang w:eastAsia="zh-CN"/>
        </w:rPr>
        <w:t>工程量清单及磋商</w:t>
      </w:r>
      <w:r>
        <w:rPr>
          <w:rFonts w:hint="eastAsia" w:asciiTheme="minorEastAsia" w:hAnsiTheme="minorEastAsia" w:eastAsiaTheme="minorEastAsia" w:cstheme="minorEastAsia"/>
          <w:color w:val="auto"/>
          <w:sz w:val="24"/>
          <w:szCs w:val="24"/>
          <w:highlight w:val="none"/>
        </w:rPr>
        <w:t>文件</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 </w:t>
      </w:r>
    </w:p>
    <w:p>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red"/>
          <w:lang w:eastAsia="zh-CN"/>
        </w:rPr>
      </w:pP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60日历日</w:t>
      </w:r>
      <w:r>
        <w:rPr>
          <w:rFonts w:hint="eastAsia" w:asciiTheme="minorEastAsia" w:hAnsiTheme="minorEastAsia" w:eastAsiaTheme="minorEastAsia" w:cstheme="minorEastAsia"/>
          <w:color w:val="auto"/>
          <w:sz w:val="24"/>
          <w:szCs w:val="24"/>
          <w:highlight w:val="none"/>
          <w:lang w:eastAsia="zh-CN"/>
        </w:rPr>
        <w:t>详见磋商文件</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本项目</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接受联合体投标。</w:t>
      </w:r>
    </w:p>
    <w:p>
      <w:pPr>
        <w:keepNext w:val="0"/>
        <w:keepLines w:val="0"/>
        <w:pageBreakBefore w:val="0"/>
        <w:kinsoku/>
        <w:wordWrap/>
        <w:overflowPunct/>
        <w:topLinePunct w:val="0"/>
        <w:autoSpaceDE/>
        <w:autoSpaceDN/>
        <w:bidi w:val="0"/>
        <w:adjustRightInd/>
        <w:snapToGrid/>
        <w:spacing w:line="380" w:lineRule="exact"/>
        <w:jc w:val="left"/>
        <w:textAlignment w:val="auto"/>
        <w:outlineLvl w:val="1"/>
        <w:rPr>
          <w:rFonts w:hint="eastAsia" w:asciiTheme="minorEastAsia" w:hAnsiTheme="minorEastAsia" w:eastAsiaTheme="minorEastAsia" w:cstheme="minorEastAsia"/>
          <w:color w:val="auto"/>
          <w:sz w:val="24"/>
          <w:szCs w:val="24"/>
          <w:highlight w:val="none"/>
        </w:rPr>
      </w:pPr>
      <w:bookmarkStart w:id="348" w:name="_Toc29265"/>
      <w:r>
        <w:rPr>
          <w:rFonts w:hint="eastAsia" w:asciiTheme="minorEastAsia" w:hAnsiTheme="minorEastAsia" w:eastAsiaTheme="minorEastAsia" w:cstheme="minorEastAsia"/>
          <w:color w:val="auto"/>
          <w:sz w:val="24"/>
          <w:szCs w:val="24"/>
          <w:highlight w:val="none"/>
        </w:rPr>
        <w:t>二、申请人的资格要求：</w:t>
      </w:r>
      <w:bookmarkEnd w:id="348"/>
    </w:p>
    <w:p>
      <w:pPr>
        <w:keepNext w:val="0"/>
        <w:keepLines w:val="0"/>
        <w:pageBreakBefore w:val="0"/>
        <w:kinsoku/>
        <w:wordWrap/>
        <w:overflowPunct/>
        <w:topLinePunct w:val="0"/>
        <w:autoSpaceDE/>
        <w:autoSpaceDN/>
        <w:bidi w:val="0"/>
        <w:adjustRightInd/>
        <w:snapToGrid/>
        <w:spacing w:line="380" w:lineRule="exact"/>
        <w:ind w:firstLine="373"/>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80" w:lineRule="exact"/>
        <w:ind w:firstLine="373"/>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2.落实政府采购政策需满足的资格要求：标项1：供应商为中小企业</w:t>
      </w:r>
    </w:p>
    <w:p>
      <w:pPr>
        <w:keepNext w:val="0"/>
        <w:keepLines w:val="0"/>
        <w:pageBreakBefore w:val="0"/>
        <w:kinsoku/>
        <w:wordWrap/>
        <w:overflowPunct/>
        <w:topLinePunct w:val="0"/>
        <w:autoSpaceDE/>
        <w:autoSpaceDN/>
        <w:bidi w:val="0"/>
        <w:adjustRightInd/>
        <w:snapToGrid/>
        <w:spacing w:line="380" w:lineRule="exact"/>
        <w:ind w:firstLine="373"/>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 </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（1）具有有效的营业执照副本。</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（2）法定代表人投标的需提供法定代表人身份证；被授权委托人需提供法人授权委托书及被授权委托人身份证和在本单位缴纳的近3个月社保缴纳证明（单位社保缴费汇总和个人明细表）。</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（3）具备建筑工程施工总承包三级（含）以上资质等级、有效的安全生产许可证；项目负责人具备建筑工程专业二级（含）以上注册建造师执业资格且具有有效的安全生产考核证B证。</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（4）具有依法缴纳2023年任意3个月的税收良好记录证明，依法免税应提供相应文件证明。</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（5）投标人针对本次项目《反商业贿赂承诺书》。</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（6）参加政府采购活动前3年内在经营活动中没有重大违法记录的书面声明。</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（7）提供2021年或2022年度的财务审计报告（注册成立未满一年新公司提供银行资信证明）。</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提供查询结果网页截图并加盖供应商公章）。</w:t>
      </w:r>
    </w:p>
    <w:p>
      <w:pPr>
        <w:numPr>
          <w:ilvl w:val="0"/>
          <w:numId w:val="0"/>
        </w:numPr>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三、获取采购文件</w:t>
      </w:r>
      <w:bookmarkEnd w:id="347"/>
    </w:p>
    <w:p>
      <w:pPr>
        <w:keepNext w:val="0"/>
        <w:keepLines w:val="0"/>
        <w:pageBreakBefore w:val="0"/>
        <w:kinsoku/>
        <w:wordWrap/>
        <w:overflowPunct/>
        <w:topLinePunct w:val="0"/>
        <w:autoSpaceDE/>
        <w:autoSpaceDN/>
        <w:bidi w:val="0"/>
        <w:snapToGrid/>
        <w:spacing w:line="380" w:lineRule="exact"/>
        <w:ind w:firstLine="54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2023</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07</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03</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2023</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07</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u w:val="single"/>
          <w:lang w:val="en-US" w:eastAsia="zh-CN"/>
        </w:rPr>
        <w:t>10：00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13：30</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lang w:val="en-US" w:eastAsia="zh-CN"/>
        </w:rPr>
        <w:t>15：30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19：30</w:t>
      </w:r>
      <w:r>
        <w:rPr>
          <w:rFonts w:hint="eastAsia" w:asciiTheme="minorEastAsia" w:hAnsiTheme="minorEastAsia" w:eastAsiaTheme="minorEastAsia" w:cstheme="minorEastAsia"/>
          <w:color w:val="auto"/>
          <w:sz w:val="24"/>
          <w:szCs w:val="24"/>
          <w:highlight w:val="none"/>
        </w:rPr>
        <w:t>（北京时间，法定节假日除外）</w:t>
      </w:r>
      <w:r>
        <w:rPr>
          <w:rFonts w:hint="eastAsia" w:asciiTheme="minorEastAsia" w:hAnsiTheme="minorEastAsia" w:eastAsiaTheme="minorEastAsia" w:cstheme="minorEastAsia"/>
          <w:color w:val="auto"/>
          <w:sz w:val="24"/>
          <w:szCs w:val="24"/>
          <w:highlight w:val="none"/>
          <w:lang w:eastAsia="zh-CN"/>
        </w:rPr>
        <w:t>。</w:t>
      </w:r>
    </w:p>
    <w:p>
      <w:pPr>
        <w:pStyle w:val="34"/>
        <w:keepNext w:val="0"/>
        <w:keepLines w:val="0"/>
        <w:pageBreakBefore w:val="0"/>
        <w:kinsoku/>
        <w:wordWrap/>
        <w:overflowPunct/>
        <w:topLinePunct w:val="0"/>
        <w:autoSpaceDE/>
        <w:autoSpaceDN/>
        <w:bidi w:val="0"/>
        <w:spacing w:line="3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地点：政采云平台（www.zcygov.cn）线上获取</w:t>
      </w:r>
    </w:p>
    <w:p>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方式：线上下载（</w:t>
      </w:r>
      <w:r>
        <w:rPr>
          <w:rFonts w:hint="eastAsia" w:asciiTheme="minorEastAsia" w:hAnsiTheme="minorEastAsia" w:eastAsiaTheme="minorEastAsia" w:cstheme="minorEastAsia"/>
          <w:color w:val="auto"/>
          <w:sz w:val="24"/>
          <w:szCs w:val="24"/>
          <w:highlight w:val="none"/>
          <w:u w:val="none"/>
          <w:lang w:eastAsia="zh-CN"/>
        </w:rPr>
        <w:t>供应商登陆政采云平台→ 项目采购 → 获取磋商文件，通过后可下载磋商文件</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售价：0.00元</w:t>
      </w:r>
    </w:p>
    <w:p>
      <w:pPr>
        <w:keepNext w:val="0"/>
        <w:keepLines w:val="0"/>
        <w:pageBreakBefore w:val="0"/>
        <w:numPr>
          <w:ilvl w:val="0"/>
          <w:numId w:val="16"/>
        </w:numPr>
        <w:kinsoku/>
        <w:wordWrap/>
        <w:overflowPunct/>
        <w:topLinePunct w:val="0"/>
        <w:autoSpaceDE/>
        <w:autoSpaceDN/>
        <w:bidi w:val="0"/>
        <w:spacing w:line="380" w:lineRule="exact"/>
        <w:jc w:val="left"/>
        <w:textAlignment w:val="auto"/>
        <w:outlineLvl w:val="1"/>
        <w:rPr>
          <w:rFonts w:hint="eastAsia" w:asciiTheme="minorEastAsia" w:hAnsiTheme="minorEastAsia" w:eastAsiaTheme="minorEastAsia" w:cstheme="minorEastAsia"/>
          <w:bCs/>
          <w:color w:val="auto"/>
          <w:sz w:val="24"/>
          <w:szCs w:val="24"/>
          <w:highlight w:val="none"/>
          <w:u w:val="single"/>
        </w:rPr>
      </w:pPr>
      <w:bookmarkStart w:id="349" w:name="_Toc8210"/>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提交</w:t>
      </w:r>
      <w:bookmarkEnd w:id="349"/>
    </w:p>
    <w:p>
      <w:pPr>
        <w:keepNext w:val="0"/>
        <w:keepLines w:val="0"/>
        <w:pageBreakBefore w:val="0"/>
        <w:numPr>
          <w:ilvl w:val="0"/>
          <w:numId w:val="0"/>
        </w:numPr>
        <w:kinsoku/>
        <w:wordWrap/>
        <w:overflowPunct/>
        <w:topLinePunct w:val="0"/>
        <w:autoSpaceDE/>
        <w:autoSpaceDN/>
        <w:bidi w:val="0"/>
        <w:spacing w:line="380" w:lineRule="exact"/>
        <w:ind w:firstLine="480" w:firstLineChars="200"/>
        <w:jc w:val="left"/>
        <w:textAlignment w:val="auto"/>
        <w:outlineLvl w:val="9"/>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none"/>
          <w:lang w:val="en-US" w:eastAsia="zh-CN"/>
        </w:rPr>
        <w:t>截止时间：2023年07月13日16</w:t>
      </w:r>
      <w:r>
        <w:rPr>
          <w:rFonts w:hint="eastAsia" w:asciiTheme="minorEastAsia" w:hAnsiTheme="minorEastAsia" w:eastAsiaTheme="minorEastAsia" w:cstheme="minorEastAsia"/>
          <w:bCs/>
          <w:color w:val="auto"/>
          <w:sz w:val="24"/>
          <w:szCs w:val="24"/>
          <w:highlight w:val="none"/>
          <w:u w:val="none"/>
          <w:lang w:eastAsia="zh-CN"/>
        </w:rPr>
        <w:t>时</w:t>
      </w:r>
      <w:r>
        <w:rPr>
          <w:rFonts w:hint="eastAsia" w:asciiTheme="minorEastAsia" w:hAnsiTheme="minorEastAsia" w:eastAsiaTheme="minorEastAsia" w:cstheme="minorEastAsia"/>
          <w:bCs/>
          <w:color w:val="auto"/>
          <w:sz w:val="24"/>
          <w:szCs w:val="24"/>
          <w:highlight w:val="none"/>
          <w:u w:val="none"/>
          <w:lang w:val="en-US" w:eastAsia="zh-CN"/>
        </w:rPr>
        <w:t>00</w:t>
      </w:r>
      <w:r>
        <w:rPr>
          <w:rFonts w:hint="eastAsia" w:asciiTheme="minorEastAsia" w:hAnsiTheme="minorEastAsia" w:eastAsiaTheme="minorEastAsia" w:cstheme="minorEastAsia"/>
          <w:bCs/>
          <w:color w:val="auto"/>
          <w:sz w:val="24"/>
          <w:szCs w:val="24"/>
          <w:highlight w:val="none"/>
          <w:u w:val="none"/>
        </w:rPr>
        <w:t>分（北京时间）</w:t>
      </w:r>
    </w:p>
    <w:p>
      <w:pPr>
        <w:keepNext w:val="0"/>
        <w:keepLines w:val="0"/>
        <w:pageBreakBefore w:val="0"/>
        <w:kinsoku/>
        <w:wordWrap/>
        <w:overflowPunct/>
        <w:topLinePunct w:val="0"/>
        <w:autoSpaceDE/>
        <w:autoSpaceDN/>
        <w:bidi w:val="0"/>
        <w:snapToGrid/>
        <w:spacing w:line="3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地点：</w:t>
      </w:r>
      <w:r>
        <w:rPr>
          <w:rFonts w:hint="eastAsia" w:asciiTheme="minorEastAsia" w:hAnsiTheme="minorEastAsia" w:eastAsiaTheme="minorEastAsia" w:cstheme="minorEastAsia"/>
          <w:bCs/>
          <w:color w:val="auto"/>
          <w:sz w:val="24"/>
          <w:szCs w:val="24"/>
          <w:highlight w:val="none"/>
          <w:u w:val="none"/>
          <w:lang w:val="en-US" w:eastAsia="zh-CN"/>
        </w:rPr>
        <w:t>供应商登录政采云平台https://www.zcygov.cn/在线提交</w:t>
      </w:r>
    </w:p>
    <w:p>
      <w:pPr>
        <w:pStyle w:val="2"/>
        <w:numPr>
          <w:ilvl w:val="0"/>
          <w:numId w:val="16"/>
        </w:numPr>
        <w:ind w:left="0" w:leftChars="0" w:firstLine="0" w:firstLineChars="0"/>
        <w:outlineLvl w:val="1"/>
        <w:rPr>
          <w:rFonts w:hint="eastAsia" w:asciiTheme="minorEastAsia" w:hAnsiTheme="minorEastAsia" w:eastAsiaTheme="minorEastAsia" w:cstheme="minorEastAsia"/>
          <w:color w:val="auto"/>
          <w:sz w:val="24"/>
          <w:szCs w:val="24"/>
          <w:highlight w:val="none"/>
          <w:lang w:val="en-US" w:eastAsia="zh-CN"/>
        </w:rPr>
      </w:pPr>
      <w:bookmarkStart w:id="350" w:name="_Toc19426"/>
      <w:r>
        <w:rPr>
          <w:rFonts w:hint="eastAsia" w:asciiTheme="minorEastAsia" w:hAnsiTheme="minorEastAsia" w:eastAsiaTheme="minorEastAsia" w:cstheme="minorEastAsia"/>
          <w:color w:val="auto"/>
          <w:sz w:val="24"/>
          <w:szCs w:val="24"/>
          <w:highlight w:val="none"/>
          <w:lang w:val="en-US" w:eastAsia="zh-CN"/>
        </w:rPr>
        <w:t>响应文件开启</w:t>
      </w:r>
      <w:bookmarkEnd w:id="350"/>
    </w:p>
    <w:p>
      <w:pPr>
        <w:keepNext w:val="0"/>
        <w:keepLines w:val="0"/>
        <w:pageBreakBefore w:val="0"/>
        <w:numPr>
          <w:ilvl w:val="0"/>
          <w:numId w:val="0"/>
        </w:numPr>
        <w:kinsoku/>
        <w:wordWrap/>
        <w:overflowPunct/>
        <w:topLinePunct w:val="0"/>
        <w:autoSpaceDE/>
        <w:autoSpaceDN/>
        <w:bidi w:val="0"/>
        <w:spacing w:line="380" w:lineRule="exact"/>
        <w:ind w:firstLine="480" w:firstLineChars="200"/>
        <w:jc w:val="left"/>
        <w:textAlignment w:val="auto"/>
        <w:outlineLvl w:val="9"/>
        <w:rPr>
          <w:rFonts w:hint="eastAsia" w:asciiTheme="minorEastAsia" w:hAnsiTheme="minorEastAsia" w:eastAsiaTheme="minorEastAsia" w:cstheme="minorEastAsia"/>
          <w:bCs/>
          <w:color w:val="auto"/>
          <w:sz w:val="24"/>
          <w:szCs w:val="24"/>
          <w:highlight w:val="none"/>
          <w:u w:val="single"/>
        </w:rPr>
      </w:pPr>
      <w:bookmarkStart w:id="351" w:name="_Toc11835"/>
      <w:r>
        <w:rPr>
          <w:rFonts w:hint="eastAsia" w:asciiTheme="minorEastAsia" w:hAnsiTheme="minorEastAsia" w:eastAsiaTheme="minorEastAsia" w:cstheme="minorEastAsia"/>
          <w:bCs/>
          <w:color w:val="auto"/>
          <w:sz w:val="24"/>
          <w:szCs w:val="24"/>
          <w:highlight w:val="none"/>
          <w:u w:val="none"/>
          <w:lang w:val="en-US" w:eastAsia="zh-CN"/>
        </w:rPr>
        <w:t>截止时间：2023年07月13日16</w:t>
      </w:r>
      <w:r>
        <w:rPr>
          <w:rFonts w:hint="eastAsia" w:asciiTheme="minorEastAsia" w:hAnsiTheme="minorEastAsia" w:eastAsiaTheme="minorEastAsia" w:cstheme="minorEastAsia"/>
          <w:bCs/>
          <w:color w:val="auto"/>
          <w:sz w:val="24"/>
          <w:szCs w:val="24"/>
          <w:highlight w:val="none"/>
          <w:u w:val="none"/>
          <w:lang w:eastAsia="zh-CN"/>
        </w:rPr>
        <w:t>时</w:t>
      </w:r>
      <w:r>
        <w:rPr>
          <w:rFonts w:hint="eastAsia" w:asciiTheme="minorEastAsia" w:hAnsiTheme="minorEastAsia" w:eastAsiaTheme="minorEastAsia" w:cstheme="minorEastAsia"/>
          <w:bCs/>
          <w:color w:val="auto"/>
          <w:sz w:val="24"/>
          <w:szCs w:val="24"/>
          <w:highlight w:val="none"/>
          <w:u w:val="none"/>
          <w:lang w:val="en-US" w:eastAsia="zh-CN"/>
        </w:rPr>
        <w:t>00</w:t>
      </w:r>
      <w:r>
        <w:rPr>
          <w:rFonts w:hint="eastAsia" w:asciiTheme="minorEastAsia" w:hAnsiTheme="minorEastAsia" w:eastAsiaTheme="minorEastAsia" w:cstheme="minorEastAsia"/>
          <w:bCs/>
          <w:color w:val="auto"/>
          <w:sz w:val="24"/>
          <w:szCs w:val="24"/>
          <w:highlight w:val="none"/>
          <w:u w:val="none"/>
        </w:rPr>
        <w:t>分（北京时间）</w:t>
      </w:r>
    </w:p>
    <w:p>
      <w:pPr>
        <w:keepNext w:val="0"/>
        <w:keepLines w:val="0"/>
        <w:pageBreakBefore w:val="0"/>
        <w:kinsoku/>
        <w:wordWrap/>
        <w:overflowPunct/>
        <w:topLinePunct w:val="0"/>
        <w:autoSpaceDE/>
        <w:autoSpaceDN/>
        <w:bidi w:val="0"/>
        <w:snapToGrid/>
        <w:spacing w:line="38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地点：https://www.zcygov.cn不见面开标</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公告期限</w:t>
      </w:r>
      <w:bookmarkEnd w:id="351"/>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自本公告发布之日起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Theme="minorEastAsia" w:hAnsiTheme="minorEastAsia" w:eastAsiaTheme="minorEastAsia" w:cstheme="minorEastAsia"/>
          <w:color w:val="auto"/>
          <w:sz w:val="24"/>
          <w:szCs w:val="24"/>
          <w:highlight w:val="none"/>
        </w:rPr>
      </w:pPr>
      <w:bookmarkStart w:id="352" w:name="_Toc25481"/>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、其他补充事宜</w:t>
      </w:r>
      <w:bookmarkEnd w:id="352"/>
    </w:p>
    <w:p>
      <w:pPr>
        <w:keepNext w:val="0"/>
        <w:keepLines w:val="0"/>
        <w:pageBreakBefore w:val="0"/>
        <w:kinsoku/>
        <w:wordWrap/>
        <w:overflowPunct/>
        <w:topLinePunct w:val="0"/>
        <w:autoSpaceDE/>
        <w:autoSpaceDN/>
        <w:bidi w:val="0"/>
        <w:spacing w:line="38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1.本项目实行网上投标，采用电子投标文件(供应商须使用CA加密设备通过新疆政采云电子投标客户端制作投标文件)。若供应商参与投标，自行承担投标一切费用。</w:t>
      </w:r>
    </w:p>
    <w:p>
      <w:pPr>
        <w:keepNext w:val="0"/>
        <w:keepLines w:val="0"/>
        <w:pageBreakBefore w:val="0"/>
        <w:kinsoku/>
        <w:wordWrap/>
        <w:overflowPunct/>
        <w:topLinePunct w:val="0"/>
        <w:autoSpaceDE/>
        <w:autoSpaceDN/>
        <w:bidi w:val="0"/>
        <w:spacing w:line="38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38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3.供应商将政采云电子交易客户端下载、安装完成后，可通过账号密码或CA登录客户端进行投标文件制作。在使用新疆政采云投标客户端时，建议使用WIN7+64位及以上操作系统。</w:t>
      </w:r>
    </w:p>
    <w:p>
      <w:pPr>
        <w:keepNext w:val="0"/>
        <w:keepLines w:val="0"/>
        <w:pageBreakBefore w:val="0"/>
        <w:kinsoku/>
        <w:wordWrap/>
        <w:overflowPunct/>
        <w:topLinePunct w:val="0"/>
        <w:autoSpaceDE/>
        <w:autoSpaceDN/>
        <w:bidi w:val="0"/>
        <w:spacing w:line="38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4.供应商在开标时须使用制作加密电子投标文件所使用的CA锁及电脑，电脑须提前配置好浏览器（建议使用360浏览器兼容版或谷歌浏览器），以便开标时解锁。</w:t>
      </w:r>
    </w:p>
    <w:p>
      <w:pPr>
        <w:keepNext w:val="0"/>
        <w:keepLines w:val="0"/>
        <w:pageBreakBefore w:val="0"/>
        <w:kinsoku/>
        <w:wordWrap/>
        <w:overflowPunct/>
        <w:topLinePunct w:val="0"/>
        <w:autoSpaceDE/>
        <w:autoSpaceDN/>
        <w:bidi w:val="0"/>
        <w:spacing w:line="38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特别提示：</w:t>
      </w:r>
    </w:p>
    <w:p>
      <w:pPr>
        <w:keepNext w:val="0"/>
        <w:keepLines w:val="0"/>
        <w:pageBreakBefore w:val="0"/>
        <w:kinsoku/>
        <w:wordWrap/>
        <w:overflowPunct/>
        <w:topLinePunct w:val="0"/>
        <w:autoSpaceDE/>
        <w:autoSpaceDN/>
        <w:bidi w:val="0"/>
        <w:spacing w:line="380" w:lineRule="exact"/>
        <w:ind w:firstLine="482" w:firstLineChars="200"/>
        <w:jc w:val="left"/>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spacing w:line="380" w:lineRule="exact"/>
        <w:ind w:firstLine="482" w:firstLineChars="200"/>
        <w:jc w:val="left"/>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Theme="minorEastAsia" w:hAnsiTheme="minorEastAsia" w:eastAsiaTheme="minorEastAsia" w:cstheme="minorEastAsia"/>
          <w:color w:val="auto"/>
          <w:sz w:val="24"/>
          <w:szCs w:val="24"/>
          <w:highlight w:val="none"/>
        </w:rPr>
      </w:pPr>
      <w:bookmarkStart w:id="353" w:name="_Toc17795"/>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、对本次招标提出询问，请按以下方式联系。</w:t>
      </w:r>
      <w:bookmarkEnd w:id="353"/>
      <w:r>
        <w:rPr>
          <w:rFonts w:hint="eastAsia" w:asciiTheme="minorEastAsia" w:hAnsiTheme="minorEastAsia" w:eastAsiaTheme="minorEastAsia" w:cstheme="minorEastAsia"/>
          <w:color w:val="auto"/>
          <w:sz w:val="24"/>
          <w:szCs w:val="24"/>
          <w:highlight w:val="none"/>
        </w:rPr>
        <w:t>　　　　　　　　　　　　</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w:t>
      </w:r>
      <w:r>
        <w:rPr>
          <w:rFonts w:hint="eastAsia" w:asciiTheme="minorEastAsia" w:hAnsiTheme="minorEastAsia" w:eastAsiaTheme="minorEastAsia" w:cstheme="minorEastAsia"/>
          <w:b w:val="0"/>
          <w:bCs w:val="0"/>
          <w:color w:val="auto"/>
          <w:sz w:val="24"/>
          <w:szCs w:val="24"/>
          <w:highlight w:val="none"/>
          <w:lang w:val="en-US" w:eastAsia="zh-CN"/>
        </w:rPr>
        <w:t>喀什市伯什克然木乡人民政府</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址：新疆维吾尔自治区</w:t>
      </w:r>
      <w:r>
        <w:rPr>
          <w:rFonts w:hint="eastAsia" w:asciiTheme="minorEastAsia" w:hAnsiTheme="minorEastAsia" w:eastAsiaTheme="minorEastAsia" w:cstheme="minorEastAsia"/>
          <w:b w:val="0"/>
          <w:bCs w:val="0"/>
          <w:color w:val="auto"/>
          <w:sz w:val="24"/>
          <w:szCs w:val="24"/>
          <w:highlight w:val="none"/>
          <w:lang w:val="en-US" w:eastAsia="zh-CN"/>
        </w:rPr>
        <w:t>喀什地区喀什市伯什克然木乡人民政府</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联系人：宣义明</w:t>
      </w:r>
    </w:p>
    <w:p>
      <w:pPr>
        <w:keepNext w:val="0"/>
        <w:keepLines w:val="0"/>
        <w:pageBreakBefore w:val="0"/>
        <w:kinsoku/>
        <w:wordWrap/>
        <w:overflowPunct/>
        <w:topLinePunct w:val="0"/>
        <w:autoSpaceDE/>
        <w:autoSpaceDN/>
        <w:bidi w:val="0"/>
        <w:spacing w:line="380" w:lineRule="exac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联系电话：18599483306</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称：新疆展毓工程咨询有限公司</w:t>
      </w:r>
    </w:p>
    <w:p>
      <w:pPr>
        <w:keepNext w:val="0"/>
        <w:keepLines w:val="0"/>
        <w:pageBreakBefore w:val="0"/>
        <w:kinsoku/>
        <w:wordWrap/>
        <w:overflowPunct/>
        <w:topLinePunct w:val="0"/>
        <w:autoSpaceDE/>
        <w:autoSpaceDN/>
        <w:bidi w:val="0"/>
        <w:spacing w:line="380" w:lineRule="exact"/>
        <w:textAlignment w:val="auto"/>
        <w:outlineLvl w:val="9"/>
        <w:rPr>
          <w:rFonts w:hint="default"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地 址：喀什市班超路43号院办公楼1楼</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w:t>
      </w:r>
      <w:r>
        <w:rPr>
          <w:rFonts w:hint="eastAsia" w:asciiTheme="minorEastAsia" w:hAnsiTheme="minorEastAsia" w:eastAsiaTheme="minorEastAsia" w:cstheme="minorEastAsia"/>
          <w:color w:val="auto"/>
          <w:sz w:val="24"/>
          <w:highlight w:val="none"/>
          <w:lang w:val="en-US" w:eastAsia="zh-CN"/>
        </w:rPr>
        <w:t xml:space="preserve">张璞 </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联系方式：18097531095</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highlight w:val="none"/>
          <w:lang w:val="en-US" w:eastAsia="zh-CN"/>
        </w:rPr>
      </w:pPr>
    </w:p>
    <w:p>
      <w:pPr>
        <w:pStyle w:val="2"/>
        <w:rPr>
          <w:rFonts w:hint="eastAsia" w:asciiTheme="minorEastAsia" w:hAnsiTheme="minorEastAsia" w:eastAsiaTheme="minorEastAsia" w:cstheme="minorEastAsia"/>
          <w:color w:val="auto"/>
          <w:sz w:val="24"/>
          <w:highlight w:val="none"/>
          <w:lang w:val="en-US" w:eastAsia="zh-CN"/>
        </w:rPr>
      </w:pPr>
    </w:p>
    <w:p>
      <w:pPr>
        <w:rPr>
          <w:rFonts w:hint="eastAsia" w:asciiTheme="minorEastAsia" w:hAnsiTheme="minorEastAsia" w:eastAsiaTheme="minorEastAsia" w:cstheme="minorEastAsia"/>
          <w:color w:val="auto"/>
          <w:sz w:val="24"/>
          <w:highlight w:val="none"/>
          <w:lang w:val="en-US" w:eastAsia="zh-CN"/>
        </w:rPr>
      </w:pPr>
    </w:p>
    <w:p>
      <w:pPr>
        <w:pStyle w:val="2"/>
        <w:rPr>
          <w:rFonts w:hint="eastAsia" w:asciiTheme="minorEastAsia" w:hAnsiTheme="minorEastAsia" w:eastAsiaTheme="minorEastAsia" w:cstheme="minorEastAsia"/>
          <w:color w:val="auto"/>
          <w:sz w:val="24"/>
          <w:highlight w:val="none"/>
          <w:lang w:val="en-US" w:eastAsia="zh-CN"/>
        </w:rPr>
      </w:pPr>
    </w:p>
    <w:p>
      <w:pPr>
        <w:rPr>
          <w:rFonts w:hint="eastAsia" w:asciiTheme="minorEastAsia" w:hAnsiTheme="minorEastAsia" w:eastAsiaTheme="minorEastAsia" w:cstheme="minorEastAsia"/>
          <w:color w:val="auto"/>
          <w:sz w:val="24"/>
          <w:highlight w:val="none"/>
          <w:lang w:val="en-US" w:eastAsia="zh-CN"/>
        </w:rPr>
      </w:pPr>
    </w:p>
    <w:p>
      <w:pPr>
        <w:pStyle w:val="3"/>
        <w:numPr>
          <w:ilvl w:val="0"/>
          <w:numId w:val="0"/>
        </w:numPr>
        <w:tabs>
          <w:tab w:val="left" w:pos="0"/>
        </w:tabs>
        <w:spacing w:before="0" w:after="0" w:line="240" w:lineRule="atLeast"/>
        <w:ind w:leftChars="0"/>
        <w:jc w:val="center"/>
        <w:rPr>
          <w:rFonts w:hint="eastAsia" w:asciiTheme="minorEastAsia" w:hAnsiTheme="minorEastAsia" w:eastAsiaTheme="minorEastAsia" w:cstheme="minorEastAsia"/>
          <w:color w:val="auto"/>
          <w:highlight w:val="none"/>
          <w:lang w:eastAsia="zh-CN"/>
        </w:rPr>
      </w:pPr>
      <w:bookmarkStart w:id="354" w:name="_Toc5397"/>
      <w:bookmarkStart w:id="355" w:name="_Toc16269"/>
      <w:bookmarkStart w:id="356" w:name="_Toc26554"/>
      <w:bookmarkStart w:id="357" w:name="_Toc24606"/>
    </w:p>
    <w:p>
      <w:pPr>
        <w:pStyle w:val="3"/>
        <w:numPr>
          <w:ilvl w:val="0"/>
          <w:numId w:val="0"/>
        </w:numPr>
        <w:tabs>
          <w:tab w:val="left" w:pos="0"/>
        </w:tabs>
        <w:spacing w:before="0" w:after="0" w:line="240" w:lineRule="atLeast"/>
        <w:ind w:leftChars="0"/>
        <w:jc w:val="center"/>
        <w:rPr>
          <w:rFonts w:hint="eastAsia" w:asciiTheme="minorEastAsia" w:hAnsiTheme="minorEastAsia" w:eastAsiaTheme="minorEastAsia" w:cstheme="minorEastAsia"/>
          <w:b w:val="0"/>
          <w:color w:val="auto"/>
          <w:szCs w:val="32"/>
          <w:highlight w:val="none"/>
        </w:rPr>
      </w:pPr>
      <w:r>
        <w:rPr>
          <w:rFonts w:hint="eastAsia" w:asciiTheme="minorEastAsia" w:hAnsiTheme="minorEastAsia" w:eastAsiaTheme="minorEastAsia" w:cstheme="minorEastAsia"/>
          <w:color w:val="auto"/>
          <w:highlight w:val="none"/>
          <w:lang w:eastAsia="zh-CN"/>
        </w:rPr>
        <w:t>第</w:t>
      </w:r>
      <w:r>
        <w:rPr>
          <w:rFonts w:hint="eastAsia" w:asciiTheme="minorEastAsia" w:hAnsiTheme="minorEastAsia" w:eastAsiaTheme="minorEastAsia" w:cstheme="minorEastAsia"/>
          <w:color w:val="auto"/>
          <w:highlight w:val="none"/>
          <w:lang w:val="en-US" w:eastAsia="zh-CN"/>
        </w:rPr>
        <w:t xml:space="preserve">4章 </w:t>
      </w:r>
      <w:r>
        <w:rPr>
          <w:rFonts w:hint="eastAsia" w:asciiTheme="minorEastAsia" w:hAnsiTheme="minorEastAsia" w:eastAsiaTheme="minorEastAsia" w:cstheme="minorEastAsia"/>
          <w:color w:val="auto"/>
          <w:highlight w:val="none"/>
        </w:rPr>
        <w:t>投标人须知资料表</w:t>
      </w:r>
      <w:bookmarkEnd w:id="354"/>
      <w:bookmarkEnd w:id="355"/>
      <w:bookmarkEnd w:id="356"/>
      <w:bookmarkEnd w:id="357"/>
    </w:p>
    <w:p>
      <w:pPr>
        <w:spacing w:line="240" w:lineRule="atLeast"/>
        <w:ind w:left="1080" w:leftChars="257" w:hanging="540"/>
        <w:rPr>
          <w:rFonts w:hint="eastAsia" w:asciiTheme="minorEastAsia" w:hAnsiTheme="minorEastAsia" w:eastAsiaTheme="minorEastAsia" w:cstheme="minorEastAsia"/>
          <w:color w:val="auto"/>
          <w:sz w:val="24"/>
          <w:highlight w:val="none"/>
        </w:rPr>
      </w:pPr>
    </w:p>
    <w:p>
      <w:pPr>
        <w:spacing w:line="240" w:lineRule="atLeas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本表是本招标项目的具体资料，是对投标人须知的具体补充和修改，如有矛盾，应</w:t>
      </w:r>
      <w:r>
        <w:rPr>
          <w:rFonts w:hint="eastAsia" w:asciiTheme="minorEastAsia" w:hAnsiTheme="minorEastAsia" w:eastAsiaTheme="minorEastAsia" w:cstheme="minorEastAsia"/>
          <w:b/>
          <w:color w:val="auto"/>
          <w:sz w:val="24"/>
          <w:highlight w:val="none"/>
        </w:rPr>
        <w:t>以本资料表为准</w:t>
      </w:r>
      <w:r>
        <w:rPr>
          <w:rFonts w:hint="eastAsia" w:asciiTheme="minorEastAsia" w:hAnsiTheme="minorEastAsia" w:eastAsiaTheme="minorEastAsia" w:cstheme="minorEastAsia"/>
          <w:color w:val="auto"/>
          <w:sz w:val="24"/>
          <w:highlight w:val="none"/>
        </w:rPr>
        <w:t>。</w:t>
      </w:r>
    </w:p>
    <w:tbl>
      <w:tblPr>
        <w:tblStyle w:val="22"/>
        <w:tblW w:w="9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1"/>
        <w:gridCol w:w="83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331" w:type="dxa"/>
            <w:noWrap w:val="0"/>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条款号</w:t>
            </w:r>
          </w:p>
        </w:tc>
        <w:tc>
          <w:tcPr>
            <w:tcW w:w="8375" w:type="dxa"/>
            <w:noWrap w:val="0"/>
            <w:vAlign w:val="center"/>
          </w:tcPr>
          <w:p>
            <w:pPr>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5"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8375" w:type="dxa"/>
            <w:noWrap w:val="0"/>
            <w:vAlign w:val="center"/>
          </w:tcPr>
          <w:p>
            <w:pPr>
              <w:spacing w:line="240" w:lineRule="atLeas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采购人：</w:t>
            </w:r>
            <w:r>
              <w:rPr>
                <w:rFonts w:hint="eastAsia" w:asciiTheme="minorEastAsia" w:hAnsiTheme="minorEastAsia" w:eastAsiaTheme="minorEastAsia" w:cstheme="minorEastAsia"/>
                <w:b w:val="0"/>
                <w:bCs w:val="0"/>
                <w:color w:val="auto"/>
                <w:sz w:val="24"/>
                <w:szCs w:val="24"/>
                <w:highlight w:val="none"/>
                <w:lang w:val="en-US" w:eastAsia="zh-CN"/>
              </w:rPr>
              <w:t xml:space="preserve">喀什市伯什克然木乡人民政府 </w:t>
            </w:r>
          </w:p>
          <w:p>
            <w:pPr>
              <w:spacing w:line="24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szCs w:val="24"/>
                <w:highlight w:val="none"/>
                <w:lang w:val="en-US" w:eastAsia="zh-CN"/>
              </w:rPr>
              <w:t>新疆维吾尔自治区</w:t>
            </w:r>
            <w:r>
              <w:rPr>
                <w:rFonts w:hint="eastAsia" w:asciiTheme="minorEastAsia" w:hAnsiTheme="minorEastAsia" w:eastAsiaTheme="minorEastAsia" w:cstheme="minorEastAsia"/>
                <w:b w:val="0"/>
                <w:bCs w:val="0"/>
                <w:color w:val="auto"/>
                <w:sz w:val="24"/>
                <w:szCs w:val="24"/>
                <w:highlight w:val="none"/>
                <w:lang w:val="en-US" w:eastAsia="zh-CN"/>
              </w:rPr>
              <w:t xml:space="preserve">喀什地区喀什市伯什克然木乡人民政府 </w:t>
            </w:r>
          </w:p>
          <w:p>
            <w:pPr>
              <w:keepNext w:val="0"/>
              <w:keepLines w:val="0"/>
              <w:pageBreakBefore w:val="0"/>
              <w:kinsoku/>
              <w:wordWrap/>
              <w:overflowPunct/>
              <w:topLinePunct w:val="0"/>
              <w:autoSpaceDE/>
              <w:autoSpaceDN/>
              <w:bidi w:val="0"/>
              <w:spacing w:line="38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联系人：</w:t>
            </w:r>
            <w:r>
              <w:rPr>
                <w:rFonts w:hint="eastAsia" w:asciiTheme="minorEastAsia" w:hAnsiTheme="minorEastAsia" w:eastAsiaTheme="minorEastAsia" w:cstheme="minorEastAsia"/>
                <w:color w:val="auto"/>
                <w:sz w:val="24"/>
                <w:szCs w:val="24"/>
                <w:highlight w:val="none"/>
                <w:lang w:val="en-US" w:eastAsia="zh-CN"/>
              </w:rPr>
              <w:t>宣义明</w:t>
            </w:r>
          </w:p>
          <w:p>
            <w:pPr>
              <w:keepNext w:val="0"/>
              <w:keepLines w:val="0"/>
              <w:pageBreakBefore w:val="0"/>
              <w:kinsoku/>
              <w:wordWrap/>
              <w:overflowPunct/>
              <w:topLinePunct w:val="0"/>
              <w:autoSpaceDE/>
              <w:autoSpaceDN/>
              <w:bidi w:val="0"/>
              <w:spacing w:line="380" w:lineRule="exact"/>
              <w:textAlignment w:val="auto"/>
              <w:outlineLvl w:val="9"/>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联系电话：18599483306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采购代理机构：</w:t>
            </w:r>
            <w:r>
              <w:rPr>
                <w:rFonts w:hint="eastAsia" w:asciiTheme="minorEastAsia" w:hAnsiTheme="minorEastAsia" w:eastAsiaTheme="minorEastAsia" w:cstheme="minorEastAsia"/>
                <w:color w:val="auto"/>
                <w:sz w:val="24"/>
                <w:szCs w:val="24"/>
                <w:highlight w:val="none"/>
                <w:lang w:val="en-US" w:eastAsia="zh-CN"/>
              </w:rPr>
              <w:t>新疆展毓工程咨询有限公司</w:t>
            </w:r>
          </w:p>
          <w:p>
            <w:pPr>
              <w:keepNext w:val="0"/>
              <w:keepLines w:val="0"/>
              <w:pageBreakBefore w:val="0"/>
              <w:kinsoku/>
              <w:wordWrap/>
              <w:overflowPunct/>
              <w:topLinePunct w:val="0"/>
              <w:autoSpaceDE/>
              <w:autoSpaceDN/>
              <w:bidi w:val="0"/>
              <w:spacing w:line="380" w:lineRule="exact"/>
              <w:textAlignment w:val="auto"/>
              <w:outlineLvl w:val="9"/>
              <w:rPr>
                <w:rFonts w:hint="default"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szCs w:val="24"/>
                <w:highlight w:val="none"/>
                <w:lang w:val="en-US" w:eastAsia="zh-CN"/>
              </w:rPr>
              <w:t>喀什市班超路43号院办公楼1楼</w:t>
            </w:r>
          </w:p>
          <w:p>
            <w:pPr>
              <w:spacing w:line="24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联系人：</w:t>
            </w:r>
            <w:r>
              <w:rPr>
                <w:rFonts w:hint="eastAsia" w:asciiTheme="minorEastAsia" w:hAnsiTheme="minorEastAsia" w:eastAsiaTheme="minorEastAsia" w:cstheme="minorEastAsia"/>
                <w:color w:val="auto"/>
                <w:sz w:val="24"/>
                <w:highlight w:val="none"/>
                <w:lang w:val="en-US" w:eastAsia="zh-CN"/>
              </w:rPr>
              <w:t xml:space="preserve">张璞        </w:t>
            </w:r>
          </w:p>
          <w:p>
            <w:pPr>
              <w:spacing w:line="240" w:lineRule="atLeas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电</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话：</w:t>
            </w:r>
            <w:r>
              <w:rPr>
                <w:rFonts w:hint="eastAsia" w:asciiTheme="minorEastAsia" w:hAnsiTheme="minorEastAsia" w:eastAsiaTheme="minorEastAsia" w:cstheme="minorEastAsia"/>
                <w:color w:val="auto"/>
                <w:sz w:val="24"/>
                <w:szCs w:val="24"/>
                <w:highlight w:val="none"/>
                <w:lang w:val="en-US" w:eastAsia="zh-CN"/>
              </w:rPr>
              <w:t>18097531095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w:t>
            </w:r>
          </w:p>
        </w:tc>
        <w:tc>
          <w:tcPr>
            <w:tcW w:w="8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pacing w:val="0"/>
                <w:w w:val="100"/>
                <w:position w:val="0"/>
                <w:sz w:val="24"/>
                <w:szCs w:val="24"/>
                <w:highlight w:val="none"/>
              </w:rPr>
            </w:pPr>
            <w:r>
              <w:rPr>
                <w:rFonts w:hint="eastAsia" w:asciiTheme="minorEastAsia" w:hAnsiTheme="minorEastAsia" w:eastAsiaTheme="minorEastAsia" w:cstheme="minorEastAsia"/>
                <w:color w:val="auto"/>
                <w:sz w:val="24"/>
                <w:highlight w:val="none"/>
              </w:rPr>
              <w:t>合格投标人的其他资格要求：</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 xml:space="preserve"> </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（1）具有有效的营业执照副本。</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（2）法定代表人投标的需提供法定代表人身份证；被授权委托人需提供法人授权委托书及被授权委托人身份证和在本单位缴纳的近3个月社保缴纳证明（单位社保缴费汇总和个人明细表）。</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yellow"/>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（3）具备建筑工程施工总承包三级（含）以上资质等级、有效的安全生产许可证；项目负责人具备建筑工程专业二级（含）以上注册建造师执业资格且具有有效的安全生产考核证B证。</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（4）具有依法缴纳2023年任意3个月的税收良好记录证明，依法免税应提供相应文件证明。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（5）投标人针对本次项目《反商业贿赂承诺书》。</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（6）参加政府采购活动前3年内在经营活动中没有重大违法记录的书面声明。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（7）提供2021年或2022年度的财务审计报告（注册成立未满一年新公司提供银行资信证明）。</w:t>
            </w:r>
          </w:p>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right="0" w:rightChars="0" w:firstLine="0" w:firstLineChars="0"/>
              <w:textAlignment w:val="auto"/>
              <w:outlineLvl w:val="9"/>
              <w:rPr>
                <w:rFonts w:hint="eastAsia" w:asciiTheme="minorEastAsia" w:hAnsiTheme="minorEastAsia" w:eastAsiaTheme="minorEastAsia" w:cstheme="minorEastAsia"/>
                <w:color w:val="auto"/>
                <w:kern w:val="2"/>
                <w:sz w:val="24"/>
                <w:szCs w:val="24"/>
                <w:highlight w:val="yellow"/>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提供查询结果网页截图并加盖供应商公章）；</w:t>
            </w:r>
          </w:p>
          <w:p>
            <w:pPr>
              <w:spacing w:line="240" w:lineRule="atLeast"/>
              <w:ind w:left="710" w:leftChars="-23" w:hanging="758" w:hangingChars="316"/>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（9）磋商保证金缴纳有效凭证。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是否允许采购进口产品：</w:t>
            </w:r>
            <w:r>
              <w:rPr>
                <w:rFonts w:hint="eastAsia" w:asciiTheme="minorEastAsia" w:hAnsiTheme="minorEastAsia" w:eastAsiaTheme="minorEastAsia" w:cstheme="minorEastAsia"/>
                <w:color w:val="auto"/>
                <w:sz w:val="24"/>
                <w:highlight w:val="none"/>
                <w:lang w:val="en-US" w:eastAsia="zh-CN"/>
              </w:rPr>
              <w:t>否</w:t>
            </w:r>
            <w:r>
              <w:rPr>
                <w:rFonts w:hint="eastAsia" w:asciiTheme="minorEastAsia" w:hAnsiTheme="minorEastAsia" w:eastAsiaTheme="minorEastAsia" w:cstheme="minorEastAsia"/>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1.3.6</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是否为专门面向中小企业采购：是（是、否）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是否允许联合体投标：</w:t>
            </w:r>
            <w:r>
              <w:rPr>
                <w:rFonts w:hint="eastAsia" w:asciiTheme="minorEastAsia" w:hAnsiTheme="minorEastAsia" w:eastAsiaTheme="minorEastAsia" w:cstheme="minorEastAsia"/>
                <w:color w:val="auto"/>
                <w:sz w:val="24"/>
                <w:highlight w:val="none"/>
                <w:lang w:val="en-US" w:eastAsia="zh-CN"/>
              </w:rPr>
              <w:t>否</w:t>
            </w:r>
            <w:r>
              <w:rPr>
                <w:rFonts w:hint="eastAsia" w:asciiTheme="minorEastAsia" w:hAnsiTheme="minorEastAsia" w:eastAsiaTheme="minorEastAsia" w:cstheme="minorEastAsia"/>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1.4.8</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联合体的其他资格要求：</w:t>
            </w:r>
            <w:r>
              <w:rPr>
                <w:rFonts w:hint="eastAsia" w:asciiTheme="minorEastAsia" w:hAnsiTheme="minorEastAsia" w:eastAsiaTheme="minorEastAsia" w:cstheme="minorEastAsia"/>
                <w:color w:val="auto"/>
                <w:sz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最高限价</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1331242.31</w:t>
            </w:r>
            <w:r>
              <w:rPr>
                <w:rFonts w:hint="eastAsia" w:asciiTheme="minorEastAsia" w:hAnsiTheme="minorEastAsia" w:eastAsiaTheme="minorEastAsia" w:cstheme="minorEastAsia"/>
                <w:color w:val="auto"/>
                <w:sz w:val="24"/>
                <w:highlight w:val="none"/>
              </w:rPr>
              <w:t>元；</w:t>
            </w:r>
            <w:r>
              <w:rPr>
                <w:rFonts w:hint="eastAsia" w:asciiTheme="minorEastAsia" w:hAnsiTheme="minorEastAsia" w:eastAsiaTheme="minorEastAsia" w:cstheme="minorEastAsia"/>
                <w:color w:val="auto"/>
                <w:sz w:val="24"/>
                <w:highlight w:val="none"/>
                <w:lang w:val="en-US" w:eastAsia="zh-CN"/>
              </w:rPr>
              <w:t>超过最高限价投标报价为无效投标；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p>
        </w:tc>
        <w:tc>
          <w:tcPr>
            <w:tcW w:w="8375" w:type="dxa"/>
            <w:noWrap w:val="0"/>
            <w:vAlign w:val="center"/>
          </w:tcPr>
          <w:p>
            <w:pPr>
              <w:spacing w:line="24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如投标商对多个分包进行投标，可以中标</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包</w:t>
            </w:r>
            <w:r>
              <w:rPr>
                <w:rFonts w:hint="eastAsia" w:asciiTheme="minorEastAsia" w:hAnsiTheme="minorEastAsia" w:eastAsiaTheme="minorEastAsia" w:cstheme="minorEastAsia"/>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12</w:t>
            </w:r>
          </w:p>
        </w:tc>
        <w:tc>
          <w:tcPr>
            <w:tcW w:w="8375" w:type="dxa"/>
            <w:noWrap w:val="0"/>
            <w:vAlign w:val="center"/>
          </w:tcPr>
          <w:p>
            <w:pPr>
              <w:spacing w:line="240" w:lineRule="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color w:val="auto"/>
                <w:sz w:val="24"/>
                <w:highlight w:val="none"/>
                <w:lang w:val="en-US" w:eastAsia="zh-CN"/>
              </w:rPr>
              <w:t>磋商</w:t>
            </w:r>
            <w:r>
              <w:rPr>
                <w:rFonts w:hint="eastAsia" w:asciiTheme="minorEastAsia" w:hAnsiTheme="minorEastAsia" w:eastAsiaTheme="minorEastAsia" w:cstheme="minorEastAsia"/>
                <w:b w:val="0"/>
                <w:bCs w:val="0"/>
                <w:color w:val="auto"/>
                <w:sz w:val="24"/>
                <w:highlight w:val="none"/>
              </w:rPr>
              <w:t>保证金形式：</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保函</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电汇</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支</w:t>
            </w:r>
            <w:r>
              <w:rPr>
                <w:rFonts w:hint="eastAsia" w:asciiTheme="minorEastAsia" w:hAnsiTheme="minorEastAsia" w:eastAsiaTheme="minorEastAsia" w:cstheme="minorEastAsia"/>
                <w:b w:val="0"/>
                <w:bCs w:val="0"/>
                <w:color w:val="auto"/>
                <w:sz w:val="24"/>
                <w:highlight w:val="none"/>
              </w:rPr>
              <w:t>票</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对公转账</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企业</w:t>
            </w:r>
            <w:r>
              <w:rPr>
                <w:rFonts w:hint="eastAsia" w:asciiTheme="minorEastAsia" w:hAnsiTheme="minorEastAsia" w:eastAsiaTheme="minorEastAsia" w:cstheme="minorEastAsia"/>
                <w:b w:val="0"/>
                <w:bCs w:val="0"/>
                <w:sz w:val="24"/>
                <w:szCs w:val="24"/>
                <w:highlight w:val="none"/>
                <w:lang w:eastAsia="zh-CN"/>
              </w:rPr>
              <w:t>基本</w:t>
            </w:r>
            <w:r>
              <w:rPr>
                <w:rFonts w:hint="eastAsia" w:asciiTheme="minorEastAsia" w:hAnsiTheme="minorEastAsia" w:eastAsiaTheme="minorEastAsia" w:cstheme="minorEastAsia"/>
                <w:b w:val="0"/>
                <w:bCs w:val="0"/>
                <w:sz w:val="24"/>
                <w:szCs w:val="24"/>
                <w:highlight w:val="none"/>
              </w:rPr>
              <w:t>帐户</w:t>
            </w:r>
            <w:r>
              <w:rPr>
                <w:rFonts w:hint="eastAsia" w:asciiTheme="minorEastAsia" w:hAnsiTheme="minorEastAsia" w:eastAsiaTheme="minorEastAsia" w:cstheme="minorEastAsia"/>
                <w:b w:val="0"/>
                <w:bCs w:val="0"/>
                <w:sz w:val="24"/>
                <w:szCs w:val="24"/>
                <w:highlight w:val="none"/>
                <w:lang w:eastAsia="zh-CN"/>
              </w:rPr>
              <w:t>操作）</w:t>
            </w:r>
          </w:p>
          <w:p>
            <w:pPr>
              <w:spacing w:line="240" w:lineRule="auto"/>
              <w:rPr>
                <w:rFonts w:hint="eastAsia"/>
                <w:b/>
                <w:bCs/>
                <w:highlight w:val="red"/>
                <w:lang w:val="en-US" w:eastAsia="zh-CN"/>
              </w:rPr>
            </w:pPr>
            <w:r>
              <w:rPr>
                <w:rFonts w:hint="eastAsia" w:asciiTheme="minorEastAsia" w:hAnsiTheme="minorEastAsia" w:eastAsiaTheme="minorEastAsia" w:cstheme="minorEastAsia"/>
                <w:b/>
                <w:bCs/>
                <w:color w:val="auto"/>
                <w:sz w:val="24"/>
                <w:highlight w:val="none"/>
                <w:lang w:val="en-US" w:eastAsia="zh-CN"/>
              </w:rPr>
              <w:t>磋商</w:t>
            </w:r>
            <w:r>
              <w:rPr>
                <w:rFonts w:hint="eastAsia" w:asciiTheme="minorEastAsia" w:hAnsiTheme="minorEastAsia" w:eastAsiaTheme="minorEastAsia" w:cstheme="minorEastAsia"/>
                <w:b/>
                <w:bCs/>
                <w:color w:val="auto"/>
                <w:sz w:val="24"/>
                <w:highlight w:val="none"/>
              </w:rPr>
              <w:t>保证金数额：</w:t>
            </w:r>
            <w:r>
              <w:rPr>
                <w:rFonts w:hint="eastAsia" w:asciiTheme="minorEastAsia" w:hAnsiTheme="minorEastAsia" w:eastAsiaTheme="minorEastAsia" w:cstheme="minorEastAsia"/>
                <w:b/>
                <w:bCs/>
                <w:color w:val="auto"/>
                <w:sz w:val="24"/>
                <w:highlight w:val="none"/>
                <w:lang w:val="en-US" w:eastAsia="zh-CN"/>
              </w:rPr>
              <w:t>25000.00</w:t>
            </w:r>
            <w:r>
              <w:rPr>
                <w:rFonts w:hint="eastAsia" w:asciiTheme="minorEastAsia" w:hAnsiTheme="minorEastAsia" w:eastAsiaTheme="minorEastAsia" w:cstheme="minorEastAsia"/>
                <w:b/>
                <w:bCs/>
                <w:color w:val="auto"/>
                <w:sz w:val="24"/>
                <w:highlight w:val="none"/>
              </w:rPr>
              <w:t>元   大写：</w:t>
            </w:r>
            <w:r>
              <w:rPr>
                <w:rFonts w:hint="eastAsia" w:asciiTheme="minorEastAsia" w:hAnsiTheme="minorEastAsia" w:eastAsiaTheme="minorEastAsia" w:cstheme="minorEastAsia"/>
                <w:b/>
                <w:bCs/>
                <w:color w:val="auto"/>
                <w:sz w:val="24"/>
                <w:highlight w:val="none"/>
                <w:lang w:val="en-US" w:eastAsia="zh-CN"/>
              </w:rPr>
              <w:t>贰万伍仟元整</w:t>
            </w:r>
          </w:p>
          <w:p>
            <w:pPr>
              <w:spacing w:line="24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sz w:val="24"/>
                <w:szCs w:val="24"/>
                <w:highlight w:val="none"/>
              </w:rPr>
              <w:t>投标保证金收款人</w:t>
            </w:r>
            <w:r>
              <w:rPr>
                <w:rFonts w:hint="eastAsia" w:ascii="宋体" w:hAnsi="宋体" w:eastAsia="宋体" w:cs="宋体"/>
                <w:b w:val="0"/>
                <w:bCs w:val="0"/>
                <w:color w:val="auto"/>
                <w:sz w:val="24"/>
                <w:szCs w:val="24"/>
                <w:highlight w:val="none"/>
              </w:rPr>
              <w:t>：</w:t>
            </w:r>
            <w:r>
              <w:rPr>
                <w:rFonts w:hint="eastAsia" w:ascii="宋体" w:hAnsi="宋体" w:cs="宋体"/>
                <w:b w:val="0"/>
                <w:bCs w:val="0"/>
                <w:color w:val="000000" w:themeColor="text1"/>
                <w:sz w:val="24"/>
                <w:szCs w:val="24"/>
                <w:highlight w:val="none"/>
                <w:lang w:eastAsia="zh-CN"/>
                <w14:textFill>
                  <w14:solidFill>
                    <w14:schemeClr w14:val="tx1"/>
                  </w14:solidFill>
                </w14:textFill>
              </w:rPr>
              <w:t>新疆展毓工程咨询有限公司</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p>
          <w:p>
            <w:pPr>
              <w:spacing w:line="240" w:lineRule="auto"/>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开户行：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新疆喀什农村商业银行股份有限公司解放南路支行</w:t>
            </w:r>
          </w:p>
          <w:p>
            <w:pPr>
              <w:spacing w:line="24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银行账号：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860020212010110140475</w:t>
            </w:r>
          </w:p>
          <w:p>
            <w:pPr>
              <w:numPr>
                <w:ilvl w:val="0"/>
                <w:numId w:val="17"/>
              </w:numPr>
              <w:spacing w:line="240" w:lineRule="auto"/>
              <w:jc w:val="left"/>
              <w:rPr>
                <w:rFonts w:hint="eastAsia" w:asciiTheme="minorEastAsia" w:hAnsiTheme="minorEastAsia" w:eastAsiaTheme="minorEastAsia" w:cstheme="minorEastAsia"/>
                <w:b w:val="0"/>
                <w:bCs w:val="0"/>
                <w:color w:val="auto"/>
                <w:sz w:val="24"/>
                <w:highlight w:val="none"/>
              </w:rPr>
            </w:pPr>
            <w:r>
              <w:rPr>
                <w:rFonts w:hint="eastAsia" w:ascii="宋体" w:hAnsi="宋体" w:eastAsia="宋体" w:cs="宋体"/>
                <w:b w:val="0"/>
                <w:bCs w:val="0"/>
                <w:color w:val="auto"/>
                <w:sz w:val="24"/>
                <w:szCs w:val="24"/>
                <w:highlight w:val="none"/>
                <w:lang w:val="en-US" w:eastAsia="zh-CN"/>
              </w:rPr>
              <w:t>若采用电</w:t>
            </w:r>
            <w:r>
              <w:rPr>
                <w:rFonts w:hint="eastAsia" w:asciiTheme="minorEastAsia" w:hAnsiTheme="minorEastAsia" w:eastAsiaTheme="minorEastAsia" w:cstheme="minorEastAsia"/>
                <w:b w:val="0"/>
                <w:bCs w:val="0"/>
                <w:color w:val="auto"/>
                <w:sz w:val="24"/>
                <w:highlight w:val="none"/>
                <w:lang w:val="en-US" w:eastAsia="zh-CN"/>
              </w:rPr>
              <w:t>汇或转账方式缴纳时，</w:t>
            </w:r>
            <w:r>
              <w:rPr>
                <w:rFonts w:hint="eastAsia" w:asciiTheme="minorEastAsia" w:hAnsiTheme="minorEastAsia" w:eastAsiaTheme="minorEastAsia" w:cstheme="minorEastAsia"/>
                <w:b w:val="0"/>
                <w:bCs w:val="0"/>
                <w:color w:val="auto"/>
                <w:sz w:val="24"/>
                <w:highlight w:val="none"/>
              </w:rPr>
              <w:t>注明</w:t>
            </w:r>
            <w:r>
              <w:rPr>
                <w:rFonts w:hint="eastAsia" w:asciiTheme="minorEastAsia" w:hAnsiTheme="minorEastAsia" w:eastAsiaTheme="minorEastAsia" w:cstheme="minorEastAsia"/>
                <w:b w:val="0"/>
                <w:bCs w:val="0"/>
                <w:color w:val="auto"/>
                <w:sz w:val="24"/>
                <w:highlight w:val="none"/>
                <w:lang w:eastAsia="zh-CN"/>
              </w:rPr>
              <w:t>磋商保证金</w:t>
            </w:r>
            <w:r>
              <w:rPr>
                <w:rFonts w:hint="eastAsia" w:asciiTheme="minorEastAsia" w:hAnsiTheme="minorEastAsia" w:eastAsiaTheme="minorEastAsia" w:cstheme="minorEastAsia"/>
                <w:b w:val="0"/>
                <w:bCs w:val="0"/>
                <w:color w:val="auto"/>
                <w:sz w:val="24"/>
                <w:highlight w:val="none"/>
              </w:rPr>
              <w:t>项目名称</w:t>
            </w:r>
            <w:r>
              <w:rPr>
                <w:rFonts w:hint="eastAsia" w:asciiTheme="minorEastAsia" w:hAnsiTheme="minorEastAsia" w:eastAsiaTheme="minorEastAsia" w:cstheme="minorEastAsia"/>
                <w:b w:val="0"/>
                <w:bCs w:val="0"/>
                <w:color w:val="auto"/>
                <w:sz w:val="24"/>
                <w:highlight w:val="none"/>
                <w:lang w:eastAsia="zh-CN"/>
              </w:rPr>
              <w:t>（可简写）</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eastAsia="zh-CN"/>
              </w:rPr>
              <w:t>磋商保证金</w:t>
            </w:r>
            <w:r>
              <w:rPr>
                <w:rFonts w:hint="eastAsia" w:asciiTheme="minorEastAsia" w:hAnsiTheme="minorEastAsia" w:eastAsiaTheme="minorEastAsia" w:cstheme="minorEastAsia"/>
                <w:b w:val="0"/>
                <w:bCs w:val="0"/>
                <w:color w:val="auto"/>
                <w:sz w:val="24"/>
                <w:highlight w:val="none"/>
              </w:rPr>
              <w:t>转入</w:t>
            </w:r>
            <w:r>
              <w:rPr>
                <w:rFonts w:hint="eastAsia" w:asciiTheme="minorEastAsia" w:hAnsiTheme="minorEastAsia" w:eastAsiaTheme="minorEastAsia" w:cstheme="minorEastAsia"/>
                <w:b w:val="0"/>
                <w:bCs w:val="0"/>
                <w:sz w:val="24"/>
                <w:szCs w:val="24"/>
                <w:highlight w:val="none"/>
                <w:lang w:eastAsia="zh-CN"/>
              </w:rPr>
              <w:t>以上</w:t>
            </w:r>
            <w:r>
              <w:rPr>
                <w:rFonts w:hint="eastAsia" w:asciiTheme="minorEastAsia" w:hAnsiTheme="minorEastAsia" w:eastAsiaTheme="minorEastAsia" w:cstheme="minorEastAsia"/>
                <w:b w:val="0"/>
                <w:bCs w:val="0"/>
                <w:color w:val="auto"/>
                <w:sz w:val="24"/>
                <w:highlight w:val="none"/>
              </w:rPr>
              <w:t>账户</w:t>
            </w:r>
            <w:r>
              <w:rPr>
                <w:rFonts w:hint="eastAsia" w:asciiTheme="minorEastAsia" w:hAnsiTheme="minorEastAsia" w:eastAsiaTheme="minorEastAsia" w:cstheme="minorEastAsia"/>
                <w:b w:val="0"/>
                <w:bCs w:val="0"/>
                <w:color w:val="auto"/>
                <w:sz w:val="24"/>
                <w:highlight w:val="none"/>
                <w:lang w:val="zh-CN"/>
              </w:rPr>
              <w:t>。</w:t>
            </w:r>
            <w:r>
              <w:rPr>
                <w:rFonts w:hint="eastAsia" w:asciiTheme="minorEastAsia" w:hAnsiTheme="minorEastAsia" w:eastAsiaTheme="minorEastAsia" w:cstheme="minorEastAsia"/>
                <w:b w:val="0"/>
                <w:bCs w:val="0"/>
                <w:sz w:val="24"/>
                <w:szCs w:val="24"/>
                <w:highlight w:val="none"/>
                <w:lang w:eastAsia="zh-CN"/>
              </w:rPr>
              <w:t>本项目不需要换取收据。</w:t>
            </w:r>
          </w:p>
          <w:p>
            <w:pPr>
              <w:numPr>
                <w:ilvl w:val="0"/>
                <w:numId w:val="0"/>
              </w:numPr>
              <w:spacing w:line="240" w:lineRule="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rPr>
              <w:t>2、</w:t>
            </w:r>
            <w:r>
              <w:rPr>
                <w:rFonts w:hint="eastAsia" w:asciiTheme="minorEastAsia" w:hAnsiTheme="minorEastAsia" w:eastAsiaTheme="minorEastAsia" w:cstheme="minorEastAsia"/>
                <w:b w:val="0"/>
                <w:bCs w:val="0"/>
                <w:color w:val="auto"/>
                <w:sz w:val="24"/>
                <w:highlight w:val="none"/>
                <w:lang w:val="en-US" w:eastAsia="zh-CN"/>
              </w:rPr>
              <w:t>若采用</w:t>
            </w:r>
            <w:r>
              <w:rPr>
                <w:rFonts w:hint="eastAsia" w:asciiTheme="minorEastAsia" w:hAnsiTheme="minorEastAsia" w:eastAsiaTheme="minorEastAsia" w:cstheme="minorEastAsia"/>
                <w:b w:val="0"/>
                <w:bCs w:val="0"/>
                <w:color w:val="auto"/>
                <w:sz w:val="24"/>
                <w:highlight w:val="none"/>
              </w:rPr>
              <w:t>银行保函</w:t>
            </w:r>
            <w:r>
              <w:rPr>
                <w:rFonts w:hint="eastAsia" w:asciiTheme="minorEastAsia" w:hAnsiTheme="minorEastAsia" w:eastAsiaTheme="minorEastAsia" w:cstheme="minorEastAsia"/>
                <w:b w:val="0"/>
                <w:bCs w:val="0"/>
                <w:color w:val="auto"/>
                <w:sz w:val="24"/>
                <w:highlight w:val="none"/>
                <w:lang w:val="en-US" w:eastAsia="zh-CN"/>
              </w:rPr>
              <w:t>方式缴纳时，</w:t>
            </w:r>
            <w:r>
              <w:rPr>
                <w:rFonts w:hint="eastAsia" w:asciiTheme="minorEastAsia" w:hAnsiTheme="minorEastAsia" w:eastAsiaTheme="minorEastAsia" w:cstheme="minorEastAsia"/>
                <w:b w:val="0"/>
                <w:bCs w:val="0"/>
                <w:color w:val="auto"/>
                <w:sz w:val="24"/>
                <w:highlight w:val="none"/>
              </w:rPr>
              <w:t>注明所投项目名称</w:t>
            </w:r>
            <w:r>
              <w:rPr>
                <w:rFonts w:hint="eastAsia" w:asciiTheme="minorEastAsia" w:hAnsiTheme="minorEastAsia" w:eastAsiaTheme="minorEastAsia" w:cstheme="minorEastAsia"/>
                <w:b w:val="0"/>
                <w:bCs w:val="0"/>
                <w:color w:val="auto"/>
                <w:sz w:val="24"/>
                <w:highlight w:val="none"/>
                <w:lang w:eastAsia="zh-CN"/>
              </w:rPr>
              <w:t>（可简写），</w:t>
            </w:r>
            <w:r>
              <w:rPr>
                <w:rFonts w:hint="eastAsia" w:asciiTheme="minorEastAsia" w:hAnsiTheme="minorEastAsia" w:eastAsiaTheme="minorEastAsia" w:cstheme="minorEastAsia"/>
                <w:b w:val="0"/>
                <w:bCs w:val="0"/>
                <w:color w:val="auto"/>
                <w:sz w:val="24"/>
                <w:highlight w:val="none"/>
                <w:lang w:val="en-US" w:eastAsia="zh-CN"/>
              </w:rPr>
              <w:t>银行保函有效期不得低于投标有效期。</w:t>
            </w:r>
          </w:p>
          <w:p>
            <w:pPr>
              <w:keepNext w:val="0"/>
              <w:keepLines w:val="0"/>
              <w:widowControl/>
              <w:suppressLineNumbers w:val="0"/>
              <w:spacing w:line="240" w:lineRule="auto"/>
              <w:jc w:val="left"/>
              <w:rPr>
                <w:rFonts w:hint="eastAsia" w:asciiTheme="minorEastAsia" w:hAnsiTheme="minorEastAsia" w:eastAsiaTheme="minorEastAsia" w:cstheme="minorEastAsia"/>
                <w:b w:val="0"/>
                <w:bCs w:val="0"/>
                <w:i/>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注：磋商保证金缴纳</w:t>
            </w:r>
            <w:r>
              <w:rPr>
                <w:rFonts w:hint="eastAsia" w:asciiTheme="minorEastAsia" w:hAnsiTheme="minorEastAsia" w:eastAsiaTheme="minorEastAsia" w:cstheme="minorEastAsia"/>
                <w:b w:val="0"/>
                <w:bCs w:val="0"/>
                <w:color w:val="auto"/>
                <w:sz w:val="24"/>
                <w:highlight w:val="none"/>
              </w:rPr>
              <w:t>截止时间：</w:t>
            </w:r>
            <w:r>
              <w:rPr>
                <w:rFonts w:hint="eastAsia" w:asciiTheme="minorEastAsia" w:hAnsiTheme="minorEastAsia" w:eastAsiaTheme="minorEastAsia" w:cstheme="minorEastAsia"/>
                <w:b w:val="0"/>
                <w:bCs w:val="0"/>
                <w:color w:val="auto"/>
                <w:sz w:val="24"/>
                <w:highlight w:val="none"/>
                <w:lang w:val="en-US" w:eastAsia="zh-CN"/>
              </w:rPr>
              <w:t>投标截止时间</w:t>
            </w:r>
            <w:r>
              <w:rPr>
                <w:rFonts w:hint="eastAsia" w:asciiTheme="minorEastAsia" w:hAnsiTheme="minorEastAsia" w:eastAsiaTheme="minorEastAsia" w:cstheme="minorEastAsia"/>
                <w:b w:val="0"/>
                <w:bCs w:val="0"/>
                <w:color w:val="auto"/>
                <w:sz w:val="24"/>
                <w:highlight w:val="none"/>
                <w:lang w:val="zh-CN"/>
              </w:rPr>
              <w:t>前，以银行到账时间为准。</w:t>
            </w:r>
            <w:r>
              <w:rPr>
                <w:rFonts w:hint="eastAsia" w:asciiTheme="minorEastAsia" w:hAnsiTheme="minorEastAsia" w:eastAsiaTheme="minorEastAsia" w:cstheme="minorEastAsia"/>
                <w:b w:val="0"/>
                <w:bCs w:val="0"/>
                <w:color w:val="auto"/>
                <w:sz w:val="24"/>
                <w:highlight w:val="none"/>
                <w:lang w:val="en-US" w:eastAsia="zh-CN"/>
              </w:rPr>
              <w:t>未按上述规定缴纳磋商保证金，做废标处理。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
                <w:bCs/>
                <w:color w:val="auto"/>
                <w:sz w:val="24"/>
                <w:highlight w:val="none"/>
              </w:rPr>
              <w:t>投标有效期：</w:t>
            </w:r>
            <w:r>
              <w:rPr>
                <w:rFonts w:hint="eastAsia" w:asciiTheme="minorEastAsia" w:hAnsiTheme="minorEastAsia" w:eastAsiaTheme="minorEastAsia" w:cstheme="minorEastAsia"/>
                <w:b/>
                <w:bCs/>
                <w:color w:val="auto"/>
                <w:sz w:val="24"/>
                <w:highlight w:val="none"/>
                <w:u w:val="single"/>
                <w:lang w:val="en-US" w:eastAsia="zh-CN"/>
              </w:rPr>
              <w:t>90</w:t>
            </w:r>
            <w:r>
              <w:rPr>
                <w:rFonts w:hint="eastAsia" w:asciiTheme="minorEastAsia" w:hAnsiTheme="minorEastAsia" w:eastAsiaTheme="minorEastAsia" w:cstheme="minorEastAsia"/>
                <w:b/>
                <w:bCs/>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w:t>
            </w:r>
          </w:p>
        </w:tc>
        <w:tc>
          <w:tcPr>
            <w:tcW w:w="8375" w:type="dxa"/>
            <w:noWrap w:val="0"/>
            <w:vAlign w:val="center"/>
          </w:tcPr>
          <w:p>
            <w:pPr>
              <w:keepNext w:val="0"/>
              <w:keepLines w:val="0"/>
              <w:widowControl/>
              <w:numPr>
                <w:ilvl w:val="0"/>
                <w:numId w:val="0"/>
              </w:numPr>
              <w:suppressLineNumbers w:val="0"/>
              <w:ind w:leftChars="0" w:right="0" w:rightChars="0"/>
              <w:jc w:val="lef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投标人须在响应文件递交截止时间前完成在系统上递交电子响应文件。投标人的电子响应文件是经过CA证书加密后上传提交的，任何单位或个人均无法在响应文件递交截止(即开标时间)之前查看或篡改，不存在泄密风险。（严格按照政采云电子投标流程制作并上传电子响应文件）</w:t>
            </w:r>
          </w:p>
          <w:p>
            <w:pPr>
              <w:keepNext w:val="0"/>
              <w:keepLines w:val="0"/>
              <w:widowControl/>
              <w:numPr>
                <w:ilvl w:val="0"/>
                <w:numId w:val="0"/>
              </w:numPr>
              <w:suppressLineNumbers w:val="0"/>
              <w:ind w:leftChars="0" w:right="0" w:rightChars="0"/>
              <w:jc w:val="lef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本项目实行全流程电子化“不见面”网上开标，请各潜在投标人自行下载学习（新疆政府采购网下载专区）注：投标截止时间前按要求在政采云上传电子版投标文件。</w:t>
            </w:r>
          </w:p>
          <w:p>
            <w:pPr>
              <w:keepNext w:val="0"/>
              <w:keepLines w:val="0"/>
              <w:widowControl/>
              <w:numPr>
                <w:ilvl w:val="0"/>
                <w:numId w:val="0"/>
              </w:numPr>
              <w:suppressLineNumbers w:val="0"/>
              <w:ind w:leftChars="0" w:right="0" w:right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注：成交人在领取成交通知书时须递交纸质投标（响应）文件（按采购人要求提供），按政采云电子响应文件格式顺序打印胶装；格式为PDF的电子投标（响应）文件优质U盘一份。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日1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开标时间：</w:t>
            </w:r>
            <w:r>
              <w:rPr>
                <w:rFonts w:hint="eastAsia" w:asciiTheme="minorEastAsia" w:hAnsiTheme="minorEastAsia" w:eastAsiaTheme="minorEastAsia" w:cstheme="minorEastAsia"/>
                <w:color w:val="auto"/>
                <w:sz w:val="24"/>
                <w:szCs w:val="24"/>
                <w:highlight w:val="none"/>
                <w:lang w:val="en-US" w:eastAsia="zh-CN"/>
              </w:rPr>
              <w:t>同投标截止时间</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w:t>
            </w:r>
            <w:r>
              <w:rPr>
                <w:rFonts w:hint="eastAsia" w:asciiTheme="minorEastAsia" w:hAnsiTheme="minorEastAsia" w:eastAsiaTheme="minorEastAsia" w:cstheme="minorEastAsia"/>
                <w:color w:val="auto"/>
                <w:sz w:val="24"/>
                <w:szCs w:val="24"/>
                <w:highlight w:val="none"/>
                <w:lang w:val="en-US" w:eastAsia="zh-CN"/>
              </w:rPr>
              <w:t>点：</w:t>
            </w:r>
            <w:r>
              <w:rPr>
                <w:rStyle w:val="28"/>
                <w:rFonts w:hint="eastAsia" w:asciiTheme="minorEastAsia" w:hAnsiTheme="minorEastAsia" w:eastAsiaTheme="minorEastAsia" w:cstheme="minorEastAsia"/>
                <w:kern w:val="0"/>
                <w:sz w:val="24"/>
                <w:szCs w:val="24"/>
              </w:rPr>
              <w:t>政采云平台</w:t>
            </w:r>
            <w:r>
              <w:rPr>
                <w:rFonts w:hint="eastAsia" w:asciiTheme="minorEastAsia" w:hAnsiTheme="minorEastAsia" w:eastAsiaTheme="minorEastAsia" w:cstheme="minorEastAsia"/>
                <w:color w:val="auto"/>
                <w:sz w:val="24"/>
                <w:szCs w:val="24"/>
                <w:highlight w:val="none"/>
                <w:lang w:val="en-US" w:eastAsia="zh-CN"/>
              </w:rPr>
              <w:t>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w:t>
            </w:r>
          </w:p>
        </w:tc>
        <w:tc>
          <w:tcPr>
            <w:tcW w:w="8375" w:type="dxa"/>
            <w:noWrap w:val="0"/>
            <w:vAlign w:val="center"/>
          </w:tcPr>
          <w:p>
            <w:pPr>
              <w:spacing w:line="240" w:lineRule="atLeast"/>
              <w:rPr>
                <w:rFonts w:hint="eastAsia" w:asciiTheme="minorEastAsia" w:hAnsiTheme="minorEastAsia" w:eastAsiaTheme="minorEastAsia" w:cstheme="minorEastAsia"/>
                <w:i/>
                <w:color w:val="auto"/>
                <w:sz w:val="24"/>
                <w:highlight w:val="none"/>
              </w:rPr>
            </w:pPr>
            <w:r>
              <w:rPr>
                <w:rFonts w:hint="eastAsia" w:asciiTheme="minorEastAsia" w:hAnsiTheme="minorEastAsia" w:eastAsiaTheme="minorEastAsia" w:cstheme="minorEastAsia"/>
                <w:color w:val="auto"/>
                <w:sz w:val="24"/>
                <w:highlight w:val="none"/>
              </w:rPr>
              <w:t>评标方法：</w:t>
            </w:r>
            <w:r>
              <w:rPr>
                <w:rFonts w:hint="eastAsia" w:asciiTheme="minorEastAsia" w:hAnsiTheme="minorEastAsia" w:eastAsiaTheme="minorEastAsia" w:cstheme="minorEastAsia"/>
                <w:b/>
                <w:bCs/>
                <w:color w:val="auto"/>
                <w:sz w:val="24"/>
                <w:highlight w:val="none"/>
              </w:rPr>
              <w:t>竞争性磋商</w:t>
            </w:r>
            <w:r>
              <w:rPr>
                <w:rFonts w:hint="eastAsia" w:asciiTheme="minorEastAsia" w:hAnsiTheme="minorEastAsia" w:eastAsiaTheme="minorEastAsia" w:cstheme="minorEastAsia"/>
                <w:b/>
                <w:bCs/>
                <w:color w:val="auto"/>
                <w:sz w:val="24"/>
                <w:highlight w:val="none"/>
                <w:lang w:eastAsia="zh-CN"/>
              </w:rPr>
              <w:t>：综合评分法</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szCs w:val="24"/>
                <w:highlight w:val="none"/>
                <w:lang w:eastAsia="zh-CN"/>
              </w:rPr>
              <w:t>本项目采用两次报价且第二</w:t>
            </w:r>
            <w:r>
              <w:rPr>
                <w:rFonts w:hint="eastAsia" w:asciiTheme="minorEastAsia" w:hAnsiTheme="minorEastAsia" w:eastAsiaTheme="minorEastAsia" w:cstheme="minorEastAsia"/>
                <w:color w:val="auto"/>
                <w:kern w:val="0"/>
                <w:sz w:val="24"/>
                <w:szCs w:val="24"/>
                <w:highlight w:val="none"/>
                <w:lang w:val="en-US" w:eastAsia="zh-CN"/>
              </w:rPr>
              <w:t>次</w:t>
            </w:r>
            <w:r>
              <w:rPr>
                <w:rFonts w:hint="eastAsia" w:asciiTheme="minorEastAsia" w:hAnsiTheme="minorEastAsia" w:eastAsiaTheme="minorEastAsia" w:cstheme="minorEastAsia"/>
                <w:color w:val="auto"/>
                <w:kern w:val="0"/>
                <w:sz w:val="24"/>
                <w:szCs w:val="24"/>
                <w:highlight w:val="none"/>
                <w:lang w:eastAsia="zh-CN"/>
              </w:rPr>
              <w:t>报价不得高于第一</w:t>
            </w:r>
            <w:r>
              <w:rPr>
                <w:rFonts w:hint="eastAsia" w:asciiTheme="minorEastAsia" w:hAnsiTheme="minorEastAsia" w:eastAsiaTheme="minorEastAsia" w:cstheme="minorEastAsia"/>
                <w:color w:val="auto"/>
                <w:kern w:val="0"/>
                <w:sz w:val="24"/>
                <w:szCs w:val="24"/>
                <w:highlight w:val="none"/>
                <w:lang w:val="en-US" w:eastAsia="zh-CN"/>
              </w:rPr>
              <w:t>次</w:t>
            </w:r>
            <w:r>
              <w:rPr>
                <w:rFonts w:hint="eastAsia" w:asciiTheme="minorEastAsia" w:hAnsiTheme="minorEastAsia" w:eastAsiaTheme="minorEastAsia" w:cstheme="minorEastAsia"/>
                <w:color w:val="auto"/>
                <w:kern w:val="0"/>
                <w:sz w:val="24"/>
                <w:szCs w:val="24"/>
                <w:highlight w:val="none"/>
                <w:lang w:eastAsia="zh-CN"/>
              </w:rPr>
              <w:t>报价</w:t>
            </w:r>
            <w:r>
              <w:rPr>
                <w:rFonts w:hint="eastAsia" w:asciiTheme="minorEastAsia" w:hAnsiTheme="minorEastAsia" w:eastAsiaTheme="minorEastAsia" w:cstheme="minorEastAsia"/>
                <w:color w:val="auto"/>
                <w:sz w:val="24"/>
                <w:highlight w:val="none"/>
              </w:rPr>
              <w:t>，投标人提交</w:t>
            </w:r>
            <w:r>
              <w:rPr>
                <w:rFonts w:hint="eastAsia" w:asciiTheme="minorEastAsia" w:hAnsiTheme="minorEastAsia" w:eastAsiaTheme="minorEastAsia" w:cstheme="minorEastAsia"/>
                <w:color w:val="auto"/>
                <w:sz w:val="24"/>
                <w:highlight w:val="none"/>
                <w:lang w:val="en-US" w:eastAsia="zh-CN"/>
              </w:rPr>
              <w:t>最后的</w:t>
            </w:r>
            <w:r>
              <w:rPr>
                <w:rFonts w:hint="eastAsia" w:asciiTheme="minorEastAsia" w:hAnsiTheme="minorEastAsia" w:eastAsiaTheme="minorEastAsia" w:cstheme="minorEastAsia"/>
                <w:color w:val="auto"/>
                <w:sz w:val="24"/>
                <w:highlight w:val="none"/>
              </w:rPr>
              <w:t>报价后，磋商小组对所有满足实质性要求</w:t>
            </w:r>
            <w:r>
              <w:rPr>
                <w:rFonts w:hint="eastAsia" w:asciiTheme="minorEastAsia" w:hAnsiTheme="minorEastAsia" w:eastAsiaTheme="minorEastAsia" w:cstheme="minorEastAsia"/>
                <w:color w:val="auto"/>
                <w:sz w:val="24"/>
                <w:highlight w:val="none"/>
                <w:lang w:val="en-US" w:eastAsia="zh-CN"/>
              </w:rPr>
              <w:t>且</w:t>
            </w:r>
            <w:r>
              <w:rPr>
                <w:rFonts w:hint="eastAsia" w:asciiTheme="minorEastAsia" w:hAnsiTheme="minorEastAsia" w:eastAsiaTheme="minorEastAsia" w:cstheme="minorEastAsia"/>
                <w:color w:val="auto"/>
                <w:sz w:val="24"/>
                <w:highlight w:val="none"/>
              </w:rPr>
              <w:t>提交最后报价的投标人的响应文件按评审因素评审得分，最终汇总得分由高到低排序推荐第一、第二、第三中标候选人）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推荐中标候选供应商的数量：</w:t>
            </w:r>
            <w:r>
              <w:rPr>
                <w:rFonts w:hint="eastAsia" w:asciiTheme="minorEastAsia" w:hAnsiTheme="minorEastAsia" w:eastAsiaTheme="minorEastAsia" w:cstheme="minorEastAsia"/>
                <w:color w:val="auto"/>
                <w:sz w:val="24"/>
                <w:szCs w:val="24"/>
                <w:highlight w:val="non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人是否委托磋商小组直接确定中标人：</w:t>
            </w:r>
            <w:r>
              <w:rPr>
                <w:rFonts w:hint="eastAsia" w:asciiTheme="minorEastAsia" w:hAnsiTheme="minorEastAsia" w:eastAsiaTheme="minorEastAsia" w:cstheme="minorEastAsia"/>
                <w:color w:val="auto"/>
                <w:sz w:val="24"/>
                <w:highlight w:val="none"/>
                <w:lang w:val="en-US" w:eastAsia="zh-CN"/>
              </w:rPr>
              <w:t>否</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7"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w:t>
            </w:r>
          </w:p>
        </w:tc>
        <w:tc>
          <w:tcPr>
            <w:tcW w:w="8375" w:type="dxa"/>
            <w:noWrap w:val="0"/>
            <w:vAlign w:val="center"/>
          </w:tcPr>
          <w:p>
            <w:pPr>
              <w:spacing w:line="240" w:lineRule="atLeast"/>
              <w:rPr>
                <w:rFonts w:hint="eastAsia" w:asciiTheme="minorEastAsia" w:hAnsiTheme="minorEastAsia" w:eastAsiaTheme="minorEastAsia" w:cstheme="minorEastAsia"/>
                <w:i w:val="0"/>
                <w:iCs/>
                <w:color w:val="auto"/>
                <w:sz w:val="24"/>
                <w:highlight w:val="none"/>
              </w:rPr>
            </w:pPr>
            <w:r>
              <w:rPr>
                <w:rFonts w:hint="eastAsia" w:asciiTheme="minorEastAsia" w:hAnsiTheme="minorEastAsia" w:eastAsiaTheme="minorEastAsia" w:cstheme="minorEastAsia"/>
                <w:color w:val="auto"/>
                <w:sz w:val="24"/>
                <w:highlight w:val="none"/>
              </w:rPr>
              <w:t>履约保证金金额：</w:t>
            </w:r>
            <w:r>
              <w:rPr>
                <w:rFonts w:hint="eastAsia" w:asciiTheme="minorEastAsia" w:hAnsiTheme="minorEastAsia" w:eastAsiaTheme="minorEastAsia" w:cstheme="minorEastAsia"/>
                <w:b/>
                <w:bCs/>
                <w:color w:val="auto"/>
                <w:sz w:val="24"/>
                <w:highlight w:val="none"/>
              </w:rPr>
              <w:t>合同总价的</w:t>
            </w:r>
            <w:r>
              <w:rPr>
                <w:rFonts w:hint="eastAsia" w:asciiTheme="minorEastAsia" w:hAnsiTheme="minorEastAsia" w:eastAsiaTheme="minorEastAsia" w:cstheme="minorEastAsia"/>
                <w:b/>
                <w:bCs/>
                <w:color w:val="auto"/>
                <w:sz w:val="24"/>
                <w:highlight w:val="none"/>
                <w:u w:val="none"/>
                <w:lang w:val="en-US" w:eastAsia="zh-CN"/>
              </w:rPr>
              <w:t>5%</w:t>
            </w:r>
            <w:r>
              <w:rPr>
                <w:rFonts w:hint="eastAsia" w:asciiTheme="minorEastAsia" w:hAnsiTheme="minorEastAsia" w:eastAsiaTheme="minorEastAsia" w:cstheme="minorEastAsia"/>
                <w:i w:val="0"/>
                <w:iCs/>
                <w:color w:val="auto"/>
                <w:sz w:val="24"/>
                <w:highlight w:val="none"/>
              </w:rPr>
              <w:t>（不得超过政府采购合同金额的10%）</w:t>
            </w:r>
          </w:p>
          <w:p>
            <w:pPr>
              <w:spacing w:line="240" w:lineRule="atLeas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履约保证金形式：</w:t>
            </w:r>
            <w:r>
              <w:rPr>
                <w:rFonts w:hint="eastAsia" w:asciiTheme="minorEastAsia" w:hAnsiTheme="minorEastAsia" w:eastAsiaTheme="minorEastAsia" w:cstheme="minorEastAsia"/>
                <w:color w:val="auto"/>
                <w:sz w:val="24"/>
                <w:szCs w:val="24"/>
                <w:highlight w:val="none"/>
                <w:lang w:eastAsia="zh-CN"/>
              </w:rPr>
              <w:t>转账</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val="en-US" w:eastAsia="zh-CN"/>
              </w:rPr>
              <w:t>电汇或银行保函（基本账户转出或出具）</w:t>
            </w:r>
          </w:p>
          <w:p>
            <w:pPr>
              <w:spacing w:line="240" w:lineRule="atLeas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提交履约保证金的时间：签订合同前打入甲方指定账户 注：双方可以通过协商另行约定其他退还时间和方式及用途。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p>
        </w:tc>
        <w:tc>
          <w:tcPr>
            <w:tcW w:w="8375" w:type="dxa"/>
            <w:noWrap w:val="0"/>
            <w:vAlign w:val="center"/>
          </w:tcPr>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z w:val="24"/>
                <w:highlight w:val="none"/>
              </w:rPr>
              <w:t>中标服务费：</w:t>
            </w:r>
            <w:r>
              <w:rPr>
                <w:rFonts w:hint="eastAsia" w:asciiTheme="minorEastAsia" w:hAnsiTheme="minorEastAsia" w:eastAsiaTheme="minorEastAsia" w:cstheme="minorEastAsia"/>
                <w:color w:val="auto"/>
                <w:sz w:val="24"/>
                <w:highlight w:val="none"/>
                <w:lang w:eastAsia="zh-CN"/>
              </w:rPr>
              <w:t>由中标人支付，招标代理服务费支付金额按《国家发展改革委关于进一步开放建设项目专业服务价格》 发改价格【2015】299计取</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工程量清单编制费造价咨询费</w:t>
            </w:r>
            <w:r>
              <w:rPr>
                <w:rFonts w:hint="eastAsia" w:asciiTheme="minorEastAsia" w:hAnsiTheme="minorEastAsia" w:eastAsiaTheme="minorEastAsia" w:cstheme="minorEastAsia"/>
                <w:color w:val="auto"/>
                <w:sz w:val="24"/>
                <w:highlight w:val="none"/>
                <w:lang w:val="en-US" w:eastAsia="zh-CN"/>
              </w:rPr>
              <w:t>新计价房［2002］866号计取。 </w:t>
            </w:r>
          </w:p>
          <w:p>
            <w:pPr>
              <w:spacing w:line="24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支付时间：</w:t>
            </w:r>
            <w:r>
              <w:rPr>
                <w:rFonts w:hint="eastAsia" w:asciiTheme="minorEastAsia" w:hAnsiTheme="minorEastAsia" w:eastAsiaTheme="minorEastAsia" w:cstheme="minorEastAsia"/>
                <w:color w:val="auto"/>
                <w:sz w:val="24"/>
                <w:highlight w:val="none"/>
                <w:lang w:val="en-US" w:eastAsia="zh-CN"/>
              </w:rPr>
              <w:t>中标人在领取成交通知书时一次性全额支付。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w:t>
            </w:r>
          </w:p>
        </w:tc>
        <w:tc>
          <w:tcPr>
            <w:tcW w:w="8375" w:type="dxa"/>
            <w:noWrap w:val="0"/>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本项目是否属于信用担保试点范围：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否</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w:t>
            </w:r>
          </w:p>
        </w:tc>
        <w:tc>
          <w:tcPr>
            <w:tcW w:w="8375" w:type="dxa"/>
            <w:noWrap w:val="0"/>
            <w:vAlign w:val="center"/>
          </w:tcPr>
          <w:p>
            <w:pPr>
              <w:spacing w:line="240" w:lineRule="atLeast"/>
              <w:ind w:left="-48" w:leftChars="-23" w:firstLine="48" w:firstLineChars="2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政府采购信用担保机构：</w:t>
            </w:r>
            <w:r>
              <w:rPr>
                <w:rFonts w:hint="eastAsia" w:asciiTheme="minorEastAsia" w:hAnsiTheme="minorEastAsia" w:eastAsiaTheme="minorEastAsia" w:cstheme="minorEastAsia"/>
                <w:color w:val="auto"/>
                <w:sz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34.3</w:t>
            </w:r>
          </w:p>
        </w:tc>
        <w:tc>
          <w:tcPr>
            <w:tcW w:w="8375" w:type="dxa"/>
            <w:noWrap w:val="0"/>
            <w:vAlign w:val="center"/>
          </w:tcPr>
          <w:p>
            <w:pPr>
              <w:spacing w:line="240" w:lineRule="atLeast"/>
              <w:ind w:left="710" w:leftChars="-23" w:hanging="758" w:hangingChars="31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反腐倡廉监督电话/邮箱：</w:t>
            </w:r>
            <w:r>
              <w:rPr>
                <w:rFonts w:hint="eastAsia" w:asciiTheme="minorEastAsia" w:hAnsiTheme="minorEastAsia" w:eastAsiaTheme="minorEastAsia" w:cstheme="minorEastAsia"/>
                <w:color w:val="auto"/>
                <w:sz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35            </w:t>
            </w:r>
          </w:p>
        </w:tc>
        <w:tc>
          <w:tcPr>
            <w:tcW w:w="8375" w:type="dxa"/>
            <w:noWrap w:val="0"/>
            <w:vAlign w:val="center"/>
          </w:tcPr>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次招标需要落实的政府采购政策：（1）鼓励节能政策:财政部、发展改革委、生态环境部、市场监管总局《关于调整优化节能产品、环境标志产品政府采购执行机制的通知》（财库【2019】9号）、财政部、发展改革委《关于印发节能产品政府采购品目清单的通知》（财库【2019】19号）、《市场监管总局关于发布参与实施政府采购节能、环境标志产品认证机构名录的公告》（2019年第16号）；</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鼓励环保政策: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年第16号）；</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（3）财政部、工业和信息化部文件关于印发《政府采购促进中小企业发展管理办法》（财库[2020]46号文）、关于进一步加大政府采购支持中小企业力度的通知（财库〔2022〕19号）；</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（4）财政部、司法部《关于政府采购支持监狱企业发展有关问题的通知》（财库〔2014〕68 号）；</w:t>
            </w: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财政部、民政部、中国残疾人联合会文件《关于促进残疾人就业政府采购政策的通知》（财库[2017]141号）；监狱企业、残疾人福利性单位视同小型、微型企业,享受小型、微型企业评审中价格扣除的政府采购政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4"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36.3</w:t>
            </w:r>
          </w:p>
        </w:tc>
        <w:tc>
          <w:tcPr>
            <w:tcW w:w="8375" w:type="dxa"/>
            <w:noWrap w:val="0"/>
            <w:vAlign w:val="center"/>
          </w:tcPr>
          <w:p>
            <w:pPr>
              <w:spacing w:line="240" w:lineRule="atLeast"/>
              <w:ind w:left="710" w:leftChars="-23" w:hanging="758" w:hangingChars="31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联系部门：</w:t>
            </w:r>
            <w:r>
              <w:rPr>
                <w:rFonts w:hint="eastAsia" w:asciiTheme="minorEastAsia" w:hAnsiTheme="minorEastAsia" w:eastAsiaTheme="minorEastAsia" w:cstheme="minorEastAsia"/>
                <w:color w:val="auto"/>
                <w:sz w:val="24"/>
                <w:szCs w:val="24"/>
                <w:highlight w:val="none"/>
                <w:lang w:eastAsia="zh-CN"/>
              </w:rPr>
              <w:t>新疆展毓工程咨询有限公司</w:t>
            </w:r>
          </w:p>
          <w:p>
            <w:pPr>
              <w:spacing w:line="240" w:lineRule="atLeast"/>
              <w:ind w:left="1188" w:leftChars="-23" w:hanging="1236" w:hangingChars="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联系地址：</w:t>
            </w:r>
            <w:r>
              <w:rPr>
                <w:rFonts w:hint="eastAsia" w:asciiTheme="minorEastAsia" w:hAnsiTheme="minorEastAsia" w:eastAsiaTheme="minorEastAsia" w:cstheme="minorEastAsia"/>
                <w:color w:val="auto"/>
                <w:sz w:val="24"/>
                <w:szCs w:val="24"/>
                <w:highlight w:val="none"/>
                <w:lang w:val="en-US" w:eastAsia="zh-CN"/>
              </w:rPr>
              <w:t>喀什市班超路（43号院）</w:t>
            </w:r>
          </w:p>
          <w:p>
            <w:pPr>
              <w:spacing w:line="240" w:lineRule="atLeast"/>
              <w:ind w:left="710" w:leftChars="-23" w:hanging="758" w:hangingChars="316"/>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18097531095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spacing w:line="240" w:lineRule="atLeast"/>
              <w:jc w:val="cente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其他内容</w:t>
            </w:r>
          </w:p>
        </w:tc>
        <w:tc>
          <w:tcPr>
            <w:tcW w:w="8375" w:type="dxa"/>
            <w:noWrap w:val="0"/>
            <w:vAlign w:val="center"/>
          </w:tcPr>
          <w:p>
            <w:pPr>
              <w:keepNext w:val="0"/>
              <w:keepLines w:val="0"/>
              <w:widowControl/>
              <w:suppressLineNumbers w:val="0"/>
              <w:jc w:val="lef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本项目的付款方式为：合同签订后支付合同价的30%预付款，后期款项支付按项目进度支付，完工并验收合格后支付至合同价款的90%，决算审计后按决算价支付尾款，乙方需缴纳合同价款的3%为质保金，期满一年后无息退还（具体以双方实际签订合同为准）。</w:t>
            </w:r>
          </w:p>
          <w:p>
            <w:pPr>
              <w:numPr>
                <w:ilvl w:val="0"/>
                <w:numId w:val="0"/>
              </w:num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合同方式：</w:t>
            </w:r>
            <w:r>
              <w:rPr>
                <w:rFonts w:hint="eastAsia" w:asciiTheme="minorEastAsia" w:hAnsiTheme="minorEastAsia" w:eastAsiaTheme="minorEastAsia" w:cstheme="minorEastAsia"/>
                <w:color w:val="auto"/>
                <w:spacing w:val="0"/>
                <w:w w:val="100"/>
                <w:kern w:val="0"/>
                <w:position w:val="0"/>
                <w:sz w:val="24"/>
                <w:szCs w:val="24"/>
                <w:highlight w:val="none"/>
                <w:u w:val="none"/>
                <w:lang w:val="en-US" w:eastAsia="zh-CN" w:bidi="ar"/>
              </w:rPr>
              <w:t>固定总价合同。</w:t>
            </w:r>
          </w:p>
          <w:p>
            <w:pPr>
              <w:numPr>
                <w:ilvl w:val="0"/>
                <w:numId w:val="0"/>
              </w:numPr>
              <w:spacing w:line="240" w:lineRule="atLeast"/>
              <w:ind w:leftChars="0"/>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项目工期：6</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天（日历日）</w:t>
            </w:r>
            <w:r>
              <w:rPr>
                <w:rFonts w:hint="eastAsia" w:asciiTheme="minorEastAsia" w:hAnsiTheme="minorEastAsia" w:eastAsiaTheme="minorEastAsia" w:cstheme="minorEastAsia"/>
                <w:color w:val="auto"/>
                <w:sz w:val="24"/>
                <w:szCs w:val="24"/>
                <w:highlight w:val="none"/>
                <w:lang w:eastAsia="zh-CN"/>
              </w:rPr>
              <w:t>，计划开、竣工时间：</w:t>
            </w:r>
            <w:r>
              <w:rPr>
                <w:rFonts w:hint="eastAsia" w:asciiTheme="minorEastAsia" w:hAnsiTheme="minorEastAsia" w:eastAsiaTheme="minorEastAsia" w:cstheme="minorEastAsia"/>
                <w:color w:val="auto"/>
                <w:sz w:val="24"/>
                <w:szCs w:val="24"/>
                <w:highlight w:val="none"/>
                <w:lang w:val="en-US" w:eastAsia="zh-CN"/>
              </w:rPr>
              <w:t>2023年07月15日至2023年09月12日（实际以签订合同为准）</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 xml:space="preserve">。     </w:t>
            </w:r>
          </w:p>
          <w:p>
            <w:pPr>
              <w:numPr>
                <w:ilvl w:val="0"/>
                <w:numId w:val="0"/>
              </w:numPr>
              <w:spacing w:line="240" w:lineRule="atLeast"/>
              <w:ind w:leftChars="0"/>
              <w:rPr>
                <w:rFonts w:hint="default"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项目地点：</w:t>
            </w:r>
            <w:r>
              <w:rPr>
                <w:rFonts w:hint="eastAsia" w:asciiTheme="minorEastAsia" w:hAnsiTheme="minorEastAsia" w:eastAsiaTheme="minorEastAsia" w:cstheme="minorEastAsia"/>
                <w:b w:val="0"/>
                <w:bCs w:val="0"/>
                <w:color w:val="auto"/>
                <w:sz w:val="24"/>
                <w:szCs w:val="24"/>
                <w:highlight w:val="none"/>
                <w:lang w:val="en-US" w:eastAsia="zh-CN"/>
              </w:rPr>
              <w:t>喀什市伯什克然木乡</w:t>
            </w:r>
          </w:p>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项目质量标准：合格。</w:t>
            </w:r>
          </w:p>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1、除不可抗力外，如果乙方没有按照约定的期限、地点和方式完成采购内容，那么甲方可要求乙方支付违约金，违约金按</w:t>
            </w:r>
            <w:r>
              <w:rPr>
                <w:rFonts w:hint="eastAsia" w:asciiTheme="minorEastAsia" w:hAnsiTheme="minorEastAsia" w:eastAsiaTheme="minorEastAsia" w:cstheme="minorEastAsia"/>
                <w:color w:val="auto"/>
                <w:spacing w:val="0"/>
                <w:w w:val="100"/>
                <w:kern w:val="0"/>
                <w:position w:val="0"/>
                <w:sz w:val="24"/>
                <w:szCs w:val="24"/>
                <w:highlight w:val="none"/>
                <w:u w:val="single"/>
                <w:lang w:val="en-US" w:eastAsia="zh-CN" w:bidi="ar"/>
              </w:rPr>
              <w:t xml:space="preserve"> 2000元/天 </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计算，最高限额为本合同总价的</w:t>
            </w:r>
            <w:r>
              <w:rPr>
                <w:rFonts w:hint="eastAsia" w:asciiTheme="minorEastAsia" w:hAnsiTheme="minorEastAsia" w:eastAsiaTheme="minorEastAsia" w:cstheme="minorEastAsia"/>
                <w:color w:val="auto"/>
                <w:spacing w:val="0"/>
                <w:w w:val="100"/>
                <w:kern w:val="0"/>
                <w:position w:val="0"/>
                <w:sz w:val="24"/>
                <w:szCs w:val="24"/>
                <w:highlight w:val="none"/>
                <w:u w:val="single"/>
                <w:lang w:val="en-US" w:eastAsia="zh-CN" w:bidi="ar"/>
              </w:rPr>
              <w:t xml:space="preserve"> 10 </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%；迟延的违约金计算数额达到前述最高限额之日起，甲方有权在要求乙方支付违约金的同时，书面通知乙方解除本合同；</w:t>
            </w:r>
          </w:p>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2、财务要求：</w:t>
            </w:r>
            <w:r>
              <w:rPr>
                <w:rFonts w:hint="eastAsia" w:asciiTheme="minorEastAsia" w:hAnsiTheme="minorEastAsia" w:eastAsiaTheme="minorEastAsia" w:cstheme="minorEastAsia"/>
                <w:color w:val="auto"/>
                <w:kern w:val="2"/>
                <w:sz w:val="24"/>
                <w:szCs w:val="24"/>
                <w:highlight w:val="none"/>
                <w:lang w:val="en-US" w:eastAsia="zh-CN" w:bidi="ar-SA"/>
              </w:rPr>
              <w:t>2021年或2022年度的财务审计报告</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（新成立的公司可</w:t>
            </w:r>
            <w:r>
              <w:rPr>
                <w:rFonts w:hint="eastAsia" w:asciiTheme="minorEastAsia" w:hAnsiTheme="minorEastAsia" w:eastAsiaTheme="minorEastAsia" w:cstheme="minorEastAsia"/>
                <w:color w:val="auto"/>
                <w:sz w:val="24"/>
                <w:highlight w:val="none"/>
              </w:rPr>
              <w:t>提供银行出具的证明文件。银行证明文件可提供原件，也可提供银行在开标日前三个月内开具证明文件的复印件。银行出具的证明文件应能说明该投标人与银行之间业务往来正常，企业信誉良好等</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w:t>
            </w:r>
          </w:p>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3、业绩要求：近三年，本项目对企业及人员业绩不做强制要求，若无法提供，不作废标依据。</w:t>
            </w:r>
          </w:p>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4、信誉要求：近三年，无因违约或不恰当履约引起的合同终止、纠纷、争议、仲裁和诉讼记录。</w:t>
            </w:r>
          </w:p>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5、投标人需提供企业用工承诺书（按照新疆维吾尔自治区住房和城乡建设厅新建建函【2017】46号《关于进一步做好自治区住房城乡建设行业固定资产投资项目促进农村劳动力转移就业工作的通知》文件精神,严格落实吸纳新疆籍务工人员就业比例不少于70%（其中普工吸纳新疆籍劳动力就业比例不少于90%）的政策规定）、建筑工人实名制管理工作承诺书等资料。本工程施工过程中必须用70%以上本地区民工；其中，普通基础工作岗位使用本地户籍劳动力就业比例不低于普工总数的90%。并在响应文件中列出</w:t>
            </w:r>
            <w:r>
              <w:rPr>
                <w:rFonts w:hint="eastAsia" w:asciiTheme="minorEastAsia" w:hAnsiTheme="minorEastAsia" w:eastAsiaTheme="minorEastAsia" w:cstheme="minorEastAsia"/>
                <w:b/>
                <w:bCs/>
                <w:color w:val="auto"/>
                <w:spacing w:val="0"/>
                <w:w w:val="100"/>
                <w:kern w:val="0"/>
                <w:position w:val="0"/>
                <w:sz w:val="24"/>
                <w:szCs w:val="24"/>
                <w:highlight w:val="none"/>
                <w:lang w:val="en-US" w:eastAsia="zh-CN" w:bidi="ar"/>
              </w:rPr>
              <w:t>企业用工承诺书、使用当地农民工的用工计划、建筑工人实名制管理工作承诺书</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。中标单位必须购买人员意外保险。（在响应文件中作出承诺，格式自拟）</w:t>
            </w:r>
          </w:p>
          <w:p>
            <w:pPr>
              <w:spacing w:line="240" w:lineRule="atLeast"/>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6、建立农民工工资专户：建设工程承包企业（以下简称建筑施工企业）要按照《关于印发&lt;新疆维吾尔自治区预防和制止拖欠建筑企业民工工资的若干规定&gt;的通知》(新政办发[2003]80号)文件要求，在银行建立“农民工工资发放专户”。建设单位按照工程项目在开户银行单独设立人工费支付专户，并根据工程承包企业提供的用工花名册，在人工费支付专户下分设民工工资个人帐户，银行制发工资卡，民工本人凭工资卡按月领取工资，专款专用，银行对专户进行监管，不得挪作它用。</w:t>
            </w:r>
          </w:p>
          <w:p>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7、投标单位拟投入本项目的项目管理机构人员必须与响应文件中一致，如若中标后因特殊原因确需更换的，需经发包人同意，未经发包人同意，在本合同施工工期内擅自更换建造师、技术负责人的，发包人视承包人自动放弃履行合同，有权解除承包合同。投标单位需将</w:t>
            </w:r>
            <w:r>
              <w:rPr>
                <w:rFonts w:hint="eastAsia" w:asciiTheme="minorEastAsia" w:hAnsiTheme="minorEastAsia" w:eastAsiaTheme="minorEastAsia" w:cstheme="minorEastAsia"/>
                <w:b/>
                <w:bCs/>
                <w:color w:val="auto"/>
                <w:spacing w:val="0"/>
                <w:w w:val="100"/>
                <w:kern w:val="0"/>
                <w:position w:val="0"/>
                <w:sz w:val="24"/>
                <w:szCs w:val="24"/>
                <w:highlight w:val="none"/>
                <w:lang w:val="en-US" w:eastAsia="zh-CN" w:bidi="ar"/>
              </w:rPr>
              <w:t>不随意更换“项目管理机构人员”的承诺</w:t>
            </w: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做入响应文件中（格式自拟）。</w:t>
            </w:r>
          </w:p>
          <w:p>
            <w:pPr>
              <w:spacing w:line="240" w:lineRule="atLeast"/>
              <w:ind w:left="480" w:hanging="480" w:hangingChars="200"/>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t>8、</w:t>
            </w:r>
            <w:r>
              <w:rPr>
                <w:rFonts w:hint="eastAsia" w:asciiTheme="minorEastAsia" w:hAnsiTheme="minorEastAsia" w:eastAsiaTheme="minorEastAsia" w:cstheme="minorEastAsia"/>
                <w:b/>
                <w:bCs/>
                <w:color w:val="auto"/>
                <w:sz w:val="24"/>
                <w:highlight w:val="none"/>
              </w:rPr>
              <w:t>磋商文件澄清或修改发出的形式</w:t>
            </w:r>
            <w:r>
              <w:rPr>
                <w:rFonts w:hint="eastAsia" w:asciiTheme="minorEastAsia" w:hAnsiTheme="minorEastAsia" w:eastAsiaTheme="minorEastAsia" w:cstheme="minorEastAsia"/>
                <w:b/>
                <w:bCs/>
                <w:color w:val="auto"/>
                <w:sz w:val="24"/>
                <w:highlight w:val="none"/>
                <w:lang w:eastAsia="zh-CN"/>
              </w:rPr>
              <w:t>：在原公告发布媒体上发布澄清或修改公告，</w:t>
            </w:r>
          </w:p>
          <w:p>
            <w:pPr>
              <w:spacing w:line="240" w:lineRule="atLeast"/>
              <w:ind w:left="240" w:hanging="241" w:hangingChars="100"/>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供应商在提交响应文件截止时间前须自行查看在原公告发布媒体上发布的澄清</w:t>
            </w:r>
          </w:p>
          <w:p>
            <w:pPr>
              <w:spacing w:line="240" w:lineRule="atLeast"/>
              <w:ind w:left="240" w:hanging="241" w:hangingChars="100"/>
              <w:rPr>
                <w:rFonts w:hint="eastAsia" w:asciiTheme="minorEastAsia" w:hAnsiTheme="minorEastAsia" w:eastAsiaTheme="minorEastAsia" w:cstheme="minorEastAsia"/>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b/>
                <w:bCs/>
                <w:color w:val="auto"/>
                <w:sz w:val="24"/>
                <w:highlight w:val="none"/>
                <w:lang w:eastAsia="zh-CN"/>
              </w:rPr>
              <w:t>或修改公告，因供应商未及时查看而造成的后果自负。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Theme="minorEastAsia" w:hAnsiTheme="minorEastAsia" w:eastAsiaTheme="minorEastAsia" w:cstheme="minorEastAsia"/>
                <w:color w:val="auto"/>
                <w:sz w:val="24"/>
                <w:highlight w:val="none"/>
              </w:rPr>
            </w:pPr>
          </w:p>
        </w:tc>
        <w:tc>
          <w:tcPr>
            <w:tcW w:w="8375" w:type="dxa"/>
            <w:noWrap w:val="0"/>
            <w:vAlign w:val="center"/>
          </w:tcPr>
          <w:p>
            <w:pPr>
              <w:spacing w:line="240" w:lineRule="atLeast"/>
              <w:rPr>
                <w:rFonts w:hint="eastAsia" w:asciiTheme="minorEastAsia" w:hAnsiTheme="minorEastAsia" w:eastAsiaTheme="minorEastAsia" w:cstheme="minorEastAsia"/>
                <w:b/>
                <w:color w:val="auto"/>
                <w:spacing w:val="0"/>
                <w:w w:val="100"/>
                <w:kern w:val="0"/>
                <w:position w:val="0"/>
                <w:sz w:val="24"/>
                <w:szCs w:val="24"/>
                <w:highlight w:val="none"/>
                <w:lang w:val="en-US" w:eastAsia="zh-CN" w:bidi="ar"/>
              </w:rPr>
            </w:pPr>
            <w:r>
              <w:rPr>
                <w:rFonts w:hint="eastAsia" w:asciiTheme="minorEastAsia" w:hAnsiTheme="minorEastAsia" w:eastAsiaTheme="minorEastAsia" w:cstheme="minorEastAsia"/>
                <w:b/>
                <w:bCs/>
                <w:color w:val="auto"/>
                <w:spacing w:val="0"/>
                <w:w w:val="100"/>
                <w:position w:val="0"/>
                <w:sz w:val="24"/>
                <w:szCs w:val="24"/>
                <w:highlight w:val="none"/>
              </w:rPr>
              <w:t>本</w:t>
            </w:r>
            <w:r>
              <w:rPr>
                <w:rFonts w:hint="eastAsia" w:asciiTheme="minorEastAsia" w:hAnsiTheme="minorEastAsia" w:eastAsiaTheme="minorEastAsia" w:cstheme="minorEastAsia"/>
                <w:b/>
                <w:bCs/>
                <w:color w:val="auto"/>
                <w:spacing w:val="0"/>
                <w:w w:val="100"/>
                <w:position w:val="0"/>
                <w:sz w:val="24"/>
                <w:szCs w:val="24"/>
                <w:highlight w:val="none"/>
                <w:lang w:val="en-US" w:eastAsia="zh-CN"/>
              </w:rPr>
              <w:t>磋商</w:t>
            </w:r>
            <w:r>
              <w:rPr>
                <w:rFonts w:hint="eastAsia" w:asciiTheme="minorEastAsia" w:hAnsiTheme="minorEastAsia" w:eastAsiaTheme="minorEastAsia" w:cstheme="minorEastAsia"/>
                <w:b/>
                <w:bCs/>
                <w:color w:val="auto"/>
                <w:spacing w:val="0"/>
                <w:w w:val="100"/>
                <w:position w:val="0"/>
                <w:sz w:val="24"/>
                <w:szCs w:val="24"/>
                <w:highlight w:val="none"/>
              </w:rPr>
              <w:t>文件的解释权属于采购人。</w:t>
            </w:r>
            <w:r>
              <w:rPr>
                <w:rFonts w:hint="eastAsia" w:asciiTheme="minorEastAsia" w:hAnsiTheme="minorEastAsia" w:eastAsiaTheme="minorEastAsia" w:cstheme="minorEastAsia"/>
                <w:b/>
                <w:bCs/>
                <w:color w:val="auto"/>
                <w:sz w:val="24"/>
                <w:szCs w:val="24"/>
                <w:highlight w:val="none"/>
                <w:lang w:val="en-US" w:eastAsia="zh-CN"/>
              </w:rPr>
              <w:t>项目执行过程中，所运用到的规范性文件均以国家或自治区颁布的最新文件为准。</w:t>
            </w:r>
          </w:p>
        </w:tc>
      </w:tr>
    </w:tbl>
    <w:p>
      <w:pPr>
        <w:spacing w:line="240" w:lineRule="atLeast"/>
        <w:ind w:left="1080" w:leftChars="257" w:hanging="540"/>
        <w:rPr>
          <w:rFonts w:hint="eastAsia" w:asciiTheme="minorEastAsia" w:hAnsiTheme="minorEastAsia" w:eastAsiaTheme="minorEastAsia" w:cstheme="minorEastAsia"/>
          <w:color w:val="auto"/>
          <w:sz w:val="24"/>
          <w:highlight w:val="none"/>
        </w:rPr>
      </w:pPr>
    </w:p>
    <w:p>
      <w:pPr>
        <w:pStyle w:val="4"/>
        <w:rPr>
          <w:rFonts w:hint="eastAsia"/>
        </w:rPr>
        <w:sectPr>
          <w:footerReference r:id="rId8" w:type="default"/>
          <w:headerReference r:id="rId7" w:type="even"/>
          <w:footerReference r:id="rId9" w:type="even"/>
          <w:pgSz w:w="11906" w:h="16838"/>
          <w:pgMar w:top="1440" w:right="1417" w:bottom="1440" w:left="1417" w:header="851" w:footer="992" w:gutter="0"/>
          <w:pgNumType w:fmt="decimal"/>
          <w:cols w:space="720" w:num="1"/>
          <w:docGrid w:linePitch="312" w:charSpace="0"/>
        </w:sectPr>
      </w:pPr>
    </w:p>
    <w:p>
      <w:pPr>
        <w:pStyle w:val="3"/>
        <w:numPr>
          <w:ilvl w:val="0"/>
          <w:numId w:val="0"/>
        </w:numPr>
        <w:tabs>
          <w:tab w:val="left" w:pos="0"/>
        </w:tabs>
        <w:spacing w:before="0" w:after="0" w:line="240" w:lineRule="atLeast"/>
        <w:ind w:leftChars="0"/>
        <w:jc w:val="center"/>
        <w:rPr>
          <w:rFonts w:hint="eastAsia" w:asciiTheme="minorEastAsia" w:hAnsiTheme="minorEastAsia" w:eastAsiaTheme="minorEastAsia" w:cstheme="minorEastAsia"/>
          <w:color w:val="auto"/>
          <w:highlight w:val="none"/>
        </w:rPr>
      </w:pPr>
      <w:bookmarkStart w:id="358" w:name="_Toc16938"/>
      <w:bookmarkStart w:id="359" w:name="_Toc31550"/>
      <w:bookmarkStart w:id="360" w:name="_Toc216582825"/>
      <w:bookmarkStart w:id="361" w:name="_Toc218935354"/>
      <w:bookmarkStart w:id="362" w:name="_Toc518923126"/>
      <w:bookmarkStart w:id="363" w:name="_Toc4879"/>
      <w:bookmarkStart w:id="364" w:name="_Toc10695"/>
      <w:bookmarkStart w:id="365" w:name="_Toc507399906"/>
      <w:bookmarkStart w:id="366" w:name="_Toc219175638"/>
      <w:bookmarkStart w:id="367" w:name="_Toc512937852"/>
      <w:r>
        <w:rPr>
          <w:rFonts w:hint="eastAsia" w:asciiTheme="minorEastAsia" w:hAnsiTheme="minorEastAsia" w:eastAsiaTheme="minorEastAsia" w:cstheme="minorEastAsia"/>
          <w:color w:val="auto"/>
          <w:highlight w:val="none"/>
          <w:lang w:val="en-US" w:eastAsia="zh-CN"/>
        </w:rPr>
        <w:t xml:space="preserve">第5章   </w:t>
      </w:r>
      <w:bookmarkStart w:id="368" w:name="_Toc5197"/>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需求</w:t>
      </w:r>
      <w:bookmarkEnd w:id="358"/>
      <w:bookmarkEnd w:id="359"/>
      <w:bookmarkEnd w:id="360"/>
      <w:bookmarkEnd w:id="361"/>
      <w:bookmarkEnd w:id="362"/>
      <w:bookmarkEnd w:id="363"/>
      <w:bookmarkEnd w:id="364"/>
      <w:bookmarkEnd w:id="365"/>
      <w:bookmarkEnd w:id="366"/>
      <w:bookmarkEnd w:id="368"/>
    </w:p>
    <w:bookmarkEnd w:id="367"/>
    <w:p>
      <w:pPr>
        <w:rPr>
          <w:rFonts w:hint="eastAsia"/>
          <w:lang w:val="en-US" w:eastAsia="zh-CN"/>
        </w:rPr>
      </w:pPr>
    </w:p>
    <w:p>
      <w:pPr>
        <w:keepNext w:val="0"/>
        <w:keepLines w:val="0"/>
        <w:pageBreakBefore w:val="0"/>
        <w:numPr>
          <w:ilvl w:val="0"/>
          <w:numId w:val="18"/>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工程概况：</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stheme="minorEastAsia"/>
          <w:color w:val="auto"/>
          <w:sz w:val="21"/>
          <w:szCs w:val="21"/>
          <w:highlight w:val="red"/>
          <w:lang w:val="en-US" w:eastAsia="zh-CN"/>
        </w:rPr>
      </w:pPr>
      <w:r>
        <w:rPr>
          <w:rFonts w:hint="eastAsia" w:asciiTheme="minorEastAsia" w:hAnsiTheme="minorEastAsia" w:eastAsiaTheme="minorEastAsia" w:cstheme="minorEastAsia"/>
          <w:color w:val="auto"/>
          <w:sz w:val="21"/>
          <w:szCs w:val="21"/>
          <w:highlight w:val="none"/>
        </w:rPr>
        <w:t>本工程为</w:t>
      </w:r>
      <w:r>
        <w:rPr>
          <w:rFonts w:hint="eastAsia" w:asciiTheme="minorEastAsia" w:hAnsiTheme="minorEastAsia" w:eastAsiaTheme="minorEastAsia" w:cstheme="minorEastAsia"/>
          <w:color w:val="auto"/>
          <w:sz w:val="21"/>
          <w:szCs w:val="21"/>
          <w:highlight w:val="none"/>
          <w:lang w:eastAsia="zh-CN"/>
        </w:rPr>
        <w:t>喀什市伯什克然木乡商铺建设项目，建设内容</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在伯什克然木乡21村（选址11村巴扎）新疆一层混凝土结构商铺，共552平方米，配套上下水、电、暖等附属设施，每平方米投资约2543元。（本工程工程量清单及编制说明和施工图纸的全部内容）。</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 编制依据：</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 </w:t>
      </w:r>
      <w:r>
        <w:rPr>
          <w:rFonts w:hint="eastAsia" w:asciiTheme="minorEastAsia" w:hAnsiTheme="minorEastAsia" w:eastAsiaTheme="minorEastAsia" w:cstheme="minorEastAsia"/>
          <w:color w:val="auto"/>
          <w:sz w:val="21"/>
          <w:szCs w:val="21"/>
          <w:highlight w:val="none"/>
        </w:rPr>
        <w:t>《建设工程工程量清单计价规范</w:t>
      </w:r>
      <w:r>
        <w:rPr>
          <w:rFonts w:hint="eastAsia" w:asciiTheme="minorEastAsia" w:hAnsiTheme="minorEastAsia" w:eastAsiaTheme="minorEastAsia" w:cstheme="minorEastAsia"/>
          <w:color w:val="auto"/>
          <w:sz w:val="21"/>
          <w:szCs w:val="21"/>
          <w:highlight w:val="none"/>
          <w:lang w:val="en-US" w:eastAsia="zh-CN"/>
        </w:rPr>
        <w:t>》GB50500-2013；</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根据业主提供的工程量清单；</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新疆安装工程预算定额喀什地区单位估价(2011)；</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新疆建筑工程消耗量定额喀什地区单位估价表(2011)</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全统装饰装修工程消耗量定额喀什地区单位估价汇总表(2011）</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新疆市政工程消耗量定额喀什地区单位估价汇总表(2016）</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税率采用《关于建筑业营业税改增值税调整新疆建设工程计价依据的实施意见》通知-喀什地区营改增文件</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本工程人工及材料执行喀什地区工程造价管理站发布的最新材料信息价及材料市场价进行计取。</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right="0"/>
        <w:jc w:val="left"/>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三、工程量清单投标报价规定：</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1、工程量清单应与投标人须知、合同通用条款、合同专用条款、设计图纸、规范要求、图纸答疑、设计变更等文件及中华人民共和国国家标准GB50500-2013《建设工程工程量清单计价规范》结合起来理解或解释；</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2、投标人报价时不允许对工程项目、数量进行调整和改动，结算时按中标的综合单价进行结算与支付。其他变更项目，按合同条款确定的单价进行结算与支付；</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工程量清单中所填入的综合单价为按技术规范与技术要求完成一个规定计量单位的工程所需的人工费、材料费、机械使用费、管理费和利润，按技术规范要求完成一个规定计量单位的工程量所需的其他一切费用，并包括工程量清单项目中没有体现的但施工过程中又必须发生的工程内容所需的费用。除非投标人在措施项目清单中列出，否则视为已包含在工程量清单各项目的综合单价中；</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4、工程量清单中的每一项目必须填入综合单价和合价，投标人没有填入综合单价和合价的项目，其费用均视为已包含在工程量清单的其他单价和合价中；</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5、措施项目费是为完成工程项目施工，发生于该工程施工前和施工过程中技术、生活、安全等方面的非工程实体项目所产生的全部措施费用。清单中所列措施项目是</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人根据一般情况所列的项目，投标人根据实际措施不同时，可根据具体列项内容自行报价。中标后，除合同条款没有明确约定的，工程措施项目费将以总价包干，结算时不再进行调整；</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人提供的工程量清单，是投标人投标报价的基础，投标人所填写的工程量清单中的综合单价作为签订合同、拨付工程进度款和工程结算的依据。中标人由于自身原因造成工程量的增加，均不予以调增；</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工程量清单中的项目名称、项目特征所描述内容为主要内容，投标人投标报价时应详细阅读施工图纸及根据有关规范的要求等，综合单价为完成该项目的全部工作内容。本工程量清单叙述不到位的，由投标人根据施工图纸、施工组织设计和相关施工规范等内容考虑在报价中；</w:t>
      </w:r>
    </w:p>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rPr>
        <w:t xml:space="preserve">8、投标人必须依据施工图纸及相关规范认真核对清单项目和工程量。如有疑问，图纸答疑时应及时提出，并与清单编制单位核对。若未提出疑问或不与清单编制单位核对，视为接受，结算时一律不予调整。   </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pPr>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0"/>
          <w:szCs w:val="30"/>
          <w:highlight w:val="none"/>
          <w:lang w:val="en-US" w:eastAsia="zh-CN"/>
        </w:rPr>
        <w:t>工程量清单详见附件</w:t>
      </w:r>
    </w:p>
    <w:p>
      <w:pPr>
        <w:pStyle w:val="3"/>
        <w:numPr>
          <w:ilvl w:val="0"/>
          <w:numId w:val="7"/>
        </w:numPr>
        <w:tabs>
          <w:tab w:val="left" w:pos="0"/>
          <w:tab w:val="clear" w:pos="3134"/>
        </w:tabs>
        <w:spacing w:before="0" w:after="0" w:line="240" w:lineRule="atLeast"/>
        <w:ind w:left="0" w:hanging="1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br w:type="page"/>
      </w:r>
      <w:r>
        <w:rPr>
          <w:rFonts w:hint="eastAsia" w:asciiTheme="minorEastAsia" w:hAnsiTheme="minorEastAsia" w:eastAsiaTheme="minorEastAsia" w:cstheme="minorEastAsia"/>
          <w:b/>
          <w:color w:val="auto"/>
          <w:highlight w:val="none"/>
        </w:rPr>
        <w:t xml:space="preserve">  </w:t>
      </w:r>
      <w:bookmarkStart w:id="369" w:name="_Toc10220"/>
      <w:bookmarkStart w:id="370" w:name="_Toc17700"/>
      <w:r>
        <w:rPr>
          <w:rFonts w:hint="eastAsia" w:asciiTheme="minorEastAsia" w:hAnsiTheme="minorEastAsia" w:eastAsiaTheme="minorEastAsia" w:cstheme="minorEastAsia"/>
          <w:b/>
          <w:color w:val="auto"/>
          <w:highlight w:val="none"/>
        </w:rPr>
        <w:t>评标方法和标准</w:t>
      </w:r>
      <w:bookmarkEnd w:id="369"/>
      <w:bookmarkEnd w:id="370"/>
    </w:p>
    <w:p>
      <w:pPr>
        <w:pStyle w:val="9"/>
        <w:tabs>
          <w:tab w:val="clear" w:pos="567"/>
        </w:tabs>
        <w:spacing w:before="0" w:line="240" w:lineRule="atLeast"/>
        <w:ind w:firstLine="540" w:firstLineChars="225"/>
        <w:rPr>
          <w:rFonts w:hint="eastAsia" w:asciiTheme="minorEastAsia" w:hAnsiTheme="minorEastAsia" w:eastAsiaTheme="minorEastAsia" w:cstheme="minorEastAsia"/>
          <w:color w:val="auto"/>
          <w:highlight w:val="none"/>
        </w:rPr>
      </w:pPr>
    </w:p>
    <w:p>
      <w:pPr>
        <w:pStyle w:val="4"/>
        <w:bidi w:val="0"/>
        <w:outlineLvl w:val="1"/>
        <w:rPr>
          <w:rFonts w:hint="eastAsia" w:asciiTheme="minorEastAsia" w:hAnsiTheme="minorEastAsia" w:eastAsiaTheme="minorEastAsia" w:cstheme="minorEastAsia"/>
          <w:color w:val="auto"/>
          <w:sz w:val="32"/>
          <w:szCs w:val="32"/>
          <w:highlight w:val="none"/>
        </w:rPr>
      </w:pPr>
      <w:bookmarkStart w:id="371" w:name="_Toc11102"/>
      <w:bookmarkStart w:id="372" w:name="_Toc20045"/>
      <w:bookmarkStart w:id="373" w:name="_Toc11679"/>
      <w:bookmarkStart w:id="374" w:name="_Toc21668"/>
      <w:bookmarkStart w:id="375" w:name="_Toc13054"/>
      <w:bookmarkStart w:id="376" w:name="_Toc7491"/>
      <w:bookmarkStart w:id="377" w:name="_Toc15630"/>
      <w:r>
        <w:rPr>
          <w:rFonts w:hint="eastAsia" w:asciiTheme="minorEastAsia" w:hAnsiTheme="minorEastAsia" w:eastAsiaTheme="minorEastAsia" w:cstheme="minorEastAsia"/>
          <w:color w:val="auto"/>
          <w:sz w:val="32"/>
          <w:szCs w:val="32"/>
          <w:highlight w:val="none"/>
        </w:rPr>
        <w:t>一、评标方法</w:t>
      </w:r>
      <w:bookmarkEnd w:id="371"/>
      <w:bookmarkEnd w:id="372"/>
      <w:bookmarkEnd w:id="373"/>
      <w:bookmarkEnd w:id="374"/>
      <w:bookmarkEnd w:id="375"/>
      <w:bookmarkEnd w:id="376"/>
      <w:bookmarkEnd w:id="377"/>
    </w:p>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lang w:eastAsia="zh-CN"/>
        </w:rPr>
        <w:t>（</w:t>
      </w:r>
      <w:r>
        <w:rPr>
          <w:rFonts w:hint="eastAsia" w:asciiTheme="minorEastAsia" w:hAnsiTheme="minorEastAsia" w:eastAsiaTheme="minorEastAsia" w:cstheme="minorEastAsia"/>
          <w:b/>
          <w:color w:val="auto"/>
          <w:kern w:val="0"/>
          <w:sz w:val="22"/>
          <w:szCs w:val="22"/>
          <w:highlight w:val="none"/>
          <w:lang w:val="en-US" w:eastAsia="zh-CN"/>
        </w:rPr>
        <w:t>一</w:t>
      </w:r>
      <w:r>
        <w:rPr>
          <w:rFonts w:hint="eastAsia" w:asciiTheme="minorEastAsia" w:hAnsiTheme="minorEastAsia" w:eastAsiaTheme="minorEastAsia" w:cstheme="minorEastAsia"/>
          <w:b/>
          <w:color w:val="auto"/>
          <w:kern w:val="0"/>
          <w:sz w:val="22"/>
          <w:szCs w:val="22"/>
          <w:highlight w:val="none"/>
          <w:lang w:eastAsia="zh-CN"/>
        </w:rPr>
        <w:t>）</w:t>
      </w:r>
      <w:r>
        <w:rPr>
          <w:rFonts w:hint="eastAsia" w:asciiTheme="minorEastAsia" w:hAnsiTheme="minorEastAsia" w:eastAsiaTheme="minorEastAsia" w:cstheme="minorEastAsia"/>
          <w:b/>
          <w:color w:val="auto"/>
          <w:kern w:val="0"/>
          <w:sz w:val="22"/>
          <w:szCs w:val="22"/>
          <w:highlight w:val="none"/>
        </w:rPr>
        <w:t>总则</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1.磋商小组</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1.1评标由依法组建的磋商小组成员负责。</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磋商小组构成</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3</w:t>
      </w:r>
      <w:r>
        <w:rPr>
          <w:rFonts w:hint="eastAsia" w:asciiTheme="minorEastAsia" w:hAnsiTheme="minorEastAsia" w:eastAsiaTheme="minorEastAsia" w:cstheme="minorEastAsia"/>
          <w:color w:val="auto"/>
          <w:kern w:val="0"/>
          <w:sz w:val="22"/>
          <w:szCs w:val="22"/>
          <w:highlight w:val="none"/>
        </w:rPr>
        <w:t>人</w:t>
      </w:r>
      <w:r>
        <w:rPr>
          <w:rFonts w:hint="eastAsia" w:asciiTheme="minorEastAsia" w:hAnsiTheme="minorEastAsia" w:eastAsiaTheme="minorEastAsia" w:cstheme="minorEastAsia"/>
          <w:color w:val="auto"/>
          <w:kern w:val="0"/>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评标专家确定方式：</w:t>
      </w:r>
      <w:r>
        <w:rPr>
          <w:rFonts w:hint="eastAsia" w:asciiTheme="minorEastAsia" w:hAnsiTheme="minorEastAsia" w:eastAsiaTheme="minorEastAsia" w:cstheme="minorEastAsia"/>
          <w:color w:val="auto"/>
          <w:kern w:val="0"/>
          <w:sz w:val="22"/>
          <w:szCs w:val="22"/>
          <w:highlight w:val="none"/>
          <w:lang w:val="en-US" w:eastAsia="zh-CN"/>
        </w:rPr>
        <w:t>政采云专家库</w:t>
      </w:r>
      <w:r>
        <w:rPr>
          <w:rFonts w:hint="eastAsia" w:asciiTheme="minorEastAsia" w:hAnsiTheme="minorEastAsia" w:eastAsiaTheme="minorEastAsia" w:cstheme="minorEastAsia"/>
          <w:color w:val="auto"/>
          <w:kern w:val="0"/>
          <w:sz w:val="22"/>
          <w:szCs w:val="22"/>
          <w:highlight w:val="none"/>
        </w:rPr>
        <w:t>随机抽取。</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2.评标方法</w:t>
      </w:r>
    </w:p>
    <w:p>
      <w:pPr>
        <w:keepNext w:val="0"/>
        <w:keepLines w:val="0"/>
        <w:pageBreakBefore w:val="0"/>
        <w:widowControl w:val="0"/>
        <w:kinsoku/>
        <w:wordWrap/>
        <w:overflowPunct/>
        <w:topLinePunct w:val="0"/>
        <w:autoSpaceDE/>
        <w:autoSpaceDN/>
        <w:bidi w:val="0"/>
        <w:adjustRightInd w:val="0"/>
        <w:snapToGrid w:val="0"/>
        <w:spacing w:line="280" w:lineRule="exact"/>
        <w:ind w:firstLine="442" w:firstLineChars="200"/>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2.1本项目评标方法为：</w:t>
      </w:r>
      <w:r>
        <w:rPr>
          <w:rFonts w:hint="eastAsia" w:asciiTheme="minorEastAsia" w:hAnsiTheme="minorEastAsia" w:eastAsiaTheme="minorEastAsia" w:cstheme="minorEastAsia"/>
          <w:b/>
          <w:bCs/>
          <w:color w:val="auto"/>
          <w:sz w:val="22"/>
          <w:szCs w:val="22"/>
          <w:highlight w:val="none"/>
        </w:rPr>
        <w:t>竞争性磋商</w:t>
      </w:r>
      <w:r>
        <w:rPr>
          <w:rFonts w:hint="eastAsia" w:asciiTheme="minorEastAsia" w:hAnsiTheme="minorEastAsia" w:eastAsiaTheme="minorEastAsia" w:cstheme="minorEastAsia"/>
          <w:b/>
          <w:bCs/>
          <w:color w:val="auto"/>
          <w:sz w:val="22"/>
          <w:szCs w:val="22"/>
          <w:highlight w:val="none"/>
          <w:lang w:eastAsia="zh-CN"/>
        </w:rPr>
        <w:t>（综合评分法）</w:t>
      </w:r>
      <w:r>
        <w:rPr>
          <w:rFonts w:hint="eastAsia" w:asciiTheme="minorEastAsia" w:hAnsiTheme="minorEastAsia" w:eastAsiaTheme="minorEastAsia" w:cstheme="minorEastAsia"/>
          <w:b/>
          <w:color w:val="auto"/>
          <w:kern w:val="0"/>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2.1.1综合评分法（</w:t>
      </w:r>
      <w:r>
        <w:rPr>
          <w:rFonts w:hint="eastAsia" w:asciiTheme="minorEastAsia" w:hAnsiTheme="minorEastAsia" w:eastAsiaTheme="minorEastAsia" w:cstheme="minorEastAsia"/>
          <w:color w:val="auto"/>
          <w:kern w:val="0"/>
          <w:sz w:val="22"/>
          <w:szCs w:val="22"/>
          <w:highlight w:val="none"/>
          <w:lang w:eastAsia="zh-CN"/>
        </w:rPr>
        <w:t>本项目采用两次报价且第二</w:t>
      </w:r>
      <w:r>
        <w:rPr>
          <w:rFonts w:hint="eastAsia" w:asciiTheme="minorEastAsia" w:hAnsiTheme="minorEastAsia" w:eastAsiaTheme="minorEastAsia" w:cstheme="minorEastAsia"/>
          <w:color w:val="auto"/>
          <w:kern w:val="0"/>
          <w:sz w:val="22"/>
          <w:szCs w:val="22"/>
          <w:highlight w:val="none"/>
          <w:lang w:val="en-US" w:eastAsia="zh-CN"/>
        </w:rPr>
        <w:t>次</w:t>
      </w:r>
      <w:r>
        <w:rPr>
          <w:rFonts w:hint="eastAsia" w:asciiTheme="minorEastAsia" w:hAnsiTheme="minorEastAsia" w:eastAsiaTheme="minorEastAsia" w:cstheme="minorEastAsia"/>
          <w:color w:val="auto"/>
          <w:kern w:val="0"/>
          <w:sz w:val="22"/>
          <w:szCs w:val="22"/>
          <w:highlight w:val="none"/>
          <w:lang w:eastAsia="zh-CN"/>
        </w:rPr>
        <w:t>报价不得高于第一</w:t>
      </w:r>
      <w:r>
        <w:rPr>
          <w:rFonts w:hint="eastAsia" w:asciiTheme="minorEastAsia" w:hAnsiTheme="minorEastAsia" w:eastAsiaTheme="minorEastAsia" w:cstheme="minorEastAsia"/>
          <w:color w:val="auto"/>
          <w:kern w:val="0"/>
          <w:sz w:val="22"/>
          <w:szCs w:val="22"/>
          <w:highlight w:val="none"/>
          <w:lang w:val="en-US" w:eastAsia="zh-CN"/>
        </w:rPr>
        <w:t>次</w:t>
      </w:r>
      <w:r>
        <w:rPr>
          <w:rFonts w:hint="eastAsia" w:asciiTheme="minorEastAsia" w:hAnsiTheme="minorEastAsia" w:eastAsiaTheme="minorEastAsia" w:cstheme="minorEastAsia"/>
          <w:color w:val="auto"/>
          <w:kern w:val="0"/>
          <w:sz w:val="22"/>
          <w:szCs w:val="22"/>
          <w:highlight w:val="none"/>
          <w:lang w:eastAsia="zh-CN"/>
        </w:rPr>
        <w:t>报价</w:t>
      </w:r>
      <w:r>
        <w:rPr>
          <w:rFonts w:hint="eastAsia" w:asciiTheme="minorEastAsia" w:hAnsiTheme="minorEastAsia" w:eastAsiaTheme="minorEastAsia" w:cstheme="minorEastAsia"/>
          <w:color w:val="auto"/>
          <w:kern w:val="0"/>
          <w:sz w:val="22"/>
          <w:szCs w:val="22"/>
          <w:highlight w:val="none"/>
        </w:rPr>
        <w:t>，投标人提交最后的报价后，磋商小组对所有满足实质性要求且提交最后报价的投标人的响应文件按评审因素评审得分，最终汇总得分由高到低排序推荐第一、第二、第三中标候选人）。</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评标因素的设定包括投标报价、技术水平等</w:t>
      </w:r>
      <w:r>
        <w:rPr>
          <w:rFonts w:hint="eastAsia" w:asciiTheme="minorEastAsia" w:hAnsiTheme="minorEastAsia" w:eastAsiaTheme="minorEastAsia" w:cstheme="minorEastAsia"/>
          <w:color w:val="auto"/>
          <w:kern w:val="0"/>
          <w:sz w:val="22"/>
          <w:szCs w:val="22"/>
          <w:highlight w:val="none"/>
          <w:lang w:val="en-US" w:eastAsia="zh-CN"/>
        </w:rPr>
        <w:t>有关内容</w:t>
      </w:r>
      <w:r>
        <w:rPr>
          <w:rFonts w:hint="eastAsia" w:asciiTheme="minorEastAsia" w:hAnsiTheme="minorEastAsia" w:eastAsiaTheme="minorEastAsia" w:cstheme="minorEastAsia"/>
          <w:color w:val="auto"/>
          <w:kern w:val="0"/>
          <w:sz w:val="22"/>
          <w:szCs w:val="22"/>
          <w:highlight w:val="none"/>
        </w:rPr>
        <w:t>。资格条件不得作为评标因素。最低投标报价不是确定中标候选人的唯一标准，磋商小组根据投标人企业实力、实施方案、投标报价等综合因素标准确定中标候选人</w:t>
      </w:r>
      <w:r>
        <w:rPr>
          <w:rFonts w:hint="eastAsia" w:asciiTheme="minorEastAsia" w:hAnsiTheme="minorEastAsia" w:eastAsiaTheme="minorEastAsia" w:cstheme="minorEastAsia"/>
          <w:color w:val="auto"/>
          <w:kern w:val="0"/>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2.1.2评标时，磋商小组各成员应当独立对每个投标人的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进行评价，并汇总每个投标人的得分。</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2.1.3评标过程中，不得去掉报价中的最高报价和最低报价。</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2.1.4因落实政府采购政策进行价格</w:t>
      </w:r>
      <w:r>
        <w:rPr>
          <w:rFonts w:hint="eastAsia" w:asciiTheme="minorEastAsia" w:hAnsiTheme="minorEastAsia" w:eastAsiaTheme="minorEastAsia" w:cstheme="minorEastAsia"/>
          <w:color w:val="auto"/>
          <w:kern w:val="0"/>
          <w:sz w:val="22"/>
          <w:szCs w:val="22"/>
          <w:highlight w:val="none"/>
          <w:lang w:val="en-US" w:eastAsia="zh-CN"/>
        </w:rPr>
        <w:t>或投标报价得分</w:t>
      </w:r>
      <w:r>
        <w:rPr>
          <w:rFonts w:hint="eastAsia" w:asciiTheme="minorEastAsia" w:hAnsiTheme="minorEastAsia" w:eastAsiaTheme="minorEastAsia" w:cstheme="minorEastAsia"/>
          <w:color w:val="auto"/>
          <w:kern w:val="0"/>
          <w:sz w:val="22"/>
          <w:szCs w:val="22"/>
          <w:highlight w:val="none"/>
        </w:rPr>
        <w:t>调整的，</w:t>
      </w:r>
      <w:r>
        <w:rPr>
          <w:rFonts w:hint="eastAsia" w:asciiTheme="minorEastAsia" w:hAnsiTheme="minorEastAsia" w:eastAsiaTheme="minorEastAsia" w:cstheme="minorEastAsia"/>
          <w:color w:val="auto"/>
          <w:kern w:val="0"/>
          <w:sz w:val="22"/>
          <w:szCs w:val="22"/>
          <w:highlight w:val="none"/>
          <w:lang w:val="en-US" w:eastAsia="zh-CN"/>
        </w:rPr>
        <w:t>按法律法规规定内容进行调整</w:t>
      </w:r>
      <w:r>
        <w:rPr>
          <w:rFonts w:hint="eastAsia" w:asciiTheme="minorEastAsia" w:hAnsiTheme="minorEastAsia" w:eastAsiaTheme="minorEastAsia" w:cstheme="minorEastAsia"/>
          <w:color w:val="auto"/>
          <w:kern w:val="0"/>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2.2评标结果按评标后得分由高到低顺序排列，得分相同的，按投标报价由低到高顺序排列。得分且投标报价相同的并列。</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满足</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文件全部实质性要求，且按照评标因素的量化指标评标得分最高的投标人为排名第一的中标候选人。</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3.评标原则和评标纪律</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3.1磋商小组成员应当按照客观、公正、</w:t>
      </w:r>
      <w:r>
        <w:rPr>
          <w:rFonts w:hint="eastAsia" w:asciiTheme="minorEastAsia" w:hAnsiTheme="minorEastAsia" w:eastAsiaTheme="minorEastAsia" w:cstheme="minorEastAsia"/>
          <w:color w:val="auto"/>
          <w:kern w:val="0"/>
          <w:sz w:val="22"/>
          <w:szCs w:val="22"/>
          <w:highlight w:val="none"/>
          <w:lang w:val="en-US" w:eastAsia="zh-CN"/>
        </w:rPr>
        <w:t>公平</w:t>
      </w:r>
      <w:r>
        <w:rPr>
          <w:rFonts w:hint="eastAsia" w:asciiTheme="minorEastAsia" w:hAnsiTheme="minorEastAsia" w:eastAsiaTheme="minorEastAsia" w:cstheme="minorEastAsia"/>
          <w:color w:val="auto"/>
          <w:kern w:val="0"/>
          <w:sz w:val="22"/>
          <w:szCs w:val="22"/>
          <w:highlight w:val="none"/>
        </w:rPr>
        <w:t>的原则，根据</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文件规定的评标程序、评标方法和评标标准进行独立评标。磋商小组成员发现</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文件存在歧义、重大缺陷导致评标工作无法进行，或者</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文件内容违反国家有关强制性规定的，应当停止评标工作，与采购人或者采购代理机构沟通并作书面记录。采购人或者采购代理机构确认后，应当修改</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文件，重新组织采购活动。</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3.3评标纪律</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Theme="minorEastAsia" w:hAnsiTheme="minorEastAsia" w:eastAsiaTheme="minorEastAsia" w:cstheme="minorEastAsia"/>
          <w:b/>
          <w:color w:val="auto"/>
          <w:kern w:val="0"/>
          <w:sz w:val="22"/>
          <w:szCs w:val="22"/>
          <w:highlight w:val="none"/>
        </w:rPr>
        <w:t>评标委员会应当推选组长，但采购人代表不得担任组长</w:t>
      </w:r>
      <w:r>
        <w:rPr>
          <w:rFonts w:hint="eastAsia" w:asciiTheme="minorEastAsia" w:hAnsiTheme="minorEastAsia" w:eastAsiaTheme="minorEastAsia" w:cstheme="minorEastAsia"/>
          <w:color w:val="auto"/>
          <w:kern w:val="0"/>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3.3.4评标委员会成员不得私自泄露评标内容。评标过程应严格遵守保密制度。开标后,直到授予中标人合同止，凡是属于审查、澄清、评价和比较的有关资料以及授标建议等均不得向投标人或其他无关的人员透露。</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3.3.5采购人、采购代理机构要加强评标现场管理，与评标工作无关的人员不得进入评标现场。各级财政部门对评标活动相关各方违反评标工作纪律及要求的行为，将依法严肃处理。</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3.4评标委员会成员应当履行的义务</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3.4.1评标委员会成员应根据政府采购法律法规和采购文件所载明的评标方法、标准进行评标，遵纪守法，客观、公正、廉洁地履行职责。</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3.4.2评标委员会成员应熟悉和理解采购文件，认真阅读所有投标人的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，对所有</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逐一进行资格性、符合性检查，按采购文件规定的评标方法和标准，进行比较和评价；</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3.4.3对投标人的价格分等客观评分项的评分应当一致，对其他需要借助专业知识评判的主观评分项，应当严格按照评分细则公正评分。</w:t>
      </w:r>
    </w:p>
    <w:p>
      <w:pPr>
        <w:pStyle w:val="13"/>
        <w:keepNext w:val="0"/>
        <w:keepLines w:val="0"/>
        <w:pageBreakBefore w:val="0"/>
        <w:widowControl w:val="0"/>
        <w:kinsoku/>
        <w:wordWrap/>
        <w:overflowPunct/>
        <w:topLinePunct w:val="0"/>
        <w:autoSpaceDE/>
        <w:autoSpaceDN/>
        <w:bidi w:val="0"/>
        <w:spacing w:line="280" w:lineRule="exact"/>
        <w:textAlignment w:val="auto"/>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已提交响应文件的供应商，在提交最后报价之前，可以根据磋商情况退出磋商。采购人、采购代理机构应当退还退出磋商的供应商的磋商保证金。</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3.4.4评标委员会如需要投标人对</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有关事项作出澄清的，应当给予投标人必要的反馈时间，但澄清事项不得超出</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的范围，不得实质性改变</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的内容，不得通过澄清等方式对投标人实行差别对待。</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3.4.6评标委员会应在采购项目招标失败时，出具</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文件是否存在不合理条款的论证意见，并协助采购人、采购代理机构、财政部门答复质疑或处理投诉事项。</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3.4.7评标委员会应对评标过程和结果以及投标人的商业秘密保密。</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Theme="minorEastAsia" w:hAnsiTheme="minorEastAsia" w:eastAsiaTheme="minorEastAsia" w:cstheme="minorEastAsia"/>
          <w:b/>
          <w:color w:val="auto"/>
          <w:kern w:val="0"/>
          <w:sz w:val="22"/>
          <w:szCs w:val="22"/>
          <w:highlight w:val="none"/>
          <w:lang w:eastAsia="zh-CN"/>
        </w:rPr>
      </w:pPr>
      <w:r>
        <w:rPr>
          <w:rFonts w:hint="eastAsia" w:asciiTheme="minorEastAsia" w:hAnsiTheme="minorEastAsia" w:eastAsiaTheme="minorEastAsia" w:cstheme="minorEastAsia"/>
          <w:b/>
          <w:color w:val="auto"/>
          <w:kern w:val="0"/>
          <w:sz w:val="22"/>
          <w:szCs w:val="22"/>
          <w:highlight w:val="none"/>
          <w:lang w:eastAsia="zh-CN"/>
        </w:rPr>
        <w:t>（</w:t>
      </w:r>
      <w:r>
        <w:rPr>
          <w:rFonts w:hint="eastAsia" w:asciiTheme="minorEastAsia" w:hAnsiTheme="minorEastAsia" w:eastAsiaTheme="minorEastAsia" w:cstheme="minorEastAsia"/>
          <w:b/>
          <w:color w:val="auto"/>
          <w:kern w:val="0"/>
          <w:sz w:val="22"/>
          <w:szCs w:val="22"/>
          <w:highlight w:val="none"/>
          <w:lang w:val="en-US" w:eastAsia="zh-CN"/>
        </w:rPr>
        <w:t>二</w:t>
      </w:r>
      <w:r>
        <w:rPr>
          <w:rFonts w:hint="eastAsia" w:asciiTheme="minorEastAsia" w:hAnsiTheme="minorEastAsia" w:eastAsiaTheme="minorEastAsia" w:cstheme="minorEastAsia"/>
          <w:b/>
          <w:color w:val="auto"/>
          <w:kern w:val="0"/>
          <w:sz w:val="22"/>
          <w:szCs w:val="22"/>
          <w:highlight w:val="none"/>
          <w:lang w:eastAsia="zh-CN"/>
        </w:rPr>
        <w:t>）评标程序</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4．</w:t>
      </w:r>
      <w:r>
        <w:rPr>
          <w:rFonts w:hint="eastAsia" w:asciiTheme="minorEastAsia" w:hAnsiTheme="minorEastAsia" w:eastAsiaTheme="minorEastAsia" w:cstheme="minorEastAsia"/>
          <w:b/>
          <w:color w:val="auto"/>
          <w:kern w:val="0"/>
          <w:sz w:val="22"/>
          <w:szCs w:val="22"/>
          <w:highlight w:val="none"/>
          <w:lang w:eastAsia="zh-CN"/>
        </w:rPr>
        <w:t>响应文件</w:t>
      </w:r>
      <w:r>
        <w:rPr>
          <w:rFonts w:hint="eastAsia" w:asciiTheme="minorEastAsia" w:hAnsiTheme="minorEastAsia" w:eastAsiaTheme="minorEastAsia" w:cstheme="minorEastAsia"/>
          <w:b/>
          <w:color w:val="auto"/>
          <w:kern w:val="0"/>
          <w:sz w:val="22"/>
          <w:szCs w:val="22"/>
          <w:highlight w:val="none"/>
        </w:rPr>
        <w:t>的初步评标</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4.1初步评标分为资格性检查和符合性检查。</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4.1.1资格性检查</w:t>
      </w:r>
    </w:p>
    <w:p>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根据法律法规和</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文件的规定，对</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中的资格证明文件、</w:t>
      </w:r>
      <w:r>
        <w:rPr>
          <w:rFonts w:hint="eastAsia" w:asciiTheme="minorEastAsia" w:hAnsiTheme="minorEastAsia" w:eastAsiaTheme="minorEastAsia" w:cstheme="minorEastAsia"/>
          <w:color w:val="auto"/>
          <w:kern w:val="0"/>
          <w:sz w:val="22"/>
          <w:szCs w:val="22"/>
          <w:highlight w:val="none"/>
          <w:lang w:eastAsia="zh-CN"/>
        </w:rPr>
        <w:t>磋商保证金</w:t>
      </w:r>
      <w:r>
        <w:rPr>
          <w:rFonts w:hint="eastAsia" w:asciiTheme="minorEastAsia" w:hAnsiTheme="minorEastAsia" w:eastAsiaTheme="minorEastAsia" w:cstheme="minorEastAsia"/>
          <w:color w:val="auto"/>
          <w:kern w:val="0"/>
          <w:sz w:val="22"/>
          <w:szCs w:val="22"/>
          <w:highlight w:val="none"/>
        </w:rPr>
        <w:t>等进行审查，以确定投标投标人是否具备投标资格。审查事项如下：</w:t>
      </w:r>
    </w:p>
    <w:p>
      <w:pPr>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b/>
          <w:bCs/>
          <w:color w:val="auto"/>
          <w:kern w:val="0"/>
          <w:sz w:val="24"/>
          <w:szCs w:val="24"/>
          <w:highlight w:val="none"/>
        </w:rPr>
        <w:t>资格</w:t>
      </w:r>
      <w:r>
        <w:rPr>
          <w:rFonts w:hint="eastAsia" w:asciiTheme="minorEastAsia" w:hAnsiTheme="minorEastAsia" w:eastAsiaTheme="minorEastAsia" w:cstheme="minorEastAsia"/>
          <w:b/>
          <w:bCs/>
          <w:color w:val="auto"/>
          <w:kern w:val="0"/>
          <w:sz w:val="24"/>
          <w:szCs w:val="24"/>
          <w:highlight w:val="none"/>
          <w:lang w:eastAsia="zh-CN"/>
        </w:rPr>
        <w:t>审</w:t>
      </w:r>
      <w:r>
        <w:rPr>
          <w:rFonts w:hint="eastAsia" w:asciiTheme="minorEastAsia" w:hAnsiTheme="minorEastAsia" w:eastAsiaTheme="minorEastAsia" w:cstheme="minorEastAsia"/>
          <w:b/>
          <w:bCs/>
          <w:color w:val="auto"/>
          <w:kern w:val="0"/>
          <w:sz w:val="24"/>
          <w:szCs w:val="24"/>
          <w:highlight w:val="none"/>
        </w:rPr>
        <w:t>查</w:t>
      </w:r>
      <w:r>
        <w:rPr>
          <w:rFonts w:hint="eastAsia" w:asciiTheme="minorEastAsia" w:hAnsiTheme="minorEastAsia" w:eastAsiaTheme="minorEastAsia" w:cstheme="minorEastAsia"/>
          <w:b/>
          <w:bCs/>
          <w:color w:val="auto"/>
          <w:kern w:val="0"/>
          <w:sz w:val="24"/>
          <w:szCs w:val="24"/>
          <w:highlight w:val="none"/>
          <w:lang w:val="en-US" w:eastAsia="zh-CN"/>
        </w:rPr>
        <w:t>表</w:t>
      </w:r>
    </w:p>
    <w:tbl>
      <w:tblPr>
        <w:tblStyle w:val="22"/>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296"/>
        <w:gridCol w:w="583"/>
        <w:gridCol w:w="7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709" w:type="dxa"/>
            <w:vMerge w:val="restart"/>
            <w:noWrap w:val="0"/>
            <w:vAlign w:val="center"/>
          </w:tcPr>
          <w:p>
            <w:pPr>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序号</w:t>
            </w:r>
          </w:p>
        </w:tc>
        <w:tc>
          <w:tcPr>
            <w:tcW w:w="7296" w:type="dxa"/>
            <w:vMerge w:val="restart"/>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评审内容</w:t>
            </w:r>
          </w:p>
        </w:tc>
        <w:tc>
          <w:tcPr>
            <w:tcW w:w="1361" w:type="dxa"/>
            <w:gridSpan w:val="2"/>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w:t>
            </w:r>
          </w:p>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09" w:type="dxa"/>
            <w:vMerge w:val="continue"/>
            <w:noWrap w:val="0"/>
            <w:vAlign w:val="top"/>
          </w:tcPr>
          <w:p>
            <w:pPr>
              <w:rPr>
                <w:rFonts w:hint="eastAsia" w:asciiTheme="minorEastAsia" w:hAnsiTheme="minorEastAsia" w:eastAsiaTheme="minorEastAsia" w:cstheme="minorEastAsia"/>
                <w:b/>
                <w:color w:val="auto"/>
                <w:sz w:val="24"/>
                <w:szCs w:val="24"/>
                <w:highlight w:val="none"/>
              </w:rPr>
            </w:pPr>
          </w:p>
        </w:tc>
        <w:tc>
          <w:tcPr>
            <w:tcW w:w="7296" w:type="dxa"/>
            <w:vMerge w:val="continue"/>
            <w:noWrap w:val="0"/>
            <w:vAlign w:val="top"/>
          </w:tcPr>
          <w:p>
            <w:pPr>
              <w:rPr>
                <w:rFonts w:hint="eastAsia" w:asciiTheme="minorEastAsia" w:hAnsiTheme="minorEastAsia" w:eastAsiaTheme="minorEastAsia" w:cstheme="minorEastAsia"/>
                <w:b/>
                <w:color w:val="auto"/>
                <w:sz w:val="24"/>
                <w:szCs w:val="24"/>
                <w:highlight w:val="none"/>
              </w:rPr>
            </w:pPr>
          </w:p>
        </w:tc>
        <w:tc>
          <w:tcPr>
            <w:tcW w:w="583" w:type="dxa"/>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是</w:t>
            </w:r>
          </w:p>
        </w:tc>
        <w:tc>
          <w:tcPr>
            <w:tcW w:w="778" w:type="dxa"/>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296" w:type="dxa"/>
            <w:noWrap w:val="0"/>
            <w:vAlign w:val="center"/>
          </w:tcPr>
          <w:p>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具有有效的营业执照副本；</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7296" w:type="dxa"/>
            <w:noWrap w:val="0"/>
            <w:vAlign w:val="center"/>
          </w:tcPr>
          <w:p>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法定代表人投标的需提供法定代表人身份证；被授权委托人需提供法人授权委托书及被授权委托人身份证和在本单位缴纳的近3个月社保缴纳证明（单位社保缴费汇总和个人明细表）；</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296" w:type="dxa"/>
            <w:noWrap w:val="0"/>
            <w:vAlign w:val="center"/>
          </w:tcPr>
          <w:p>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具备建筑工程施工总承包三级（含）以上资质等级、有效的安全生产许可证；项目负责人具备建筑工程专业二级（含）以上注册建造师执业资格且具有有效的安全生产考核证B证；</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7296" w:type="dxa"/>
            <w:noWrap w:val="0"/>
            <w:vAlign w:val="center"/>
          </w:tcPr>
          <w:p>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具有依法缴纳2023年任意3个月的税收良好记录证明，依法免税应提供相应文件证明；</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7296" w:type="dxa"/>
            <w:noWrap w:val="0"/>
            <w:vAlign w:val="center"/>
          </w:tcPr>
          <w:p>
            <w:pPr>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投标人针对本次项目《反商业贿赂承诺书》；</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7296" w:type="dxa"/>
            <w:noWrap w:val="0"/>
            <w:vAlign w:val="center"/>
          </w:tcPr>
          <w:p>
            <w:pPr>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参加政府采购活动前3年内在经营活动中没有重大违法记录的书面声明；</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7296" w:type="dxa"/>
            <w:noWrap w:val="0"/>
            <w:vAlign w:val="center"/>
          </w:tcPr>
          <w:p>
            <w:pPr>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提供2021年或2022年度的财务审计报告（注册成立未满一年新公司提供银行资信证明）；</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729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提供查询结果网页截图并加盖供应商公章）；</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7296" w:type="dxa"/>
            <w:noWrap w:val="0"/>
            <w:vAlign w:val="center"/>
          </w:tcPr>
          <w:p>
            <w:pPr>
              <w:spacing w:line="440" w:lineRule="exact"/>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磋商保证金缴纳有效凭证。</w:t>
            </w:r>
          </w:p>
        </w:tc>
        <w:tc>
          <w:tcPr>
            <w:tcW w:w="583" w:type="dxa"/>
            <w:tcBorders>
              <w:right w:val="single" w:color="auto" w:sz="4" w:space="0"/>
            </w:tcBorders>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tcBorders>
              <w:left w:val="single" w:color="auto" w:sz="4" w:space="0"/>
            </w:tcBorders>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8005" w:type="dxa"/>
            <w:gridSpan w:val="2"/>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结论：是否通过评审</w:t>
            </w:r>
          </w:p>
        </w:tc>
        <w:tc>
          <w:tcPr>
            <w:tcW w:w="583" w:type="dxa"/>
            <w:noWrap w:val="0"/>
            <w:vAlign w:val="top"/>
          </w:tcPr>
          <w:p>
            <w:pPr>
              <w:rPr>
                <w:rFonts w:hint="eastAsia" w:asciiTheme="minorEastAsia" w:hAnsiTheme="minorEastAsia" w:eastAsiaTheme="minorEastAsia" w:cstheme="minorEastAsia"/>
                <w:color w:val="auto"/>
                <w:sz w:val="24"/>
                <w:szCs w:val="24"/>
                <w:highlight w:val="none"/>
              </w:rPr>
            </w:pPr>
          </w:p>
        </w:tc>
        <w:tc>
          <w:tcPr>
            <w:tcW w:w="778" w:type="dxa"/>
            <w:noWrap w:val="0"/>
            <w:vAlign w:val="top"/>
          </w:tcPr>
          <w:p>
            <w:pPr>
              <w:rPr>
                <w:rFonts w:hint="eastAsia" w:asciiTheme="minorEastAsia" w:hAnsiTheme="minorEastAsia" w:eastAsiaTheme="minorEastAsia" w:cstheme="minorEastAsia"/>
                <w:color w:val="auto"/>
                <w:sz w:val="24"/>
                <w:szCs w:val="24"/>
                <w:highlight w:val="none"/>
              </w:rPr>
            </w:pPr>
          </w:p>
        </w:tc>
      </w:tr>
    </w:tbl>
    <w:p>
      <w:pPr>
        <w:pStyle w:val="2"/>
        <w:numPr>
          <w:ilvl w:val="0"/>
          <w:numId w:val="0"/>
        </w:numPr>
        <w:rPr>
          <w:rFonts w:hint="eastAsia" w:asciiTheme="minorEastAsia" w:hAnsiTheme="minorEastAsia" w:eastAsiaTheme="minorEastAsia" w:cstheme="minorEastAsia"/>
          <w:color w:val="auto"/>
          <w:highlight w:val="none"/>
        </w:rPr>
      </w:pPr>
    </w:p>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pPr>
        <w:pStyle w:val="2"/>
        <w:rPr>
          <w:rFonts w:hint="eastAsia" w:asciiTheme="minorEastAsia" w:hAnsiTheme="minorEastAsia" w:eastAsiaTheme="minorEastAsia" w:cstheme="minorEastAsia"/>
          <w:color w:val="auto"/>
          <w:kern w:val="0"/>
          <w:sz w:val="24"/>
          <w:szCs w:val="24"/>
          <w:highlight w:val="none"/>
        </w:rPr>
      </w:pPr>
    </w:p>
    <w:p>
      <w:pPr>
        <w:rPr>
          <w:rFonts w:hint="eastAsia" w:asciiTheme="minorEastAsia" w:hAnsiTheme="minorEastAsia" w:eastAsiaTheme="minorEastAsia" w:cstheme="minorEastAsia"/>
          <w:color w:val="auto"/>
          <w:kern w:val="0"/>
          <w:sz w:val="24"/>
          <w:szCs w:val="24"/>
          <w:highlight w:val="none"/>
        </w:rPr>
      </w:pPr>
    </w:p>
    <w:p>
      <w:pPr>
        <w:pStyle w:val="2"/>
        <w:rPr>
          <w:rFonts w:hint="eastAsia" w:asciiTheme="minorEastAsia" w:hAnsiTheme="minorEastAsia" w:eastAsiaTheme="minorEastAsia" w:cstheme="minorEastAsia"/>
          <w:color w:val="auto"/>
          <w:kern w:val="0"/>
          <w:sz w:val="24"/>
          <w:szCs w:val="24"/>
          <w:highlight w:val="none"/>
        </w:rPr>
      </w:pPr>
    </w:p>
    <w:p>
      <w:pPr>
        <w:rPr>
          <w:rFonts w:hint="eastAsia" w:asciiTheme="minorEastAsia" w:hAnsiTheme="minorEastAsia" w:eastAsiaTheme="minorEastAsia" w:cstheme="minorEastAsia"/>
          <w:color w:val="auto"/>
          <w:kern w:val="0"/>
          <w:sz w:val="24"/>
          <w:szCs w:val="24"/>
          <w:highlight w:val="none"/>
        </w:rPr>
      </w:pPr>
    </w:p>
    <w:p>
      <w:pPr>
        <w:pStyle w:val="2"/>
        <w:rPr>
          <w:rFonts w:hint="eastAsia"/>
        </w:rPr>
      </w:pPr>
    </w:p>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4.1.2符合性检查</w:t>
      </w:r>
    </w:p>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4.1.2.1依据</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文件的规定，从</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的响应程度进行审查，以确定是否对</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文件的实质性要求作出响应。评标委员会评标</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的响应性只根据</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真实无误的内容，而不依据外部的证据，但</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有不真实、不正确的内容时除外。</w:t>
      </w:r>
    </w:p>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4.1.2.2投标人不得通过修正或撤销不符合要求的偏离从而使其投标成为实质上响应的投标。</w:t>
      </w:r>
    </w:p>
    <w:p>
      <w:pPr>
        <w:snapToGrid w:val="0"/>
        <w:spacing w:line="50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符合性检查表</w:t>
      </w:r>
    </w:p>
    <w:p>
      <w:pPr>
        <w:pStyle w:val="2"/>
        <w:rPr>
          <w:rFonts w:hint="eastAsia" w:asciiTheme="minorEastAsia" w:hAnsiTheme="minorEastAsia" w:eastAsiaTheme="minorEastAsia" w:cstheme="minorEastAsia"/>
          <w:b/>
          <w:bCs/>
          <w:color w:val="auto"/>
          <w:kern w:val="0"/>
          <w:sz w:val="24"/>
          <w:szCs w:val="24"/>
          <w:highlight w:val="none"/>
        </w:rPr>
      </w:pPr>
    </w:p>
    <w:tbl>
      <w:tblPr>
        <w:tblStyle w:val="22"/>
        <w:tblpPr w:leftFromText="180" w:rightFromText="180" w:vertAnchor="text" w:horzAnchor="margin" w:tblpY="-47"/>
        <w:tblW w:w="809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
        <w:gridCol w:w="607"/>
        <w:gridCol w:w="4514"/>
        <w:gridCol w:w="968"/>
        <w:gridCol w:w="10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restart"/>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5121" w:type="dxa"/>
            <w:gridSpan w:val="2"/>
            <w:vMerge w:val="restart"/>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评审内容</w:t>
            </w:r>
          </w:p>
        </w:tc>
        <w:tc>
          <w:tcPr>
            <w:tcW w:w="2046" w:type="dxa"/>
            <w:gridSpan w:val="2"/>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w:t>
            </w:r>
          </w:p>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continue"/>
            <w:tcBorders>
              <w:bottom w:val="single" w:color="auto" w:sz="4" w:space="0"/>
            </w:tcBorders>
            <w:noWrap w:val="0"/>
            <w:vAlign w:val="center"/>
          </w:tcPr>
          <w:p>
            <w:pPr>
              <w:jc w:val="center"/>
              <w:rPr>
                <w:rFonts w:hint="eastAsia" w:asciiTheme="minorEastAsia" w:hAnsiTheme="minorEastAsia" w:eastAsiaTheme="minorEastAsia" w:cstheme="minorEastAsia"/>
                <w:b/>
                <w:color w:val="auto"/>
                <w:sz w:val="24"/>
                <w:szCs w:val="24"/>
                <w:highlight w:val="none"/>
              </w:rPr>
            </w:pPr>
          </w:p>
        </w:tc>
        <w:tc>
          <w:tcPr>
            <w:tcW w:w="5121" w:type="dxa"/>
            <w:gridSpan w:val="2"/>
            <w:vMerge w:val="continue"/>
            <w:tcBorders>
              <w:bottom w:val="single" w:color="auto" w:sz="4" w:space="0"/>
            </w:tcBorders>
            <w:noWrap w:val="0"/>
            <w:vAlign w:val="top"/>
          </w:tcPr>
          <w:p>
            <w:pPr>
              <w:rPr>
                <w:rFonts w:hint="eastAsia" w:asciiTheme="minorEastAsia" w:hAnsiTheme="minorEastAsia" w:eastAsiaTheme="minorEastAsia" w:cstheme="minorEastAsia"/>
                <w:b/>
                <w:color w:val="auto"/>
                <w:sz w:val="24"/>
                <w:szCs w:val="24"/>
                <w:highlight w:val="none"/>
              </w:rPr>
            </w:pPr>
          </w:p>
        </w:tc>
        <w:tc>
          <w:tcPr>
            <w:tcW w:w="968" w:type="dxa"/>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是</w:t>
            </w:r>
          </w:p>
        </w:tc>
        <w:tc>
          <w:tcPr>
            <w:tcW w:w="1078" w:type="dxa"/>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restart"/>
            <w:tcBorders>
              <w:top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查</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准</w:t>
            </w:r>
          </w:p>
        </w:tc>
        <w:tc>
          <w:tcPr>
            <w:tcW w:w="607" w:type="dxa"/>
            <w:tcBorders>
              <w:top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514" w:type="dxa"/>
            <w:tcBorders>
              <w:left w:val="single" w:color="auto" w:sz="4" w:space="0"/>
              <w:right w:val="single" w:color="auto" w:sz="4" w:space="0"/>
            </w:tcBorders>
            <w:noWrap w:val="0"/>
            <w:vAlign w:val="center"/>
          </w:tcPr>
          <w:p>
            <w:pPr>
              <w:widowControl/>
              <w:spacing w:line="300" w:lineRule="auto"/>
              <w:jc w:val="left"/>
              <w:textAlignment w:val="center"/>
              <w:rPr>
                <w:rFonts w:hint="eastAsia" w:ascii="宋体" w:hAnsi="宋体" w:eastAsia="宋体" w:cs="宋体"/>
                <w:spacing w:val="-2"/>
                <w:kern w:val="2"/>
                <w:sz w:val="24"/>
                <w:szCs w:val="24"/>
                <w:lang w:val="en-US" w:eastAsia="zh-CN" w:bidi="ar-SA"/>
              </w:rPr>
            </w:pPr>
            <w:r>
              <w:rPr>
                <w:rFonts w:hint="eastAsia" w:ascii="宋体" w:hAnsi="宋体" w:cs="宋体"/>
                <w:kern w:val="0"/>
                <w:sz w:val="24"/>
                <w:lang w:bidi="ar"/>
              </w:rPr>
              <w:t>投标报价高于预算金额；</w:t>
            </w:r>
          </w:p>
        </w:tc>
        <w:tc>
          <w:tcPr>
            <w:tcW w:w="968" w:type="dxa"/>
            <w:tcBorders>
              <w:left w:val="single" w:color="auto" w:sz="4" w:space="0"/>
              <w:right w:val="single" w:color="auto" w:sz="4" w:space="0"/>
            </w:tcBorders>
            <w:noWrap w:val="0"/>
            <w:vAlign w:val="top"/>
          </w:tcPr>
          <w:p>
            <w:pPr>
              <w:jc w:val="center"/>
              <w:rPr>
                <w:rFonts w:hint="eastAsia" w:asciiTheme="minorEastAsia" w:hAnsiTheme="minorEastAsia" w:eastAsiaTheme="minorEastAsia" w:cstheme="minorEastAsia"/>
                <w:b/>
                <w:color w:val="auto"/>
                <w:sz w:val="24"/>
                <w:szCs w:val="24"/>
                <w:highlight w:val="none"/>
              </w:rPr>
            </w:pPr>
          </w:p>
        </w:tc>
        <w:tc>
          <w:tcPr>
            <w:tcW w:w="1078" w:type="dxa"/>
            <w:tcBorders>
              <w:left w:val="single" w:color="auto" w:sz="4" w:space="0"/>
            </w:tcBorders>
            <w:noWrap w:val="0"/>
            <w:vAlign w:val="top"/>
          </w:tcPr>
          <w:p>
            <w:pPr>
              <w:jc w:val="center"/>
              <w:rPr>
                <w:rFonts w:hint="eastAsia" w:asciiTheme="minorEastAsia" w:hAnsiTheme="minorEastAsia" w:eastAsiaTheme="minorEastAsia" w:cstheme="minorEastAsia"/>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tcBorders>
              <w:top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514" w:type="dxa"/>
            <w:tcBorders>
              <w:left w:val="single" w:color="auto" w:sz="4" w:space="0"/>
              <w:right w:val="single" w:color="auto" w:sz="4" w:space="0"/>
            </w:tcBorders>
            <w:noWrap w:val="0"/>
            <w:vAlign w:val="center"/>
          </w:tcPr>
          <w:p>
            <w:pPr>
              <w:widowControl/>
              <w:spacing w:line="300" w:lineRule="auto"/>
              <w:jc w:val="left"/>
              <w:textAlignment w:val="center"/>
              <w:rPr>
                <w:rFonts w:hint="eastAsia" w:ascii="宋体" w:hAnsi="宋体" w:eastAsia="宋体" w:cs="宋体"/>
                <w:spacing w:val="-2"/>
                <w:kern w:val="2"/>
                <w:sz w:val="24"/>
                <w:szCs w:val="24"/>
                <w:lang w:val="en-US" w:eastAsia="zh-CN" w:bidi="ar-SA"/>
              </w:rPr>
            </w:pPr>
            <w:r>
              <w:rPr>
                <w:rFonts w:hint="eastAsia" w:ascii="宋体" w:hAnsi="宋体" w:cs="宋体"/>
                <w:kern w:val="0"/>
                <w:sz w:val="24"/>
                <w:lang w:bidi="ar"/>
              </w:rPr>
              <w:t>投标人之间或者投标人与采购人串通投标的；</w:t>
            </w:r>
          </w:p>
        </w:tc>
        <w:tc>
          <w:tcPr>
            <w:tcW w:w="968" w:type="dxa"/>
            <w:tcBorders>
              <w:left w:val="single" w:color="auto" w:sz="4" w:space="0"/>
              <w:right w:val="single" w:color="auto" w:sz="4" w:space="0"/>
            </w:tcBorders>
            <w:noWrap w:val="0"/>
            <w:vAlign w:val="top"/>
          </w:tcPr>
          <w:p>
            <w:pPr>
              <w:jc w:val="center"/>
              <w:rPr>
                <w:rFonts w:hint="eastAsia" w:asciiTheme="minorEastAsia" w:hAnsiTheme="minorEastAsia" w:eastAsiaTheme="minorEastAsia" w:cstheme="minorEastAsia"/>
                <w:b/>
                <w:color w:val="auto"/>
                <w:sz w:val="24"/>
                <w:szCs w:val="24"/>
                <w:highlight w:val="none"/>
              </w:rPr>
            </w:pPr>
          </w:p>
        </w:tc>
        <w:tc>
          <w:tcPr>
            <w:tcW w:w="1078" w:type="dxa"/>
            <w:tcBorders>
              <w:left w:val="single" w:color="auto" w:sz="4" w:space="0"/>
            </w:tcBorders>
            <w:noWrap w:val="0"/>
            <w:vAlign w:val="top"/>
          </w:tcPr>
          <w:p>
            <w:pPr>
              <w:jc w:val="center"/>
              <w:rPr>
                <w:rFonts w:hint="eastAsia" w:asciiTheme="minorEastAsia" w:hAnsiTheme="minorEastAsia" w:eastAsiaTheme="minorEastAsia" w:cstheme="minorEastAsia"/>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4514" w:type="dxa"/>
            <w:noWrap w:val="0"/>
            <w:vAlign w:val="center"/>
          </w:tcPr>
          <w:p>
            <w:pPr>
              <w:widowControl/>
              <w:spacing w:line="300" w:lineRule="auto"/>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lang w:bidi="ar"/>
              </w:rPr>
              <w:t>以行贿手段谋取中标或者以其他弄虚作假方式投标的；</w:t>
            </w:r>
          </w:p>
        </w:tc>
        <w:tc>
          <w:tcPr>
            <w:tcW w:w="968" w:type="dxa"/>
            <w:tcBorders>
              <w:right w:val="single" w:color="auto" w:sz="4" w:space="0"/>
            </w:tcBorders>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tcBorders>
              <w:left w:val="single" w:color="auto" w:sz="4" w:space="0"/>
            </w:tcBorders>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tcBorders>
              <w:top w:val="nil"/>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4514" w:type="dxa"/>
            <w:tcBorders>
              <w:top w:val="nil"/>
            </w:tcBorders>
            <w:noWrap w:val="0"/>
            <w:vAlign w:val="center"/>
          </w:tcPr>
          <w:p>
            <w:pPr>
              <w:widowControl/>
              <w:spacing w:line="300" w:lineRule="auto"/>
              <w:jc w:val="left"/>
              <w:textAlignment w:val="center"/>
              <w:rPr>
                <w:rFonts w:hint="eastAsia" w:ascii="宋体" w:hAnsi="宋体" w:eastAsia="宋体" w:cs="宋体"/>
                <w:spacing w:val="-2"/>
                <w:kern w:val="2"/>
                <w:sz w:val="24"/>
                <w:szCs w:val="24"/>
                <w:lang w:val="en-US" w:eastAsia="zh-CN" w:bidi="ar-SA"/>
              </w:rPr>
            </w:pPr>
            <w:r>
              <w:rPr>
                <w:rFonts w:hint="eastAsia" w:ascii="宋体" w:hAnsi="宋体" w:cs="宋体"/>
                <w:kern w:val="0"/>
                <w:sz w:val="24"/>
                <w:lang w:bidi="ar"/>
              </w:rPr>
              <w:t>评标委员会共同确定有实质上不响应招标文件要求的；</w:t>
            </w:r>
          </w:p>
        </w:tc>
        <w:tc>
          <w:tcPr>
            <w:tcW w:w="968" w:type="dxa"/>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4514" w:type="dxa"/>
            <w:noWrap w:val="0"/>
            <w:vAlign w:val="center"/>
          </w:tcPr>
          <w:p>
            <w:pPr>
              <w:widowControl/>
              <w:spacing w:line="300" w:lineRule="auto"/>
              <w:jc w:val="left"/>
              <w:textAlignment w:val="center"/>
              <w:rPr>
                <w:rFonts w:hint="eastAsia" w:ascii="宋体" w:hAnsi="宋体" w:eastAsia="宋体" w:cs="宋体"/>
                <w:spacing w:val="-2"/>
                <w:kern w:val="2"/>
                <w:sz w:val="24"/>
                <w:szCs w:val="24"/>
                <w:lang w:val="en-US" w:eastAsia="zh-CN" w:bidi="ar-SA"/>
              </w:rPr>
            </w:pPr>
            <w:r>
              <w:rPr>
                <w:rFonts w:hint="eastAsia" w:ascii="宋体" w:hAnsi="宋体" w:cs="宋体"/>
                <w:kern w:val="0"/>
                <w:sz w:val="24"/>
                <w:lang w:bidi="ar"/>
              </w:rPr>
              <w:t>投标的政府采购项目完成期限超过招标文件规定期限的；</w:t>
            </w:r>
          </w:p>
        </w:tc>
        <w:tc>
          <w:tcPr>
            <w:tcW w:w="968" w:type="dxa"/>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4514" w:type="dxa"/>
            <w:noWrap w:val="0"/>
            <w:vAlign w:val="center"/>
          </w:tcPr>
          <w:p>
            <w:pPr>
              <w:widowControl/>
              <w:spacing w:line="300" w:lineRule="auto"/>
              <w:jc w:val="left"/>
              <w:textAlignment w:val="center"/>
              <w:rPr>
                <w:rFonts w:hint="eastAsia" w:ascii="宋体" w:hAnsi="宋体" w:eastAsia="宋体" w:cs="宋体"/>
                <w:spacing w:val="-2"/>
                <w:kern w:val="2"/>
                <w:sz w:val="24"/>
                <w:szCs w:val="24"/>
                <w:lang w:val="en-US" w:eastAsia="zh-CN" w:bidi="ar-SA"/>
              </w:rPr>
            </w:pPr>
            <w:r>
              <w:rPr>
                <w:rFonts w:hint="eastAsia" w:ascii="宋体" w:hAnsi="宋体" w:cs="宋体"/>
                <w:kern w:val="0"/>
                <w:sz w:val="24"/>
                <w:lang w:bidi="ar"/>
              </w:rPr>
              <w:t>投标文件载明的技术规格、技术标准等，不符合招标文件要求的；</w:t>
            </w:r>
          </w:p>
        </w:tc>
        <w:tc>
          <w:tcPr>
            <w:tcW w:w="968" w:type="dxa"/>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4514" w:type="dxa"/>
            <w:noWrap w:val="0"/>
            <w:vAlign w:val="center"/>
          </w:tcPr>
          <w:p>
            <w:pPr>
              <w:widowControl/>
              <w:spacing w:line="300" w:lineRule="auto"/>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lang w:bidi="ar"/>
              </w:rPr>
              <w:t>投标文件附有采购人不能接受条件的；</w:t>
            </w:r>
          </w:p>
        </w:tc>
        <w:tc>
          <w:tcPr>
            <w:tcW w:w="968" w:type="dxa"/>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4514" w:type="dxa"/>
            <w:noWrap w:val="0"/>
            <w:vAlign w:val="center"/>
          </w:tcPr>
          <w:p>
            <w:pPr>
              <w:widowControl/>
              <w:spacing w:line="300" w:lineRule="auto"/>
              <w:jc w:val="left"/>
              <w:textAlignment w:val="center"/>
              <w:rPr>
                <w:rFonts w:hint="eastAsia" w:ascii="宋体" w:hAnsi="宋体" w:eastAsia="宋体" w:cs="宋体"/>
                <w:spacing w:val="-2"/>
                <w:kern w:val="2"/>
                <w:sz w:val="24"/>
                <w:szCs w:val="24"/>
                <w:lang w:val="en-US" w:eastAsia="zh-CN" w:bidi="ar-SA"/>
              </w:rPr>
            </w:pPr>
            <w:r>
              <w:rPr>
                <w:rFonts w:hint="eastAsia" w:ascii="宋体" w:hAnsi="宋体" w:cs="宋体"/>
                <w:kern w:val="0"/>
                <w:sz w:val="24"/>
                <w:lang w:bidi="ar"/>
              </w:rPr>
              <w:t>不满足磋商文件实质性要求的其他情形.</w:t>
            </w:r>
          </w:p>
        </w:tc>
        <w:tc>
          <w:tcPr>
            <w:tcW w:w="968" w:type="dxa"/>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30" w:type="dxa"/>
            <w:vMerge w:val="continue"/>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0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4514" w:type="dxa"/>
            <w:noWrap w:val="0"/>
            <w:vAlign w:val="center"/>
          </w:tcPr>
          <w:p>
            <w:pPr>
              <w:spacing w:line="300" w:lineRule="auto"/>
              <w:rPr>
                <w:rFonts w:hint="eastAsia" w:ascii="宋体" w:hAnsi="宋体" w:eastAsia="宋体" w:cs="宋体"/>
                <w:kern w:val="2"/>
                <w:sz w:val="24"/>
                <w:szCs w:val="24"/>
                <w:lang w:val="en-US" w:eastAsia="zh-CN" w:bidi="ar-SA"/>
              </w:rPr>
            </w:pPr>
            <w:r>
              <w:rPr>
                <w:rFonts w:hint="eastAsia" w:ascii="宋体" w:hAnsi="宋体" w:cs="宋体"/>
                <w:sz w:val="24"/>
              </w:rPr>
              <w:t>不符合法律法规的其他情形</w:t>
            </w:r>
          </w:p>
        </w:tc>
        <w:tc>
          <w:tcPr>
            <w:tcW w:w="968" w:type="dxa"/>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930" w:type="dxa"/>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5121" w:type="dxa"/>
            <w:gridSpan w:val="2"/>
            <w:noWrap w:val="0"/>
            <w:vAlign w:val="top"/>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结论：是否通过评审</w:t>
            </w:r>
          </w:p>
        </w:tc>
        <w:tc>
          <w:tcPr>
            <w:tcW w:w="968" w:type="dxa"/>
            <w:noWrap w:val="0"/>
            <w:vAlign w:val="top"/>
          </w:tcPr>
          <w:p>
            <w:pPr>
              <w:rPr>
                <w:rFonts w:hint="eastAsia" w:asciiTheme="minorEastAsia" w:hAnsiTheme="minorEastAsia" w:eastAsiaTheme="minorEastAsia" w:cstheme="minorEastAsia"/>
                <w:color w:val="auto"/>
                <w:sz w:val="24"/>
                <w:szCs w:val="24"/>
                <w:highlight w:val="none"/>
              </w:rPr>
            </w:pPr>
          </w:p>
        </w:tc>
        <w:tc>
          <w:tcPr>
            <w:tcW w:w="1078" w:type="dxa"/>
            <w:noWrap w:val="0"/>
            <w:vAlign w:val="top"/>
          </w:tcPr>
          <w:p>
            <w:pPr>
              <w:rPr>
                <w:rFonts w:hint="eastAsia" w:asciiTheme="minorEastAsia" w:hAnsiTheme="minorEastAsia" w:eastAsiaTheme="minorEastAsia" w:cstheme="minorEastAsia"/>
                <w:color w:val="auto"/>
                <w:sz w:val="24"/>
                <w:szCs w:val="24"/>
                <w:highlight w:val="none"/>
              </w:rPr>
            </w:pPr>
          </w:p>
        </w:tc>
      </w:tr>
    </w:tbl>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bookmarkStart w:id="378" w:name="_bookmark67"/>
      <w:bookmarkEnd w:id="378"/>
      <w:r>
        <w:rPr>
          <w:rFonts w:hint="eastAsia" w:asciiTheme="minorEastAsia" w:hAnsiTheme="minorEastAsia" w:eastAsiaTheme="minorEastAsia" w:cstheme="minorEastAsia"/>
          <w:color w:val="auto"/>
          <w:kern w:val="0"/>
          <w:sz w:val="24"/>
          <w:szCs w:val="24"/>
          <w:highlight w:val="none"/>
        </w:rPr>
        <w:t>4.2有下列情形之一时,评标委员会应予废标,并将理由通知所有投标人：</w:t>
      </w:r>
    </w:p>
    <w:p>
      <w:pPr>
        <w:keepNext w:val="0"/>
        <w:keepLines w:val="0"/>
        <w:pageBreakBefore w:val="0"/>
        <w:widowControl w:val="0"/>
        <w:kinsoku/>
        <w:wordWrap/>
        <w:overflowPunct/>
        <w:topLinePunct w:val="0"/>
        <w:bidi w:val="0"/>
        <w:adjustRightInd w:val="0"/>
        <w:snapToGrid w:val="0"/>
        <w:spacing w:line="300" w:lineRule="exact"/>
        <w:ind w:firstLine="48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4"/>
          <w:szCs w:val="24"/>
          <w:highlight w:val="none"/>
        </w:rPr>
        <w:t>(1)符合专业条件的投标人或者对</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文件作实质性响应的投标人不足三家</w:t>
      </w:r>
      <w:r>
        <w:rPr>
          <w:rFonts w:hint="eastAsia" w:asciiTheme="minorEastAsia" w:hAnsiTheme="minorEastAsia" w:eastAsiaTheme="minorEastAsia" w:cstheme="minorEastAsia"/>
          <w:color w:val="auto"/>
          <w:kern w:val="0"/>
          <w:sz w:val="22"/>
          <w:szCs w:val="22"/>
          <w:highlight w:val="none"/>
        </w:rPr>
        <w:t>的；</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(2)出现影响</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公正的违法、违规行为的；</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(3)投标人的报价均超过了采购预算,采购人不能支付的；</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(4)因重大变故，采购任务取消的。</w:t>
      </w:r>
    </w:p>
    <w:p>
      <w:pPr>
        <w:pStyle w:val="2"/>
        <w:keepNext w:val="0"/>
        <w:keepLines w:val="0"/>
        <w:pageBreakBefore w:val="0"/>
        <w:widowControl w:val="0"/>
        <w:kinsoku/>
        <w:wordWrap/>
        <w:overflowPunct/>
        <w:topLinePunct w:val="0"/>
        <w:bidi w:val="0"/>
        <w:spacing w:line="30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如发现有二份及以上响应文件的相互之间有相同或高度相似之处，且无合理解释的，经评标委员会半数以上成员认定有串通投标嫌疑的，其响应文件按无效标处理，予以废除，不再对其进行评审，也不影响磋商工作继续评标。</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4.3废标后，除采购任务取消情形外，招标采购单位应当重新组织招标。需要采取其他采购方式的，应当在采购活动开始前获得设区的市、自治州以上人民政府财政部门的批准。</w:t>
      </w:r>
    </w:p>
    <w:p>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5．澄清有关问题</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5.1对于</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中含义不明确、同类问题表述不一致或者有明显文字和计算错误的内容，评标委员会应当以书面形式要求投标人作出必要的澄清、说明或者补正。</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投标人的澄清、说明或者补正应当采用书面形式，并加盖公章，或者由法定代表人或其授权的代表签字。投标人的澄清、说明或者补正不得超出</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的范围或者改变</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的实质性内容。</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5.2投标人不得对下列内容进行澄清或补充：</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(1)投标报价、质量标准、合同履行期限等实质性内容。</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(2)不满足投标人须知规定的实质性要求的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内容。</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5.3</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报价出现前后不一致的，除</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文件另有规定外，按照下列规定修正：</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中开标一览表（报价表）内容与</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中相应内容不一致的，以开标一览表（报价表）为准；</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（2）大写金额和小写金额不一致的，以大写金额为准；</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（3）单价金额小数点或者百分比有明显错位的，以开标一览表的总价为准，并修改单价；</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（4）总价金额与按单价汇总金额不一致的，以单价金额计算结果为准。</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同时出现两种以上不一致的，按照前款规定的顺序修正。修正后的报价按照本章5.1款的规定经投标人确认后产生约束力，▲</w:t>
      </w:r>
      <w:r>
        <w:rPr>
          <w:rFonts w:hint="eastAsia" w:asciiTheme="minorEastAsia" w:hAnsiTheme="minorEastAsia" w:eastAsiaTheme="minorEastAsia" w:cstheme="minorEastAsia"/>
          <w:b/>
          <w:color w:val="auto"/>
          <w:kern w:val="0"/>
          <w:sz w:val="22"/>
          <w:szCs w:val="22"/>
          <w:highlight w:val="none"/>
        </w:rPr>
        <w:t>投标人不确认或拒绝修正的，其投标无效</w:t>
      </w:r>
      <w:r>
        <w:rPr>
          <w:rFonts w:hint="eastAsia" w:asciiTheme="minorEastAsia" w:hAnsiTheme="minorEastAsia" w:eastAsiaTheme="minorEastAsia" w:cstheme="minorEastAsia"/>
          <w:color w:val="auto"/>
          <w:kern w:val="0"/>
          <w:sz w:val="22"/>
          <w:szCs w:val="22"/>
          <w:highlight w:val="none"/>
        </w:rPr>
        <w:t>。</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5.4投标人按照评标委员会要求提供的有效书面澄清材料，是</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的补充材料，成为其</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的组成部分。</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b/>
          <w:color w:val="auto"/>
          <w:kern w:val="0"/>
          <w:sz w:val="22"/>
          <w:szCs w:val="22"/>
          <w:highlight w:val="none"/>
        </w:rPr>
        <w:t>投标人规定的时间内不能证明其报价合理性的，评标委员会应当将其作为无效投标处理</w:t>
      </w:r>
      <w:r>
        <w:rPr>
          <w:rFonts w:hint="eastAsia" w:asciiTheme="minorEastAsia" w:hAnsiTheme="minorEastAsia" w:eastAsiaTheme="minorEastAsia" w:cstheme="minorEastAsia"/>
          <w:color w:val="auto"/>
          <w:kern w:val="0"/>
          <w:sz w:val="22"/>
          <w:szCs w:val="22"/>
          <w:highlight w:val="none"/>
        </w:rPr>
        <w:t>。</w:t>
      </w:r>
    </w:p>
    <w:p>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6．详细评标</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6.1评标委员会应按照</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文件中规定的评标方法、标准和评标因素，对资格性检查和符合性检查合格的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进行商务和技术评估，综合比较与评价。</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6.2评标时，评标委员会各成员应当独立对每个投标人的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进行评价、评分，然后汇总每个投标人每项评分因素的得分。</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6.3投标人在评标过程中，所进行的试图影响评标结果的不符合招标规则的活动，可能导致其被取消中标资格。</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rPr>
        <w:t>6.4评分标准：具体</w:t>
      </w:r>
      <w:r>
        <w:rPr>
          <w:rFonts w:hint="eastAsia" w:asciiTheme="minorEastAsia" w:hAnsiTheme="minorEastAsia" w:eastAsiaTheme="minorEastAsia" w:cstheme="minorEastAsia"/>
          <w:color w:val="auto"/>
          <w:kern w:val="0"/>
          <w:sz w:val="22"/>
          <w:szCs w:val="22"/>
          <w:highlight w:val="none"/>
          <w:lang w:val="en-US" w:eastAsia="zh-CN"/>
        </w:rPr>
        <w:t>见三、评标标准</w:t>
      </w:r>
    </w:p>
    <w:p>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7．推荐中标候选人名单</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7.1评标结果按评标后得分由高到低顺序排列。得分相同的，按投标报价由低到高顺序排列。得分且投标报价相同的并列。</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满足</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文件全部实质性要求，且按照评标因素的量化指标评标得分最高的投标人为排名第一的中标候选人。</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7.2评标结果汇总完成后，除下列情形外，任何人不得修改评标结果：</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(1)分值汇总计算错误的；</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(2)分项评分超出评分标准范围的；</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(3)评标委员会成员对客观评标因素评分不一致的；</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(4)经评标委员会认定评分畸高、畸低的。</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投标人对上述(1)～(4)提出质疑的，采购人或者采购代理机构可以组织原评标委员会进行重新评标，重新评标改变评标结果的，应当书面报告本级财政部门。</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7.3评标委员会根据全体评标成员签字的原始评标记录和评标结果编写评标报告。评标报告应当包括以下内容：</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eastAsia="zh-CN"/>
        </w:rPr>
        <w:t>磋商</w:t>
      </w:r>
      <w:r>
        <w:rPr>
          <w:rFonts w:hint="eastAsia" w:asciiTheme="minorEastAsia" w:hAnsiTheme="minorEastAsia" w:eastAsiaTheme="minorEastAsia" w:cstheme="minorEastAsia"/>
          <w:color w:val="auto"/>
          <w:kern w:val="0"/>
          <w:sz w:val="22"/>
          <w:szCs w:val="22"/>
          <w:highlight w:val="none"/>
        </w:rPr>
        <w:t>公告刊登的媒体名称、开标日期和地点；</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（2）投标人名单和评标委员会成员名单；</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（3）评标方法和标准；</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（4）开标记录和评标情况及说明，包括无效投标人名单及原因；</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（5）评标结果，确定的中标候选人名单或者经采购人委托直接确定的中标人；</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（6）其他需要说明的情况，包括评标过程中投标人根据评标委员会要求进行的澄清、说明或者补正，评标委员会成员的更换等。</w:t>
      </w:r>
    </w:p>
    <w:p>
      <w:pPr>
        <w:pStyle w:val="13"/>
        <w:keepNext w:val="0"/>
        <w:keepLines w:val="0"/>
        <w:pageBreakBefore w:val="0"/>
        <w:widowControl w:val="0"/>
        <w:kinsoku/>
        <w:wordWrap/>
        <w:overflowPunct/>
        <w:topLinePunct w:val="0"/>
        <w:bidi w:val="0"/>
        <w:spacing w:line="30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bidi="ar-S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auto"/>
          <w:sz w:val="22"/>
          <w:szCs w:val="22"/>
          <w:highlight w:val="none"/>
        </w:rPr>
        <w:t>。</w:t>
      </w:r>
    </w:p>
    <w:p>
      <w:pPr>
        <w:keepNext w:val="0"/>
        <w:keepLines w:val="0"/>
        <w:pageBreakBefore w:val="0"/>
        <w:widowControl w:val="0"/>
        <w:kinsoku/>
        <w:wordWrap/>
        <w:overflowPunct/>
        <w:topLinePunct w:val="0"/>
        <w:bidi w:val="0"/>
        <w:adjustRightInd w:val="0"/>
        <w:snapToGrid w:val="0"/>
        <w:spacing w:line="300" w:lineRule="exact"/>
        <w:ind w:firstLine="440" w:firstLineChars="200"/>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7.4本次招标采购推荐的中标候选人数量见投标须知</w:t>
      </w:r>
      <w:r>
        <w:rPr>
          <w:rFonts w:hint="eastAsia" w:asciiTheme="minorEastAsia" w:hAnsiTheme="minorEastAsia" w:eastAsiaTheme="minorEastAsia" w:cstheme="minorEastAsia"/>
          <w:color w:val="auto"/>
          <w:kern w:val="0"/>
          <w:sz w:val="22"/>
          <w:szCs w:val="22"/>
          <w:highlight w:val="none"/>
          <w:lang w:eastAsia="zh-CN"/>
        </w:rPr>
        <w:t>资料表</w:t>
      </w:r>
      <w:r>
        <w:rPr>
          <w:rFonts w:hint="eastAsia" w:asciiTheme="minorEastAsia" w:hAnsiTheme="minorEastAsia" w:eastAsiaTheme="minorEastAsia" w:cstheme="minorEastAsia"/>
          <w:color w:val="auto"/>
          <w:kern w:val="0"/>
          <w:sz w:val="22"/>
          <w:szCs w:val="22"/>
          <w:highlight w:val="none"/>
        </w:rPr>
        <w:t>。</w:t>
      </w:r>
    </w:p>
    <w:p>
      <w:pPr>
        <w:pStyle w:val="4"/>
        <w:numPr>
          <w:ilvl w:val="0"/>
          <w:numId w:val="0"/>
        </w:numPr>
        <w:bidi w:val="0"/>
        <w:ind w:right="124" w:rightChars="0"/>
        <w:jc w:val="center"/>
        <w:outlineLvl w:val="1"/>
        <w:rPr>
          <w:rFonts w:hint="eastAsia" w:asciiTheme="minorEastAsia" w:hAnsiTheme="minorEastAsia" w:eastAsiaTheme="minorEastAsia" w:cstheme="minorEastAsia"/>
          <w:color w:val="auto"/>
          <w:sz w:val="32"/>
          <w:szCs w:val="32"/>
          <w:highlight w:val="none"/>
        </w:rPr>
      </w:pPr>
      <w:bookmarkStart w:id="379" w:name="_Toc23001"/>
      <w:bookmarkStart w:id="380" w:name="_Toc19871"/>
      <w:bookmarkStart w:id="381" w:name="_Toc873"/>
      <w:bookmarkStart w:id="382" w:name="_Toc27513"/>
      <w:bookmarkStart w:id="383" w:name="_Toc4342"/>
      <w:bookmarkStart w:id="384" w:name="_Toc2177"/>
      <w:r>
        <w:rPr>
          <w:rFonts w:hint="eastAsia" w:asciiTheme="minorEastAsia" w:hAnsiTheme="minorEastAsia" w:eastAsiaTheme="minorEastAsia" w:cstheme="minorEastAsia"/>
          <w:color w:val="auto"/>
          <w:sz w:val="32"/>
          <w:szCs w:val="32"/>
          <w:highlight w:val="none"/>
          <w:lang w:val="en-US" w:eastAsia="zh-CN"/>
        </w:rPr>
        <w:br w:type="page"/>
      </w:r>
      <w:bookmarkStart w:id="385" w:name="_Toc18487"/>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评标中的落实政府采购政策具体办法</w:t>
      </w:r>
      <w:bookmarkEnd w:id="379"/>
      <w:bookmarkEnd w:id="380"/>
      <w:bookmarkEnd w:id="381"/>
      <w:bookmarkEnd w:id="382"/>
      <w:bookmarkEnd w:id="383"/>
      <w:bookmarkEnd w:id="384"/>
      <w:bookmarkEnd w:id="385"/>
    </w:p>
    <w:p>
      <w:pPr>
        <w:numPr>
          <w:ilvl w:val="0"/>
          <w:numId w:val="0"/>
        </w:numPr>
        <w:ind w:right="0" w:rightChars="0"/>
        <w:rPr>
          <w:rFonts w:hint="eastAsia" w:asciiTheme="minorEastAsia" w:hAnsiTheme="minorEastAsia" w:eastAsiaTheme="minorEastAsia" w:cstheme="minorEastAsia"/>
          <w:color w:val="auto"/>
          <w:highlight w:val="none"/>
        </w:rPr>
      </w:pP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b w:val="0"/>
          <w:bCs w:val="0"/>
          <w:i w:val="0"/>
          <w:iCs w:val="0"/>
          <w:color w:val="auto"/>
          <w:sz w:val="24"/>
          <w:highlight w:val="none"/>
          <w:lang w:val="en-US" w:eastAsia="zh-CN"/>
        </w:rPr>
      </w:pPr>
      <w:bookmarkStart w:id="386" w:name="_bookmark68"/>
      <w:bookmarkEnd w:id="386"/>
      <w:bookmarkStart w:id="387" w:name="_bookmark70"/>
      <w:bookmarkEnd w:id="387"/>
      <w:bookmarkStart w:id="388" w:name="_Toc3095"/>
      <w:bookmarkStart w:id="389" w:name="_Toc1051"/>
      <w:r>
        <w:rPr>
          <w:rFonts w:hint="eastAsia" w:asciiTheme="minorEastAsia" w:hAnsiTheme="minorEastAsia" w:eastAsiaTheme="minorEastAsia" w:cstheme="minorEastAsia"/>
          <w:b w:val="0"/>
          <w:bCs w:val="0"/>
          <w:i w:val="0"/>
          <w:iCs w:val="0"/>
          <w:color w:val="auto"/>
          <w:sz w:val="24"/>
          <w:highlight w:val="none"/>
        </w:rPr>
        <w:t>1.根据《</w:t>
      </w:r>
      <w:r>
        <w:rPr>
          <w:rFonts w:hint="eastAsia" w:asciiTheme="minorEastAsia" w:hAnsiTheme="minorEastAsia" w:eastAsiaTheme="minorEastAsia" w:cstheme="minorEastAsia"/>
          <w:b w:val="0"/>
          <w:bCs w:val="0"/>
          <w:i w:val="0"/>
          <w:iCs w:val="0"/>
          <w:color w:val="auto"/>
          <w:sz w:val="24"/>
          <w:highlight w:val="none"/>
          <w:lang w:eastAsia="zh-CN"/>
        </w:rPr>
        <w:t>政府采购促进中小企业发展管理办法</w:t>
      </w:r>
      <w:r>
        <w:rPr>
          <w:rFonts w:hint="eastAsia" w:asciiTheme="minorEastAsia" w:hAnsiTheme="minorEastAsia" w:eastAsiaTheme="minorEastAsia" w:cstheme="minorEastAsia"/>
          <w:b w:val="0"/>
          <w:bCs w:val="0"/>
          <w:i w:val="0"/>
          <w:iCs w:val="0"/>
          <w:color w:val="auto"/>
          <w:sz w:val="24"/>
          <w:highlight w:val="none"/>
        </w:rPr>
        <w:t>》（财库[20</w:t>
      </w:r>
      <w:r>
        <w:rPr>
          <w:rFonts w:hint="eastAsia" w:asciiTheme="minorEastAsia" w:hAnsiTheme="minorEastAsia" w:eastAsiaTheme="minorEastAsia" w:cstheme="minorEastAsia"/>
          <w:b w:val="0"/>
          <w:bCs w:val="0"/>
          <w:i w:val="0"/>
          <w:iCs w:val="0"/>
          <w:color w:val="auto"/>
          <w:sz w:val="24"/>
          <w:highlight w:val="none"/>
          <w:lang w:val="en-US" w:eastAsia="zh-CN"/>
        </w:rPr>
        <w:t>20</w:t>
      </w:r>
      <w:r>
        <w:rPr>
          <w:rFonts w:hint="eastAsia" w:asciiTheme="minorEastAsia" w:hAnsiTheme="minorEastAsia" w:eastAsiaTheme="minorEastAsia" w:cstheme="minorEastAsia"/>
          <w:b w:val="0"/>
          <w:bCs w:val="0"/>
          <w:i w:val="0"/>
          <w:iCs w:val="0"/>
          <w:color w:val="auto"/>
          <w:sz w:val="24"/>
          <w:highlight w:val="none"/>
        </w:rPr>
        <w:t>]</w:t>
      </w:r>
      <w:r>
        <w:rPr>
          <w:rFonts w:hint="eastAsia" w:asciiTheme="minorEastAsia" w:hAnsiTheme="minorEastAsia" w:eastAsiaTheme="minorEastAsia" w:cstheme="minorEastAsia"/>
          <w:b w:val="0"/>
          <w:bCs w:val="0"/>
          <w:i w:val="0"/>
          <w:iCs w:val="0"/>
          <w:color w:val="auto"/>
          <w:sz w:val="24"/>
          <w:highlight w:val="none"/>
          <w:lang w:val="en-US" w:eastAsia="zh-CN"/>
        </w:rPr>
        <w:t>46</w:t>
      </w:r>
      <w:r>
        <w:rPr>
          <w:rFonts w:hint="eastAsia" w:asciiTheme="minorEastAsia" w:hAnsiTheme="minorEastAsia" w:eastAsiaTheme="minorEastAsia" w:cstheme="minorEastAsia"/>
          <w:b w:val="0"/>
          <w:bCs w:val="0"/>
          <w:i w:val="0"/>
          <w:iCs w:val="0"/>
          <w:color w:val="auto"/>
          <w:sz w:val="24"/>
          <w:highlight w:val="none"/>
        </w:rPr>
        <w:t>号）、《财政部司法部关于政府采购支持监狱企业发展有关问题的通知》（财库〔2014〕68号）和《三部门联合发布关于促进残疾人就业政府采购政策的通知》（财库〔2017〕141号）的规定，对满足价格扣除条件且在</w:t>
      </w:r>
      <w:r>
        <w:rPr>
          <w:rFonts w:hint="eastAsia" w:asciiTheme="minorEastAsia" w:hAnsiTheme="minorEastAsia" w:eastAsiaTheme="minorEastAsia" w:cstheme="minorEastAsia"/>
          <w:b w:val="0"/>
          <w:bCs w:val="0"/>
          <w:i w:val="0"/>
          <w:iCs w:val="0"/>
          <w:color w:val="auto"/>
          <w:sz w:val="24"/>
          <w:highlight w:val="none"/>
          <w:lang w:eastAsia="zh-CN"/>
        </w:rPr>
        <w:t>响应文件</w:t>
      </w:r>
      <w:r>
        <w:rPr>
          <w:rFonts w:hint="eastAsia" w:asciiTheme="minorEastAsia" w:hAnsiTheme="minorEastAsia" w:eastAsiaTheme="minorEastAsia" w:cstheme="minorEastAsia"/>
          <w:b w:val="0"/>
          <w:bCs w:val="0"/>
          <w:i w:val="0"/>
          <w:iCs w:val="0"/>
          <w:color w:val="auto"/>
          <w:sz w:val="24"/>
          <w:highlight w:val="none"/>
        </w:rPr>
        <w:t>中提交了《投标人企业类型声明函》、《残疾人福利性单位声明函》或省级以上监狱管理局、戒毒管理局（含新疆生产建设兵团）出具的属于监狱企业的投标人，其投标报价扣除</w:t>
      </w:r>
      <w:r>
        <w:rPr>
          <w:rFonts w:hint="eastAsia" w:asciiTheme="minorEastAsia" w:hAnsiTheme="minorEastAsia" w:eastAsiaTheme="minorEastAsia" w:cstheme="minorEastAsia"/>
          <w:b w:val="0"/>
          <w:bCs w:val="0"/>
          <w:i w:val="0"/>
          <w:iCs w:val="0"/>
          <w:color w:val="auto"/>
          <w:sz w:val="24"/>
          <w:highlight w:val="none"/>
          <w:u w:val="single"/>
        </w:rPr>
        <w:t xml:space="preserve"> </w:t>
      </w:r>
      <w:r>
        <w:rPr>
          <w:rFonts w:hint="eastAsia" w:asciiTheme="minorEastAsia" w:hAnsiTheme="minorEastAsia" w:eastAsiaTheme="minorEastAsia" w:cstheme="minorEastAsia"/>
          <w:b w:val="0"/>
          <w:bCs w:val="0"/>
          <w:i w:val="0"/>
          <w:iCs w:val="0"/>
          <w:color w:val="auto"/>
          <w:sz w:val="24"/>
          <w:highlight w:val="none"/>
          <w:u w:val="single"/>
          <w:lang w:val="en-US" w:eastAsia="zh-CN"/>
        </w:rPr>
        <w:t>10</w:t>
      </w:r>
      <w:r>
        <w:rPr>
          <w:rFonts w:hint="eastAsia" w:asciiTheme="minorEastAsia" w:hAnsiTheme="minorEastAsia" w:eastAsiaTheme="minorEastAsia" w:cstheme="minorEastAsia"/>
          <w:b w:val="0"/>
          <w:bCs w:val="0"/>
          <w:i w:val="0"/>
          <w:iCs w:val="0"/>
          <w:color w:val="auto"/>
          <w:sz w:val="24"/>
          <w:highlight w:val="none"/>
          <w:u w:val="single"/>
        </w:rPr>
        <w:t xml:space="preserve"> </w:t>
      </w:r>
      <w:r>
        <w:rPr>
          <w:rFonts w:hint="eastAsia" w:asciiTheme="minorEastAsia" w:hAnsiTheme="minorEastAsia" w:eastAsiaTheme="minorEastAsia" w:cstheme="minorEastAsia"/>
          <w:b w:val="0"/>
          <w:bCs w:val="0"/>
          <w:i w:val="0"/>
          <w:iCs w:val="0"/>
          <w:color w:val="auto"/>
          <w:sz w:val="24"/>
          <w:highlight w:val="none"/>
        </w:rPr>
        <w:t>%后参与评审。对于同时属于小微企业、监狱企业残疾人福利性单位的，不重复进行投标报价扣除。</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2.联合协议中约定，小型、微型企业和监狱企业的协议合同金额占到联合体协议合同总金额</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0%以上的，可给予联合体</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%的价格扣除。</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联合体各方均为小型、微型企业和监狱企业的，联合体视同为小型、微型企业和监狱企业。</w:t>
      </w:r>
    </w:p>
    <w:p>
      <w:pPr>
        <w:pStyle w:val="9"/>
        <w:keepNext w:val="0"/>
        <w:keepLines w:val="0"/>
        <w:pageBreakBefore w:val="0"/>
        <w:tabs>
          <w:tab w:val="clear" w:pos="567"/>
        </w:tabs>
        <w:kinsoku/>
        <w:wordWrap/>
        <w:overflowPunct/>
        <w:topLinePunct w:val="0"/>
        <w:autoSpaceDE/>
        <w:autoSpaceDN/>
        <w:bidi w:val="0"/>
        <w:adjustRightInd/>
        <w:snapToGrid/>
        <w:spacing w:before="0" w:line="400" w:lineRule="exact"/>
        <w:ind w:left="0" w:leftChars="0" w:firstLine="480" w:firstLineChars="200"/>
        <w:textAlignment w:val="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3.投标人所投产品如被列入财政部与国家主管部门颁发的节能产品目录或环境标志产品目录或无线局域网产品目录，应提供相关证明，在评标时予以优先采购，具体优惠措施为</w:t>
      </w:r>
      <w:r>
        <w:rPr>
          <w:rFonts w:hint="eastAsia" w:asciiTheme="minorEastAsia" w:hAnsiTheme="minorEastAsia" w:eastAsiaTheme="minorEastAsia" w:cstheme="minorEastAsia"/>
          <w:color w:val="auto"/>
          <w:highlight w:val="none"/>
          <w:u w:val="single"/>
        </w:rPr>
        <w:t xml:space="preserve">：   无        </w:t>
      </w:r>
    </w:p>
    <w:p>
      <w:pPr>
        <w:pStyle w:val="9"/>
        <w:keepNext w:val="0"/>
        <w:keepLines w:val="0"/>
        <w:pageBreakBefore w:val="0"/>
        <w:tabs>
          <w:tab w:val="clear" w:pos="567"/>
        </w:tabs>
        <w:kinsoku/>
        <w:wordWrap/>
        <w:overflowPunct/>
        <w:topLinePunct w:val="0"/>
        <w:autoSpaceDE/>
        <w:autoSpaceDN/>
        <w:bidi w:val="0"/>
        <w:adjustRightInd/>
        <w:snapToGrid/>
        <w:spacing w:before="0" w:line="40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4.如采购人所采购产品为政府强制采购的节能产品，投标人所投产品的品牌及型号必须为清单中有效期内产品并提供证明文件，否则其投标将被认定为</w:t>
      </w:r>
      <w:r>
        <w:rPr>
          <w:rFonts w:hint="eastAsia" w:asciiTheme="minorEastAsia" w:hAnsiTheme="minorEastAsia" w:eastAsiaTheme="minorEastAsia" w:cstheme="minorEastAsia"/>
          <w:b/>
          <w:bCs/>
          <w:color w:val="auto"/>
          <w:highlight w:val="none"/>
        </w:rPr>
        <w:t>投标无效</w:t>
      </w:r>
      <w:r>
        <w:rPr>
          <w:rFonts w:hint="eastAsia" w:asciiTheme="minorEastAsia" w:hAnsiTheme="minorEastAsia" w:eastAsiaTheme="minorEastAsia" w:cstheme="minorEastAsia"/>
          <w:color w:val="auto"/>
          <w:highlight w:val="none"/>
        </w:rPr>
        <w:t>。</w:t>
      </w:r>
    </w:p>
    <w:p>
      <w:pPr>
        <w:pStyle w:val="9"/>
        <w:keepNext w:val="0"/>
        <w:keepLines w:val="0"/>
        <w:pageBreakBefore w:val="0"/>
        <w:tabs>
          <w:tab w:val="clear" w:pos="567"/>
        </w:tabs>
        <w:kinsoku/>
        <w:wordWrap/>
        <w:overflowPunct/>
        <w:topLinePunct w:val="0"/>
        <w:autoSpaceDE/>
        <w:autoSpaceDN/>
        <w:bidi w:val="0"/>
        <w:adjustRightInd/>
        <w:snapToGrid/>
        <w:spacing w:before="0" w:line="400" w:lineRule="exact"/>
        <w:ind w:left="0" w:leftChars="0" w:firstLine="480" w:firstLineChars="200"/>
        <w:textAlignment w:val="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5.对创新产品或创新性企业的优惠措施为</w:t>
      </w:r>
      <w:r>
        <w:rPr>
          <w:rFonts w:hint="eastAsia" w:asciiTheme="minorEastAsia" w:hAnsiTheme="minorEastAsia" w:eastAsiaTheme="minorEastAsia" w:cstheme="minorEastAsia"/>
          <w:color w:val="auto"/>
          <w:highlight w:val="none"/>
          <w:u w:val="single"/>
        </w:rPr>
        <w:t xml:space="preserve">：          无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left"/>
        <w:textAlignment w:val="auto"/>
        <w:outlineLvl w:val="0"/>
        <w:rPr>
          <w:rFonts w:hint="eastAsia" w:asciiTheme="minorEastAsia" w:hAnsiTheme="minorEastAsia" w:eastAsiaTheme="minorEastAsia" w:cstheme="minorEastAsia"/>
          <w:color w:val="auto"/>
          <w:sz w:val="24"/>
          <w:highlight w:val="none"/>
        </w:rPr>
      </w:pPr>
      <w:bookmarkStart w:id="390" w:name="_Toc25656"/>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.中标候选人并列式时的处理方式：</w:t>
      </w:r>
      <w:bookmarkEnd w:id="390"/>
      <w:r>
        <w:rPr>
          <w:rFonts w:hint="eastAsia" w:asciiTheme="minorEastAsia" w:hAnsiTheme="minorEastAsia" w:eastAsiaTheme="minorEastAsia" w:cstheme="minorEastAsia"/>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left"/>
        <w:textAlignment w:val="auto"/>
        <w:outlineLvl w:val="0"/>
        <w:rPr>
          <w:rFonts w:hint="eastAsia" w:asciiTheme="minorEastAsia" w:hAnsiTheme="minorEastAsia" w:eastAsiaTheme="minorEastAsia" w:cstheme="minorEastAsia"/>
          <w:color w:val="auto"/>
          <w:sz w:val="24"/>
          <w:highlight w:val="none"/>
          <w:lang w:eastAsia="zh-CN"/>
        </w:rPr>
      </w:pPr>
      <w:bookmarkStart w:id="391" w:name="_Toc21818"/>
      <w:r>
        <w:rPr>
          <w:rFonts w:hint="eastAsia" w:asciiTheme="minorEastAsia" w:hAnsiTheme="minorEastAsia" w:eastAsiaTheme="minorEastAsia" w:cstheme="minorEastAsia"/>
          <w:color w:val="auto"/>
          <w:sz w:val="24"/>
          <w:highlight w:val="none"/>
        </w:rPr>
        <w:t>如采用</w:t>
      </w:r>
      <w:r>
        <w:rPr>
          <w:rFonts w:hint="eastAsia" w:asciiTheme="minorEastAsia" w:hAnsiTheme="minorEastAsia" w:eastAsiaTheme="minorEastAsia" w:cstheme="minorEastAsia"/>
          <w:color w:val="auto"/>
          <w:sz w:val="24"/>
          <w:highlight w:val="none"/>
          <w:lang w:val="en-US" w:eastAsia="zh-CN"/>
        </w:rPr>
        <w:t>综合评分法</w:t>
      </w:r>
      <w:r>
        <w:rPr>
          <w:rFonts w:hint="eastAsia" w:asciiTheme="minorEastAsia" w:hAnsiTheme="minorEastAsia" w:eastAsiaTheme="minorEastAsia" w:cstheme="minorEastAsia"/>
          <w:color w:val="auto"/>
          <w:sz w:val="24"/>
          <w:highlight w:val="none"/>
        </w:rPr>
        <w:t>，则：</w:t>
      </w:r>
      <w:r>
        <w:rPr>
          <w:rFonts w:hint="eastAsia" w:asciiTheme="minorEastAsia" w:hAnsiTheme="minorEastAsia" w:eastAsiaTheme="minorEastAsia" w:cstheme="minorEastAsia"/>
          <w:color w:val="auto"/>
          <w:sz w:val="24"/>
          <w:highlight w:val="none"/>
          <w:lang w:val="en-US" w:eastAsia="zh-CN"/>
        </w:rPr>
        <w:t>业主</w:t>
      </w:r>
      <w:r>
        <w:rPr>
          <w:rFonts w:hint="eastAsia" w:asciiTheme="minorEastAsia" w:hAnsiTheme="minorEastAsia" w:eastAsiaTheme="minorEastAsia" w:cstheme="minorEastAsia"/>
          <w:color w:val="auto"/>
          <w:sz w:val="24"/>
          <w:highlight w:val="none"/>
        </w:rPr>
        <w:t>随机抽取决定</w:t>
      </w:r>
      <w:r>
        <w:rPr>
          <w:rFonts w:hint="eastAsia" w:asciiTheme="minorEastAsia" w:hAnsiTheme="minorEastAsia" w:eastAsiaTheme="minorEastAsia" w:cstheme="minorEastAsia"/>
          <w:color w:val="auto"/>
          <w:sz w:val="24"/>
          <w:highlight w:val="none"/>
          <w:lang w:eastAsia="zh-CN"/>
        </w:rPr>
        <w:t>。</w:t>
      </w:r>
      <w:bookmarkEnd w:id="391"/>
    </w:p>
    <w:p>
      <w:pPr>
        <w:pStyle w:val="4"/>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bookmarkStart w:id="392" w:name="_Toc25223"/>
      <w:bookmarkStart w:id="393" w:name="_Toc30609"/>
      <w:bookmarkStart w:id="394" w:name="_Toc963"/>
      <w:bookmarkStart w:id="395" w:name="_Toc580"/>
      <w:bookmarkStart w:id="396" w:name="_Toc1425"/>
      <w:r>
        <w:rPr>
          <w:rFonts w:hint="eastAsia" w:asciiTheme="minorEastAsia" w:hAnsiTheme="minorEastAsia" w:eastAsiaTheme="minorEastAsia" w:cstheme="minorEastAsia"/>
          <w:color w:val="auto"/>
          <w:sz w:val="32"/>
          <w:szCs w:val="32"/>
          <w:highlight w:val="none"/>
        </w:rPr>
        <w:t>三、评标标准</w:t>
      </w:r>
      <w:bookmarkEnd w:id="388"/>
      <w:bookmarkEnd w:id="389"/>
      <w:bookmarkEnd w:id="392"/>
      <w:bookmarkEnd w:id="393"/>
      <w:bookmarkEnd w:id="394"/>
      <w:bookmarkEnd w:id="395"/>
      <w:bookmarkEnd w:id="396"/>
    </w:p>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详细评标表（满分100分）</w:t>
      </w:r>
    </w:p>
    <w:tbl>
      <w:tblPr>
        <w:tblStyle w:val="2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30"/>
        <w:gridCol w:w="411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4730" w:type="dxa"/>
            <w:tcBorders>
              <w:bottom w:val="single" w:color="000000" w:sz="6" w:space="0"/>
              <w:right w:val="single" w:color="000000" w:sz="6" w:space="0"/>
            </w:tcBorders>
            <w:noWrap w:val="0"/>
            <w:vAlign w:val="top"/>
          </w:tcPr>
          <w:p>
            <w:pPr>
              <w:pStyle w:val="35"/>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评分因素</w:t>
            </w:r>
          </w:p>
        </w:tc>
        <w:tc>
          <w:tcPr>
            <w:tcW w:w="4113" w:type="dxa"/>
            <w:tcBorders>
              <w:left w:val="single" w:color="000000" w:sz="6" w:space="0"/>
              <w:bottom w:val="single" w:color="000000" w:sz="6" w:space="0"/>
            </w:tcBorders>
            <w:noWrap w:val="0"/>
            <w:vAlign w:val="top"/>
          </w:tcPr>
          <w:p>
            <w:pPr>
              <w:pStyle w:val="35"/>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分值</w:t>
            </w:r>
            <w:r>
              <w:rPr>
                <w:rFonts w:hint="eastAsia" w:asciiTheme="minorEastAsia" w:hAnsiTheme="minorEastAsia" w:eastAsiaTheme="minorEastAsia" w:cstheme="minorEastAsia"/>
                <w:b/>
                <w:color w:val="auto"/>
                <w:sz w:val="24"/>
                <w:highlight w:val="none"/>
                <w:lang w:val="en-US"/>
              </w:rPr>
              <w:t>分</w:t>
            </w:r>
            <w:r>
              <w:rPr>
                <w:rFonts w:hint="eastAsia" w:asciiTheme="minorEastAsia" w:hAnsiTheme="minorEastAsia" w:eastAsiaTheme="minorEastAsia" w:cstheme="minorEastAsia"/>
                <w:b/>
                <w:color w:val="auto"/>
                <w:sz w:val="24"/>
                <w:highlight w:val="none"/>
              </w:rPr>
              <w:t>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jc w:val="center"/>
        </w:trPr>
        <w:tc>
          <w:tcPr>
            <w:tcW w:w="4730" w:type="dxa"/>
            <w:tcBorders>
              <w:top w:val="single" w:color="000000" w:sz="6" w:space="0"/>
              <w:bottom w:val="single" w:color="000000" w:sz="6" w:space="0"/>
              <w:right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投标报价</w:t>
            </w:r>
          </w:p>
        </w:tc>
        <w:tc>
          <w:tcPr>
            <w:tcW w:w="4113" w:type="dxa"/>
            <w:tcBorders>
              <w:top w:val="single" w:color="000000" w:sz="6" w:space="0"/>
              <w:left w:val="single" w:color="000000" w:sz="6" w:space="0"/>
              <w:bottom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4730" w:type="dxa"/>
            <w:tcBorders>
              <w:top w:val="single" w:color="000000" w:sz="6" w:space="0"/>
              <w:bottom w:val="single" w:color="000000" w:sz="6" w:space="0"/>
              <w:right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c>
          <w:tcPr>
            <w:tcW w:w="4113" w:type="dxa"/>
            <w:tcBorders>
              <w:top w:val="single" w:color="000000" w:sz="6" w:space="0"/>
              <w:left w:val="single" w:color="000000" w:sz="6" w:space="0"/>
              <w:bottom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4730" w:type="dxa"/>
            <w:tcBorders>
              <w:top w:val="single" w:color="000000" w:sz="6" w:space="0"/>
              <w:bottom w:val="single" w:color="000000" w:sz="6" w:space="0"/>
              <w:right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技术</w:t>
            </w:r>
            <w:r>
              <w:rPr>
                <w:rFonts w:hint="eastAsia" w:asciiTheme="minorEastAsia" w:hAnsiTheme="minorEastAsia" w:eastAsiaTheme="minorEastAsia" w:cstheme="minorEastAsia"/>
                <w:color w:val="auto"/>
                <w:sz w:val="24"/>
                <w:highlight w:val="none"/>
              </w:rPr>
              <w:t>部分</w:t>
            </w:r>
          </w:p>
        </w:tc>
        <w:tc>
          <w:tcPr>
            <w:tcW w:w="4113" w:type="dxa"/>
            <w:tcBorders>
              <w:top w:val="single" w:color="000000" w:sz="6" w:space="0"/>
              <w:left w:val="single" w:color="000000" w:sz="6" w:space="0"/>
              <w:bottom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60</w:t>
            </w:r>
            <w:r>
              <w:rPr>
                <w:rFonts w:hint="eastAsia" w:asciiTheme="minorEastAsia" w:hAnsiTheme="minorEastAsia" w:eastAsiaTheme="minorEastAsia" w:cstheme="minorEastAsia"/>
                <w:color w:val="auto"/>
                <w:sz w:val="24"/>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jc w:val="center"/>
        </w:trPr>
        <w:tc>
          <w:tcPr>
            <w:tcW w:w="4730" w:type="dxa"/>
            <w:tcBorders>
              <w:top w:val="single" w:color="000000" w:sz="6" w:space="0"/>
              <w:right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4113" w:type="dxa"/>
            <w:tcBorders>
              <w:top w:val="single" w:color="000000" w:sz="6" w:space="0"/>
              <w:left w:val="single" w:color="000000" w:sz="6" w:space="0"/>
            </w:tcBorders>
            <w:noWrap w:val="0"/>
            <w:vAlign w:val="top"/>
          </w:tcPr>
          <w:p>
            <w:pPr>
              <w:pStyle w:val="3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 分</w:t>
            </w:r>
          </w:p>
        </w:tc>
      </w:tr>
    </w:tbl>
    <w:p>
      <w:pPr>
        <w:pStyle w:val="9"/>
        <w:spacing w:before="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评分细则</w:t>
      </w:r>
    </w:p>
    <w:tbl>
      <w:tblPr>
        <w:tblStyle w:val="23"/>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26"/>
        <w:gridCol w:w="1329"/>
        <w:gridCol w:w="934"/>
        <w:gridCol w:w="5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1" w:type="dxa"/>
            <w:noWrap w:val="0"/>
            <w:vAlign w:val="center"/>
          </w:tcPr>
          <w:p>
            <w:pPr>
              <w:pStyle w:val="1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826" w:type="dxa"/>
            <w:noWrap w:val="0"/>
            <w:vAlign w:val="center"/>
          </w:tcPr>
          <w:p>
            <w:pPr>
              <w:pStyle w:val="3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highlight w:val="none"/>
              </w:rPr>
              <w:t>评分因素</w:t>
            </w:r>
          </w:p>
        </w:tc>
        <w:tc>
          <w:tcPr>
            <w:tcW w:w="1329" w:type="dxa"/>
            <w:noWrap w:val="0"/>
            <w:vAlign w:val="center"/>
          </w:tcPr>
          <w:p>
            <w:pPr>
              <w:pStyle w:val="1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评审内容</w:t>
            </w:r>
          </w:p>
        </w:tc>
        <w:tc>
          <w:tcPr>
            <w:tcW w:w="934" w:type="dxa"/>
            <w:noWrap w:val="0"/>
            <w:vAlign w:val="center"/>
          </w:tcPr>
          <w:p>
            <w:pPr>
              <w:pStyle w:val="1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w:t>
            </w:r>
          </w:p>
        </w:tc>
        <w:tc>
          <w:tcPr>
            <w:tcW w:w="5333" w:type="dxa"/>
            <w:noWrap w:val="0"/>
            <w:vAlign w:val="center"/>
          </w:tcPr>
          <w:p>
            <w:pPr>
              <w:pStyle w:val="1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pPr>
              <w:pStyle w:val="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26" w:type="dxa"/>
            <w:noWrap w:val="0"/>
            <w:vAlign w:val="center"/>
          </w:tcPr>
          <w:p>
            <w:pPr>
              <w:pStyle w:val="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投标报价部分</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w:t>
            </w:r>
          </w:p>
        </w:tc>
        <w:tc>
          <w:tcPr>
            <w:tcW w:w="1329" w:type="dxa"/>
            <w:noWrap w:val="0"/>
            <w:vAlign w:val="center"/>
          </w:tcPr>
          <w:p>
            <w:pPr>
              <w:pStyle w:val="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投标价格</w:t>
            </w:r>
          </w:p>
        </w:tc>
        <w:tc>
          <w:tcPr>
            <w:tcW w:w="934" w:type="dxa"/>
            <w:noWrap w:val="0"/>
            <w:vAlign w:val="center"/>
          </w:tcPr>
          <w:p>
            <w:pPr>
              <w:pStyle w:val="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w:t>
            </w:r>
          </w:p>
        </w:tc>
        <w:tc>
          <w:tcPr>
            <w:tcW w:w="5333" w:type="dxa"/>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投标人的价格分统一按照下列公式计算：</w:t>
            </w:r>
          </w:p>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投标报价得分=（评标基准价／修正后投标报价）×30%×100</w:t>
            </w:r>
          </w:p>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1.投标价格评分采用低价优先法计算；</w:t>
            </w:r>
          </w:p>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2.评标基准价：满足磋商文件要求且经修正(如有）、最后轮的磋商报价后，最低的磋商报价为评标基准价；</w:t>
            </w:r>
          </w:p>
          <w:p>
            <w:pPr>
              <w:pStyle w:val="1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w:t>
            </w:r>
            <w:r>
              <w:rPr>
                <w:rFonts w:hint="eastAsia" w:asciiTheme="minorEastAsia" w:hAnsiTheme="minorEastAsia" w:eastAsiaTheme="minorEastAsia" w:cstheme="minorEastAsia"/>
                <w:b/>
                <w:bCs/>
                <w:color w:val="auto"/>
                <w:sz w:val="24"/>
                <w:szCs w:val="24"/>
                <w:highlight w:val="none"/>
                <w:lang w:val="en-US" w:eastAsia="zh-CN"/>
              </w:rPr>
              <w:t>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681" w:type="dxa"/>
            <w:vMerge w:val="restart"/>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26" w:type="dxa"/>
            <w:vMerge w:val="restart"/>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商务部分10分</w:t>
            </w:r>
          </w:p>
        </w:tc>
        <w:tc>
          <w:tcPr>
            <w:tcW w:w="1329" w:type="dxa"/>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w:t>
            </w:r>
          </w:p>
        </w:tc>
        <w:tc>
          <w:tcPr>
            <w:tcW w:w="934" w:type="dxa"/>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4分</w:t>
            </w:r>
          </w:p>
        </w:tc>
        <w:tc>
          <w:tcPr>
            <w:tcW w:w="5333" w:type="dxa"/>
            <w:noWrap w:val="0"/>
            <w:vAlign w:val="top"/>
          </w:tcPr>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 ：相关专业高级及以上职称 (高级工程师)4 分；相关专业中级职称 (工程师) 2 分；</w:t>
            </w:r>
          </w:p>
          <w:p>
            <w:pPr>
              <w:pStyle w:val="1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相关专业初级职称 (助理工程师)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continue"/>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continue"/>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w:t>
            </w:r>
          </w:p>
        </w:tc>
        <w:tc>
          <w:tcPr>
            <w:tcW w:w="934" w:type="dxa"/>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6分</w:t>
            </w:r>
          </w:p>
        </w:tc>
        <w:tc>
          <w:tcPr>
            <w:tcW w:w="5333" w:type="dxa"/>
            <w:noWrap w:val="0"/>
            <w:vAlign w:val="top"/>
          </w:tcPr>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企业业绩：近三年，投标人每提供一项业绩得3分，最高得6分（须提供中标通知书及合同复印件）。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restart"/>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26" w:type="dxa"/>
            <w:vMerge w:val="restart"/>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技术部分60分</w:t>
            </w: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工程概况及特点</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6分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1" w:type="dxa"/>
            <w:vMerge w:val="continue"/>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continue"/>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施工方案</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rPr>
              <w:t>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w:t>
            </w:r>
            <w:r>
              <w:rPr>
                <w:rFonts w:hint="eastAsia" w:asciiTheme="minorEastAsia" w:hAnsiTheme="minorEastAsia" w:eastAsiaTheme="minorEastAsia" w:cstheme="minorEastAsia"/>
                <w:bCs/>
                <w:sz w:val="24"/>
                <w:szCs w:val="24"/>
                <w:highlight w:val="none"/>
                <w:lang w:val="en-US" w:eastAsia="zh-CN"/>
              </w:rPr>
              <w:t>14</w:t>
            </w:r>
            <w:r>
              <w:rPr>
                <w:rFonts w:hint="eastAsia" w:asciiTheme="minorEastAsia" w:hAnsiTheme="minorEastAsia" w:eastAsiaTheme="minorEastAsia" w:cstheme="minorEastAsia"/>
                <w:bCs/>
                <w:sz w:val="24"/>
                <w:szCs w:val="24"/>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restart"/>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restart"/>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施工准备计划</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8分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施工技术、现场、物资与机械、队伍准备计划应能充分保证工程需要等综合打分。计划内容完整可行、符合项目实际情况的得8分；每存在一处缺漏或不详实的扣2分，扣完为止。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continue"/>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continue"/>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施工进度计划</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6分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进度计划应在空间和时间上做合理的统筹安排且符合施工的科学规律等综合打分。计划完整、科学、符合项目实际情况的得6分；计划内容完整但空间及时间安排不合理的得2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continue"/>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continue"/>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现场文明施工</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措施应符合工程实际情况，切实可行，提供措施及承诺的得</w:t>
            </w: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continue"/>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continue"/>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劳动力需用量计划</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6分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continue"/>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continue"/>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质量、进度、安全保证措施和体系</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8分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1" w:type="dxa"/>
            <w:vMerge w:val="continue"/>
            <w:noWrap w:val="0"/>
            <w:vAlign w:val="center"/>
          </w:tcPr>
          <w:p>
            <w:pPr>
              <w:pStyle w:val="10"/>
              <w:jc w:val="center"/>
              <w:rPr>
                <w:rFonts w:hint="eastAsia" w:asciiTheme="minorEastAsia" w:hAnsiTheme="minorEastAsia" w:eastAsiaTheme="minorEastAsia" w:cstheme="minorEastAsia"/>
                <w:color w:val="auto"/>
                <w:sz w:val="24"/>
                <w:szCs w:val="24"/>
                <w:highlight w:val="none"/>
                <w:lang w:val="en-US" w:eastAsia="zh-CN"/>
              </w:rPr>
            </w:pPr>
          </w:p>
        </w:tc>
        <w:tc>
          <w:tcPr>
            <w:tcW w:w="826" w:type="dxa"/>
            <w:vMerge w:val="continue"/>
            <w:noWrap w:val="0"/>
            <w:vAlign w:val="center"/>
          </w:tcPr>
          <w:p>
            <w:pPr>
              <w:pStyle w:val="10"/>
              <w:jc w:val="left"/>
              <w:rPr>
                <w:rFonts w:hint="eastAsia" w:asciiTheme="minorEastAsia" w:hAnsiTheme="minorEastAsia" w:eastAsiaTheme="minorEastAsia" w:cstheme="minorEastAsia"/>
                <w:color w:val="auto"/>
                <w:sz w:val="24"/>
                <w:szCs w:val="24"/>
                <w:highlight w:val="none"/>
                <w:lang w:val="en-US" w:eastAsia="zh-CN"/>
              </w:rPr>
            </w:pPr>
          </w:p>
        </w:tc>
        <w:tc>
          <w:tcPr>
            <w:tcW w:w="1329"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售后服务方案</w:t>
            </w:r>
          </w:p>
        </w:tc>
        <w:tc>
          <w:tcPr>
            <w:tcW w:w="934" w:type="dxa"/>
            <w:noWrap w:val="0"/>
            <w:vAlign w:val="center"/>
          </w:tcPr>
          <w:p>
            <w:pPr>
              <w:kinsoku w:val="0"/>
              <w:overflowPunct w:val="0"/>
              <w:spacing w:line="240" w:lineRule="auto"/>
              <w:jc w:val="center"/>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10分</w:t>
            </w:r>
          </w:p>
        </w:tc>
        <w:tc>
          <w:tcPr>
            <w:tcW w:w="5333" w:type="dxa"/>
            <w:noWrap w:val="0"/>
            <w:vAlign w:val="center"/>
          </w:tcPr>
          <w:p>
            <w:pPr>
              <w:kinsoku w:val="0"/>
              <w:overflowPunct w:val="0"/>
              <w:spacing w:line="240" w:lineRule="auto"/>
              <w:jc w:val="left"/>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2、维修能力证明，提供承诺函的得2分，未提供不得分。</w:t>
            </w:r>
          </w:p>
          <w:p>
            <w:pPr>
              <w:kinsoku w:val="0"/>
              <w:overflowPunct w:val="0"/>
              <w:spacing w:line="240" w:lineRule="auto"/>
              <w:jc w:val="left"/>
              <w:outlineLvl w:val="9"/>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3、根据提供的针对客户当地实际情况制定售后服务承诺，提供承诺函得3分，未提供不得分。</w:t>
            </w:r>
          </w:p>
        </w:tc>
      </w:tr>
    </w:tbl>
    <w:p>
      <w:pPr>
        <w:pStyle w:val="10"/>
        <w:rPr>
          <w:rFonts w:hint="eastAsia"/>
        </w:rPr>
      </w:pPr>
    </w:p>
    <w:p>
      <w:pPr>
        <w:widowControl/>
        <w:jc w:val="both"/>
        <w:textAlignment w:val="auto"/>
        <w:rPr>
          <w:rFonts w:hint="eastAsia" w:asciiTheme="minorEastAsia" w:hAnsiTheme="minorEastAsia" w:eastAsiaTheme="minorEastAsia" w:cstheme="minorEastAsia"/>
          <w:bCs/>
          <w:color w:val="000000"/>
          <w:sz w:val="52"/>
          <w:szCs w:val="52"/>
          <w:lang w:eastAsia="zh-CN"/>
        </w:rPr>
      </w:pPr>
      <w:bookmarkStart w:id="397" w:name="_Toc507399904"/>
    </w:p>
    <w:p>
      <w:pPr>
        <w:pStyle w:val="26"/>
        <w:rPr>
          <w:rFonts w:hint="eastAsia" w:asciiTheme="minorEastAsia" w:hAnsiTheme="minorEastAsia" w:eastAsiaTheme="minorEastAsia" w:cstheme="minorEastAsia"/>
          <w:bCs/>
          <w:color w:val="000000"/>
          <w:sz w:val="52"/>
          <w:szCs w:val="52"/>
          <w:lang w:eastAsia="zh-CN"/>
        </w:rPr>
      </w:pPr>
    </w:p>
    <w:p>
      <w:pPr>
        <w:pStyle w:val="26"/>
        <w:rPr>
          <w:rFonts w:hint="eastAsia" w:asciiTheme="minorEastAsia" w:hAnsiTheme="minorEastAsia" w:eastAsiaTheme="minorEastAsia" w:cstheme="minorEastAsia"/>
          <w:bCs/>
          <w:color w:val="000000"/>
          <w:sz w:val="52"/>
          <w:szCs w:val="52"/>
          <w:lang w:eastAsia="zh-CN"/>
        </w:rPr>
      </w:pPr>
    </w:p>
    <w:p>
      <w:pPr>
        <w:pStyle w:val="26"/>
        <w:rPr>
          <w:rFonts w:hint="eastAsia" w:asciiTheme="minorEastAsia" w:hAnsiTheme="minorEastAsia" w:eastAsiaTheme="minorEastAsia" w:cstheme="minorEastAsia"/>
          <w:bCs/>
          <w:color w:val="000000"/>
          <w:sz w:val="52"/>
          <w:szCs w:val="52"/>
          <w:lang w:eastAsia="zh-CN"/>
        </w:rPr>
      </w:pPr>
    </w:p>
    <w:p>
      <w:pPr>
        <w:pStyle w:val="26"/>
        <w:rPr>
          <w:rFonts w:hint="eastAsia" w:asciiTheme="minorEastAsia" w:hAnsiTheme="minorEastAsia" w:eastAsiaTheme="minorEastAsia" w:cstheme="minorEastAsia"/>
          <w:bCs/>
          <w:color w:val="000000"/>
          <w:sz w:val="52"/>
          <w:szCs w:val="52"/>
          <w:lang w:eastAsia="zh-CN"/>
        </w:rPr>
      </w:pPr>
    </w:p>
    <w:p>
      <w:pPr>
        <w:pStyle w:val="26"/>
        <w:ind w:left="0" w:leftChars="0" w:firstLine="0" w:firstLineChars="0"/>
        <w:rPr>
          <w:rFonts w:hint="eastAsia"/>
          <w:lang w:eastAsia="zh-CN"/>
        </w:rPr>
      </w:pPr>
    </w:p>
    <w:p>
      <w:pPr>
        <w:widowControl/>
        <w:jc w:val="center"/>
        <w:textAlignment w:val="auto"/>
        <w:rPr>
          <w:rFonts w:hint="eastAsia" w:asciiTheme="minorEastAsia" w:hAnsiTheme="minorEastAsia" w:eastAsiaTheme="minorEastAsia" w:cstheme="minorEastAsia"/>
          <w:bCs/>
          <w:color w:val="000000"/>
          <w:sz w:val="52"/>
          <w:szCs w:val="52"/>
          <w:lang w:eastAsia="zh-CN"/>
        </w:rPr>
      </w:pPr>
    </w:p>
    <w:p>
      <w:pPr>
        <w:widowControl/>
        <w:jc w:val="center"/>
        <w:textAlignment w:val="auto"/>
        <w:rPr>
          <w:rFonts w:hint="eastAsia" w:asciiTheme="minorEastAsia" w:hAnsiTheme="minorEastAsia" w:eastAsiaTheme="minorEastAsia" w:cstheme="minorEastAsia"/>
          <w:bCs/>
          <w:color w:val="000000"/>
          <w:sz w:val="52"/>
          <w:szCs w:val="52"/>
          <w:lang w:eastAsia="zh-CN"/>
        </w:rPr>
      </w:pPr>
    </w:p>
    <w:p>
      <w:pPr>
        <w:widowControl/>
        <w:jc w:val="center"/>
        <w:textAlignment w:val="auto"/>
        <w:rPr>
          <w:rFonts w:hint="eastAsia" w:asciiTheme="minorEastAsia" w:hAnsiTheme="minorEastAsia" w:eastAsiaTheme="minorEastAsia" w:cstheme="minorEastAsia"/>
          <w:b/>
          <w:bCs w:val="0"/>
          <w:color w:val="000000"/>
          <w:sz w:val="52"/>
          <w:szCs w:val="52"/>
          <w:lang w:eastAsia="zh-CN"/>
        </w:rPr>
      </w:pPr>
      <w:r>
        <w:rPr>
          <w:rFonts w:hint="eastAsia" w:asciiTheme="minorEastAsia" w:hAnsiTheme="minorEastAsia" w:eastAsiaTheme="minorEastAsia" w:cstheme="minorEastAsia"/>
          <w:b/>
          <w:bCs w:val="0"/>
          <w:color w:val="000000"/>
          <w:sz w:val="52"/>
          <w:szCs w:val="52"/>
          <w:lang w:eastAsia="zh-CN"/>
        </w:rPr>
        <w:t>喀什市伯什克然木乡商铺建设项目竞争性磋商文件</w:t>
      </w:r>
    </w:p>
    <w:p>
      <w:pPr>
        <w:snapToGrid w:val="0"/>
        <w:jc w:val="center"/>
        <w:rPr>
          <w:rStyle w:val="28"/>
          <w:rFonts w:hint="eastAsia" w:asciiTheme="minorEastAsia" w:hAnsiTheme="minorEastAsia" w:eastAsiaTheme="minorEastAsia" w:cstheme="minorEastAsia"/>
          <w:color w:val="000000"/>
          <w:sz w:val="72"/>
          <w:lang w:val="en-US" w:eastAsia="zh-CN"/>
        </w:rPr>
      </w:pPr>
      <w:r>
        <w:rPr>
          <w:rStyle w:val="28"/>
          <w:rFonts w:hint="eastAsia" w:asciiTheme="minorEastAsia" w:hAnsiTheme="minorEastAsia" w:eastAsiaTheme="minorEastAsia" w:cstheme="minorEastAsia"/>
          <w:color w:val="000000"/>
          <w:sz w:val="72"/>
          <w:lang w:val="en-US" w:eastAsia="zh-CN"/>
        </w:rPr>
        <w:t xml:space="preserve">  </w:t>
      </w:r>
    </w:p>
    <w:p>
      <w:pPr>
        <w:rPr>
          <w:rStyle w:val="28"/>
          <w:rFonts w:hint="eastAsia" w:asciiTheme="minorEastAsia" w:hAnsiTheme="minorEastAsia" w:eastAsiaTheme="minorEastAsia" w:cstheme="minorEastAsia"/>
          <w:color w:val="000000"/>
          <w:sz w:val="72"/>
          <w:lang w:val="en-US" w:eastAsia="zh-CN"/>
        </w:rPr>
      </w:pPr>
    </w:p>
    <w:p>
      <w:pPr>
        <w:pStyle w:val="2"/>
        <w:rPr>
          <w:rFonts w:hint="eastAsia"/>
          <w:lang w:val="en-US" w:eastAsia="zh-CN"/>
        </w:rPr>
      </w:pPr>
    </w:p>
    <w:p>
      <w:pPr>
        <w:snapToGrid w:val="0"/>
        <w:rPr>
          <w:rStyle w:val="28"/>
          <w:rFonts w:hint="eastAsia" w:asciiTheme="minorEastAsia" w:hAnsiTheme="minorEastAsia" w:eastAsiaTheme="minorEastAsia" w:cstheme="minorEastAsia"/>
          <w:color w:val="000000"/>
          <w:sz w:val="72"/>
        </w:rPr>
      </w:pPr>
    </w:p>
    <w:p>
      <w:pPr>
        <w:widowControl/>
        <w:jc w:val="center"/>
        <w:rPr>
          <w:rFonts w:hint="eastAsia" w:asciiTheme="minorEastAsia" w:hAnsiTheme="minorEastAsia" w:eastAsiaTheme="minorEastAsia" w:cstheme="minorEastAsia"/>
          <w:b/>
          <w:bCs/>
          <w:kern w:val="0"/>
          <w:sz w:val="32"/>
          <w:szCs w:val="32"/>
          <w:highlight w:val="yellow"/>
        </w:rPr>
      </w:pPr>
      <w:r>
        <w:rPr>
          <w:rFonts w:hint="eastAsia" w:asciiTheme="minorEastAsia" w:hAnsiTheme="minorEastAsia" w:eastAsiaTheme="minorEastAsia" w:cstheme="minorEastAsia"/>
          <w:b/>
          <w:bCs/>
          <w:kern w:val="0"/>
          <w:sz w:val="32"/>
          <w:szCs w:val="32"/>
        </w:rPr>
        <w:t>（项目编号：</w:t>
      </w:r>
      <w:r>
        <w:rPr>
          <w:rFonts w:hint="eastAsia" w:asciiTheme="minorEastAsia" w:hAnsiTheme="minorEastAsia" w:eastAsiaTheme="minorEastAsia" w:cstheme="minorEastAsia"/>
          <w:b/>
          <w:bCs/>
          <w:kern w:val="0"/>
          <w:sz w:val="32"/>
          <w:szCs w:val="32"/>
          <w:lang w:val="en-US" w:eastAsia="zh-CN"/>
        </w:rPr>
        <w:t>XJZY</w:t>
      </w:r>
      <w:r>
        <w:rPr>
          <w:rFonts w:hint="eastAsia" w:asciiTheme="minorEastAsia" w:hAnsiTheme="minorEastAsia" w:eastAsiaTheme="minorEastAsia" w:cstheme="minorEastAsia"/>
          <w:b/>
          <w:bCs/>
          <w:kern w:val="0"/>
          <w:sz w:val="32"/>
          <w:szCs w:val="32"/>
          <w:highlight w:val="none"/>
          <w:lang w:eastAsia="zh-CN"/>
        </w:rPr>
        <w:t>-</w:t>
      </w:r>
      <w:r>
        <w:rPr>
          <w:rFonts w:hint="eastAsia" w:asciiTheme="minorEastAsia" w:hAnsiTheme="minorEastAsia" w:eastAsiaTheme="minorEastAsia" w:cstheme="minorEastAsia"/>
          <w:b/>
          <w:bCs/>
          <w:kern w:val="0"/>
          <w:sz w:val="32"/>
          <w:szCs w:val="32"/>
          <w:highlight w:val="none"/>
          <w:lang w:val="en-US" w:eastAsia="zh-CN"/>
        </w:rPr>
        <w:t>KS</w:t>
      </w:r>
      <w:r>
        <w:rPr>
          <w:rFonts w:hint="eastAsia" w:asciiTheme="minorEastAsia" w:hAnsiTheme="minorEastAsia" w:eastAsiaTheme="minorEastAsia" w:cstheme="minorEastAsia"/>
          <w:b/>
          <w:bCs/>
          <w:kern w:val="0"/>
          <w:sz w:val="32"/>
          <w:szCs w:val="32"/>
          <w:highlight w:val="none"/>
          <w:lang w:eastAsia="zh-CN"/>
        </w:rPr>
        <w:t>23(</w:t>
      </w:r>
      <w:r>
        <w:rPr>
          <w:rFonts w:hint="eastAsia" w:asciiTheme="minorEastAsia" w:hAnsiTheme="minorEastAsia" w:eastAsiaTheme="minorEastAsia" w:cstheme="minorEastAsia"/>
          <w:b/>
          <w:bCs/>
          <w:kern w:val="0"/>
          <w:sz w:val="32"/>
          <w:szCs w:val="32"/>
          <w:highlight w:val="none"/>
          <w:lang w:val="en-US" w:eastAsia="zh-CN"/>
        </w:rPr>
        <w:t>CS</w:t>
      </w:r>
      <w:r>
        <w:rPr>
          <w:rFonts w:hint="eastAsia" w:asciiTheme="minorEastAsia" w:hAnsiTheme="minorEastAsia" w:eastAsiaTheme="minorEastAsia" w:cstheme="minorEastAsia"/>
          <w:b/>
          <w:bCs/>
          <w:kern w:val="0"/>
          <w:sz w:val="32"/>
          <w:szCs w:val="32"/>
          <w:highlight w:val="none"/>
          <w:lang w:eastAsia="zh-CN"/>
        </w:rPr>
        <w:t>)-00</w:t>
      </w:r>
      <w:r>
        <w:rPr>
          <w:rFonts w:hint="eastAsia" w:asciiTheme="minorEastAsia" w:hAnsiTheme="minorEastAsia" w:eastAsiaTheme="minorEastAsia" w:cstheme="minorEastAsia"/>
          <w:b/>
          <w:bCs/>
          <w:kern w:val="0"/>
          <w:sz w:val="32"/>
          <w:szCs w:val="32"/>
          <w:highlight w:val="none"/>
          <w:lang w:val="en-US" w:eastAsia="zh-CN"/>
        </w:rPr>
        <w:t>3</w:t>
      </w:r>
      <w:r>
        <w:rPr>
          <w:rFonts w:hint="eastAsia" w:asciiTheme="minorEastAsia" w:hAnsiTheme="minorEastAsia" w:eastAsiaTheme="minorEastAsia" w:cstheme="minorEastAsia"/>
          <w:b/>
          <w:bCs/>
          <w:kern w:val="0"/>
          <w:sz w:val="32"/>
          <w:szCs w:val="32"/>
          <w:highlight w:val="none"/>
        </w:rPr>
        <w:t>）</w:t>
      </w:r>
    </w:p>
    <w:p>
      <w:pPr>
        <w:spacing w:line="240" w:lineRule="atLeast"/>
        <w:ind w:left="1080" w:leftChars="257" w:hanging="54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32"/>
          <w:szCs w:val="32"/>
        </w:rPr>
        <w:t xml:space="preserve"> </w:t>
      </w:r>
    </w:p>
    <w:p>
      <w:pPr>
        <w:spacing w:line="240" w:lineRule="atLeast"/>
        <w:ind w:left="1080" w:leftChars="257" w:hanging="540"/>
        <w:jc w:val="center"/>
        <w:rPr>
          <w:rFonts w:hint="eastAsia" w:asciiTheme="minorEastAsia" w:hAnsiTheme="minorEastAsia" w:eastAsiaTheme="minorEastAsia" w:cstheme="minorEastAsia"/>
          <w:b/>
          <w:sz w:val="32"/>
          <w:szCs w:val="32"/>
        </w:rPr>
      </w:pPr>
    </w:p>
    <w:p>
      <w:pPr>
        <w:pStyle w:val="2"/>
        <w:rPr>
          <w:rFonts w:hint="eastAsia" w:asciiTheme="minorEastAsia" w:hAnsiTheme="minorEastAsia" w:eastAsiaTheme="minorEastAsia" w:cstheme="minorEastAsia"/>
          <w:b/>
          <w:sz w:val="32"/>
          <w:szCs w:val="32"/>
        </w:rPr>
      </w:pPr>
    </w:p>
    <w:p>
      <w:pPr>
        <w:rPr>
          <w:rFonts w:hint="eastAsia" w:asciiTheme="minorEastAsia" w:hAnsiTheme="minorEastAsia" w:eastAsiaTheme="minorEastAsia" w:cstheme="minorEastAsia"/>
          <w:b/>
          <w:sz w:val="32"/>
          <w:szCs w:val="32"/>
        </w:rPr>
      </w:pPr>
    </w:p>
    <w:p>
      <w:pPr>
        <w:pStyle w:val="2"/>
        <w:rPr>
          <w:rFonts w:hint="eastAsia" w:asciiTheme="minorEastAsia" w:hAnsiTheme="minorEastAsia" w:eastAsiaTheme="minorEastAsia" w:cstheme="minorEastAsia"/>
          <w:b/>
          <w:sz w:val="32"/>
          <w:szCs w:val="32"/>
        </w:rPr>
      </w:pPr>
    </w:p>
    <w:p>
      <w:pPr>
        <w:rPr>
          <w:rFonts w:hint="eastAsia"/>
        </w:rPr>
      </w:pPr>
    </w:p>
    <w:p>
      <w:pPr>
        <w:spacing w:line="240" w:lineRule="atLeast"/>
        <w:ind w:left="1080" w:leftChars="257" w:hanging="540"/>
        <w:rPr>
          <w:rFonts w:hint="eastAsia" w:asciiTheme="minorEastAsia" w:hAnsiTheme="minorEastAsia" w:eastAsiaTheme="minorEastAsia" w:cstheme="minorEastAsia"/>
          <w:b/>
          <w:sz w:val="28"/>
        </w:rPr>
      </w:pPr>
    </w:p>
    <w:p>
      <w:pPr>
        <w:spacing w:line="240" w:lineRule="atLeast"/>
        <w:ind w:left="1080" w:leftChars="257" w:hanging="540"/>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第</w:t>
      </w:r>
      <w:r>
        <w:rPr>
          <w:rFonts w:hint="eastAsia" w:asciiTheme="minorEastAsia" w:hAnsiTheme="minorEastAsia" w:eastAsiaTheme="minorEastAsia" w:cstheme="minorEastAsia"/>
          <w:b/>
          <w:sz w:val="48"/>
          <w:szCs w:val="48"/>
          <w:lang w:eastAsia="zh-CN"/>
        </w:rPr>
        <w:t>三</w:t>
      </w:r>
      <w:r>
        <w:rPr>
          <w:rFonts w:hint="eastAsia" w:asciiTheme="minorEastAsia" w:hAnsiTheme="minorEastAsia" w:eastAsiaTheme="minorEastAsia" w:cstheme="minorEastAsia"/>
          <w:b/>
          <w:sz w:val="48"/>
          <w:szCs w:val="48"/>
        </w:rPr>
        <w:t>册</w:t>
      </w:r>
    </w:p>
    <w:p>
      <w:pPr>
        <w:spacing w:line="240" w:lineRule="atLeast"/>
        <w:ind w:left="1080" w:leftChars="257" w:hanging="540"/>
        <w:jc w:val="center"/>
        <w:rPr>
          <w:rFonts w:hint="eastAsia" w:asciiTheme="minorEastAsia" w:hAnsiTheme="minorEastAsia" w:eastAsiaTheme="minorEastAsia" w:cstheme="minorEastAsia"/>
          <w:b/>
          <w:color w:val="auto"/>
          <w:sz w:val="52"/>
          <w:highlight w:val="none"/>
        </w:rPr>
      </w:pPr>
    </w:p>
    <w:p>
      <w:pPr>
        <w:spacing w:line="240" w:lineRule="atLeast"/>
        <w:ind w:left="1080" w:leftChars="257" w:hanging="540"/>
        <w:jc w:val="center"/>
        <w:rPr>
          <w:rFonts w:hint="eastAsia" w:asciiTheme="minorEastAsia" w:hAnsiTheme="minorEastAsia" w:eastAsiaTheme="minorEastAsia" w:cstheme="minorEastAsia"/>
          <w:b/>
          <w:color w:val="auto"/>
          <w:sz w:val="52"/>
          <w:highlight w:val="none"/>
        </w:rPr>
      </w:pPr>
    </w:p>
    <w:p>
      <w:pPr>
        <w:spacing w:line="240" w:lineRule="atLeast"/>
        <w:ind w:left="1080" w:leftChars="257" w:hanging="540"/>
        <w:jc w:val="center"/>
        <w:rPr>
          <w:rFonts w:hint="eastAsia" w:asciiTheme="minorEastAsia" w:hAnsiTheme="minorEastAsia" w:eastAsiaTheme="minorEastAsia" w:cstheme="minorEastAsia"/>
          <w:b/>
          <w:color w:val="auto"/>
          <w:sz w:val="52"/>
          <w:highlight w:val="none"/>
        </w:rPr>
      </w:pPr>
    </w:p>
    <w:p>
      <w:pPr>
        <w:pStyle w:val="2"/>
        <w:rPr>
          <w:rFonts w:hint="eastAsia" w:asciiTheme="minorEastAsia" w:hAnsiTheme="minorEastAsia" w:eastAsiaTheme="minorEastAsia" w:cstheme="minorEastAsia"/>
          <w:b/>
          <w:color w:val="auto"/>
          <w:sz w:val="52"/>
          <w:highlight w:val="none"/>
        </w:rPr>
      </w:pPr>
    </w:p>
    <w:p>
      <w:pPr>
        <w:rPr>
          <w:rFonts w:hint="eastAsia" w:asciiTheme="minorEastAsia" w:hAnsiTheme="minorEastAsia" w:eastAsiaTheme="minorEastAsia" w:cstheme="minorEastAsia"/>
          <w:b/>
          <w:color w:val="auto"/>
          <w:sz w:val="52"/>
          <w:highlight w:val="none"/>
        </w:rPr>
      </w:pPr>
    </w:p>
    <w:p>
      <w:pPr>
        <w:pStyle w:val="2"/>
        <w:rPr>
          <w:rFonts w:hint="eastAsia" w:asciiTheme="minorEastAsia" w:hAnsiTheme="minorEastAsia" w:eastAsiaTheme="minorEastAsia" w:cstheme="minorEastAsia"/>
          <w:b/>
          <w:color w:val="auto"/>
          <w:sz w:val="52"/>
          <w:highlight w:val="none"/>
        </w:rPr>
      </w:pPr>
    </w:p>
    <w:p>
      <w:pPr>
        <w:rPr>
          <w:rFonts w:hint="eastAsia" w:asciiTheme="minorEastAsia" w:hAnsiTheme="minorEastAsia" w:eastAsiaTheme="minorEastAsia" w:cstheme="minorEastAsia"/>
          <w:b/>
          <w:color w:val="auto"/>
          <w:sz w:val="52"/>
          <w:highlight w:val="none"/>
        </w:rPr>
      </w:pPr>
    </w:p>
    <w:p>
      <w:pPr>
        <w:rPr>
          <w:rFonts w:hint="eastAsia" w:asciiTheme="minorEastAsia" w:hAnsiTheme="minorEastAsia" w:eastAsiaTheme="minorEastAsia" w:cstheme="minorEastAsia"/>
          <w:color w:val="auto"/>
          <w:highlight w:val="none"/>
          <w:lang w:val="en-US" w:eastAsia="zh-CN"/>
        </w:rPr>
      </w:pPr>
      <w:bookmarkStart w:id="398" w:name="_Toc13575"/>
      <w:bookmarkStart w:id="399" w:name="_Toc18368"/>
      <w:bookmarkStart w:id="400" w:name="_Toc18897"/>
      <w:bookmarkStart w:id="401" w:name="_Toc518923128"/>
      <w:bookmarkStart w:id="402" w:name="_Toc24271"/>
    </w:p>
    <w:p>
      <w:pPr>
        <w:pStyle w:val="2"/>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pStyle w:val="3"/>
        <w:numPr>
          <w:ilvl w:val="0"/>
          <w:numId w:val="0"/>
        </w:numPr>
        <w:tabs>
          <w:tab w:val="left" w:pos="0"/>
        </w:tabs>
        <w:spacing w:before="0" w:after="0" w:line="240" w:lineRule="atLeast"/>
        <w:ind w:left="-15" w:leftChars="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第7章   </w:t>
      </w:r>
      <w:bookmarkStart w:id="403" w:name="_Toc8997"/>
      <w:r>
        <w:rPr>
          <w:rFonts w:hint="eastAsia" w:asciiTheme="minorEastAsia" w:hAnsiTheme="minorEastAsia" w:eastAsiaTheme="minorEastAsia" w:cstheme="minorEastAsia"/>
          <w:color w:val="auto"/>
          <w:highlight w:val="none"/>
          <w:lang w:val="en-US" w:eastAsia="zh-CN"/>
        </w:rPr>
        <w:t>合同</w:t>
      </w:r>
      <w:bookmarkEnd w:id="397"/>
      <w:bookmarkEnd w:id="398"/>
      <w:bookmarkEnd w:id="399"/>
      <w:bookmarkEnd w:id="400"/>
      <w:bookmarkEnd w:id="401"/>
      <w:bookmarkEnd w:id="402"/>
      <w:bookmarkEnd w:id="403"/>
      <w:bookmarkStart w:id="404" w:name="_Hlt487972895"/>
      <w:bookmarkEnd w:id="404"/>
      <w:r>
        <w:rPr>
          <w:rFonts w:hint="eastAsia" w:asciiTheme="minorEastAsia" w:hAnsiTheme="minorEastAsia" w:eastAsiaTheme="minorEastAsia" w:cstheme="minorEastAsia"/>
          <w:color w:val="auto"/>
          <w:highlight w:val="none"/>
          <w:lang w:val="en-US" w:eastAsia="zh-CN"/>
        </w:rPr>
        <w:t>(仅供参考具体以实际签订为准）</w:t>
      </w:r>
    </w:p>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3"/>
        <w:numPr>
          <w:ilvl w:val="0"/>
          <w:numId w:val="0"/>
        </w:numPr>
        <w:tabs>
          <w:tab w:val="left" w:pos="0"/>
        </w:tabs>
        <w:spacing w:before="0" w:after="0" w:line="240" w:lineRule="atLeast"/>
        <w:ind w:left="-15" w:leftChars="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合同条款及格式</w:t>
      </w:r>
    </w:p>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39"/>
        <w:keepNext w:val="0"/>
        <w:keepLines w:val="0"/>
        <w:pageBreakBefore w:val="0"/>
        <w:widowControl/>
        <w:overflowPunct/>
        <w:bidi w:val="0"/>
        <w:adjustRightInd w:val="0"/>
        <w:snapToGrid w:val="0"/>
        <w:spacing w:before="0" w:after="50" w:line="260" w:lineRule="exact"/>
        <w:textAlignment w:val="auto"/>
        <w:rPr>
          <w:rFonts w:hint="eastAsia" w:asciiTheme="minorEastAsia" w:hAnsiTheme="minorEastAsia" w:eastAsiaTheme="minorEastAsia" w:cstheme="minorEastAsia"/>
          <w:sz w:val="24"/>
          <w:szCs w:val="24"/>
        </w:rPr>
      </w:pPr>
      <w:bookmarkStart w:id="405" w:name="_Toc54862164"/>
      <w:r>
        <w:rPr>
          <w:rFonts w:hint="eastAsia" w:asciiTheme="minorEastAsia" w:hAnsiTheme="minorEastAsia" w:eastAsiaTheme="minorEastAsia" w:cstheme="minorEastAsia"/>
          <w:sz w:val="24"/>
          <w:szCs w:val="24"/>
        </w:rPr>
        <w:t>第一部分 合同协议书</w:t>
      </w:r>
      <w:bookmarkEnd w:id="405"/>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发包人（全称）：</w:t>
      </w:r>
      <w:r>
        <w:rPr>
          <w:rFonts w:hint="eastAsia" w:asciiTheme="minorEastAsia" w:hAnsiTheme="minorEastAsia" w:eastAsiaTheme="minorEastAsia" w:cstheme="minorEastAsia"/>
          <w:sz w:val="22"/>
          <w:szCs w:val="22"/>
          <w:u w:val="single"/>
        </w:rPr>
        <w:t xml:space="preserve">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承包人（全称）：</w:t>
      </w:r>
      <w:r>
        <w:rPr>
          <w:rFonts w:hint="eastAsia" w:asciiTheme="minorEastAsia" w:hAnsiTheme="minorEastAsia" w:eastAsiaTheme="minorEastAsia" w:cstheme="minorEastAsia"/>
          <w:sz w:val="22"/>
          <w:szCs w:val="22"/>
          <w:u w:val="single"/>
        </w:rPr>
        <w:t xml:space="preserve">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项目的工程总承包及有关事项协商一致，共同达成如下协议：</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06" w:name="_Toc54862165"/>
      <w:r>
        <w:rPr>
          <w:rFonts w:hint="eastAsia" w:asciiTheme="minorEastAsia" w:hAnsiTheme="minorEastAsia" w:eastAsiaTheme="minorEastAsia" w:cstheme="minorEastAsia"/>
          <w:b w:val="0"/>
          <w:bCs/>
          <w:sz w:val="22"/>
          <w:szCs w:val="22"/>
        </w:rPr>
        <w:t>一、工程概况</w:t>
      </w:r>
      <w:bookmarkEnd w:id="406"/>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工程名称：</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工程地点：</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 工程审批、核准或备案文号：</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 资金来源：</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 工程内容及规模：</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工程承包范围：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07" w:name="_Toc54862166"/>
      <w:r>
        <w:rPr>
          <w:rFonts w:hint="eastAsia" w:asciiTheme="minorEastAsia" w:hAnsiTheme="minorEastAsia" w:eastAsiaTheme="minorEastAsia" w:cstheme="minorEastAsia"/>
          <w:b w:val="0"/>
          <w:bCs/>
          <w:sz w:val="22"/>
          <w:szCs w:val="22"/>
        </w:rPr>
        <w:t>二、合同工期</w:t>
      </w:r>
      <w:bookmarkEnd w:id="407"/>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计划开始工作日期：</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日。</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计划开始现场施工日期：</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日。</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计划竣工日期：</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日。</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工期总日历天数：</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天，工期总日历天数与根据前述计划日期计算的工期天数不一致的，以工期总日历天数为准。</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08" w:name="_Toc54862167"/>
      <w:r>
        <w:rPr>
          <w:rFonts w:hint="eastAsia" w:asciiTheme="minorEastAsia" w:hAnsiTheme="minorEastAsia" w:eastAsiaTheme="minorEastAsia" w:cstheme="minorEastAsia"/>
          <w:b w:val="0"/>
          <w:bCs/>
          <w:sz w:val="22"/>
          <w:szCs w:val="22"/>
        </w:rPr>
        <w:t>三、质量标准</w:t>
      </w:r>
      <w:bookmarkEnd w:id="408"/>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工程质量标准：</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09" w:name="_Toc54862168"/>
      <w:r>
        <w:rPr>
          <w:rFonts w:hint="eastAsia" w:asciiTheme="minorEastAsia" w:hAnsiTheme="minorEastAsia" w:eastAsiaTheme="minorEastAsia" w:cstheme="minorEastAsia"/>
          <w:b w:val="0"/>
          <w:bCs/>
          <w:sz w:val="22"/>
          <w:szCs w:val="22"/>
        </w:rPr>
        <w:t>四、签约合同价与合同价格形式</w:t>
      </w:r>
      <w:bookmarkEnd w:id="409"/>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签约合同价（含税）为：</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人民币（大写)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具体构成详见价格清单。其中：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设计费（含税）：</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人民币（大写)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元）；适用税率：</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%，税金为人民币（大写)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元）；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设备购置费（含税）：</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人民币（大写)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元）；适用税率：</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%，税金为人民币（大写)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元）；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 建筑安装工程费（含税）：</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元）；适用税率：</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%，税金为人民币（大写)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元）；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 暂估价（含税）：</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 暂列金额（含税）：</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双方约定的其他费用（含税）：</w:t>
      </w:r>
    </w:p>
    <w:p>
      <w:pPr>
        <w:keepNext w:val="0"/>
        <w:keepLines w:val="0"/>
        <w:pageBreakBefore w:val="0"/>
        <w:widowControl/>
        <w:wordWrap/>
        <w:overflowPunct/>
        <w:topLinePunct w:val="0"/>
        <w:autoSpaceDE/>
        <w:autoSpaceDN/>
        <w:bidi w:val="0"/>
        <w:adjustRightInd w:val="0"/>
        <w:snapToGrid w:val="0"/>
        <w:spacing w:line="400" w:lineRule="exact"/>
        <w:ind w:firstLine="6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元）；适用税率：</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%，税金为人民币（大写)</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合同价格形式：</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合同价格形式为总价合同，除根据合同约定的在工程实施过程中需进行增减的款项外，合同价格不予调整，但合同当事人另有约定的除外。</w:t>
      </w:r>
    </w:p>
    <w:p>
      <w:pPr>
        <w:keepNext w:val="0"/>
        <w:keepLines w:val="0"/>
        <w:pageBreakBefore w:val="0"/>
        <w:widowControl/>
        <w:kinsoku w:val="0"/>
        <w:wordWrap/>
        <w:overflowPunct/>
        <w:topLinePunct w:val="0"/>
        <w:autoSpaceDE/>
        <w:autoSpaceDN/>
        <w:bidi w:val="0"/>
        <w:adjustRightInd w:val="0"/>
        <w:snapToGrid w:val="0"/>
        <w:spacing w:line="400" w:lineRule="exact"/>
        <w:ind w:left="263" w:leftChars="125" w:firstLine="220" w:firstLineChars="1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合同当事人对合同价格形式的其他约定：</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10" w:name="_Toc54862169"/>
      <w:r>
        <w:rPr>
          <w:rFonts w:hint="eastAsia" w:asciiTheme="minorEastAsia" w:hAnsiTheme="minorEastAsia" w:eastAsiaTheme="minorEastAsia" w:cstheme="minorEastAsia"/>
          <w:b w:val="0"/>
          <w:bCs/>
          <w:sz w:val="22"/>
          <w:szCs w:val="22"/>
        </w:rPr>
        <w:t>五、工程总承包项目经理</w:t>
      </w:r>
      <w:bookmarkEnd w:id="410"/>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工程总承包项目经理：</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11" w:name="_Toc54862170"/>
      <w:r>
        <w:rPr>
          <w:rFonts w:hint="eastAsia" w:asciiTheme="minorEastAsia" w:hAnsiTheme="minorEastAsia" w:eastAsiaTheme="minorEastAsia" w:cstheme="minorEastAsia"/>
          <w:b w:val="0"/>
          <w:bCs/>
          <w:sz w:val="22"/>
          <w:szCs w:val="22"/>
        </w:rPr>
        <w:t>六、合同文件构成</w:t>
      </w:r>
      <w:bookmarkEnd w:id="411"/>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本协议书与下列文件一起构成合同文件：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中标通知书（如果有）；</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投标函及投标函附录（如果有）；</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 专用合同条件及《发包人要求》等附件；</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 通用合同条件；</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 承包人建议书； </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价格清单；</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 双方约定的其他合同文件。</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上述各项合同文件包括双方就该项合同文件所作出的补充和修改，属于同一类内容的合同文件应以最新签署的为准。专用合同条件及其附件须经合同当事人签字或盖章。</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12" w:name="_Toc54862171"/>
      <w:r>
        <w:rPr>
          <w:rFonts w:hint="eastAsia" w:asciiTheme="minorEastAsia" w:hAnsiTheme="minorEastAsia" w:eastAsiaTheme="minorEastAsia" w:cstheme="minorEastAsia"/>
          <w:b w:val="0"/>
          <w:bCs/>
          <w:sz w:val="22"/>
          <w:szCs w:val="22"/>
        </w:rPr>
        <w:t>七、承诺</w:t>
      </w:r>
      <w:bookmarkEnd w:id="412"/>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发包人承诺按照法律规定履行项目审批手续、筹集工程建设资金并按照合同约定的期限和方式支付合同价款。</w:t>
      </w:r>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承包人承诺按照法律规定及合同约定组织完成工程的设计、采购和施工等工作，确保工程质量和安全，不进行转包及违法分包，并在缺陷责任期及保修期内承担相应的工程维修责任。</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13" w:name="_Toc54862172"/>
      <w:r>
        <w:rPr>
          <w:rFonts w:hint="eastAsia" w:asciiTheme="minorEastAsia" w:hAnsiTheme="minorEastAsia" w:eastAsiaTheme="minorEastAsia" w:cstheme="minorEastAsia"/>
          <w:b w:val="0"/>
          <w:bCs/>
          <w:sz w:val="22"/>
          <w:szCs w:val="22"/>
        </w:rPr>
        <w:t>八、订立时间</w:t>
      </w:r>
      <w:bookmarkEnd w:id="413"/>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本合同于</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日订立。</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14" w:name="_Toc54862173"/>
      <w:r>
        <w:rPr>
          <w:rFonts w:hint="eastAsia" w:asciiTheme="minorEastAsia" w:hAnsiTheme="minorEastAsia" w:eastAsiaTheme="minorEastAsia" w:cstheme="minorEastAsia"/>
          <w:b w:val="0"/>
          <w:bCs/>
          <w:sz w:val="22"/>
          <w:szCs w:val="22"/>
        </w:rPr>
        <w:t>九、订立地点</w:t>
      </w:r>
      <w:bookmarkEnd w:id="414"/>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本合同在</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订立。</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15" w:name="_Toc54862174"/>
      <w:r>
        <w:rPr>
          <w:rFonts w:hint="eastAsia" w:asciiTheme="minorEastAsia" w:hAnsiTheme="minorEastAsia" w:eastAsiaTheme="minorEastAsia" w:cstheme="minorEastAsia"/>
          <w:b w:val="0"/>
          <w:bCs/>
          <w:sz w:val="22"/>
          <w:szCs w:val="22"/>
        </w:rPr>
        <w:t>十、合同生效</w:t>
      </w:r>
      <w:bookmarkEnd w:id="415"/>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本合同经双方签字或盖章后成立，并自</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生效。</w:t>
      </w:r>
    </w:p>
    <w:p>
      <w:pPr>
        <w:pStyle w:val="40"/>
        <w:keepNext w:val="0"/>
        <w:keepLines w:val="0"/>
        <w:pageBreakBefore w:val="0"/>
        <w:widowControl/>
        <w:numPr>
          <w:ilvl w:val="0"/>
          <w:numId w:val="0"/>
        </w:numPr>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2"/>
          <w:szCs w:val="22"/>
        </w:rPr>
      </w:pPr>
      <w:bookmarkStart w:id="416" w:name="_Toc54862175"/>
      <w:r>
        <w:rPr>
          <w:rFonts w:hint="eastAsia" w:asciiTheme="minorEastAsia" w:hAnsiTheme="minorEastAsia" w:eastAsiaTheme="minorEastAsia" w:cstheme="minorEastAsia"/>
          <w:b w:val="0"/>
          <w:bCs/>
          <w:sz w:val="22"/>
          <w:szCs w:val="22"/>
        </w:rPr>
        <w:t>十一、合同份数</w:t>
      </w:r>
      <w:bookmarkEnd w:id="416"/>
    </w:p>
    <w:p>
      <w:pPr>
        <w:keepNext w:val="0"/>
        <w:keepLines w:val="0"/>
        <w:pageBreakBefore w:val="0"/>
        <w:widowControl/>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本合同一式</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份，均具有同等法律效力，发包人执</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份，承包人执</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份。</w:t>
      </w:r>
    </w:p>
    <w:tbl>
      <w:tblPr>
        <w:tblStyle w:val="22"/>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shd w:val="clear" w:color="auto" w:fill="auto"/>
            <w:noWrap w:val="0"/>
            <w:vAlign w:val="top"/>
          </w:tcPr>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发包人：（公章）</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p>
        </w:tc>
        <w:tc>
          <w:tcPr>
            <w:tcW w:w="4565" w:type="dxa"/>
            <w:shd w:val="clear" w:color="auto" w:fill="auto"/>
            <w:noWrap w:val="0"/>
            <w:vAlign w:val="top"/>
          </w:tcPr>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承包人：（公章）</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p>
        </w:tc>
      </w:tr>
      <w:tr>
        <w:tblPrEx>
          <w:tblCellMar>
            <w:top w:w="0" w:type="dxa"/>
            <w:left w:w="108" w:type="dxa"/>
            <w:bottom w:w="0" w:type="dxa"/>
            <w:right w:w="108" w:type="dxa"/>
          </w:tblCellMar>
        </w:tblPrEx>
        <w:tc>
          <w:tcPr>
            <w:tcW w:w="4507" w:type="dxa"/>
            <w:shd w:val="clear" w:color="auto" w:fill="auto"/>
            <w:noWrap w:val="0"/>
            <w:vAlign w:val="top"/>
          </w:tcPr>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法定代表人或其委托代理人：</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（签字）</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p>
        </w:tc>
        <w:tc>
          <w:tcPr>
            <w:tcW w:w="4565" w:type="dxa"/>
            <w:shd w:val="clear" w:color="auto" w:fill="auto"/>
            <w:noWrap w:val="0"/>
            <w:vAlign w:val="top"/>
          </w:tcPr>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法定代表人或其委托代理人：</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（签字）</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p>
        </w:tc>
      </w:tr>
      <w:tr>
        <w:tblPrEx>
          <w:tblCellMar>
            <w:top w:w="0" w:type="dxa"/>
            <w:left w:w="108" w:type="dxa"/>
            <w:bottom w:w="0" w:type="dxa"/>
            <w:right w:w="108" w:type="dxa"/>
          </w:tblCellMar>
        </w:tblPrEx>
        <w:tc>
          <w:tcPr>
            <w:tcW w:w="4507" w:type="dxa"/>
            <w:shd w:val="clear" w:color="auto" w:fill="auto"/>
            <w:noWrap w:val="0"/>
            <w:vAlign w:val="top"/>
          </w:tcPr>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统一社会信用代码：</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地址：</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邮政编码：</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委托代理人：</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电话：</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传真： </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电子信箱：</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开户银行：</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账号：</w:t>
            </w:r>
            <w:r>
              <w:rPr>
                <w:rFonts w:hint="eastAsia" w:asciiTheme="minorEastAsia" w:hAnsiTheme="minorEastAsia" w:eastAsiaTheme="minorEastAsia" w:cstheme="minorEastAsia"/>
                <w:kern w:val="0"/>
                <w:sz w:val="22"/>
                <w:szCs w:val="22"/>
                <w:u w:val="single"/>
              </w:rPr>
              <w:t xml:space="preserve">                       </w:t>
            </w:r>
          </w:p>
        </w:tc>
        <w:tc>
          <w:tcPr>
            <w:tcW w:w="4565" w:type="dxa"/>
            <w:shd w:val="clear" w:color="auto" w:fill="auto"/>
            <w:noWrap w:val="0"/>
            <w:vAlign w:val="top"/>
          </w:tcPr>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统一社会信用代码：</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地址：</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邮政编码：</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委托代理人：</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电话：</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传真：</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电子信箱：</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开户银行：</w:t>
            </w:r>
            <w:r>
              <w:rPr>
                <w:rFonts w:hint="eastAsia" w:asciiTheme="minorEastAsia" w:hAnsiTheme="minorEastAsia" w:eastAsiaTheme="minorEastAsia" w:cstheme="minorEastAsia"/>
                <w:kern w:val="0"/>
                <w:sz w:val="22"/>
                <w:szCs w:val="22"/>
                <w:u w:val="single"/>
              </w:rPr>
              <w:t xml:space="preserve">                   </w:t>
            </w:r>
          </w:p>
          <w:p>
            <w:pPr>
              <w:pStyle w:val="41"/>
              <w:keepNext w:val="0"/>
              <w:keepLines w:val="0"/>
              <w:pageBreakBefore w:val="0"/>
              <w:framePr w:hSpace="0" w:wrap="auto" w:vAnchor="margin" w:hAnchor="text" w:yAlign="inline"/>
              <w:widowControl/>
              <w:wordWrap/>
              <w:overflowPunct/>
              <w:topLinePunct w:val="0"/>
              <w:autoSpaceDE/>
              <w:autoSpaceDN/>
              <w:bidi w:val="0"/>
              <w:adjustRightInd w:val="0"/>
              <w:snapToGrid w:val="0"/>
              <w:spacing w:after="50"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账号：</w:t>
            </w:r>
            <w:r>
              <w:rPr>
                <w:rFonts w:hint="eastAsia" w:asciiTheme="minorEastAsia" w:hAnsiTheme="minorEastAsia" w:eastAsiaTheme="minorEastAsia" w:cstheme="minorEastAsia"/>
                <w:sz w:val="22"/>
                <w:szCs w:val="22"/>
                <w:u w:val="single"/>
              </w:rPr>
              <w:t xml:space="preserve">                       </w:t>
            </w:r>
          </w:p>
        </w:tc>
      </w:tr>
    </w:tbl>
    <w:p>
      <w:pPr>
        <w:keepNext w:val="0"/>
        <w:keepLines w:val="0"/>
        <w:pageBreakBefore w:val="0"/>
        <w:widowControl/>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2"/>
          <w:szCs w:val="22"/>
        </w:rPr>
        <w:sectPr>
          <w:footerReference r:id="rId10" w:type="default"/>
          <w:pgSz w:w="11906" w:h="16838"/>
          <w:pgMar w:top="1440" w:right="1800" w:bottom="1440" w:left="1800" w:header="720" w:footer="850" w:gutter="0"/>
          <w:pgNumType w:fmt="decimal"/>
          <w:cols w:space="720" w:num="1"/>
          <w:docGrid w:linePitch="326" w:charSpace="0"/>
        </w:sectPr>
      </w:pPr>
      <w:r>
        <w:rPr>
          <w:rFonts w:hint="eastAsia" w:asciiTheme="minorEastAsia" w:hAnsiTheme="minorEastAsia" w:eastAsiaTheme="minorEastAsia" w:cstheme="minorEastAsia"/>
          <w:sz w:val="22"/>
          <w:szCs w:val="22"/>
        </w:rPr>
        <w:tab/>
      </w:r>
    </w:p>
    <w:p>
      <w:pPr>
        <w:pStyle w:val="39"/>
        <w:keepNext w:val="0"/>
        <w:keepLines w:val="0"/>
        <w:pageBreakBefore w:val="0"/>
        <w:widowControl/>
        <w:wordWrap/>
        <w:overflowPunct/>
        <w:topLinePunct w:val="0"/>
        <w:bidi w:val="0"/>
        <w:adjustRightInd w:val="0"/>
        <w:snapToGrid w:val="0"/>
        <w:spacing w:before="0" w:after="50" w:line="400" w:lineRule="exact"/>
        <w:textAlignment w:val="auto"/>
        <w:rPr>
          <w:rFonts w:hint="eastAsia" w:asciiTheme="minorEastAsia" w:hAnsiTheme="minorEastAsia" w:eastAsiaTheme="minorEastAsia" w:cstheme="minorEastAsia"/>
          <w:sz w:val="24"/>
          <w:szCs w:val="24"/>
        </w:rPr>
      </w:pPr>
      <w:bookmarkStart w:id="417" w:name="_Toc54862176"/>
      <w:r>
        <w:rPr>
          <w:rFonts w:hint="eastAsia" w:asciiTheme="minorEastAsia" w:hAnsiTheme="minorEastAsia" w:eastAsiaTheme="minorEastAsia" w:cstheme="minorEastAsia"/>
          <w:sz w:val="24"/>
          <w:szCs w:val="24"/>
        </w:rPr>
        <w:t>第二部分 通用合同条件</w:t>
      </w:r>
      <w:bookmarkEnd w:id="417"/>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18" w:name="_Ref508893699"/>
      <w:bookmarkStart w:id="419" w:name="_Toc54862177"/>
      <w:bookmarkStart w:id="420" w:name="_Ref509040826"/>
      <w:bookmarkStart w:id="421" w:name="_Ref509040831"/>
      <w:r>
        <w:rPr>
          <w:rFonts w:hint="eastAsia" w:asciiTheme="minorEastAsia" w:hAnsiTheme="minorEastAsia" w:eastAsiaTheme="minorEastAsia" w:cstheme="minorEastAsia"/>
          <w:b w:val="0"/>
          <w:bCs/>
          <w:sz w:val="21"/>
          <w:szCs w:val="21"/>
        </w:rPr>
        <w:t>第1条 一般约定</w:t>
      </w:r>
      <w:bookmarkEnd w:id="418"/>
      <w:bookmarkEnd w:id="419"/>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22" w:name="_Ref523741474"/>
      <w:bookmarkStart w:id="423" w:name="_Toc54862178"/>
      <w:bookmarkStart w:id="424" w:name="_Ref523741471"/>
      <w:r>
        <w:rPr>
          <w:rFonts w:hint="eastAsia" w:asciiTheme="minorEastAsia" w:hAnsiTheme="minorEastAsia" w:eastAsiaTheme="minorEastAsia" w:cstheme="minorEastAsia"/>
          <w:b w:val="0"/>
          <w:bCs/>
          <w:sz w:val="21"/>
          <w:szCs w:val="21"/>
        </w:rPr>
        <w:t>1.1 词语定义和解释</w:t>
      </w:r>
      <w:bookmarkEnd w:id="420"/>
      <w:bookmarkEnd w:id="421"/>
      <w:bookmarkEnd w:id="422"/>
      <w:bookmarkEnd w:id="423"/>
      <w:bookmarkEnd w:id="42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合同协议书、通用合同条件、专用合同条件中的下列词语应具有本款所赋予的含义：</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25" w:name="_Ref4757289"/>
      <w:bookmarkStart w:id="426" w:name="_Ref521288340"/>
      <w:r>
        <w:rPr>
          <w:rFonts w:hint="eastAsia" w:asciiTheme="minorEastAsia" w:hAnsiTheme="minorEastAsia" w:eastAsiaTheme="minorEastAsia" w:cstheme="minorEastAsia"/>
          <w:sz w:val="21"/>
          <w:szCs w:val="21"/>
        </w:rPr>
        <w:t>1.1.1 合同</w:t>
      </w:r>
      <w:bookmarkEnd w:id="425"/>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1.1.1.2 合同协议书：是指构成合同的由发包人和承包人共同签署的称为“合同协议书”的书面文件。</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1.1.1.3 中标通知书：是指构成合同的由发包人通知承包人中标的书面文件。中标通知书随附的澄清、说明、补正事项纪要等，是中标通知书的组成部分。</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1.1.1.4 投标函：是指构成合同的由承包人填写并签署的用于投标的称为“投标函”的文件。</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1.1.1.5 投标函附录：是指构成合同的附在投标函后的称为“投标函附录”的文件。</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1.1.1.6 《发包人要求》：指构成合同文件组成部分的名为《发包人要求》的文件，其中列明工程的目的、范围、设计与其他技术标准和要求，以及合同双方当事人约定对其所作的修改或补充。</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1.1.1.7 项目清单：是指发包人提供的载明工程总承包项目勘察费（如果有）、设计费、建筑安装工程费、设备购置费、暂估价、暂列金额和双方约定的其他费用的名称和相应数量等内容的项目明细。</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1.1.1.8 价格清单：指构成合同文件组成部分的由承包人按发包人提供的项目清单规定的格式和要求填写并标明价格的清单。</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1.1.1.9 承包人建议书：指构成合同文件组成部分的名为承包人建议书的文件。承包人建议书由承包人随投标函一起提交。</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27" w:name="_Ref4415300"/>
      <w:r>
        <w:rPr>
          <w:rFonts w:hint="eastAsia" w:asciiTheme="minorEastAsia" w:hAnsiTheme="minorEastAsia" w:eastAsiaTheme="minorEastAsia" w:cstheme="minorEastAsia"/>
          <w:sz w:val="21"/>
          <w:szCs w:val="21"/>
        </w:rPr>
        <w:t>1.1.1.10 其他合同文件：是指经合同当事人约定的与工程实施有关的具有合同约束力的文件或书面协议。合同当事人可以在专用合同条件中进行约定。</w:t>
      </w:r>
      <w:bookmarkEnd w:id="427"/>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28" w:name="_Ref4757418"/>
      <w:r>
        <w:rPr>
          <w:rFonts w:hint="eastAsia" w:asciiTheme="minorEastAsia" w:hAnsiTheme="minorEastAsia" w:eastAsiaTheme="minorEastAsia" w:cstheme="minorEastAsia"/>
          <w:sz w:val="21"/>
          <w:szCs w:val="21"/>
        </w:rPr>
        <w:t>1.1.2 合同当事人及其他相关方</w:t>
      </w:r>
      <w:bookmarkEnd w:id="428"/>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1.1.2.1 合同当事人：是指发包人和（或）承包人。</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1.1.2.2 发包人：是指与承包人订立合同协议书的当事人及取得该当事人资格的合法继受人。本合同中“因发包人原因”里的“发包人”包括发包人及所有发包人人员。</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1.1.2.3 承包人：是指与发包人订立合同协议书的当事人及取得该当事人资格的合法继受人。</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1.1.2.4 联合体：是指经发包人同意由两个或两个以上法人或者其他组织组成的，作为承包人的临时机构。</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29" w:name="_Ref4420046"/>
      <w:r>
        <w:rPr>
          <w:rFonts w:hint="eastAsia" w:asciiTheme="minorEastAsia" w:hAnsiTheme="minorEastAsia" w:eastAsiaTheme="minorEastAsia" w:cstheme="minorEastAsia"/>
          <w:sz w:val="21"/>
          <w:szCs w:val="21"/>
        </w:rPr>
        <w:t>1.1.2.5 发包人代表：是指由发包人任命并派驻工作现场，在发包人授权范围内行使发包人权利和履行发包人义务的人。</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30" w:name="_Ref4756982"/>
      <w:r>
        <w:rPr>
          <w:rFonts w:hint="eastAsia" w:asciiTheme="minorEastAsia" w:hAnsiTheme="minorEastAsia" w:eastAsiaTheme="minorEastAsia" w:cstheme="minorEastAsia"/>
          <w:sz w:val="21"/>
          <w:szCs w:val="21"/>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29"/>
      <w:bookmarkEnd w:id="430"/>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1.1.2.7 工程总承包项目经理：是指由承包人任命的，在承包人授权范围内负责合同履行的管理，且按照法律规定具有相应资格的项目负责人。</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1.1.2.8 设计负责人：是指承包人指定负责组织、指导、协调设计工作并具有相应资格的人员。</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1.1.2.9 采购负责人：是指承包人指定负责组织、指导、协调采购工作的人员。</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1.1.2.10 施工负责人：是指承包人指定负责组织、指导、协调施工工作并具有相应资格的人员。</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1.1.2.11 分包人：是指按照法律规定和合同约定，分包部分工程或工作，并与承包人订立分包合同的具有相应资质或资格的法人或其他组织。</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31" w:name="_Ref4758319"/>
      <w:r>
        <w:rPr>
          <w:rFonts w:hint="eastAsia" w:asciiTheme="minorEastAsia" w:hAnsiTheme="minorEastAsia" w:eastAsiaTheme="minorEastAsia" w:cstheme="minorEastAsia"/>
          <w:sz w:val="21"/>
          <w:szCs w:val="21"/>
        </w:rPr>
        <w:t>1.1.3 工程和设备</w:t>
      </w:r>
      <w:bookmarkEnd w:id="431"/>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1.1.3.1 工程：是指与合同协议书中工程承包范围对应的永久工程和（或）临时工程。</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1.1.3.2 工程实施：是指进行工程的设计、采购、施工和竣工以及对工程任何缺陷的修复。</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1.1.3.3 永久工程：是指按合同约定建造并移交给发包人的工程，包括工程设备。</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1.1.3.4 临时工程：是指为完成合同约定的永久工程所修建的各类临时性工程，不包括施工设备。</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32" w:name="_Ref4419825"/>
      <w:r>
        <w:rPr>
          <w:rFonts w:hint="eastAsia" w:asciiTheme="minorEastAsia" w:hAnsiTheme="minorEastAsia" w:eastAsiaTheme="minorEastAsia" w:cstheme="minorEastAsia"/>
          <w:sz w:val="21"/>
          <w:szCs w:val="21"/>
        </w:rPr>
        <w:t>1.1.3.5 单位/区段工程：是指在专用合同条件中指明特定范围的，能单独接收并使用的永久工程。</w:t>
      </w:r>
      <w:bookmarkEnd w:id="432"/>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1.1.3.6 工程设备：指构成永久工程的机电设备、仪器装置、运载工具及其他类似的设备和装置，包括其配件及备品、备件、易损易耗件等。</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1.1.3.7 施工设备：指为完成合同约定的各项工作所需的设备、器具和其他物品，不包括工程设备、临时工程和材料。</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1.1.3.8 临时设施：指为完成合同约定的各项工作所服务的临时性生产和生活设施。</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33" w:name="_Ref4420577"/>
      <w:r>
        <w:rPr>
          <w:rFonts w:hint="eastAsia" w:asciiTheme="minorEastAsia" w:hAnsiTheme="minorEastAsia" w:eastAsiaTheme="minorEastAsia" w:cstheme="minorEastAsia"/>
          <w:sz w:val="21"/>
          <w:szCs w:val="21"/>
        </w:rPr>
        <w:t>1.1.3.9 施工现场：是指用于工程施工的场所，以及在专用合同条件中指明作为施工场所组成部分的其他场所，包括永久占地和临时占地。</w:t>
      </w:r>
      <w:bookmarkEnd w:id="433"/>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34" w:name="_Ref4420746"/>
      <w:r>
        <w:rPr>
          <w:rFonts w:hint="eastAsia" w:asciiTheme="minorEastAsia" w:hAnsiTheme="minorEastAsia" w:eastAsiaTheme="minorEastAsia" w:cstheme="minorEastAsia"/>
          <w:sz w:val="21"/>
          <w:szCs w:val="21"/>
        </w:rPr>
        <w:t>1.1.3.10 永久占地：是指专用合同条件中指明为实施工程需永久占用的土地。</w:t>
      </w:r>
      <w:bookmarkEnd w:id="434"/>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35" w:name="_Ref4420821"/>
      <w:r>
        <w:rPr>
          <w:rFonts w:hint="eastAsia" w:asciiTheme="minorEastAsia" w:hAnsiTheme="minorEastAsia" w:eastAsiaTheme="minorEastAsia" w:cstheme="minorEastAsia"/>
          <w:sz w:val="21"/>
          <w:szCs w:val="21"/>
        </w:rPr>
        <w:t>1.1.3.11 临时占地：是指专用合同条件中指明为实施工程需临时占用的土地。</w:t>
      </w:r>
      <w:bookmarkEnd w:id="43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 日期和期限</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1.1.4.1 开始工作通知：指工程师按第8.1.2项[开始工作通知]的约定通知承包人开始工作的函件。</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1.1.4.4 竣工日期：包括计划竣工日期和实际竣工日期。计划竣工日期是指合同协议书约定的竣工日期；实际竣工日期按照第8.2款[竣工日期]的约定确定。</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1.1.4.5 工期：是指在合同协议书约定的承包人完成合同工作所需的期限，包括按照合同约定所作的期限变更及按合同约定承包人有权取得的工期延长。</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1.1.4.6 缺陷责任期：是指发包人预留工程质量保证金以保证承包人履行第11.3款[缺陷调查]下质量缺陷责任的期限。</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1.1.4.7 保修期：是指承包人按照合同约定和法律规定对工程质量承担保修责任的期限，该期限自缺陷责任期起算之日起计算。</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1.1.4.8 基准日期：招标发包的工程以投标截止日前28天的日期为基准日期，直接发包的工程以合同订立日前28天的日期为基准日期。</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1.1.4.9 天：除特别指明外，均指日历天。合同中按天计算时间的，开始当天不计入，从次日开始计算。期限最后一天的截止时间为当天24:00。</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1.1.4.10 竣工试验：是指在工程竣工验收前，根据第9条[竣工试验]要求进行的试验。</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1.1.4.11 竣工验收：是指承包人完成了合同约定的各项内容后，发包人按合同要求进行的验收。</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1.1.4.12 竣工后试验：是指在工程竣工验收后，根据第12条[竣工后试验]约定进行的试验。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 合同价格和费用</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1.1.5.1 签约合同价：是指发包人和承包人在合同协议书中确定的总金额，包括暂估价及暂列金额等。</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1.1.5.2 合同价格：是指发包人用于支付承包人按照合同约定完成承包范围内全部工作的金额，包括合同履行过程中按合同约定发生的价格变化。</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1.1.5.3 费用：是指为履行合同所发生的或将要发生的所有合理开支，包括管理费和应分摊的其他费用，但不包括利润。</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1.1.5.4 人工费：是指支付给直接从事建筑安装工程施工作业的建筑工人的各项费用。</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1.1.5.5 暂估价：</w:t>
      </w:r>
      <w:bookmarkStart w:id="436" w:name="_Hlk18973781"/>
      <w:r>
        <w:rPr>
          <w:rFonts w:hint="eastAsia" w:asciiTheme="minorEastAsia" w:hAnsiTheme="minorEastAsia" w:eastAsiaTheme="minorEastAsia" w:cstheme="minorEastAsia"/>
          <w:sz w:val="21"/>
          <w:szCs w:val="21"/>
        </w:rPr>
        <w:t>是指发包人在项目清单中给定的，用于支付必然发生但暂时不能确定价格的专业服务、材料、设备、专业工程的金额。</w:t>
      </w:r>
      <w:bookmarkEnd w:id="436"/>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1.1.5.6 暂列金额：是指发包人在项目清单中给定的，用于在订立协议书时尚未确定或不可预见变更的设计、施工及其所需材料、工程设备、服务等的金额，包括以计日工方式支付的金额。</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1.1.5.7 计日工：是指合同履行过程中，承包人完成发包人提出的零星工作或需要采用计日工计价的变更工作时，按合同中约定的单价计价的一种方式。</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1.1.5.8 质量保证金：是指按第14.6款[质量保证金]约定承包人用于保证其在缺陷责任期内履行缺陷修复义务的担保。</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 其他</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1.1.6.1 书面形式：指合同文件、信函、电报、传真、数据电文、电子邮件、会议纪要等可以有形地表现所载内容的形式。</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1.1.6.2 承包人文件：指由承包人根据合同约定应提交的所有图纸、手册、模型、计算书、软件、函件、洽商性文件和其他技术性文件。</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1.1.6.3 变更：指根据第13条[变更与调整]的约定，经指示或批准对《发包人要求》或工程所做的改变。</w:t>
      </w:r>
    </w:p>
    <w:bookmarkEnd w:id="426"/>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37" w:name="_Toc54862179"/>
      <w:bookmarkStart w:id="438" w:name="_Ref509042104"/>
      <w:bookmarkStart w:id="439" w:name="_Ref509042101"/>
      <w:bookmarkStart w:id="440" w:name="_Ref522730349"/>
      <w:bookmarkStart w:id="441" w:name="_Ref522730353"/>
      <w:r>
        <w:rPr>
          <w:rFonts w:hint="eastAsia" w:asciiTheme="minorEastAsia" w:hAnsiTheme="minorEastAsia" w:eastAsiaTheme="minorEastAsia" w:cstheme="minorEastAsia"/>
          <w:b w:val="0"/>
          <w:bCs/>
          <w:sz w:val="21"/>
          <w:szCs w:val="21"/>
        </w:rPr>
        <w:t>1.2 语言文字</w:t>
      </w:r>
      <w:bookmarkEnd w:id="437"/>
      <w:bookmarkEnd w:id="438"/>
      <w:bookmarkEnd w:id="43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合同文件以中国的汉语简体语言文字编写、解释和说明。专用术语使用外文的，应附有中文注释。合同当事人在专用合同条件约定使用两种及以上语言时，汉语为优先解释和说明合同的语言。</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与合同有关的联络应使用专用合同条件约定的语言。如没有约定，则应使用中国的汉语简体语言文字。</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42" w:name="_Toc54862180"/>
      <w:bookmarkStart w:id="443" w:name="_Ref531949543"/>
      <w:bookmarkStart w:id="444" w:name="_Ref531949539"/>
      <w:r>
        <w:rPr>
          <w:rFonts w:hint="eastAsia" w:asciiTheme="minorEastAsia" w:hAnsiTheme="minorEastAsia" w:eastAsiaTheme="minorEastAsia" w:cstheme="minorEastAsia"/>
          <w:b w:val="0"/>
          <w:bCs/>
          <w:sz w:val="21"/>
          <w:szCs w:val="21"/>
        </w:rPr>
        <w:t>1.3 法律</w:t>
      </w:r>
      <w:bookmarkEnd w:id="442"/>
      <w:bookmarkEnd w:id="443"/>
      <w:bookmarkEnd w:id="44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合同所称法律是指中华人民共和国法律、行政法规、部门规章，以及工程所在地的地方法规、自治条例、单行条例和地方政府规章等。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合同当事人可以在专用合同条件中约定合同适用的其他规范性文件。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45" w:name="_Ref531949589"/>
      <w:bookmarkStart w:id="446" w:name="_Ref531949594"/>
      <w:bookmarkStart w:id="447" w:name="_Toc54862181"/>
      <w:r>
        <w:rPr>
          <w:rFonts w:hint="eastAsia" w:asciiTheme="minorEastAsia" w:hAnsiTheme="minorEastAsia" w:eastAsiaTheme="minorEastAsia" w:cstheme="minorEastAsia"/>
          <w:b w:val="0"/>
          <w:bCs/>
          <w:sz w:val="21"/>
          <w:szCs w:val="21"/>
        </w:rPr>
        <w:t>1.4 标准和规范</w:t>
      </w:r>
      <w:bookmarkEnd w:id="445"/>
      <w:bookmarkEnd w:id="446"/>
      <w:bookmarkEnd w:id="447"/>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48" w:name="_Ref4420991"/>
      <w:r>
        <w:rPr>
          <w:rFonts w:hint="eastAsia" w:asciiTheme="minorEastAsia" w:hAnsiTheme="minorEastAsia" w:eastAsiaTheme="minorEastAsia" w:cstheme="minorEastAsia"/>
          <w:sz w:val="21"/>
          <w:szCs w:val="21"/>
        </w:rPr>
        <w:t>1.4.1 适用于工程的国家标准、行业标准、工程所在地的地方性标准，以及相应的规范、规程等，合同当事人有特别要求的，应在专用合同条件中约定。</w:t>
      </w:r>
      <w:bookmarkEnd w:id="44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49" w:name="_Ref531949642"/>
      <w:r>
        <w:rPr>
          <w:rFonts w:hint="eastAsia" w:asciiTheme="minorEastAsia" w:hAnsiTheme="minorEastAsia" w:eastAsiaTheme="minorEastAsia" w:cstheme="minorEastAsia"/>
          <w:sz w:val="21"/>
          <w:szCs w:val="21"/>
        </w:rPr>
        <w:t>1.4.2 发包人要求使用国外标准、规范的，发包人负责提供原文版本和中文译本，并在专用合同条件中约定提供标准规范的名称、份数和时间。</w:t>
      </w:r>
      <w:bookmarkEnd w:id="449"/>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50" w:name="_Ref531949657"/>
      <w:r>
        <w:rPr>
          <w:rFonts w:hint="eastAsia" w:asciiTheme="minorEastAsia" w:hAnsiTheme="minorEastAsia" w:eastAsiaTheme="minorEastAsia" w:cstheme="minorEastAsia"/>
          <w:sz w:val="21"/>
          <w:szCs w:val="21"/>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50"/>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51" w:name="_Ref4421272"/>
      <w:r>
        <w:rPr>
          <w:rFonts w:hint="eastAsia" w:asciiTheme="minorEastAsia" w:hAnsiTheme="minorEastAsia" w:eastAsiaTheme="minorEastAsia" w:cstheme="minorEastAsia"/>
          <w:sz w:val="21"/>
          <w:szCs w:val="21"/>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451"/>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52" w:name="_Toc54862182"/>
      <w:bookmarkStart w:id="453" w:name="_Ref4421717"/>
      <w:r>
        <w:rPr>
          <w:rFonts w:hint="eastAsia" w:asciiTheme="minorEastAsia" w:hAnsiTheme="minorEastAsia" w:eastAsiaTheme="minorEastAsia" w:cstheme="minorEastAsia"/>
          <w:b w:val="0"/>
          <w:bCs/>
          <w:sz w:val="21"/>
          <w:szCs w:val="21"/>
        </w:rPr>
        <w:t>1.5 合同文件的优先顺序</w:t>
      </w:r>
      <w:bookmarkEnd w:id="440"/>
      <w:bookmarkEnd w:id="441"/>
      <w:bookmarkEnd w:id="452"/>
      <w:bookmarkEnd w:id="45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454" w:name="_Ref531948776"/>
      <w:r>
        <w:rPr>
          <w:rFonts w:hint="eastAsia" w:asciiTheme="minorEastAsia" w:hAnsiTheme="minorEastAsia" w:eastAsiaTheme="minorEastAsia" w:cstheme="minorEastAsia"/>
          <w:sz w:val="21"/>
          <w:szCs w:val="21"/>
        </w:rPr>
        <w:t>组成合同的各项文件应互相解释，互为说明。除专用合同条件另有约定外，</w:t>
      </w:r>
      <w:bookmarkEnd w:id="454"/>
      <w:r>
        <w:rPr>
          <w:rFonts w:hint="eastAsia" w:asciiTheme="minorEastAsia" w:hAnsiTheme="minorEastAsia" w:eastAsiaTheme="minorEastAsia" w:cstheme="minorEastAsia"/>
          <w:sz w:val="21"/>
          <w:szCs w:val="21"/>
        </w:rPr>
        <w:t>解释合同文件的优先顺序如下：</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合同协议书；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中标通知书（如果有）；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投标函及投标函附录（如果有）；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专用合同条件及《发包人要求》等附件；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通用合同条件；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 承包人建议书；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价格清单；</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双方约定的其他合同文件。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455" w:name="_Hlk18951547"/>
      <w:r>
        <w:rPr>
          <w:rFonts w:hint="eastAsia" w:asciiTheme="minorEastAsia" w:hAnsiTheme="minorEastAsia" w:eastAsiaTheme="minorEastAsia" w:cstheme="minorEastAsia"/>
          <w:sz w:val="21"/>
          <w:szCs w:val="21"/>
        </w:rPr>
        <w:t>上述各项合同文件包括合同当事人就该项合同文件所作出的补充和修改，属于同一类内容的文件，应以最新签署的为准</w:t>
      </w:r>
      <w:bookmarkEnd w:id="455"/>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在合同订立及履行过程中形成的与合同有关的文件均构成合同文件组成部分，并根据其性质确定优先解释顺序。</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56" w:name="_Ref4422060"/>
      <w:bookmarkStart w:id="457" w:name="_Ref11917818"/>
      <w:bookmarkStart w:id="458" w:name="_Toc54862183"/>
      <w:bookmarkStart w:id="459" w:name="_Ref531949807"/>
      <w:bookmarkStart w:id="460" w:name="_Ref531949822"/>
      <w:bookmarkStart w:id="461" w:name="_Ref531949803"/>
      <w:r>
        <w:rPr>
          <w:rFonts w:hint="eastAsia" w:asciiTheme="minorEastAsia" w:hAnsiTheme="minorEastAsia" w:eastAsiaTheme="minorEastAsia" w:cstheme="minorEastAsia"/>
          <w:b w:val="0"/>
          <w:bCs/>
          <w:sz w:val="21"/>
          <w:szCs w:val="21"/>
        </w:rPr>
        <w:t>1.6 文件的提供和</w:t>
      </w:r>
      <w:bookmarkEnd w:id="456"/>
      <w:r>
        <w:rPr>
          <w:rFonts w:hint="eastAsia" w:asciiTheme="minorEastAsia" w:hAnsiTheme="minorEastAsia" w:eastAsiaTheme="minorEastAsia" w:cstheme="minorEastAsia"/>
          <w:b w:val="0"/>
          <w:bCs/>
          <w:sz w:val="21"/>
          <w:szCs w:val="21"/>
        </w:rPr>
        <w:t>照管</w:t>
      </w:r>
      <w:bookmarkEnd w:id="457"/>
      <w:bookmarkEnd w:id="45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62" w:name="_Ref4421991"/>
      <w:r>
        <w:rPr>
          <w:rFonts w:hint="eastAsia" w:asciiTheme="minorEastAsia" w:hAnsiTheme="minorEastAsia" w:eastAsiaTheme="minorEastAsia" w:cstheme="minorEastAsia"/>
          <w:sz w:val="21"/>
          <w:szCs w:val="21"/>
        </w:rPr>
        <w:t>1.6.1 发包人文件的提供</w:t>
      </w:r>
      <w:bookmarkEnd w:id="46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63" w:name="_Ref4422317"/>
      <w:r>
        <w:rPr>
          <w:rFonts w:hint="eastAsia" w:asciiTheme="minorEastAsia" w:hAnsiTheme="minorEastAsia" w:eastAsiaTheme="minorEastAsia" w:cstheme="minorEastAsia"/>
          <w:sz w:val="21"/>
          <w:szCs w:val="21"/>
        </w:rPr>
        <w:t>1.6.2 承包人文件的提供</w:t>
      </w:r>
      <w:bookmarkEnd w:id="46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除专用合同条件另有约定外，承包人文件应包含下列内容，并用第1.2款[语言文字]约定的语言制作：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《发包人要求》中规定的相关文件；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满足工程相关行政审批手续所必须的应由承包人负责的相关文件；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第5.4款[竣工文件]与第5.5款[操作和维修手册]中要求的相关文件。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1.6.3 文件错误的通知</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任何一方发现文件中存在明显的错误或疏忽，应及时通知另一方。</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64" w:name="_Ref4678410"/>
      <w:bookmarkStart w:id="465" w:name="_Ref11957673"/>
      <w:r>
        <w:rPr>
          <w:rFonts w:hint="eastAsia" w:asciiTheme="minorEastAsia" w:hAnsiTheme="minorEastAsia" w:eastAsiaTheme="minorEastAsia" w:cstheme="minorEastAsia"/>
          <w:sz w:val="21"/>
          <w:szCs w:val="21"/>
        </w:rPr>
        <w:t>1.6.4 文件的</w:t>
      </w:r>
      <w:bookmarkEnd w:id="464"/>
      <w:r>
        <w:rPr>
          <w:rFonts w:hint="eastAsia" w:asciiTheme="minorEastAsia" w:hAnsiTheme="minorEastAsia" w:eastAsiaTheme="minorEastAsia" w:cstheme="minorEastAsia"/>
          <w:sz w:val="21"/>
          <w:szCs w:val="21"/>
        </w:rPr>
        <w:t>照管</w:t>
      </w:r>
      <w:bookmarkEnd w:id="46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66" w:name="_Toc54862184"/>
      <w:bookmarkStart w:id="467" w:name="_Ref4415170"/>
      <w:r>
        <w:rPr>
          <w:rFonts w:hint="eastAsia" w:asciiTheme="minorEastAsia" w:hAnsiTheme="minorEastAsia" w:eastAsiaTheme="minorEastAsia" w:cstheme="minorEastAsia"/>
          <w:b w:val="0"/>
          <w:bCs/>
          <w:sz w:val="21"/>
          <w:szCs w:val="21"/>
        </w:rPr>
        <w:t>1.7 联络</w:t>
      </w:r>
      <w:bookmarkEnd w:id="466"/>
      <w:bookmarkEnd w:id="467"/>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68" w:name="_Ref531949897"/>
      <w:r>
        <w:rPr>
          <w:rFonts w:hint="eastAsia" w:asciiTheme="minorEastAsia" w:hAnsiTheme="minorEastAsia" w:eastAsiaTheme="minorEastAsia" w:cstheme="minorEastAsia"/>
          <w:sz w:val="21"/>
          <w:szCs w:val="21"/>
        </w:rPr>
        <w:t>1.7.2 发包人和承包人应在专用合同条件中约定各自的送达方式和收件地址。任何一方合同当事人指定的送达方式或收件地址发生变动的，应提前3天以书面形式通知对方。</w:t>
      </w:r>
      <w:bookmarkEnd w:id="468"/>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1.7.3 发包人和承包人应当及时签收另一方通过约定的送达方式送达至收件地址的来往文件。拒不签收的，由此增加的费用和（或）延误的工期由拒绝接收一方承担。</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69" w:name="_Toc54862185"/>
      <w:r>
        <w:rPr>
          <w:rFonts w:hint="eastAsia" w:asciiTheme="minorEastAsia" w:hAnsiTheme="minorEastAsia" w:eastAsiaTheme="minorEastAsia" w:cstheme="minorEastAsia"/>
          <w:b w:val="0"/>
          <w:bCs/>
          <w:sz w:val="21"/>
          <w:szCs w:val="21"/>
        </w:rPr>
        <w:t>1.8 严禁贿赂</w:t>
      </w:r>
      <w:bookmarkEnd w:id="459"/>
      <w:bookmarkEnd w:id="460"/>
      <w:bookmarkEnd w:id="461"/>
      <w:bookmarkEnd w:id="469"/>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合同当事人不得以贿赂或变相贿赂的方式，谋取非法利益或损害对方权益。因一方合同当事人的贿赂造成对方损失的，应赔偿损失，并承担相应的法律责任。</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70" w:name="_Toc54862186"/>
      <w:r>
        <w:rPr>
          <w:rFonts w:hint="eastAsia" w:asciiTheme="minorEastAsia" w:hAnsiTheme="minorEastAsia" w:eastAsiaTheme="minorEastAsia" w:cstheme="minorEastAsia"/>
          <w:b w:val="0"/>
          <w:bCs/>
          <w:sz w:val="21"/>
          <w:szCs w:val="21"/>
        </w:rPr>
        <w:t>1.9 化石、文物</w:t>
      </w:r>
      <w:bookmarkEnd w:id="470"/>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发包人、工程师和承包人应按有关政府行政管理部门要求采取妥善的保护措施，由此增加的费用和（或）延误的工期由发包人承担。</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承包人发现文物后不及时报告或隐瞒不报，致使文物丢失或损坏的，应赔偿损失，并承担相应的法律责任。</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71" w:name="_Ref531949766"/>
      <w:bookmarkStart w:id="472" w:name="_Ref4423426"/>
      <w:bookmarkStart w:id="473" w:name="_Toc54862187"/>
      <w:bookmarkStart w:id="474" w:name="_Ref531949770"/>
      <w:bookmarkStart w:id="475" w:name="_Ref531949855"/>
      <w:bookmarkStart w:id="476" w:name="_Ref531949841"/>
      <w:bookmarkStart w:id="477" w:name="_Ref531949826"/>
      <w:r>
        <w:rPr>
          <w:rFonts w:hint="eastAsia" w:asciiTheme="minorEastAsia" w:hAnsiTheme="minorEastAsia" w:eastAsiaTheme="minorEastAsia" w:cstheme="minorEastAsia"/>
          <w:b w:val="0"/>
          <w:bCs/>
          <w:sz w:val="21"/>
          <w:szCs w:val="21"/>
        </w:rPr>
        <w:t>1.10 知识产权</w:t>
      </w:r>
      <w:bookmarkEnd w:id="471"/>
      <w:bookmarkEnd w:id="472"/>
      <w:bookmarkEnd w:id="473"/>
      <w:bookmarkEnd w:id="474"/>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78" w:name="_Ref4423563"/>
      <w:r>
        <w:rPr>
          <w:rFonts w:hint="eastAsia" w:asciiTheme="minorEastAsia" w:hAnsiTheme="minorEastAsia" w:eastAsiaTheme="minorEastAsia" w:cstheme="minorEastAsia"/>
          <w:sz w:val="21"/>
          <w:szCs w:val="21"/>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478"/>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79" w:name="_Ref4423604"/>
      <w:r>
        <w:rPr>
          <w:rFonts w:hint="eastAsia" w:asciiTheme="minorEastAsia" w:hAnsiTheme="minorEastAsia" w:eastAsiaTheme="minorEastAsia" w:cstheme="minorEastAsia"/>
          <w:sz w:val="21"/>
          <w:szCs w:val="21"/>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479"/>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480" w:name="_Ref4423695"/>
      <w:r>
        <w:rPr>
          <w:rFonts w:hint="eastAsia" w:asciiTheme="minorEastAsia" w:hAnsiTheme="minorEastAsia" w:eastAsiaTheme="minorEastAsia" w:cstheme="minorEastAsia"/>
          <w:sz w:val="21"/>
          <w:szCs w:val="21"/>
        </w:rPr>
        <w:t>1.10.4 除专用合同条件另有约定外，承包人在投标文件中采用的专利、专有技术、商业软件、技术秘密的使用费已包含在签约合同价中。</w:t>
      </w:r>
      <w:bookmarkEnd w:id="480"/>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81" w:name="_Ref4423898"/>
      <w:bookmarkStart w:id="482" w:name="_Ref4423873"/>
      <w:bookmarkStart w:id="483" w:name="_Toc54862188"/>
      <w:r>
        <w:rPr>
          <w:rFonts w:hint="eastAsia" w:asciiTheme="minorEastAsia" w:hAnsiTheme="minorEastAsia" w:eastAsiaTheme="minorEastAsia" w:cstheme="minorEastAsia"/>
          <w:b w:val="0"/>
          <w:bCs/>
          <w:sz w:val="21"/>
          <w:szCs w:val="21"/>
        </w:rPr>
        <w:t>1.11 保密</w:t>
      </w:r>
      <w:bookmarkEnd w:id="475"/>
      <w:bookmarkEnd w:id="476"/>
      <w:bookmarkEnd w:id="477"/>
      <w:bookmarkEnd w:id="481"/>
      <w:bookmarkEnd w:id="482"/>
      <w:bookmarkEnd w:id="483"/>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合同当事人一方对在订立和履行合同过程中知悉的另一方的商业秘密、技术秘密，以及任何一方明确要求保密的其它信息，负有保密责任。</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除法律规定或合同另有约定外，未经对方同意，任何一方当事人不得将对方提供的文件、技术秘密以及声明需要保密的资料信息等商业秘密泄露给第三方或者用于本合同以外的目的。</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84" w:name="_Ref532336812"/>
      <w:bookmarkStart w:id="485" w:name="_Toc54862189"/>
      <w:r>
        <w:rPr>
          <w:rFonts w:hint="eastAsia" w:asciiTheme="minorEastAsia" w:hAnsiTheme="minorEastAsia" w:eastAsiaTheme="minorEastAsia" w:cstheme="minorEastAsia"/>
          <w:b w:val="0"/>
          <w:bCs/>
          <w:sz w:val="21"/>
          <w:szCs w:val="21"/>
        </w:rPr>
        <w:t xml:space="preserve">1.12 </w:t>
      </w:r>
      <w:bookmarkStart w:id="486" w:name="_Hlk55215423"/>
      <w:r>
        <w:rPr>
          <w:rFonts w:hint="eastAsia" w:asciiTheme="minorEastAsia" w:hAnsiTheme="minorEastAsia" w:eastAsiaTheme="minorEastAsia" w:cstheme="minorEastAsia"/>
          <w:b w:val="0"/>
          <w:bCs/>
          <w:sz w:val="21"/>
          <w:szCs w:val="21"/>
        </w:rPr>
        <w:t>《发包人要求》和基础资料中的错误</w:t>
      </w:r>
      <w:bookmarkEnd w:id="484"/>
      <w:bookmarkEnd w:id="485"/>
      <w:bookmarkEnd w:id="486"/>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承包人应尽早认真阅读、复核《发包人要求》以及其提供的基础资料，发现错误的，应及时书面通知发包人补正。发包人作相应修改的，按照第13条[变更与调整</w:t>
      </w:r>
      <w:bookmarkStart w:id="487" w:name="_Ref523403776"/>
      <w:bookmarkStart w:id="488" w:name="_Ref523403409"/>
      <w:r>
        <w:rPr>
          <w:rFonts w:hint="eastAsia" w:asciiTheme="minorEastAsia" w:hAnsiTheme="minorEastAsia" w:eastAsiaTheme="minorEastAsia" w:cstheme="minorEastAsia"/>
          <w:sz w:val="21"/>
          <w:szCs w:val="21"/>
        </w:rPr>
        <w:t>]的约定处理。</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《发包人要求》或其提供的基础资料中的错误导致承包人增加费用和（或）工期延误的，发包人应承担由此增加的费用和（或）工期延误，并向承包人支付合理利润。</w:t>
      </w:r>
    </w:p>
    <w:bookmarkEnd w:id="487"/>
    <w:bookmarkEnd w:id="488"/>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89" w:name="_Toc54862190"/>
      <w:bookmarkStart w:id="490" w:name="_Ref531949937"/>
      <w:bookmarkStart w:id="491" w:name="_Ref531949933"/>
      <w:r>
        <w:rPr>
          <w:rFonts w:hint="eastAsia" w:asciiTheme="minorEastAsia" w:hAnsiTheme="minorEastAsia" w:eastAsiaTheme="minorEastAsia" w:cstheme="minorEastAsia"/>
          <w:b w:val="0"/>
          <w:bCs/>
          <w:sz w:val="21"/>
          <w:szCs w:val="21"/>
        </w:rPr>
        <w:t>1.13 责任限制</w:t>
      </w:r>
      <w:bookmarkEnd w:id="489"/>
      <w:bookmarkEnd w:id="490"/>
      <w:bookmarkEnd w:id="491"/>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92" w:name="_Toc54862191"/>
      <w:bookmarkStart w:id="493" w:name="_Hlk51506160"/>
      <w:r>
        <w:rPr>
          <w:rFonts w:hint="eastAsia" w:asciiTheme="minorEastAsia" w:hAnsiTheme="minorEastAsia" w:eastAsiaTheme="minorEastAsia" w:cstheme="minorEastAsia"/>
          <w:b w:val="0"/>
          <w:bCs/>
          <w:sz w:val="21"/>
          <w:szCs w:val="21"/>
        </w:rPr>
        <w:t>1.14 建筑信息模型技术的应用</w:t>
      </w:r>
      <w:bookmarkEnd w:id="492"/>
    </w:p>
    <w:bookmarkEnd w:id="493"/>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94" w:name="_Toc54862192"/>
      <w:bookmarkStart w:id="495" w:name="_Ref4796511"/>
      <w:r>
        <w:rPr>
          <w:rFonts w:hint="eastAsia" w:asciiTheme="minorEastAsia" w:hAnsiTheme="minorEastAsia" w:eastAsiaTheme="minorEastAsia" w:cstheme="minorEastAsia"/>
          <w:b w:val="0"/>
          <w:bCs/>
          <w:sz w:val="21"/>
          <w:szCs w:val="21"/>
        </w:rPr>
        <w:t>第2条 发包人</w:t>
      </w:r>
      <w:bookmarkEnd w:id="494"/>
      <w:bookmarkEnd w:id="495"/>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96" w:name="_Toc54862193"/>
      <w:r>
        <w:rPr>
          <w:rFonts w:hint="eastAsia" w:asciiTheme="minorEastAsia" w:hAnsiTheme="minorEastAsia" w:eastAsiaTheme="minorEastAsia" w:cstheme="minorEastAsia"/>
          <w:b w:val="0"/>
          <w:bCs/>
          <w:sz w:val="21"/>
          <w:szCs w:val="21"/>
        </w:rPr>
        <w:t>2.1 遵守法律</w:t>
      </w:r>
      <w:bookmarkEnd w:id="496"/>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497" w:name="_Ref11917977"/>
      <w:bookmarkStart w:id="498" w:name="_Ref11917995"/>
      <w:bookmarkStart w:id="499" w:name="_Toc54862194"/>
      <w:r>
        <w:rPr>
          <w:rFonts w:hint="eastAsia" w:asciiTheme="minorEastAsia" w:hAnsiTheme="minorEastAsia" w:eastAsiaTheme="minorEastAsia" w:cstheme="minorEastAsia"/>
          <w:b w:val="0"/>
          <w:bCs/>
          <w:sz w:val="21"/>
          <w:szCs w:val="21"/>
        </w:rPr>
        <w:t>2.2 提供施工现场和工作条件</w:t>
      </w:r>
      <w:bookmarkEnd w:id="497"/>
      <w:bookmarkEnd w:id="498"/>
      <w:bookmarkEnd w:id="499"/>
      <w:bookmarkStart w:id="500" w:name="_Toc51505124"/>
      <w:bookmarkEnd w:id="500"/>
      <w:bookmarkStart w:id="501" w:name="_Toc54862195"/>
      <w:bookmarkEnd w:id="501"/>
      <w:bookmarkStart w:id="502" w:name="_Toc54862196"/>
      <w:bookmarkEnd w:id="502"/>
      <w:bookmarkStart w:id="503" w:name="_Toc51505125"/>
      <w:bookmarkEnd w:id="503"/>
      <w:bookmarkStart w:id="504" w:name="_Toc51505123"/>
      <w:bookmarkEnd w:id="504"/>
      <w:bookmarkStart w:id="505" w:name="_Toc54862197"/>
      <w:bookmarkEnd w:id="505"/>
      <w:bookmarkStart w:id="506" w:name="_Ref531950085"/>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提供施工</w:t>
      </w:r>
      <w:bookmarkEnd w:id="506"/>
      <w:r>
        <w:rPr>
          <w:rFonts w:hint="eastAsia" w:asciiTheme="minorEastAsia" w:hAnsiTheme="minorEastAsia" w:eastAsiaTheme="minorEastAsia" w:cstheme="minorEastAsia"/>
          <w:sz w:val="21"/>
          <w:szCs w:val="21"/>
        </w:rPr>
        <w:t>现场</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07" w:name="_Ref531950101"/>
      <w:r>
        <w:rPr>
          <w:rFonts w:hint="eastAsia" w:asciiTheme="minorEastAsia" w:hAnsiTheme="minorEastAsia" w:eastAsiaTheme="minorEastAsia" w:cstheme="minorEastAsia"/>
          <w:sz w:val="21"/>
          <w:szCs w:val="21"/>
        </w:rPr>
        <w:t>2.2.2 提供工作条件</w:t>
      </w:r>
      <w:bookmarkEnd w:id="507"/>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发包人应按专用合同条件约定向承包人提供工作条件。专用合同条件对此没有约定的，发包人应负责提供开展本合同相关工作所需要的条件，包括：</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将施工用水、电力、通讯线路等施工所必需的条件接至施工现场内；</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保证向承包人提供正常施工所需要的进入施工现场的交通条件；</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协调处理施工现场周围地下管线和邻近建筑物、构筑物、古树名木、文物、化石及坟墓等的保护工作，并承担相关费用；</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按照专用合同条件约定应提供的其他设施和条件。</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2.2.3 逾期提供的责任</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因发包人原因未能按合同约定及时向承包人提供施工现场和施工条件的，由发包人承担由此增加的费用和（或）延误的工期。</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08" w:name="_Ref11918025"/>
      <w:bookmarkStart w:id="509" w:name="_Ref11956654"/>
      <w:bookmarkStart w:id="510" w:name="_Ref11918036"/>
      <w:bookmarkStart w:id="511" w:name="_Toc54862198"/>
      <w:bookmarkStart w:id="512" w:name="_Ref11956647"/>
      <w:r>
        <w:rPr>
          <w:rFonts w:hint="eastAsia" w:asciiTheme="minorEastAsia" w:hAnsiTheme="minorEastAsia" w:eastAsiaTheme="minorEastAsia" w:cstheme="minorEastAsia"/>
          <w:b w:val="0"/>
          <w:bCs/>
          <w:sz w:val="21"/>
          <w:szCs w:val="21"/>
        </w:rPr>
        <w:t>2.3 提供基础资料</w:t>
      </w:r>
      <w:bookmarkEnd w:id="508"/>
      <w:bookmarkEnd w:id="509"/>
      <w:bookmarkEnd w:id="510"/>
      <w:bookmarkEnd w:id="511"/>
      <w:bookmarkEnd w:id="512"/>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513" w:name="_Hlk51506429"/>
      <w:r>
        <w:rPr>
          <w:rFonts w:hint="eastAsia" w:asciiTheme="minorEastAsia" w:hAnsiTheme="minorEastAsia" w:eastAsiaTheme="minorEastAsia" w:cstheme="minorEastAsia"/>
          <w:sz w:val="21"/>
          <w:szCs w:val="21"/>
        </w:rPr>
        <w:t>发包人应按专用合同条件和《发包人要求》中的约定向承包人提供</w:t>
      </w:r>
      <w:bookmarkEnd w:id="513"/>
      <w:r>
        <w:rPr>
          <w:rFonts w:hint="eastAsia" w:asciiTheme="minorEastAsia" w:hAnsiTheme="minorEastAsia" w:eastAsiaTheme="minorEastAsia" w:cstheme="minorEastAsia"/>
          <w:sz w:val="21"/>
          <w:szCs w:val="21"/>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14" w:name="_Ref531950041"/>
      <w:bookmarkStart w:id="515" w:name="_Ref531950045"/>
      <w:bookmarkStart w:id="516" w:name="_Toc54862199"/>
      <w:r>
        <w:rPr>
          <w:rFonts w:hint="eastAsia" w:asciiTheme="minorEastAsia" w:hAnsiTheme="minorEastAsia" w:eastAsiaTheme="minorEastAsia" w:cstheme="minorEastAsia"/>
          <w:b w:val="0"/>
          <w:bCs/>
          <w:sz w:val="21"/>
          <w:szCs w:val="21"/>
        </w:rPr>
        <w:t>2.4 办理许可和批准</w:t>
      </w:r>
      <w:bookmarkEnd w:id="514"/>
      <w:bookmarkEnd w:id="515"/>
      <w:bookmarkEnd w:id="516"/>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17" w:name="_Toc51505128"/>
      <w:r>
        <w:rPr>
          <w:rFonts w:hint="eastAsia" w:asciiTheme="minorEastAsia" w:hAnsiTheme="minorEastAsia" w:eastAsiaTheme="minorEastAsia" w:cstheme="minorEastAsia"/>
          <w:sz w:val="21"/>
          <w:szCs w:val="21"/>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517"/>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18" w:name="_Toc51505129"/>
      <w:r>
        <w:rPr>
          <w:rFonts w:hint="eastAsia" w:asciiTheme="minorEastAsia" w:hAnsiTheme="minorEastAsia" w:eastAsiaTheme="minorEastAsia" w:cstheme="minorEastAsia"/>
          <w:sz w:val="21"/>
          <w:szCs w:val="21"/>
        </w:rPr>
        <w:t>2.4.2 因发包人原因未能及时办理完毕前述许可、批准或备案，由发包人承担由此增加的费用和（或）延误的工期，并支付承包人合理的利润。</w:t>
      </w:r>
      <w:bookmarkEnd w:id="518"/>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19" w:name="_Ref11918060"/>
      <w:bookmarkStart w:id="520" w:name="_Ref11918070"/>
      <w:bookmarkStart w:id="521" w:name="_Ref11956533"/>
      <w:bookmarkStart w:id="522" w:name="_Toc54862200"/>
      <w:bookmarkStart w:id="523" w:name="_Ref11956525"/>
      <w:r>
        <w:rPr>
          <w:rFonts w:hint="eastAsia" w:asciiTheme="minorEastAsia" w:hAnsiTheme="minorEastAsia" w:eastAsiaTheme="minorEastAsia" w:cstheme="minorEastAsia"/>
          <w:b w:val="0"/>
          <w:bCs/>
          <w:sz w:val="21"/>
          <w:szCs w:val="21"/>
        </w:rPr>
        <w:t>2.5 支付合同价款</w:t>
      </w:r>
      <w:bookmarkEnd w:id="519"/>
      <w:bookmarkEnd w:id="520"/>
      <w:bookmarkEnd w:id="521"/>
      <w:bookmarkEnd w:id="522"/>
      <w:bookmarkEnd w:id="523"/>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24" w:name="_Toc51505131"/>
      <w:bookmarkStart w:id="525" w:name="_Ref531950147"/>
      <w:r>
        <w:rPr>
          <w:rFonts w:hint="eastAsia" w:asciiTheme="minorEastAsia" w:hAnsiTheme="minorEastAsia" w:eastAsiaTheme="minorEastAsia" w:cstheme="minorEastAsia"/>
          <w:sz w:val="21"/>
          <w:szCs w:val="21"/>
        </w:rPr>
        <w:t>2.5.1 发包人应按合同约定向承包人及时支付合同价款。</w:t>
      </w:r>
      <w:bookmarkEnd w:id="524"/>
    </w:p>
    <w:bookmarkEnd w:id="525"/>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26" w:name="_Toc51505132"/>
      <w:r>
        <w:rPr>
          <w:rFonts w:hint="eastAsia" w:asciiTheme="minorEastAsia" w:hAnsiTheme="minorEastAsia" w:eastAsiaTheme="minorEastAsia" w:cstheme="minorEastAsia"/>
          <w:sz w:val="21"/>
          <w:szCs w:val="21"/>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526"/>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27" w:name="_Toc51505133"/>
      <w:bookmarkStart w:id="528" w:name="_Ref531950161"/>
      <w:r>
        <w:rPr>
          <w:rFonts w:hint="eastAsia" w:asciiTheme="minorEastAsia" w:hAnsiTheme="minorEastAsia" w:eastAsiaTheme="minorEastAsia" w:cstheme="minorEastAsia"/>
          <w:sz w:val="21"/>
          <w:szCs w:val="21"/>
        </w:rPr>
        <w:t>2.5.3 发包人应当向承包人提供支付担保。支付担保可以采用银行保函或担保公司担保等形式，具体由合同当事人在专用合同条件中约定。</w:t>
      </w:r>
      <w:bookmarkEnd w:id="527"/>
      <w:bookmarkEnd w:id="528"/>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29" w:name="_Toc54862201"/>
      <w:r>
        <w:rPr>
          <w:rFonts w:hint="eastAsia" w:asciiTheme="minorEastAsia" w:hAnsiTheme="minorEastAsia" w:eastAsiaTheme="minorEastAsia" w:cstheme="minorEastAsia"/>
          <w:b w:val="0"/>
          <w:bCs/>
          <w:sz w:val="21"/>
          <w:szCs w:val="21"/>
        </w:rPr>
        <w:t>2.6 现场管理配合</w:t>
      </w:r>
      <w:bookmarkEnd w:id="529"/>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发包人应负责保证在现场或现场附近的发包人人员和发包人的其他承包人（如有）：</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根据第7.3款[现场合作]的约定，与承包人进行合作；</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遵守第7.5款[现场劳动用工]、第7.6款[安全文明施工]、第7.7款[职业健康</w:t>
      </w:r>
      <w:bookmarkStart w:id="530" w:name="_Ref531952756"/>
      <w:bookmarkStart w:id="531" w:name="_Ref531952761"/>
      <w:r>
        <w:rPr>
          <w:rFonts w:hint="eastAsia" w:asciiTheme="minorEastAsia" w:hAnsiTheme="minorEastAsia" w:eastAsiaTheme="minorEastAsia" w:cstheme="minorEastAsia"/>
          <w:sz w:val="21"/>
          <w:szCs w:val="21"/>
        </w:rPr>
        <w:t>]和第7.8款[环境保护]的相关约定。</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发包人应与承包人、由发包人直接发包的其他承包人（如有）订立施工现场统一管理协议，明确各方的权利义务。</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32" w:name="_Ref11959376"/>
      <w:bookmarkStart w:id="533" w:name="_Ref11959372"/>
      <w:bookmarkStart w:id="534" w:name="_Toc54862202"/>
      <w:r>
        <w:rPr>
          <w:rFonts w:hint="eastAsia" w:asciiTheme="minorEastAsia" w:hAnsiTheme="minorEastAsia" w:eastAsiaTheme="minorEastAsia" w:cstheme="minorEastAsia"/>
          <w:b w:val="0"/>
          <w:bCs/>
          <w:sz w:val="21"/>
          <w:szCs w:val="21"/>
        </w:rPr>
        <w:t>2.7 其他义务</w:t>
      </w:r>
      <w:bookmarkEnd w:id="532"/>
      <w:bookmarkEnd w:id="533"/>
      <w:bookmarkEnd w:id="534"/>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发包人应履行合同约定的其他义务，双方可在专用合同条件内对发包人应履行的其他义务进行补充约定。</w:t>
      </w:r>
    </w:p>
    <w:bookmarkEnd w:id="530"/>
    <w:bookmarkEnd w:id="531"/>
    <w:p>
      <w:pPr>
        <w:pStyle w:val="42"/>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35" w:name="_Ref531952791"/>
      <w:bookmarkStart w:id="536" w:name="_Toc54862203"/>
      <w:r>
        <w:rPr>
          <w:rFonts w:hint="eastAsia" w:asciiTheme="minorEastAsia" w:hAnsiTheme="minorEastAsia" w:eastAsiaTheme="minorEastAsia" w:cstheme="minorEastAsia"/>
          <w:b w:val="0"/>
          <w:bCs/>
          <w:sz w:val="21"/>
          <w:szCs w:val="21"/>
        </w:rPr>
        <w:t>第3条 发包人的管理</w:t>
      </w:r>
      <w:bookmarkEnd w:id="535"/>
      <w:bookmarkEnd w:id="536"/>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37" w:name="_Ref522810094"/>
      <w:bookmarkStart w:id="538" w:name="_Ref522810097"/>
      <w:bookmarkStart w:id="539" w:name="_Ref531951533"/>
      <w:bookmarkStart w:id="540" w:name="_Ref531951538"/>
      <w:bookmarkStart w:id="541" w:name="_Toc54862204"/>
      <w:r>
        <w:rPr>
          <w:rFonts w:hint="eastAsia" w:asciiTheme="minorEastAsia" w:hAnsiTheme="minorEastAsia" w:eastAsiaTheme="minorEastAsia" w:cstheme="minorEastAsia"/>
          <w:b w:val="0"/>
          <w:bCs/>
          <w:sz w:val="21"/>
          <w:szCs w:val="21"/>
        </w:rPr>
        <w:t>3.1 发包人</w:t>
      </w:r>
      <w:bookmarkEnd w:id="537"/>
      <w:bookmarkEnd w:id="538"/>
      <w:r>
        <w:rPr>
          <w:rFonts w:hint="eastAsia" w:asciiTheme="minorEastAsia" w:hAnsiTheme="minorEastAsia" w:eastAsiaTheme="minorEastAsia" w:cstheme="minorEastAsia"/>
          <w:b w:val="0"/>
          <w:bCs/>
          <w:sz w:val="21"/>
          <w:szCs w:val="21"/>
        </w:rPr>
        <w:t>代表</w:t>
      </w:r>
      <w:bookmarkEnd w:id="539"/>
      <w:bookmarkEnd w:id="540"/>
      <w:bookmarkEnd w:id="541"/>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除非发包人另行通知承包人，发包人代表应被授予并且被认为具有发包人在授权范围内享有的相应权利，涉及第16.1款[由发包人解除合同]的权利除外。</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发包人代表（或者在其为法人的情况下，被任命代表其行事的自然人）应：</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履行指派给其的职责，行使发包人托付给的权利；</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具备履行这些职责、行使这些权利的能力；</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作为熟练的专业人员行事。</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发包人代表不能按照合同约定履行其职责及义务，并导致合同无法继续正常履行的，承包人可以要求发包人撤换发包人代表。</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42" w:name="_Ref531951557"/>
      <w:bookmarkStart w:id="543" w:name="_Ref531951553"/>
      <w:bookmarkStart w:id="544" w:name="_Toc54862205"/>
      <w:r>
        <w:rPr>
          <w:rFonts w:hint="eastAsia" w:asciiTheme="minorEastAsia" w:hAnsiTheme="minorEastAsia" w:eastAsiaTheme="minorEastAsia" w:cstheme="minorEastAsia"/>
          <w:b w:val="0"/>
          <w:bCs/>
          <w:sz w:val="21"/>
          <w:szCs w:val="21"/>
        </w:rPr>
        <w:t>3.2 发包人人员</w:t>
      </w:r>
      <w:bookmarkEnd w:id="542"/>
      <w:bookmarkEnd w:id="543"/>
      <w:bookmarkEnd w:id="544"/>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发包人应要求在施工现场的发包人人员遵守法律及有关安全、质量、环境保护、文明施工等规定，因发包人人员未遵守上述要求给承包人造成的损失和责任由发包人承担。</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45" w:name="_Toc54862206"/>
      <w:r>
        <w:rPr>
          <w:rFonts w:hint="eastAsia" w:asciiTheme="minorEastAsia" w:hAnsiTheme="minorEastAsia" w:eastAsiaTheme="minorEastAsia" w:cstheme="minorEastAsia"/>
          <w:b w:val="0"/>
          <w:bCs/>
          <w:sz w:val="21"/>
          <w:szCs w:val="21"/>
        </w:rPr>
        <w:t>3.3 工程师</w:t>
      </w:r>
      <w:bookmarkEnd w:id="545"/>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46" w:name="_Toc54862207"/>
      <w:bookmarkStart w:id="547" w:name="_Ref531951597"/>
      <w:bookmarkStart w:id="548" w:name="_Ref531951594"/>
      <w:r>
        <w:rPr>
          <w:rFonts w:hint="eastAsia" w:asciiTheme="minorEastAsia" w:hAnsiTheme="minorEastAsia" w:eastAsiaTheme="minorEastAsia" w:cstheme="minorEastAsia"/>
          <w:b w:val="0"/>
          <w:bCs/>
          <w:sz w:val="21"/>
          <w:szCs w:val="21"/>
        </w:rPr>
        <w:t>3.4 任命和授权</w:t>
      </w:r>
      <w:bookmarkEnd w:id="546"/>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49" w:name="_Toc54862208"/>
      <w:bookmarkStart w:id="550" w:name="_Ref20165400"/>
      <w:r>
        <w:rPr>
          <w:rFonts w:hint="eastAsia" w:asciiTheme="minorEastAsia" w:hAnsiTheme="minorEastAsia" w:eastAsiaTheme="minorEastAsia" w:cstheme="minorEastAsia"/>
          <w:b w:val="0"/>
          <w:bCs/>
          <w:sz w:val="21"/>
          <w:szCs w:val="21"/>
        </w:rPr>
        <w:t>3.5 指示</w:t>
      </w:r>
      <w:bookmarkEnd w:id="547"/>
      <w:bookmarkEnd w:id="548"/>
      <w:bookmarkEnd w:id="549"/>
      <w:bookmarkEnd w:id="550"/>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 承包人收到工程师作出的指示后应遵照执行。如果任何此类指示构成一项变更时，应按照第13条[变更与调整]的约定办理。</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3.5.3 由于工程师未能按合同约定发出指示、指示延误或指示错误而导致承包人费用增加和（或）工期延误的，发包人应承担由此增加的费用和（或）工期延误，并向承包人支付合理利润。</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51" w:name="_Toc54862209"/>
      <w:bookmarkStart w:id="552" w:name="_Ref531951611"/>
      <w:bookmarkStart w:id="553" w:name="_Ref531951609"/>
      <w:r>
        <w:rPr>
          <w:rFonts w:hint="eastAsia" w:asciiTheme="minorEastAsia" w:hAnsiTheme="minorEastAsia" w:eastAsiaTheme="minorEastAsia" w:cstheme="minorEastAsia"/>
          <w:b w:val="0"/>
          <w:bCs/>
          <w:sz w:val="21"/>
          <w:szCs w:val="21"/>
        </w:rPr>
        <w:t>3.6 商定或确定</w:t>
      </w:r>
      <w:bookmarkEnd w:id="551"/>
      <w:bookmarkEnd w:id="552"/>
      <w:bookmarkEnd w:id="553"/>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 合同约定工程师应按照本款对任何事项进行商定或确定时，工程师应及时与合同当事人协商，尽量达成一致。工程师应将商定的结果以书面形式通知发包人和承包人，并由双方签署确认。</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54" w:name="_Ref532287856"/>
      <w:r>
        <w:rPr>
          <w:rFonts w:hint="eastAsia" w:asciiTheme="minorEastAsia" w:hAnsiTheme="minorEastAsia" w:eastAsiaTheme="minorEastAsia" w:cstheme="minorEastAsia"/>
          <w:sz w:val="21"/>
          <w:szCs w:val="21"/>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554"/>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3.6.4 在该争议解决前，双方应暂按工程师的确定执行。按照第20条[争议解决]的约定对工程师的确定作出修改的，按修改后的结果执行，由此导致承包人增加的费用和延误的工期由责任方承担。</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55" w:name="_Ref531951747"/>
      <w:bookmarkStart w:id="556" w:name="_Toc54862210"/>
      <w:bookmarkStart w:id="557" w:name="_Ref531951749"/>
      <w:r>
        <w:rPr>
          <w:rFonts w:hint="eastAsia" w:asciiTheme="minorEastAsia" w:hAnsiTheme="minorEastAsia" w:eastAsiaTheme="minorEastAsia" w:cstheme="minorEastAsia"/>
          <w:b w:val="0"/>
          <w:bCs/>
          <w:sz w:val="21"/>
          <w:szCs w:val="21"/>
        </w:rPr>
        <w:t>3.7 会议</w:t>
      </w:r>
      <w:bookmarkEnd w:id="555"/>
      <w:bookmarkEnd w:id="556"/>
      <w:bookmarkEnd w:id="557"/>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3.7.2 除专用合同条件另有约定外，发包人应保存每次会议参加人签名的记录，并将会议纪要提供给出席会议的人员。任何根据此类会议以及会议纪要采取的行动应符合本合同的约定。</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58" w:name="_Ref531952805"/>
      <w:bookmarkStart w:id="559" w:name="_Toc54862211"/>
      <w:r>
        <w:rPr>
          <w:rFonts w:hint="eastAsia" w:asciiTheme="minorEastAsia" w:hAnsiTheme="minorEastAsia" w:eastAsiaTheme="minorEastAsia" w:cstheme="minorEastAsia"/>
          <w:b w:val="0"/>
          <w:bCs/>
          <w:sz w:val="21"/>
          <w:szCs w:val="21"/>
        </w:rPr>
        <w:t>第4条 承包人</w:t>
      </w:r>
      <w:bookmarkEnd w:id="558"/>
      <w:bookmarkEnd w:id="559"/>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60" w:name="_Toc54862212"/>
      <w:bookmarkStart w:id="561" w:name="_Ref531951941"/>
      <w:bookmarkStart w:id="562" w:name="_Ref531951961"/>
      <w:bookmarkStart w:id="563" w:name="_Ref531951945"/>
      <w:bookmarkStart w:id="564" w:name="_Ref531951958"/>
      <w:bookmarkStart w:id="565" w:name="_Ref531951975"/>
      <w:r>
        <w:rPr>
          <w:rFonts w:hint="eastAsia" w:asciiTheme="minorEastAsia" w:hAnsiTheme="minorEastAsia" w:eastAsiaTheme="minorEastAsia" w:cstheme="minorEastAsia"/>
          <w:b w:val="0"/>
          <w:bCs/>
          <w:sz w:val="21"/>
          <w:szCs w:val="21"/>
        </w:rPr>
        <w:t>4.1 承包人的一般义务</w:t>
      </w:r>
      <w:bookmarkEnd w:id="560"/>
      <w:bookmarkEnd w:id="561"/>
      <w:bookmarkEnd w:id="562"/>
      <w:bookmarkEnd w:id="563"/>
      <w:bookmarkEnd w:id="564"/>
      <w:bookmarkEnd w:id="565"/>
      <w:r>
        <w:rPr>
          <w:rFonts w:hint="eastAsia" w:asciiTheme="minorEastAsia" w:hAnsiTheme="minorEastAsia" w:eastAsiaTheme="minorEastAsia" w:cstheme="minorEastAsia"/>
          <w:b w:val="0"/>
          <w:bCs/>
          <w:sz w:val="21"/>
          <w:szCs w:val="21"/>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566" w:name="_Ref509046929"/>
      <w:r>
        <w:rPr>
          <w:rFonts w:hint="eastAsia" w:asciiTheme="minorEastAsia" w:hAnsiTheme="minorEastAsia" w:eastAsiaTheme="minorEastAsia" w:cstheme="minorEastAsia"/>
          <w:sz w:val="21"/>
          <w:szCs w:val="21"/>
        </w:rPr>
        <w:t>除专用合同条件另有约定外，承包人在履行合同过程中应遵守法律和工程建设标准规范，并履行以下义务：</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办理法律规定和合同约定由承包人办理的许可和批准，将办理结果书面报送发包人留存，并承担因承包人违反法律或合同约定给发包人造成的任何费用和损失；</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按合同约定完成全部工作并在缺陷责任期和保修期内承担缺陷保证责任和保修义务，对工作中的任何缺陷进行整改、完善和修补，使其满足合同约定的目的；</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提供合同约定的工程设备和承包人文件，以及为完成合同工作所需的劳务、材料、施工设备和其他物品，并按合同约定负责临时设施的设计、施工、运行、维护、管理和拆除；</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按合同约定的工作内容和进度要求，编制设计、施工的组织和实施计划，保证项目进度计划的实现，并对所有设计、施工作业和施工方法，以及全部工程的完备性和安全可靠性负责；</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按法律规定和合同约定采取安全文明施工、职业健康和环境保护措施，办理员工工伤保险等相关保险，确保工程及人员、材料、设备和设施的安全，防止因工程实施造成的人身伤害和财产损失；</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将发包人按合同约定支付的各项价款专用于合同工程，且应及时支付其雇用人员（包括建筑工人）工资，并及时向分包人支付合同价款；</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在进行合同约定的各项工作时，不得侵害发包人与他人使用公用道路、水源、市政管网等公共设施的权利，避免对邻近的公共设施产生干扰。</w:t>
      </w:r>
    </w:p>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67" w:name="_Ref4426803"/>
      <w:bookmarkStart w:id="568" w:name="_Toc54862213"/>
      <w:bookmarkStart w:id="569" w:name="_Ref4428418"/>
      <w:r>
        <w:rPr>
          <w:rFonts w:hint="eastAsia" w:asciiTheme="minorEastAsia" w:hAnsiTheme="minorEastAsia" w:eastAsiaTheme="minorEastAsia" w:cstheme="minorEastAsia"/>
          <w:b w:val="0"/>
          <w:bCs/>
          <w:sz w:val="21"/>
          <w:szCs w:val="21"/>
        </w:rPr>
        <w:t>4.2 履约担保</w:t>
      </w:r>
      <w:bookmarkEnd w:id="567"/>
      <w:bookmarkEnd w:id="568"/>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承包人应保证其履约担保在发包人竣工验收前一直有效，发包人应在竣工验收合格后7天内将履约担保款项退还给承包人或者解除履约担保。</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因承包人原因导致工期延长的，继续提供履约担保所增加的费用由承包人承担；非因承包人原因导致工期延长的，继续提供履约担保所增加的费用由发包人承担。</w:t>
      </w:r>
    </w:p>
    <w:bookmarkEnd w:id="566"/>
    <w:bookmarkEnd w:id="569"/>
    <w:p>
      <w:pPr>
        <w:pStyle w:val="43"/>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70" w:name="_Ref532689108"/>
      <w:bookmarkStart w:id="571" w:name="_Toc54862214"/>
      <w:bookmarkStart w:id="572" w:name="_Ref532689105"/>
      <w:r>
        <w:rPr>
          <w:rFonts w:hint="eastAsia" w:asciiTheme="minorEastAsia" w:hAnsiTheme="minorEastAsia" w:eastAsiaTheme="minorEastAsia" w:cstheme="minorEastAsia"/>
          <w:b w:val="0"/>
          <w:bCs/>
          <w:sz w:val="21"/>
          <w:szCs w:val="21"/>
        </w:rPr>
        <w:t>4.3 工程总承包项目经理</w:t>
      </w:r>
      <w:bookmarkEnd w:id="570"/>
      <w:bookmarkEnd w:id="571"/>
      <w:bookmarkEnd w:id="572"/>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73" w:name="_Ref532351726"/>
      <w:r>
        <w:rPr>
          <w:rFonts w:hint="eastAsia" w:asciiTheme="minorEastAsia" w:hAnsiTheme="minorEastAsia" w:eastAsiaTheme="minorEastAsia" w:cstheme="minorEastAsia"/>
          <w:sz w:val="21"/>
          <w:szCs w:val="21"/>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573"/>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74" w:name="_Ref532689263"/>
      <w:r>
        <w:rPr>
          <w:rFonts w:hint="eastAsia" w:asciiTheme="minorEastAsia" w:hAnsiTheme="minorEastAsia" w:eastAsiaTheme="minorEastAsia" w:cstheme="minorEastAsia"/>
          <w:sz w:val="21"/>
          <w:szCs w:val="21"/>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574"/>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75" w:name="_Ref532689178"/>
      <w:bookmarkStart w:id="576" w:name="_Ref531952112"/>
      <w:r>
        <w:rPr>
          <w:rFonts w:hint="eastAsia" w:asciiTheme="minorEastAsia" w:hAnsiTheme="minorEastAsia" w:eastAsiaTheme="minorEastAsia" w:cstheme="minorEastAsia"/>
          <w:sz w:val="21"/>
          <w:szCs w:val="21"/>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575"/>
    </w:p>
    <w:bookmarkEnd w:id="576"/>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77" w:name="_Ref4426412"/>
      <w:r>
        <w:rPr>
          <w:rFonts w:hint="eastAsia" w:asciiTheme="minorEastAsia" w:hAnsiTheme="minorEastAsia" w:eastAsiaTheme="minorEastAsia" w:cstheme="minorEastAsia"/>
          <w:sz w:val="21"/>
          <w:szCs w:val="21"/>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578" w:name="_Hlk55056591"/>
      <w:r>
        <w:rPr>
          <w:rFonts w:hint="eastAsia" w:asciiTheme="minorEastAsia" w:hAnsiTheme="minorEastAsia" w:eastAsiaTheme="minorEastAsia" w:cstheme="minorEastAsia"/>
          <w:sz w:val="21"/>
          <w:szCs w:val="21"/>
        </w:rPr>
        <w:t>应按照专用合同条件的约定承担违约责任。</w:t>
      </w:r>
      <w:bookmarkEnd w:id="577"/>
      <w:bookmarkEnd w:id="578"/>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79" w:name="_Ref531952137"/>
      <w:r>
        <w:rPr>
          <w:rFonts w:hint="eastAsia" w:asciiTheme="minorEastAsia" w:hAnsiTheme="minorEastAsia" w:eastAsiaTheme="minorEastAsia" w:cstheme="minorEastAsia"/>
          <w:sz w:val="21"/>
          <w:szCs w:val="21"/>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579"/>
    </w:p>
    <w:p>
      <w:pPr>
        <w:pStyle w:val="44"/>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80" w:name="_Ref122620"/>
      <w:r>
        <w:rPr>
          <w:rFonts w:hint="eastAsia" w:asciiTheme="minorEastAsia" w:hAnsiTheme="minorEastAsia" w:eastAsiaTheme="minorEastAsia" w:cstheme="minorEastAsia"/>
          <w:sz w:val="21"/>
          <w:szCs w:val="21"/>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580"/>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81" w:name="_Ref531952172"/>
      <w:bookmarkStart w:id="582" w:name="_Ref531952175"/>
      <w:bookmarkStart w:id="583" w:name="_Toc54862215"/>
      <w:r>
        <w:rPr>
          <w:rFonts w:hint="eastAsia" w:asciiTheme="minorEastAsia" w:hAnsiTheme="minorEastAsia" w:eastAsiaTheme="minorEastAsia" w:cstheme="minorEastAsia"/>
          <w:b w:val="0"/>
          <w:bCs/>
          <w:sz w:val="21"/>
          <w:szCs w:val="21"/>
        </w:rPr>
        <w:t>4.4 承包人人员</w:t>
      </w:r>
      <w:bookmarkEnd w:id="581"/>
      <w:bookmarkEnd w:id="582"/>
      <w:bookmarkEnd w:id="583"/>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84" w:name="_Ref531952185"/>
      <w:r>
        <w:rPr>
          <w:rFonts w:hint="eastAsia" w:asciiTheme="minorEastAsia" w:hAnsiTheme="minorEastAsia" w:eastAsiaTheme="minorEastAsia" w:cstheme="minorEastAsia"/>
          <w:sz w:val="21"/>
          <w:szCs w:val="21"/>
        </w:rPr>
        <w:t>4.4.1 人员安排</w:t>
      </w:r>
      <w:bookmarkEnd w:id="58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关键人员</w:t>
      </w:r>
      <w:bookmarkStart w:id="585" w:name="_Hlk16210335"/>
      <w:r>
        <w:rPr>
          <w:rFonts w:hint="eastAsia" w:asciiTheme="minorEastAsia" w:hAnsiTheme="minorEastAsia" w:eastAsiaTheme="minorEastAsia" w:cstheme="minorEastAsia"/>
          <w:sz w:val="21"/>
          <w:szCs w:val="21"/>
        </w:rPr>
        <w:t>是发包人及承包人一致认为对工程建设起重要作用的承包人主要管理人员或技术人员。关键人员的具体范围由发包人及承包人在附件5[承包人主要管理人员表]中另行约定。</w:t>
      </w:r>
    </w:p>
    <w:bookmarkEnd w:id="585"/>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86" w:name="_Ref4426641"/>
      <w:bookmarkStart w:id="587" w:name="_Ref531952211"/>
      <w:r>
        <w:rPr>
          <w:rFonts w:hint="eastAsia" w:asciiTheme="minorEastAsia" w:hAnsiTheme="minorEastAsia" w:eastAsiaTheme="minorEastAsia" w:cstheme="minorEastAsia"/>
          <w:sz w:val="21"/>
          <w:szCs w:val="21"/>
        </w:rPr>
        <w:t>4.4.2 关键人员更换</w:t>
      </w:r>
      <w:bookmarkEnd w:id="586"/>
      <w:bookmarkEnd w:id="58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88" w:name="_Ref531952227"/>
      <w:r>
        <w:rPr>
          <w:rFonts w:hint="eastAsia" w:asciiTheme="minorEastAsia" w:hAnsiTheme="minorEastAsia" w:eastAsiaTheme="minorEastAsia" w:cstheme="minorEastAsia"/>
          <w:sz w:val="21"/>
          <w:szCs w:val="21"/>
        </w:rPr>
        <w:t>4.4.3 现场管理关键人员在岗要求</w:t>
      </w:r>
      <w:bookmarkEnd w:id="58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89" w:name="_Ref531952259"/>
      <w:bookmarkStart w:id="590" w:name="_Ref531952262"/>
      <w:bookmarkStart w:id="591" w:name="_Toc54862216"/>
      <w:r>
        <w:rPr>
          <w:rFonts w:hint="eastAsia" w:asciiTheme="minorEastAsia" w:hAnsiTheme="minorEastAsia" w:eastAsiaTheme="minorEastAsia" w:cstheme="minorEastAsia"/>
          <w:b w:val="0"/>
          <w:bCs/>
          <w:sz w:val="21"/>
          <w:szCs w:val="21"/>
        </w:rPr>
        <w:t>4.5 分包</w:t>
      </w:r>
      <w:bookmarkEnd w:id="589"/>
      <w:bookmarkEnd w:id="590"/>
      <w:bookmarkEnd w:id="591"/>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92" w:name="_Ref531952273"/>
      <w:r>
        <w:rPr>
          <w:rFonts w:hint="eastAsia" w:asciiTheme="minorEastAsia" w:hAnsiTheme="minorEastAsia" w:eastAsiaTheme="minorEastAsia" w:cstheme="minorEastAsia"/>
          <w:sz w:val="21"/>
          <w:szCs w:val="21"/>
        </w:rPr>
        <w:t>4.5.1 一般约定</w:t>
      </w:r>
      <w:bookmarkEnd w:id="59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93" w:name="_Ref531952286"/>
      <w:r>
        <w:rPr>
          <w:rFonts w:hint="eastAsia" w:asciiTheme="minorEastAsia" w:hAnsiTheme="minorEastAsia" w:eastAsiaTheme="minorEastAsia" w:cstheme="minorEastAsia"/>
          <w:sz w:val="21"/>
          <w:szCs w:val="21"/>
        </w:rPr>
        <w:t>4.5.2 分包的确定</w:t>
      </w:r>
      <w:bookmarkEnd w:id="59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承包人应按照专用合同条件约定对工作事项进行分包，确定分包人。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4.5.3 分包人资质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分包人应符合国家法律规定的资质等级，否则不能作为分包人。承包人有义务对分包人的资质进行审查。</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4.5.4 分包管理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594" w:name="_Ref531952298"/>
      <w:r>
        <w:rPr>
          <w:rFonts w:hint="eastAsia" w:asciiTheme="minorEastAsia" w:hAnsiTheme="minorEastAsia" w:eastAsiaTheme="minorEastAsia" w:cstheme="minorEastAsia"/>
          <w:sz w:val="21"/>
          <w:szCs w:val="21"/>
        </w:rPr>
        <w:t>4.5.5 分包合同价款支付</w:t>
      </w:r>
      <w:bookmarkEnd w:id="59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除本项第（2）目约定的情况或专用合同条件另有约定外，分包合同价款由承包人与分包人结算，未经承包人同意，发包人不得向分包人支付分包合同价款；</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595" w:name="_Ref4613798"/>
      <w:r>
        <w:rPr>
          <w:rFonts w:hint="eastAsia" w:asciiTheme="minorEastAsia" w:hAnsiTheme="minorEastAsia" w:eastAsiaTheme="minorEastAsia" w:cstheme="minorEastAsia"/>
          <w:sz w:val="21"/>
          <w:szCs w:val="21"/>
        </w:rPr>
        <w:t>（2） 生效法律文书要求发包人向分包人支付分包合同价款的，发包人有权从应付承包人工程款中扣除该部分款项</w:t>
      </w:r>
      <w:bookmarkEnd w:id="595"/>
      <w:r>
        <w:rPr>
          <w:rFonts w:hint="eastAsia" w:asciiTheme="minorEastAsia" w:hAnsiTheme="minorEastAsia" w:eastAsiaTheme="minorEastAsia" w:cstheme="minorEastAsia"/>
          <w:sz w:val="21"/>
          <w:szCs w:val="21"/>
        </w:rPr>
        <w:t>，将扣款直接支付给分包人，并书面通知承包人。</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4.5.6 责任承担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承包人对分包人的行为向发包人负责，承包人和分包人就分包工作向发包人承担连带责任。</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596" w:name="_Ref4426916"/>
      <w:bookmarkStart w:id="597" w:name="_Toc54862217"/>
      <w:bookmarkStart w:id="598" w:name="_Ref4768805"/>
      <w:bookmarkStart w:id="599" w:name="_Ref531952321"/>
      <w:bookmarkStart w:id="600" w:name="_Ref531952317"/>
      <w:r>
        <w:rPr>
          <w:rFonts w:hint="eastAsia" w:asciiTheme="minorEastAsia" w:hAnsiTheme="minorEastAsia" w:eastAsiaTheme="minorEastAsia" w:cstheme="minorEastAsia"/>
          <w:b w:val="0"/>
          <w:bCs/>
          <w:sz w:val="21"/>
          <w:szCs w:val="21"/>
        </w:rPr>
        <w:t>4.6 联合体</w:t>
      </w:r>
      <w:bookmarkEnd w:id="596"/>
      <w:bookmarkEnd w:id="597"/>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01" w:name="_Hlk16235129"/>
      <w:r>
        <w:rPr>
          <w:rFonts w:hint="eastAsia" w:asciiTheme="minorEastAsia" w:hAnsiTheme="minorEastAsia" w:eastAsiaTheme="minorEastAsia" w:cstheme="minorEastAsia"/>
          <w:sz w:val="21"/>
          <w:szCs w:val="21"/>
        </w:rPr>
        <w:t>4.6.1 经发包人同意，</w:t>
      </w:r>
      <w:bookmarkEnd w:id="601"/>
      <w:r>
        <w:rPr>
          <w:rFonts w:hint="eastAsia" w:asciiTheme="minorEastAsia" w:hAnsiTheme="minorEastAsia" w:eastAsiaTheme="minorEastAsia" w:cstheme="minorEastAsia"/>
          <w:sz w:val="21"/>
          <w:szCs w:val="21"/>
        </w:rPr>
        <w:t>以联合体方式承包工程的，联合体各方应共同与发包人订立合同协议书。联合体各方应为履行合同向发包人承担连带责任。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4.6.3 联合体协议经发包人确认后作为合同附件。在履行合同过程中，未经发包人同意，不得变更联合体成员和其负责的工作范围，或者修改联合体协议中与本合同履行相关的内容。</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02" w:name="_Ref11926631"/>
      <w:bookmarkStart w:id="603" w:name="_Toc54862218"/>
      <w:bookmarkStart w:id="604" w:name="_Ref11926629"/>
      <w:r>
        <w:rPr>
          <w:rFonts w:hint="eastAsia" w:asciiTheme="minorEastAsia" w:hAnsiTheme="minorEastAsia" w:eastAsiaTheme="minorEastAsia" w:cstheme="minorEastAsia"/>
          <w:b w:val="0"/>
          <w:bCs/>
          <w:sz w:val="21"/>
          <w:szCs w:val="21"/>
        </w:rPr>
        <w:t>4.7 承包人现场查勘</w:t>
      </w:r>
      <w:bookmarkEnd w:id="602"/>
      <w:bookmarkEnd w:id="603"/>
      <w:bookmarkEnd w:id="60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05" w:name="_Ref11918789"/>
      <w:bookmarkStart w:id="606" w:name="_Toc54862219"/>
      <w:bookmarkStart w:id="607" w:name="不可预见的困难"/>
      <w:bookmarkStart w:id="608" w:name="_Ref11918693"/>
      <w:bookmarkStart w:id="609" w:name="_Ref11918626"/>
      <w:r>
        <w:rPr>
          <w:rFonts w:hint="eastAsia" w:asciiTheme="minorEastAsia" w:hAnsiTheme="minorEastAsia" w:eastAsiaTheme="minorEastAsia" w:cstheme="minorEastAsia"/>
          <w:b w:val="0"/>
          <w:bCs/>
          <w:sz w:val="21"/>
          <w:szCs w:val="21"/>
        </w:rPr>
        <w:t>4.8 不可预见的困难</w:t>
      </w:r>
      <w:bookmarkEnd w:id="598"/>
      <w:bookmarkEnd w:id="599"/>
      <w:bookmarkEnd w:id="600"/>
      <w:bookmarkEnd w:id="605"/>
      <w:bookmarkEnd w:id="606"/>
      <w:bookmarkEnd w:id="607"/>
      <w:bookmarkEnd w:id="608"/>
      <w:bookmarkEnd w:id="609"/>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10" w:name="_Toc54862220"/>
      <w:bookmarkStart w:id="611" w:name="_Ref11926566"/>
      <w:bookmarkStart w:id="612" w:name="_Ref11926570"/>
      <w:r>
        <w:rPr>
          <w:rFonts w:hint="eastAsia" w:asciiTheme="minorEastAsia" w:hAnsiTheme="minorEastAsia" w:eastAsiaTheme="minorEastAsia" w:cstheme="minorEastAsia"/>
          <w:b w:val="0"/>
          <w:bCs/>
          <w:sz w:val="21"/>
          <w:szCs w:val="21"/>
        </w:rPr>
        <w:t>4.9 工程质量管理</w:t>
      </w:r>
      <w:bookmarkEnd w:id="610"/>
      <w:bookmarkEnd w:id="611"/>
      <w:bookmarkEnd w:id="61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 承包人应对其人员进行质量教育和技术培训，定期考核人员的劳动技能，严格执行相关规范和操作规程。</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13" w:name="_Ref531952837"/>
      <w:bookmarkStart w:id="614" w:name="_Toc54862221"/>
      <w:r>
        <w:rPr>
          <w:rFonts w:hint="eastAsia" w:asciiTheme="minorEastAsia" w:hAnsiTheme="minorEastAsia" w:eastAsiaTheme="minorEastAsia" w:cstheme="minorEastAsia"/>
          <w:b w:val="0"/>
          <w:bCs/>
          <w:sz w:val="21"/>
          <w:szCs w:val="21"/>
        </w:rPr>
        <w:t>第5条 设计</w:t>
      </w:r>
      <w:bookmarkEnd w:id="613"/>
      <w:bookmarkEnd w:id="614"/>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15" w:name="_Ref531952860"/>
      <w:bookmarkStart w:id="616" w:name="_Ref531952863"/>
      <w:bookmarkStart w:id="617" w:name="_Toc54862222"/>
      <w:r>
        <w:rPr>
          <w:rFonts w:hint="eastAsia" w:asciiTheme="minorEastAsia" w:hAnsiTheme="minorEastAsia" w:eastAsiaTheme="minorEastAsia" w:cstheme="minorEastAsia"/>
          <w:b w:val="0"/>
          <w:bCs/>
          <w:sz w:val="21"/>
          <w:szCs w:val="21"/>
        </w:rPr>
        <w:t>5.1 承包人的设计义务</w:t>
      </w:r>
      <w:bookmarkEnd w:id="615"/>
      <w:bookmarkEnd w:id="616"/>
      <w:bookmarkEnd w:id="617"/>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18" w:name="_Ref531952881"/>
      <w:r>
        <w:rPr>
          <w:rFonts w:hint="eastAsia" w:asciiTheme="minorEastAsia" w:hAnsiTheme="minorEastAsia" w:eastAsiaTheme="minorEastAsia" w:cstheme="minorEastAsia"/>
          <w:sz w:val="21"/>
          <w:szCs w:val="21"/>
        </w:rPr>
        <w:t>5.1.1 设计义务的一般要求</w:t>
      </w:r>
      <w:bookmarkEnd w:id="61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19" w:name="_Ref531952952"/>
      <w:bookmarkStart w:id="620" w:name="_Ref531952899"/>
      <w:r>
        <w:rPr>
          <w:rFonts w:hint="eastAsia" w:asciiTheme="minorEastAsia" w:hAnsiTheme="minorEastAsia" w:eastAsiaTheme="minorEastAsia" w:cstheme="minorEastAsia"/>
          <w:sz w:val="21"/>
          <w:szCs w:val="21"/>
        </w:rPr>
        <w:t>5.1.2 对设计人员的要求</w:t>
      </w:r>
      <w:bookmarkEnd w:id="61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620"/>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5.1.3 法律和标准的变化</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在基准日期之后，因国家颁布新的强制性规范、标准导致承包人的费用变化的，发包人应合理调整合同价格；导致工期延误的，发包人应合理延长工期。</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21" w:name="_Ref531953051"/>
      <w:bookmarkStart w:id="622" w:name="_Toc54862223"/>
      <w:bookmarkStart w:id="623" w:name="_Ref531953054"/>
      <w:r>
        <w:rPr>
          <w:rFonts w:hint="eastAsia" w:asciiTheme="minorEastAsia" w:hAnsiTheme="minorEastAsia" w:eastAsiaTheme="minorEastAsia" w:cstheme="minorEastAsia"/>
          <w:b w:val="0"/>
          <w:bCs/>
          <w:sz w:val="21"/>
          <w:szCs w:val="21"/>
        </w:rPr>
        <w:t>5.2 承包人文件审查</w:t>
      </w:r>
      <w:bookmarkEnd w:id="621"/>
      <w:bookmarkEnd w:id="622"/>
      <w:bookmarkEnd w:id="623"/>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24" w:name="_Ref531953064"/>
      <w:r>
        <w:rPr>
          <w:rFonts w:hint="eastAsia" w:asciiTheme="minorEastAsia" w:hAnsiTheme="minorEastAsia" w:eastAsiaTheme="minorEastAsia" w:cstheme="minorEastAsia"/>
          <w:sz w:val="21"/>
          <w:szCs w:val="21"/>
        </w:rPr>
        <w:t>5.2.1 根据《发包人要求》应当通过工程师报发包人审查同意的承包人文件，承包人应当按照《发包人要求》约定的范围和内容及时报送审查。</w:t>
      </w:r>
      <w:bookmarkEnd w:id="62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发包人同意承包人文件的，应及时通知承包人，发包人不同意承包人文件的，应在审查期限内通过工程师以书面形式通知承包人，并说明不同意的具体内容和理由。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承包人对发包人的意见按以下方式处理：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发包人的意见构成变更的，承包人应在7天内通知发包人按照第13条[变更与调整]中关于发包人指示变更的约定执行，双方对是否构成变更无法达成一致的，按照第20条[争议解决]的约定执行；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因承包人原因导致无法通过审查的，承包人应根据发包人的书面说明，对承包人文件进行修改后重新报送发包人审查，审查期重新起算。因此引起的工期延长和必要的工程费用增加，由承包人负责。</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合同约定的审查期满，发包人没有做出审查结论也没有提出异议的，视为承包人文件已获发包人同意。</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发包人对承包人文件的审查和同意不得被理解为对合同的修改或改变，也并不减轻或免除承包人任何的责任和义务。</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5.2.2 承包人文件不需要政府有关部门或专用合同条件约定的第三方审查单位审查或批准的，承包人应当严格按照经发包人审查同意的承包人文件设计和实施工程。</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发包人有义务向承包人提供审查会议的批准文件和纪要。承包人有义务按照相关审查会议批准的文件和纪要，并依据合同约定及相关技术标准，对承包人文件进行修改、补充和完善。</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25" w:name="_Ref531953074"/>
      <w:r>
        <w:rPr>
          <w:rFonts w:hint="eastAsia" w:asciiTheme="minorEastAsia" w:hAnsiTheme="minorEastAsia" w:eastAsiaTheme="minorEastAsia" w:cstheme="minorEastAsia"/>
          <w:sz w:val="21"/>
          <w:szCs w:val="21"/>
        </w:rPr>
        <w:t>5.2.3 承包人文件需政府有关部门或专用合同条件约定的第三方审查单位审查或批准的，发包人应在发包人审查同意承包人文件后7天内，向政府有关部门或第三方报送承包人文件，承包人应予以协助。</w:t>
      </w:r>
      <w:bookmarkEnd w:id="62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26" w:name="_Ref531953097"/>
      <w:bookmarkStart w:id="627" w:name="_Ref531953095"/>
      <w:bookmarkStart w:id="628" w:name="_Toc54862224"/>
      <w:r>
        <w:rPr>
          <w:rFonts w:hint="eastAsia" w:asciiTheme="minorEastAsia" w:hAnsiTheme="minorEastAsia" w:eastAsiaTheme="minorEastAsia" w:cstheme="minorEastAsia"/>
          <w:b w:val="0"/>
          <w:bCs/>
          <w:sz w:val="21"/>
          <w:szCs w:val="21"/>
        </w:rPr>
        <w:t>5.3 培训</w:t>
      </w:r>
      <w:bookmarkEnd w:id="626"/>
      <w:bookmarkEnd w:id="627"/>
      <w:bookmarkEnd w:id="62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培训的时长应由双方在专用合同条件中约定，承包人应为培训提供有经验的人员、设施和其它必要条件。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29" w:name="_Toc54862225"/>
      <w:bookmarkStart w:id="630" w:name="_Ref531953105"/>
      <w:bookmarkStart w:id="631" w:name="_Ref531953108"/>
      <w:r>
        <w:rPr>
          <w:rFonts w:hint="eastAsia" w:asciiTheme="minorEastAsia" w:hAnsiTheme="minorEastAsia" w:eastAsiaTheme="minorEastAsia" w:cstheme="minorEastAsia"/>
          <w:b w:val="0"/>
          <w:bCs/>
          <w:sz w:val="21"/>
          <w:szCs w:val="21"/>
        </w:rPr>
        <w:t>5.4 竣工文件</w:t>
      </w:r>
      <w:bookmarkEnd w:id="629"/>
      <w:bookmarkEnd w:id="630"/>
      <w:bookmarkEnd w:id="631"/>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32" w:name="_Ref531953134"/>
      <w:r>
        <w:rPr>
          <w:rFonts w:hint="eastAsia" w:asciiTheme="minorEastAsia" w:hAnsiTheme="minorEastAsia" w:eastAsiaTheme="minorEastAsia" w:cstheme="minorEastAsia"/>
          <w:sz w:val="21"/>
          <w:szCs w:val="21"/>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63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5.4.3 除专用合同条件另有约定外，在工程师收到本款下的文件前，不应认为工程已根据第10.1款[竣工验收]和第10.2款[单位/区段工程的验收]的约定完成验收。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33" w:name="_Ref531953119"/>
      <w:bookmarkStart w:id="634" w:name="_Toc54862226"/>
      <w:bookmarkStart w:id="635" w:name="_Ref531953117"/>
      <w:r>
        <w:rPr>
          <w:rFonts w:hint="eastAsia" w:asciiTheme="minorEastAsia" w:hAnsiTheme="minorEastAsia" w:eastAsiaTheme="minorEastAsia" w:cstheme="minorEastAsia"/>
          <w:b w:val="0"/>
          <w:bCs/>
          <w:sz w:val="21"/>
          <w:szCs w:val="21"/>
        </w:rPr>
        <w:t>5.5 操作和维修手册</w:t>
      </w:r>
      <w:bookmarkEnd w:id="633"/>
      <w:bookmarkEnd w:id="634"/>
      <w:bookmarkEnd w:id="63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36" w:name="_Ref531953145"/>
      <w:r>
        <w:rPr>
          <w:rFonts w:hint="eastAsia" w:asciiTheme="minorEastAsia" w:hAnsiTheme="minorEastAsia" w:eastAsiaTheme="minorEastAsia" w:cstheme="minorEastAsia"/>
          <w:sz w:val="21"/>
          <w:szCs w:val="21"/>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636"/>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37" w:name="_Toc54862227"/>
      <w:r>
        <w:rPr>
          <w:rFonts w:hint="eastAsia" w:asciiTheme="minorEastAsia" w:hAnsiTheme="minorEastAsia" w:eastAsiaTheme="minorEastAsia" w:cstheme="minorEastAsia"/>
          <w:b w:val="0"/>
          <w:bCs/>
          <w:sz w:val="21"/>
          <w:szCs w:val="21"/>
        </w:rPr>
        <w:t>5.6 承包人文件错误</w:t>
      </w:r>
      <w:bookmarkEnd w:id="637"/>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38" w:name="_Toc54862228"/>
      <w:bookmarkStart w:id="639" w:name="_Ref531953765"/>
      <w:bookmarkStart w:id="640" w:name="_Ref531953761"/>
      <w:r>
        <w:rPr>
          <w:rFonts w:hint="eastAsia" w:asciiTheme="minorEastAsia" w:hAnsiTheme="minorEastAsia" w:eastAsiaTheme="minorEastAsia" w:cstheme="minorEastAsia"/>
          <w:b w:val="0"/>
          <w:bCs/>
          <w:sz w:val="21"/>
          <w:szCs w:val="21"/>
        </w:rPr>
        <w:t>第6条 材料、工程设备</w:t>
      </w:r>
      <w:bookmarkEnd w:id="638"/>
      <w:bookmarkEnd w:id="639"/>
      <w:bookmarkEnd w:id="640"/>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41" w:name="_Ref531953832"/>
      <w:bookmarkStart w:id="642" w:name="_Toc54862229"/>
      <w:bookmarkStart w:id="643" w:name="_Ref531953828"/>
      <w:r>
        <w:rPr>
          <w:rFonts w:hint="eastAsia" w:asciiTheme="minorEastAsia" w:hAnsiTheme="minorEastAsia" w:eastAsiaTheme="minorEastAsia" w:cstheme="minorEastAsia"/>
          <w:b w:val="0"/>
          <w:bCs/>
          <w:sz w:val="21"/>
          <w:szCs w:val="21"/>
        </w:rPr>
        <w:t>6.1 实施方法</w:t>
      </w:r>
      <w:bookmarkEnd w:id="641"/>
      <w:bookmarkEnd w:id="642"/>
      <w:bookmarkEnd w:id="643"/>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承包人应按以下方法进行材料的加工、工程设备的采购、制造和安装、以及工程的所有其他实施作业：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644" w:name="_Ref531953847"/>
      <w:r>
        <w:rPr>
          <w:rFonts w:hint="eastAsia" w:asciiTheme="minorEastAsia" w:hAnsiTheme="minorEastAsia" w:eastAsiaTheme="minorEastAsia" w:cstheme="minorEastAsia"/>
          <w:sz w:val="21"/>
          <w:szCs w:val="21"/>
        </w:rPr>
        <w:t>（1） 按照法律规定和合同约定的方法；</w:t>
      </w:r>
      <w:bookmarkEnd w:id="64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按照公认的良好行业习惯，使用恰当、审慎、先进的方法；</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除专用合同条件另有规定外，应使用适当配备的实施方法、设备、设施和无危险的材料。</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45" w:name="_Ref11926422"/>
      <w:bookmarkStart w:id="646" w:name="_Toc54862230"/>
      <w:bookmarkStart w:id="647" w:name="_Ref4427594"/>
      <w:r>
        <w:rPr>
          <w:rFonts w:hint="eastAsia" w:asciiTheme="minorEastAsia" w:hAnsiTheme="minorEastAsia" w:eastAsiaTheme="minorEastAsia" w:cstheme="minorEastAsia"/>
          <w:b w:val="0"/>
          <w:bCs/>
          <w:sz w:val="21"/>
          <w:szCs w:val="21"/>
        </w:rPr>
        <w:t>6.2 材料和工程设备</w:t>
      </w:r>
      <w:bookmarkEnd w:id="645"/>
      <w:bookmarkEnd w:id="646"/>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48" w:name="_Ref11960295"/>
      <w:r>
        <w:rPr>
          <w:rFonts w:hint="eastAsia" w:asciiTheme="minorEastAsia" w:hAnsiTheme="minorEastAsia" w:eastAsiaTheme="minorEastAsia" w:cstheme="minorEastAsia"/>
          <w:sz w:val="21"/>
          <w:szCs w:val="21"/>
        </w:rPr>
        <w:t>6.2.1 发包人提供的材料和工程设备</w:t>
      </w:r>
      <w:bookmarkEnd w:id="647"/>
      <w:bookmarkEnd w:id="64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发包人自行供应材料、工程设备的，应在订立合同时在专用合同条件的附件《发包人供应材料设备一览表》中明确材料、工程设备的品种、规格、型号、主要参数、数量、单价、质量等级和交接地点等。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49" w:name="_Ref531953918"/>
      <w:r>
        <w:rPr>
          <w:rFonts w:hint="eastAsia" w:asciiTheme="minorEastAsia" w:hAnsiTheme="minorEastAsia" w:eastAsiaTheme="minorEastAsia" w:cstheme="minorEastAsia"/>
          <w:sz w:val="21"/>
          <w:szCs w:val="21"/>
        </w:rPr>
        <w:t>6.2.2 承包人提供的材料和工程设备</w:t>
      </w:r>
      <w:bookmarkEnd w:id="64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50" w:name="_Ref531953999"/>
      <w:bookmarkStart w:id="651" w:name="_Ref531953991"/>
      <w:r>
        <w:rPr>
          <w:rFonts w:hint="eastAsia" w:asciiTheme="minorEastAsia" w:hAnsiTheme="minorEastAsia" w:eastAsiaTheme="minorEastAsia" w:cstheme="minorEastAsia"/>
          <w:sz w:val="21"/>
          <w:szCs w:val="21"/>
        </w:rPr>
        <w:t>6.2.3 材料和工程设备的保管</w:t>
      </w:r>
      <w:bookmarkEnd w:id="650"/>
      <w:bookmarkEnd w:id="651"/>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发包人供应材料与工程设备的保管与使用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发包人供应的材料和工程设备，承包人清点并接收后由承包人妥善保管，保管费用由承包人承担，但专用合同条件另有约定除外。因承包人原因发生丢失毁损的，由承包人负责赔偿。</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发包人供应的材料和工程设备使用前，由承包人负责必要的检验，检验费用由发包人承担，不合格的不得使用。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承包人采购材料与工程设备的保管与使用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工程师发现承包人使用不符合设计或有关标准要求的材料和工程设备时，有权要求承包人进行修复、拆除或重新采购，由此增加的费用和（或）延误的工期，由承包人承担。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6.2.4 材料和工程设备的所有权</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承包人按第6.2.2项提供的材料和工程设备，承包人应确保发包人取得无权利负担的材料及工程设备所有权，因承包人与第三人的物权争议导致的增加的费用和（或）延误的工期，由承包人承担。</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52" w:name="_Toc54862231"/>
      <w:bookmarkStart w:id="653" w:name="_Ref4428239"/>
      <w:bookmarkStart w:id="654" w:name="_Toc351203565"/>
      <w:bookmarkStart w:id="655" w:name="_Toc337558785"/>
      <w:r>
        <w:rPr>
          <w:rFonts w:hint="eastAsia" w:asciiTheme="minorEastAsia" w:hAnsiTheme="minorEastAsia" w:eastAsiaTheme="minorEastAsia" w:cstheme="minorEastAsia"/>
          <w:b w:val="0"/>
          <w:bCs/>
          <w:sz w:val="21"/>
          <w:szCs w:val="21"/>
        </w:rPr>
        <w:t>6.3 样品</w:t>
      </w:r>
      <w:bookmarkEnd w:id="652"/>
      <w:bookmarkEnd w:id="653"/>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6.3.1 样品的报送与封存</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需要承包人报送样品的材料或工程设备，样品的种类、名称、规格、数量等要求均应在专用合同条件中约定。样品的报送程序如下：</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经工程师审批确认的样品应按约定的方法封样，封存的样品作为检验工程相关部分的标准之一。承包人在施工过程中不得使用与样品不符的材料或工程设备。</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6.3.2 样品的保管</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经批准的样品应由工程师负责封存于现场，承包人应在现场为保存样品提供适当和固定的场所并保持适当和良好的存储环境条件。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56" w:name="_Ref11959204"/>
      <w:bookmarkStart w:id="657" w:name="_Ref11959210"/>
      <w:bookmarkStart w:id="658" w:name="_Toc54862232"/>
      <w:r>
        <w:rPr>
          <w:rFonts w:hint="eastAsia" w:asciiTheme="minorEastAsia" w:hAnsiTheme="minorEastAsia" w:eastAsiaTheme="minorEastAsia" w:cstheme="minorEastAsia"/>
          <w:b w:val="0"/>
          <w:bCs/>
          <w:sz w:val="21"/>
          <w:szCs w:val="21"/>
        </w:rPr>
        <w:t>6.4 质量检查</w:t>
      </w:r>
      <w:bookmarkEnd w:id="656"/>
      <w:bookmarkEnd w:id="657"/>
      <w:bookmarkEnd w:id="65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59" w:name="_Ref18990699"/>
      <w:r>
        <w:rPr>
          <w:rFonts w:hint="eastAsia" w:asciiTheme="minorEastAsia" w:hAnsiTheme="minorEastAsia" w:eastAsiaTheme="minorEastAsia" w:cstheme="minorEastAsia"/>
          <w:sz w:val="21"/>
          <w:szCs w:val="21"/>
        </w:rPr>
        <w:t>6.4.1 工程质量要求</w:t>
      </w:r>
      <w:bookmarkEnd w:id="65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工程质量标准必须符合现行国家有关工程施工质量验收规范和标准的要求。有关工程质量的特殊标准或要求由合同当事人在专用合同条件中约定。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60" w:name="_Ref18990717"/>
      <w:r>
        <w:rPr>
          <w:rFonts w:hint="eastAsia" w:asciiTheme="minorEastAsia" w:hAnsiTheme="minorEastAsia" w:eastAsiaTheme="minorEastAsia" w:cstheme="minorEastAsia"/>
          <w:sz w:val="21"/>
          <w:szCs w:val="21"/>
        </w:rPr>
        <w:t>6.4.2 质量检查</w:t>
      </w:r>
      <w:bookmarkEnd w:id="66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61" w:name="_Ref11959222"/>
      <w:r>
        <w:rPr>
          <w:rFonts w:hint="eastAsia" w:asciiTheme="minorEastAsia" w:hAnsiTheme="minorEastAsia" w:eastAsiaTheme="minorEastAsia" w:cstheme="minorEastAsia"/>
          <w:sz w:val="21"/>
          <w:szCs w:val="21"/>
        </w:rPr>
        <w:t>6.4.3 隐蔽工程检查</w:t>
      </w:r>
      <w:bookmarkEnd w:id="661"/>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承包人未通知工程师到场检查，私自将工程隐蔽部位覆盖的，工程师有权指示承包人钻孔探测或揭开检查，无论工程隐蔽部位质量是否合格，由此增加的费用和（或）延误的工期均由承包人承担。</w:t>
      </w:r>
    </w:p>
    <w:bookmarkEnd w:id="654"/>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62" w:name="_Ref11927403"/>
      <w:bookmarkStart w:id="663" w:name="_Ref11927398"/>
      <w:bookmarkStart w:id="664" w:name="_Ref11927389"/>
      <w:bookmarkStart w:id="665" w:name="_Ref11959158"/>
      <w:bookmarkStart w:id="666" w:name="_Toc54862233"/>
      <w:bookmarkStart w:id="667" w:name="_Ref11959175"/>
      <w:r>
        <w:rPr>
          <w:rFonts w:hint="eastAsia" w:asciiTheme="minorEastAsia" w:hAnsiTheme="minorEastAsia" w:eastAsiaTheme="minorEastAsia" w:cstheme="minorEastAsia"/>
          <w:b w:val="0"/>
          <w:bCs/>
          <w:sz w:val="21"/>
          <w:szCs w:val="21"/>
        </w:rPr>
        <w:t>6.5 由承包人试验</w:t>
      </w:r>
      <w:bookmarkEnd w:id="662"/>
      <w:bookmarkEnd w:id="663"/>
      <w:bookmarkEnd w:id="664"/>
      <w:r>
        <w:rPr>
          <w:rFonts w:hint="eastAsia" w:asciiTheme="minorEastAsia" w:hAnsiTheme="minorEastAsia" w:eastAsiaTheme="minorEastAsia" w:cstheme="minorEastAsia"/>
          <w:b w:val="0"/>
          <w:bCs/>
          <w:sz w:val="21"/>
          <w:szCs w:val="21"/>
        </w:rPr>
        <w:t>和检验</w:t>
      </w:r>
      <w:bookmarkEnd w:id="665"/>
      <w:bookmarkEnd w:id="666"/>
      <w:bookmarkEnd w:id="667"/>
    </w:p>
    <w:bookmarkEnd w:id="655"/>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6.5.1 试验设备与试验人员</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承包人应按专用合同条件约定的试验内容、时间和地点提供试验设备、取样装置、试验场所和试验条件，并向工程师提交相应进场计划表。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承包人配置的试验设备要符合相应试验规程的要求并经过具有资质的检测单位检测，且在正式使用该试验设备前，需要经过工程师与承包人共同校定。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承包人应向工程师提交试验人员的名单及其岗位、资格等证明资料，试验人员必须能够熟练进行相应的检测试验，承包人对试验人员的试验程序和试验结果的正确性负责。</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6.5.2 取样</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试验属于自检性质的，承包人可以单独取样。试验属于工程师抽检性质的，可由工程师取样，也可由承包人的试验人员在工程师的监督下取样。</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6.5.3 材料、工程设备和工程的试验和检验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68" w:name="_Toc351203566"/>
      <w:bookmarkStart w:id="669" w:name="_Toc337558786"/>
      <w:r>
        <w:rPr>
          <w:rFonts w:hint="eastAsia" w:asciiTheme="minorEastAsia" w:hAnsiTheme="minorEastAsia" w:eastAsiaTheme="minorEastAsia" w:cstheme="minorEastAsia"/>
          <w:sz w:val="21"/>
          <w:szCs w:val="21"/>
        </w:rPr>
        <w:t>6.5.4 现场工艺试验</w:t>
      </w:r>
      <w:bookmarkEnd w:id="668"/>
    </w:p>
    <w:bookmarkEnd w:id="669"/>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承包人应按合同约定进行现场工艺试验。对大型的现场工艺试验，发包人认为必要时，承包人应根据发包人提出的工艺试验要求，编制工艺试验措施计划，报送发包人审查。</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70" w:name="_Ref532592784"/>
      <w:bookmarkStart w:id="671" w:name="_Ref532592787"/>
      <w:bookmarkStart w:id="672" w:name="_Toc54862234"/>
      <w:r>
        <w:rPr>
          <w:rFonts w:hint="eastAsia" w:asciiTheme="minorEastAsia" w:hAnsiTheme="minorEastAsia" w:eastAsiaTheme="minorEastAsia" w:cstheme="minorEastAsia"/>
          <w:b w:val="0"/>
          <w:bCs/>
          <w:sz w:val="21"/>
          <w:szCs w:val="21"/>
        </w:rPr>
        <w:t>6.6 缺陷和修补</w:t>
      </w:r>
      <w:bookmarkEnd w:id="670"/>
      <w:bookmarkEnd w:id="671"/>
      <w:bookmarkEnd w:id="67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73" w:name="_Ref16875551"/>
      <w:r>
        <w:rPr>
          <w:rFonts w:hint="eastAsia" w:asciiTheme="minorEastAsia" w:hAnsiTheme="minorEastAsia" w:eastAsiaTheme="minorEastAsia" w:cstheme="minorEastAsia"/>
          <w:sz w:val="21"/>
          <w:szCs w:val="21"/>
        </w:rPr>
        <w:t>6.6.1 发包人可在颁发接收证书前随时指示承包人：</w:t>
      </w:r>
      <w:bookmarkEnd w:id="67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对不符合合同要求的任何工程设备或材料进行修补，或者将其移出现场并进行更换；</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对不符合合同的其他工作进行修补，或者将其去除并重新实施；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674" w:name="_Ref4708991"/>
      <w:r>
        <w:rPr>
          <w:rFonts w:hint="eastAsia" w:asciiTheme="minorEastAsia" w:hAnsiTheme="minorEastAsia" w:eastAsiaTheme="minorEastAsia" w:cstheme="minorEastAsia"/>
          <w:sz w:val="21"/>
          <w:szCs w:val="21"/>
        </w:rPr>
        <w:t>（3） 实施因意外、不可预见的事件或其他原因引起的、为工程的安全迫切需要的任何修补工作。</w:t>
      </w:r>
      <w:bookmarkEnd w:id="67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75" w:name="_Ref11956964"/>
      <w:r>
        <w:rPr>
          <w:rFonts w:hint="eastAsia" w:asciiTheme="minorEastAsia" w:hAnsiTheme="minorEastAsia" w:eastAsiaTheme="minorEastAsia" w:cstheme="minorEastAsia"/>
          <w:sz w:val="21"/>
          <w:szCs w:val="21"/>
        </w:rPr>
        <w:t>6.6.2 承包人应遵守第6.6.1项下指示，并在合理可行的情况下，根据上述指示中规定的时间完成修补工作。除因下列原因引起的第6.6.1项第（3）目下的情形外，承包人应承担所有修补工作的费用：</w:t>
      </w:r>
      <w:bookmarkEnd w:id="67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因发包人或其人员的任何行为导致的情形，且在此情况下发包人应承担因此引起的工期延误和承包人费用损失，并向承包人支付合理的利润。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第17.4款[不可抗力后果的承担]中适用的不可抗力事件的情形。</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76" w:name="_Ref531954214"/>
      <w:bookmarkStart w:id="677" w:name="_Toc54862235"/>
      <w:r>
        <w:rPr>
          <w:rFonts w:hint="eastAsia" w:asciiTheme="minorEastAsia" w:hAnsiTheme="minorEastAsia" w:eastAsiaTheme="minorEastAsia" w:cstheme="minorEastAsia"/>
          <w:b w:val="0"/>
          <w:bCs/>
          <w:sz w:val="21"/>
          <w:szCs w:val="21"/>
        </w:rPr>
        <w:t>第7条 施工</w:t>
      </w:r>
      <w:bookmarkEnd w:id="676"/>
      <w:bookmarkEnd w:id="677"/>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78" w:name="_Ref531954272"/>
      <w:bookmarkStart w:id="679" w:name="_Ref531954276"/>
      <w:bookmarkStart w:id="680" w:name="_Toc54862236"/>
      <w:bookmarkStart w:id="681" w:name="_Ref531954246"/>
      <w:bookmarkStart w:id="682" w:name="_Ref531954260"/>
      <w:r>
        <w:rPr>
          <w:rFonts w:hint="eastAsia" w:asciiTheme="minorEastAsia" w:hAnsiTheme="minorEastAsia" w:eastAsiaTheme="minorEastAsia" w:cstheme="minorEastAsia"/>
          <w:b w:val="0"/>
          <w:bCs/>
          <w:sz w:val="21"/>
          <w:szCs w:val="21"/>
        </w:rPr>
        <w:t>7.1 交通运输</w:t>
      </w:r>
      <w:bookmarkEnd w:id="678"/>
      <w:bookmarkEnd w:id="679"/>
      <w:bookmarkEnd w:id="680"/>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83" w:name="_Ref4422645"/>
      <w:r>
        <w:rPr>
          <w:rFonts w:hint="eastAsia" w:asciiTheme="minorEastAsia" w:hAnsiTheme="minorEastAsia" w:eastAsiaTheme="minorEastAsia" w:cstheme="minorEastAsia"/>
          <w:sz w:val="21"/>
          <w:szCs w:val="21"/>
        </w:rPr>
        <w:t>7.1.1 出入现场的权利</w:t>
      </w:r>
      <w:bookmarkEnd w:id="68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84" w:name="_Ref18957045"/>
      <w:r>
        <w:rPr>
          <w:rFonts w:hint="eastAsia" w:asciiTheme="minorEastAsia" w:hAnsiTheme="minorEastAsia" w:eastAsiaTheme="minorEastAsia" w:cstheme="minorEastAsia"/>
          <w:sz w:val="21"/>
          <w:szCs w:val="21"/>
        </w:rPr>
        <w:t>7.1.2 场外交通</w:t>
      </w:r>
      <w:bookmarkEnd w:id="68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85" w:name="_Ref4622358"/>
      <w:r>
        <w:rPr>
          <w:rFonts w:hint="eastAsia" w:asciiTheme="minorEastAsia" w:hAnsiTheme="minorEastAsia" w:eastAsiaTheme="minorEastAsia" w:cstheme="minorEastAsia"/>
          <w:sz w:val="21"/>
          <w:szCs w:val="21"/>
        </w:rPr>
        <w:t>7.1.3 场内交通</w:t>
      </w:r>
      <w:bookmarkEnd w:id="68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86" w:name="_Ref4622376"/>
      <w:r>
        <w:rPr>
          <w:rFonts w:hint="eastAsia" w:asciiTheme="minorEastAsia" w:hAnsiTheme="minorEastAsia" w:eastAsiaTheme="minorEastAsia" w:cstheme="minorEastAsia"/>
          <w:sz w:val="21"/>
          <w:szCs w:val="21"/>
        </w:rPr>
        <w:t>7.1.4 超大件和超重件的运输</w:t>
      </w:r>
      <w:bookmarkEnd w:id="68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7.1.5 道路和桥梁的损坏责任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因承包人运输造成施工现场内外公共道路和桥梁损坏的，由承包人承担修复损坏的全部费用和可能引起的赔偿。</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7.1.6 水路和航空运输</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本条上述各款的内容适用于水路运输和航空运输，其中“道路”一词的涵义包括河道、航线、船闸、机场、码头、堤防以及水路或航空运输中其他相似结构物；“车辆”一词的涵义包括船舶和飞机等。</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87" w:name="_Toc54862237"/>
      <w:bookmarkStart w:id="688" w:name="_Ref11919459"/>
      <w:bookmarkStart w:id="689" w:name="_Ref11919294"/>
      <w:r>
        <w:rPr>
          <w:rFonts w:hint="eastAsia" w:asciiTheme="minorEastAsia" w:hAnsiTheme="minorEastAsia" w:eastAsiaTheme="minorEastAsia" w:cstheme="minorEastAsia"/>
          <w:b w:val="0"/>
          <w:bCs/>
          <w:sz w:val="21"/>
          <w:szCs w:val="21"/>
        </w:rPr>
        <w:t>7.2 施工设备和临时设施</w:t>
      </w:r>
      <w:bookmarkEnd w:id="681"/>
      <w:bookmarkEnd w:id="682"/>
      <w:bookmarkEnd w:id="687"/>
      <w:bookmarkEnd w:id="688"/>
      <w:bookmarkEnd w:id="689"/>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90" w:name="_Ref18990767"/>
      <w:bookmarkStart w:id="691" w:name="_Ref509043186"/>
      <w:r>
        <w:rPr>
          <w:rFonts w:hint="eastAsia" w:asciiTheme="minorEastAsia" w:hAnsiTheme="minorEastAsia" w:eastAsiaTheme="minorEastAsia" w:cstheme="minorEastAsia"/>
          <w:sz w:val="21"/>
          <w:szCs w:val="21"/>
        </w:rPr>
        <w:t>7.2.1 承包人提供的施工设备和临时设施</w:t>
      </w:r>
      <w:bookmarkEnd w:id="69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691"/>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692" w:name="_Ref18990784"/>
      <w:r>
        <w:rPr>
          <w:rFonts w:hint="eastAsia" w:asciiTheme="minorEastAsia" w:hAnsiTheme="minorEastAsia" w:eastAsiaTheme="minorEastAsia" w:cstheme="minorEastAsia"/>
          <w:sz w:val="21"/>
          <w:szCs w:val="21"/>
        </w:rPr>
        <w:t>7.2.2 发包人提供的施工设备和临时设施</w:t>
      </w:r>
      <w:bookmarkEnd w:id="69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发包人提供的施工设备或临时设施在专用合同条件中约定。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7.2.3 要求承包人增加或更换施工设备</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承包人使用的施工设备不能满足项目进度计划和（或）质量要求时，工程师有权要求承包人增加或更换施工设备，承包人应及时增加或更换，由此增加的费用和（或）延误的工期由承包人承担。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7.2.4 施工设备和临时设施专用于合同工程</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93" w:name="_Ref11874352"/>
      <w:bookmarkStart w:id="694" w:name="_Toc54862238"/>
      <w:r>
        <w:rPr>
          <w:rFonts w:hint="eastAsia" w:asciiTheme="minorEastAsia" w:hAnsiTheme="minorEastAsia" w:eastAsiaTheme="minorEastAsia" w:cstheme="minorEastAsia"/>
          <w:b w:val="0"/>
          <w:bCs/>
          <w:sz w:val="21"/>
          <w:szCs w:val="21"/>
        </w:rPr>
        <w:t>7.3 现场合作</w:t>
      </w:r>
      <w:bookmarkEnd w:id="693"/>
      <w:bookmarkEnd w:id="69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承包人应按合同约定或发包人的指示，与发包人人员、发包人的其他承包人等人员就在现场或附近实施与工程有关的各项工作进行合作并提供适当条件，包括使用承包人设备、临时工程或进入现场等。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承包人应对其在现场的施工活动负责，并应尽合理努力按合同约定或发包人的指示，协调自身与发包人人员、发包人的其他承包人等人员的活动。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95" w:name="_Ref531954285"/>
      <w:bookmarkStart w:id="696" w:name="_Ref531954287"/>
      <w:bookmarkStart w:id="697" w:name="_Toc54862239"/>
      <w:r>
        <w:rPr>
          <w:rFonts w:hint="eastAsia" w:asciiTheme="minorEastAsia" w:hAnsiTheme="minorEastAsia" w:eastAsiaTheme="minorEastAsia" w:cstheme="minorEastAsia"/>
          <w:b w:val="0"/>
          <w:bCs/>
          <w:sz w:val="21"/>
          <w:szCs w:val="21"/>
        </w:rPr>
        <w:t>7.4 测量放线</w:t>
      </w:r>
      <w:bookmarkEnd w:id="695"/>
      <w:bookmarkEnd w:id="696"/>
      <w:bookmarkEnd w:id="697"/>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698" w:name="_Toc54862240"/>
      <w:bookmarkStart w:id="699" w:name="_Ref4770992"/>
      <w:bookmarkStart w:id="700" w:name="_Ref531954329"/>
      <w:bookmarkStart w:id="701" w:name="_Ref531954323"/>
      <w:r>
        <w:rPr>
          <w:rFonts w:hint="eastAsia" w:asciiTheme="minorEastAsia" w:hAnsiTheme="minorEastAsia" w:eastAsiaTheme="minorEastAsia" w:cstheme="minorEastAsia"/>
          <w:b w:val="0"/>
          <w:bCs/>
          <w:sz w:val="21"/>
          <w:szCs w:val="21"/>
        </w:rPr>
        <w:t>7.5 现场劳动用工</w:t>
      </w:r>
      <w:bookmarkEnd w:id="69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7.5.3 承包人应当按照相关法律法规的要求，进行劳动用工管理和建筑工人工资支付。</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02" w:name="_Toc54862241"/>
      <w:bookmarkStart w:id="703" w:name="_Ref41554059"/>
      <w:r>
        <w:rPr>
          <w:rFonts w:hint="eastAsia" w:asciiTheme="minorEastAsia" w:hAnsiTheme="minorEastAsia" w:eastAsiaTheme="minorEastAsia" w:cstheme="minorEastAsia"/>
          <w:b w:val="0"/>
          <w:bCs/>
          <w:sz w:val="21"/>
          <w:szCs w:val="21"/>
        </w:rPr>
        <w:t>7.6 安全文明施工</w:t>
      </w:r>
      <w:bookmarkEnd w:id="699"/>
      <w:bookmarkEnd w:id="700"/>
      <w:bookmarkEnd w:id="701"/>
      <w:bookmarkEnd w:id="702"/>
      <w:bookmarkEnd w:id="703"/>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04" w:name="_Ref18990822"/>
      <w:r>
        <w:rPr>
          <w:rFonts w:hint="eastAsia" w:asciiTheme="minorEastAsia" w:hAnsiTheme="minorEastAsia" w:eastAsiaTheme="minorEastAsia" w:cstheme="minorEastAsia"/>
          <w:sz w:val="21"/>
          <w:szCs w:val="21"/>
        </w:rPr>
        <w:t>7.6.1 安全生产要求</w:t>
      </w:r>
      <w:bookmarkEnd w:id="70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因安全生产需要暂停施工的，按照第8.9款[暂停工作]的约定执行。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7.6.2 安全生产保证措施</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05" w:name="_Ref18990840"/>
      <w:r>
        <w:rPr>
          <w:rFonts w:hint="eastAsia" w:asciiTheme="minorEastAsia" w:hAnsiTheme="minorEastAsia" w:eastAsiaTheme="minorEastAsia" w:cstheme="minorEastAsia"/>
          <w:sz w:val="21"/>
          <w:szCs w:val="21"/>
        </w:rPr>
        <w:t>7.6.3 文明施工</w:t>
      </w:r>
      <w:bookmarkEnd w:id="70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7.6.4 事故处理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7.6.5 安全生产责任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发包人应负责赔偿以下各种情况造成的损失：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工程或工程的任何部分对土地的占用所造成的第三者财产损失；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由于发包人原因在施工现场及其毗邻地带、履行合同工作中造成的第三者人身伤亡和财产损失；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由于发包人原因对发包人自身、承包人、工程师造成的人身伤害和财产损失。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承包人应负责赔偿由于承包人原因在施工现场及其毗邻地带、履行合同工作中造成的第三者人身伤亡和财产损失。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如果上述损失是由于发包人和承包人共同原因导致的，则双方应根据过错情况按比例承担。</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06" w:name="_Ref11874562"/>
      <w:bookmarkStart w:id="707" w:name="_Ref41554069"/>
      <w:bookmarkStart w:id="708" w:name="_Toc54862242"/>
      <w:r>
        <w:rPr>
          <w:rFonts w:hint="eastAsia" w:asciiTheme="minorEastAsia" w:hAnsiTheme="minorEastAsia" w:eastAsiaTheme="minorEastAsia" w:cstheme="minorEastAsia"/>
          <w:b w:val="0"/>
          <w:bCs/>
          <w:sz w:val="21"/>
          <w:szCs w:val="21"/>
        </w:rPr>
        <w:t>7.7 职业健康</w:t>
      </w:r>
      <w:bookmarkEnd w:id="706"/>
      <w:bookmarkEnd w:id="707"/>
      <w:bookmarkEnd w:id="70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承包人应遵守适用的职业健康的法律和合同约定（包括对雇用、职业健康、安全、福利等方面的规定），负责现场实施过程中其人员的职业健康和保护，包括：</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承包人应依法为承包人</w:t>
      </w:r>
      <w:bookmarkStart w:id="709" w:name="_Hlk46339538"/>
      <w:r>
        <w:rPr>
          <w:rFonts w:hint="eastAsia" w:asciiTheme="minorEastAsia" w:hAnsiTheme="minorEastAsia" w:eastAsiaTheme="minorEastAsia" w:cstheme="minorEastAsia"/>
          <w:sz w:val="21"/>
          <w:szCs w:val="21"/>
        </w:rPr>
        <w:t>员工及承包人聘用的第三方人员</w:t>
      </w:r>
      <w:bookmarkEnd w:id="709"/>
      <w:r>
        <w:rPr>
          <w:rFonts w:hint="eastAsia" w:asciiTheme="minorEastAsia" w:hAnsiTheme="minorEastAsia" w:eastAsiaTheme="minorEastAsia" w:cstheme="minorEastAsia"/>
          <w:sz w:val="21"/>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10" w:name="_Ref11874570"/>
      <w:bookmarkStart w:id="711" w:name="_Toc54862243"/>
      <w:r>
        <w:rPr>
          <w:rFonts w:hint="eastAsia" w:asciiTheme="minorEastAsia" w:hAnsiTheme="minorEastAsia" w:eastAsiaTheme="minorEastAsia" w:cstheme="minorEastAsia"/>
          <w:b w:val="0"/>
          <w:bCs/>
          <w:sz w:val="21"/>
          <w:szCs w:val="21"/>
        </w:rPr>
        <w:t>7.8 环境保护</w:t>
      </w:r>
      <w:bookmarkEnd w:id="710"/>
      <w:bookmarkEnd w:id="711"/>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7.8.2 承包人应采取措施，并负责控制和（或）处理现场的粉尘、废气、废水、固体废物和噪声对环境的污染和危害。因此发生的伤害、赔偿、罚款等费用增加，和（或）竣工日期延误，由承包人负责。</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12" w:name="_Ref531954344"/>
      <w:bookmarkStart w:id="713" w:name="_Toc54862244"/>
      <w:bookmarkStart w:id="714" w:name="_Ref531954340"/>
      <w:bookmarkStart w:id="715" w:name="_Ref4771116"/>
      <w:r>
        <w:rPr>
          <w:rFonts w:hint="eastAsia" w:asciiTheme="minorEastAsia" w:hAnsiTheme="minorEastAsia" w:eastAsiaTheme="minorEastAsia" w:cstheme="minorEastAsia"/>
          <w:b w:val="0"/>
          <w:bCs/>
          <w:sz w:val="21"/>
          <w:szCs w:val="21"/>
        </w:rPr>
        <w:t>7.9 临时性公用设施</w:t>
      </w:r>
      <w:bookmarkEnd w:id="712"/>
      <w:bookmarkEnd w:id="713"/>
      <w:bookmarkEnd w:id="714"/>
      <w:r>
        <w:rPr>
          <w:rFonts w:hint="eastAsia" w:asciiTheme="minorEastAsia" w:hAnsiTheme="minorEastAsia" w:eastAsiaTheme="minorEastAsia" w:cstheme="minorEastAsia"/>
          <w:b w:val="0"/>
          <w:bCs/>
          <w:sz w:val="21"/>
          <w:szCs w:val="21"/>
        </w:rPr>
        <w:t xml:space="preserve"> </w:t>
      </w:r>
      <w:bookmarkEnd w:id="71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7.9.1 提供临时用水、用电等和节点铺设</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7.9.2 临时用水、用电等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因承包人未能按合同约定提交上述资料，造成发包人费用增加和竣工日期延误时，由承包人负责。</w:t>
      </w:r>
      <w:bookmarkStart w:id="716" w:name="_Ref508893743"/>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17" w:name="_Ref531952239"/>
      <w:bookmarkStart w:id="718" w:name="_Ref531952248"/>
      <w:bookmarkStart w:id="719" w:name="_Toc54862245"/>
      <w:r>
        <w:rPr>
          <w:rFonts w:hint="eastAsia" w:asciiTheme="minorEastAsia" w:hAnsiTheme="minorEastAsia" w:eastAsiaTheme="minorEastAsia" w:cstheme="minorEastAsia"/>
          <w:b w:val="0"/>
          <w:bCs/>
          <w:sz w:val="21"/>
          <w:szCs w:val="21"/>
        </w:rPr>
        <w:t>7.10 现场安保</w:t>
      </w:r>
      <w:bookmarkEnd w:id="717"/>
      <w:bookmarkEnd w:id="718"/>
      <w:bookmarkEnd w:id="71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承包人应将其作业限制在现场区域、合同约定的区域或为履行合同所需的区域内。承包人应采取一切必要的预防措施，以保持承包人的设备和人员处于现场区域内，避免其进入邻近地区。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承包人为履行合同义务而占用的其他场所（如预制加工场所、办公及生活营区） 的安保适用本款前述关于现场安保的规定。</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20" w:name="_Toc54862246"/>
      <w:r>
        <w:rPr>
          <w:rFonts w:hint="eastAsia" w:asciiTheme="minorEastAsia" w:hAnsiTheme="minorEastAsia" w:eastAsiaTheme="minorEastAsia" w:cstheme="minorEastAsia"/>
          <w:b w:val="0"/>
          <w:bCs/>
          <w:sz w:val="21"/>
          <w:szCs w:val="21"/>
        </w:rPr>
        <w:t>7.11 工程照管</w:t>
      </w:r>
      <w:bookmarkEnd w:id="72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自开始现场施工日期起至发包人应当接收工程之日止，承包人应承担工程现场、材料、设备及承包人文件的照管和维护工作。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如部分工程于竣工验收前提前交付发包人的，则自交付之日起，该部分工程照管及维护职责由发包人承担。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如发包人及承包人进行竣工验收时尚有部分未竣工工程的，承包人应负责该未竣工工程的照管和维护工作，直至竣工后移交给发包人。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如合同解除或终止的，承包人自合同解除或终止之日起不再对工程承担照管和维护义务。</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21" w:name="_Toc54862247"/>
      <w:bookmarkStart w:id="722" w:name="_Ref508998009"/>
      <w:bookmarkStart w:id="723" w:name="_Ref531954505"/>
      <w:bookmarkStart w:id="724" w:name="_Ref531954518"/>
      <w:r>
        <w:rPr>
          <w:rFonts w:hint="eastAsia" w:asciiTheme="minorEastAsia" w:hAnsiTheme="minorEastAsia" w:eastAsiaTheme="minorEastAsia" w:cstheme="minorEastAsia"/>
          <w:b w:val="0"/>
          <w:bCs/>
          <w:sz w:val="21"/>
          <w:szCs w:val="21"/>
        </w:rPr>
        <w:t>第8条 工期和进度</w:t>
      </w:r>
      <w:bookmarkEnd w:id="721"/>
      <w:bookmarkEnd w:id="722"/>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25" w:name="_Ref532362075"/>
      <w:bookmarkStart w:id="726" w:name="_Ref532362774"/>
      <w:bookmarkStart w:id="727" w:name="_Toc54862248"/>
      <w:bookmarkStart w:id="728" w:name="_Ref532362777"/>
      <w:bookmarkStart w:id="729" w:name="_Ref532362072"/>
      <w:r>
        <w:rPr>
          <w:rFonts w:hint="eastAsia" w:asciiTheme="minorEastAsia" w:hAnsiTheme="minorEastAsia" w:eastAsiaTheme="minorEastAsia" w:cstheme="minorEastAsia"/>
          <w:b w:val="0"/>
          <w:bCs/>
          <w:sz w:val="21"/>
          <w:szCs w:val="21"/>
        </w:rPr>
        <w:t>8.1 开始工作</w:t>
      </w:r>
      <w:bookmarkEnd w:id="725"/>
      <w:bookmarkEnd w:id="726"/>
      <w:bookmarkEnd w:id="727"/>
      <w:bookmarkEnd w:id="728"/>
      <w:bookmarkEnd w:id="729"/>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30" w:name="_Ref4428890"/>
      <w:r>
        <w:rPr>
          <w:rFonts w:hint="eastAsia" w:asciiTheme="minorEastAsia" w:hAnsiTheme="minorEastAsia" w:eastAsiaTheme="minorEastAsia" w:cstheme="minorEastAsia"/>
          <w:sz w:val="21"/>
          <w:szCs w:val="21"/>
        </w:rPr>
        <w:t>8.1.1 开始工作准备</w:t>
      </w:r>
      <w:bookmarkEnd w:id="73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合同当事人应按专用合同条件约定完成开始工作准备工作。</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31" w:name="_Ref536790534"/>
      <w:bookmarkStart w:id="732" w:name="_Hlk51506490"/>
      <w:r>
        <w:rPr>
          <w:rFonts w:hint="eastAsia" w:asciiTheme="minorEastAsia" w:hAnsiTheme="minorEastAsia" w:eastAsiaTheme="minorEastAsia" w:cstheme="minorEastAsia"/>
          <w:sz w:val="21"/>
          <w:szCs w:val="21"/>
        </w:rPr>
        <w:t>8.1.2 开始工作通知</w:t>
      </w:r>
      <w:bookmarkEnd w:id="731"/>
    </w:p>
    <w:bookmarkEnd w:id="732"/>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经发包人同意后，工程师应提前7天向承包人发出经发包人签认的开始工作通知，工期自开始工作通知中载明的开始工作日期起算。</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除专用合同条件另有约定外，因发包人原因造成实际开始现场施工日期迟于</w:t>
      </w:r>
      <w:bookmarkStart w:id="733" w:name="_Hlk51506566"/>
      <w:r>
        <w:rPr>
          <w:rFonts w:hint="eastAsia" w:asciiTheme="minorEastAsia" w:hAnsiTheme="minorEastAsia" w:eastAsiaTheme="minorEastAsia" w:cstheme="minorEastAsia"/>
          <w:sz w:val="21"/>
          <w:szCs w:val="21"/>
        </w:rPr>
        <w:t>计划开始现场施工日期</w:t>
      </w:r>
      <w:bookmarkEnd w:id="733"/>
      <w:r>
        <w:rPr>
          <w:rFonts w:hint="eastAsia" w:asciiTheme="minorEastAsia" w:hAnsiTheme="minorEastAsia" w:eastAsiaTheme="minorEastAsia" w:cstheme="minorEastAsia"/>
          <w:sz w:val="21"/>
          <w:szCs w:val="21"/>
        </w:rPr>
        <w:t>后第84天的，承包人有权提出价格调整要求，或者解除合同。发包人应当承担由此增加的费用和（或）延误的工期，并向承包人支付合理利润。</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34" w:name="_Toc54862249"/>
      <w:bookmarkStart w:id="735" w:name="_Ref532362124"/>
      <w:r>
        <w:rPr>
          <w:rFonts w:hint="eastAsia" w:asciiTheme="minorEastAsia" w:hAnsiTheme="minorEastAsia" w:eastAsiaTheme="minorEastAsia" w:cstheme="minorEastAsia"/>
          <w:b w:val="0"/>
          <w:bCs/>
          <w:sz w:val="21"/>
          <w:szCs w:val="21"/>
        </w:rPr>
        <w:t>8.2 竣工日期</w:t>
      </w:r>
      <w:bookmarkEnd w:id="734"/>
      <w:bookmarkEnd w:id="735"/>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承包人应在合同协议书约定的工期内完成合同工作。除专用合同条件另有约定外，工程的竣工日期以第10.1条[竣工验收]的约定为准，并在工程接收证书中写明。</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因发包人原因，在工程师收到承包人竣工验收申请报告42天后未进行验收的，视为验收合格，实际竣工日期以提交竣工验收申请报告的日期为准，但发包人由于不可抗力不能进行验收的除外。</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36" w:name="_Toc54862250"/>
      <w:bookmarkStart w:id="737" w:name="_Ref11863334"/>
      <w:bookmarkStart w:id="738" w:name="_Ref532362207"/>
      <w:bookmarkStart w:id="739" w:name="_Ref532352853"/>
      <w:bookmarkStart w:id="740" w:name="_Ref532352856"/>
      <w:bookmarkStart w:id="741" w:name="_Ref532362204"/>
      <w:r>
        <w:rPr>
          <w:rFonts w:hint="eastAsia" w:asciiTheme="minorEastAsia" w:hAnsiTheme="minorEastAsia" w:eastAsiaTheme="minorEastAsia" w:cstheme="minorEastAsia"/>
          <w:b w:val="0"/>
          <w:bCs/>
          <w:sz w:val="21"/>
          <w:szCs w:val="21"/>
        </w:rPr>
        <w:t>8.3 项目实施计划</w:t>
      </w:r>
      <w:bookmarkEnd w:id="736"/>
      <w:bookmarkEnd w:id="737"/>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42" w:name="_Ref18990904"/>
      <w:r>
        <w:rPr>
          <w:rFonts w:hint="eastAsia" w:asciiTheme="minorEastAsia" w:hAnsiTheme="minorEastAsia" w:eastAsiaTheme="minorEastAsia" w:cstheme="minorEastAsia"/>
          <w:sz w:val="21"/>
          <w:szCs w:val="21"/>
        </w:rPr>
        <w:t>8.3.1 项目实施计划的内容</w:t>
      </w:r>
      <w:bookmarkEnd w:id="74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43" w:name="_Ref18990921"/>
      <w:r>
        <w:rPr>
          <w:rFonts w:hint="eastAsia" w:asciiTheme="minorEastAsia" w:hAnsiTheme="minorEastAsia" w:eastAsiaTheme="minorEastAsia" w:cstheme="minorEastAsia"/>
          <w:sz w:val="21"/>
          <w:szCs w:val="21"/>
        </w:rPr>
        <w:t>8.3.2 项目实施计划的提交和修改</w:t>
      </w:r>
      <w:bookmarkEnd w:id="74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项目进度计划的编制和修改按照第8.4款[项目进度计划]执行。</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44" w:name="_Ref11865507"/>
      <w:bookmarkStart w:id="745" w:name="_Toc54862251"/>
      <w:r>
        <w:rPr>
          <w:rFonts w:hint="eastAsia" w:asciiTheme="minorEastAsia" w:hAnsiTheme="minorEastAsia" w:eastAsiaTheme="minorEastAsia" w:cstheme="minorEastAsia"/>
          <w:b w:val="0"/>
          <w:bCs/>
          <w:sz w:val="21"/>
          <w:szCs w:val="21"/>
        </w:rPr>
        <w:t>8.4 项目进度计划</w:t>
      </w:r>
      <w:bookmarkEnd w:id="738"/>
      <w:bookmarkEnd w:id="739"/>
      <w:bookmarkEnd w:id="740"/>
      <w:bookmarkEnd w:id="741"/>
      <w:bookmarkEnd w:id="744"/>
      <w:bookmarkEnd w:id="74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46" w:name="_Ref4681217"/>
      <w:r>
        <w:rPr>
          <w:rFonts w:hint="eastAsia" w:asciiTheme="minorEastAsia" w:hAnsiTheme="minorEastAsia" w:eastAsiaTheme="minorEastAsia" w:cstheme="minorEastAsia"/>
          <w:sz w:val="21"/>
          <w:szCs w:val="21"/>
        </w:rPr>
        <w:t>8.4.1 项目进度计划的提交和修改</w:t>
      </w:r>
      <w:bookmarkEnd w:id="74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47" w:name="_Ref4429079"/>
      <w:r>
        <w:rPr>
          <w:rFonts w:hint="eastAsia" w:asciiTheme="minorEastAsia" w:hAnsiTheme="minorEastAsia" w:eastAsiaTheme="minorEastAsia" w:cstheme="minorEastAsia"/>
          <w:sz w:val="21"/>
          <w:szCs w:val="21"/>
        </w:rPr>
        <w:t>8.4.2 项目进度计划的内容</w:t>
      </w:r>
      <w:bookmarkEnd w:id="74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48" w:name="_Ref3848203"/>
      <w:r>
        <w:rPr>
          <w:rFonts w:hint="eastAsia" w:asciiTheme="minorEastAsia" w:hAnsiTheme="minorEastAsia" w:eastAsiaTheme="minorEastAsia" w:cstheme="minorEastAsia"/>
          <w:sz w:val="21"/>
          <w:szCs w:val="21"/>
        </w:rPr>
        <w:t>8.4.3 项目进度计划的修订</w:t>
      </w:r>
      <w:bookmarkEnd w:id="74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除合同当事人另有约定外，项目进度计划的修订并不能减轻或者免除双方按第8.7款[工期延误]、第8.8款[工期提前]、第8.9款[暂停工作]应承担的合同责任。</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49" w:name="_Ref532362276"/>
      <w:bookmarkStart w:id="750" w:name="_Toc54862252"/>
      <w:bookmarkStart w:id="751" w:name="_Ref532362278"/>
      <w:r>
        <w:rPr>
          <w:rFonts w:hint="eastAsia" w:asciiTheme="minorEastAsia" w:hAnsiTheme="minorEastAsia" w:eastAsiaTheme="minorEastAsia" w:cstheme="minorEastAsia"/>
          <w:b w:val="0"/>
          <w:bCs/>
          <w:sz w:val="21"/>
          <w:szCs w:val="21"/>
        </w:rPr>
        <w:t>8.5 进度报告</w:t>
      </w:r>
      <w:bookmarkEnd w:id="749"/>
      <w:bookmarkEnd w:id="750"/>
      <w:bookmarkEnd w:id="751"/>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项目实施过程中，承包人应进行实际进度记录，并根据工程师的要求编制月进度报告，并提交给工程师。进度报告应包含以下主要内容：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工程设计、采购、施工等各个工作内容的进展报告；</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工程施工方法的一般说明；</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当月工程实施介入的项目人员、设备和材料的预估明细报告；</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 当月实际进度与进度计划对比分析，以及提出未来可能引起工期延误的情形，同时提出应对措施；需要修订项目进度计划的，应对项目进度计划的修订部分进行说明；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承包人对于解决工期延误所提出的建议；</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其他与工程有关的重大事项。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进度报告的具体要求等，在专用合同条件约定。</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52" w:name="_Toc54862253"/>
      <w:r>
        <w:rPr>
          <w:rFonts w:hint="eastAsia" w:asciiTheme="minorEastAsia" w:hAnsiTheme="minorEastAsia" w:eastAsiaTheme="minorEastAsia" w:cstheme="minorEastAsia"/>
          <w:b w:val="0"/>
          <w:bCs/>
          <w:sz w:val="21"/>
          <w:szCs w:val="21"/>
        </w:rPr>
        <w:t>8.6 提前预警</w:t>
      </w:r>
      <w:bookmarkEnd w:id="75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任何一方应当在下列情形发生时尽快书面通知另一方：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该情形可能对合同的履行或实现合同目的产生不利影响；</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该情形可能对工程完成后的使用产生不利影响；</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该情形可能导致合同价款增加；</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该情形可能导致整个工程或单位/区段工程的工期延长。</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发包人有权要求承包人根据第13.2款[承包人的合理化建议]的约定提交变更建议，采取措施尽量避免或最小化上述情形的发生或影响。</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53" w:name="_Toc4784159"/>
      <w:bookmarkEnd w:id="753"/>
      <w:bookmarkStart w:id="754" w:name="_Toc4784172"/>
      <w:bookmarkEnd w:id="754"/>
      <w:bookmarkStart w:id="755" w:name="_Toc4784158"/>
      <w:bookmarkEnd w:id="755"/>
      <w:bookmarkStart w:id="756" w:name="_Toc4784162"/>
      <w:bookmarkEnd w:id="756"/>
      <w:bookmarkStart w:id="757" w:name="_Toc4784154"/>
      <w:bookmarkEnd w:id="757"/>
      <w:bookmarkStart w:id="758" w:name="_Toc4784168"/>
      <w:bookmarkEnd w:id="758"/>
      <w:bookmarkStart w:id="759" w:name="_Toc4784155"/>
      <w:bookmarkEnd w:id="759"/>
      <w:bookmarkStart w:id="760" w:name="_Toc4784161"/>
      <w:bookmarkEnd w:id="760"/>
      <w:bookmarkStart w:id="761" w:name="_Toc4784164"/>
      <w:bookmarkEnd w:id="761"/>
      <w:bookmarkStart w:id="762" w:name="_Toc4784171"/>
      <w:bookmarkEnd w:id="762"/>
      <w:bookmarkStart w:id="763" w:name="_Toc4784173"/>
      <w:bookmarkEnd w:id="763"/>
      <w:bookmarkStart w:id="764" w:name="_Toc4784156"/>
      <w:bookmarkEnd w:id="764"/>
      <w:bookmarkStart w:id="765" w:name="_Toc4784169"/>
      <w:bookmarkEnd w:id="765"/>
      <w:bookmarkStart w:id="766" w:name="_Toc4784170"/>
      <w:bookmarkEnd w:id="766"/>
      <w:bookmarkStart w:id="767" w:name="_Toc4784160"/>
      <w:bookmarkEnd w:id="767"/>
      <w:bookmarkStart w:id="768" w:name="_Toc4784163"/>
      <w:bookmarkEnd w:id="768"/>
      <w:bookmarkStart w:id="769" w:name="_Toc4784167"/>
      <w:bookmarkEnd w:id="769"/>
      <w:bookmarkStart w:id="770" w:name="_Toc4784165"/>
      <w:bookmarkEnd w:id="770"/>
      <w:bookmarkStart w:id="771" w:name="_Toc4784166"/>
      <w:bookmarkEnd w:id="771"/>
      <w:bookmarkStart w:id="772" w:name="_Toc4784175"/>
      <w:bookmarkEnd w:id="772"/>
      <w:bookmarkStart w:id="773" w:name="_Toc4784174"/>
      <w:bookmarkEnd w:id="773"/>
      <w:bookmarkStart w:id="774" w:name="_Toc4784157"/>
      <w:bookmarkEnd w:id="774"/>
      <w:bookmarkStart w:id="775" w:name="_Ref4770106"/>
      <w:bookmarkStart w:id="776" w:name="_Toc54862254"/>
      <w:bookmarkStart w:id="777" w:name="_Ref532362359"/>
      <w:bookmarkStart w:id="778" w:name="_Ref532362356"/>
      <w:r>
        <w:rPr>
          <w:rFonts w:hint="eastAsia" w:asciiTheme="minorEastAsia" w:hAnsiTheme="minorEastAsia" w:eastAsiaTheme="minorEastAsia" w:cstheme="minorEastAsia"/>
          <w:b w:val="0"/>
          <w:bCs/>
          <w:sz w:val="21"/>
          <w:szCs w:val="21"/>
        </w:rPr>
        <w:t>8.7 工期延误</w:t>
      </w:r>
      <w:bookmarkEnd w:id="775"/>
      <w:bookmarkEnd w:id="776"/>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79" w:name="_Ref4796050"/>
      <w:r>
        <w:rPr>
          <w:rFonts w:hint="eastAsia" w:asciiTheme="minorEastAsia" w:hAnsiTheme="minorEastAsia" w:eastAsiaTheme="minorEastAsia" w:cstheme="minorEastAsia"/>
          <w:sz w:val="21"/>
          <w:szCs w:val="21"/>
        </w:rPr>
        <w:t>8.7.1 因发包人原因导致工期延误</w:t>
      </w:r>
      <w:bookmarkEnd w:id="77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在合同履行过程中，因下列情况导致工期延误和（或）费用增加的，由发包人承担由此延误的工期和（或）增加的费用，且发包人应支付承包人合理的利润：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根据第13条[变更与调整]的约定构成一项变更的；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发包人违反本合同约定，导致工期延误和（或）费用增加的；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发包人、发包人代表、工程师或发包人聘请的任意第三方造成或引起的任何延误、妨碍和阻碍；</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发包人未能依据第6.2.1项[发包人提供的材料和工程设备]的约定提供材料和工程设备导致工期延误和（或）费用增加的；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因发包人原因导致的暂停施工；</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发包人未及时履行相关合同义务，造成工期延误的其他原因。</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80" w:name="_Ref4770209"/>
      <w:r>
        <w:rPr>
          <w:rFonts w:hint="eastAsia" w:asciiTheme="minorEastAsia" w:hAnsiTheme="minorEastAsia" w:eastAsiaTheme="minorEastAsia" w:cstheme="minorEastAsia"/>
          <w:sz w:val="21"/>
          <w:szCs w:val="21"/>
        </w:rPr>
        <w:t>8.7.2 因承包人原因导致工期延误</w:t>
      </w:r>
      <w:bookmarkEnd w:id="78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由于承包人的原因，未能按项目进度计划完成工作，承包人应采取措施加快进度，并承担加快进度所增加的费用。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81" w:name="_Ref4770872"/>
      <w:r>
        <w:rPr>
          <w:rFonts w:hint="eastAsia" w:asciiTheme="minorEastAsia" w:hAnsiTheme="minorEastAsia" w:eastAsiaTheme="minorEastAsia" w:cstheme="minorEastAsia"/>
          <w:sz w:val="21"/>
          <w:szCs w:val="21"/>
        </w:rPr>
        <w:t>8.7.3 行政审批迟延</w:t>
      </w:r>
      <w:bookmarkEnd w:id="781"/>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82" w:name="_Ref4770933"/>
      <w:r>
        <w:rPr>
          <w:rFonts w:hint="eastAsia" w:asciiTheme="minorEastAsia" w:hAnsiTheme="minorEastAsia" w:eastAsiaTheme="minorEastAsia" w:cstheme="minorEastAsia"/>
          <w:sz w:val="21"/>
          <w:szCs w:val="21"/>
        </w:rPr>
        <w:t>8.7.4 异常恶劣的气候条件</w:t>
      </w:r>
      <w:bookmarkEnd w:id="78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83" w:name="_Toc54862255"/>
      <w:bookmarkStart w:id="784" w:name="_Ref4781828"/>
      <w:r>
        <w:rPr>
          <w:rFonts w:hint="eastAsia" w:asciiTheme="minorEastAsia" w:hAnsiTheme="minorEastAsia" w:eastAsiaTheme="minorEastAsia" w:cstheme="minorEastAsia"/>
          <w:b w:val="0"/>
          <w:bCs/>
          <w:sz w:val="21"/>
          <w:szCs w:val="21"/>
        </w:rPr>
        <w:t>8.8 工期提前</w:t>
      </w:r>
      <w:bookmarkEnd w:id="777"/>
      <w:bookmarkEnd w:id="778"/>
      <w:bookmarkEnd w:id="783"/>
      <w:bookmarkEnd w:id="78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85" w:name="_Ref4429347"/>
      <w:r>
        <w:rPr>
          <w:rFonts w:hint="eastAsia" w:asciiTheme="minorEastAsia" w:hAnsiTheme="minorEastAsia" w:eastAsiaTheme="minorEastAsia" w:cstheme="minorEastAsia"/>
          <w:sz w:val="21"/>
          <w:szCs w:val="21"/>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785"/>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86" w:name="_Ref4615040"/>
      <w:bookmarkStart w:id="787" w:name="_Ref4615031"/>
      <w:bookmarkStart w:id="788" w:name="_Toc54862256"/>
      <w:r>
        <w:rPr>
          <w:rFonts w:hint="eastAsia" w:asciiTheme="minorEastAsia" w:hAnsiTheme="minorEastAsia" w:eastAsiaTheme="minorEastAsia" w:cstheme="minorEastAsia"/>
          <w:b w:val="0"/>
          <w:bCs/>
          <w:sz w:val="21"/>
          <w:szCs w:val="21"/>
        </w:rPr>
        <w:t>8.9 暂停工作</w:t>
      </w:r>
      <w:bookmarkEnd w:id="786"/>
      <w:bookmarkEnd w:id="787"/>
      <w:bookmarkEnd w:id="788"/>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89" w:name="_Ref4709151"/>
      <w:r>
        <w:rPr>
          <w:rFonts w:hint="eastAsia" w:asciiTheme="minorEastAsia" w:hAnsiTheme="minorEastAsia" w:eastAsiaTheme="minorEastAsia" w:cstheme="minorEastAsia"/>
          <w:sz w:val="21"/>
          <w:szCs w:val="21"/>
        </w:rPr>
        <w:t>8.9.1 由发包人暂停工作</w:t>
      </w:r>
      <w:bookmarkEnd w:id="78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发包人认为必要时，可通过工程师向承包人发出经发包人签认的暂停工作通知，应列明暂停原因、暂停的日期及预计暂停的期限。承包人应按该通知暂停工作。</w:t>
      </w:r>
      <w:bookmarkStart w:id="790" w:name="_Ref470923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承包人因执行暂停工作通知而造成费用的增加和（或）工期延误由发包人承担，并有权要求发包人支付合理利润，但</w:t>
      </w:r>
      <w:bookmarkEnd w:id="790"/>
      <w:r>
        <w:rPr>
          <w:rFonts w:hint="eastAsia" w:asciiTheme="minorEastAsia" w:hAnsiTheme="minorEastAsia" w:eastAsiaTheme="minorEastAsia" w:cstheme="minorEastAsia"/>
          <w:sz w:val="21"/>
          <w:szCs w:val="21"/>
        </w:rPr>
        <w:t>由于承包人原因造成发包人暂停工作的除外。</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91" w:name="_Ref18972173"/>
      <w:r>
        <w:rPr>
          <w:rFonts w:hint="eastAsia" w:asciiTheme="minorEastAsia" w:hAnsiTheme="minorEastAsia" w:eastAsiaTheme="minorEastAsia" w:cstheme="minorEastAsia"/>
          <w:sz w:val="21"/>
          <w:szCs w:val="21"/>
        </w:rPr>
        <w:t>8.9.2 由承包人暂停工作</w:t>
      </w:r>
      <w:bookmarkEnd w:id="791"/>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792" w:name="_Ref4709224"/>
      <w:r>
        <w:rPr>
          <w:rFonts w:hint="eastAsia" w:asciiTheme="minorEastAsia" w:hAnsiTheme="minorEastAsia" w:eastAsiaTheme="minorEastAsia" w:cstheme="minorEastAsia"/>
          <w:sz w:val="21"/>
          <w:szCs w:val="21"/>
        </w:rPr>
        <w:t>（1） 发包人拖延、拒绝批准付款申请和支付证书，或未能按合同约定支付价款，导致付款延误的；</w:t>
      </w:r>
      <w:bookmarkEnd w:id="79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发包人未按约定履行合同其他义务导致承包人无法继续履行合同的，或者发包人明确表示暂停或实质上已暂停履行合同的。</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8.9.3 除上述原因以外的暂停工作，双方应遵守第17条[不可抗力]的相关约定。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793" w:name="_Ref4709158"/>
      <w:r>
        <w:rPr>
          <w:rFonts w:hint="eastAsia" w:asciiTheme="minorEastAsia" w:hAnsiTheme="minorEastAsia" w:eastAsiaTheme="minorEastAsia" w:cstheme="minorEastAsia"/>
          <w:sz w:val="21"/>
          <w:szCs w:val="21"/>
        </w:rPr>
        <w:t>8.9.4 暂停工作期间的工程照管</w:t>
      </w:r>
      <w:bookmarkEnd w:id="793"/>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因承包人未能尽到照管、保护的责任造成损失的，使发包人的费用增加，（或）竣工日期延误的，由承包人按本合同约定承担责任。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8.9.5 拖长的暂停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94" w:name="_Toc54862257"/>
      <w:r>
        <w:rPr>
          <w:rFonts w:hint="eastAsia" w:asciiTheme="minorEastAsia" w:hAnsiTheme="minorEastAsia" w:eastAsiaTheme="minorEastAsia" w:cstheme="minorEastAsia"/>
          <w:b w:val="0"/>
          <w:bCs/>
          <w:sz w:val="21"/>
          <w:szCs w:val="21"/>
        </w:rPr>
        <w:t>8.10 复工</w:t>
      </w:r>
      <w:bookmarkEnd w:id="794"/>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8.10.1 收到发包人的复工通知后，承包人应按通知时间复工；发包人通知的复工时间应当给予承包人必要的准备复工时间。</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8.10.2 不论由于何种原因引起暂停工作，双方均可要求对方一同对受暂停影响的工程、工程设备和工程物资进行检查，承包人应将检查结果及需要恢复、修复的内容和估算通知发包人。</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8.10.3 除第17条[不可抗力]另有约定外，发生的恢复、修复价款及工期延误的后果由责任方承担。</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95" w:name="_Toc54862258"/>
      <w:bookmarkStart w:id="796" w:name="_Ref4621041"/>
      <w:bookmarkStart w:id="797" w:name="_Ref4621029"/>
      <w:r>
        <w:rPr>
          <w:rFonts w:hint="eastAsia" w:asciiTheme="minorEastAsia" w:hAnsiTheme="minorEastAsia" w:eastAsiaTheme="minorEastAsia" w:cstheme="minorEastAsia"/>
          <w:b w:val="0"/>
          <w:bCs/>
          <w:sz w:val="21"/>
          <w:szCs w:val="21"/>
        </w:rPr>
        <w:t>第9条 竣工试验</w:t>
      </w:r>
      <w:bookmarkEnd w:id="723"/>
      <w:bookmarkEnd w:id="795"/>
      <w:bookmarkEnd w:id="796"/>
      <w:bookmarkEnd w:id="797"/>
      <w:r>
        <w:rPr>
          <w:rFonts w:hint="eastAsia" w:asciiTheme="minorEastAsia" w:hAnsiTheme="minorEastAsia" w:eastAsiaTheme="minorEastAsia" w:cstheme="minorEastAsia"/>
          <w:b w:val="0"/>
          <w:bCs/>
          <w:sz w:val="21"/>
          <w:szCs w:val="21"/>
        </w:rPr>
        <w:t xml:space="preserve"> </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798" w:name="_Ref532586251"/>
      <w:bookmarkStart w:id="799" w:name="_Toc54862259"/>
      <w:bookmarkStart w:id="800" w:name="_Ref532586248"/>
      <w:r>
        <w:rPr>
          <w:rFonts w:hint="eastAsia" w:asciiTheme="minorEastAsia" w:hAnsiTheme="minorEastAsia" w:eastAsiaTheme="minorEastAsia" w:cstheme="minorEastAsia"/>
          <w:b w:val="0"/>
          <w:bCs/>
          <w:sz w:val="21"/>
          <w:szCs w:val="21"/>
        </w:rPr>
        <w:t>9.1 竣工试验的义务</w:t>
      </w:r>
      <w:bookmarkEnd w:id="798"/>
      <w:bookmarkEnd w:id="799"/>
      <w:bookmarkEnd w:id="800"/>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9.1.1 承包人完成工程或区段工程进行竣工试验所需的作业，并根据第5.4款[竣工文件]和第5.5款[操作和维修手册]提交文件后，进行竣工试验。</w:t>
      </w:r>
      <w:bookmarkStart w:id="801" w:name="_Ref53258660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02" w:name="_Ref11919920"/>
      <w:r>
        <w:rPr>
          <w:rFonts w:hint="eastAsia" w:asciiTheme="minorEastAsia" w:hAnsiTheme="minorEastAsia" w:eastAsiaTheme="minorEastAsia" w:cstheme="minorEastAsia"/>
          <w:sz w:val="21"/>
          <w:szCs w:val="21"/>
        </w:rPr>
        <w:t>9.1.2 承包人应在进行竣工试验之前，至少提前42天向工程师提交详细的竣工试验计划，该计划应载明竣工试验的内容、地点、拟开展时间和需要发包人提供的资源条件。</w:t>
      </w:r>
      <w:bookmarkEnd w:id="801"/>
      <w:r>
        <w:rPr>
          <w:rFonts w:hint="eastAsia" w:asciiTheme="minorEastAsia" w:hAnsiTheme="minorEastAsia" w:eastAsiaTheme="minorEastAsia" w:cstheme="minorEastAsia"/>
          <w:sz w:val="21"/>
          <w:szCs w:val="21"/>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80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03" w:name="_Ref532688147"/>
      <w:r>
        <w:rPr>
          <w:rFonts w:hint="eastAsia" w:asciiTheme="minorEastAsia" w:hAnsiTheme="minorEastAsia" w:eastAsiaTheme="minorEastAsia" w:cstheme="minorEastAsia"/>
          <w:sz w:val="21"/>
          <w:szCs w:val="21"/>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80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承包人进行启动前试验，包括适当的检查和功能性试验，以证明工程或区段工程的每一部分均能够安全地承受下一阶段试验；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承包人进行启动试验，以证明工程或区段工程能够在所有可利用的操作条件下安全运行，并按照专用合同条件和《发包人要求》中的规定操作；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承包人进行试运行试验。当工程或区段工程能稳定安全运行时，承包人应通知工程师，可以进行其他竣工试验，包括各种性能测试，以证明工程或区段工程符合《发包人要求》中列明的性能保证指标。</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进行上述试验不应构成第10条[验收和工程接收]规定的接收，但试验所产生的任何产品或其他收益均应归属于发包人。</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04" w:name="_Toc54862260"/>
      <w:r>
        <w:rPr>
          <w:rFonts w:hint="eastAsia" w:asciiTheme="minorEastAsia" w:hAnsiTheme="minorEastAsia" w:eastAsiaTheme="minorEastAsia" w:cstheme="minorEastAsia"/>
          <w:b w:val="0"/>
          <w:bCs/>
          <w:sz w:val="21"/>
          <w:szCs w:val="21"/>
        </w:rPr>
        <w:t>9.2 延误的试验</w:t>
      </w:r>
      <w:bookmarkEnd w:id="80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9.2.3 如果承包人未在该期限内进行竣工试验，则发包人有权自行组织该项竣工试验，由此产生的合理费用由承包人承担。发包人应在试验完成后28天内向承包人发送试验结果。</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05" w:name="_Ref532594592"/>
      <w:bookmarkStart w:id="806" w:name="_Ref532594588"/>
      <w:bookmarkStart w:id="807" w:name="_Toc54862261"/>
      <w:r>
        <w:rPr>
          <w:rFonts w:hint="eastAsia" w:asciiTheme="minorEastAsia" w:hAnsiTheme="minorEastAsia" w:eastAsiaTheme="minorEastAsia" w:cstheme="minorEastAsia"/>
          <w:b w:val="0"/>
          <w:bCs/>
          <w:sz w:val="21"/>
          <w:szCs w:val="21"/>
        </w:rPr>
        <w:t>9.3 重新试验</w:t>
      </w:r>
      <w:bookmarkEnd w:id="805"/>
      <w:bookmarkEnd w:id="806"/>
      <w:bookmarkEnd w:id="807"/>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08" w:name="_Toc54862262"/>
      <w:bookmarkStart w:id="809" w:name="_Ref532688221"/>
      <w:bookmarkStart w:id="810" w:name="_Ref532688226"/>
      <w:r>
        <w:rPr>
          <w:rFonts w:hint="eastAsia" w:asciiTheme="minorEastAsia" w:hAnsiTheme="minorEastAsia" w:eastAsiaTheme="minorEastAsia" w:cstheme="minorEastAsia"/>
          <w:b w:val="0"/>
          <w:bCs/>
          <w:sz w:val="21"/>
          <w:szCs w:val="21"/>
        </w:rPr>
        <w:t>9.4 未能通过竣工试验</w:t>
      </w:r>
      <w:bookmarkEnd w:id="808"/>
      <w:bookmarkEnd w:id="809"/>
      <w:bookmarkEnd w:id="810"/>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9.4.1 因发包人原因导致竣工试验未能通过的，承包人进行竣工试验的费用由发包人承担，竣工日期相应顺延。</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9.4.2 如果工程或区段工程未能通过根据第9.3款[重新试验]重新进行的竣工试验的，则：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发包人有权要求承包人根据第6.6款[缺陷和修补]继续进行修补和改正，并根据第9.3款[重新试验]再次进行竣工试验；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811" w:name="_Ref4621461"/>
      <w:r>
        <w:rPr>
          <w:rFonts w:hint="eastAsia" w:asciiTheme="minorEastAsia" w:hAnsiTheme="minorEastAsia" w:eastAsiaTheme="minorEastAsia" w:cstheme="minorEastAsia"/>
          <w:sz w:val="21"/>
          <w:szCs w:val="21"/>
        </w:rPr>
        <w:t>（3） 未能通过竣工试验，使工程或区段工程的任何主要部分丧失了生产、使用功能时，发包人有权指令承包人更换相关部分，承包人应承担因此增加的费用和误期损害赔偿责任，并赔偿发包人的相应损失</w:t>
      </w:r>
      <w:bookmarkEnd w:id="811"/>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12" w:name="_Ref4624043"/>
      <w:bookmarkStart w:id="813" w:name="_Ref4618348"/>
      <w:bookmarkStart w:id="814" w:name="_Ref4618338"/>
      <w:bookmarkStart w:id="815" w:name="_Toc54862263"/>
      <w:r>
        <w:rPr>
          <w:rFonts w:hint="eastAsia" w:asciiTheme="minorEastAsia" w:hAnsiTheme="minorEastAsia" w:eastAsiaTheme="minorEastAsia" w:cstheme="minorEastAsia"/>
          <w:b w:val="0"/>
          <w:bCs/>
          <w:sz w:val="21"/>
          <w:szCs w:val="21"/>
        </w:rPr>
        <w:t>第10条 验收和工程接收</w:t>
      </w:r>
      <w:bookmarkEnd w:id="812"/>
      <w:bookmarkEnd w:id="813"/>
      <w:bookmarkEnd w:id="814"/>
      <w:bookmarkEnd w:id="815"/>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16" w:name="_Ref532359143"/>
      <w:bookmarkStart w:id="817" w:name="_Ref532300801"/>
      <w:bookmarkStart w:id="818" w:name="_Ref532301199"/>
      <w:bookmarkStart w:id="819" w:name="_Ref532300804"/>
      <w:bookmarkStart w:id="820" w:name="_Toc54862264"/>
      <w:bookmarkStart w:id="821" w:name="_Ref532359152"/>
      <w:bookmarkStart w:id="822" w:name="_Ref532301202"/>
      <w:r>
        <w:rPr>
          <w:rFonts w:hint="eastAsia" w:asciiTheme="minorEastAsia" w:hAnsiTheme="minorEastAsia" w:eastAsiaTheme="minorEastAsia" w:cstheme="minorEastAsia"/>
          <w:b w:val="0"/>
          <w:bCs/>
          <w:sz w:val="21"/>
          <w:szCs w:val="21"/>
        </w:rPr>
        <w:t>10.1 竣工验收</w:t>
      </w:r>
      <w:bookmarkEnd w:id="816"/>
      <w:bookmarkEnd w:id="817"/>
      <w:bookmarkEnd w:id="818"/>
      <w:bookmarkEnd w:id="819"/>
      <w:bookmarkEnd w:id="820"/>
      <w:bookmarkEnd w:id="821"/>
      <w:bookmarkEnd w:id="82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23" w:name="_Ref532628356"/>
      <w:r>
        <w:rPr>
          <w:rFonts w:hint="eastAsia" w:asciiTheme="minorEastAsia" w:hAnsiTheme="minorEastAsia" w:eastAsiaTheme="minorEastAsia" w:cstheme="minorEastAsia"/>
          <w:sz w:val="21"/>
          <w:szCs w:val="21"/>
        </w:rPr>
        <w:t>10.1.1 竣工验收条件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工程具备以下条件的，承包人可以申请竣工验收：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已按合同约定编制了扫尾工作和缺陷修补工作清单以及相应实施计划；</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已按合同约定的内容和份数备齐竣工资料；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合同约定要求在竣工验收前应完成的其他工作。</w:t>
      </w:r>
    </w:p>
    <w:bookmarkEnd w:id="823"/>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24" w:name="_Ref4429424"/>
      <w:bookmarkStart w:id="825" w:name="_Hlk51506601"/>
      <w:r>
        <w:rPr>
          <w:rFonts w:hint="eastAsia" w:asciiTheme="minorEastAsia" w:hAnsiTheme="minorEastAsia" w:eastAsiaTheme="minorEastAsia" w:cstheme="minorEastAsia"/>
          <w:sz w:val="21"/>
          <w:szCs w:val="21"/>
        </w:rPr>
        <w:t>10.1.2 竣工验收程序</w:t>
      </w:r>
      <w:bookmarkEnd w:id="824"/>
    </w:p>
    <w:bookmarkEnd w:id="825"/>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除专用合同条件另有约定外，承包人申请竣工验收的，应当按照以下程序进行：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826" w:name="_Hlk51506640"/>
      <w:r>
        <w:rPr>
          <w:rFonts w:hint="eastAsia" w:asciiTheme="minorEastAsia" w:hAnsiTheme="minorEastAsia" w:eastAsiaTheme="minorEastAsia" w:cstheme="minorEastAsia"/>
          <w:sz w:val="21"/>
          <w:szCs w:val="21"/>
        </w:rPr>
        <w:t>（4） 因发包人原因，未在工程师收到承包人竣工验收申请报告之日起42天内完成竣工验收的，以承包人提交竣工验收申请报告之日作为工程实际竣工日期。</w:t>
      </w:r>
    </w:p>
    <w:bookmarkEnd w:id="826"/>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工程未经竣工验收，发包人擅自使用的，以转移占有工程之日为实际竣工日期。</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除专用合同条件另有约定外，发包人不按照本项和第10.4款[接收证书]约定组织竣工验收、颁发工程接收证书的，每逾期一天，应以签约合同价为基数，按照贷款市场报价利率（LPR）支付违约金。</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27" w:name="_Ref532301210"/>
      <w:bookmarkStart w:id="828" w:name="_Ref532301213"/>
      <w:bookmarkStart w:id="829" w:name="_Toc54862265"/>
      <w:r>
        <w:rPr>
          <w:rFonts w:hint="eastAsia" w:asciiTheme="minorEastAsia" w:hAnsiTheme="minorEastAsia" w:eastAsiaTheme="minorEastAsia" w:cstheme="minorEastAsia"/>
          <w:b w:val="0"/>
          <w:bCs/>
          <w:sz w:val="21"/>
          <w:szCs w:val="21"/>
        </w:rPr>
        <w:t>10.2 单位/区段工程的验收</w:t>
      </w:r>
      <w:bookmarkEnd w:id="827"/>
      <w:bookmarkEnd w:id="828"/>
      <w:bookmarkEnd w:id="829"/>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10.2.2 发包人在全部工程竣工前，使用已接收的单位/区段工程导致承包人费用增加的，发包人应承担由此增加的费用和（或）工期延误，并支付承包人合理利润。</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30" w:name="_Toc54862266"/>
      <w:bookmarkStart w:id="831" w:name="_Ref4429473"/>
      <w:bookmarkStart w:id="832" w:name="_Ref532688351"/>
      <w:bookmarkStart w:id="833" w:name="_Ref532688354"/>
      <w:r>
        <w:rPr>
          <w:rFonts w:hint="eastAsia" w:asciiTheme="minorEastAsia" w:hAnsiTheme="minorEastAsia" w:eastAsiaTheme="minorEastAsia" w:cstheme="minorEastAsia"/>
          <w:b w:val="0"/>
          <w:bCs/>
          <w:sz w:val="21"/>
          <w:szCs w:val="21"/>
        </w:rPr>
        <w:t>10.3 工程的接收</w:t>
      </w:r>
      <w:bookmarkEnd w:id="830"/>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10.3.1 根据工程项目的具体情况和特点，可按工程或单位/区段工程进行接收，并在专用合同条件约定接收的先后顺序、时间安排和其他要求。</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10.3.2 除按本条约定已经提交的资料外，接收工程时承包人需提交竣工验收资料的类别、内容、份数和提交时间，在专用合同条件中约定。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10.3.4 承包人无正当理由不移交工程的，承包人应承担工程照管、成品保护、保管等与工程有关的各项费用，合同当事人可以在专用合同条件中另行约定承包人无正当理由不移交工程的违约责任。</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34" w:name="_Toc54862267"/>
      <w:r>
        <w:rPr>
          <w:rFonts w:hint="eastAsia" w:asciiTheme="minorEastAsia" w:hAnsiTheme="minorEastAsia" w:eastAsiaTheme="minorEastAsia" w:cstheme="minorEastAsia"/>
          <w:b w:val="0"/>
          <w:bCs/>
          <w:sz w:val="21"/>
          <w:szCs w:val="21"/>
        </w:rPr>
        <w:t>10.4 接收证书</w:t>
      </w:r>
      <w:bookmarkEnd w:id="831"/>
      <w:bookmarkEnd w:id="83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35" w:name="_Ref4429542"/>
      <w:r>
        <w:rPr>
          <w:rFonts w:hint="eastAsia" w:asciiTheme="minorEastAsia" w:hAnsiTheme="minorEastAsia" w:eastAsiaTheme="minorEastAsia" w:cstheme="minorEastAsia"/>
          <w:sz w:val="21"/>
          <w:szCs w:val="21"/>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83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10.4.3 竣工验收合格而发包人无正当理由逾期不颁发工程接收证书的，自验收合格后第15天起视为已颁发工程接收证书。</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10.4.5 存在扫尾工作的，工程接收证书中应当将第14.5.3项[扫尾工作清单]中约定的扫尾工作清单作为工程接收证书附件。</w:t>
      </w:r>
    </w:p>
    <w:bookmarkEnd w:id="832"/>
    <w:bookmarkEnd w:id="833"/>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36" w:name="_Ref4429932"/>
      <w:bookmarkStart w:id="837" w:name="_Toc54862268"/>
      <w:bookmarkStart w:id="838" w:name="_Ref4429935"/>
      <w:r>
        <w:rPr>
          <w:rFonts w:hint="eastAsia" w:asciiTheme="minorEastAsia" w:hAnsiTheme="minorEastAsia" w:eastAsiaTheme="minorEastAsia" w:cstheme="minorEastAsia"/>
          <w:b w:val="0"/>
          <w:bCs/>
          <w:sz w:val="21"/>
          <w:szCs w:val="21"/>
        </w:rPr>
        <w:t>10.5 竣工退场</w:t>
      </w:r>
      <w:bookmarkEnd w:id="836"/>
      <w:bookmarkEnd w:id="837"/>
      <w:bookmarkEnd w:id="83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39" w:name="_Ref4429943"/>
      <w:r>
        <w:rPr>
          <w:rFonts w:hint="eastAsia" w:asciiTheme="minorEastAsia" w:hAnsiTheme="minorEastAsia" w:eastAsiaTheme="minorEastAsia" w:cstheme="minorEastAsia"/>
          <w:sz w:val="21"/>
          <w:szCs w:val="21"/>
        </w:rPr>
        <w:t>10.5.1 竣工退场</w:t>
      </w:r>
      <w:bookmarkEnd w:id="83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颁发工程接收证书后，承包人应对施工现场进行清理，并撤离相关人员，使得施工现场处于以下状态，直至工程师检验合格为止：</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施工现场内残留的垃圾已全部清除出场；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临时工程已拆除，场地已按合同约定进行清理、平整或复原；</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按合同约定应撤离的人员、承包人提供的施工设备和剩余的材料，包括废弃的施工设备和材料，已按计划撤离施工现场；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施工现场周边及其附近道路、河道的施工堆积物，已全部清理；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施工现场其他竣工退场工作已全部完成。</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10.5.2 地表还原</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承包人应按合同约定和工程师的要求恢复临时占地及清理场地，否则发包人有权委托其他人恢复或清理，所发生的费用由承包人承担。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40" w:name="_Ref20159437"/>
      <w:r>
        <w:rPr>
          <w:rFonts w:hint="eastAsia" w:asciiTheme="minorEastAsia" w:hAnsiTheme="minorEastAsia" w:eastAsiaTheme="minorEastAsia" w:cstheme="minorEastAsia"/>
          <w:sz w:val="21"/>
          <w:szCs w:val="21"/>
        </w:rPr>
        <w:t>10.5.3 人员撤离</w:t>
      </w:r>
      <w:bookmarkEnd w:id="84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724"/>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41" w:name="_Ref4796906"/>
      <w:bookmarkStart w:id="842" w:name="_Ref531955009"/>
      <w:bookmarkStart w:id="843" w:name="_Toc54862269"/>
      <w:bookmarkStart w:id="844" w:name="_Ref4796909"/>
      <w:r>
        <w:rPr>
          <w:rFonts w:hint="eastAsia" w:asciiTheme="minorEastAsia" w:hAnsiTheme="minorEastAsia" w:eastAsiaTheme="minorEastAsia" w:cstheme="minorEastAsia"/>
          <w:b w:val="0"/>
          <w:bCs/>
          <w:sz w:val="21"/>
          <w:szCs w:val="21"/>
        </w:rPr>
        <w:t>第11条 缺陷责任与保修</w:t>
      </w:r>
      <w:bookmarkEnd w:id="841"/>
      <w:bookmarkEnd w:id="842"/>
      <w:bookmarkEnd w:id="843"/>
      <w:bookmarkEnd w:id="844"/>
      <w:r>
        <w:rPr>
          <w:rFonts w:hint="eastAsia" w:asciiTheme="minorEastAsia" w:hAnsiTheme="minorEastAsia" w:eastAsiaTheme="minorEastAsia" w:cstheme="minorEastAsia"/>
          <w:b w:val="0"/>
          <w:bCs/>
          <w:sz w:val="21"/>
          <w:szCs w:val="21"/>
        </w:rPr>
        <w:t xml:space="preserve"> </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45" w:name="_Toc54862270"/>
      <w:bookmarkStart w:id="846" w:name="_Ref531955248"/>
      <w:bookmarkStart w:id="847" w:name="_Ref531955245"/>
      <w:bookmarkStart w:id="848" w:name="_Ref532362928"/>
      <w:bookmarkStart w:id="849" w:name="_Toc296346648"/>
      <w:bookmarkStart w:id="850" w:name="_Toc296503147"/>
      <w:bookmarkStart w:id="851" w:name="_Toc337558841"/>
      <w:r>
        <w:rPr>
          <w:rFonts w:hint="eastAsia" w:asciiTheme="minorEastAsia" w:hAnsiTheme="minorEastAsia" w:eastAsiaTheme="minorEastAsia" w:cstheme="minorEastAsia"/>
          <w:b w:val="0"/>
          <w:bCs/>
          <w:sz w:val="21"/>
          <w:szCs w:val="21"/>
        </w:rPr>
        <w:t>11.1 工程保修的原则</w:t>
      </w:r>
      <w:bookmarkEnd w:id="84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在工程移交发包人后，因承包人原因产生的质量缺陷，承包人应承担质量缺陷责任和保修义务。缺陷责任期届满，承包人仍应按合同约定的工程各部位保修年限承担保修义务。</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52" w:name="_Toc54862271"/>
      <w:bookmarkStart w:id="853" w:name="_Ref4430062"/>
      <w:r>
        <w:rPr>
          <w:rFonts w:hint="eastAsia" w:asciiTheme="minorEastAsia" w:hAnsiTheme="minorEastAsia" w:eastAsiaTheme="minorEastAsia" w:cstheme="minorEastAsia"/>
          <w:b w:val="0"/>
          <w:bCs/>
          <w:sz w:val="21"/>
          <w:szCs w:val="21"/>
        </w:rPr>
        <w:t>11.2 缺陷责任</w:t>
      </w:r>
      <w:bookmarkEnd w:id="846"/>
      <w:bookmarkEnd w:id="847"/>
      <w:r>
        <w:rPr>
          <w:rFonts w:hint="eastAsia" w:asciiTheme="minorEastAsia" w:hAnsiTheme="minorEastAsia" w:eastAsiaTheme="minorEastAsia" w:cstheme="minorEastAsia"/>
          <w:b w:val="0"/>
          <w:bCs/>
          <w:sz w:val="21"/>
          <w:szCs w:val="21"/>
        </w:rPr>
        <w:t>期</w:t>
      </w:r>
      <w:bookmarkEnd w:id="848"/>
      <w:bookmarkEnd w:id="852"/>
      <w:bookmarkEnd w:id="853"/>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缺陷责任期原则上从工程竣工验收合格之日起计算，合同当事人应在专用合同条件约定缺陷责任期的具体期限，但该期限最长不超过24个月。</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54" w:name="_Ref532662486"/>
      <w:bookmarkStart w:id="855" w:name="_Toc54862272"/>
      <w:bookmarkStart w:id="856" w:name="_Ref532662491"/>
      <w:r>
        <w:rPr>
          <w:rFonts w:hint="eastAsia" w:asciiTheme="minorEastAsia" w:hAnsiTheme="minorEastAsia" w:eastAsiaTheme="minorEastAsia" w:cstheme="minorEastAsia"/>
          <w:b w:val="0"/>
          <w:bCs/>
          <w:sz w:val="21"/>
          <w:szCs w:val="21"/>
        </w:rPr>
        <w:t>11.3 缺陷调查</w:t>
      </w:r>
      <w:bookmarkEnd w:id="854"/>
      <w:bookmarkEnd w:id="855"/>
      <w:bookmarkEnd w:id="856"/>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11.3.1 承包人缺陷调查</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11.3.2 缺陷责任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11.3.3 修复费用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发包人和承包人应共同查清缺陷或损坏的原因。经查明属承包人原因造成的，应由承包人承担修复的费用。经查验非承包人原因造成的，发包人应承担修复的费用，并支付承包人合理利润。</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57" w:name="_Ref531955041"/>
      <w:r>
        <w:rPr>
          <w:rFonts w:hint="eastAsia" w:asciiTheme="minorEastAsia" w:hAnsiTheme="minorEastAsia" w:eastAsiaTheme="minorEastAsia" w:cstheme="minorEastAsia"/>
          <w:sz w:val="21"/>
          <w:szCs w:val="21"/>
        </w:rPr>
        <w:t>11.3.4 修复通知</w:t>
      </w:r>
      <w:bookmarkEnd w:id="85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11.3.5 在现场外修复</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58" w:name="_Ref4534291"/>
      <w:bookmarkStart w:id="859" w:name="_Hlk51506786"/>
      <w:r>
        <w:rPr>
          <w:rFonts w:hint="eastAsia" w:asciiTheme="minorEastAsia" w:hAnsiTheme="minorEastAsia" w:eastAsiaTheme="minorEastAsia" w:cstheme="minorEastAsia"/>
          <w:sz w:val="21"/>
          <w:szCs w:val="21"/>
        </w:rPr>
        <w:t>11.3.6 未能修复</w:t>
      </w:r>
      <w:bookmarkEnd w:id="858"/>
    </w:p>
    <w:bookmarkEnd w:id="859"/>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如果工程或工程设备的缺陷或损害使发包人实质上失去了工程的整体功能，发包人有权向承包人追回已支付的工程款项，并要求其赔偿发包人相应损失。</w:t>
      </w:r>
    </w:p>
    <w:bookmarkEnd w:id="849"/>
    <w:bookmarkEnd w:id="850"/>
    <w:bookmarkEnd w:id="851"/>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60" w:name="_Ref532662554"/>
      <w:bookmarkStart w:id="861" w:name="_Ref532662552"/>
      <w:bookmarkStart w:id="862" w:name="_Toc54862273"/>
      <w:r>
        <w:rPr>
          <w:rFonts w:hint="eastAsia" w:asciiTheme="minorEastAsia" w:hAnsiTheme="minorEastAsia" w:eastAsiaTheme="minorEastAsia" w:cstheme="minorEastAsia"/>
          <w:b w:val="0"/>
          <w:bCs/>
          <w:sz w:val="21"/>
          <w:szCs w:val="21"/>
        </w:rPr>
        <w:t>11.4 缺陷修复后的进一步试验</w:t>
      </w:r>
      <w:bookmarkEnd w:id="860"/>
      <w:bookmarkEnd w:id="861"/>
      <w:bookmarkEnd w:id="86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所有的重复试验应按照适用于先前试验的条款进行，但应由责任方承担修补工作的成本和重新试验的风险和费用。</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63" w:name="_Toc54862274"/>
      <w:r>
        <w:rPr>
          <w:rFonts w:hint="eastAsia" w:asciiTheme="minorEastAsia" w:hAnsiTheme="minorEastAsia" w:eastAsiaTheme="minorEastAsia" w:cstheme="minorEastAsia"/>
          <w:b w:val="0"/>
          <w:bCs/>
          <w:sz w:val="21"/>
          <w:szCs w:val="21"/>
        </w:rPr>
        <w:t>11.5 承包人出入权</w:t>
      </w:r>
      <w:bookmarkEnd w:id="86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64" w:name="_Toc54862275"/>
      <w:bookmarkStart w:id="865" w:name="_Ref4430223"/>
      <w:bookmarkStart w:id="866" w:name="_Ref4430229"/>
      <w:r>
        <w:rPr>
          <w:rFonts w:hint="eastAsia" w:asciiTheme="minorEastAsia" w:hAnsiTheme="minorEastAsia" w:eastAsiaTheme="minorEastAsia" w:cstheme="minorEastAsia"/>
          <w:b w:val="0"/>
          <w:bCs/>
          <w:sz w:val="21"/>
          <w:szCs w:val="21"/>
        </w:rPr>
        <w:t>11.6 缺陷责任期终止证书</w:t>
      </w:r>
      <w:bookmarkEnd w:id="864"/>
      <w:bookmarkEnd w:id="865"/>
      <w:bookmarkEnd w:id="86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w:t>
      </w:r>
      <w:bookmarkStart w:id="867" w:name="_Hlk4686672"/>
      <w:r>
        <w:rPr>
          <w:rFonts w:hint="eastAsia" w:asciiTheme="minorEastAsia" w:hAnsiTheme="minorEastAsia" w:eastAsiaTheme="minorEastAsia" w:cstheme="minorEastAsia"/>
          <w:sz w:val="21"/>
          <w:szCs w:val="21"/>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86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如根据第10.5.3项[人员撤离]承包人在施工现场还留有人员、施工设备和临时工程的，承包人应当在收到缺陷责任期终止证书后28天内，将上述人员、施工设备和临时工程撤离施工现场。</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68" w:name="_Ref4430272"/>
      <w:bookmarkStart w:id="869" w:name="_Toc54862276"/>
      <w:r>
        <w:rPr>
          <w:rFonts w:hint="eastAsia" w:asciiTheme="minorEastAsia" w:hAnsiTheme="minorEastAsia" w:eastAsiaTheme="minorEastAsia" w:cstheme="minorEastAsia"/>
          <w:b w:val="0"/>
          <w:bCs/>
          <w:sz w:val="21"/>
          <w:szCs w:val="21"/>
        </w:rPr>
        <w:t>11.7 保修责任</w:t>
      </w:r>
      <w:bookmarkEnd w:id="868"/>
      <w:bookmarkEnd w:id="86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因承包人原因导致的质量缺陷责任，由合同当事人根据有关法律规定，在专用合同条件和工程质量保修书中约定工程质量保修范围、期限和责任。</w:t>
      </w:r>
      <w:bookmarkEnd w:id="716"/>
      <w:bookmarkStart w:id="870" w:name="_Ref531957860"/>
      <w:bookmarkStart w:id="871" w:name="_Ref531958289"/>
    </w:p>
    <w:bookmarkEnd w:id="870"/>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72" w:name="_Toc54862277"/>
      <w:bookmarkStart w:id="873" w:name="_Ref4621057"/>
      <w:bookmarkStart w:id="874" w:name="_Ref4621065"/>
      <w:bookmarkStart w:id="875" w:name="_Ref4796958"/>
      <w:bookmarkStart w:id="876" w:name="_Ref4796955"/>
      <w:r>
        <w:rPr>
          <w:rFonts w:hint="eastAsia" w:asciiTheme="minorEastAsia" w:hAnsiTheme="minorEastAsia" w:eastAsiaTheme="minorEastAsia" w:cstheme="minorEastAsia"/>
          <w:b w:val="0"/>
          <w:bCs/>
          <w:sz w:val="21"/>
          <w:szCs w:val="21"/>
        </w:rPr>
        <w:t>第12条 竣工后试验</w:t>
      </w:r>
      <w:bookmarkEnd w:id="872"/>
      <w:bookmarkEnd w:id="873"/>
      <w:bookmarkEnd w:id="87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本合同工程包含竣工后试验的，遵守本条约定。</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77" w:name="_Ref531954601"/>
      <w:bookmarkStart w:id="878" w:name="_Ref531954604"/>
      <w:bookmarkStart w:id="879" w:name="_Ref531954694"/>
      <w:bookmarkStart w:id="880" w:name="_Toc54862278"/>
      <w:bookmarkStart w:id="881" w:name="_Hlk522259976"/>
      <w:r>
        <w:rPr>
          <w:rFonts w:hint="eastAsia" w:asciiTheme="minorEastAsia" w:hAnsiTheme="minorEastAsia" w:eastAsiaTheme="minorEastAsia" w:cstheme="minorEastAsia"/>
          <w:b w:val="0"/>
          <w:bCs/>
          <w:sz w:val="21"/>
          <w:szCs w:val="21"/>
        </w:rPr>
        <w:t>12.1 竣工后试验</w:t>
      </w:r>
      <w:bookmarkEnd w:id="877"/>
      <w:bookmarkEnd w:id="878"/>
      <w:r>
        <w:rPr>
          <w:rFonts w:hint="eastAsia" w:asciiTheme="minorEastAsia" w:hAnsiTheme="minorEastAsia" w:eastAsiaTheme="minorEastAsia" w:cstheme="minorEastAsia"/>
          <w:b w:val="0"/>
          <w:bCs/>
          <w:sz w:val="21"/>
          <w:szCs w:val="21"/>
        </w:rPr>
        <w:t>的程序</w:t>
      </w:r>
      <w:bookmarkEnd w:id="879"/>
      <w:bookmarkEnd w:id="880"/>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82" w:name="_Ref11920184"/>
      <w:r>
        <w:rPr>
          <w:rFonts w:hint="eastAsia" w:asciiTheme="minorEastAsia" w:hAnsiTheme="minorEastAsia" w:eastAsiaTheme="minorEastAsia" w:cstheme="minorEastAsia"/>
          <w:sz w:val="21"/>
          <w:szCs w:val="21"/>
        </w:rPr>
        <w:t>12.1.1 工程或区段工程被发包人接收后，在合理可行的情况下应根据合同约定尽早进行竣工后试验。</w:t>
      </w:r>
      <w:bookmarkEnd w:id="88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83" w:name="_Ref11920162"/>
      <w:r>
        <w:rPr>
          <w:rFonts w:hint="eastAsia" w:asciiTheme="minorEastAsia" w:hAnsiTheme="minorEastAsia" w:eastAsiaTheme="minorEastAsia" w:cstheme="minorEastAsia"/>
          <w:sz w:val="21"/>
          <w:szCs w:val="21"/>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883"/>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84" w:name="_Ref11920146"/>
      <w:r>
        <w:rPr>
          <w:rFonts w:hint="eastAsia" w:asciiTheme="minorEastAsia" w:hAnsiTheme="minorEastAsia" w:eastAsiaTheme="minorEastAsia" w:cstheme="minorEastAsia"/>
          <w:sz w:val="21"/>
          <w:szCs w:val="21"/>
        </w:rPr>
        <w:t>12.1.4 发包人应根据《发包人要求》、承包人按照第5.5款</w:t>
      </w:r>
      <w:bookmarkStart w:id="885" w:name="_Hlk18943978"/>
      <w:r>
        <w:rPr>
          <w:rFonts w:hint="eastAsia" w:asciiTheme="minorEastAsia" w:hAnsiTheme="minorEastAsia" w:eastAsiaTheme="minorEastAsia" w:cstheme="minorEastAsia"/>
          <w:sz w:val="21"/>
          <w:szCs w:val="21"/>
        </w:rPr>
        <w:t>[操作和维修手册]</w:t>
      </w:r>
      <w:bookmarkEnd w:id="885"/>
      <w:r>
        <w:rPr>
          <w:rFonts w:hint="eastAsia" w:asciiTheme="minorEastAsia" w:hAnsiTheme="minorEastAsia" w:eastAsiaTheme="minorEastAsia" w:cstheme="minorEastAsia"/>
          <w:sz w:val="21"/>
          <w:szCs w:val="21"/>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88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12.1.5 竣工后试验的结果应由双方进行整理和评价，并应适当考虑发包人对工程或其任何部分的使用，对工程或区段工程的性能、特性和试验结果产生的影响。</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86" w:name="_Toc54862279"/>
      <w:bookmarkStart w:id="887" w:name="_Ref531954785"/>
      <w:bookmarkStart w:id="888" w:name="_Ref531954781"/>
      <w:r>
        <w:rPr>
          <w:rFonts w:hint="eastAsia" w:asciiTheme="minorEastAsia" w:hAnsiTheme="minorEastAsia" w:eastAsiaTheme="minorEastAsia" w:cstheme="minorEastAsia"/>
          <w:b w:val="0"/>
          <w:bCs/>
          <w:sz w:val="21"/>
          <w:szCs w:val="21"/>
        </w:rPr>
        <w:t>12.2 延误的试验</w:t>
      </w:r>
      <w:bookmarkEnd w:id="886"/>
      <w:bookmarkEnd w:id="887"/>
      <w:bookmarkEnd w:id="888"/>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12.2.1 如果竣工后试验因发包人原因被延误的，发包人应承担承包人由此增加的费用并支付承包人合理利润。</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12.2.2 如果因承包人以外的原因，导致竣工后试验未能在缺陷责任期或双方另行同意的其他期限内完成，则相关工程或区段工程应视为已通过该竣工后试验。</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89" w:name="_Toc54862280"/>
      <w:r>
        <w:rPr>
          <w:rFonts w:hint="eastAsia" w:asciiTheme="minorEastAsia" w:hAnsiTheme="minorEastAsia" w:eastAsiaTheme="minorEastAsia" w:cstheme="minorEastAsia"/>
          <w:b w:val="0"/>
          <w:bCs/>
          <w:sz w:val="21"/>
          <w:szCs w:val="21"/>
        </w:rPr>
        <w:t>12.3 重新试验</w:t>
      </w:r>
      <w:bookmarkEnd w:id="88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881"/>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90" w:name="_Ref531954819"/>
      <w:bookmarkStart w:id="891" w:name="_Toc54862281"/>
      <w:bookmarkStart w:id="892" w:name="_Ref531954811"/>
      <w:r>
        <w:rPr>
          <w:rFonts w:hint="eastAsia" w:asciiTheme="minorEastAsia" w:hAnsiTheme="minorEastAsia" w:eastAsiaTheme="minorEastAsia" w:cstheme="minorEastAsia"/>
          <w:b w:val="0"/>
          <w:bCs/>
          <w:sz w:val="21"/>
          <w:szCs w:val="21"/>
        </w:rPr>
        <w:t>12.4 未能通过竣工后试验</w:t>
      </w:r>
      <w:bookmarkEnd w:id="890"/>
      <w:bookmarkEnd w:id="891"/>
      <w:bookmarkEnd w:id="89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893" w:name="_Ref531954829"/>
      <w:r>
        <w:rPr>
          <w:rFonts w:hint="eastAsia" w:asciiTheme="minorEastAsia" w:hAnsiTheme="minorEastAsia" w:eastAsiaTheme="minorEastAsia" w:cstheme="minorEastAsia"/>
          <w:sz w:val="21"/>
          <w:szCs w:val="21"/>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893"/>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12.4.3 发包人无故拖延给予承包人进行调查、调整或修补所需的进入工程或区段工程的许可，并造成承包人费用增加的，应承担由此增加的费用并支付承包人合理利润。</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94" w:name="_Ref4415801"/>
      <w:bookmarkStart w:id="895" w:name="_Toc54862282"/>
      <w:r>
        <w:rPr>
          <w:rFonts w:hint="eastAsia" w:asciiTheme="minorEastAsia" w:hAnsiTheme="minorEastAsia" w:eastAsiaTheme="minorEastAsia" w:cstheme="minorEastAsia"/>
          <w:b w:val="0"/>
          <w:bCs/>
          <w:sz w:val="21"/>
          <w:szCs w:val="21"/>
        </w:rPr>
        <w:t>第13条 变更与调整</w:t>
      </w:r>
      <w:bookmarkEnd w:id="894"/>
      <w:bookmarkEnd w:id="895"/>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896" w:name="_Ref532677084"/>
      <w:bookmarkStart w:id="897" w:name="_Toc54862283"/>
      <w:bookmarkStart w:id="898" w:name="_Ref532670395"/>
      <w:bookmarkStart w:id="899" w:name="_Ref532670393"/>
      <w:bookmarkStart w:id="900" w:name="_Ref532677087"/>
      <w:bookmarkStart w:id="901" w:name="_Ref532668569"/>
      <w:bookmarkStart w:id="902" w:name="_Ref532668573"/>
      <w:r>
        <w:rPr>
          <w:rFonts w:hint="eastAsia" w:asciiTheme="minorEastAsia" w:hAnsiTheme="minorEastAsia" w:eastAsiaTheme="minorEastAsia" w:cstheme="minorEastAsia"/>
          <w:b w:val="0"/>
          <w:bCs/>
          <w:sz w:val="21"/>
          <w:szCs w:val="21"/>
        </w:rPr>
        <w:t>13.1 发包人变更权</w:t>
      </w:r>
      <w:bookmarkEnd w:id="896"/>
      <w:bookmarkEnd w:id="897"/>
      <w:bookmarkEnd w:id="898"/>
      <w:bookmarkEnd w:id="899"/>
      <w:bookmarkEnd w:id="900"/>
      <w:bookmarkEnd w:id="901"/>
      <w:bookmarkEnd w:id="902"/>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03" w:name="_Ref4534979"/>
      <w:r>
        <w:rPr>
          <w:rFonts w:hint="eastAsia" w:asciiTheme="minorEastAsia" w:hAnsiTheme="minorEastAsia" w:eastAsiaTheme="minorEastAsia" w:cstheme="minorEastAsia"/>
          <w:sz w:val="21"/>
          <w:szCs w:val="21"/>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903"/>
      <w:r>
        <w:rPr>
          <w:rFonts w:hint="eastAsia" w:asciiTheme="minorEastAsia" w:hAnsiTheme="minorEastAsia" w:eastAsiaTheme="minorEastAsia" w:cstheme="minorEastAsia"/>
          <w:sz w:val="21"/>
          <w:szCs w:val="21"/>
        </w:rPr>
        <w:t>发包人与承包人对某项指示或批准是否构成变更产生争议的，按第20条[争议解决]处理。</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04" w:name="_Ref531955587"/>
      <w:bookmarkStart w:id="905" w:name="_Ref531955590"/>
      <w:bookmarkStart w:id="906" w:name="_Ref4623207"/>
      <w:bookmarkStart w:id="907" w:name="_Toc54862284"/>
      <w:r>
        <w:rPr>
          <w:rFonts w:hint="eastAsia" w:asciiTheme="minorEastAsia" w:hAnsiTheme="minorEastAsia" w:eastAsiaTheme="minorEastAsia" w:cstheme="minorEastAsia"/>
          <w:b w:val="0"/>
          <w:bCs/>
          <w:sz w:val="21"/>
          <w:szCs w:val="21"/>
        </w:rPr>
        <w:t>13.2 承</w:t>
      </w:r>
      <w:bookmarkEnd w:id="904"/>
      <w:bookmarkEnd w:id="905"/>
      <w:r>
        <w:rPr>
          <w:rFonts w:hint="eastAsia" w:asciiTheme="minorEastAsia" w:hAnsiTheme="minorEastAsia" w:eastAsiaTheme="minorEastAsia" w:cstheme="minorEastAsia"/>
          <w:b w:val="0"/>
          <w:bCs/>
          <w:sz w:val="21"/>
          <w:szCs w:val="21"/>
        </w:rPr>
        <w:t>包人的合理化建议</w:t>
      </w:r>
      <w:bookmarkEnd w:id="906"/>
      <w:bookmarkEnd w:id="907"/>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 承包人提出合理化建议的，应向工程师提交合理化建议说明，说明建议的内容、理由以及实施该建议对合同价格和工期的影响。</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08" w:name="_Ref4681686"/>
      <w:r>
        <w:rPr>
          <w:rFonts w:hint="eastAsia" w:asciiTheme="minorEastAsia" w:hAnsiTheme="minorEastAsia" w:eastAsiaTheme="minorEastAsia" w:cstheme="minorEastAsia"/>
          <w:sz w:val="21"/>
          <w:szCs w:val="21"/>
        </w:rPr>
        <w:t>13.2.2 除专用合同条件另有约定外，</w:t>
      </w:r>
      <w:bookmarkStart w:id="909" w:name="_Hlk4682273"/>
      <w:r>
        <w:rPr>
          <w:rFonts w:hint="eastAsia" w:asciiTheme="minorEastAsia" w:hAnsiTheme="minorEastAsia" w:eastAsiaTheme="minorEastAsia" w:cstheme="minorEastAsia"/>
          <w:sz w:val="21"/>
          <w:szCs w:val="21"/>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908"/>
      <w:r>
        <w:rPr>
          <w:rFonts w:hint="eastAsia" w:asciiTheme="minorEastAsia" w:hAnsiTheme="minorEastAsia" w:eastAsiaTheme="minorEastAsia" w:cstheme="minorEastAsia"/>
          <w:sz w:val="21"/>
          <w:szCs w:val="21"/>
        </w:rPr>
        <w:t>。</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合理化建议降低了合同价格、缩短了工期或者提高了工程经济效益的，双方可以按照专用合同条件的约定进行利益分享。</w:t>
      </w:r>
    </w:p>
    <w:bookmarkEnd w:id="909"/>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10" w:name="_Ref532673538"/>
      <w:bookmarkStart w:id="911" w:name="_Ref532673541"/>
      <w:bookmarkStart w:id="912" w:name="_Toc54862285"/>
      <w:bookmarkStart w:id="913" w:name="_Ref532669305"/>
      <w:bookmarkStart w:id="914" w:name="_Ref532671480"/>
      <w:bookmarkStart w:id="915" w:name="_Ref532671484"/>
      <w:bookmarkStart w:id="916" w:name="_Ref532669302"/>
      <w:r>
        <w:rPr>
          <w:rFonts w:hint="eastAsia" w:asciiTheme="minorEastAsia" w:hAnsiTheme="minorEastAsia" w:eastAsiaTheme="minorEastAsia" w:cstheme="minorEastAsia"/>
          <w:b w:val="0"/>
          <w:bCs/>
          <w:sz w:val="21"/>
          <w:szCs w:val="21"/>
        </w:rPr>
        <w:t>13.3 变更程序</w:t>
      </w:r>
      <w:bookmarkEnd w:id="910"/>
      <w:bookmarkEnd w:id="911"/>
      <w:bookmarkEnd w:id="912"/>
      <w:bookmarkEnd w:id="913"/>
      <w:bookmarkEnd w:id="914"/>
      <w:bookmarkEnd w:id="915"/>
      <w:bookmarkEnd w:id="916"/>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17" w:name="_Ref4534600"/>
      <w:r>
        <w:rPr>
          <w:rFonts w:hint="eastAsia" w:asciiTheme="minorEastAsia" w:hAnsiTheme="minorEastAsia" w:eastAsiaTheme="minorEastAsia" w:cstheme="minorEastAsia"/>
          <w:sz w:val="21"/>
          <w:szCs w:val="21"/>
        </w:rPr>
        <w:t>13.3.1 发包人提出变更</w:t>
      </w:r>
      <w:bookmarkEnd w:id="91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发包人提出变更的，应通过工程师向承包人发出书面形式的变更指示，变更指示应说明计划变更的工程范围和变更的内容。</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18" w:name="_Ref4534617"/>
      <w:r>
        <w:rPr>
          <w:rFonts w:hint="eastAsia" w:asciiTheme="minorEastAsia" w:hAnsiTheme="minorEastAsia" w:eastAsiaTheme="minorEastAsia" w:cstheme="minorEastAsia"/>
          <w:sz w:val="21"/>
          <w:szCs w:val="21"/>
        </w:rPr>
        <w:t>13.3.2 变更执行</w:t>
      </w:r>
      <w:bookmarkEnd w:id="91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19" w:name="_Ref3835481"/>
      <w:r>
        <w:rPr>
          <w:rFonts w:hint="eastAsia" w:asciiTheme="minorEastAsia" w:hAnsiTheme="minorEastAsia" w:eastAsiaTheme="minorEastAsia" w:cstheme="minorEastAsia"/>
          <w:sz w:val="21"/>
          <w:szCs w:val="21"/>
        </w:rPr>
        <w:t>13.3.3 变更估价</w:t>
      </w:r>
      <w:bookmarkEnd w:id="919"/>
    </w:p>
    <w:p>
      <w:pPr>
        <w:pStyle w:val="45"/>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13.3.3.1 变更估价原则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除专用合同条件另有约定外，变更估价按照本款约定处理：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合同中未包含价格清单，合同价格应按照所执行的变更工程的成本加利润调整；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合同中包含价格清单，合同价格按照如下规则调整：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价格清单中有适用于变更工程项目的，应采用该项目的费率和价格；</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价格清单中没有适用但有类似于变更工程项目的，可在合理范围内参照类似项目的费率或价格；</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价格清单中没有适用也没有类似于变更工程项目的，该工程项目应按成本加利润原则调整适用新的费率或价格。</w:t>
      </w:r>
    </w:p>
    <w:p>
      <w:pPr>
        <w:pStyle w:val="45"/>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13.3.3.2 变更估价程序</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20" w:name="_Ref531955605"/>
      <w:bookmarkStart w:id="921" w:name="_Ref531955607"/>
      <w:bookmarkStart w:id="922" w:name="_Toc296346651"/>
      <w:bookmarkStart w:id="923" w:name="_Toc296503150"/>
      <w:bookmarkStart w:id="924" w:name="_Toc337558844"/>
      <w:r>
        <w:rPr>
          <w:rFonts w:hint="eastAsia" w:asciiTheme="minorEastAsia" w:hAnsiTheme="minorEastAsia" w:eastAsiaTheme="minorEastAsia" w:cstheme="minorEastAsia"/>
          <w:sz w:val="21"/>
          <w:szCs w:val="21"/>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因变更引起的价格调整应计入最近一期的进度款中支付。</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13.3.4 变更引起的工期调整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因变更引起工期变化的，合同当事人均可要求调整合同工期，由合同当事人按照第3.6款[商定或确定]并参考工程所在地的工期定额标准确定增减工期天数。</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25" w:name="_Ref4431237"/>
      <w:bookmarkStart w:id="926" w:name="_Toc54862286"/>
      <w:r>
        <w:rPr>
          <w:rFonts w:hint="eastAsia" w:asciiTheme="minorEastAsia" w:hAnsiTheme="minorEastAsia" w:eastAsiaTheme="minorEastAsia" w:cstheme="minorEastAsia"/>
          <w:b w:val="0"/>
          <w:bCs/>
          <w:sz w:val="21"/>
          <w:szCs w:val="21"/>
        </w:rPr>
        <w:t>13.4 暂估价</w:t>
      </w:r>
      <w:bookmarkEnd w:id="925"/>
      <w:bookmarkEnd w:id="926"/>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27" w:name="_Ref4616729"/>
      <w:r>
        <w:rPr>
          <w:rFonts w:hint="eastAsia" w:asciiTheme="minorEastAsia" w:hAnsiTheme="minorEastAsia" w:eastAsiaTheme="minorEastAsia" w:cstheme="minorEastAsia"/>
          <w:sz w:val="21"/>
          <w:szCs w:val="21"/>
        </w:rPr>
        <w:t>13.4.1 依法必须招标的暂估价项目</w:t>
      </w:r>
      <w:bookmarkEnd w:id="92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46"/>
        <w:keepNext w:val="0"/>
        <w:keepLines w:val="0"/>
        <w:pageBreakBefore w:val="0"/>
        <w:numPr>
          <w:ilvl w:val="0"/>
          <w:numId w:val="0"/>
        </w:numPr>
        <w:kinsoku/>
        <w:wordWrap/>
        <w:overflowPunct/>
        <w:topLinePunct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专用合同条件约定由发包人和承包人共同作为招标人的，与组织招标工作有关的费用在专用合同条件中约定。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具体的招标程序以及发包人和承包人权利义务关系可在专用合同条件中约定。暂估价项目的中标金额与价格清单中所列暂估价的金额差以及相应的税金等其他费用应列入合同价格。</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28" w:name="_Ref4682312"/>
      <w:r>
        <w:rPr>
          <w:rFonts w:hint="eastAsia" w:asciiTheme="minorEastAsia" w:hAnsiTheme="minorEastAsia" w:eastAsiaTheme="minorEastAsia" w:cstheme="minorEastAsia"/>
          <w:sz w:val="21"/>
          <w:szCs w:val="21"/>
        </w:rPr>
        <w:t>13.4.2 不属于依法必须招标的暂估价项目</w:t>
      </w:r>
      <w:bookmarkEnd w:id="92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29" w:name="_Toc54862287"/>
      <w:bookmarkStart w:id="930" w:name="_Ref4431250"/>
      <w:r>
        <w:rPr>
          <w:rFonts w:hint="eastAsia" w:asciiTheme="minorEastAsia" w:hAnsiTheme="minorEastAsia" w:eastAsiaTheme="minorEastAsia" w:cstheme="minorEastAsia"/>
          <w:b w:val="0"/>
          <w:bCs/>
          <w:sz w:val="21"/>
          <w:szCs w:val="21"/>
        </w:rPr>
        <w:t>13.5 暂列金额</w:t>
      </w:r>
      <w:bookmarkEnd w:id="929"/>
      <w:bookmarkEnd w:id="930"/>
      <w:r>
        <w:rPr>
          <w:rFonts w:hint="eastAsia" w:asciiTheme="minorEastAsia" w:hAnsiTheme="minorEastAsia" w:eastAsiaTheme="minorEastAsia" w:cstheme="minorEastAsia"/>
          <w:b w:val="0"/>
          <w:bCs/>
          <w:sz w:val="21"/>
          <w:szCs w:val="21"/>
        </w:rPr>
        <w:t xml:space="preserve"> </w:t>
      </w:r>
      <w:bookmarkEnd w:id="920"/>
      <w:bookmarkEnd w:id="921"/>
    </w:p>
    <w:bookmarkEnd w:id="922"/>
    <w:bookmarkEnd w:id="923"/>
    <w:bookmarkEnd w:id="924"/>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对于每笔暂列金额，发包人可以指示用于下列支付：</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发包人根据第13.1款[发包人变更权]指示变更，决定对合同价格和付款计划表（如有）进行调整的、由承包人实施的工作（包括要提供的工程设备、材料和服务）；</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承包人购买的工程设备、材料、工作或服务，应支付包括承包人已付（或应付）的实际金额以及相应的管理费等费用和利润（管理费和利润应以实际金额为基数根据合同约定的费率（如有）或百分比计算）。</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每份包含暂列金额的文件还应包括用以证明暂列金额的所有有效的发票、凭证和账户或收据。</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31" w:name="_Toc296346653"/>
      <w:bookmarkStart w:id="932" w:name="_Toc296503152"/>
      <w:bookmarkStart w:id="933" w:name="_Toc54862288"/>
      <w:bookmarkStart w:id="934" w:name="_Ref4431438"/>
      <w:bookmarkStart w:id="935" w:name="_Toc337558845"/>
      <w:r>
        <w:rPr>
          <w:rFonts w:hint="eastAsia" w:asciiTheme="minorEastAsia" w:hAnsiTheme="minorEastAsia" w:eastAsiaTheme="minorEastAsia" w:cstheme="minorEastAsia"/>
          <w:b w:val="0"/>
          <w:bCs/>
          <w:sz w:val="21"/>
          <w:szCs w:val="21"/>
        </w:rPr>
        <w:t>13.6 计日工</w:t>
      </w:r>
      <w:bookmarkEnd w:id="931"/>
      <w:bookmarkEnd w:id="932"/>
      <w:bookmarkEnd w:id="933"/>
      <w:bookmarkEnd w:id="934"/>
      <w:bookmarkEnd w:id="93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13.6.2 采用计日工计价的任何一项工作，承包人应在该项工作实施过程中，每天提交以下报表和有关凭证报送工程师审查：</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工作名称、内容和数量；</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投入该工作的所有人员的姓名、专业、工种、级别和耗用工时；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投入该工作的材料类别和数量；</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投入该工作的施工设备型号、台数和耗用台时；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其他有关资料和凭证。</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计日工由承包人汇总后，列入最近一期进度付款申请单，由工程师审查并经发包人批准后列入进度付款。</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36" w:name="_Ref4617331"/>
      <w:bookmarkStart w:id="937" w:name="_Ref4617318"/>
      <w:bookmarkStart w:id="938" w:name="_Toc54862289"/>
      <w:r>
        <w:rPr>
          <w:rFonts w:hint="eastAsia" w:asciiTheme="minorEastAsia" w:hAnsiTheme="minorEastAsia" w:eastAsiaTheme="minorEastAsia" w:cstheme="minorEastAsia"/>
          <w:b w:val="0"/>
          <w:bCs/>
          <w:sz w:val="21"/>
          <w:szCs w:val="21"/>
        </w:rPr>
        <w:t>13.7 法律变化引起的调整</w:t>
      </w:r>
      <w:bookmarkEnd w:id="936"/>
      <w:bookmarkEnd w:id="937"/>
      <w:bookmarkEnd w:id="93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13.7.2 因法律变化引起的合同价格和工期调整，合同当事人无法达成一致的，由工程师按第3.6款[商定或确定]的约定处理。</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13.7.3 因承包人原因造成工期延误，在工期延误期间出现法律变化的，由此增加的费用和（或）延误的工期由承包人承担。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13.7.4 因法律变化而需要对工程的实施进行任何调整的，承包人应迅速通知发包人，或者发包人应迅速通知承包人，并附上详细的辅助资料。发包人接到通知后，应根据第13.3款[变更程序]发出变更指示。</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39" w:name="_Toc54862290"/>
      <w:bookmarkStart w:id="940" w:name="_Ref531955627"/>
      <w:bookmarkStart w:id="941" w:name="_Ref18977613"/>
      <w:bookmarkStart w:id="942" w:name="_Ref531955630"/>
      <w:r>
        <w:rPr>
          <w:rFonts w:hint="eastAsia" w:asciiTheme="minorEastAsia" w:hAnsiTheme="minorEastAsia" w:eastAsiaTheme="minorEastAsia" w:cstheme="minorEastAsia"/>
          <w:b w:val="0"/>
          <w:bCs/>
          <w:sz w:val="21"/>
          <w:szCs w:val="21"/>
        </w:rPr>
        <w:t>13.8 市场价格波动引起的调整</w:t>
      </w:r>
      <w:bookmarkEnd w:id="939"/>
      <w:bookmarkEnd w:id="940"/>
      <w:bookmarkEnd w:id="941"/>
      <w:bookmarkEnd w:id="942"/>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43" w:name="_Ref4709841"/>
      <w:r>
        <w:rPr>
          <w:rFonts w:hint="eastAsia" w:asciiTheme="minorEastAsia" w:hAnsiTheme="minorEastAsia" w:eastAsiaTheme="minorEastAsia" w:cstheme="minorEastAsia"/>
          <w:sz w:val="21"/>
          <w:szCs w:val="21"/>
        </w:rPr>
        <w:t>13.8.1 主要工程材料、设备、人工价格与招标时基期价相比，波动幅度超过合同约定幅度的，双方按照合同约定的价格调整方式调整。</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13.8.2 发包人与承包人在专用合同条件中约定采用《价格指数权重表》的，适用本项约定。</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13.8.2.1 双方当事人可以将部分主要工程材料、工程设备、人工价格及其他双方认为应当根据市场价格调整的费用列入附件6[价格指数权重表]，并根据以下公式计算差额并调整合同价格：</w:t>
      </w:r>
    </w:p>
    <w:bookmarkEnd w:id="943"/>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44" w:name="_Ref4616996"/>
      <w:r>
        <w:rPr>
          <w:rFonts w:hint="eastAsia" w:asciiTheme="minorEastAsia" w:hAnsiTheme="minorEastAsia" w:eastAsiaTheme="minorEastAsia" w:cstheme="minorEastAsia"/>
          <w:sz w:val="21"/>
          <w:szCs w:val="21"/>
        </w:rPr>
        <w:t>（1） 价格调整公式</w:t>
      </w:r>
      <w:bookmarkEnd w:id="944"/>
    </w:p>
    <w:p>
      <w:pPr>
        <w:keepNext w:val="0"/>
        <w:keepLines w:val="0"/>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4777740" cy="678815"/>
            <wp:effectExtent l="0" t="0" r="3810"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4777740" cy="678815"/>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公式中：△P---需调整的价格差额；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w:t>
      </w:r>
      <w:r>
        <w:rPr>
          <w:rFonts w:hint="eastAsia" w:asciiTheme="minorEastAsia" w:hAnsiTheme="minorEastAsia" w:eastAsiaTheme="minorEastAsia" w:cstheme="minorEastAsia"/>
          <w:sz w:val="21"/>
          <w:szCs w:val="21"/>
          <w:vertAlign w:val="subscript"/>
        </w:rPr>
        <w:t>O</w:t>
      </w:r>
      <w:r>
        <w:rPr>
          <w:rFonts w:hint="eastAsia" w:asciiTheme="minorEastAsia" w:hAnsiTheme="minorEastAsia" w:eastAsiaTheme="minorEastAsia" w:cstheme="minorEastAsia"/>
          <w:sz w:val="21"/>
          <w:szCs w:val="21"/>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A ---定值权重（即不调部分的权重）；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45" w:name="_Hlk24103184"/>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vertAlign w:val="subscript"/>
        </w:rPr>
        <w:t>1</w:t>
      </w:r>
      <w:bookmarkEnd w:id="945"/>
      <w:r>
        <w:rPr>
          <w:rFonts w:hint="eastAsia" w:asciiTheme="minorEastAsia" w:hAnsiTheme="minorEastAsia" w:eastAsiaTheme="minorEastAsia" w:cstheme="minorEastAsia"/>
          <w:sz w:val="21"/>
          <w:szCs w:val="21"/>
        </w:rPr>
        <w:t>；</w:t>
      </w:r>
      <w:bookmarkStart w:id="946" w:name="_Hlk24103205"/>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vertAlign w:val="subscript"/>
        </w:rPr>
        <w:t>2</w:t>
      </w:r>
      <w:bookmarkEnd w:id="946"/>
      <w:r>
        <w:rPr>
          <w:rFonts w:hint="eastAsia" w:asciiTheme="minorEastAsia" w:hAnsiTheme="minorEastAsia" w:eastAsiaTheme="minorEastAsia" w:cstheme="minorEastAsia"/>
          <w:sz w:val="21"/>
          <w:szCs w:val="21"/>
        </w:rPr>
        <w:t>；</w:t>
      </w:r>
      <w:bookmarkStart w:id="947" w:name="_Hlk24103220"/>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vertAlign w:val="subscript"/>
        </w:rPr>
        <w:t>3</w:t>
      </w:r>
      <w:bookmarkEnd w:id="947"/>
      <w:r>
        <w:rPr>
          <w:rFonts w:hint="eastAsia" w:asciiTheme="minorEastAsia" w:hAnsiTheme="minorEastAsia" w:eastAsiaTheme="minorEastAsia" w:cstheme="minorEastAsia"/>
          <w:sz w:val="21"/>
          <w:szCs w:val="21"/>
        </w:rPr>
        <w:t>；……</w:t>
      </w:r>
      <w:bookmarkStart w:id="948" w:name="_Hlk24103245"/>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vertAlign w:val="subscript"/>
        </w:rPr>
        <w:t>n</w:t>
      </w:r>
      <w:bookmarkEnd w:id="948"/>
      <w:r>
        <w:rPr>
          <w:rFonts w:hint="eastAsia" w:asciiTheme="minorEastAsia" w:hAnsiTheme="minorEastAsia" w:eastAsiaTheme="minorEastAsia" w:cstheme="minorEastAsia"/>
          <w:sz w:val="21"/>
          <w:szCs w:val="21"/>
        </w:rPr>
        <w:t>---各可调因子的变值权重（即可调部分的权重）为各可调因子在投标函投标总报价中所占的比例，且A+B</w:t>
      </w:r>
      <w:r>
        <w:rPr>
          <w:rFonts w:hint="eastAsia" w:asciiTheme="minorEastAsia" w:hAnsiTheme="minorEastAsia" w:eastAsiaTheme="minorEastAsia" w:cstheme="minorEastAsia"/>
          <w:sz w:val="21"/>
          <w:szCs w:val="21"/>
          <w:vertAlign w:val="subscript"/>
        </w:rPr>
        <w:t>1</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vertAlign w:val="subscript"/>
        </w:rPr>
        <w:t>n</w:t>
      </w:r>
      <w:r>
        <w:rPr>
          <w:rFonts w:hint="eastAsia" w:asciiTheme="minorEastAsia" w:hAnsiTheme="minorEastAsia" w:eastAsiaTheme="minorEastAsia" w:cstheme="minorEastAsia"/>
          <w:sz w:val="21"/>
          <w:szCs w:val="21"/>
        </w:rPr>
        <w:t>=1；</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t1</w:t>
      </w: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t2</w:t>
      </w: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t3</w:t>
      </w: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tn</w:t>
      </w:r>
      <w:r>
        <w:rPr>
          <w:rFonts w:hint="eastAsia" w:asciiTheme="minorEastAsia" w:hAnsiTheme="minorEastAsia" w:eastAsiaTheme="minorEastAsia" w:cstheme="minorEastAsia"/>
          <w:sz w:val="21"/>
          <w:szCs w:val="21"/>
        </w:rPr>
        <w:t>---各可调因子的当期价格指数，指付款证书相关周期最后一天的前42天的各可调因子的价格指数；</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01</w:t>
      </w: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02</w:t>
      </w: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03</w:t>
      </w: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vertAlign w:val="subscript"/>
        </w:rPr>
        <w:t>0n</w:t>
      </w:r>
      <w:r>
        <w:rPr>
          <w:rFonts w:hint="eastAsia" w:asciiTheme="minorEastAsia" w:hAnsiTheme="minorEastAsia" w:eastAsiaTheme="minorEastAsia" w:cstheme="minorEastAsia"/>
          <w:sz w:val="21"/>
          <w:szCs w:val="21"/>
        </w:rPr>
        <w:t>---各可调因子的基本价格指数，指基准日期的各可调因子的价格指数。</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暂时确定调整差额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在计算调整差额时得不到当期价格指数的，可暂用上一次价格指数计算，并在以后的付款中再按实际价格指数进行调整。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权重的调整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按第13.1款[发包人变更权]约定的变更导致原定合同中的权重不合理的，由工程师与承包人和发包人协商后进行调整。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承包人原因工期延误后的价格调整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发包人引起的工期延误后的价格调整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45"/>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13.8.2.2 未列入</w:t>
      </w:r>
      <w:bookmarkStart w:id="949" w:name="_Hlk24494865"/>
      <w:r>
        <w:rPr>
          <w:rFonts w:hint="eastAsia" w:asciiTheme="minorEastAsia" w:hAnsiTheme="minorEastAsia" w:eastAsiaTheme="minorEastAsia" w:cstheme="minorEastAsia"/>
          <w:sz w:val="21"/>
          <w:szCs w:val="21"/>
        </w:rPr>
        <w:t>《价格指数权重表》</w:t>
      </w:r>
      <w:bookmarkEnd w:id="949"/>
      <w:r>
        <w:rPr>
          <w:rFonts w:hint="eastAsia" w:asciiTheme="minorEastAsia" w:hAnsiTheme="minorEastAsia" w:eastAsiaTheme="minorEastAsia" w:cstheme="minorEastAsia"/>
          <w:sz w:val="21"/>
          <w:szCs w:val="21"/>
        </w:rPr>
        <w:t>的费用不因市场变化而调整。</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13.8.3 双方约定采用其他方式调整合同价款的，以专用合同条件约定为准。</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50" w:name="_Ref531955880"/>
      <w:bookmarkStart w:id="951" w:name="_Ref531955885"/>
      <w:bookmarkStart w:id="952" w:name="_Toc54862291"/>
      <w:r>
        <w:rPr>
          <w:rFonts w:hint="eastAsia" w:asciiTheme="minorEastAsia" w:hAnsiTheme="minorEastAsia" w:eastAsiaTheme="minorEastAsia" w:cstheme="minorEastAsia"/>
          <w:b w:val="0"/>
          <w:bCs/>
          <w:sz w:val="21"/>
          <w:szCs w:val="21"/>
        </w:rPr>
        <w:t>第14条 合同价格与支付</w:t>
      </w:r>
      <w:bookmarkEnd w:id="950"/>
      <w:bookmarkEnd w:id="951"/>
      <w:bookmarkEnd w:id="952"/>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53" w:name="_Ref4431531"/>
      <w:bookmarkStart w:id="954" w:name="_Ref4431521"/>
      <w:bookmarkStart w:id="955" w:name="_Toc54862292"/>
      <w:r>
        <w:rPr>
          <w:rFonts w:hint="eastAsia" w:asciiTheme="minorEastAsia" w:hAnsiTheme="minorEastAsia" w:eastAsiaTheme="minorEastAsia" w:cstheme="minorEastAsia"/>
          <w:b w:val="0"/>
          <w:bCs/>
          <w:sz w:val="21"/>
          <w:szCs w:val="21"/>
        </w:rPr>
        <w:t>14.1 合同价格形式</w:t>
      </w:r>
      <w:bookmarkEnd w:id="953"/>
      <w:bookmarkEnd w:id="954"/>
      <w:bookmarkEnd w:id="95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14.1.1 除专用合同条件中另有约定外，本合同为总价合同，除根据第13条[变更与调整]，以及合同中其它相关增减金额的约定进行调整外，合同价格不做调整。</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14.1.2 除专用合同条件另有约定外：</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工程款的支付应以合同协议书约定的签约合同价格为基础，按照合同约定进行调整；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承包人应支付根据法律规定或合同约定应由其支付的各项税费，除第13.7款[法律变化引起的调整]约定外，合同价格不应因任何这些税费进行调整；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14.1.3 合同约定工程的某部分按照实际完成的工程量进行支付的，应按照专用合同条件的约定进行计量和估价，并据此调整合同价格。</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56" w:name="_Toc54862293"/>
      <w:bookmarkStart w:id="957" w:name="_Ref531956881"/>
      <w:bookmarkStart w:id="958" w:name="_Ref531956884"/>
      <w:r>
        <w:rPr>
          <w:rFonts w:hint="eastAsia" w:asciiTheme="minorEastAsia" w:hAnsiTheme="minorEastAsia" w:eastAsiaTheme="minorEastAsia" w:cstheme="minorEastAsia"/>
          <w:b w:val="0"/>
          <w:bCs/>
          <w:sz w:val="21"/>
          <w:szCs w:val="21"/>
        </w:rPr>
        <w:t>14.2 预付款</w:t>
      </w:r>
      <w:bookmarkEnd w:id="956"/>
      <w:bookmarkEnd w:id="957"/>
      <w:bookmarkEnd w:id="95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14.2.1 预付款支付</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预付款的额度和支付按照专用合同条件约定执行。预付款应当专用于承包人为合同工程的设计和工程实施购置材料、工程设备、施工设备、修建临时设施以及组织施工队伍进场等合同工作。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除专用合同条件另有约定外，预付款在进度付款中同比例扣回。在颁发工程接收证书前，提前解除合同的，尚未扣完的预付款应与合同价款一并结算。</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发包人逾期支付预付款超过7天的，承包人有权向发包人发出要求预付的催告通知，发包人收到通知后7天内仍未支付的，承包人有权暂停施工，并按第15.1.1项[发包人违约的情形]执行。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59" w:name="_Ref531956907"/>
      <w:bookmarkStart w:id="960" w:name="_Ref4797624"/>
      <w:bookmarkStart w:id="961" w:name="_Hlk54429963"/>
      <w:r>
        <w:rPr>
          <w:rFonts w:hint="eastAsia" w:asciiTheme="minorEastAsia" w:hAnsiTheme="minorEastAsia" w:eastAsiaTheme="minorEastAsia" w:cstheme="minorEastAsia"/>
          <w:sz w:val="21"/>
          <w:szCs w:val="21"/>
        </w:rPr>
        <w:t>14.2.2 预付款</w:t>
      </w:r>
      <w:bookmarkEnd w:id="959"/>
      <w:r>
        <w:rPr>
          <w:rFonts w:hint="eastAsia" w:asciiTheme="minorEastAsia" w:hAnsiTheme="minorEastAsia" w:eastAsiaTheme="minorEastAsia" w:cstheme="minorEastAsia"/>
          <w:sz w:val="21"/>
          <w:szCs w:val="21"/>
        </w:rPr>
        <w:t>担保</w:t>
      </w:r>
      <w:bookmarkEnd w:id="960"/>
    </w:p>
    <w:bookmarkEnd w:id="961"/>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发包人在工程款中逐期扣回预付款后，预付款担保额度应相应减少，但剩余的预付款担保金额不得低于未被扣回的预付款金额。</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62" w:name="_Toc4784195"/>
      <w:bookmarkEnd w:id="962"/>
      <w:bookmarkStart w:id="963" w:name="_Toc4784194"/>
      <w:bookmarkEnd w:id="963"/>
      <w:bookmarkStart w:id="964" w:name="_Toc4784193"/>
      <w:bookmarkEnd w:id="964"/>
      <w:bookmarkStart w:id="965" w:name="_Ref531956967"/>
      <w:bookmarkStart w:id="966" w:name="_Ref531956963"/>
      <w:bookmarkStart w:id="967" w:name="_Toc54862294"/>
      <w:bookmarkStart w:id="968" w:name="_Ref4623398"/>
      <w:r>
        <w:rPr>
          <w:rFonts w:hint="eastAsia" w:asciiTheme="minorEastAsia" w:hAnsiTheme="minorEastAsia" w:eastAsiaTheme="minorEastAsia" w:cstheme="minorEastAsia"/>
          <w:b w:val="0"/>
          <w:bCs/>
          <w:sz w:val="21"/>
          <w:szCs w:val="21"/>
        </w:rPr>
        <w:t>14.3 工程进度款</w:t>
      </w:r>
      <w:bookmarkEnd w:id="965"/>
      <w:bookmarkEnd w:id="966"/>
      <w:bookmarkEnd w:id="967"/>
      <w:bookmarkEnd w:id="96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69" w:name="_Ref531956987"/>
      <w:bookmarkStart w:id="970" w:name="_Ref532679934"/>
      <w:r>
        <w:rPr>
          <w:rFonts w:hint="eastAsia" w:asciiTheme="minorEastAsia" w:hAnsiTheme="minorEastAsia" w:eastAsiaTheme="minorEastAsia" w:cstheme="minorEastAsia"/>
          <w:sz w:val="21"/>
          <w:szCs w:val="21"/>
        </w:rPr>
        <w:t>14.3.1 工程进度付款申请</w:t>
      </w:r>
      <w:bookmarkEnd w:id="969"/>
      <w:bookmarkEnd w:id="97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（1）人工费的申请</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（2）除专用合同条件另有约定外，承包人应在每月月末向工程师提交进度付款申请单，该进度付款申请单应包括下列内容：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71" w:name="_Ref24496054"/>
      <w:r>
        <w:rPr>
          <w:rFonts w:hint="eastAsia" w:asciiTheme="minorEastAsia" w:hAnsiTheme="minorEastAsia" w:eastAsiaTheme="minorEastAsia" w:cstheme="minorEastAsia"/>
          <w:sz w:val="21"/>
          <w:szCs w:val="21"/>
        </w:rPr>
        <w:t>1） 截至本次付款周期内已完成工作对应的金额；</w:t>
      </w:r>
      <w:bookmarkEnd w:id="971"/>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扣除依据本款第（1）目约定中已扣除的人工费金额；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根据第13条[变更与调整]应增加和扣减的变更金额；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根据第14.2款[预付款]约定应支付的预付款和扣减的返还预付款；</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根据第14.6.2项[质量保证金的预留]约定应预留的质量保证金金额；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根据第19条[索赔]应增加和扣减的索赔金额；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对已签发的进度款支付证书中出现错误的修正，应在本次进度付款中支付或扣除的金额；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根据合同约定应增加和扣减的其他金额。</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72" w:name="_Ref531957608"/>
      <w:r>
        <w:rPr>
          <w:rFonts w:hint="eastAsia" w:asciiTheme="minorEastAsia" w:hAnsiTheme="minorEastAsia" w:eastAsiaTheme="minorEastAsia" w:cstheme="minorEastAsia"/>
          <w:sz w:val="21"/>
          <w:szCs w:val="21"/>
        </w:rPr>
        <w:t>14.3.2 进度付款审核和支付</w:t>
      </w:r>
      <w:bookmarkEnd w:id="972"/>
    </w:p>
    <w:p>
      <w:pPr>
        <w:pStyle w:val="46"/>
        <w:keepNext w:val="0"/>
        <w:keepLines w:val="0"/>
        <w:pageBreakBefore w:val="0"/>
        <w:numPr>
          <w:ilvl w:val="0"/>
          <w:numId w:val="0"/>
        </w:numPr>
        <w:kinsoku/>
        <w:wordWrap/>
        <w:overflowPunct/>
        <w:topLinePunct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46"/>
        <w:keepNext w:val="0"/>
        <w:keepLines w:val="0"/>
        <w:pageBreakBefore w:val="0"/>
        <w:numPr>
          <w:ilvl w:val="0"/>
          <w:numId w:val="0"/>
        </w:numPr>
        <w:kinsoku/>
        <w:wordWrap/>
        <w:overflowPunct/>
        <w:topLinePunct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46"/>
        <w:keepNext w:val="0"/>
        <w:keepLines w:val="0"/>
        <w:pageBreakBefore w:val="0"/>
        <w:numPr>
          <w:ilvl w:val="0"/>
          <w:numId w:val="0"/>
        </w:numPr>
        <w:kinsoku/>
        <w:wordWrap/>
        <w:overflowPunct/>
        <w:topLinePunct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发包人签发进度款支付证书，不表明发包人已同意、批准或接受了承包人完成的相应部分的工作。</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73" w:name="_Ref531957023"/>
      <w:r>
        <w:rPr>
          <w:rFonts w:hint="eastAsia" w:asciiTheme="minorEastAsia" w:hAnsiTheme="minorEastAsia" w:eastAsiaTheme="minorEastAsia" w:cstheme="minorEastAsia"/>
          <w:sz w:val="21"/>
          <w:szCs w:val="21"/>
        </w:rPr>
        <w:t>14.3.3 进度付款的修正</w:t>
      </w:r>
      <w:bookmarkEnd w:id="97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在对已签发的进度款支付证书进行阶段汇总和复核中发现错误、遗漏或重复的，发包人和承包人均有权提出修正申请。经发包人和承包人同意的修正，应在下期进度付款中支付或扣除。</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74" w:name="_Ref4538578"/>
      <w:bookmarkStart w:id="975" w:name="_Toc54862295"/>
      <w:bookmarkStart w:id="976" w:name="_Ref536647814"/>
      <w:bookmarkStart w:id="977" w:name="_Ref536647822"/>
      <w:r>
        <w:rPr>
          <w:rFonts w:hint="eastAsia" w:asciiTheme="minorEastAsia" w:hAnsiTheme="minorEastAsia" w:eastAsiaTheme="minorEastAsia" w:cstheme="minorEastAsia"/>
          <w:b w:val="0"/>
          <w:bCs/>
          <w:sz w:val="21"/>
          <w:szCs w:val="21"/>
        </w:rPr>
        <w:t>14.4 付款计划表</w:t>
      </w:r>
      <w:bookmarkEnd w:id="974"/>
      <w:bookmarkEnd w:id="97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78" w:name="_Ref4570974"/>
      <w:r>
        <w:rPr>
          <w:rFonts w:hint="eastAsia" w:asciiTheme="minorEastAsia" w:hAnsiTheme="minorEastAsia" w:eastAsiaTheme="minorEastAsia" w:cstheme="minorEastAsia"/>
          <w:sz w:val="21"/>
          <w:szCs w:val="21"/>
        </w:rPr>
        <w:t>14.4.1 付款计划表的编制要求</w:t>
      </w:r>
      <w:bookmarkEnd w:id="97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除专用合同条件另有约定外，付款计划表按如下要求编制：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付款计划表中所列的每期付款金额，应为第14.3.1项[工程进度付款申请]每期进度款的估算金额；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实际进度与项目进度计划不一致的，合同当事人可按照第3.6款[商定或确定]修改付款计划表；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不采用付款计划表的，承包人应向工程师提交按季度编制的支付估算付款计划表，用于支付参考。</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79" w:name="_Ref4571011"/>
      <w:r>
        <w:rPr>
          <w:rFonts w:hint="eastAsia" w:asciiTheme="minorEastAsia" w:hAnsiTheme="minorEastAsia" w:eastAsiaTheme="minorEastAsia" w:cstheme="minorEastAsia"/>
          <w:sz w:val="21"/>
          <w:szCs w:val="21"/>
        </w:rPr>
        <w:t>14.4.2 付款计划表的编制与审批</w:t>
      </w:r>
      <w:bookmarkEnd w:id="97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工程师应在收到付款计划表后7天内完成审核并报送发包人。发包人应在收到经工程师审核的付款计划表后7天内完成审批，经发包人批准的付款计划表为有约束力的付款计划表。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发包人逾期未完成付款计划表审批的，也未及时要求承包人进行修正和提供补充资料的，则承包人提交的付款计划表视为已经获得发包人批准。</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80" w:name="_Ref4538634"/>
      <w:bookmarkStart w:id="981" w:name="_Toc54862296"/>
      <w:r>
        <w:rPr>
          <w:rFonts w:hint="eastAsia" w:asciiTheme="minorEastAsia" w:hAnsiTheme="minorEastAsia" w:eastAsiaTheme="minorEastAsia" w:cstheme="minorEastAsia"/>
          <w:b w:val="0"/>
          <w:bCs/>
          <w:sz w:val="21"/>
          <w:szCs w:val="21"/>
        </w:rPr>
        <w:t>14.5 竣工结算</w:t>
      </w:r>
      <w:bookmarkEnd w:id="980"/>
      <w:bookmarkEnd w:id="981"/>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82" w:name="_Ref4571361"/>
      <w:r>
        <w:rPr>
          <w:rFonts w:hint="eastAsia" w:asciiTheme="minorEastAsia" w:hAnsiTheme="minorEastAsia" w:eastAsiaTheme="minorEastAsia" w:cstheme="minorEastAsia"/>
          <w:sz w:val="21"/>
          <w:szCs w:val="21"/>
        </w:rPr>
        <w:t>14.5.1 竣工结算申请</w:t>
      </w:r>
      <w:bookmarkEnd w:id="98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除专用合同条件另有约定外，竣工结算申请单应包括以下内容：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竣工结算合同价格；</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发包人已支付承包人的款项；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发包人应支付承包人的合同价款。</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83" w:name="_Ref4571384"/>
      <w:r>
        <w:rPr>
          <w:rFonts w:hint="eastAsia" w:asciiTheme="minorEastAsia" w:hAnsiTheme="minorEastAsia" w:eastAsiaTheme="minorEastAsia" w:cstheme="minorEastAsia"/>
          <w:sz w:val="21"/>
          <w:szCs w:val="21"/>
        </w:rPr>
        <w:t>14.5.2 竣工结算审核</w:t>
      </w:r>
      <w:bookmarkEnd w:id="98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84" w:name="_Ref4618006"/>
      <w:r>
        <w:rPr>
          <w:rFonts w:hint="eastAsia" w:asciiTheme="minorEastAsia" w:hAnsiTheme="minorEastAsia" w:eastAsiaTheme="minorEastAsia" w:cstheme="minorEastAsia"/>
          <w:sz w:val="21"/>
          <w:szCs w:val="21"/>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98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85" w:name="_Ref15484305"/>
      <w:r>
        <w:rPr>
          <w:rFonts w:hint="eastAsia" w:asciiTheme="minorEastAsia" w:hAnsiTheme="minorEastAsia" w:eastAsiaTheme="minorEastAsia" w:cstheme="minorEastAsia"/>
          <w:sz w:val="21"/>
          <w:szCs w:val="21"/>
        </w:rPr>
        <w:t>14.5.3 扫尾工作清单</w:t>
      </w:r>
      <w:bookmarkEnd w:id="98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经双方协商，部分工作在工程竣工验收后进行的，承包人应当编制扫尾工作清单，扫尾工作清单中应当列明承包人应当完成的扫尾工作的内容及完成时间。</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承包人完成扫尾工作清单中的内容应取得的费用包含在第14.5.1项[竣工结算申请]及第14.5.2项[竣工结算审核]中一并结算。</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扫尾工作的缺陷责任期按第11条[缺陷责任与保修]处理。承包人未能按照扫尾工作清单约定的完成时间完成扫尾工作的，视为承包人原因导致的工程质量缺陷按照第11.3款[缺陷调查]处理。</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986" w:name="_Ref4571127"/>
      <w:bookmarkStart w:id="987" w:name="_Toc54862297"/>
      <w:bookmarkStart w:id="988" w:name="_Ref4617592"/>
      <w:bookmarkStart w:id="989" w:name="_Ref4617582"/>
      <w:bookmarkStart w:id="990" w:name="_Ref4582115"/>
      <w:bookmarkStart w:id="991" w:name="_Ref15395020"/>
      <w:bookmarkStart w:id="992" w:name="_Ref4571100"/>
      <w:bookmarkStart w:id="993" w:name="_Hlk15394931"/>
      <w:r>
        <w:rPr>
          <w:rFonts w:hint="eastAsia" w:asciiTheme="minorEastAsia" w:hAnsiTheme="minorEastAsia" w:eastAsiaTheme="minorEastAsia" w:cstheme="minorEastAsia"/>
          <w:b w:val="0"/>
          <w:bCs/>
          <w:sz w:val="21"/>
          <w:szCs w:val="21"/>
        </w:rPr>
        <w:t>14.6 质量保证金</w:t>
      </w:r>
      <w:bookmarkEnd w:id="976"/>
      <w:bookmarkEnd w:id="977"/>
      <w:bookmarkEnd w:id="986"/>
      <w:bookmarkEnd w:id="987"/>
      <w:bookmarkEnd w:id="988"/>
      <w:bookmarkEnd w:id="989"/>
      <w:bookmarkEnd w:id="990"/>
      <w:bookmarkEnd w:id="991"/>
      <w:bookmarkEnd w:id="992"/>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经合同当事人协商一致提供质量保证金的，应在专用合同条件中予以明确。在工程项目竣工前，承包人已经提供履约担保的，发包人不得同时要求承包人提供质量保证金。</w:t>
      </w:r>
    </w:p>
    <w:bookmarkEnd w:id="993"/>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94" w:name="_Ref531955069"/>
      <w:bookmarkStart w:id="995" w:name="_Ref531957153"/>
      <w:r>
        <w:rPr>
          <w:rFonts w:hint="eastAsia" w:asciiTheme="minorEastAsia" w:hAnsiTheme="minorEastAsia" w:eastAsiaTheme="minorEastAsia" w:cstheme="minorEastAsia"/>
          <w:sz w:val="21"/>
          <w:szCs w:val="21"/>
        </w:rPr>
        <w:t>14.6.1 承包人提供质量保证金的方式</w:t>
      </w:r>
      <w:bookmarkEnd w:id="99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承包人提供质量保证金有以下三种方式：</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96" w:name="_Ref531955096"/>
      <w:r>
        <w:rPr>
          <w:rFonts w:hint="eastAsia" w:asciiTheme="minorEastAsia" w:hAnsiTheme="minorEastAsia" w:eastAsiaTheme="minorEastAsia" w:cstheme="minorEastAsia"/>
          <w:sz w:val="21"/>
          <w:szCs w:val="21"/>
        </w:rPr>
        <w:t>（1） 提交工程质量保证担保；</w:t>
      </w:r>
      <w:bookmarkEnd w:id="99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97" w:name="_Ref531955107"/>
      <w:r>
        <w:rPr>
          <w:rFonts w:hint="eastAsia" w:asciiTheme="minorEastAsia" w:hAnsiTheme="minorEastAsia" w:eastAsiaTheme="minorEastAsia" w:cstheme="minorEastAsia"/>
          <w:sz w:val="21"/>
          <w:szCs w:val="21"/>
        </w:rPr>
        <w:t>（2） 预留相应比例的工程款；</w:t>
      </w:r>
      <w:bookmarkEnd w:id="99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998" w:name="_Ref531955117"/>
      <w:r>
        <w:rPr>
          <w:rFonts w:hint="eastAsia" w:asciiTheme="minorEastAsia" w:hAnsiTheme="minorEastAsia" w:eastAsiaTheme="minorEastAsia" w:cstheme="minorEastAsia"/>
          <w:sz w:val="21"/>
          <w:szCs w:val="21"/>
        </w:rPr>
        <w:t>（3） 双方约定的其他方式。</w:t>
      </w:r>
      <w:bookmarkEnd w:id="99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999" w:name="_Ref18931667"/>
      <w:bookmarkStart w:id="1000" w:name="_Ref15419738"/>
      <w:r>
        <w:rPr>
          <w:rFonts w:hint="eastAsia" w:asciiTheme="minorEastAsia" w:hAnsiTheme="minorEastAsia" w:eastAsiaTheme="minorEastAsia" w:cstheme="minorEastAsia"/>
          <w:sz w:val="21"/>
          <w:szCs w:val="21"/>
        </w:rPr>
        <w:t>14.6.2 质量保证金的预留</w:t>
      </w:r>
      <w:bookmarkEnd w:id="999"/>
      <w:bookmarkEnd w:id="100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双方约定采用预留相应比例的工程款方式提供质量保证金的，质量保证金的预留有以下三种方式：</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001" w:name="_Hlk18840714"/>
      <w:bookmarkStart w:id="1002" w:name="_Ref531955143"/>
      <w:r>
        <w:rPr>
          <w:rFonts w:hint="eastAsia" w:asciiTheme="minorEastAsia" w:hAnsiTheme="minorEastAsia" w:eastAsiaTheme="minorEastAsia" w:cstheme="minorEastAsia"/>
          <w:sz w:val="21"/>
          <w:szCs w:val="21"/>
        </w:rPr>
        <w:t>（1） 按专用合同条件的约定在支付工程进度款时逐次预留，直至预留的质量保证金总额达到专用合同条件约定的金额或比例为止</w:t>
      </w:r>
      <w:bookmarkEnd w:id="1001"/>
      <w:r>
        <w:rPr>
          <w:rFonts w:hint="eastAsia" w:asciiTheme="minorEastAsia" w:hAnsiTheme="minorEastAsia" w:eastAsiaTheme="minorEastAsia" w:cstheme="minorEastAsia"/>
          <w:sz w:val="21"/>
          <w:szCs w:val="21"/>
        </w:rPr>
        <w:t>。在此情形下，质量保证金的计算基数不包括预付款的支付、扣回以及价格调整的金额；</w:t>
      </w:r>
      <w:bookmarkEnd w:id="100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003" w:name="_Ref531955151"/>
      <w:r>
        <w:rPr>
          <w:rFonts w:hint="eastAsia" w:asciiTheme="minorEastAsia" w:hAnsiTheme="minorEastAsia" w:eastAsiaTheme="minorEastAsia" w:cstheme="minorEastAsia"/>
          <w:sz w:val="21"/>
          <w:szCs w:val="21"/>
        </w:rPr>
        <w:t>（2） 工程竣工结算时一次性预留质量保证金；</w:t>
      </w:r>
      <w:bookmarkEnd w:id="100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004" w:name="_Ref531955161"/>
      <w:r>
        <w:rPr>
          <w:rFonts w:hint="eastAsia" w:asciiTheme="minorEastAsia" w:hAnsiTheme="minorEastAsia" w:eastAsiaTheme="minorEastAsia" w:cstheme="minorEastAsia"/>
          <w:sz w:val="21"/>
          <w:szCs w:val="21"/>
        </w:rPr>
        <w:t>（3） 双方约定的其他预留方式。</w:t>
      </w:r>
      <w:bookmarkEnd w:id="100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05" w:name="_Ref532690096"/>
      <w:bookmarkStart w:id="1006" w:name="_Ref4571243"/>
      <w:r>
        <w:rPr>
          <w:rFonts w:hint="eastAsia" w:asciiTheme="minorEastAsia" w:hAnsiTheme="minorEastAsia" w:eastAsiaTheme="minorEastAsia" w:cstheme="minorEastAsia"/>
          <w:sz w:val="21"/>
          <w:szCs w:val="21"/>
        </w:rPr>
        <w:t>14.6.3 质量保证金的</w:t>
      </w:r>
      <w:bookmarkEnd w:id="1005"/>
      <w:r>
        <w:rPr>
          <w:rFonts w:hint="eastAsia" w:asciiTheme="minorEastAsia" w:hAnsiTheme="minorEastAsia" w:eastAsiaTheme="minorEastAsia" w:cstheme="minorEastAsia"/>
          <w:sz w:val="21"/>
          <w:szCs w:val="21"/>
        </w:rPr>
        <w:t>返还</w:t>
      </w:r>
      <w:bookmarkEnd w:id="100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缺陷责任期内，承包人认真履行合同约定的责任，缺陷责任期满，发包人根据第11.6款[缺陷责任期终止证书]向承包人颁发缺陷责任期终止证书后，承包人可向发包人申请返还质量保证金。</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发包人和承包人对质量保证金预留、返还以及工程维修质量、费用有争议的，按本合同第20条[争议解决]约定的争议和纠纷解决程序处理。</w:t>
      </w:r>
    </w:p>
    <w:bookmarkEnd w:id="995"/>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07" w:name="_Ref531957341"/>
      <w:bookmarkStart w:id="1008" w:name="_Ref531957339"/>
      <w:bookmarkStart w:id="1009" w:name="_Toc54862298"/>
      <w:r>
        <w:rPr>
          <w:rFonts w:hint="eastAsia" w:asciiTheme="minorEastAsia" w:hAnsiTheme="minorEastAsia" w:eastAsiaTheme="minorEastAsia" w:cstheme="minorEastAsia"/>
          <w:b w:val="0"/>
          <w:bCs/>
          <w:sz w:val="21"/>
          <w:szCs w:val="21"/>
        </w:rPr>
        <w:t>14.7 最终结清</w:t>
      </w:r>
      <w:bookmarkEnd w:id="1007"/>
      <w:bookmarkEnd w:id="1008"/>
      <w:bookmarkEnd w:id="1009"/>
      <w:r>
        <w:rPr>
          <w:rFonts w:hint="eastAsia" w:asciiTheme="minorEastAsia" w:hAnsiTheme="minorEastAsia" w:eastAsiaTheme="minorEastAsia" w:cstheme="minorEastAsia"/>
          <w:b w:val="0"/>
          <w:bCs/>
          <w:sz w:val="21"/>
          <w:szCs w:val="21"/>
        </w:rPr>
        <w:t xml:space="preserve"> </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10" w:name="_Ref531957350"/>
      <w:r>
        <w:rPr>
          <w:rFonts w:hint="eastAsia" w:asciiTheme="minorEastAsia" w:hAnsiTheme="minorEastAsia" w:eastAsiaTheme="minorEastAsia" w:cstheme="minorEastAsia"/>
          <w:sz w:val="21"/>
          <w:szCs w:val="21"/>
        </w:rPr>
        <w:t>14.7.1 最终结清申请</w:t>
      </w:r>
      <w:bookmarkEnd w:id="1010"/>
      <w:r>
        <w:rPr>
          <w:rFonts w:hint="eastAsia" w:asciiTheme="minorEastAsia" w:hAnsiTheme="minorEastAsia" w:eastAsiaTheme="minorEastAsia" w:cstheme="minorEastAsia"/>
          <w:sz w:val="21"/>
          <w:szCs w:val="21"/>
        </w:rPr>
        <w:t>单</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除专用合同条件另有约定外，承包人应在缺陷责任期终止证书颁发后7天内，按专用合同条件约定的份数向发包人提交最终结清申请单，并提供相关证明材料。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除专用合同条件另有约定外，最终结清申请单应列明质量保证金、应扣除的质量保证金、缺陷责任期内发生的增减费用。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发包人对最终结清申请单内容有异议的，有权要求承包人进行修正和提供补充资料，承包人应向发包人提交修正后的最终结清申请单。</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11" w:name="_Ref531957369"/>
      <w:bookmarkStart w:id="1012" w:name="_Ref4624099"/>
      <w:r>
        <w:rPr>
          <w:rFonts w:hint="eastAsia" w:asciiTheme="minorEastAsia" w:hAnsiTheme="minorEastAsia" w:eastAsiaTheme="minorEastAsia" w:cstheme="minorEastAsia"/>
          <w:sz w:val="21"/>
          <w:szCs w:val="21"/>
        </w:rPr>
        <w:t>14.7.2 最终结清证书</w:t>
      </w:r>
      <w:bookmarkEnd w:id="1011"/>
      <w:r>
        <w:rPr>
          <w:rFonts w:hint="eastAsia" w:asciiTheme="minorEastAsia" w:hAnsiTheme="minorEastAsia" w:eastAsiaTheme="minorEastAsia" w:cstheme="minorEastAsia"/>
          <w:sz w:val="21"/>
          <w:szCs w:val="21"/>
        </w:rPr>
        <w:t>和支付</w:t>
      </w:r>
      <w:bookmarkEnd w:id="101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除专用合同条件另有约定外，发包人应在颁发最终结清证书后7天内完成支付。发包人逾期支付的，按照贷款市场报价利率（LPR）支付利息；逾期支付超过56天的，按照贷款市场报价利率（LPR）的两倍支付利息。</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承包人对发包人颁发的最终结清证书有异议的，按第20条[争议解决]的约定办理。</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13" w:name="_Ref11920407"/>
      <w:bookmarkStart w:id="1014" w:name="_Toc54862299"/>
      <w:bookmarkStart w:id="1015" w:name="_Ref11874957"/>
      <w:bookmarkStart w:id="1016" w:name="_Ref11920396"/>
      <w:r>
        <w:rPr>
          <w:rFonts w:hint="eastAsia" w:asciiTheme="minorEastAsia" w:hAnsiTheme="minorEastAsia" w:eastAsiaTheme="minorEastAsia" w:cstheme="minorEastAsia"/>
          <w:b w:val="0"/>
          <w:bCs/>
          <w:sz w:val="21"/>
          <w:szCs w:val="21"/>
        </w:rPr>
        <w:t>第15条 违约</w:t>
      </w:r>
      <w:bookmarkEnd w:id="871"/>
      <w:bookmarkEnd w:id="875"/>
      <w:bookmarkEnd w:id="876"/>
      <w:bookmarkEnd w:id="1013"/>
      <w:bookmarkEnd w:id="1014"/>
      <w:bookmarkEnd w:id="1015"/>
      <w:bookmarkEnd w:id="1016"/>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17" w:name="_Ref4534376"/>
      <w:bookmarkStart w:id="1018" w:name="_Ref4534411"/>
      <w:bookmarkStart w:id="1019" w:name="_Toc54862300"/>
      <w:bookmarkStart w:id="1020" w:name="_Ref4534399"/>
      <w:bookmarkStart w:id="1021" w:name="_Ref4534384"/>
      <w:r>
        <w:rPr>
          <w:rFonts w:hint="eastAsia" w:asciiTheme="minorEastAsia" w:hAnsiTheme="minorEastAsia" w:eastAsiaTheme="minorEastAsia" w:cstheme="minorEastAsia"/>
          <w:b w:val="0"/>
          <w:bCs/>
          <w:sz w:val="21"/>
          <w:szCs w:val="21"/>
        </w:rPr>
        <w:t>15.1 发包人违约</w:t>
      </w:r>
      <w:bookmarkEnd w:id="1017"/>
      <w:bookmarkEnd w:id="1018"/>
      <w:bookmarkEnd w:id="1019"/>
      <w:bookmarkEnd w:id="1020"/>
      <w:bookmarkEnd w:id="1021"/>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22" w:name="_Ref3841087"/>
      <w:r>
        <w:rPr>
          <w:rFonts w:hint="eastAsia" w:asciiTheme="minorEastAsia" w:hAnsiTheme="minorEastAsia" w:eastAsiaTheme="minorEastAsia" w:cstheme="minorEastAsia"/>
          <w:sz w:val="21"/>
          <w:szCs w:val="21"/>
        </w:rPr>
        <w:t>15.1.1 发包人违约的情形</w:t>
      </w:r>
      <w:bookmarkEnd w:id="102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除专用合同条件另有约定外，在合同履行过程中发生的下列情形，属于发包人违约：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因发包人原因导致开始工作日期延误的；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因发包人原因未能按合同约定支付合同价款的；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发包人违反第13.1.1项约定，自行实施被取消的工作或转由他人实施的；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因发包人违反合同约定造成工程暂停施工的；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工程师无正当理由没有在约定期限内发出复工指示，导致承包人无法复工的；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发包人明确表示或者以其行为表明不履行合同主要义务的；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发包人未能按照合同约定履行其他义务的。</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23" w:name="_Ref4535692"/>
      <w:r>
        <w:rPr>
          <w:rFonts w:hint="eastAsia" w:asciiTheme="minorEastAsia" w:hAnsiTheme="minorEastAsia" w:eastAsiaTheme="minorEastAsia" w:cstheme="minorEastAsia"/>
          <w:sz w:val="21"/>
          <w:szCs w:val="21"/>
        </w:rPr>
        <w:t>15.1.2 通知改正</w:t>
      </w:r>
      <w:bookmarkEnd w:id="102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024" w:name="_Hlk16248297"/>
      <w:r>
        <w:rPr>
          <w:rFonts w:hint="eastAsia" w:asciiTheme="minorEastAsia" w:hAnsiTheme="minorEastAsia" w:eastAsiaTheme="minorEastAsia" w:cstheme="minorEastAsia"/>
          <w:sz w:val="21"/>
          <w:szCs w:val="21"/>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102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25" w:name="_Ref3841132"/>
      <w:r>
        <w:rPr>
          <w:rFonts w:hint="eastAsia" w:asciiTheme="minorEastAsia" w:hAnsiTheme="minorEastAsia" w:eastAsiaTheme="minorEastAsia" w:cstheme="minorEastAsia"/>
          <w:sz w:val="21"/>
          <w:szCs w:val="21"/>
        </w:rPr>
        <w:t>15.1.3 发包人违约的责任</w:t>
      </w:r>
      <w:bookmarkEnd w:id="102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026" w:name="_Hlk16247984"/>
      <w:r>
        <w:rPr>
          <w:rFonts w:hint="eastAsia" w:asciiTheme="minorEastAsia" w:hAnsiTheme="minorEastAsia" w:eastAsiaTheme="minorEastAsia" w:cstheme="minorEastAsia"/>
          <w:sz w:val="21"/>
          <w:szCs w:val="21"/>
        </w:rPr>
        <w:t>发包人应承担因其违约给承包人增加的费用和（或）延误的工期，并支付承包人合理的利润。此外，合同当事人可在专用合同条件中另行约定发包人违约责任的承担方式和计算方法。</w:t>
      </w:r>
      <w:bookmarkEnd w:id="1026"/>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27" w:name="_Ref11958663"/>
      <w:bookmarkStart w:id="1028" w:name="_Ref11958660"/>
      <w:bookmarkStart w:id="1029" w:name="_Toc54862301"/>
      <w:r>
        <w:rPr>
          <w:rFonts w:hint="eastAsia" w:asciiTheme="minorEastAsia" w:hAnsiTheme="minorEastAsia" w:eastAsiaTheme="minorEastAsia" w:cstheme="minorEastAsia"/>
          <w:b w:val="0"/>
          <w:bCs/>
          <w:sz w:val="21"/>
          <w:szCs w:val="21"/>
        </w:rPr>
        <w:t>15.2 承包人违约</w:t>
      </w:r>
      <w:bookmarkEnd w:id="1027"/>
      <w:bookmarkEnd w:id="1028"/>
      <w:bookmarkEnd w:id="1029"/>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30" w:name="_Ref3841153"/>
      <w:r>
        <w:rPr>
          <w:rFonts w:hint="eastAsia" w:asciiTheme="minorEastAsia" w:hAnsiTheme="minorEastAsia" w:eastAsiaTheme="minorEastAsia" w:cstheme="minorEastAsia"/>
          <w:sz w:val="21"/>
          <w:szCs w:val="21"/>
        </w:rPr>
        <w:t>15.2.1 承包人违约的情形</w:t>
      </w:r>
      <w:bookmarkEnd w:id="103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除专用合同条件另有约定外，在履行合同过程中发生的下列情况之一的，属于承包人违约：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承包人的原因导致的承包人文件、实施和竣工的工程不符合法律法规、工程质量验收标准以及合同约定；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承包人违反合同约定进行转包或违法分包的；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承包人违反约定采购和使用不合格材料或工程设备；</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因承包人原因导致工程质量不符合合同要求的；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承包人未经工程师批准，擅自将已按合同约定进入施工现场的施工设备、临时设施或材料撤离施工现场；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承包人未能按项目进度计划及时完成合同约定的工作，造成工期延误；</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由于承包人原因未能通过竣工试验或竣工后试验的；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承包人在缺陷责任期及保修期内，未能在合理期限对工程缺陷进行修复，或拒绝按发包人指示进行修复的；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 承包人明确表示或者以其行为表明不履行合同主要义务的；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承包人未能按照合同约定履行其他义务的。</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31" w:name="_Ref531958512"/>
      <w:r>
        <w:rPr>
          <w:rFonts w:hint="eastAsia" w:asciiTheme="minorEastAsia" w:hAnsiTheme="minorEastAsia" w:eastAsiaTheme="minorEastAsia" w:cstheme="minorEastAsia"/>
          <w:sz w:val="21"/>
          <w:szCs w:val="21"/>
        </w:rPr>
        <w:t>15.2.2 通知改正</w:t>
      </w:r>
      <w:bookmarkEnd w:id="1031"/>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承包人发生除第15.2.1项第(7)目、第(9)目约定以外的其他违约情况时，工程师可在专用合同条件约定的合理期限内向承包人发出整改通知，要求其在指定的期限内改正。</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32" w:name="_Ref3841166"/>
      <w:r>
        <w:rPr>
          <w:rFonts w:hint="eastAsia" w:asciiTheme="minorEastAsia" w:hAnsiTheme="minorEastAsia" w:eastAsiaTheme="minorEastAsia" w:cstheme="minorEastAsia"/>
          <w:sz w:val="21"/>
          <w:szCs w:val="21"/>
        </w:rPr>
        <w:t>15.2.3 承包人违约的责任</w:t>
      </w:r>
      <w:bookmarkEnd w:id="103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承包人应承担因其违约行为而增加的费用和（或）延误的工期。此外，合同当事人可在专用合同条件中另行约定承包人违约责任的承担方式和计算方法。</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33" w:name="_Toc54862302"/>
      <w:r>
        <w:rPr>
          <w:rFonts w:hint="eastAsia" w:asciiTheme="minorEastAsia" w:hAnsiTheme="minorEastAsia" w:eastAsiaTheme="minorEastAsia" w:cstheme="minorEastAsia"/>
          <w:b w:val="0"/>
          <w:bCs/>
          <w:sz w:val="21"/>
          <w:szCs w:val="21"/>
        </w:rPr>
        <w:t>15.3 第三人造成的违约</w:t>
      </w:r>
      <w:bookmarkEnd w:id="103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在履行合同过程中，一方当事人因第三人的原因造成违约的，应当向对方当事人承担违约责任。一方当事人和第三人之间的纠纷，依照法律规定或者按照约定解决。</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34" w:name="_Toc54862303"/>
      <w:bookmarkStart w:id="1035" w:name="_Ref4510572"/>
      <w:bookmarkStart w:id="1036" w:name="_Ref3840457"/>
      <w:bookmarkStart w:id="1037" w:name="_Ref532142069"/>
      <w:r>
        <w:rPr>
          <w:rFonts w:hint="eastAsia" w:asciiTheme="minorEastAsia" w:hAnsiTheme="minorEastAsia" w:eastAsiaTheme="minorEastAsia" w:cstheme="minorEastAsia"/>
          <w:b w:val="0"/>
          <w:bCs/>
          <w:sz w:val="21"/>
          <w:szCs w:val="21"/>
        </w:rPr>
        <w:t>第16条 合同解除</w:t>
      </w:r>
      <w:bookmarkEnd w:id="1034"/>
      <w:bookmarkEnd w:id="1035"/>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38" w:name="_Ref531958499"/>
      <w:bookmarkStart w:id="1039" w:name="_Toc54862304"/>
      <w:bookmarkStart w:id="1040" w:name="_Ref531958502"/>
      <w:r>
        <w:rPr>
          <w:rFonts w:hint="eastAsia" w:asciiTheme="minorEastAsia" w:hAnsiTheme="minorEastAsia" w:eastAsiaTheme="minorEastAsia" w:cstheme="minorEastAsia"/>
          <w:b w:val="0"/>
          <w:bCs/>
          <w:sz w:val="21"/>
          <w:szCs w:val="21"/>
        </w:rPr>
        <w:t>16.1 由发包人解除合同</w:t>
      </w:r>
      <w:bookmarkEnd w:id="1038"/>
      <w:bookmarkEnd w:id="1039"/>
      <w:bookmarkEnd w:id="1040"/>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41" w:name="_Ref4535422"/>
      <w:r>
        <w:rPr>
          <w:rFonts w:hint="eastAsia" w:asciiTheme="minorEastAsia" w:hAnsiTheme="minorEastAsia" w:eastAsiaTheme="minorEastAsia" w:cstheme="minorEastAsia"/>
          <w:sz w:val="21"/>
          <w:szCs w:val="21"/>
        </w:rPr>
        <w:t>16.1.1 因承包人违约解除合同</w:t>
      </w:r>
      <w:bookmarkEnd w:id="1041"/>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042" w:name="_Ref531958536"/>
      <w:r>
        <w:rPr>
          <w:rFonts w:hint="eastAsia" w:asciiTheme="minorEastAsia" w:hAnsiTheme="minorEastAsia" w:eastAsiaTheme="minorEastAsia" w:cstheme="minorEastAsia"/>
          <w:sz w:val="21"/>
          <w:szCs w:val="21"/>
        </w:rPr>
        <w:t>（1） 承包人未能遵守第4.2款</w:t>
      </w:r>
      <w:bookmarkStart w:id="1043" w:name="_Hlk18839947"/>
      <w:r>
        <w:rPr>
          <w:rFonts w:hint="eastAsia" w:asciiTheme="minorEastAsia" w:hAnsiTheme="minorEastAsia" w:eastAsiaTheme="minorEastAsia" w:cstheme="minorEastAsia"/>
          <w:sz w:val="21"/>
          <w:szCs w:val="21"/>
        </w:rPr>
        <w:t>[履约担保]</w:t>
      </w:r>
      <w:bookmarkEnd w:id="1043"/>
      <w:r>
        <w:rPr>
          <w:rFonts w:hint="eastAsia" w:asciiTheme="minorEastAsia" w:hAnsiTheme="minorEastAsia" w:eastAsiaTheme="minorEastAsia" w:cstheme="minorEastAsia"/>
          <w:sz w:val="21"/>
          <w:szCs w:val="21"/>
        </w:rPr>
        <w:t>的约定；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承包人未能遵守第4.5款[分包]有关分包和转包的约定；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承包人实际进度明显落后于进度计划，并且未按发包人的指令采取措施并修正进度计划；</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工程质量有严重缺陷，承包人无正当理由使修复开始日期拖延达28天以上；</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承包人明确表示或以自己的行为表明不履行合同、或经发包人以书面形式通知其履约后仍未能依约履行合同、或以不适当的方式履行合同；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未能通过的竣工试验、未能通过的竣工后试验，使工程的任何部分和（或）整个工程丧失了主要使用功能、生产功能；</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因承包人的原因暂停工作超过56天且暂停影响到整个工程，或因承包人的原因暂停工作超过182天；</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 承包人未能遵守第8.2款[竣工日期]规定，延误超过182天；</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工程师根据第15.2.2项[通知改正]发出整改通知后，承包人在指定的合理期限内仍不纠正违约行为并致使合同目的不能实现的。</w:t>
      </w:r>
    </w:p>
    <w:bookmarkEnd w:id="1042"/>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44" w:name="_Ref3841839"/>
      <w:bookmarkStart w:id="1045" w:name="_Ref4624315"/>
      <w:r>
        <w:rPr>
          <w:rFonts w:hint="eastAsia" w:asciiTheme="minorEastAsia" w:hAnsiTheme="minorEastAsia" w:eastAsiaTheme="minorEastAsia" w:cstheme="minorEastAsia"/>
          <w:sz w:val="21"/>
          <w:szCs w:val="21"/>
        </w:rPr>
        <w:t>16.1.2 因承包人违约解除合同后</w:t>
      </w:r>
      <w:bookmarkEnd w:id="1044"/>
      <w:r>
        <w:rPr>
          <w:rFonts w:hint="eastAsia" w:asciiTheme="minorEastAsia" w:hAnsiTheme="minorEastAsia" w:eastAsiaTheme="minorEastAsia" w:cstheme="minorEastAsia"/>
          <w:sz w:val="21"/>
          <w:szCs w:val="21"/>
        </w:rPr>
        <w:t>承包人的义务</w:t>
      </w:r>
      <w:bookmarkEnd w:id="104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合同解除后，承包人应按以下约定执行：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除了为保护生命、财产或工程安全、清理和必须执行的工作外，停止执行所有被通知解除的工作，并将相关人员撤离现场；</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经发包人批准，承包人应将与被解除合同相关的和正在执行的分包合同及相关的责任和义务转让至发包人和（或）发包人指定方的名下，包括永久性工程及工程物资，以及相关工作；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移交已完成的永久性工程及负责已运抵现场的工程物资。在移交前，妥善做好己完工程和已运抵现场的工程物资的保管、维护和保养；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将发包人提供的所有信息及承包人为本工程编制的设计文件、技术资料及其它文件移交给发包人。在承包人留有的资料文件中，销毁与发包人提供的所有信息相关的数据及资料的备份；</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移交相应实施阶段已经付款的并已完成的和尚待完成的设计文件、图纸、资料、操作维修手册、施工组织设计、质检资料、竣工资料等；</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16.1.3 因承包人违约解除合同后的估价、付款和结算</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因承包人原因导致合同解除的，则合同当事人应在合同解除后28天内完成估价、付款和清算，并按以下约定执行：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合同解除后，按第3.6款[商定或确定]商定或确定承包人实际完成工作对应的合同价款，以及承包人已提供的材料、工程设备、施工设备和临时工程等的价值；</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合同解除后，承包人应支付的违约金；</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合同解除后，因解除合同给发包人造成的损失；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合同解除后，承包人应按照发包人的指示完成现场的清理和撤离；</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发包人和承包人应在合同解除后进行清算，出具最终结清付款证书，结清全部款项。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因承包人违约解除合同的，发包人有权暂停对承包人的付款，查清各项付款和已扣款项，发包人和承包人未能就合同解除后的清算和款项支付达成一致的，按照第20条[争议解决]的约定处理。</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16.1.4 因承包人违约解除合同的合同权益转让</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46" w:name="_Ref531958554"/>
      <w:bookmarkStart w:id="1047" w:name="_Toc54862305"/>
      <w:bookmarkStart w:id="1048" w:name="_Ref531958549"/>
      <w:r>
        <w:rPr>
          <w:rFonts w:hint="eastAsia" w:asciiTheme="minorEastAsia" w:hAnsiTheme="minorEastAsia" w:eastAsiaTheme="minorEastAsia" w:cstheme="minorEastAsia"/>
          <w:b w:val="0"/>
          <w:bCs/>
          <w:sz w:val="21"/>
          <w:szCs w:val="21"/>
        </w:rPr>
        <w:t>16.2 由承包人解除合同</w:t>
      </w:r>
      <w:bookmarkEnd w:id="1046"/>
      <w:bookmarkEnd w:id="1047"/>
      <w:bookmarkEnd w:id="1048"/>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49" w:name="_Ref3841758"/>
      <w:r>
        <w:rPr>
          <w:rFonts w:hint="eastAsia" w:asciiTheme="minorEastAsia" w:hAnsiTheme="minorEastAsia" w:eastAsiaTheme="minorEastAsia" w:cstheme="minorEastAsia"/>
          <w:sz w:val="21"/>
          <w:szCs w:val="21"/>
        </w:rPr>
        <w:t>16.2.1 因发包人违约解除合同</w:t>
      </w:r>
      <w:bookmarkEnd w:id="104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承包人就发包人未能遵守第2.5.2项关于发包人的资金安排发出通知后42天内，仍未收到合理的证明；</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在第14条规定的付款时间到期后42天内，承包人仍未收到应付款项；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发包人实质上未能根据合同约定履行其义务，构成根本性违约；</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发承包双方订立本合同协议书后的84天内，承包人未收到根据第8.1款[开始工作]的开始工作通知；</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发包人未能遵守第2.5.3项的约定提交支付担保；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发包人未能执行第15.1.2项[通知改正]的约定，致使合同目的不能实现的；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因发包人的原因暂停工作超过56天且暂停影响到整个工程，或因发包人的原因暂停工作超过182天的；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 因发包人原因造成开始工作日期迟于承包人收到中标通知书（或在无中标通知书的情况下，订立本合同之日）后第84天的。</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50" w:name="_Ref3842018"/>
      <w:bookmarkStart w:id="1051" w:name="_Ref4624336"/>
      <w:r>
        <w:rPr>
          <w:rFonts w:hint="eastAsia" w:asciiTheme="minorEastAsia" w:hAnsiTheme="minorEastAsia" w:eastAsiaTheme="minorEastAsia" w:cstheme="minorEastAsia"/>
          <w:sz w:val="21"/>
          <w:szCs w:val="21"/>
        </w:rPr>
        <w:t>16.2.2 因发包人违约解除合同后</w:t>
      </w:r>
      <w:bookmarkEnd w:id="1050"/>
      <w:r>
        <w:rPr>
          <w:rFonts w:hint="eastAsia" w:asciiTheme="minorEastAsia" w:hAnsiTheme="minorEastAsia" w:eastAsiaTheme="minorEastAsia" w:cstheme="minorEastAsia"/>
          <w:sz w:val="21"/>
          <w:szCs w:val="21"/>
        </w:rPr>
        <w:t>承包人的义务</w:t>
      </w:r>
      <w:bookmarkEnd w:id="1051"/>
    </w:p>
    <w:p>
      <w:pPr>
        <w:pStyle w:val="46"/>
        <w:keepNext w:val="0"/>
        <w:keepLines w:val="0"/>
        <w:pageBreakBefore w:val="0"/>
        <w:numPr>
          <w:ilvl w:val="0"/>
          <w:numId w:val="0"/>
        </w:numPr>
        <w:kinsoku/>
        <w:wordWrap/>
        <w:overflowPunct/>
        <w:topLinePunct w:val="0"/>
        <w:bidi w:val="0"/>
        <w:adjustRightInd w:val="0"/>
        <w:snapToGrid w:val="0"/>
        <w:spacing w:line="400" w:lineRule="exact"/>
        <w:ind w:left="400" w:firstLine="42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合同解除后，承包人应按以下约定执行：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除为保护生命、财产、工程安全的工作外，停止所有进一步的工作；承包人因执行该保护工作而产生费用的，由发包人承担；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向发包人移交承包人已获得支付的承包人文件、生产设备、材料和其他工作；</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从现场运走除为了安全需要以外的所有属于承包人的其他货物，并撤离现场。</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16.2.3 因发包人违约解除合同后的付款</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承包人按照本款约定解除合同的，发包人应在解除合同后28天内支付下列款项，并退还履约担保：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合同解除前所完成工作的价款；</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承包人为工程施工订购并已付款的材料、工程设备和其他物品的价款；发包人付款后，该材料、工程设备和其他物品归发包人所有；</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承包人为完成工程所发生的，而发包人未支付的金额；</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承包人撤离施工现场以及遣散承包人人员的款项；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按照合同约定在合同解除前应支付的违约金；</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按照合同约定应当支付给承包人的其他款项；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按照合同约定应返还的质量保证金；</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因解除合同给承包人造成的损失。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承包人应妥善做好已完工程和与工程有关的已购材料、工程设备的保护和移交工作，并将施工设备和人员撤出施工现场，发包人应为承包人撤出提供必要条件。</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52" w:name="_Toc54862306"/>
      <w:bookmarkStart w:id="1053" w:name="_Ref3841966"/>
      <w:r>
        <w:rPr>
          <w:rFonts w:hint="eastAsia" w:asciiTheme="minorEastAsia" w:hAnsiTheme="minorEastAsia" w:eastAsiaTheme="minorEastAsia" w:cstheme="minorEastAsia"/>
          <w:b w:val="0"/>
          <w:bCs/>
          <w:sz w:val="21"/>
          <w:szCs w:val="21"/>
        </w:rPr>
        <w:t>16.3 合同解除后的事项</w:t>
      </w:r>
      <w:bookmarkEnd w:id="1052"/>
      <w:bookmarkEnd w:id="1053"/>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16.3.1 结算约定依然有效</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合同解除后，由发包人或由承包人解除合同的结算及结算后的付款约定仍然有效，直至解除合同的结算工作结清。</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16.3.2 解除合同的争议</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054" w:name="_Hlk18988355"/>
      <w:r>
        <w:rPr>
          <w:rFonts w:hint="eastAsia" w:asciiTheme="minorEastAsia" w:hAnsiTheme="minorEastAsia" w:eastAsiaTheme="minorEastAsia" w:cstheme="minorEastAsia"/>
          <w:sz w:val="21"/>
          <w:szCs w:val="21"/>
        </w:rPr>
        <w:t>双方对解除合同或解除合同后的结算有争议的，按照第20条[争议解决]的约定处理。</w:t>
      </w:r>
      <w:bookmarkEnd w:id="1054"/>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55" w:name="_Ref3840974"/>
      <w:bookmarkStart w:id="1056" w:name="_Toc54862307"/>
      <w:bookmarkStart w:id="1057" w:name="_Ref3840605"/>
      <w:r>
        <w:rPr>
          <w:rFonts w:hint="eastAsia" w:asciiTheme="minorEastAsia" w:hAnsiTheme="minorEastAsia" w:eastAsiaTheme="minorEastAsia" w:cstheme="minorEastAsia"/>
          <w:b w:val="0"/>
          <w:bCs/>
          <w:sz w:val="21"/>
          <w:szCs w:val="21"/>
        </w:rPr>
        <w:t>第17条 不可抗力</w:t>
      </w:r>
      <w:bookmarkEnd w:id="1055"/>
      <w:bookmarkEnd w:id="1056"/>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58" w:name="_Ref531958158"/>
      <w:bookmarkStart w:id="1059" w:name="_Ref531958161"/>
      <w:bookmarkStart w:id="1060" w:name="_Toc54862308"/>
      <w:r>
        <w:rPr>
          <w:rFonts w:hint="eastAsia" w:asciiTheme="minorEastAsia" w:hAnsiTheme="minorEastAsia" w:eastAsiaTheme="minorEastAsia" w:cstheme="minorEastAsia"/>
          <w:b w:val="0"/>
          <w:bCs/>
          <w:sz w:val="21"/>
          <w:szCs w:val="21"/>
        </w:rPr>
        <w:t>17.1 不可抗力的</w:t>
      </w:r>
      <w:bookmarkEnd w:id="1058"/>
      <w:bookmarkEnd w:id="1059"/>
      <w:r>
        <w:rPr>
          <w:rFonts w:hint="eastAsia" w:asciiTheme="minorEastAsia" w:hAnsiTheme="minorEastAsia" w:eastAsiaTheme="minorEastAsia" w:cstheme="minorEastAsia"/>
          <w:b w:val="0"/>
          <w:bCs/>
          <w:sz w:val="21"/>
          <w:szCs w:val="21"/>
        </w:rPr>
        <w:t>定义</w:t>
      </w:r>
      <w:bookmarkEnd w:id="106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61" w:name="_Toc54862309"/>
      <w:r>
        <w:rPr>
          <w:rFonts w:hint="eastAsia" w:asciiTheme="minorEastAsia" w:hAnsiTheme="minorEastAsia" w:eastAsiaTheme="minorEastAsia" w:cstheme="minorEastAsia"/>
          <w:b w:val="0"/>
          <w:bCs/>
          <w:sz w:val="21"/>
          <w:szCs w:val="21"/>
        </w:rPr>
        <w:t>17.2 不可抗力的通知</w:t>
      </w:r>
      <w:bookmarkEnd w:id="1061"/>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合同一方当事人觉察或发现不可抗力事件发生，使其履行合同义务受到阻碍时，有义务立即通知合同另一方当事人和工程师，书面说明不可抗力和受阻碍的详细情况，并提供必要的证明。</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不可抗力持续发生的，合同一方当事人应每隔28天向合同另一方当事人和工程师提交中间报告，说明不可抗力和履行合同受阻的情况，并于不可抗力事件结束后28天内提交最终报告及有关资料。</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62" w:name="_Toc54862310"/>
      <w:r>
        <w:rPr>
          <w:rFonts w:hint="eastAsia" w:asciiTheme="minorEastAsia" w:hAnsiTheme="minorEastAsia" w:eastAsiaTheme="minorEastAsia" w:cstheme="minorEastAsia"/>
          <w:b w:val="0"/>
          <w:bCs/>
          <w:sz w:val="21"/>
          <w:szCs w:val="21"/>
        </w:rPr>
        <w:t>17.3 将损失减至最小的义务</w:t>
      </w:r>
      <w:bookmarkEnd w:id="106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63" w:name="_Ref531958170"/>
      <w:bookmarkStart w:id="1064" w:name="_Ref531958172"/>
      <w:bookmarkStart w:id="1065" w:name="_Toc54862311"/>
      <w:bookmarkStart w:id="1066" w:name="_Ref3840916"/>
      <w:r>
        <w:rPr>
          <w:rFonts w:hint="eastAsia" w:asciiTheme="minorEastAsia" w:hAnsiTheme="minorEastAsia" w:eastAsiaTheme="minorEastAsia" w:cstheme="minorEastAsia"/>
          <w:b w:val="0"/>
          <w:bCs/>
          <w:sz w:val="21"/>
          <w:szCs w:val="21"/>
        </w:rPr>
        <w:t>17.4 不可抗力后果</w:t>
      </w:r>
      <w:bookmarkEnd w:id="1063"/>
      <w:bookmarkEnd w:id="1064"/>
      <w:r>
        <w:rPr>
          <w:rFonts w:hint="eastAsia" w:asciiTheme="minorEastAsia" w:hAnsiTheme="minorEastAsia" w:eastAsiaTheme="minorEastAsia" w:cstheme="minorEastAsia"/>
          <w:b w:val="0"/>
          <w:bCs/>
          <w:sz w:val="21"/>
          <w:szCs w:val="21"/>
        </w:rPr>
        <w:t>的承担</w:t>
      </w:r>
      <w:bookmarkEnd w:id="1065"/>
      <w:bookmarkEnd w:id="1066"/>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不可抗力导致的人员伤亡、财产损失、费用增加和（或）工期延误等后果，由合同当事人按以下原则承担：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永久工程，包括已运至施工现场的材料和工程设备的损害，以及因工程损害造成的第三人人员伤亡和财产损失由发包人承担；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承包人提供的施工设备的损坏由承包人承担；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发包人和承包人各自承担其人员伤亡及其他财产损失；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因不可抗力影响承包人履行合同约定的义务，已经引起或将引起工期延误的，应当顺延工期，由此导致承包人停工的费用损失由发包人和承包人合理分担，</w:t>
      </w:r>
      <w:bookmarkStart w:id="1067" w:name="_Hlk51507024"/>
      <w:r>
        <w:rPr>
          <w:rFonts w:hint="eastAsia" w:asciiTheme="minorEastAsia" w:hAnsiTheme="minorEastAsia" w:eastAsiaTheme="minorEastAsia" w:cstheme="minorEastAsia"/>
          <w:sz w:val="21"/>
          <w:szCs w:val="21"/>
        </w:rPr>
        <w:t>停工期间必须支付的现场必要的工人工资</w:t>
      </w:r>
      <w:bookmarkEnd w:id="1067"/>
      <w:r>
        <w:rPr>
          <w:rFonts w:hint="eastAsia" w:asciiTheme="minorEastAsia" w:hAnsiTheme="minorEastAsia" w:eastAsiaTheme="minorEastAsia" w:cstheme="minorEastAsia"/>
          <w:sz w:val="21"/>
          <w:szCs w:val="21"/>
        </w:rPr>
        <w:t>由发包人承担；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因不可抗力引起或将引起工期延误，发包人指示赶工的，由此增加的赶工费用由发包人承担；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承包人在停工期间按照工程师或发包人要求照管、清理和修复工程的费用由发包人承担。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不可抗力引起的后果及造成的损失由合同当事人按照法律规定及合同约定各自承担。不可抗力发生前已完成的工程应当按照合同约定进行支付。</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68" w:name="_Toc54862312"/>
      <w:r>
        <w:rPr>
          <w:rFonts w:hint="eastAsia" w:asciiTheme="minorEastAsia" w:hAnsiTheme="minorEastAsia" w:eastAsiaTheme="minorEastAsia" w:cstheme="minorEastAsia"/>
          <w:b w:val="0"/>
          <w:bCs/>
          <w:sz w:val="21"/>
          <w:szCs w:val="21"/>
        </w:rPr>
        <w:t>17.5 不可抗力影响分包人</w:t>
      </w:r>
      <w:bookmarkEnd w:id="1068"/>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分包人根据分包合同的约定，有权获得更多或者更广的不可抗力而免除某些义务时，承包人不得以分包合同中不可抗力约定向发包人抗辩免除其义务。</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69" w:name="_Ref531958184"/>
      <w:bookmarkStart w:id="1070" w:name="_Ref531958181"/>
      <w:bookmarkStart w:id="1071" w:name="_Ref4538024"/>
      <w:bookmarkStart w:id="1072" w:name="_Toc54862313"/>
      <w:bookmarkStart w:id="1073" w:name="_Ref3840892"/>
      <w:r>
        <w:rPr>
          <w:rFonts w:hint="eastAsia" w:asciiTheme="minorEastAsia" w:hAnsiTheme="minorEastAsia" w:eastAsiaTheme="minorEastAsia" w:cstheme="minorEastAsia"/>
          <w:b w:val="0"/>
          <w:bCs/>
          <w:sz w:val="21"/>
          <w:szCs w:val="21"/>
        </w:rPr>
        <w:t>17.6 因不可抗力解除</w:t>
      </w:r>
      <w:bookmarkEnd w:id="1069"/>
      <w:bookmarkEnd w:id="1070"/>
      <w:r>
        <w:rPr>
          <w:rFonts w:hint="eastAsia" w:asciiTheme="minorEastAsia" w:hAnsiTheme="minorEastAsia" w:eastAsiaTheme="minorEastAsia" w:cstheme="minorEastAsia"/>
          <w:b w:val="0"/>
          <w:bCs/>
          <w:sz w:val="21"/>
          <w:szCs w:val="21"/>
        </w:rPr>
        <w:t>合同</w:t>
      </w:r>
      <w:bookmarkEnd w:id="1071"/>
      <w:bookmarkEnd w:id="1072"/>
      <w:bookmarkEnd w:id="1073"/>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合同解除前承包人已完成工作的价款；</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发包人指示承包人退货或解除订货合同而产生的费用，或因不能退货或解除合同而产生的损失；</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承包人撤离施工现场以及遣散承包人人员的费用；</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按照合同约定在合同解除前应支付给承包人的其他款项；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扣减承包人按照合同约定应向发包人支付的款项；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双方商定或确定的其他款项。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除专用合同条件另有约定外，合同解除后，发包人应当在商定或确定上述款项后28天内完成上述款项的支付。</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74" w:name="_Ref11848264"/>
      <w:bookmarkStart w:id="1075" w:name="_Ref11848274"/>
      <w:bookmarkStart w:id="1076" w:name="_Toc54862314"/>
      <w:r>
        <w:rPr>
          <w:rFonts w:hint="eastAsia" w:asciiTheme="minorEastAsia" w:hAnsiTheme="minorEastAsia" w:eastAsiaTheme="minorEastAsia" w:cstheme="minorEastAsia"/>
          <w:b w:val="0"/>
          <w:bCs/>
          <w:sz w:val="21"/>
          <w:szCs w:val="21"/>
        </w:rPr>
        <w:t>第18条 保险</w:t>
      </w:r>
      <w:bookmarkEnd w:id="1057"/>
      <w:bookmarkEnd w:id="1074"/>
      <w:bookmarkEnd w:id="1075"/>
      <w:bookmarkEnd w:id="1076"/>
      <w:r>
        <w:rPr>
          <w:rFonts w:hint="eastAsia" w:asciiTheme="minorEastAsia" w:hAnsiTheme="minorEastAsia" w:eastAsiaTheme="minorEastAsia" w:cstheme="minorEastAsia"/>
          <w:b w:val="0"/>
          <w:bCs/>
          <w:sz w:val="21"/>
          <w:szCs w:val="21"/>
        </w:rPr>
        <w:t xml:space="preserve"> </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77" w:name="_Toc54862315"/>
      <w:bookmarkStart w:id="1078" w:name="_Ref3840734"/>
      <w:bookmarkStart w:id="1079" w:name="_Ref3840730"/>
      <w:bookmarkStart w:id="1080" w:name="_Ref531957911"/>
      <w:bookmarkStart w:id="1081" w:name="_Ref531957914"/>
      <w:bookmarkStart w:id="1082" w:name="_Toc351203616"/>
      <w:r>
        <w:rPr>
          <w:rFonts w:hint="eastAsia" w:asciiTheme="minorEastAsia" w:hAnsiTheme="minorEastAsia" w:eastAsiaTheme="minorEastAsia" w:cstheme="minorEastAsia"/>
          <w:b w:val="0"/>
          <w:bCs/>
          <w:sz w:val="21"/>
          <w:szCs w:val="21"/>
        </w:rPr>
        <w:t>18.1 设计和工程保险</w:t>
      </w:r>
      <w:bookmarkEnd w:id="1077"/>
      <w:bookmarkEnd w:id="1078"/>
      <w:bookmarkEnd w:id="1079"/>
    </w:p>
    <w:bookmarkEnd w:id="1080"/>
    <w:bookmarkEnd w:id="1081"/>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18.1.2 双方应按照专用合同条件的约定投保第三者责任险，并在缺陷责任期终止证书颁发前维持其持续有效。第三者责任险最低投保额应在专用合同条件内约定。</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83" w:name="_Ref3840683"/>
      <w:bookmarkStart w:id="1084" w:name="_Toc54862316"/>
      <w:r>
        <w:rPr>
          <w:rFonts w:hint="eastAsia" w:asciiTheme="minorEastAsia" w:hAnsiTheme="minorEastAsia" w:eastAsiaTheme="minorEastAsia" w:cstheme="minorEastAsia"/>
          <w:b w:val="0"/>
          <w:bCs/>
          <w:sz w:val="21"/>
          <w:szCs w:val="21"/>
        </w:rPr>
        <w:t>18.2 工伤和意外伤害保险</w:t>
      </w:r>
      <w:bookmarkEnd w:id="1083"/>
      <w:bookmarkEnd w:id="1084"/>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18.2.1 发包人应依照法律规定为其在施工现场的雇用人员办理工伤保险，缴纳工伤保险费；并要求工程师及由发包人为履行合同聘请的第三方在施工现场的雇用人员依法办理工伤保险。</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18.2.2 承包人应依照法律规定为其履行合同雇用的全部人员办理工伤保险，缴纳工伤保险费，并要求分包人及由承包人为履行合同聘请的第三方雇用的全部人员依法办理工伤保险。</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18.2.3 发包人和承包人可以为其施工现场的全部人员办理意外伤害保险并支付保险费，包括其员工及为履行合同聘请的第三方的人员，具体事项由合同当事人在专用合同条件约定。</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85" w:name="_Toc54862317"/>
      <w:bookmarkStart w:id="1086" w:name="_Ref3840782"/>
      <w:r>
        <w:rPr>
          <w:rFonts w:hint="eastAsia" w:asciiTheme="minorEastAsia" w:hAnsiTheme="minorEastAsia" w:eastAsiaTheme="minorEastAsia" w:cstheme="minorEastAsia"/>
          <w:b w:val="0"/>
          <w:bCs/>
          <w:sz w:val="21"/>
          <w:szCs w:val="21"/>
        </w:rPr>
        <w:t>18.3 货物保险</w:t>
      </w:r>
      <w:bookmarkEnd w:id="1085"/>
      <w:bookmarkEnd w:id="108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w:t>
      </w:r>
      <w:r>
        <w:rPr>
          <w:rFonts w:hint="eastAsia" w:asciiTheme="minorEastAsia" w:hAnsiTheme="minorEastAsia" w:eastAsiaTheme="minorEastAsia" w:cstheme="minorEastAsia"/>
          <w:iCs/>
          <w:sz w:val="21"/>
          <w:szCs w:val="21"/>
        </w:rPr>
        <w:t>按照</w:t>
      </w:r>
      <w:r>
        <w:rPr>
          <w:rFonts w:hint="eastAsia" w:asciiTheme="minorEastAsia" w:hAnsiTheme="minorEastAsia" w:eastAsiaTheme="minorEastAsia" w:cstheme="minorEastAsia"/>
          <w:sz w:val="21"/>
          <w:szCs w:val="21"/>
        </w:rPr>
        <w:t>专用合同条件的约定为</w:t>
      </w:r>
      <w:r>
        <w:rPr>
          <w:rFonts w:hint="eastAsia" w:asciiTheme="minorEastAsia" w:hAnsiTheme="minorEastAsia" w:eastAsiaTheme="minorEastAsia" w:cstheme="minorEastAsia"/>
          <w:iCs/>
          <w:sz w:val="21"/>
          <w:szCs w:val="21"/>
        </w:rPr>
        <w:t>运抵现场的</w:t>
      </w:r>
      <w:r>
        <w:rPr>
          <w:rFonts w:hint="eastAsia" w:asciiTheme="minorEastAsia" w:hAnsiTheme="minorEastAsia" w:eastAsiaTheme="minorEastAsia" w:cstheme="minorEastAsia"/>
          <w:sz w:val="21"/>
          <w:szCs w:val="21"/>
        </w:rPr>
        <w:t>施工设备、材料、工程设备和临时工程等办理财产保险，保险期限自上述货物运抵现场至其不再为工程所需要为止。</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87" w:name="_Ref4692231"/>
      <w:bookmarkStart w:id="1088" w:name="_Ref4692238"/>
      <w:bookmarkStart w:id="1089" w:name="_Toc54862318"/>
      <w:r>
        <w:rPr>
          <w:rFonts w:hint="eastAsia" w:asciiTheme="minorEastAsia" w:hAnsiTheme="minorEastAsia" w:eastAsiaTheme="minorEastAsia" w:cstheme="minorEastAsia"/>
          <w:b w:val="0"/>
          <w:bCs/>
          <w:sz w:val="21"/>
          <w:szCs w:val="21"/>
        </w:rPr>
        <w:t>18.4 其他保险</w:t>
      </w:r>
      <w:bookmarkEnd w:id="1087"/>
      <w:bookmarkEnd w:id="1088"/>
      <w:bookmarkEnd w:id="108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082"/>
      <w:r>
        <w:rPr>
          <w:rFonts w:hint="eastAsia" w:asciiTheme="minorEastAsia" w:hAnsiTheme="minorEastAsia" w:eastAsiaTheme="minorEastAsia" w:cstheme="minorEastAsia"/>
          <w:sz w:val="21"/>
          <w:szCs w:val="21"/>
        </w:rPr>
        <w:t>保费用包含在合同价格中，但在合同执行过程中，新颁布适用的法律法规规定由承包人投保的强制保险，应根据本合同</w:t>
      </w:r>
      <w:bookmarkStart w:id="1090" w:name="_Toc351203617"/>
      <w:bookmarkStart w:id="1091" w:name="_Toc337558832"/>
      <w:bookmarkStart w:id="1092" w:name="_Toc296503126"/>
      <w:bookmarkStart w:id="1093" w:name="_Toc296346627"/>
      <w:r>
        <w:rPr>
          <w:rFonts w:hint="eastAsia" w:asciiTheme="minorEastAsia" w:hAnsiTheme="minorEastAsia" w:eastAsiaTheme="minorEastAsia" w:cstheme="minorEastAsia"/>
          <w:sz w:val="21"/>
          <w:szCs w:val="21"/>
        </w:rPr>
        <w:t>第13条[变更与调整]的约定增加合同价款。</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094" w:name="_Toc54862319"/>
      <w:bookmarkStart w:id="1095" w:name="_Ref3840659"/>
      <w:r>
        <w:rPr>
          <w:rFonts w:hint="eastAsia" w:asciiTheme="minorEastAsia" w:hAnsiTheme="minorEastAsia" w:eastAsiaTheme="minorEastAsia" w:cstheme="minorEastAsia"/>
          <w:b w:val="0"/>
          <w:bCs/>
          <w:sz w:val="21"/>
          <w:szCs w:val="21"/>
        </w:rPr>
        <w:t>18.5 对各项保险的一般要求</w:t>
      </w:r>
      <w:bookmarkEnd w:id="1094"/>
      <w:bookmarkEnd w:id="1095"/>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18.5.1 持续保险</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合同当事人应与保险人保持联系，使保险人能够随时了</w:t>
      </w:r>
      <w:bookmarkEnd w:id="1090"/>
      <w:r>
        <w:rPr>
          <w:rFonts w:hint="eastAsia" w:asciiTheme="minorEastAsia" w:hAnsiTheme="minorEastAsia" w:eastAsiaTheme="minorEastAsia" w:cstheme="minorEastAsia"/>
          <w:sz w:val="21"/>
          <w:szCs w:val="21"/>
        </w:rPr>
        <w:t>解</w:t>
      </w:r>
      <w:bookmarkEnd w:id="1091"/>
      <w:bookmarkEnd w:id="1092"/>
      <w:bookmarkEnd w:id="1093"/>
      <w:r>
        <w:rPr>
          <w:rFonts w:hint="eastAsia" w:asciiTheme="minorEastAsia" w:hAnsiTheme="minorEastAsia" w:eastAsiaTheme="minorEastAsia" w:cstheme="minorEastAsia"/>
          <w:sz w:val="21"/>
          <w:szCs w:val="21"/>
        </w:rPr>
        <w:t>工程实施中的变动，并确保按保险合同条款要求持续保险。</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96" w:name="_Ref4777650"/>
      <w:r>
        <w:rPr>
          <w:rFonts w:hint="eastAsia" w:asciiTheme="minorEastAsia" w:hAnsiTheme="minorEastAsia" w:eastAsiaTheme="minorEastAsia" w:cstheme="minorEastAsia"/>
          <w:sz w:val="21"/>
          <w:szCs w:val="21"/>
        </w:rPr>
        <w:t>18.5.2 保险凭证</w:t>
      </w:r>
      <w:bookmarkEnd w:id="109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合同当事人应及时向另一方当事人提交其已投保的各项保险的凭证和保险单复印件，保险单必须与专用合同条件约定的条件保持一致。</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18.5.3 未按约定投保的补救</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负有投保义务的一方当事人未按合同约定办理保险，或未能使保险持续有效的，则另一方当事人可代为办理，所需费用由负有投保义务的一方当事人承担。</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负有投保</w:t>
      </w:r>
      <w:bookmarkStart w:id="1097" w:name="_Toc351203619"/>
      <w:bookmarkStart w:id="1098" w:name="_Toc337558834"/>
      <w:r>
        <w:rPr>
          <w:rFonts w:hint="eastAsia" w:asciiTheme="minorEastAsia" w:hAnsiTheme="minorEastAsia" w:eastAsiaTheme="minorEastAsia" w:cstheme="minorEastAsia"/>
          <w:sz w:val="21"/>
          <w:szCs w:val="21"/>
        </w:rPr>
        <w:t>义务的一方当事人未</w:t>
      </w:r>
      <w:bookmarkEnd w:id="1097"/>
      <w:r>
        <w:rPr>
          <w:rFonts w:hint="eastAsia" w:asciiTheme="minorEastAsia" w:hAnsiTheme="minorEastAsia" w:eastAsiaTheme="minorEastAsia" w:cstheme="minorEastAsia"/>
          <w:sz w:val="21"/>
          <w:szCs w:val="21"/>
        </w:rPr>
        <w:t>按</w:t>
      </w:r>
      <w:bookmarkEnd w:id="1098"/>
      <w:r>
        <w:rPr>
          <w:rFonts w:hint="eastAsia" w:asciiTheme="minorEastAsia" w:hAnsiTheme="minorEastAsia" w:eastAsiaTheme="minorEastAsia" w:cstheme="minorEastAsia"/>
          <w:sz w:val="21"/>
          <w:szCs w:val="21"/>
        </w:rPr>
        <w:t>合同约定办理某项保险，导致受益人未能得到足额赔偿的，由负有投保义务的一方当事人负责按照原应从该项保险得到的保险金数额进行补足。</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099" w:name="_Ref4692685"/>
      <w:r>
        <w:rPr>
          <w:rFonts w:hint="eastAsia" w:asciiTheme="minorEastAsia" w:hAnsiTheme="minorEastAsia" w:eastAsiaTheme="minorEastAsia" w:cstheme="minorEastAsia"/>
          <w:sz w:val="21"/>
          <w:szCs w:val="21"/>
        </w:rPr>
        <w:t>18.5.4 通知义务</w:t>
      </w:r>
      <w:bookmarkEnd w:id="109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除专用合同条件另有约定外，任何一方当事人变更除工伤保险之外的保险合同时，应事先征得另一方当事人同意，并通知工程师。</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保险事故发生时，投保人应按照保险合同规定的条件和期限及时向保险人报告。发包人和承包人应当在知道保险事故发生后及时通知对方。</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双方按本条规定投保不减少双方在合同下的其他义务。</w:t>
      </w:r>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00" w:name="_Toc54862320"/>
      <w:bookmarkStart w:id="1101" w:name="_Ref11874997"/>
      <w:r>
        <w:rPr>
          <w:rFonts w:hint="eastAsia" w:asciiTheme="minorEastAsia" w:hAnsiTheme="minorEastAsia" w:eastAsiaTheme="minorEastAsia" w:cstheme="minorEastAsia"/>
          <w:b w:val="0"/>
          <w:bCs/>
          <w:sz w:val="21"/>
          <w:szCs w:val="21"/>
        </w:rPr>
        <w:t>第19条 索赔</w:t>
      </w:r>
      <w:bookmarkEnd w:id="1036"/>
      <w:bookmarkEnd w:id="1037"/>
      <w:bookmarkEnd w:id="1100"/>
      <w:bookmarkEnd w:id="1101"/>
      <w:r>
        <w:rPr>
          <w:rFonts w:hint="eastAsia" w:asciiTheme="minorEastAsia" w:hAnsiTheme="minorEastAsia" w:eastAsiaTheme="minorEastAsia" w:cstheme="minorEastAsia"/>
          <w:b w:val="0"/>
          <w:bCs/>
          <w:sz w:val="21"/>
          <w:szCs w:val="21"/>
        </w:rPr>
        <w:t xml:space="preserve"> </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02" w:name="_Ref4798164"/>
      <w:bookmarkStart w:id="1103" w:name="_Ref4798173"/>
      <w:bookmarkStart w:id="1104" w:name="_Toc54862321"/>
      <w:r>
        <w:rPr>
          <w:rFonts w:hint="eastAsia" w:asciiTheme="minorEastAsia" w:hAnsiTheme="minorEastAsia" w:eastAsiaTheme="minorEastAsia" w:cstheme="minorEastAsia"/>
          <w:b w:val="0"/>
          <w:bCs/>
          <w:sz w:val="21"/>
          <w:szCs w:val="21"/>
        </w:rPr>
        <w:t>19.1 索赔</w:t>
      </w:r>
      <w:bookmarkEnd w:id="1102"/>
      <w:bookmarkEnd w:id="1103"/>
      <w:r>
        <w:rPr>
          <w:rFonts w:hint="eastAsia" w:asciiTheme="minorEastAsia" w:hAnsiTheme="minorEastAsia" w:eastAsiaTheme="minorEastAsia" w:cstheme="minorEastAsia"/>
          <w:b w:val="0"/>
          <w:bCs/>
          <w:sz w:val="21"/>
          <w:szCs w:val="21"/>
        </w:rPr>
        <w:t>的提出</w:t>
      </w:r>
      <w:bookmarkEnd w:id="1104"/>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根据合同约定，任意一方认为有权得到追加/减少付款、延长缺陷责任期和（或）延长工期的，应按以下程序向对方提出索赔：</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索赔方应在发出索赔意向通知书后28天内，向对方正式递交索赔报告；索赔报告应详细说明索赔理由以及要求追加的付款金额、延长缺陷责任期和（或）延长的工期，并附必要的记录和证明材料；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索赔事件具有持续影响的，索赔方应每月递交延续索赔通知，说明持续影响的实际情况和记录，列出累计的追加付款金额、延长缺陷责任期和（或）工期延长天数；</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bookmarkStart w:id="1105" w:name="_Ref4796178"/>
      <w:r>
        <w:rPr>
          <w:rFonts w:hint="eastAsia" w:asciiTheme="minorEastAsia" w:hAnsiTheme="minorEastAsia" w:eastAsiaTheme="minorEastAsia" w:cstheme="minorEastAsia"/>
          <w:sz w:val="21"/>
          <w:szCs w:val="21"/>
        </w:rPr>
        <w:t>（4） 在索赔事件影响结束后28天内，索赔方应向对方递交最终索赔报告，说明最终要求索赔的追加付款金额、延长缺陷责任期和（或）延长的工期，并附必要的记录和证明材料。</w:t>
      </w:r>
      <w:bookmarkEnd w:id="1105"/>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06" w:name="_Ref4796254"/>
      <w:bookmarkStart w:id="1107" w:name="_Toc54862322"/>
      <w:bookmarkStart w:id="1108" w:name="_Ref4796262"/>
      <w:r>
        <w:rPr>
          <w:rFonts w:hint="eastAsia" w:asciiTheme="minorEastAsia" w:hAnsiTheme="minorEastAsia" w:eastAsiaTheme="minorEastAsia" w:cstheme="minorEastAsia"/>
          <w:b w:val="0"/>
          <w:bCs/>
          <w:sz w:val="21"/>
          <w:szCs w:val="21"/>
        </w:rPr>
        <w:t>19.2 承包人索赔的处理程序</w:t>
      </w:r>
      <w:bookmarkEnd w:id="1106"/>
      <w:bookmarkEnd w:id="1107"/>
      <w:bookmarkEnd w:id="1108"/>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工程师收到承包人提交的索赔报告后，应及时审查索赔报告的内容、查验承包人的记录和证明材料，必要时工程师可要求承包人提交全部原始记录副本。</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承包人接受索赔处理结果的，发包人应在作出索赔处理结果答复后28天内完成支付。承包人不接受索赔处理结果的，按照第20条[争议解决]约定处理。</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09" w:name="_Toc54862323"/>
      <w:r>
        <w:rPr>
          <w:rFonts w:hint="eastAsia" w:asciiTheme="minorEastAsia" w:hAnsiTheme="minorEastAsia" w:eastAsiaTheme="minorEastAsia" w:cstheme="minorEastAsia"/>
          <w:b w:val="0"/>
          <w:bCs/>
          <w:sz w:val="21"/>
          <w:szCs w:val="21"/>
        </w:rPr>
        <w:t>19.3 发包人索赔的处理程序</w:t>
      </w:r>
      <w:bookmarkEnd w:id="1109"/>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承包人收到发包人提交的索赔报告后，应及时审查索赔报告的内容、查验发包人证明材料；</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承包人应在收到上述索赔报告或有关索赔的进一步证明材料后42天内，将索赔处理结果答复发包人。承包人在收到索赔通知书或有关索赔的进一步证明材料后的42天内不予答复的，视为认可索赔。</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发包人接受索赔处理结果的，发包人可从应支付给承包人的合同价款中扣除赔付的金额或延长缺陷责任期；发包人不接受索赔处理结果的，按第20条[争议解决]约定处理。</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10" w:name="_Toc54862324"/>
      <w:r>
        <w:rPr>
          <w:rFonts w:hint="eastAsia" w:asciiTheme="minorEastAsia" w:hAnsiTheme="minorEastAsia" w:eastAsiaTheme="minorEastAsia" w:cstheme="minorEastAsia"/>
          <w:b w:val="0"/>
          <w:bCs/>
          <w:sz w:val="21"/>
          <w:szCs w:val="21"/>
        </w:rPr>
        <w:t>19.4 提出索赔的期限</w:t>
      </w:r>
      <w:bookmarkEnd w:id="1110"/>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承包人按第14.5款[竣工结算</w:t>
      </w:r>
      <w:bookmarkStart w:id="1111" w:name="_Ref3826629"/>
      <w:bookmarkStart w:id="1112" w:name="_Ref3826634"/>
      <w:r>
        <w:rPr>
          <w:rFonts w:hint="eastAsia" w:asciiTheme="minorEastAsia" w:hAnsiTheme="minorEastAsia" w:eastAsiaTheme="minorEastAsia" w:cstheme="minorEastAsia"/>
          <w:sz w:val="21"/>
          <w:szCs w:val="21"/>
        </w:rPr>
        <w:t>]约定接收竣工付款证书后，应被认为已无权再提出在合同工程接收证书颁发前所发生的任何索赔。</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承包人按第14.7款[最终结清]提交的最终结清申请单中，只限于提出工程接收证书颁发后发生的索赔。提出索赔的期限均自接受最终结清证书时终止。</w:t>
      </w:r>
      <w:bookmarkEnd w:id="1111"/>
      <w:bookmarkEnd w:id="1112"/>
    </w:p>
    <w:p>
      <w:pPr>
        <w:pStyle w:val="42"/>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13" w:name="_Ref532197861"/>
      <w:bookmarkStart w:id="1114" w:name="_Toc54862325"/>
      <w:bookmarkStart w:id="1115" w:name="_Ref532142075"/>
      <w:r>
        <w:rPr>
          <w:rFonts w:hint="eastAsia" w:asciiTheme="minorEastAsia" w:hAnsiTheme="minorEastAsia" w:eastAsiaTheme="minorEastAsia" w:cstheme="minorEastAsia"/>
          <w:b w:val="0"/>
          <w:bCs/>
          <w:sz w:val="21"/>
          <w:szCs w:val="21"/>
        </w:rPr>
        <w:t>第20条 争议解决</w:t>
      </w:r>
      <w:bookmarkEnd w:id="1113"/>
      <w:bookmarkEnd w:id="1114"/>
      <w:bookmarkEnd w:id="1115"/>
      <w:r>
        <w:rPr>
          <w:rFonts w:hint="eastAsia" w:asciiTheme="minorEastAsia" w:hAnsiTheme="minorEastAsia" w:eastAsiaTheme="minorEastAsia" w:cstheme="minorEastAsia"/>
          <w:b w:val="0"/>
          <w:bCs/>
          <w:sz w:val="21"/>
          <w:szCs w:val="21"/>
        </w:rPr>
        <w:t xml:space="preserve"> </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16" w:name="_Ref415507198"/>
      <w:bookmarkStart w:id="1117" w:name="_Toc54862326"/>
      <w:r>
        <w:rPr>
          <w:rFonts w:hint="eastAsia" w:asciiTheme="minorEastAsia" w:hAnsiTheme="minorEastAsia" w:eastAsiaTheme="minorEastAsia" w:cstheme="minorEastAsia"/>
          <w:b w:val="0"/>
          <w:bCs/>
          <w:sz w:val="21"/>
          <w:szCs w:val="21"/>
        </w:rPr>
        <w:t>20.1 和解</w:t>
      </w:r>
      <w:bookmarkEnd w:id="1116"/>
      <w:bookmarkEnd w:id="111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合同当事人可以就争议自行和解，自行和解达成协议的经双方签字并盖章后作为合同补充文件，双方均应遵照执行。</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18" w:name="_Toc54862327"/>
      <w:r>
        <w:rPr>
          <w:rFonts w:hint="eastAsia" w:asciiTheme="minorEastAsia" w:hAnsiTheme="minorEastAsia" w:eastAsiaTheme="minorEastAsia" w:cstheme="minorEastAsia"/>
          <w:b w:val="0"/>
          <w:bCs/>
          <w:sz w:val="21"/>
          <w:szCs w:val="21"/>
        </w:rPr>
        <w:t>20.2 调解</w:t>
      </w:r>
      <w:bookmarkEnd w:id="1118"/>
      <w:r>
        <w:rPr>
          <w:rFonts w:hint="eastAsia" w:asciiTheme="minorEastAsia" w:hAnsiTheme="minorEastAsia" w:eastAsiaTheme="minorEastAsia" w:cstheme="minorEastAsia"/>
          <w:b w:val="0"/>
          <w:bCs/>
          <w:sz w:val="21"/>
          <w:szCs w:val="21"/>
        </w:rPr>
        <w:t xml:space="preserve"> </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合同当事人可以就争议请求建设行政主管部门、行业协会或其他第三方进行调解，调解达成协议的，经双方签字盖章后作为合同补充文件，双方均应遵照执行。</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19" w:name="_Ref532221532"/>
      <w:bookmarkStart w:id="1120" w:name="_Ref532221527"/>
      <w:bookmarkStart w:id="1121" w:name="_Toc54862328"/>
      <w:r>
        <w:rPr>
          <w:rFonts w:hint="eastAsia" w:asciiTheme="minorEastAsia" w:hAnsiTheme="minorEastAsia" w:eastAsiaTheme="minorEastAsia" w:cstheme="minorEastAsia"/>
          <w:b w:val="0"/>
          <w:bCs/>
          <w:sz w:val="21"/>
          <w:szCs w:val="21"/>
        </w:rPr>
        <w:t>20.3 争议评审</w:t>
      </w:r>
      <w:bookmarkEnd w:id="1119"/>
      <w:bookmarkEnd w:id="1120"/>
      <w:bookmarkEnd w:id="1121"/>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合同当事人在专用合同条件中约定采取争议评审方式及评审规则解决争议的，按下列约定执行：</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20.3.1 争议评审小组的确定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除专用合同条件另有约定外，争议评审员报酬由发包人和承包人各承担一半。</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122" w:name="_Ref532287270"/>
      <w:r>
        <w:rPr>
          <w:rFonts w:hint="eastAsia" w:asciiTheme="minorEastAsia" w:hAnsiTheme="minorEastAsia" w:eastAsiaTheme="minorEastAsia" w:cstheme="minorEastAsia"/>
          <w:sz w:val="21"/>
          <w:szCs w:val="21"/>
        </w:rPr>
        <w:t>20.3.2 争议的避免</w:t>
      </w:r>
      <w:bookmarkEnd w:id="1122"/>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合同当事人协商一致，可以共同书面请求争议评审小组，就合同履行过程中可能出现争议的情况提供协助或进行非正式讨论，争议评审小组应给出公正的意见或建议。</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此类协助或非正式讨论可在任何会议、施工现场视察或其他场合进行，并且除专用合同条件另有约定外，发包人和承包人均应出席。</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bookmarkStart w:id="1123" w:name="_Ref4695594"/>
      <w:r>
        <w:rPr>
          <w:rFonts w:hint="eastAsia" w:asciiTheme="minorEastAsia" w:hAnsiTheme="minorEastAsia" w:eastAsiaTheme="minorEastAsia" w:cstheme="minorEastAsia"/>
          <w:sz w:val="21"/>
          <w:szCs w:val="21"/>
        </w:rPr>
        <w:t>20.3.3 争议评审小组的决定</w:t>
      </w:r>
      <w:bookmarkEnd w:id="1123"/>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44"/>
        <w:keepNext w:val="0"/>
        <w:keepLines w:val="0"/>
        <w:pageBreakBefore w:val="0"/>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20.3.4 争议评审小组决定的效力</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争议评审小组作出的书面决定经合同当事人签字确认后，对双方具有约束力，双方应遵照执行。</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任何一方当事人不接受争议评审小组决定或不履行争议评审小组决定的，双方可选择采用其他争议解决方式。</w:t>
      </w:r>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任何一方当事人不接受争议评审小组的决定，并不影响暂时执行争议评审小组的决定，直到在后续的采用其他争议解决方式中对争议评审小组的决定进行了改变。</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24" w:name="_Ref532221752"/>
      <w:bookmarkStart w:id="1125" w:name="_Ref532221748"/>
      <w:bookmarkStart w:id="1126" w:name="_Toc54862329"/>
      <w:r>
        <w:rPr>
          <w:rFonts w:hint="eastAsia" w:asciiTheme="minorEastAsia" w:hAnsiTheme="minorEastAsia" w:eastAsiaTheme="minorEastAsia" w:cstheme="minorEastAsia"/>
          <w:b w:val="0"/>
          <w:bCs/>
          <w:sz w:val="21"/>
          <w:szCs w:val="21"/>
        </w:rPr>
        <w:t>20.4 仲裁或诉讼</w:t>
      </w:r>
      <w:bookmarkEnd w:id="1124"/>
      <w:bookmarkEnd w:id="1125"/>
      <w:bookmarkEnd w:id="1126"/>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因合同及合同有关事项产生的争议，合同当事人可以在专用合同条件中约定以下一种方式解决争议：</w:t>
      </w:r>
    </w:p>
    <w:p>
      <w:pPr>
        <w:pStyle w:val="46"/>
        <w:keepNext w:val="0"/>
        <w:keepLines w:val="0"/>
        <w:pageBreakBefore w:val="0"/>
        <w:numPr>
          <w:ilvl w:val="0"/>
          <w:numId w:val="0"/>
        </w:numPr>
        <w:kinsoku/>
        <w:wordWrap/>
        <w:overflowPunct/>
        <w:topLinePunct w:val="0"/>
        <w:bidi w:val="0"/>
        <w:adjustRightInd w:val="0"/>
        <w:snapToGrid w:val="0"/>
        <w:spacing w:line="400" w:lineRule="exact"/>
        <w:ind w:left="84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向约定的仲裁委员会申请仲裁；</w:t>
      </w:r>
    </w:p>
    <w:p>
      <w:pPr>
        <w:pStyle w:val="46"/>
        <w:keepNext w:val="0"/>
        <w:keepLines w:val="0"/>
        <w:pageBreakBefore w:val="0"/>
        <w:numPr>
          <w:ilvl w:val="0"/>
          <w:numId w:val="0"/>
        </w:numPr>
        <w:kinsoku/>
        <w:wordWrap/>
        <w:overflowPunct/>
        <w:topLinePunct w:val="0"/>
        <w:bidi w:val="0"/>
        <w:adjustRightInd w:val="0"/>
        <w:snapToGrid w:val="0"/>
        <w:spacing w:line="400" w:lineRule="exact"/>
        <w:ind w:left="84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向有管辖权的人民法院起诉。</w:t>
      </w:r>
    </w:p>
    <w:p>
      <w:pPr>
        <w:pStyle w:val="43"/>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sz w:val="21"/>
          <w:szCs w:val="21"/>
        </w:rPr>
      </w:pPr>
      <w:bookmarkStart w:id="1127" w:name="_Toc54862330"/>
      <w:r>
        <w:rPr>
          <w:rFonts w:hint="eastAsia" w:asciiTheme="minorEastAsia" w:hAnsiTheme="minorEastAsia" w:eastAsiaTheme="minorEastAsia" w:cstheme="minorEastAsia"/>
          <w:b w:val="0"/>
          <w:bCs/>
          <w:sz w:val="21"/>
          <w:szCs w:val="21"/>
        </w:rPr>
        <w:t>20.5 争议解决条款效力</w:t>
      </w:r>
      <w:bookmarkEnd w:id="1127"/>
    </w:p>
    <w:p>
      <w:pPr>
        <w:keepNext w:val="0"/>
        <w:keepLines w:val="0"/>
        <w:pageBreakBefore w:val="0"/>
        <w:kinsoku/>
        <w:wordWrap/>
        <w:overflowPunct/>
        <w:topLinePunct w:val="0"/>
        <w:bidi w:val="0"/>
        <w:adjustRightInd w:val="0"/>
        <w:snapToGrid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合同有关争议解决的条款独立存在，合同的不生效、无效、被撤销或者终止的，不影响合同中有关争议解决条款的效力。</w:t>
      </w:r>
    </w:p>
    <w:p>
      <w:pPr>
        <w:keepNext w:val="0"/>
        <w:keepLines w:val="0"/>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39"/>
        <w:keepNext w:val="0"/>
        <w:keepLines w:val="0"/>
        <w:pageBreakBefore w:val="0"/>
        <w:widowControl/>
        <w:kinsoku/>
        <w:wordWrap/>
        <w:overflowPunct/>
        <w:topLinePunct w:val="0"/>
        <w:bidi w:val="0"/>
        <w:adjustRightInd w:val="0"/>
        <w:snapToGrid w:val="0"/>
        <w:spacing w:before="0" w:after="50" w:line="400" w:lineRule="exact"/>
        <w:textAlignment w:val="auto"/>
        <w:rPr>
          <w:rFonts w:hint="eastAsia" w:asciiTheme="minorEastAsia" w:hAnsiTheme="minorEastAsia" w:eastAsiaTheme="minorEastAsia" w:cstheme="minorEastAsia"/>
          <w:sz w:val="21"/>
          <w:szCs w:val="21"/>
        </w:rPr>
      </w:pPr>
      <w:bookmarkStart w:id="1128" w:name="_Toc54862331"/>
      <w:r>
        <w:rPr>
          <w:rFonts w:hint="eastAsia" w:asciiTheme="minorEastAsia" w:hAnsiTheme="minorEastAsia" w:eastAsiaTheme="minorEastAsia" w:cstheme="minorEastAsia"/>
          <w:sz w:val="21"/>
          <w:szCs w:val="21"/>
        </w:rPr>
        <w:t>第三部分 专用合同条件</w:t>
      </w:r>
      <w:bookmarkEnd w:id="1128"/>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29" w:name="_Toc54862332"/>
      <w:r>
        <w:rPr>
          <w:rFonts w:hint="eastAsia" w:asciiTheme="minorEastAsia" w:hAnsiTheme="minorEastAsia" w:eastAsiaTheme="minorEastAsia" w:cstheme="minorEastAsia"/>
          <w:b w:val="0"/>
          <w:bCs/>
          <w:sz w:val="21"/>
          <w:szCs w:val="21"/>
        </w:rPr>
        <w:t>第1条 一般约定</w:t>
      </w:r>
      <w:bookmarkEnd w:id="1129"/>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词语定义和解释</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合同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1.1.1.10 其他合同文件：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 工程和设备</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1.1.3.5 单位/区段工程的范围：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1.1.3.9 作为施工场所组成部分的其他场所包括：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1.1.3.10 永久占地包括：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1.1.3.11 临时占地包括：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语言文字</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本合同除使用汉语外，还使用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语言。</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法律</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适用于合同的其他规范性文件：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标准和规范</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 适用于本合同的标准、规范（名称）包括：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 发包人提供的国外标准、规范的名称：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；发包人提供的国外标准、规范的份数：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；发包人提供的国外标准、规范的时间：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 没有成文规范、标准规定的约定：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1.4.4 发包人对于工程的技术标准、功能要求：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合同文件的优先顺序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合同文件组成及优先顺序为：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文件的提供和照管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发包人文件的提供</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发包人文件的提供期限、名称、数量和形式：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 承包人文件的提供</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承包人文件的内容、提供期限、名称、数量和形式：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1.6.4 文件的照管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关于现场文件准备的约定：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联络</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 发包人指定的送达方式（包括电子传输方式）：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发包人的送达地址：</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承包人指定的送达方式（包括电子传输方式）：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承包人的送达地址：</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 知识产权</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1.10.1 由发包人（或以发包人名义）编制的《发包人要求》和其他文件的著作权归属：</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1.10.2 由承包人（或以承包人名义）为实施工程所编制的文件、承包人完成的设计工作成果和建造完成的建筑物的知识产权归属：</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在投标文件中采用的专利、专有技术、技术秘密的使用费的承担方式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保密</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双方订立的商业保密协议（名称）：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，作为本合同附件。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双方订立的技术保密协议（名称）：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，作为本合同附件。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 责任限制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承包人对发包人赔偿责任的最高限额为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 建筑信息模型技术的应用</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关于建筑信息模型技术的开发、使用、存储、传输、交付及费用约定如下：</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0" w:name="_Toc54862333"/>
      <w:r>
        <w:rPr>
          <w:rFonts w:hint="eastAsia" w:asciiTheme="minorEastAsia" w:hAnsiTheme="minorEastAsia" w:eastAsiaTheme="minorEastAsia" w:cstheme="minorEastAsia"/>
          <w:b w:val="0"/>
          <w:bCs/>
          <w:sz w:val="21"/>
          <w:szCs w:val="21"/>
        </w:rPr>
        <w:t>第2条 发包人</w:t>
      </w:r>
      <w:bookmarkEnd w:id="1130"/>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提供施工现场和工作条件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提供施工现场</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关于发包人提供施工现场的范围和期限：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 提供工作条件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关于发包人应负责提供的工作条件包括：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 提供基础资料</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关于发包人应提供的基础资料的范围和期限：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 支付合同价款</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2.5.2 发包人提供资金来源证明及资金安排的期限要求：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 发包人提供支付担保的形式、期限、金额（或比例）：</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 其他义务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发包人应履行的其他义务：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1" w:name="_Toc54862334"/>
      <w:r>
        <w:rPr>
          <w:rFonts w:hint="eastAsia" w:asciiTheme="minorEastAsia" w:hAnsiTheme="minorEastAsia" w:eastAsiaTheme="minorEastAsia" w:cstheme="minorEastAsia"/>
          <w:b w:val="0"/>
          <w:bCs/>
          <w:sz w:val="21"/>
          <w:szCs w:val="21"/>
        </w:rPr>
        <w:t>第3条 发包人的管理</w:t>
      </w:r>
      <w:bookmarkEnd w:id="1131"/>
    </w:p>
    <w:p>
      <w:pPr>
        <w:pageBreakBefore w:val="0"/>
        <w:widowControl/>
        <w:kinsoku/>
        <w:wordWrap/>
        <w:overflowPunct/>
        <w:topLinePunct w:val="0"/>
        <w:autoSpaceDE/>
        <w:autoSpaceDN/>
        <w:bidi w:val="0"/>
        <w:spacing w:line="400" w:lineRule="exact"/>
        <w:ind w:firstLine="64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发包人代表</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发包人代表的姓名：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发包人代表的身份证号：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发包人代表的职务：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发包人代表的联系电话：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发包人代表的电子邮箱：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发包人代表的通信地址：</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发包人对发包人代表的授权范围如下：</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发包人代表的职责：</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4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 发包人人员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发包人人员姓名：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发包人人员职务：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发包人人员职责：</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4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 工程师</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工程师名称：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；工程师监督管理范围、内容：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；工程师权限：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4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商定或确定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3.6.2 关于商定时间限制的具体约定：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3.6.3 关于商定或确定效力的具体约定：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；关于对工程师的确定提出异议的具体约定：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4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 会议</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3.7.1 关于召开会议的具体约定：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3.7.2 关于保存和提供会议纪要的具体约定：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2" w:name="_Toc54862335"/>
      <w:r>
        <w:rPr>
          <w:rFonts w:hint="eastAsia" w:asciiTheme="minorEastAsia" w:hAnsiTheme="minorEastAsia" w:eastAsiaTheme="minorEastAsia" w:cstheme="minorEastAsia"/>
          <w:b w:val="0"/>
          <w:bCs/>
          <w:sz w:val="21"/>
          <w:szCs w:val="21"/>
        </w:rPr>
        <w:t>第4条 承包人</w:t>
      </w:r>
      <w:bookmarkEnd w:id="1132"/>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 承包人的一般义务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承包人应履行的其他义务：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履约担保</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承包人是否提供履约担保：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履约担保的方式、金额及期限: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 工程总承包项目经理</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 工程总承包项目经理姓名：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执业资格或职称类型：</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执业资格证或职称证号码：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电子邮箱：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通信地址：</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承包人未提交劳动合同，以及没有为工程总承包项目经理缴纳社会保险证明的违约责任：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 工程总承包项目经理每月在现场的时间要求：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工程总承包项目经理未经批准擅自离开施工现场的违约责任：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4.3.3 承包人对工程总承包项目经理的授权范围: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 承包人擅自更换工程总承包项目经理的违约责任：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 承包人无正当理由拒绝更换工程总承包项目经理的违约责任: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 承包人人员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 人员安排</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承包人提交项目管理机构及施工现场人员安排的报告的期限：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承包人提交关键人员信息及注册执业资格等证明其具备担任关键人员能力的相关文件的期限：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4.4.2 关键人员更换</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承包人擅自更换关键人员的违约责任：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承包人无正当理由拒绝撤换关键人员的违约责任：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4.4.3 现场管理关键人员在岗要求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承包人现场管理关键人员离开施工现场的批准要求：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承包人现场管理关键人员擅自离开施工现场的违约责任：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 分包</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4.5.1 一般约定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禁止分包的工程包括：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4.5.2 分包的确定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允许分包的工程包括：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其他关于分包的约定：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4.5.5 分包合同价款支付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关于分包合同价款支付的约定：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 联合体</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4.6.2 联合体各成员的分工、费用收取、发票开具等事项：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 承包人现场查勘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4.7.1 双方当事人对现场查勘的责任承担的约定：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 不可预见的困难</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不可预见的困难包括：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3" w:name="_Toc54862336"/>
      <w:r>
        <w:rPr>
          <w:rFonts w:hint="eastAsia" w:asciiTheme="minorEastAsia" w:hAnsiTheme="minorEastAsia" w:eastAsiaTheme="minorEastAsia" w:cstheme="minorEastAsia"/>
          <w:b w:val="0"/>
          <w:bCs/>
          <w:sz w:val="21"/>
          <w:szCs w:val="21"/>
        </w:rPr>
        <w:t>第5条 设计</w:t>
      </w:r>
      <w:bookmarkEnd w:id="1133"/>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 承包人文件审查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 承包人文件审查的期限：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5.2.2 审查会议的审查形式和时间安排为：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，审查会议的相关费用由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承担。</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5.2.3 关于第三方审查单位的约定：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 培训</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培训的时长为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，承包人应为培训提供的人员、设施和其它必要条件为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 竣工文件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5.4.1 竣工文件的形式、提供的份数、技术标准以及其它相关要求：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5.4.3 关于竣工文件的其他约定：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 操作和维修手册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5.5.3 对最终操作和维修手册的约定：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4" w:name="_Toc54862337"/>
      <w:r>
        <w:rPr>
          <w:rFonts w:hint="eastAsia" w:asciiTheme="minorEastAsia" w:hAnsiTheme="minorEastAsia" w:eastAsiaTheme="minorEastAsia" w:cstheme="minorEastAsia"/>
          <w:b w:val="0"/>
          <w:bCs/>
          <w:sz w:val="21"/>
          <w:szCs w:val="21"/>
        </w:rPr>
        <w:t>第6条 材料、工程设备</w:t>
      </w:r>
      <w:bookmarkEnd w:id="1134"/>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 实施方法</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双方当事人约定的实施方法、设备、设施和材料：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材料和工程设备</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6.2.1 发包人提供的材料和工程设备</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发包人提供的材料和工程设备验收后，由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负责接收、运输和保管。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6.2.2 承包人提供的材料和工程设备</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材料和工程设备的类别、估算数量：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竣工后试验的生产性材料的类别或（和）清单：</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6.2.3 材料和工程设备的保管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发包人供应的材料和工程设备的保管费用由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承担。</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承包人提交保管、维护方案的时间：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发包人提供的库房、堆场、设施和设备：</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样品</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6.3.1 样品的报送与封存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需要承包人报送样品的材料或工程设备，样品种类、名称、规格、数量：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 质量检查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6.4.1 工程质量要求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工程质量的特殊标准或要求：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6.4.2 质量检查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除通用合同条件已列明的质量检查的地点外，发包人有权进行质量检查的其他地点：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6.4.3 隐蔽工程检查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关于隐蔽工程和中间验收的特别约定：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 由承包人试验和检验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6.5.1 试验设备与试验人员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试验的内容、时间和地点：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试验所需要的试验设备、取样装置、试验场所和试验条件：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试验和检验费用的计价原则：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sz w:val="21"/>
          <w:szCs w:val="21"/>
        </w:rPr>
      </w:pPr>
      <w:bookmarkStart w:id="1135" w:name="_Toc54862338"/>
      <w:r>
        <w:rPr>
          <w:rFonts w:hint="eastAsia" w:asciiTheme="minorEastAsia" w:hAnsiTheme="minorEastAsia" w:eastAsiaTheme="minorEastAsia" w:cstheme="minorEastAsia"/>
          <w:sz w:val="21"/>
          <w:szCs w:val="21"/>
        </w:rPr>
        <w:t>第7条 施工</w:t>
      </w:r>
      <w:bookmarkEnd w:id="1135"/>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交通运输</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7.1.1 出入现场的权利</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关于出入现场的权利的约定：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7.1.2 场外交通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关于场外交通的特别约定：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7.1.3 场内交通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关于场内交通的特别约定：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关于场内交通与场外交通边界的约定：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7.1.4 超大件和超重件的运输</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运输超大件或超重件所需的道路和桥梁临时加固改造费用和其他有关费用由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承担。</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施工设备和临时设施</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7.2.1 承包人提供的施工设备和临时设施</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临时设施的费用和临时占地手续和费用承担的特别约定：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7.2.2 发包人提供的施工设备和临时设施</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发包人提供的施工设备或临时设施范围：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 现场合作</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关于现场合作费用的特别约定：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 测量放线</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7.4.1 关于测量放线的特别约定的技术规范：</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。施工控制网资料的告知期限：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 现场劳动用工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7.5.2 合同当事人对建筑工人工资清偿事宜和违约责任的约定：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 安全文明施工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7.6.1 安全生产要求</w:t>
      </w:r>
    </w:p>
    <w:p>
      <w:pPr>
        <w:pageBreakBefore w:val="0"/>
        <w:widowControl/>
        <w:kinsoku/>
        <w:wordWrap/>
        <w:overflowPunct/>
        <w:topLinePunct w:val="0"/>
        <w:autoSpaceDE/>
        <w:autoSpaceDN/>
        <w:bidi w:val="0"/>
        <w:spacing w:line="400" w:lineRule="exact"/>
        <w:ind w:left="124" w:leftChars="59"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合同当事人对安全施工的要求：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7.6.3 文明施工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合同当事人对文明施工的要求：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 临时性公用设施</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关于临时性公用设施的特别约定：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7.10 现场安保</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承包人现场安保义务的特别约定：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6" w:name="_Toc54862339"/>
      <w:r>
        <w:rPr>
          <w:rFonts w:hint="eastAsia" w:asciiTheme="minorEastAsia" w:hAnsiTheme="minorEastAsia" w:eastAsiaTheme="minorEastAsia" w:cstheme="minorEastAsia"/>
          <w:b w:val="0"/>
          <w:bCs/>
          <w:sz w:val="21"/>
          <w:szCs w:val="21"/>
        </w:rPr>
        <w:t>第8条 工期和进度</w:t>
      </w:r>
      <w:bookmarkEnd w:id="1136"/>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开始工作</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8.1.1 开始准备工作：</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8.1.2 发包人可在计划开始工作之日起84日后发出开始工作通知的特殊情形：</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竣工日期</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竣工日期的约定：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项目实施计划</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8.3.1 项目实施计划的内容</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项目实施计划的内容：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8.3.2 项目实施计划的提交和修改</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项目实施计划的提交及修改期限：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 项目进度计划</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8.4.1 工程师在收到进度计划后确认或提出修改意见的期限：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8.4.2 进度计划的具体要求：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关键路径及关键路径变化的确定原则：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承包人提交项目进度计划的份数和时间：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8.4.3 进度计划的修订</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承包人提交修订项目进度计划申请报告的期限：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发包人批复修订项目进度计划申请报告的期限：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承包人答复发包人提出修订合同计划的期限：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 进度报告</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进度报告的具体要求：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 工期延误</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8.7.2 因承包人原因导致工期延误</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因承包人原因使竣工日期延误，每延误1日的误期赔偿金额为合同协议书的合同价格的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%或人民币金额为：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、累计最高赔偿金额为合同协议书的合同价格的：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%或人民币金额为：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8.7.3 行政审批迟延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行政审批报送的职责分工：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8.7.4 异常恶劣的气候条件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双方约定视为异常恶劣的气候条件的情形：</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 工期提前</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8.8.2 承包人提前竣工的奖励：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7" w:name="_Toc54862340"/>
      <w:r>
        <w:rPr>
          <w:rFonts w:hint="eastAsia" w:asciiTheme="minorEastAsia" w:hAnsiTheme="minorEastAsia" w:eastAsiaTheme="minorEastAsia" w:cstheme="minorEastAsia"/>
          <w:b w:val="0"/>
          <w:bCs/>
          <w:sz w:val="21"/>
          <w:szCs w:val="21"/>
        </w:rPr>
        <w:t>第9条 竣工试验</w:t>
      </w:r>
      <w:bookmarkEnd w:id="1137"/>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竣工试验的义务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9.1.3 竣工试验的阶段、内容和顺序：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竣工试验的操作要求：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38" w:name="_Toc4784272"/>
      <w:bookmarkEnd w:id="1138"/>
      <w:bookmarkStart w:id="1139" w:name="_Toc4784273"/>
      <w:bookmarkEnd w:id="1139"/>
      <w:bookmarkStart w:id="1140" w:name="_Toc54862341"/>
      <w:r>
        <w:rPr>
          <w:rFonts w:hint="eastAsia" w:asciiTheme="minorEastAsia" w:hAnsiTheme="minorEastAsia" w:eastAsiaTheme="minorEastAsia" w:cstheme="minorEastAsia"/>
          <w:b w:val="0"/>
          <w:bCs/>
          <w:sz w:val="21"/>
          <w:szCs w:val="21"/>
        </w:rPr>
        <w:t>第10条 验收和工程接收</w:t>
      </w:r>
      <w:bookmarkEnd w:id="1140"/>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 竣工验收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10.1.2 关于竣工验收程序的约定：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bookmarkStart w:id="1141" w:name="_Hlk46406260"/>
      <w:r>
        <w:rPr>
          <w:rFonts w:hint="eastAsia" w:asciiTheme="minorEastAsia" w:hAnsiTheme="minorEastAsia" w:eastAsiaTheme="minorEastAsia" w:cstheme="minorEastAsia"/>
          <w:sz w:val="21"/>
          <w:szCs w:val="21"/>
        </w:rPr>
        <w:t>发包人不按照合同约定组织竣工验收、颁发工程接受证书的违约金的计算方式：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bookmarkEnd w:id="1141"/>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工程的接收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10.3.1工程接收的先后顺序、时间安排和其他要求：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10.3.2 接受工程时承包人需提交竣工验收资料的类别、内容、份数和提交时间：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10.3.3 发包人逾期接收工程的违约责任：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10.3.4 承包人无正当理由不移交工程的违约责任：</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 接收证书</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10.4.1 工程接收证书颁发时间：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 竣工退场</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10.5.1 竣工退场的相关约定：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10.5.3人员撤离</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工程师同意需在缺陷责任期内继续工作和使用的人员、施工设备和临时工程的内容：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2" w:name="_Toc54862342"/>
      <w:r>
        <w:rPr>
          <w:rFonts w:hint="eastAsia" w:asciiTheme="minorEastAsia" w:hAnsiTheme="minorEastAsia" w:eastAsiaTheme="minorEastAsia" w:cstheme="minorEastAsia"/>
          <w:b w:val="0"/>
          <w:bCs/>
          <w:sz w:val="21"/>
          <w:szCs w:val="21"/>
        </w:rPr>
        <w:t>第11条 缺陷责任与保修</w:t>
      </w:r>
      <w:bookmarkEnd w:id="1142"/>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 缺陷责任期</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缺陷责任期的期限：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 缺陷调查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11.3.4 修复通知</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承包人收到保修通知并到达工程现场的合理时间：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 缺陷责任期终止证书</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承包人应于缺陷责任期届满后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天内向发包人发出缺陷责任期届满通知，发包人应在收到缺陷责任期满通知后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天内核实承包人是否履行缺陷修复义务，承包人未能履行缺陷修复义务的，发包人有权扣除相应金额的维修费用。发包人应在收到缺陷责任期届满通知后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天内，向承包人颁发缺陷责任期终止证书。</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11.7 保修责任</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工程质量保修范围、期限和责任为：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3" w:name="_Toc54862343"/>
      <w:r>
        <w:rPr>
          <w:rFonts w:hint="eastAsia" w:asciiTheme="minorEastAsia" w:hAnsiTheme="minorEastAsia" w:eastAsiaTheme="minorEastAsia" w:cstheme="minorEastAsia"/>
          <w:b w:val="0"/>
          <w:bCs/>
          <w:sz w:val="21"/>
          <w:szCs w:val="21"/>
        </w:rPr>
        <w:t>第12条 竣工后试验</w:t>
      </w:r>
      <w:bookmarkEnd w:id="1143"/>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本合同工程是否包含竣工后试验：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竣工后试验的程序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4" w:name="_Toc54862344"/>
      <w:r>
        <w:rPr>
          <w:rFonts w:hint="eastAsia" w:asciiTheme="minorEastAsia" w:hAnsiTheme="minorEastAsia" w:eastAsiaTheme="minorEastAsia" w:cstheme="minorEastAsia"/>
          <w:b w:val="0"/>
          <w:bCs/>
          <w:sz w:val="21"/>
          <w:szCs w:val="21"/>
        </w:rPr>
        <w:t>第13条 变更与调整</w:t>
      </w:r>
      <w:bookmarkEnd w:id="1144"/>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 承包人的合理化建议</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 工程师应在收到承包人提交的合理化建议后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日内审查完毕并报送发包人，发现其中存在技术上的缺陷，应通知承包人修改。发包人应在收到工程师报送的合理化建议后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日内审批完毕。合理化建议经发包人批准的，工程师应及时发出变更指示，由此引起的合同价格调整按照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执行。发包人不同意变更的，工程师应书面通知承包人</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承包人提出的合理化变更建议的利益分享约定：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 变更程序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13.3.3 变更估价</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13.3.3.1 变更估价原则</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关于变更估价原则的约定：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 暂估价</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13.4.1 依法必须招标的暂估价项目</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承包人可以参与投标的暂估价项目范围：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承包人不得参与投标的暂估价项目范围：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招投标程序及其他约定：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13.4.2 不属于依法必须招标的暂估价项目</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不属于依法必须招标的暂估价项目的协商及估价的约定：</w:t>
      </w:r>
      <w:r>
        <w:rPr>
          <w:rFonts w:hint="eastAsia" w:asciiTheme="minorEastAsia" w:hAnsiTheme="minorEastAsia" w:eastAsiaTheme="minorEastAsia" w:cstheme="minorEastAsia"/>
          <w:sz w:val="21"/>
          <w:szCs w:val="21"/>
          <w:u w:val="single"/>
        </w:rPr>
        <w:t xml:space="preserve">                                                  </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其他关于暂列金额使用的约定：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 市场价格波动引起的调整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13.8.2 关于是否采用《价格指数权重表》的约定：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13.8.3 关于采用其他方式调整合同价款的约定：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5" w:name="_Toc54862345"/>
      <w:r>
        <w:rPr>
          <w:rFonts w:hint="eastAsia" w:asciiTheme="minorEastAsia" w:hAnsiTheme="minorEastAsia" w:eastAsiaTheme="minorEastAsia" w:cstheme="minorEastAsia"/>
          <w:b w:val="0"/>
          <w:bCs/>
          <w:sz w:val="21"/>
          <w:szCs w:val="21"/>
        </w:rPr>
        <w:t>第14条 合同价格与支付</w:t>
      </w:r>
      <w:bookmarkEnd w:id="1145"/>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 合同价格形式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14.1.1 关于合同价格形式的约定：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14.1.2 关于合同价格调整的约定：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14.1.3 按实际完成的工程量支付工程价款的计量方法、估价方法：</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 预付款</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14.2.1 预付款支付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预付款的金额或比例为：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预付款支付期限：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预付款扣回的方式：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14.2.2预付款担保</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提供预付款担保期限：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预付款担保形式：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 工程进度款</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14.3.1 工程进度付款申请</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工程进度付款申请方式：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承包人提交进度付款申请单的格式、内容、份数和时间：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进度付款申请单应包括的内容：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14.3.2 进度付款审核和支付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进度付款的审核方式和支付的约定：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发包人应在进度款支付证书或临时进度款支付证书签发后的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天内完成支付，发包人逾期支付进度款的，应按照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支付违约金。</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14.4 付款计划表</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14.4.1 付款计划表的编制要求：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14.4.2 付款计划表的编制与审批</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付款计划表的编制：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14.5 竣工结算</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14.5.1 竣工结算申请</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承包人提交竣工结算申请的时间：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竣工结算申请的资料清单和份数：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竣工结算申请单的内容应包括：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14.5.2 竣工结算审核</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发包人审批竣工付款申请单的期限：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发包人完成竣工付款的期限：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关于竣工付款证书异议部分复核的方式和程序：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14.6 质量保证金</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14.6.1 承包人提供质量保证金的方式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质量保证金采用以下第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工程质量保证担保，保证金额为：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%的工程款；</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其他方式：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14.6.2 质量保证金的预留</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质量保证金的预留采取以下第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在支付工程进度款时逐次预留的质量保证金的比例：</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，在此情形下，质量保证金的计算基数不包括预付款的支付、扣回以及价格调整的金额；</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工程竣工结算时一次性预留专用合同条件第14.6.1项第(2)目约定的工程款预留比例的质量保证金；</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 其他预留方式: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关于质量保证金的补充约定：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14.7 最终结清</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14.7.1 最终结清申请单</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当事人双方关于最终结清申请的其他约定：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14.7.2 最终结清证书和支付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当事人双方关于最终结清支付的其他约定：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6" w:name="_Toc54862346"/>
      <w:r>
        <w:rPr>
          <w:rFonts w:hint="eastAsia" w:asciiTheme="minorEastAsia" w:hAnsiTheme="minorEastAsia" w:eastAsiaTheme="minorEastAsia" w:cstheme="minorEastAsia"/>
          <w:b w:val="0"/>
          <w:bCs/>
          <w:sz w:val="21"/>
          <w:szCs w:val="21"/>
        </w:rPr>
        <w:t>第15条 违约</w:t>
      </w:r>
      <w:bookmarkEnd w:id="1146"/>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 发包人违约</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 发包人违约的情形</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发包人违约的其他情形</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15.1.3 发包人违约的责任</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发包人违约责任的承担方式和计算方法：</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 承包人违约</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15.2.1 承包人违约的情形</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承包人违约的其他情形：</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15.2.2 通知改正</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工程师通知承包人改正的合理期限是：</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15.2.3 承包人违约的责任</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承包人违约责任的承担方式和计算方法：</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7" w:name="_Toc54862347"/>
      <w:r>
        <w:rPr>
          <w:rFonts w:hint="eastAsia" w:asciiTheme="minorEastAsia" w:hAnsiTheme="minorEastAsia" w:eastAsiaTheme="minorEastAsia" w:cstheme="minorEastAsia"/>
          <w:b w:val="0"/>
          <w:bCs/>
          <w:sz w:val="21"/>
          <w:szCs w:val="21"/>
        </w:rPr>
        <w:t>第16条 合同解除</w:t>
      </w:r>
      <w:bookmarkEnd w:id="1147"/>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由发包人解除合同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16.1.1 因承包人违约解除合同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双方约定可由发包人解除合同的其他事由：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 由承包人解除合同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16.2.1 因发包人违约解除合同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双方约定可由承包人解除合同的其他事由：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8" w:name="_Toc54862348"/>
      <w:r>
        <w:rPr>
          <w:rFonts w:hint="eastAsia" w:asciiTheme="minorEastAsia" w:hAnsiTheme="minorEastAsia" w:eastAsiaTheme="minorEastAsia" w:cstheme="minorEastAsia"/>
          <w:b w:val="0"/>
          <w:bCs/>
          <w:sz w:val="21"/>
          <w:szCs w:val="21"/>
        </w:rPr>
        <w:t>第17条 不可抗力</w:t>
      </w:r>
      <w:bookmarkEnd w:id="1148"/>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不可抗力的定义</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除通用合同条件约定的不可抗力事件之外，视为不可抗力的其他情形：</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17.6 因不可抗力解除合同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合同解除后，发包人应当在商定或确定发包人应支付款项后的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天内完成款项的支付。</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49" w:name="_Toc4784277"/>
      <w:bookmarkEnd w:id="1149"/>
      <w:bookmarkStart w:id="1150" w:name="_Toc4784276"/>
      <w:bookmarkEnd w:id="1150"/>
      <w:bookmarkStart w:id="1151" w:name="_Toc54862349"/>
      <w:r>
        <w:rPr>
          <w:rFonts w:hint="eastAsia" w:asciiTheme="minorEastAsia" w:hAnsiTheme="minorEastAsia" w:eastAsiaTheme="minorEastAsia" w:cstheme="minorEastAsia"/>
          <w:b w:val="0"/>
          <w:bCs/>
          <w:sz w:val="21"/>
          <w:szCs w:val="21"/>
        </w:rPr>
        <w:t>第18条 保险</w:t>
      </w:r>
      <w:bookmarkEnd w:id="1151"/>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设计和工程保险</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 双方当事人关于设计和工程保险的特别约定：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18.1.2 双方当事人关于第三方责任险的特别约定：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工伤和意外伤害保险</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18.2.3 关于工伤保险和意外伤害保险的特别约定：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 货物保险</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关于承包人应为其施工设备、材料、工程设备和临时工程等办理财产保险的特别约定：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18.4 其他保险</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关于其他保险的约定：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 对各项保险的一般要求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18.5.2 保险凭证</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保险单的条件：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18.5.4 通知义务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关于变更保险合同时的通知义务的约定：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47"/>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sz w:val="21"/>
          <w:szCs w:val="21"/>
        </w:rPr>
      </w:pPr>
      <w:bookmarkStart w:id="1152" w:name="_Toc54862350"/>
      <w:r>
        <w:rPr>
          <w:rFonts w:hint="eastAsia" w:asciiTheme="minorEastAsia" w:hAnsiTheme="minorEastAsia" w:eastAsiaTheme="minorEastAsia" w:cstheme="minorEastAsia"/>
          <w:b w:val="0"/>
          <w:bCs/>
          <w:sz w:val="21"/>
          <w:szCs w:val="21"/>
        </w:rPr>
        <w:t>第20条 争议解决</w:t>
      </w:r>
      <w:bookmarkEnd w:id="1152"/>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 争议评审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合同当事人是否同意将工程争议提交争议评审小组决定：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20.3.1 争议评审小组的确定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争议评审小组成员的人数：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争议评审小组成员的确定：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选定争议避免/评审组的期限：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评审机构：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其他事项的约定：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争议评审员报酬的承担人：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20.3.2 争议的避免</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发包人和承包人是否均出席争议避免的非正式讨论：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20.3.3 争议评审小组的决定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关于争议评审小组的决定的特别约定：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20.4 仲裁或诉讼</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因合同及合同有关事项发生的争议，按下列第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仲裁委员会申请仲裁；</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sectPr>
          <w:headerReference r:id="rId11" w:type="default"/>
          <w:pgSz w:w="11906" w:h="16838"/>
          <w:pgMar w:top="1440" w:right="1800" w:bottom="1440" w:left="1800" w:header="720" w:footer="998" w:gutter="0"/>
          <w:pgNumType w:fmt="decimal"/>
          <w:cols w:space="720" w:num="1"/>
          <w:docGrid w:linePitch="326" w:charSpace="0"/>
        </w:sectPr>
      </w:pPr>
    </w:p>
    <w:p>
      <w:pPr>
        <w:pStyle w:val="39"/>
        <w:keepNext w:val="0"/>
        <w:keepLines w:val="0"/>
        <w:pageBreakBefore w:val="0"/>
        <w:widowControl/>
        <w:kinsoku/>
        <w:wordWrap/>
        <w:overflowPunct/>
        <w:topLinePunct w:val="0"/>
        <w:autoSpaceDE/>
        <w:autoSpaceDN/>
        <w:bidi w:val="0"/>
        <w:adjustRightInd w:val="0"/>
        <w:snapToGrid w:val="0"/>
        <w:spacing w:before="0" w:after="50" w:line="400" w:lineRule="exact"/>
        <w:textAlignment w:val="auto"/>
        <w:rPr>
          <w:rFonts w:hint="eastAsia" w:asciiTheme="minorEastAsia" w:hAnsiTheme="minorEastAsia" w:eastAsiaTheme="minorEastAsia" w:cstheme="minorEastAsia"/>
          <w:sz w:val="21"/>
          <w:szCs w:val="21"/>
        </w:rPr>
      </w:pPr>
      <w:bookmarkStart w:id="1153" w:name="_Toc54862351"/>
      <w:r>
        <w:rPr>
          <w:rFonts w:hint="eastAsia" w:asciiTheme="minorEastAsia" w:hAnsiTheme="minorEastAsia" w:eastAsiaTheme="minorEastAsia" w:cstheme="minorEastAsia"/>
          <w:sz w:val="21"/>
          <w:szCs w:val="21"/>
        </w:rPr>
        <w:t>专用合同条件附件</w:t>
      </w:r>
      <w:bookmarkEnd w:id="1153"/>
    </w:p>
    <w:p>
      <w:pPr>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sz w:val="21"/>
          <w:szCs w:val="21"/>
        </w:rPr>
      </w:pP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附件1：发包人要求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附件2：发包人供应材料设备一览表</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附件3：工程质量保修书</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附件4：主要建设工程文件目录</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附件5：承包人主要管理人员表</w:t>
      </w:r>
    </w:p>
    <w:p>
      <w:pPr>
        <w:pageBreakBefore w:val="0"/>
        <w:widowControl/>
        <w:kinsoku/>
        <w:wordWrap/>
        <w:overflowPunct/>
        <w:topLinePunct w:val="0"/>
        <w:autoSpaceDE/>
        <w:autoSpaceDN/>
        <w:bidi w:val="0"/>
        <w:spacing w:line="400" w:lineRule="exact"/>
        <w:ind w:firstLine="6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附件6：价格指数权重表</w:t>
      </w:r>
    </w:p>
    <w:p>
      <w:pPr>
        <w:pageBreakBefore w:val="0"/>
        <w:widowControl/>
        <w:kinsoku/>
        <w:wordWrap/>
        <w:overflowPunct/>
        <w:topLinePunct w:val="0"/>
        <w:autoSpaceDE/>
        <w:autoSpaceDN/>
        <w:bidi w:val="0"/>
        <w:spacing w:line="400" w:lineRule="exact"/>
        <w:textAlignment w:val="auto"/>
        <w:rPr>
          <w:rFonts w:hint="eastAsia" w:asciiTheme="minorEastAsia" w:hAnsiTheme="minorEastAsia" w:eastAsiaTheme="minorEastAsia" w:cstheme="minorEastAsia"/>
          <w:sz w:val="21"/>
          <w:szCs w:val="21"/>
        </w:rPr>
      </w:pPr>
    </w:p>
    <w:p>
      <w:pPr>
        <w:pageBreakBefore w:val="0"/>
        <w:widowControl/>
        <w:kinsoku/>
        <w:wordWrap/>
        <w:overflowPunct/>
        <w:topLinePunct w:val="0"/>
        <w:autoSpaceDE/>
        <w:autoSpaceDN/>
        <w:bidi w:val="0"/>
        <w:adjustRightInd/>
        <w:snapToGrid/>
        <w:spacing w:after="0" w:afterLines="0" w:line="400" w:lineRule="exact"/>
        <w:ind w:firstLine="3584" w:firstLineChars="1700"/>
        <w:jc w:val="left"/>
        <w:textAlignment w:val="auto"/>
        <w:rPr>
          <w:rFonts w:hint="eastAsia" w:asciiTheme="minorEastAsia" w:hAnsiTheme="minorEastAsia" w:eastAsiaTheme="minorEastAsia" w:cstheme="minorEastAsia"/>
          <w:b/>
          <w:bCs/>
          <w:sz w:val="21"/>
          <w:szCs w:val="21"/>
        </w:rPr>
      </w:pPr>
      <w:bookmarkStart w:id="1154" w:name="_Toc54862352"/>
      <w:bookmarkStart w:id="1155" w:name="_Hlk38571789"/>
      <w:r>
        <w:rPr>
          <w:rFonts w:hint="eastAsia" w:asciiTheme="minorEastAsia" w:hAnsiTheme="minorEastAsia" w:eastAsiaTheme="minorEastAsia" w:cstheme="minorEastAsia"/>
          <w:b/>
          <w:bCs/>
          <w:sz w:val="21"/>
          <w:szCs w:val="21"/>
        </w:rPr>
        <w:t>附件1 《发包人要求》</w:t>
      </w:r>
      <w:bookmarkEnd w:id="1154"/>
    </w:p>
    <w:bookmarkEnd w:id="1155"/>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《发包人要求》通常包括但不限于以下内容：</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一、功能要求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（一）工程目的。</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（二）工程规模。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（三）性能保证指标（性能保证表）。</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（四）产能保证指标。</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二、工程范围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（一）概述</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（二）包括的工作</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永久工程的设计、采购、施工范围。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临时工程的设计与施工范围。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竣工验收工作范围。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技术服务工作范围。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培训工作范围。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保修工作范围。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（三）工作界区</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（四）发包人提供的现场条件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施工用电。</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施工用水。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施工排水。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施工道路。</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（五）发包人提供的技术文件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除另有批准外，承包人的工作需要遵照发包人的下列技术文件: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发包人需求任务书。</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发包人已完成的设计文件。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三、工艺安排或要求（如有）</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四、时间要求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（一）开始工作时间。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（二）设计完成时间。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（三）进度计划。</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（四）竣工时间。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（五）缺陷责任期。</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（六）其他时间要求。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五、技术要求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（一）设计阶段和设计任务。</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（二）设计标准和规范。</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（三）技术标准和要求。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（四）质量标准。</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（五）设计、施工和设备监造、试验（如有）。</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（六）样品。</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（七）发包人提供的其他条件，如发包人或其委托的第三人提供的设计、工艺包、用于试验检验的工器具等，以及据此对承包人提出的予以配套的要求。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六、竣工试验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（一）第一阶段，如对单车试验等的要求，包括试验前准备。</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（二）第二阶段，如对联动试车、投料试车等的要求，包括人员、设备、材料、燃料、电力、消耗品、工具等必要条件。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（三）第三阶段，如对性能测试及其他竣工试验的要求，包括产能指标、产品质量标准、运营指标、环保指标等。</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七、竣工验收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八、竣工后试验（如有）</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九、文件要求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（一）设计文件，及其相关审批、核准、备案要求。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（二）沟通计划。</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（三）风险管理计划。</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（四）竣工文件和工程的其他记录。</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（五）操作和维修手册。</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（六）其他承包人文件。</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十、工程项目管理规定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（一）质量。</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（二）进度，包括里程碑进度计划（如果有）。</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（三）支付。</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（四）HSE（健康、安全与环境管理体系）。</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（五）沟通。</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（六）变更。</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十一、其他要求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（一）对承包人的主要人员资格要求。</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（二）相关审批、核准和备案手续的办理。</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（三）对项目业主人员的操作培训。</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（四）分包。</w:t>
      </w:r>
    </w:p>
    <w:p>
      <w:pPr>
        <w:pageBreakBefore w:val="0"/>
        <w:widowControl/>
        <w:kinsoku/>
        <w:wordWrap/>
        <w:overflowPunct/>
        <w:topLinePunct w:val="0"/>
        <w:autoSpaceDE/>
        <w:autoSpaceDN/>
        <w:bidi w:val="0"/>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（五）设备供应商。</w:t>
      </w:r>
    </w:p>
    <w:p>
      <w:pPr>
        <w:pageBreakBefore w:val="0"/>
        <w:widowControl/>
        <w:kinsoku/>
        <w:wordWrap/>
        <w:overflowPunct/>
        <w:topLinePunct w:val="0"/>
        <w:autoSpaceDE/>
        <w:autoSpaceDN/>
        <w:bidi w:val="0"/>
        <w:spacing w:line="400" w:lineRule="exact"/>
        <w:ind w:left="60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（六）缺陷责任期的服务要求。</w:t>
      </w:r>
    </w:p>
    <w:p>
      <w:pPr>
        <w:pageBreakBefore w:val="0"/>
        <w:widowControl/>
        <w:kinsoku/>
        <w:wordWrap/>
        <w:overflowPunct/>
        <w:topLinePunct w:val="0"/>
        <w:autoSpaceDE/>
        <w:autoSpaceDN/>
        <w:bidi w:val="0"/>
        <w:adjustRightInd/>
        <w:snapToGrid/>
        <w:spacing w:after="0" w:afterLines="0" w:line="400" w:lineRule="exact"/>
        <w:ind w:firstLine="0" w:firstLineChars="0"/>
        <w:jc w:val="left"/>
        <w:textAlignment w:val="auto"/>
        <w:rPr>
          <w:rFonts w:hint="eastAsia" w:asciiTheme="minorEastAsia" w:hAnsiTheme="minorEastAsia" w:eastAsiaTheme="minorEastAsia" w:cstheme="minorEastAsia"/>
          <w:sz w:val="21"/>
          <w:szCs w:val="21"/>
        </w:rPr>
      </w:pPr>
    </w:p>
    <w:p>
      <w:pPr>
        <w:pageBreakBefore w:val="0"/>
        <w:kinsoku/>
        <w:wordWrap/>
        <w:overflowPunct/>
        <w:topLinePunct w:val="0"/>
        <w:bidi w:val="0"/>
        <w:adjustRightInd/>
        <w:snapToGrid/>
        <w:spacing w:after="0" w:afterLines="0" w:line="400" w:lineRule="exact"/>
        <w:ind w:firstLine="0" w:firstLineChars="0"/>
        <w:jc w:val="left"/>
        <w:textAlignment w:val="auto"/>
        <w:rPr>
          <w:rFonts w:hint="eastAsia" w:asciiTheme="minorEastAsia" w:hAnsiTheme="minorEastAsia" w:eastAsiaTheme="minorEastAsia" w:cstheme="minorEastAsia"/>
          <w:sz w:val="21"/>
          <w:szCs w:val="21"/>
        </w:rPr>
      </w:pPr>
    </w:p>
    <w:p>
      <w:pPr>
        <w:pageBreakBefore w:val="0"/>
        <w:kinsoku/>
        <w:wordWrap/>
        <w:overflowPunct/>
        <w:topLinePunct w:val="0"/>
        <w:bidi w:val="0"/>
        <w:adjustRightInd/>
        <w:snapToGrid/>
        <w:spacing w:after="0" w:afterLines="0" w:line="400" w:lineRule="exact"/>
        <w:ind w:firstLine="0" w:firstLineChars="0"/>
        <w:jc w:val="left"/>
        <w:textAlignment w:val="auto"/>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rPr>
      </w:pPr>
    </w:p>
    <w:p>
      <w:pPr>
        <w:pStyle w:val="48"/>
        <w:pageBreakBefore w:val="0"/>
        <w:numPr>
          <w:ilvl w:val="0"/>
          <w:numId w:val="0"/>
        </w:numPr>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bookmarkStart w:id="1156" w:name="_Toc20171894"/>
      <w:bookmarkStart w:id="1157" w:name="_Toc54862353"/>
      <w:r>
        <w:rPr>
          <w:rFonts w:hint="eastAsia" w:asciiTheme="minorEastAsia" w:hAnsiTheme="minorEastAsia" w:eastAsiaTheme="minorEastAsia" w:cstheme="minorEastAsia"/>
          <w:sz w:val="21"/>
          <w:szCs w:val="21"/>
        </w:rPr>
        <w:t>附件2 发包人供应材料设备一览表</w:t>
      </w:r>
      <w:bookmarkEnd w:id="1156"/>
      <w:bookmarkEnd w:id="1157"/>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65"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材料、设备品种</w:t>
            </w:r>
          </w:p>
        </w:tc>
        <w:tc>
          <w:tcPr>
            <w:tcW w:w="1126"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规格型号</w:t>
            </w:r>
          </w:p>
        </w:tc>
        <w:tc>
          <w:tcPr>
            <w:tcW w:w="567"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686"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992"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单价（元）</w:t>
            </w:r>
          </w:p>
        </w:tc>
        <w:tc>
          <w:tcPr>
            <w:tcW w:w="1134"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质量等级</w:t>
            </w:r>
          </w:p>
        </w:tc>
        <w:tc>
          <w:tcPr>
            <w:tcW w:w="1134"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供应时间</w:t>
            </w:r>
          </w:p>
        </w:tc>
        <w:tc>
          <w:tcPr>
            <w:tcW w:w="1134"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送达地点</w:t>
            </w:r>
          </w:p>
        </w:tc>
        <w:tc>
          <w:tcPr>
            <w:tcW w:w="709"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40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tcBorders>
              <w:top w:val="double" w:color="auto" w:sz="6" w:space="0"/>
              <w:bottom w:val="single" w:color="auto" w:sz="6" w:space="0"/>
            </w:tcBorders>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tcBorders>
              <w:top w:val="double" w:color="auto" w:sz="6" w:space="0"/>
              <w:bottom w:val="single" w:color="auto" w:sz="6" w:space="0"/>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tcBorders>
              <w:top w:val="nil"/>
            </w:tcBorders>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tcBorders>
              <w:top w:val="nil"/>
            </w:tcBorders>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Style w:val="9"/>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65"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26"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567"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686"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992" w:type="dxa"/>
            <w:noWrap w:val="0"/>
            <w:vAlign w:val="top"/>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1134"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c>
          <w:tcPr>
            <w:tcW w:w="709" w:type="dxa"/>
            <w:noWrap w:val="0"/>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tc>
      </w:tr>
    </w:tbl>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p>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48"/>
        <w:pageBreakBefore w:val="0"/>
        <w:numPr>
          <w:ilvl w:val="0"/>
          <w:numId w:val="0"/>
        </w:numPr>
        <w:kinsoku/>
        <w:wordWrap/>
        <w:overflowPunct/>
        <w:topLinePunct w:val="0"/>
        <w:bidi w:val="0"/>
        <w:snapToGrid/>
        <w:spacing w:line="400" w:lineRule="exact"/>
        <w:textAlignment w:val="auto"/>
        <w:rPr>
          <w:rFonts w:hint="eastAsia" w:asciiTheme="minorEastAsia" w:hAnsiTheme="minorEastAsia" w:eastAsiaTheme="minorEastAsia" w:cstheme="minorEastAsia"/>
          <w:sz w:val="21"/>
          <w:szCs w:val="21"/>
        </w:rPr>
      </w:pPr>
      <w:bookmarkStart w:id="1158" w:name="_Toc54862354"/>
      <w:bookmarkStart w:id="1159" w:name="_Toc20171895"/>
      <w:r>
        <w:rPr>
          <w:rFonts w:hint="eastAsia" w:asciiTheme="minorEastAsia" w:hAnsiTheme="minorEastAsia" w:eastAsiaTheme="minorEastAsia" w:cstheme="minorEastAsia"/>
          <w:sz w:val="21"/>
          <w:szCs w:val="21"/>
        </w:rPr>
        <w:t>附件3 工程质量保修书</w:t>
      </w:r>
      <w:bookmarkEnd w:id="1158"/>
      <w:bookmarkEnd w:id="1159"/>
    </w:p>
    <w:p>
      <w:pPr>
        <w:keepNext w:val="0"/>
        <w:keepLines w:val="0"/>
        <w:pageBreakBefore w:val="0"/>
        <w:widowControl/>
        <w:kinsoku/>
        <w:wordWrap/>
        <w:overflowPunct/>
        <w:topLinePunct w:val="0"/>
        <w:autoSpaceDE/>
        <w:autoSpaceDN/>
        <w:bidi w:val="0"/>
        <w:snapToGrid/>
        <w:spacing w:line="40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发包人（全称）：</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kinsoku/>
        <w:wordWrap/>
        <w:overflowPunct/>
        <w:topLinePunct w:val="0"/>
        <w:autoSpaceDE/>
        <w:autoSpaceDN/>
        <w:bidi w:val="0"/>
        <w:snapToGrid/>
        <w:spacing w:line="40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承包人（全称）：</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发包人和承包人根据《中华人民共和国建筑法》和《建设工程质量管理条例》，经协商一致就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（工程全称）订立工程质量保修书。</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一、工程质量保修范围和内容</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承包人在质量保修期内，按照有关法律规定和合同约定，承担工程质量保修责任。</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二、质量保修期</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根据《建设工程质量管理条例》及有关规定，工程的质量保修期如下：</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地基</w:t>
      </w:r>
      <w:r>
        <w:rPr>
          <w:rFonts w:hint="eastAsia" w:asciiTheme="minorEastAsia" w:hAnsiTheme="minorEastAsia" w:eastAsiaTheme="minorEastAsia" w:cstheme="minorEastAsia"/>
          <w:color w:val="000000"/>
          <w:sz w:val="21"/>
          <w:szCs w:val="21"/>
        </w:rPr>
        <w:t>基础</w:t>
      </w:r>
      <w:r>
        <w:rPr>
          <w:rFonts w:hint="eastAsia" w:asciiTheme="minorEastAsia" w:hAnsiTheme="minorEastAsia" w:eastAsiaTheme="minorEastAsia" w:cstheme="minorEastAsia"/>
          <w:sz w:val="21"/>
          <w:szCs w:val="21"/>
        </w:rPr>
        <w:t>工程和主体结构工程为设计文件规定的工程合理使用年限；</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2．屋面防水工程、有防水要求的卫生间、房间和外墙面的防渗为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3．装修工程为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4．电气管线、给排水管道、设备安装工程为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5．供热与供冷系统为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个采暖期、供冷期；</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6．住宅小区内的给排水设施、道路等配套工程为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7．其他项目保修期限约定如下：</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质量保修期自工程竣工验收合格之日起计算。</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三、缺陷责任期</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工程缺陷责任期为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个月，缺陷责任期自工程通过竣工验收之日起计算。单位/区段工程先于全部工程进行验收，单位/区段工程缺陷责任期自单位/区段工程验收合格之日起算。</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缺陷责任期终止后，发包人应返还剩余的质量保证金。</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四、质量保修责任</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1．属于保修范围、内容的项目，承包人应当在接到保修通知之日起7天内派人保修。承包人不在约定期限内派人保修的，发包人可以委托他人修理。</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2．发生紧急事故需抢修的，承包人在接到事故通知后，应当立即到达事故现场抢修。</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4．质量保修完成后，由发包人组织验收。</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五、保修费用</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保修费用由造成质量缺陷的责任方承担。</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六、双方约定的其他工程质量保修事项：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工程质量保修书由发包人、承包人在工程竣工验收前共同签署，作为工程总承包合同附件，其有效期限至保修期满。</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发包人(公章)：               承包人(公章)：          </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  址：                     地  址：       </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法定代表人(签字)：           法定代表人(签字)：       </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委托代理人(签字)：           委托代理人(签字)：       </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                     电  话：</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传  真：                     传  真：  </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账  号：                     账  号： </w:t>
      </w:r>
    </w:p>
    <w:p>
      <w:pPr>
        <w:keepNext w:val="0"/>
        <w:keepLines w:val="0"/>
        <w:pageBreakBefore w:val="0"/>
        <w:widowControl/>
        <w:kinsoku/>
        <w:wordWrap/>
        <w:overflowPunct/>
        <w:topLinePunct w:val="0"/>
        <w:autoSpaceDE/>
        <w:autoSpaceDN/>
        <w:bidi w:val="0"/>
        <w:snapToGrid/>
        <w:spacing w:line="400" w:lineRule="exact"/>
        <w:ind w:firstLine="6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邮政编码：                   邮政编码：   </w:t>
      </w:r>
    </w:p>
    <w:p>
      <w:pPr>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48"/>
        <w:pageBreakBefore w:val="0"/>
        <w:numPr>
          <w:ilvl w:val="0"/>
          <w:numId w:val="0"/>
        </w:numPr>
        <w:kinsoku/>
        <w:overflowPunct/>
        <w:bidi w:val="0"/>
        <w:spacing w:line="240" w:lineRule="exact"/>
        <w:textAlignment w:val="auto"/>
        <w:rPr>
          <w:rFonts w:hint="eastAsia" w:asciiTheme="minorEastAsia" w:hAnsiTheme="minorEastAsia" w:eastAsiaTheme="minorEastAsia" w:cstheme="minorEastAsia"/>
          <w:sz w:val="21"/>
          <w:szCs w:val="21"/>
        </w:rPr>
      </w:pPr>
      <w:bookmarkStart w:id="1160" w:name="_Toc20171896"/>
      <w:bookmarkStart w:id="1161" w:name="_Toc54862355"/>
      <w:r>
        <w:rPr>
          <w:rFonts w:hint="eastAsia" w:asciiTheme="minorEastAsia" w:hAnsiTheme="minorEastAsia" w:eastAsiaTheme="minorEastAsia" w:cstheme="minorEastAsia"/>
          <w:sz w:val="21"/>
          <w:szCs w:val="21"/>
        </w:rPr>
        <w:t>附件4 主要建设工程文件目录</w:t>
      </w:r>
      <w:bookmarkEnd w:id="1160"/>
      <w:bookmarkEnd w:id="1161"/>
    </w:p>
    <w:tbl>
      <w:tblPr>
        <w:tblStyle w:val="22"/>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single" w:color="auto" w:sz="4"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文件名称</w:t>
            </w:r>
          </w:p>
        </w:tc>
        <w:tc>
          <w:tcPr>
            <w:tcW w:w="1276" w:type="dxa"/>
            <w:tcBorders>
              <w:top w:val="single" w:color="auto" w:sz="12" w:space="0"/>
              <w:bottom w:val="single" w:color="auto" w:sz="4"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套数</w:t>
            </w:r>
          </w:p>
        </w:tc>
        <w:tc>
          <w:tcPr>
            <w:tcW w:w="1450" w:type="dxa"/>
            <w:tcBorders>
              <w:top w:val="single" w:color="auto" w:sz="12" w:space="0"/>
              <w:bottom w:val="single" w:color="auto" w:sz="4"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费用（元）</w:t>
            </w:r>
          </w:p>
        </w:tc>
        <w:tc>
          <w:tcPr>
            <w:tcW w:w="1243" w:type="dxa"/>
            <w:tcBorders>
              <w:top w:val="single" w:color="auto" w:sz="12" w:space="0"/>
              <w:bottom w:val="single" w:color="auto" w:sz="4"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w:t>
            </w:r>
          </w:p>
        </w:tc>
        <w:tc>
          <w:tcPr>
            <w:tcW w:w="1450" w:type="dxa"/>
            <w:tcBorders>
              <w:top w:val="single" w:color="auto" w:sz="12" w:space="0"/>
              <w:bottom w:val="single" w:color="auto" w:sz="4" w:space="0"/>
            </w:tcBorders>
            <w:noWrap w:val="0"/>
            <w:vAlign w:val="top"/>
          </w:tcPr>
          <w:p>
            <w:pPr>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移交时间</w:t>
            </w:r>
          </w:p>
        </w:tc>
        <w:tc>
          <w:tcPr>
            <w:tcW w:w="1670" w:type="dxa"/>
            <w:tcBorders>
              <w:top w:val="single" w:color="auto" w:sz="12" w:space="0"/>
              <w:bottom w:val="single" w:color="auto" w:sz="4" w:space="0"/>
            </w:tcBorders>
            <w:noWrap w:val="0"/>
            <w:vAlign w:val="top"/>
          </w:tcPr>
          <w:p>
            <w:pPr>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tc>
      </w:tr>
    </w:tbl>
    <w:p>
      <w:pPr>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p>
      <w:pPr>
        <w:pStyle w:val="48"/>
        <w:pageBreakBefore w:val="0"/>
        <w:numPr>
          <w:ilvl w:val="0"/>
          <w:numId w:val="0"/>
        </w:numPr>
        <w:kinsoku/>
        <w:overflowPunct/>
        <w:bidi w:val="0"/>
        <w:spacing w:line="240" w:lineRule="exact"/>
        <w:jc w:val="both"/>
        <w:textAlignment w:val="auto"/>
        <w:rPr>
          <w:rFonts w:hint="eastAsia" w:asciiTheme="minorEastAsia" w:hAnsiTheme="minorEastAsia" w:eastAsiaTheme="minorEastAsia" w:cstheme="minorEastAsia"/>
          <w:sz w:val="21"/>
          <w:szCs w:val="21"/>
        </w:rPr>
      </w:pPr>
      <w:bookmarkStart w:id="1162" w:name="_Toc54862356"/>
      <w:bookmarkStart w:id="1163" w:name="_Toc20171897"/>
      <w:r>
        <w:rPr>
          <w:rFonts w:hint="eastAsia" w:asciiTheme="minorEastAsia" w:hAnsiTheme="minorEastAsia" w:eastAsiaTheme="minorEastAsia" w:cstheme="minorEastAsia"/>
          <w:sz w:val="21"/>
          <w:szCs w:val="21"/>
        </w:rPr>
        <w:t>附件5 承包人主要管理人员表</w:t>
      </w:r>
      <w:bookmarkEnd w:id="1162"/>
      <w:bookmarkEnd w:id="1163"/>
    </w:p>
    <w:tbl>
      <w:tblPr>
        <w:tblStyle w:val="22"/>
        <w:tblW w:w="90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418"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34"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职务</w:t>
            </w:r>
          </w:p>
        </w:tc>
        <w:tc>
          <w:tcPr>
            <w:tcW w:w="1134"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3896" w:type="dxa"/>
            <w:tcBorders>
              <w:top w:val="single" w:color="auto" w:sz="12" w:space="0"/>
              <w:bottom w:val="double" w:color="auto" w:sz="6"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项目主管</w:t>
            </w:r>
          </w:p>
        </w:tc>
        <w:tc>
          <w:tcPr>
            <w:tcW w:w="1418" w:type="dxa"/>
            <w:tcBorders>
              <w:top w:val="nil"/>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tcBorders>
              <w:top w:val="nil"/>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tcBorders>
              <w:top w:val="nil"/>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tcBorders>
              <w:top w:val="nil"/>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其他人员</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工程总承包</w:t>
            </w:r>
          </w:p>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项目经理</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项目副经理</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设计负责人</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采购负责人</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施工负责人</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技术负责人</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造价管理</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质量管理</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计划管理</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安全管理</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环境管理</w:t>
            </w:r>
          </w:p>
        </w:tc>
        <w:tc>
          <w:tcPr>
            <w:tcW w:w="1418"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9"/>
              <w:pageBreakBefore w:val="0"/>
              <w:kinsoku/>
              <w:wordWrap/>
              <w:overflowPunct/>
              <w:topLinePunct w:val="0"/>
              <w:bidi w:val="0"/>
              <w:spacing w:after="0" w:afterLines="0" w:line="24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其他人员</w:t>
            </w:r>
          </w:p>
        </w:tc>
        <w:tc>
          <w:tcPr>
            <w:tcW w:w="1418" w:type="dxa"/>
            <w:tcBorders>
              <w:bottom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tcBorders>
              <w:bottom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tcBorders>
              <w:bottom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tcBorders>
              <w:bottom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right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kinsoku/>
              <w:wordWrap/>
              <w:overflowPunct/>
              <w:topLinePunct w:val="0"/>
              <w:bidi w:val="0"/>
              <w:spacing w:after="0" w:afterLines="0" w:line="240" w:lineRule="exact"/>
              <w:ind w:firstLine="420"/>
              <w:textAlignment w:val="auto"/>
              <w:rPr>
                <w:rFonts w:hint="eastAsia" w:asciiTheme="minorEastAsia" w:hAnsiTheme="minorEastAsia" w:eastAsiaTheme="minorEastAsia" w:cstheme="minorEastAsia"/>
                <w:sz w:val="21"/>
                <w:szCs w:val="21"/>
              </w:rPr>
            </w:pPr>
          </w:p>
        </w:tc>
      </w:tr>
    </w:tbl>
    <w:p>
      <w:pPr>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48"/>
        <w:pageBreakBefore w:val="0"/>
        <w:numPr>
          <w:ilvl w:val="0"/>
          <w:numId w:val="0"/>
        </w:numPr>
        <w:kinsoku/>
        <w:overflowPunct/>
        <w:bidi w:val="0"/>
        <w:spacing w:line="240" w:lineRule="exact"/>
        <w:textAlignment w:val="auto"/>
        <w:rPr>
          <w:rFonts w:hint="eastAsia" w:asciiTheme="minorEastAsia" w:hAnsiTheme="minorEastAsia" w:eastAsiaTheme="minorEastAsia" w:cstheme="minorEastAsia"/>
          <w:sz w:val="21"/>
          <w:szCs w:val="21"/>
        </w:rPr>
      </w:pPr>
      <w:bookmarkStart w:id="1164" w:name="_Toc54862357"/>
      <w:r>
        <w:rPr>
          <w:rFonts w:hint="eastAsia" w:asciiTheme="minorEastAsia" w:hAnsiTheme="minorEastAsia" w:eastAsiaTheme="minorEastAsia" w:cstheme="minorEastAsia"/>
          <w:sz w:val="21"/>
          <w:szCs w:val="21"/>
        </w:rPr>
        <w:t>附件6 价格指数权重表</w:t>
      </w:r>
      <w:bookmarkEnd w:id="116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60" w:type="dxa"/>
            <w:gridSpan w:val="2"/>
            <w:vMerge w:val="restart"/>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2295" w:type="dxa"/>
            <w:gridSpan w:val="2"/>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变更权重B</w:t>
            </w:r>
          </w:p>
        </w:tc>
        <w:tc>
          <w:tcPr>
            <w:tcW w:w="2445" w:type="dxa"/>
            <w:gridSpan w:val="2"/>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基本价格指数F0</w:t>
            </w: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460" w:type="dxa"/>
            <w:gridSpan w:val="2"/>
            <w:vMerge w:val="continue"/>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代号</w:t>
            </w: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代号</w:t>
            </w: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指数</w:t>
            </w: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584" w:type="dxa"/>
            <w:vMerge w:val="restart"/>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w:t>
            </w:r>
          </w:p>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值</w:t>
            </w:r>
          </w:p>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w:t>
            </w:r>
          </w:p>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w:t>
            </w:r>
          </w:p>
        </w:tc>
        <w:tc>
          <w:tcPr>
            <w:tcW w:w="876"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B1</w:t>
            </w: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F01</w:t>
            </w: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584" w:type="dxa"/>
            <w:vMerge w:val="continue"/>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876"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B2</w:t>
            </w: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F02</w:t>
            </w: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584" w:type="dxa"/>
            <w:vMerge w:val="continue"/>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876"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B3</w:t>
            </w: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F03</w:t>
            </w: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584" w:type="dxa"/>
            <w:vMerge w:val="continue"/>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876"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B4</w:t>
            </w: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F04</w:t>
            </w: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584" w:type="dxa"/>
            <w:vMerge w:val="continue"/>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876"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584" w:type="dxa"/>
            <w:vMerge w:val="continue"/>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876"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定值部分权重A</w:t>
            </w: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0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15"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23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2295" w:type="dxa"/>
            <w:gridSpan w:val="2"/>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2445" w:type="dxa"/>
            <w:gridSpan w:val="2"/>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c>
          <w:tcPr>
            <w:tcW w:w="1380" w:type="dxa"/>
            <w:shd w:val="clear" w:color="auto" w:fill="auto"/>
            <w:noWrap w:val="0"/>
            <w:vAlign w:val="top"/>
          </w:tcPr>
          <w:p>
            <w:pPr>
              <w:pageBreakBefore w:val="0"/>
              <w:kinsoku/>
              <w:wordWrap/>
              <w:overflowPunct/>
              <w:topLinePunct w:val="0"/>
              <w:bidi w:val="0"/>
              <w:spacing w:line="240" w:lineRule="exact"/>
              <w:ind w:firstLine="0" w:firstLineChars="0"/>
              <w:textAlignment w:val="auto"/>
              <w:rPr>
                <w:rFonts w:hint="eastAsia" w:asciiTheme="minorEastAsia" w:hAnsiTheme="minorEastAsia" w:eastAsiaTheme="minorEastAsia" w:cstheme="minorEastAsia"/>
                <w:sz w:val="21"/>
                <w:szCs w:val="21"/>
              </w:rPr>
            </w:pPr>
          </w:p>
        </w:tc>
      </w:tr>
    </w:tbl>
    <w:p>
      <w:pPr>
        <w:pageBreakBefore w:val="0"/>
        <w:kinsoku/>
        <w:wordWrap/>
        <w:overflowPunct/>
        <w:topLinePunct w:val="0"/>
        <w:bidi w:val="0"/>
        <w:spacing w:line="240" w:lineRule="exact"/>
        <w:textAlignment w:val="auto"/>
        <w:rPr>
          <w:rFonts w:hint="eastAsia" w:asciiTheme="minorEastAsia" w:hAnsiTheme="minorEastAsia" w:eastAsiaTheme="minorEastAsia" w:cstheme="minorEastAsia"/>
          <w:sz w:val="21"/>
          <w:szCs w:val="21"/>
        </w:rPr>
      </w:pPr>
    </w:p>
    <w:p>
      <w:pPr>
        <w:pageBreakBefore w:val="0"/>
        <w:kinsoku/>
        <w:wordWrap/>
        <w:overflowPunct/>
        <w:topLinePunct w:val="0"/>
        <w:bidi w:val="0"/>
        <w:adjustRightInd/>
        <w:snapToGrid/>
        <w:spacing w:after="0" w:afterLines="0" w:line="240" w:lineRule="exact"/>
        <w:ind w:firstLine="0" w:firstLineChars="0"/>
        <w:jc w:val="left"/>
        <w:textAlignment w:val="auto"/>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sectPr>
      <w:footerReference r:id="rId14" w:type="first"/>
      <w:headerReference r:id="rId12" w:type="default"/>
      <w:footerReference r:id="rId13" w:type="default"/>
      <w:pgSz w:w="11906" w:h="16838"/>
      <w:pgMar w:top="1440" w:right="1803" w:bottom="1440" w:left="1803" w:header="720" w:footer="998"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73"/>
        <w:tab w:val="right" w:pos="9506"/>
      </w:tabs>
      <w:ind w:right="360" w:firstLine="360"/>
      <w:jc w:val="lef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firstLine="4736"/>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end"/>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C37C2"/>
    <w:multiLevelType w:val="singleLevel"/>
    <w:tmpl w:val="E23C37C2"/>
    <w:lvl w:ilvl="0" w:tentative="0">
      <w:start w:val="2"/>
      <w:numFmt w:val="decimal"/>
      <w:suff w:val="nothing"/>
      <w:lvlText w:val="%1、"/>
      <w:lvlJc w:val="left"/>
    </w:lvl>
  </w:abstractNum>
  <w:abstractNum w:abstractNumId="1">
    <w:nsid w:val="00000029"/>
    <w:multiLevelType w:val="multilevel"/>
    <w:tmpl w:val="00000029"/>
    <w:lvl w:ilvl="0" w:tentative="0">
      <w:start w:val="1"/>
      <w:numFmt w:val="japaneseCounting"/>
      <w:lvlText w:val="（%1）"/>
      <w:lvlJc w:val="left"/>
      <w:pPr>
        <w:tabs>
          <w:tab w:val="left" w:pos="720"/>
        </w:tabs>
        <w:ind w:left="720" w:hanging="7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E967D5"/>
    <w:multiLevelType w:val="multilevel"/>
    <w:tmpl w:val="01E967D5"/>
    <w:lvl w:ilvl="0" w:tentative="0">
      <w:start w:val="1"/>
      <w:numFmt w:val="chineseCountingThousand"/>
      <w:pStyle w:val="38"/>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2478E31B"/>
    <w:multiLevelType w:val="singleLevel"/>
    <w:tmpl w:val="2478E31B"/>
    <w:lvl w:ilvl="0" w:tentative="0">
      <w:start w:val="8"/>
      <w:numFmt w:val="decimal"/>
      <w:suff w:val="nothing"/>
      <w:lvlText w:val="%1、"/>
      <w:lvlJc w:val="left"/>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B6B1DF2"/>
    <w:multiLevelType w:val="singleLevel"/>
    <w:tmpl w:val="2B6B1DF2"/>
    <w:lvl w:ilvl="0" w:tentative="0">
      <w:start w:val="4"/>
      <w:numFmt w:val="chineseCounting"/>
      <w:suff w:val="nothing"/>
      <w:lvlText w:val="%1、"/>
      <w:lvlJc w:val="left"/>
      <w:rPr>
        <w:rFonts w:hint="eastAsia"/>
      </w:rPr>
    </w:lvl>
  </w:abstractNum>
  <w:abstractNum w:abstractNumId="9">
    <w:nsid w:val="3AA800C6"/>
    <w:multiLevelType w:val="multilevel"/>
    <w:tmpl w:val="3AA800C6"/>
    <w:lvl w:ilvl="0" w:tentative="0">
      <w:start w:val="1"/>
      <w:numFmt w:val="decimal"/>
      <w:pStyle w:val="42"/>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0">
    <w:nsid w:val="62687BB6"/>
    <w:multiLevelType w:val="multilevel"/>
    <w:tmpl w:val="62687BB6"/>
    <w:lvl w:ilvl="0" w:tentative="0">
      <w:start w:val="1"/>
      <w:numFmt w:val="decimal"/>
      <w:pStyle w:val="4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6E87019F"/>
    <w:multiLevelType w:val="multilevel"/>
    <w:tmpl w:val="6E87019F"/>
    <w:lvl w:ilvl="0" w:tentative="0">
      <w:start w:val="1"/>
      <w:numFmt w:val="chineseCountingThousand"/>
      <w:pStyle w:val="4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6F0B8E85"/>
    <w:multiLevelType w:val="singleLevel"/>
    <w:tmpl w:val="6F0B8E85"/>
    <w:lvl w:ilvl="0" w:tentative="0">
      <w:start w:val="1"/>
      <w:numFmt w:val="chineseCounting"/>
      <w:suff w:val="nothing"/>
      <w:lvlText w:val="%1、"/>
      <w:lvlJc w:val="left"/>
      <w:rPr>
        <w:rFonts w:hint="eastAsia"/>
      </w:rPr>
    </w:lvl>
  </w:abstractNum>
  <w:abstractNum w:abstractNumId="14">
    <w:nsid w:val="754431B7"/>
    <w:multiLevelType w:val="singleLevel"/>
    <w:tmpl w:val="754431B7"/>
    <w:lvl w:ilvl="0" w:tentative="0">
      <w:start w:val="3"/>
      <w:numFmt w:val="decimal"/>
      <w:suff w:val="space"/>
      <w:lvlText w:val="%1）"/>
      <w:lvlJc w:val="left"/>
    </w:lvl>
  </w:abstractNum>
  <w:abstractNum w:abstractNumId="15">
    <w:nsid w:val="7B868A5E"/>
    <w:multiLevelType w:val="singleLevel"/>
    <w:tmpl w:val="7B868A5E"/>
    <w:lvl w:ilvl="0" w:tentative="0">
      <w:start w:val="1"/>
      <w:numFmt w:val="decimal"/>
      <w:suff w:val="nothing"/>
      <w:lvlText w:val="%1、"/>
      <w:lvlJc w:val="left"/>
    </w:lvl>
  </w:abstractNum>
  <w:abstractNum w:abstractNumId="16">
    <w:nsid w:val="7BFB96C5"/>
    <w:multiLevelType w:val="singleLevel"/>
    <w:tmpl w:val="7BFB96C5"/>
    <w:lvl w:ilvl="0" w:tentative="0">
      <w:start w:val="5"/>
      <w:numFmt w:val="decimal"/>
      <w:suff w:val="nothing"/>
      <w:lvlText w:val="%1、"/>
      <w:lvlJc w:val="left"/>
    </w:lvl>
  </w:abstractNum>
  <w:num w:numId="1">
    <w:abstractNumId w:val="2"/>
  </w:num>
  <w:num w:numId="2">
    <w:abstractNumId w:val="12"/>
  </w:num>
  <w:num w:numId="3">
    <w:abstractNumId w:val="9"/>
  </w:num>
  <w:num w:numId="4">
    <w:abstractNumId w:val="5"/>
    <w:lvlOverride w:ilvl="0">
      <w:lvl w:ilvl="0" w:tentative="1">
        <w:start w:val="1"/>
        <w:numFmt w:val="decimal"/>
        <w:lvlText w:val="第%1条"/>
        <w:lvlJc w:val="left"/>
        <w:pPr>
          <w:ind w:left="0" w:firstLine="0"/>
        </w:pPr>
      </w:lvl>
    </w:lvlOverride>
    <w:lvlOverride w:ilvl="1">
      <w:lvl w:ilvl="1" w:tentative="1">
        <w:start w:val="1"/>
        <w:numFmt w:val="decimal"/>
        <w:pStyle w:val="43"/>
        <w:lvlText w:val="%1.%2"/>
        <w:lvlJc w:val="left"/>
        <w:pPr>
          <w:ind w:left="1843" w:firstLine="0"/>
        </w:pPr>
      </w:lvl>
    </w:lvlOverride>
    <w:lvlOverride w:ilvl="2">
      <w:lvl w:ilvl="2" w:tentative="1">
        <w:start w:val="1"/>
        <w:numFmt w:val="decimal"/>
        <w:pStyle w:val="44"/>
        <w:lvlText w:val="%1.%2.%3"/>
        <w:lvlJc w:val="left"/>
        <w:pPr>
          <w:ind w:left="2126" w:firstLine="0"/>
        </w:pPr>
      </w:lvl>
    </w:lvlOverride>
    <w:lvlOverride w:ilvl="3">
      <w:lvl w:ilvl="3" w:tentative="1">
        <w:start w:val="1"/>
        <w:numFmt w:val="decimal"/>
        <w:pStyle w:val="45"/>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5"/>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46"/>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10"/>
  </w:num>
  <w:num w:numId="7">
    <w:abstractNumId w:val="3"/>
  </w:num>
  <w:num w:numId="8">
    <w:abstractNumId w:val="7"/>
  </w:num>
  <w:num w:numId="9">
    <w:abstractNumId w:val="11"/>
  </w:num>
  <w:num w:numId="10">
    <w:abstractNumId w:val="4"/>
  </w:num>
  <w:num w:numId="11">
    <w:abstractNumId w:val="16"/>
  </w:num>
  <w:num w:numId="12">
    <w:abstractNumId w:val="1"/>
  </w:num>
  <w:num w:numId="13">
    <w:abstractNumId w:val="0"/>
  </w:num>
  <w:num w:numId="14">
    <w:abstractNumId w:val="14"/>
  </w:num>
  <w:num w:numId="15">
    <w:abstractNumId w:val="6"/>
  </w:num>
  <w:num w:numId="16">
    <w:abstractNumId w:val="8"/>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YmUzODlhODlhY2M1ZWM3Mjk3OWM1ZWE2Y2I5MzUifQ=="/>
  </w:docVars>
  <w:rsids>
    <w:rsidRoot w:val="255D5175"/>
    <w:rsid w:val="000876D1"/>
    <w:rsid w:val="0009131C"/>
    <w:rsid w:val="001B6659"/>
    <w:rsid w:val="004717DD"/>
    <w:rsid w:val="0060283F"/>
    <w:rsid w:val="00CE47E9"/>
    <w:rsid w:val="00FE0930"/>
    <w:rsid w:val="01252ACE"/>
    <w:rsid w:val="015C2B0C"/>
    <w:rsid w:val="0160084E"/>
    <w:rsid w:val="018A1427"/>
    <w:rsid w:val="01950462"/>
    <w:rsid w:val="01CD7566"/>
    <w:rsid w:val="01D32DCE"/>
    <w:rsid w:val="01D37272"/>
    <w:rsid w:val="01FB40D3"/>
    <w:rsid w:val="021F4265"/>
    <w:rsid w:val="026305F6"/>
    <w:rsid w:val="02761F3B"/>
    <w:rsid w:val="02805737"/>
    <w:rsid w:val="02A36DD0"/>
    <w:rsid w:val="02BF15A4"/>
    <w:rsid w:val="02D7069C"/>
    <w:rsid w:val="02F82BEF"/>
    <w:rsid w:val="0356629A"/>
    <w:rsid w:val="03B05F2D"/>
    <w:rsid w:val="03DE3CAC"/>
    <w:rsid w:val="041E08AC"/>
    <w:rsid w:val="04390A47"/>
    <w:rsid w:val="04491B77"/>
    <w:rsid w:val="044B5C73"/>
    <w:rsid w:val="044C0C16"/>
    <w:rsid w:val="0495080F"/>
    <w:rsid w:val="049F168E"/>
    <w:rsid w:val="04A42321"/>
    <w:rsid w:val="04C2660C"/>
    <w:rsid w:val="04D71F2D"/>
    <w:rsid w:val="04EA30AF"/>
    <w:rsid w:val="05096B07"/>
    <w:rsid w:val="053D3F9B"/>
    <w:rsid w:val="054F6C10"/>
    <w:rsid w:val="05500BDA"/>
    <w:rsid w:val="05545FD4"/>
    <w:rsid w:val="05720B50"/>
    <w:rsid w:val="05760640"/>
    <w:rsid w:val="05950780"/>
    <w:rsid w:val="05A827C4"/>
    <w:rsid w:val="05C77574"/>
    <w:rsid w:val="05D0452E"/>
    <w:rsid w:val="05D778DE"/>
    <w:rsid w:val="05ED32BD"/>
    <w:rsid w:val="060317A8"/>
    <w:rsid w:val="062879BF"/>
    <w:rsid w:val="06487E32"/>
    <w:rsid w:val="064A4A09"/>
    <w:rsid w:val="066E57BB"/>
    <w:rsid w:val="0685160E"/>
    <w:rsid w:val="06D329A8"/>
    <w:rsid w:val="0704648C"/>
    <w:rsid w:val="073C3D1C"/>
    <w:rsid w:val="0758433E"/>
    <w:rsid w:val="076927D6"/>
    <w:rsid w:val="0774295E"/>
    <w:rsid w:val="077E5E66"/>
    <w:rsid w:val="07DE2796"/>
    <w:rsid w:val="07F65E0D"/>
    <w:rsid w:val="07F96AAF"/>
    <w:rsid w:val="08147C9D"/>
    <w:rsid w:val="08741249"/>
    <w:rsid w:val="08AE1E9F"/>
    <w:rsid w:val="08E32BEA"/>
    <w:rsid w:val="08F4633C"/>
    <w:rsid w:val="091C6CEE"/>
    <w:rsid w:val="09242161"/>
    <w:rsid w:val="09420839"/>
    <w:rsid w:val="098370AB"/>
    <w:rsid w:val="098E47D6"/>
    <w:rsid w:val="099948FD"/>
    <w:rsid w:val="09AB4631"/>
    <w:rsid w:val="09C42541"/>
    <w:rsid w:val="0A03446D"/>
    <w:rsid w:val="0A157A36"/>
    <w:rsid w:val="0A345619"/>
    <w:rsid w:val="0A592595"/>
    <w:rsid w:val="0A5D0424"/>
    <w:rsid w:val="0A65393A"/>
    <w:rsid w:val="0AD55E09"/>
    <w:rsid w:val="0AE15AA2"/>
    <w:rsid w:val="0AEC54C8"/>
    <w:rsid w:val="0AF3628F"/>
    <w:rsid w:val="0B2C354F"/>
    <w:rsid w:val="0B4A5EBE"/>
    <w:rsid w:val="0B6902FF"/>
    <w:rsid w:val="0B797046"/>
    <w:rsid w:val="0BB35A1E"/>
    <w:rsid w:val="0BB91287"/>
    <w:rsid w:val="0BB9777C"/>
    <w:rsid w:val="0BE81B6C"/>
    <w:rsid w:val="0C452A7D"/>
    <w:rsid w:val="0C716507"/>
    <w:rsid w:val="0CBB2DDD"/>
    <w:rsid w:val="0CD36378"/>
    <w:rsid w:val="0CEF6CAA"/>
    <w:rsid w:val="0D122244"/>
    <w:rsid w:val="0D280BF6"/>
    <w:rsid w:val="0D31309F"/>
    <w:rsid w:val="0D6D4DC9"/>
    <w:rsid w:val="0D8476AE"/>
    <w:rsid w:val="0D9D0734"/>
    <w:rsid w:val="0DA90E87"/>
    <w:rsid w:val="0DF84B22"/>
    <w:rsid w:val="0E13441A"/>
    <w:rsid w:val="0E2826F4"/>
    <w:rsid w:val="0EA16852"/>
    <w:rsid w:val="0EB70F20"/>
    <w:rsid w:val="0EF645A0"/>
    <w:rsid w:val="0F2658B3"/>
    <w:rsid w:val="0F5C7A3F"/>
    <w:rsid w:val="0F916077"/>
    <w:rsid w:val="0FAE1762"/>
    <w:rsid w:val="0FBB1D14"/>
    <w:rsid w:val="0FC0066A"/>
    <w:rsid w:val="0FD85A54"/>
    <w:rsid w:val="10085FDC"/>
    <w:rsid w:val="107C6D27"/>
    <w:rsid w:val="10825B2E"/>
    <w:rsid w:val="1088295E"/>
    <w:rsid w:val="10D61FB9"/>
    <w:rsid w:val="10F13271"/>
    <w:rsid w:val="1125733D"/>
    <w:rsid w:val="114F1D45"/>
    <w:rsid w:val="115B1C24"/>
    <w:rsid w:val="116A6B7F"/>
    <w:rsid w:val="11BA7B07"/>
    <w:rsid w:val="11C24C0D"/>
    <w:rsid w:val="11DF1C1B"/>
    <w:rsid w:val="124476CA"/>
    <w:rsid w:val="12506515"/>
    <w:rsid w:val="12597320"/>
    <w:rsid w:val="128E4CD4"/>
    <w:rsid w:val="12A33949"/>
    <w:rsid w:val="12B64F38"/>
    <w:rsid w:val="130B7EEE"/>
    <w:rsid w:val="138A52B7"/>
    <w:rsid w:val="13B54A2A"/>
    <w:rsid w:val="13E1587A"/>
    <w:rsid w:val="14292D22"/>
    <w:rsid w:val="14586DD6"/>
    <w:rsid w:val="146733E2"/>
    <w:rsid w:val="14934F22"/>
    <w:rsid w:val="15094A15"/>
    <w:rsid w:val="151372FA"/>
    <w:rsid w:val="151412DC"/>
    <w:rsid w:val="15436065"/>
    <w:rsid w:val="15512530"/>
    <w:rsid w:val="15542020"/>
    <w:rsid w:val="15697714"/>
    <w:rsid w:val="156A6FD9"/>
    <w:rsid w:val="15AE0D10"/>
    <w:rsid w:val="15D427AB"/>
    <w:rsid w:val="160E7BD1"/>
    <w:rsid w:val="16354792"/>
    <w:rsid w:val="164756E1"/>
    <w:rsid w:val="166444E5"/>
    <w:rsid w:val="166A5060"/>
    <w:rsid w:val="16A86180"/>
    <w:rsid w:val="16AB6BEF"/>
    <w:rsid w:val="16D11963"/>
    <w:rsid w:val="16D174BE"/>
    <w:rsid w:val="16E66CA8"/>
    <w:rsid w:val="16EA4E0B"/>
    <w:rsid w:val="170A4CC0"/>
    <w:rsid w:val="171B1048"/>
    <w:rsid w:val="174521C8"/>
    <w:rsid w:val="175C78D1"/>
    <w:rsid w:val="17713B83"/>
    <w:rsid w:val="17C90AA4"/>
    <w:rsid w:val="17E23913"/>
    <w:rsid w:val="17E62C77"/>
    <w:rsid w:val="17EE050A"/>
    <w:rsid w:val="180D1D84"/>
    <w:rsid w:val="181B1EAC"/>
    <w:rsid w:val="18371EB1"/>
    <w:rsid w:val="186500A0"/>
    <w:rsid w:val="18DF1F83"/>
    <w:rsid w:val="18FD6771"/>
    <w:rsid w:val="193F7D58"/>
    <w:rsid w:val="19487651"/>
    <w:rsid w:val="19510D51"/>
    <w:rsid w:val="19574D5C"/>
    <w:rsid w:val="19706CFD"/>
    <w:rsid w:val="197B5DCD"/>
    <w:rsid w:val="19921369"/>
    <w:rsid w:val="1995403F"/>
    <w:rsid w:val="19B21EB0"/>
    <w:rsid w:val="19D13C3F"/>
    <w:rsid w:val="1A2F18F5"/>
    <w:rsid w:val="1A315D76"/>
    <w:rsid w:val="1A383CBF"/>
    <w:rsid w:val="1A635396"/>
    <w:rsid w:val="1A985A77"/>
    <w:rsid w:val="1AB555B2"/>
    <w:rsid w:val="1AB60E27"/>
    <w:rsid w:val="1AE22A56"/>
    <w:rsid w:val="1B11067B"/>
    <w:rsid w:val="1B3F4987"/>
    <w:rsid w:val="1B6F1962"/>
    <w:rsid w:val="1BD51B4F"/>
    <w:rsid w:val="1BF6798D"/>
    <w:rsid w:val="1C026332"/>
    <w:rsid w:val="1C093B64"/>
    <w:rsid w:val="1C4921B3"/>
    <w:rsid w:val="1C501EB6"/>
    <w:rsid w:val="1C9345C7"/>
    <w:rsid w:val="1C9571A6"/>
    <w:rsid w:val="1CFF32CC"/>
    <w:rsid w:val="1D083BD1"/>
    <w:rsid w:val="1D2015CB"/>
    <w:rsid w:val="1D473AE2"/>
    <w:rsid w:val="1D4B204B"/>
    <w:rsid w:val="1D7A0D4D"/>
    <w:rsid w:val="1D915330"/>
    <w:rsid w:val="1D9464E3"/>
    <w:rsid w:val="1DE0090E"/>
    <w:rsid w:val="1DEA52D0"/>
    <w:rsid w:val="1DF50A5E"/>
    <w:rsid w:val="1E022DD7"/>
    <w:rsid w:val="1E0B5445"/>
    <w:rsid w:val="1E2D15D1"/>
    <w:rsid w:val="1E5A4EA5"/>
    <w:rsid w:val="1E6037E4"/>
    <w:rsid w:val="1EC209D7"/>
    <w:rsid w:val="1F046865"/>
    <w:rsid w:val="1F7C4B1C"/>
    <w:rsid w:val="1FB5190D"/>
    <w:rsid w:val="1FC86644"/>
    <w:rsid w:val="20112FE8"/>
    <w:rsid w:val="20340A84"/>
    <w:rsid w:val="204F11D1"/>
    <w:rsid w:val="20591670"/>
    <w:rsid w:val="206B5BA9"/>
    <w:rsid w:val="207822AF"/>
    <w:rsid w:val="20B65C9E"/>
    <w:rsid w:val="20BA0959"/>
    <w:rsid w:val="20DA0DA7"/>
    <w:rsid w:val="21252652"/>
    <w:rsid w:val="21272232"/>
    <w:rsid w:val="212E7BC9"/>
    <w:rsid w:val="214061FD"/>
    <w:rsid w:val="21701F90"/>
    <w:rsid w:val="218900C9"/>
    <w:rsid w:val="21AC1DDA"/>
    <w:rsid w:val="21B77BBF"/>
    <w:rsid w:val="21C422DC"/>
    <w:rsid w:val="21E62B8F"/>
    <w:rsid w:val="21FE759C"/>
    <w:rsid w:val="22034BB2"/>
    <w:rsid w:val="221E379A"/>
    <w:rsid w:val="227B370D"/>
    <w:rsid w:val="227D6639"/>
    <w:rsid w:val="22A16179"/>
    <w:rsid w:val="22AD77BF"/>
    <w:rsid w:val="22AE0FC2"/>
    <w:rsid w:val="22FF181D"/>
    <w:rsid w:val="22FF35CB"/>
    <w:rsid w:val="230230BC"/>
    <w:rsid w:val="233139A1"/>
    <w:rsid w:val="234B4D59"/>
    <w:rsid w:val="235558E1"/>
    <w:rsid w:val="23566F63"/>
    <w:rsid w:val="23A87B77"/>
    <w:rsid w:val="23D064DF"/>
    <w:rsid w:val="240D6935"/>
    <w:rsid w:val="24335835"/>
    <w:rsid w:val="24942331"/>
    <w:rsid w:val="24A4217B"/>
    <w:rsid w:val="24B74C6F"/>
    <w:rsid w:val="24C07CDC"/>
    <w:rsid w:val="24C518D9"/>
    <w:rsid w:val="250A52F0"/>
    <w:rsid w:val="251610A0"/>
    <w:rsid w:val="254C1EBB"/>
    <w:rsid w:val="255D5175"/>
    <w:rsid w:val="2585741F"/>
    <w:rsid w:val="25DD15C5"/>
    <w:rsid w:val="261F5D33"/>
    <w:rsid w:val="263E265D"/>
    <w:rsid w:val="26416061"/>
    <w:rsid w:val="26614907"/>
    <w:rsid w:val="26653A59"/>
    <w:rsid w:val="268F110A"/>
    <w:rsid w:val="26914CC1"/>
    <w:rsid w:val="269F63A0"/>
    <w:rsid w:val="26E8614E"/>
    <w:rsid w:val="271D6795"/>
    <w:rsid w:val="272B6DA7"/>
    <w:rsid w:val="276713B8"/>
    <w:rsid w:val="27E576B4"/>
    <w:rsid w:val="27F43B54"/>
    <w:rsid w:val="27F76CC6"/>
    <w:rsid w:val="281D44F4"/>
    <w:rsid w:val="28475135"/>
    <w:rsid w:val="28692EF4"/>
    <w:rsid w:val="286F00D7"/>
    <w:rsid w:val="287A4646"/>
    <w:rsid w:val="28C57065"/>
    <w:rsid w:val="28E11BEC"/>
    <w:rsid w:val="28F434A6"/>
    <w:rsid w:val="290A0F1C"/>
    <w:rsid w:val="290A2CCA"/>
    <w:rsid w:val="290D6316"/>
    <w:rsid w:val="299D24FB"/>
    <w:rsid w:val="29B449E4"/>
    <w:rsid w:val="29B50E88"/>
    <w:rsid w:val="29C4731D"/>
    <w:rsid w:val="29C64DDF"/>
    <w:rsid w:val="29D86924"/>
    <w:rsid w:val="29DD3F3B"/>
    <w:rsid w:val="29DF1A3C"/>
    <w:rsid w:val="29EF5C97"/>
    <w:rsid w:val="2A7F4FF2"/>
    <w:rsid w:val="2A9767DF"/>
    <w:rsid w:val="2A9F7442"/>
    <w:rsid w:val="2AD7169A"/>
    <w:rsid w:val="2B2654FC"/>
    <w:rsid w:val="2B3902DC"/>
    <w:rsid w:val="2B3F6358"/>
    <w:rsid w:val="2B5C253D"/>
    <w:rsid w:val="2B893253"/>
    <w:rsid w:val="2B9A264F"/>
    <w:rsid w:val="2BB7435A"/>
    <w:rsid w:val="2BBA4EA2"/>
    <w:rsid w:val="2BC25ADE"/>
    <w:rsid w:val="2BFC0D12"/>
    <w:rsid w:val="2C2C4E3F"/>
    <w:rsid w:val="2C2C764B"/>
    <w:rsid w:val="2C3047F6"/>
    <w:rsid w:val="2C340A76"/>
    <w:rsid w:val="2C46226B"/>
    <w:rsid w:val="2C5A7AC4"/>
    <w:rsid w:val="2C695F59"/>
    <w:rsid w:val="2C8D23BC"/>
    <w:rsid w:val="2CD31625"/>
    <w:rsid w:val="2CDC5564"/>
    <w:rsid w:val="2CDF621C"/>
    <w:rsid w:val="2CE17F03"/>
    <w:rsid w:val="2D0F6B01"/>
    <w:rsid w:val="2D1A7254"/>
    <w:rsid w:val="2D5371B1"/>
    <w:rsid w:val="2D79041E"/>
    <w:rsid w:val="2D860C56"/>
    <w:rsid w:val="2D984D48"/>
    <w:rsid w:val="2DE27352"/>
    <w:rsid w:val="2E1F0F37"/>
    <w:rsid w:val="2E474078"/>
    <w:rsid w:val="2E562260"/>
    <w:rsid w:val="2E5A7BB6"/>
    <w:rsid w:val="2E7C6D05"/>
    <w:rsid w:val="2E8754F3"/>
    <w:rsid w:val="2EB05D70"/>
    <w:rsid w:val="2EBF6305"/>
    <w:rsid w:val="2EE60E75"/>
    <w:rsid w:val="2F0B6F80"/>
    <w:rsid w:val="2F2A645B"/>
    <w:rsid w:val="2F5F71CD"/>
    <w:rsid w:val="2F7C41F6"/>
    <w:rsid w:val="2FB656B2"/>
    <w:rsid w:val="2FC60198"/>
    <w:rsid w:val="2FD4544B"/>
    <w:rsid w:val="2FE36023"/>
    <w:rsid w:val="30185CCC"/>
    <w:rsid w:val="30286438"/>
    <w:rsid w:val="305A4537"/>
    <w:rsid w:val="307A0D29"/>
    <w:rsid w:val="308B2942"/>
    <w:rsid w:val="309061AB"/>
    <w:rsid w:val="30AB2368"/>
    <w:rsid w:val="30C563E3"/>
    <w:rsid w:val="30CE7357"/>
    <w:rsid w:val="310B6367"/>
    <w:rsid w:val="312270ED"/>
    <w:rsid w:val="315D0A78"/>
    <w:rsid w:val="31817DBF"/>
    <w:rsid w:val="318625B8"/>
    <w:rsid w:val="3195630C"/>
    <w:rsid w:val="31A37290"/>
    <w:rsid w:val="320C5B6C"/>
    <w:rsid w:val="32364B30"/>
    <w:rsid w:val="32424397"/>
    <w:rsid w:val="32477D53"/>
    <w:rsid w:val="328012C5"/>
    <w:rsid w:val="328E671A"/>
    <w:rsid w:val="329F4483"/>
    <w:rsid w:val="32D560F7"/>
    <w:rsid w:val="32ED45E0"/>
    <w:rsid w:val="3369683F"/>
    <w:rsid w:val="338A3477"/>
    <w:rsid w:val="338D69D1"/>
    <w:rsid w:val="33AB6E58"/>
    <w:rsid w:val="33F669DA"/>
    <w:rsid w:val="340C601C"/>
    <w:rsid w:val="342069D0"/>
    <w:rsid w:val="34B34216"/>
    <w:rsid w:val="34BB24A6"/>
    <w:rsid w:val="35103416"/>
    <w:rsid w:val="352A3E47"/>
    <w:rsid w:val="358A6C10"/>
    <w:rsid w:val="35B32C85"/>
    <w:rsid w:val="35E47D52"/>
    <w:rsid w:val="360F36CE"/>
    <w:rsid w:val="3627760C"/>
    <w:rsid w:val="36796692"/>
    <w:rsid w:val="367B7537"/>
    <w:rsid w:val="36A24542"/>
    <w:rsid w:val="36A47313"/>
    <w:rsid w:val="36D63D83"/>
    <w:rsid w:val="36DD032D"/>
    <w:rsid w:val="371A4A20"/>
    <w:rsid w:val="371B30D2"/>
    <w:rsid w:val="37304B39"/>
    <w:rsid w:val="373D4822"/>
    <w:rsid w:val="374101FF"/>
    <w:rsid w:val="37503F9E"/>
    <w:rsid w:val="37666039"/>
    <w:rsid w:val="381811C2"/>
    <w:rsid w:val="382F44FB"/>
    <w:rsid w:val="3848736B"/>
    <w:rsid w:val="38890D7F"/>
    <w:rsid w:val="38AE1EB9"/>
    <w:rsid w:val="38C22C79"/>
    <w:rsid w:val="38E52E0C"/>
    <w:rsid w:val="38F60D15"/>
    <w:rsid w:val="396957EB"/>
    <w:rsid w:val="39803F7B"/>
    <w:rsid w:val="399F120C"/>
    <w:rsid w:val="39D03012"/>
    <w:rsid w:val="39E405BF"/>
    <w:rsid w:val="3A08792A"/>
    <w:rsid w:val="3A3E1B73"/>
    <w:rsid w:val="3A9028D6"/>
    <w:rsid w:val="3AA82343"/>
    <w:rsid w:val="3AB807D8"/>
    <w:rsid w:val="3AC23843"/>
    <w:rsid w:val="3B1A5418"/>
    <w:rsid w:val="3B3D2A8B"/>
    <w:rsid w:val="3BAE5737"/>
    <w:rsid w:val="3BD6697D"/>
    <w:rsid w:val="3BF84C04"/>
    <w:rsid w:val="3C1361CC"/>
    <w:rsid w:val="3C333E8E"/>
    <w:rsid w:val="3C974F46"/>
    <w:rsid w:val="3CB45A42"/>
    <w:rsid w:val="3CE406B3"/>
    <w:rsid w:val="3D1C6598"/>
    <w:rsid w:val="3D472574"/>
    <w:rsid w:val="3DAE7197"/>
    <w:rsid w:val="3DB01C3A"/>
    <w:rsid w:val="3DBA32DD"/>
    <w:rsid w:val="3DCC00F6"/>
    <w:rsid w:val="3DE47B36"/>
    <w:rsid w:val="3E173A67"/>
    <w:rsid w:val="3E422617"/>
    <w:rsid w:val="3E5C147A"/>
    <w:rsid w:val="3E615979"/>
    <w:rsid w:val="3EAA48DB"/>
    <w:rsid w:val="3EC9643A"/>
    <w:rsid w:val="3EE97B57"/>
    <w:rsid w:val="3F0B1F26"/>
    <w:rsid w:val="3F1F07C0"/>
    <w:rsid w:val="3F2F005E"/>
    <w:rsid w:val="3F336D85"/>
    <w:rsid w:val="3F520ACF"/>
    <w:rsid w:val="3F5940AC"/>
    <w:rsid w:val="3F6C7DE3"/>
    <w:rsid w:val="3F825DC5"/>
    <w:rsid w:val="3F861E85"/>
    <w:rsid w:val="3FB778B9"/>
    <w:rsid w:val="3FC30B40"/>
    <w:rsid w:val="3FCD404B"/>
    <w:rsid w:val="3FF619EC"/>
    <w:rsid w:val="3FFA719D"/>
    <w:rsid w:val="401E3034"/>
    <w:rsid w:val="40267F92"/>
    <w:rsid w:val="40270D28"/>
    <w:rsid w:val="402D7330"/>
    <w:rsid w:val="40300A76"/>
    <w:rsid w:val="405821C2"/>
    <w:rsid w:val="405E3BCF"/>
    <w:rsid w:val="406C796F"/>
    <w:rsid w:val="40B13A14"/>
    <w:rsid w:val="40BC08F6"/>
    <w:rsid w:val="40C0243F"/>
    <w:rsid w:val="40C5268D"/>
    <w:rsid w:val="41707B1A"/>
    <w:rsid w:val="418C651A"/>
    <w:rsid w:val="41C2018E"/>
    <w:rsid w:val="41C9617D"/>
    <w:rsid w:val="42044303"/>
    <w:rsid w:val="422603E6"/>
    <w:rsid w:val="423F533B"/>
    <w:rsid w:val="42547C66"/>
    <w:rsid w:val="42D3291C"/>
    <w:rsid w:val="433724B6"/>
    <w:rsid w:val="439A5E95"/>
    <w:rsid w:val="43B835F7"/>
    <w:rsid w:val="43C82E99"/>
    <w:rsid w:val="44395BB4"/>
    <w:rsid w:val="447E4DF0"/>
    <w:rsid w:val="4494321F"/>
    <w:rsid w:val="44DF662C"/>
    <w:rsid w:val="44FE2949"/>
    <w:rsid w:val="452D27FE"/>
    <w:rsid w:val="459D5F2E"/>
    <w:rsid w:val="45A02594"/>
    <w:rsid w:val="45BF265B"/>
    <w:rsid w:val="46386C71"/>
    <w:rsid w:val="464E0242"/>
    <w:rsid w:val="46683A1F"/>
    <w:rsid w:val="468972B4"/>
    <w:rsid w:val="46A06BC1"/>
    <w:rsid w:val="46B23AEC"/>
    <w:rsid w:val="47044DA5"/>
    <w:rsid w:val="47583F97"/>
    <w:rsid w:val="475C698F"/>
    <w:rsid w:val="47971955"/>
    <w:rsid w:val="479C1C2E"/>
    <w:rsid w:val="47E37F9F"/>
    <w:rsid w:val="47FB1D04"/>
    <w:rsid w:val="4812721D"/>
    <w:rsid w:val="4847319B"/>
    <w:rsid w:val="4876582E"/>
    <w:rsid w:val="48873845"/>
    <w:rsid w:val="488A12DA"/>
    <w:rsid w:val="489A776F"/>
    <w:rsid w:val="48BA396D"/>
    <w:rsid w:val="48F01075"/>
    <w:rsid w:val="48FA4819"/>
    <w:rsid w:val="495D254A"/>
    <w:rsid w:val="4961203A"/>
    <w:rsid w:val="499D79D3"/>
    <w:rsid w:val="49B900C8"/>
    <w:rsid w:val="4A296BD1"/>
    <w:rsid w:val="4A345435"/>
    <w:rsid w:val="4A3541D0"/>
    <w:rsid w:val="4A632331"/>
    <w:rsid w:val="4A6C6EE9"/>
    <w:rsid w:val="4AB10DA0"/>
    <w:rsid w:val="4AB67ADC"/>
    <w:rsid w:val="4ABC1D3E"/>
    <w:rsid w:val="4B4D6D1A"/>
    <w:rsid w:val="4B7331D8"/>
    <w:rsid w:val="4B7F2C4C"/>
    <w:rsid w:val="4B9F58B7"/>
    <w:rsid w:val="4BBF1980"/>
    <w:rsid w:val="4BC33A7B"/>
    <w:rsid w:val="4BC66E74"/>
    <w:rsid w:val="4BDE13C6"/>
    <w:rsid w:val="4BF21526"/>
    <w:rsid w:val="4C650094"/>
    <w:rsid w:val="4CB05B92"/>
    <w:rsid w:val="4CB54D28"/>
    <w:rsid w:val="4D21045F"/>
    <w:rsid w:val="4D5C1497"/>
    <w:rsid w:val="4D6245D3"/>
    <w:rsid w:val="4D7613F2"/>
    <w:rsid w:val="4D801963"/>
    <w:rsid w:val="4D8C3B86"/>
    <w:rsid w:val="4E1D7FC3"/>
    <w:rsid w:val="4E277EDC"/>
    <w:rsid w:val="4E3F065B"/>
    <w:rsid w:val="4E8452B7"/>
    <w:rsid w:val="4EA01857"/>
    <w:rsid w:val="4EB329FB"/>
    <w:rsid w:val="4EC679A6"/>
    <w:rsid w:val="4ED65401"/>
    <w:rsid w:val="4EE31744"/>
    <w:rsid w:val="4F03120B"/>
    <w:rsid w:val="4F251B9C"/>
    <w:rsid w:val="4F294349"/>
    <w:rsid w:val="4F343D4D"/>
    <w:rsid w:val="4F7459ED"/>
    <w:rsid w:val="4FA42C81"/>
    <w:rsid w:val="4FE01C4C"/>
    <w:rsid w:val="4FF87D23"/>
    <w:rsid w:val="50275F90"/>
    <w:rsid w:val="5039786D"/>
    <w:rsid w:val="505A2BAF"/>
    <w:rsid w:val="507B4F35"/>
    <w:rsid w:val="507D6E7C"/>
    <w:rsid w:val="50A1347E"/>
    <w:rsid w:val="50B42B1A"/>
    <w:rsid w:val="50DC644B"/>
    <w:rsid w:val="50FB4B23"/>
    <w:rsid w:val="51046058"/>
    <w:rsid w:val="511D6E11"/>
    <w:rsid w:val="51254D76"/>
    <w:rsid w:val="515940F5"/>
    <w:rsid w:val="51840FBC"/>
    <w:rsid w:val="51DD41D3"/>
    <w:rsid w:val="52081BED"/>
    <w:rsid w:val="5255058E"/>
    <w:rsid w:val="525954D6"/>
    <w:rsid w:val="529C3096"/>
    <w:rsid w:val="52D42205"/>
    <w:rsid w:val="530C1269"/>
    <w:rsid w:val="530F2B07"/>
    <w:rsid w:val="536E7008"/>
    <w:rsid w:val="539B02BB"/>
    <w:rsid w:val="54065CB8"/>
    <w:rsid w:val="540C7047"/>
    <w:rsid w:val="544B7B6F"/>
    <w:rsid w:val="544F5A5E"/>
    <w:rsid w:val="54556C40"/>
    <w:rsid w:val="54667296"/>
    <w:rsid w:val="54682CE5"/>
    <w:rsid w:val="54684BC5"/>
    <w:rsid w:val="55077F39"/>
    <w:rsid w:val="55085A60"/>
    <w:rsid w:val="551C62F0"/>
    <w:rsid w:val="55410F72"/>
    <w:rsid w:val="55474366"/>
    <w:rsid w:val="554931DE"/>
    <w:rsid w:val="55542B06"/>
    <w:rsid w:val="55702645"/>
    <w:rsid w:val="55937A20"/>
    <w:rsid w:val="55C117A3"/>
    <w:rsid w:val="55F20A7E"/>
    <w:rsid w:val="55FD133D"/>
    <w:rsid w:val="56151E85"/>
    <w:rsid w:val="56374307"/>
    <w:rsid w:val="565F3DA6"/>
    <w:rsid w:val="568B06F7"/>
    <w:rsid w:val="56A17F1A"/>
    <w:rsid w:val="56EB38E4"/>
    <w:rsid w:val="56F52014"/>
    <w:rsid w:val="56F60510"/>
    <w:rsid w:val="570E7A86"/>
    <w:rsid w:val="572D5C52"/>
    <w:rsid w:val="576F1DC6"/>
    <w:rsid w:val="57706B54"/>
    <w:rsid w:val="57832294"/>
    <w:rsid w:val="57AE25BB"/>
    <w:rsid w:val="57AF48B9"/>
    <w:rsid w:val="57E6512F"/>
    <w:rsid w:val="58003366"/>
    <w:rsid w:val="580D7ADE"/>
    <w:rsid w:val="581B3CFC"/>
    <w:rsid w:val="5889510A"/>
    <w:rsid w:val="58C61EBA"/>
    <w:rsid w:val="58CC62FA"/>
    <w:rsid w:val="58D520FD"/>
    <w:rsid w:val="59337635"/>
    <w:rsid w:val="5937299B"/>
    <w:rsid w:val="594A6647"/>
    <w:rsid w:val="599B3E92"/>
    <w:rsid w:val="59C77C98"/>
    <w:rsid w:val="59C91380"/>
    <w:rsid w:val="5A1866DC"/>
    <w:rsid w:val="5A7E6895"/>
    <w:rsid w:val="5A817655"/>
    <w:rsid w:val="5A940ED3"/>
    <w:rsid w:val="5AE2724E"/>
    <w:rsid w:val="5B260E3B"/>
    <w:rsid w:val="5B374FE5"/>
    <w:rsid w:val="5B612019"/>
    <w:rsid w:val="5BAA6A15"/>
    <w:rsid w:val="5BBB7CD0"/>
    <w:rsid w:val="5BCB0B78"/>
    <w:rsid w:val="5BD24970"/>
    <w:rsid w:val="5BD46EBF"/>
    <w:rsid w:val="5BE56AFB"/>
    <w:rsid w:val="5BF353EE"/>
    <w:rsid w:val="5C282F44"/>
    <w:rsid w:val="5C2E1802"/>
    <w:rsid w:val="5C9D4995"/>
    <w:rsid w:val="5CBF559E"/>
    <w:rsid w:val="5CC25352"/>
    <w:rsid w:val="5D125F25"/>
    <w:rsid w:val="5D223C5B"/>
    <w:rsid w:val="5DBE5856"/>
    <w:rsid w:val="5DD21301"/>
    <w:rsid w:val="5DD45079"/>
    <w:rsid w:val="5DE9180A"/>
    <w:rsid w:val="5E1E6018"/>
    <w:rsid w:val="5E2751A9"/>
    <w:rsid w:val="5E6B1115"/>
    <w:rsid w:val="5E7423B8"/>
    <w:rsid w:val="5EA736AF"/>
    <w:rsid w:val="5EA91D5E"/>
    <w:rsid w:val="5ED6087B"/>
    <w:rsid w:val="5EF231C3"/>
    <w:rsid w:val="5EFB19BE"/>
    <w:rsid w:val="5EFB4E79"/>
    <w:rsid w:val="5F1C2834"/>
    <w:rsid w:val="5F223BC2"/>
    <w:rsid w:val="5F2E07B9"/>
    <w:rsid w:val="5F3C4C84"/>
    <w:rsid w:val="5F64242D"/>
    <w:rsid w:val="5F8559E8"/>
    <w:rsid w:val="5F93439A"/>
    <w:rsid w:val="5F995022"/>
    <w:rsid w:val="5F9D6642"/>
    <w:rsid w:val="5FE247F5"/>
    <w:rsid w:val="5FFD4215"/>
    <w:rsid w:val="6018063D"/>
    <w:rsid w:val="60506858"/>
    <w:rsid w:val="606D5311"/>
    <w:rsid w:val="608C1246"/>
    <w:rsid w:val="60917251"/>
    <w:rsid w:val="60B60A66"/>
    <w:rsid w:val="60C93845"/>
    <w:rsid w:val="60D809DC"/>
    <w:rsid w:val="612400C6"/>
    <w:rsid w:val="61370C95"/>
    <w:rsid w:val="61673475"/>
    <w:rsid w:val="6192502F"/>
    <w:rsid w:val="61A12E05"/>
    <w:rsid w:val="620A72BB"/>
    <w:rsid w:val="620D13F5"/>
    <w:rsid w:val="620E380F"/>
    <w:rsid w:val="622F6D22"/>
    <w:rsid w:val="62414A50"/>
    <w:rsid w:val="624C05D4"/>
    <w:rsid w:val="6250783A"/>
    <w:rsid w:val="62562501"/>
    <w:rsid w:val="625B18C5"/>
    <w:rsid w:val="626210FE"/>
    <w:rsid w:val="628E6AEB"/>
    <w:rsid w:val="62A414BE"/>
    <w:rsid w:val="62C84A81"/>
    <w:rsid w:val="62D81168"/>
    <w:rsid w:val="62EA2C49"/>
    <w:rsid w:val="630C0E11"/>
    <w:rsid w:val="630D7CD1"/>
    <w:rsid w:val="632945F8"/>
    <w:rsid w:val="63BB2DD4"/>
    <w:rsid w:val="63D47B81"/>
    <w:rsid w:val="63EE5208"/>
    <w:rsid w:val="640B2E77"/>
    <w:rsid w:val="641307EF"/>
    <w:rsid w:val="646A497D"/>
    <w:rsid w:val="64947310"/>
    <w:rsid w:val="64992B79"/>
    <w:rsid w:val="649F57CB"/>
    <w:rsid w:val="64A84B6A"/>
    <w:rsid w:val="64F34037"/>
    <w:rsid w:val="65297AD2"/>
    <w:rsid w:val="655A0B79"/>
    <w:rsid w:val="655B398A"/>
    <w:rsid w:val="655D5954"/>
    <w:rsid w:val="655D7702"/>
    <w:rsid w:val="65936D6A"/>
    <w:rsid w:val="65953CD1"/>
    <w:rsid w:val="65D255D6"/>
    <w:rsid w:val="65DD0843"/>
    <w:rsid w:val="65DF6369"/>
    <w:rsid w:val="65E52392"/>
    <w:rsid w:val="65EC181B"/>
    <w:rsid w:val="66291020"/>
    <w:rsid w:val="662D4ABF"/>
    <w:rsid w:val="662F2349"/>
    <w:rsid w:val="663A7A43"/>
    <w:rsid w:val="66650F64"/>
    <w:rsid w:val="66682803"/>
    <w:rsid w:val="666A0329"/>
    <w:rsid w:val="668D2269"/>
    <w:rsid w:val="66AB0941"/>
    <w:rsid w:val="66C043ED"/>
    <w:rsid w:val="67220C03"/>
    <w:rsid w:val="67280181"/>
    <w:rsid w:val="6736645D"/>
    <w:rsid w:val="67405D33"/>
    <w:rsid w:val="6764121C"/>
    <w:rsid w:val="67827100"/>
    <w:rsid w:val="67B30841"/>
    <w:rsid w:val="67BF6452"/>
    <w:rsid w:val="67DC0256"/>
    <w:rsid w:val="681263A4"/>
    <w:rsid w:val="687B6E0D"/>
    <w:rsid w:val="68B50E78"/>
    <w:rsid w:val="68CF1BD1"/>
    <w:rsid w:val="690E2DE0"/>
    <w:rsid w:val="691314C2"/>
    <w:rsid w:val="69193166"/>
    <w:rsid w:val="691B3B5C"/>
    <w:rsid w:val="694330B3"/>
    <w:rsid w:val="69472BA3"/>
    <w:rsid w:val="69482E3A"/>
    <w:rsid w:val="694B4177"/>
    <w:rsid w:val="69540E1C"/>
    <w:rsid w:val="69547784"/>
    <w:rsid w:val="695A71C9"/>
    <w:rsid w:val="698060B5"/>
    <w:rsid w:val="698A2A90"/>
    <w:rsid w:val="69935DE8"/>
    <w:rsid w:val="69990F25"/>
    <w:rsid w:val="699C1AD0"/>
    <w:rsid w:val="69A578CA"/>
    <w:rsid w:val="69B53FB1"/>
    <w:rsid w:val="69C52442"/>
    <w:rsid w:val="69CF3EED"/>
    <w:rsid w:val="6A1011E7"/>
    <w:rsid w:val="6A415C03"/>
    <w:rsid w:val="6A575677"/>
    <w:rsid w:val="6A7B1D86"/>
    <w:rsid w:val="6A7D1238"/>
    <w:rsid w:val="6A902328"/>
    <w:rsid w:val="6A914417"/>
    <w:rsid w:val="6AC83870"/>
    <w:rsid w:val="6AE2361C"/>
    <w:rsid w:val="6AF64881"/>
    <w:rsid w:val="6AF91E48"/>
    <w:rsid w:val="6AFD711C"/>
    <w:rsid w:val="6B1540BF"/>
    <w:rsid w:val="6B234D4D"/>
    <w:rsid w:val="6B2A62D8"/>
    <w:rsid w:val="6B4145E2"/>
    <w:rsid w:val="6B4820C3"/>
    <w:rsid w:val="6B5C79D9"/>
    <w:rsid w:val="6B813E1D"/>
    <w:rsid w:val="6BB83C0E"/>
    <w:rsid w:val="6BD44496"/>
    <w:rsid w:val="6BDF5315"/>
    <w:rsid w:val="6BFB1A23"/>
    <w:rsid w:val="6C0A1EBF"/>
    <w:rsid w:val="6C2B67AC"/>
    <w:rsid w:val="6C5A4FAB"/>
    <w:rsid w:val="6C5A5B65"/>
    <w:rsid w:val="6C760EEB"/>
    <w:rsid w:val="6C7F1300"/>
    <w:rsid w:val="6CFC5A53"/>
    <w:rsid w:val="6D036DE1"/>
    <w:rsid w:val="6D0B213A"/>
    <w:rsid w:val="6D3A0D36"/>
    <w:rsid w:val="6D6B5889"/>
    <w:rsid w:val="6D7E4B8F"/>
    <w:rsid w:val="6DC26C9C"/>
    <w:rsid w:val="6DD864C0"/>
    <w:rsid w:val="6DE74955"/>
    <w:rsid w:val="6DF5133D"/>
    <w:rsid w:val="6E3B2CD7"/>
    <w:rsid w:val="6EC26274"/>
    <w:rsid w:val="6EE23C40"/>
    <w:rsid w:val="6EED5F9B"/>
    <w:rsid w:val="6EF07839"/>
    <w:rsid w:val="6EFD40B5"/>
    <w:rsid w:val="6EFE3D04"/>
    <w:rsid w:val="6F094457"/>
    <w:rsid w:val="6F82357D"/>
    <w:rsid w:val="6FBD3BBF"/>
    <w:rsid w:val="6FC22F83"/>
    <w:rsid w:val="6FC56BB6"/>
    <w:rsid w:val="6FD9332A"/>
    <w:rsid w:val="6FE86762"/>
    <w:rsid w:val="6FEA3D0F"/>
    <w:rsid w:val="6FFA03B4"/>
    <w:rsid w:val="701B388E"/>
    <w:rsid w:val="701D0033"/>
    <w:rsid w:val="701D465E"/>
    <w:rsid w:val="703A6FBE"/>
    <w:rsid w:val="70490941"/>
    <w:rsid w:val="704E7777"/>
    <w:rsid w:val="708A15C7"/>
    <w:rsid w:val="70D54F38"/>
    <w:rsid w:val="70EB6D00"/>
    <w:rsid w:val="70ED70CB"/>
    <w:rsid w:val="711054CC"/>
    <w:rsid w:val="712A5284"/>
    <w:rsid w:val="714F74BF"/>
    <w:rsid w:val="71687ABE"/>
    <w:rsid w:val="71710E2B"/>
    <w:rsid w:val="71713B40"/>
    <w:rsid w:val="718129CA"/>
    <w:rsid w:val="71873565"/>
    <w:rsid w:val="71AD28EC"/>
    <w:rsid w:val="71CC1E85"/>
    <w:rsid w:val="71E72371"/>
    <w:rsid w:val="720553A9"/>
    <w:rsid w:val="7232041A"/>
    <w:rsid w:val="72B3123B"/>
    <w:rsid w:val="72BA6194"/>
    <w:rsid w:val="72BD11C8"/>
    <w:rsid w:val="72D548F7"/>
    <w:rsid w:val="72E25D91"/>
    <w:rsid w:val="7302449E"/>
    <w:rsid w:val="73130E5A"/>
    <w:rsid w:val="731F4F1F"/>
    <w:rsid w:val="73277553"/>
    <w:rsid w:val="732E6B82"/>
    <w:rsid w:val="73334198"/>
    <w:rsid w:val="734D4A36"/>
    <w:rsid w:val="735B1865"/>
    <w:rsid w:val="738B5C9F"/>
    <w:rsid w:val="738D272C"/>
    <w:rsid w:val="73902015"/>
    <w:rsid w:val="73963495"/>
    <w:rsid w:val="73A10D2D"/>
    <w:rsid w:val="743326A2"/>
    <w:rsid w:val="745B7A81"/>
    <w:rsid w:val="74602D6B"/>
    <w:rsid w:val="746A144B"/>
    <w:rsid w:val="747E1101"/>
    <w:rsid w:val="74806364"/>
    <w:rsid w:val="74A37973"/>
    <w:rsid w:val="74AA4330"/>
    <w:rsid w:val="74B95BC7"/>
    <w:rsid w:val="74DE053D"/>
    <w:rsid w:val="74EB0BF3"/>
    <w:rsid w:val="75175B20"/>
    <w:rsid w:val="755F1275"/>
    <w:rsid w:val="75671722"/>
    <w:rsid w:val="75A56BB9"/>
    <w:rsid w:val="75BA294F"/>
    <w:rsid w:val="760A0A74"/>
    <w:rsid w:val="760B2304"/>
    <w:rsid w:val="763B583E"/>
    <w:rsid w:val="76544F52"/>
    <w:rsid w:val="76C021E7"/>
    <w:rsid w:val="76C92E49"/>
    <w:rsid w:val="76DD68F5"/>
    <w:rsid w:val="76F86756"/>
    <w:rsid w:val="773B7C6A"/>
    <w:rsid w:val="773E27E4"/>
    <w:rsid w:val="77776BCA"/>
    <w:rsid w:val="77CA5397"/>
    <w:rsid w:val="782C253B"/>
    <w:rsid w:val="785573E0"/>
    <w:rsid w:val="78695177"/>
    <w:rsid w:val="7891516A"/>
    <w:rsid w:val="78A45DF1"/>
    <w:rsid w:val="78A811EC"/>
    <w:rsid w:val="78AA7474"/>
    <w:rsid w:val="78D4396D"/>
    <w:rsid w:val="79020895"/>
    <w:rsid w:val="7906346F"/>
    <w:rsid w:val="792A3948"/>
    <w:rsid w:val="794E1260"/>
    <w:rsid w:val="79797DE9"/>
    <w:rsid w:val="79AE1580"/>
    <w:rsid w:val="79C67B14"/>
    <w:rsid w:val="79D833A4"/>
    <w:rsid w:val="79E85CDC"/>
    <w:rsid w:val="7A044199"/>
    <w:rsid w:val="7A0A1954"/>
    <w:rsid w:val="7A3A5E0C"/>
    <w:rsid w:val="7A3E3B4E"/>
    <w:rsid w:val="7A6335B5"/>
    <w:rsid w:val="7A6E0921"/>
    <w:rsid w:val="7A9C2623"/>
    <w:rsid w:val="7AA32E3A"/>
    <w:rsid w:val="7ABA2583"/>
    <w:rsid w:val="7AF6596A"/>
    <w:rsid w:val="7B0E14C5"/>
    <w:rsid w:val="7B270806"/>
    <w:rsid w:val="7B2F1799"/>
    <w:rsid w:val="7B4C229B"/>
    <w:rsid w:val="7B762E74"/>
    <w:rsid w:val="7BC167E5"/>
    <w:rsid w:val="7BCC20B9"/>
    <w:rsid w:val="7C134B67"/>
    <w:rsid w:val="7C18217D"/>
    <w:rsid w:val="7C26752C"/>
    <w:rsid w:val="7C27765C"/>
    <w:rsid w:val="7C417926"/>
    <w:rsid w:val="7C7A4BE6"/>
    <w:rsid w:val="7C8E2A19"/>
    <w:rsid w:val="7C9B417F"/>
    <w:rsid w:val="7CD6006E"/>
    <w:rsid w:val="7CD74885"/>
    <w:rsid w:val="7CE47AB2"/>
    <w:rsid w:val="7CF60157"/>
    <w:rsid w:val="7CF64F6C"/>
    <w:rsid w:val="7D172CCD"/>
    <w:rsid w:val="7D2012E9"/>
    <w:rsid w:val="7D4551F4"/>
    <w:rsid w:val="7D717D97"/>
    <w:rsid w:val="7DB06B11"/>
    <w:rsid w:val="7DB67EC7"/>
    <w:rsid w:val="7DC4191F"/>
    <w:rsid w:val="7DC94B90"/>
    <w:rsid w:val="7DF674AC"/>
    <w:rsid w:val="7DF85062"/>
    <w:rsid w:val="7DFC3B04"/>
    <w:rsid w:val="7E042BB0"/>
    <w:rsid w:val="7E462FD2"/>
    <w:rsid w:val="7E663674"/>
    <w:rsid w:val="7E8A490B"/>
    <w:rsid w:val="7E951838"/>
    <w:rsid w:val="7EE03426"/>
    <w:rsid w:val="7EF53812"/>
    <w:rsid w:val="7EF80581"/>
    <w:rsid w:val="7EFF5614"/>
    <w:rsid w:val="7F1D01D6"/>
    <w:rsid w:val="7F2151A4"/>
    <w:rsid w:val="7F235D0D"/>
    <w:rsid w:val="7F444186"/>
    <w:rsid w:val="7F7973D7"/>
    <w:rsid w:val="7F853FCE"/>
    <w:rsid w:val="7F983D01"/>
    <w:rsid w:val="7FAB3A34"/>
    <w:rsid w:val="7FD728F7"/>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宋体"/>
      <w:b/>
      <w:kern w:val="0"/>
      <w:sz w:val="28"/>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宋体"/>
      <w:b/>
      <w:bCs/>
      <w:sz w:val="21"/>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qFormat/>
    <w:uiPriority w:val="99"/>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customStyle="1" w:styleId="10">
    <w:name w:val="Default"/>
    <w:next w:val="1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index 7"/>
    <w:basedOn w:val="1"/>
    <w:next w:val="1"/>
    <w:unhideWhenUsed/>
    <w:qFormat/>
    <w:uiPriority w:val="0"/>
    <w:pPr>
      <w:adjustRightInd w:val="0"/>
      <w:spacing w:beforeLines="0" w:afterLines="0" w:line="315" w:lineRule="atLeast"/>
      <w:ind w:left="2520"/>
      <w:jc w:val="left"/>
      <w:textAlignment w:val="baseline"/>
    </w:pPr>
    <w:rPr>
      <w:rFonts w:hint="eastAsia" w:ascii="宋体"/>
      <w:kern w:val="0"/>
      <w:sz w:val="21"/>
    </w:rPr>
  </w:style>
  <w:style w:type="paragraph" w:styleId="12">
    <w:name w:val="Body Text Indent"/>
    <w:basedOn w:val="1"/>
    <w:next w:val="13"/>
    <w:qFormat/>
    <w:uiPriority w:val="0"/>
    <w:pPr>
      <w:spacing w:line="360" w:lineRule="auto"/>
      <w:ind w:firstLine="570"/>
    </w:pPr>
    <w:rPr>
      <w:sz w:val="24"/>
    </w:rPr>
  </w:style>
  <w:style w:type="paragraph" w:styleId="13">
    <w:name w:val="Body Text First Indent 2"/>
    <w:basedOn w:val="12"/>
    <w:next w:val="2"/>
    <w:unhideWhenUsed/>
    <w:qFormat/>
    <w:uiPriority w:val="99"/>
    <w:pPr>
      <w:ind w:firstLine="420" w:firstLineChars="200"/>
    </w:pPr>
  </w:style>
  <w:style w:type="paragraph" w:styleId="14">
    <w:name w:val="Plain Text"/>
    <w:basedOn w:val="1"/>
    <w:next w:val="15"/>
    <w:qFormat/>
    <w:uiPriority w:val="0"/>
    <w:rPr>
      <w:rFonts w:ascii="宋体" w:hAnsi="Courier New"/>
      <w:szCs w:val="20"/>
    </w:rPr>
  </w:style>
  <w:style w:type="paragraph" w:styleId="1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9">
    <w:name w:val="footnote text"/>
    <w:basedOn w:val="1"/>
    <w:qFormat/>
    <w:uiPriority w:val="0"/>
    <w:pPr>
      <w:snapToGrid w:val="0"/>
      <w:jc w:val="left"/>
    </w:pPr>
    <w:rPr>
      <w:sz w:val="18"/>
    </w:rPr>
  </w:style>
  <w:style w:type="paragraph" w:styleId="20">
    <w:name w:val="Normal (Web)"/>
    <w:basedOn w:val="1"/>
    <w:next w:val="1"/>
    <w:qFormat/>
    <w:uiPriority w:val="99"/>
    <w:pPr>
      <w:widowControl/>
      <w:jc w:val="left"/>
    </w:pPr>
    <w:rPr>
      <w:rFonts w:ascii="宋体" w:hAnsi="宋体" w:cs="宋体"/>
      <w:kern w:val="0"/>
      <w:sz w:val="24"/>
      <w:szCs w:val="24"/>
    </w:rPr>
  </w:style>
  <w:style w:type="paragraph" w:styleId="21">
    <w:name w:val="Body Text First Indent"/>
    <w:basedOn w:val="9"/>
    <w:unhideWhenUsed/>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paragraph" w:customStyle="1" w:styleId="26">
    <w:name w:val="列出段落1"/>
    <w:basedOn w:val="1"/>
    <w:qFormat/>
    <w:uiPriority w:val="99"/>
    <w:pPr>
      <w:ind w:firstLine="420" w:firstLineChars="200"/>
    </w:pPr>
  </w:style>
  <w:style w:type="paragraph" w:customStyle="1" w:styleId="27">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character" w:customStyle="1" w:styleId="28">
    <w:name w:val="NormalCharacter"/>
    <w:semiHidden/>
    <w:qFormat/>
    <w:uiPriority w:val="0"/>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lang w:bidi="ar-SA"/>
    </w:rPr>
  </w:style>
  <w:style w:type="paragraph" w:customStyle="1" w:styleId="32">
    <w:name w:val="样式 标题 3 + (中文) 黑体 小四 非加粗 段前: 7.8 磅 段后: 0 磅 行距: 固定值 20 磅"/>
    <w:basedOn w:val="5"/>
    <w:qFormat/>
    <w:uiPriority w:val="0"/>
    <w:pPr>
      <w:spacing w:before="0" w:after="0" w:line="400" w:lineRule="exact"/>
    </w:pPr>
    <w:rPr>
      <w:rFonts w:eastAsia="黑体" w:cs="宋体"/>
      <w:b w:val="0"/>
      <w:sz w:val="24"/>
      <w:szCs w:val="20"/>
      <w:lang w:bidi="ar-SA"/>
    </w:rPr>
  </w:style>
  <w:style w:type="paragraph" w:customStyle="1" w:styleId="33">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styleId="34">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5">
    <w:name w:val="Table Paragraph"/>
    <w:basedOn w:val="1"/>
    <w:qFormat/>
    <w:uiPriority w:val="1"/>
    <w:rPr>
      <w:rFonts w:ascii="仿宋" w:hAnsi="仿宋" w:eastAsia="仿宋" w:cs="仿宋"/>
      <w:lang w:val="zh-CN" w:eastAsia="zh-CN" w:bidi="zh-CN"/>
    </w:rPr>
  </w:style>
  <w:style w:type="paragraph" w:customStyle="1" w:styleId="36">
    <w:name w:val="WPS Plain"/>
    <w:qFormat/>
    <w:uiPriority w:val="0"/>
    <w:rPr>
      <w:rFonts w:ascii="Times New Roman" w:hAnsi="Times New Roman" w:eastAsia="宋体" w:cs="Times New Roman"/>
      <w:lang w:val="en-US" w:eastAsia="zh-CN" w:bidi="ar-SA"/>
    </w:rPr>
  </w:style>
  <w:style w:type="paragraph" w:customStyle="1" w:styleId="3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8">
    <w:name w:val="附件标题1"/>
    <w:next w:val="1"/>
    <w:qFormat/>
    <w:uiPriority w:val="0"/>
    <w:pPr>
      <w:numPr>
        <w:ilvl w:val="0"/>
        <w:numId w:val="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39">
    <w:name w:val="TOC 标题2"/>
    <w:basedOn w:val="3"/>
    <w:next w:val="1"/>
    <w:qFormat/>
    <w:uiPriority w:val="0"/>
    <w:pPr>
      <w:keepNext/>
      <w:keepLines/>
      <w:widowControl w:val="0"/>
      <w:adjustRightInd/>
      <w:snapToGrid/>
      <w:spacing w:before="260" w:after="260" w:line="413" w:lineRule="auto"/>
    </w:pPr>
    <w:rPr>
      <w:rFonts w:ascii="宋体" w:hAnsi="宋体" w:eastAsia="宋体" w:cs="Times New Roman"/>
      <w:bCs/>
      <w:sz w:val="36"/>
      <w:szCs w:val="44"/>
      <w:lang w:val="zh-CN"/>
    </w:rPr>
  </w:style>
  <w:style w:type="paragraph" w:customStyle="1" w:styleId="40">
    <w:name w:val="协议书标题2"/>
    <w:basedOn w:val="4"/>
    <w:next w:val="1"/>
    <w:qFormat/>
    <w:uiPriority w:val="0"/>
    <w:pPr>
      <w:keepNext w:val="0"/>
      <w:keepLines w:val="0"/>
      <w:numPr>
        <w:ilvl w:val="0"/>
        <w:numId w:val="2"/>
      </w:numPr>
      <w:tabs>
        <w:tab w:val="left" w:pos="567"/>
      </w:tabs>
      <w:spacing w:line="360" w:lineRule="auto"/>
      <w:ind w:firstLine="0" w:firstLineChars="0"/>
      <w:jc w:val="left"/>
    </w:pPr>
    <w:rPr>
      <w:rFonts w:ascii="宋体" w:hAnsi="宋体" w:eastAsia="宋体"/>
      <w:sz w:val="24"/>
    </w:rPr>
  </w:style>
  <w:style w:type="paragraph" w:customStyle="1" w:styleId="4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2">
    <w:name w:val="通用标题2"/>
    <w:basedOn w:val="4"/>
    <w:next w:val="1"/>
    <w:qFormat/>
    <w:uiPriority w:val="0"/>
    <w:pPr>
      <w:keepNext w:val="0"/>
      <w:keepLines w:val="0"/>
      <w:numPr>
        <w:ilvl w:val="0"/>
        <w:numId w:val="3"/>
      </w:numPr>
      <w:tabs>
        <w:tab w:val="left" w:pos="993"/>
      </w:tabs>
      <w:spacing w:line="360" w:lineRule="auto"/>
      <w:ind w:firstLineChars="0"/>
    </w:pPr>
    <w:rPr>
      <w:rFonts w:ascii="黑体" w:hAnsi="黑体"/>
    </w:rPr>
  </w:style>
  <w:style w:type="paragraph" w:customStyle="1" w:styleId="43">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44">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46">
    <w:name w:val="通用标题6"/>
    <w:basedOn w:val="1"/>
    <w:qFormat/>
    <w:uiPriority w:val="0"/>
    <w:pPr>
      <w:numPr>
        <w:ilvl w:val="4"/>
        <w:numId w:val="5"/>
      </w:numPr>
      <w:tabs>
        <w:tab w:val="left" w:pos="993"/>
      </w:tabs>
      <w:wordWrap/>
      <w:topLinePunct w:val="0"/>
      <w:ind w:firstLine="0" w:firstLineChars="0"/>
    </w:pPr>
  </w:style>
  <w:style w:type="paragraph" w:customStyle="1" w:styleId="47">
    <w:name w:val="专用标题2"/>
    <w:basedOn w:val="4"/>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48">
    <w:name w:val="附件标题"/>
    <w:basedOn w:val="4"/>
    <w:next w:val="1"/>
    <w:qFormat/>
    <w:uiPriority w:val="0"/>
    <w:pPr>
      <w:numPr>
        <w:ilvl w:val="0"/>
        <w:numId w:val="6"/>
      </w:numPr>
      <w:tabs>
        <w:tab w:val="left" w:pos="1134"/>
      </w:tabs>
      <w:spacing w:line="360" w:lineRule="auto"/>
      <w:ind w:firstLine="0" w:firstLineChars="0"/>
      <w:jc w:val="center"/>
    </w:pPr>
    <w:rPr>
      <w:rFonts w:ascii="黑体" w:hAnsi="黑体"/>
      <w:sz w:val="30"/>
      <w:szCs w:val="30"/>
    </w:rPr>
  </w:style>
  <w:style w:type="paragraph" w:customStyle="1" w:styleId="49">
    <w:name w:val="页脚_3"/>
    <w:basedOn w:val="50"/>
    <w:semiHidden/>
    <w:qFormat/>
    <w:uiPriority w:val="0"/>
    <w:pPr>
      <w:snapToGrid w:val="0"/>
      <w:jc w:val="left"/>
    </w:pPr>
    <w:rPr>
      <w:rFonts w:ascii="Times New Roman" w:hAnsi="Times New Roman" w:eastAsia="宋体"/>
      <w:sz w:val="18"/>
      <w:szCs w:val="18"/>
    </w:rPr>
  </w:style>
  <w:style w:type="paragraph" w:customStyle="1" w:styleId="50">
    <w:name w:val="正文_6_0_0"/>
    <w:basedOn w:val="51"/>
    <w:next w:val="49"/>
    <w:qFormat/>
    <w:uiPriority w:val="0"/>
    <w:rPr>
      <w:rFonts w:ascii="Times New Roman" w:hAnsi="Times New Roman" w:eastAsia="宋体"/>
      <w:szCs w:val="21"/>
    </w:rPr>
  </w:style>
  <w:style w:type="paragraph" w:customStyle="1" w:styleId="51">
    <w:name w:val="正文_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100491</Words>
  <Characters>105662</Characters>
  <Lines>0</Lines>
  <Paragraphs>0</Paragraphs>
  <TotalTime>2</TotalTime>
  <ScaleCrop>false</ScaleCrop>
  <LinksUpToDate>false</LinksUpToDate>
  <CharactersWithSpaces>116228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2022-06-08T14:04:00Z</dcterms:created>
  <dc:creator>888888</dc:creator>
  <cp:lastModifiedBy>Administrator</cp:lastModifiedBy>
  <cp:lastPrinted>2023-05-04T03:32:00Z</cp:lastPrinted>
  <dcterms:modified xsi:type="dcterms:W3CDTF">2023-07-01T16:07:30Z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DB85BD758FBF46D9BC9AC8322945EF58</vt:lpwstr>
  </property>
</Properties>
</file>